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215362">
      <w:pPr>
        <w:pStyle w:val="7"/>
        <w:ind w:left="0" w:leftChars="0" w:firstLine="0" w:firstLineChars="0"/>
        <w:jc w:val="center"/>
        <w:rPr>
          <w:rFonts w:hint="eastAsia" w:ascii="方正小标宋_GBK" w:hAnsi="方正小标宋_GBK" w:eastAsia="方正小标宋_GBK" w:cs="方正小标宋_GBK"/>
          <w:b w:val="0"/>
          <w:bCs/>
          <w:sz w:val="44"/>
          <w:szCs w:val="44"/>
          <w:highlight w:val="none"/>
          <w:lang w:val="en-US" w:eastAsia="zh-CN"/>
        </w:rPr>
      </w:pPr>
      <w:r>
        <w:rPr>
          <w:rFonts w:hint="eastAsia" w:ascii="方正小标宋_GBK" w:hAnsi="方正小标宋_GBK" w:eastAsia="方正小标宋_GBK" w:cs="方正小标宋_GBK"/>
          <w:b w:val="0"/>
          <w:bCs/>
          <w:sz w:val="44"/>
          <w:szCs w:val="44"/>
          <w:highlight w:val="none"/>
          <w:lang w:val="en-US" w:eastAsia="zh-CN"/>
        </w:rPr>
        <w:t>呼图壁县重点危险区域城镇住宅建筑抗震鉴定项目（服务）</w:t>
      </w:r>
    </w:p>
    <w:p w14:paraId="207765AD">
      <w:pPr>
        <w:pStyle w:val="7"/>
        <w:ind w:left="0" w:leftChars="0" w:firstLine="0" w:firstLineChars="0"/>
        <w:jc w:val="center"/>
        <w:rPr>
          <w:rFonts w:hint="eastAsia" w:ascii="方正小标宋_GBK" w:hAnsi="方正小标宋_GBK" w:eastAsia="方正小标宋_GBK" w:cs="方正小标宋_GBK"/>
          <w:b/>
          <w:bCs w:val="0"/>
          <w:sz w:val="44"/>
          <w:szCs w:val="44"/>
          <w:highlight w:val="none"/>
          <w:lang w:val="en-US" w:eastAsia="zh-CN"/>
        </w:rPr>
      </w:pPr>
    </w:p>
    <w:p w14:paraId="2D875300">
      <w:pPr>
        <w:pStyle w:val="7"/>
        <w:ind w:left="0" w:leftChars="0" w:firstLine="0" w:firstLineChars="0"/>
        <w:jc w:val="center"/>
        <w:rPr>
          <w:rFonts w:hint="default"/>
          <w:highlight w:val="none"/>
        </w:rPr>
      </w:pPr>
      <w:r>
        <w:rPr>
          <w:rFonts w:hint="eastAsia" w:ascii="宋体" w:hAnsi="宋体" w:eastAsia="宋体" w:cs="宋体"/>
          <w:b/>
          <w:bCs/>
          <w:spacing w:val="-20"/>
          <w:sz w:val="36"/>
          <w:szCs w:val="36"/>
          <w:highlight w:val="none"/>
        </w:rPr>
        <w:t>招标编号:</w:t>
      </w:r>
      <w:r>
        <w:rPr>
          <w:rFonts w:hint="eastAsia" w:ascii="宋体" w:eastAsia="宋体" w:cs="宋体"/>
          <w:b/>
          <w:bCs/>
          <w:spacing w:val="-20"/>
          <w:sz w:val="36"/>
          <w:szCs w:val="36"/>
          <w:highlight w:val="none"/>
          <w:lang w:eastAsia="zh-CN"/>
        </w:rPr>
        <w:t>2025-JHJY-ZFCG-21-1</w:t>
      </w:r>
    </w:p>
    <w:p w14:paraId="4D9D91ED">
      <w:pPr>
        <w:pStyle w:val="22"/>
        <w:rPr>
          <w:rFonts w:hint="eastAsia" w:cs="宋体"/>
          <w:b/>
          <w:bCs/>
          <w:color w:val="auto"/>
          <w:kern w:val="0"/>
          <w:sz w:val="56"/>
          <w:szCs w:val="56"/>
          <w:highlight w:val="none"/>
          <w:lang w:val="en-US" w:eastAsia="zh-CN"/>
        </w:rPr>
      </w:pPr>
    </w:p>
    <w:p w14:paraId="34E55C69">
      <w:pPr>
        <w:pStyle w:val="22"/>
        <w:rPr>
          <w:rFonts w:hint="eastAsia" w:cs="宋体"/>
          <w:b/>
          <w:bCs/>
          <w:color w:val="auto"/>
          <w:kern w:val="0"/>
          <w:sz w:val="56"/>
          <w:szCs w:val="56"/>
          <w:highlight w:val="none"/>
          <w:lang w:val="en-US" w:eastAsia="zh-CN"/>
        </w:rPr>
      </w:pPr>
    </w:p>
    <w:p w14:paraId="3EB47A53">
      <w:pPr>
        <w:ind w:firstLine="0" w:firstLineChars="0"/>
        <w:jc w:val="center"/>
        <w:rPr>
          <w:rFonts w:hint="eastAsia" w:cs="宋体"/>
          <w:b/>
          <w:bCs w:val="0"/>
          <w:sz w:val="84"/>
          <w:szCs w:val="84"/>
          <w:highlight w:val="none"/>
        </w:rPr>
      </w:pPr>
      <w:r>
        <w:rPr>
          <w:rFonts w:hint="eastAsia" w:cs="宋体"/>
          <w:b/>
          <w:bCs w:val="0"/>
          <w:sz w:val="84"/>
          <w:szCs w:val="84"/>
          <w:highlight w:val="none"/>
        </w:rPr>
        <w:t>竞争性磋商文件</w:t>
      </w:r>
    </w:p>
    <w:p w14:paraId="257C69A7">
      <w:pPr>
        <w:pStyle w:val="22"/>
        <w:rPr>
          <w:rFonts w:hint="eastAsia" w:cs="宋体"/>
          <w:b/>
          <w:bCs w:val="0"/>
          <w:sz w:val="84"/>
          <w:szCs w:val="84"/>
          <w:highlight w:val="none"/>
        </w:rPr>
      </w:pPr>
    </w:p>
    <w:p w14:paraId="4D597DC6">
      <w:pPr>
        <w:rPr>
          <w:rFonts w:hint="eastAsia"/>
          <w:highlight w:val="none"/>
        </w:rPr>
      </w:pPr>
    </w:p>
    <w:p w14:paraId="028E948E">
      <w:pPr>
        <w:pStyle w:val="22"/>
        <w:rPr>
          <w:rFonts w:hint="eastAsia"/>
          <w:highlight w:val="none"/>
        </w:rPr>
      </w:pPr>
    </w:p>
    <w:p w14:paraId="2A550743">
      <w:pPr>
        <w:pStyle w:val="22"/>
        <w:ind w:left="0" w:leftChars="0" w:firstLine="0" w:firstLineChars="0"/>
        <w:rPr>
          <w:rFonts w:hint="eastAsia"/>
          <w:highlight w:val="none"/>
        </w:rPr>
      </w:pPr>
    </w:p>
    <w:p w14:paraId="5617888F">
      <w:pPr>
        <w:pStyle w:val="22"/>
        <w:ind w:firstLine="1681" w:firstLineChars="600"/>
        <w:rPr>
          <w:rFonts w:hint="default" w:ascii="宋体" w:cs="宋体"/>
          <w:b/>
          <w:sz w:val="28"/>
          <w:szCs w:val="28"/>
          <w:highlight w:val="none"/>
          <w:lang w:eastAsia="zh-CN"/>
        </w:rPr>
      </w:pPr>
      <w:r>
        <w:rPr>
          <w:rFonts w:hint="eastAsia" w:ascii="宋体" w:hAnsi="宋体" w:cs="宋体"/>
          <w:b/>
          <w:sz w:val="28"/>
          <w:szCs w:val="28"/>
          <w:highlight w:val="none"/>
        </w:rPr>
        <w:t>招 标 人：</w:t>
      </w:r>
      <w:r>
        <w:rPr>
          <w:rFonts w:hint="eastAsia" w:ascii="宋体" w:cs="宋体"/>
          <w:b/>
          <w:sz w:val="28"/>
          <w:szCs w:val="28"/>
          <w:highlight w:val="none"/>
          <w:lang w:eastAsia="zh-CN"/>
        </w:rPr>
        <w:t>呼图壁县住房和城乡建设局</w:t>
      </w:r>
    </w:p>
    <w:p w14:paraId="4F457666">
      <w:pPr>
        <w:pStyle w:val="22"/>
        <w:ind w:firstLine="1681" w:firstLineChars="600"/>
        <w:rPr>
          <w:rFonts w:hint="default" w:ascii="宋体" w:cs="宋体"/>
          <w:b/>
          <w:sz w:val="28"/>
          <w:szCs w:val="28"/>
          <w:highlight w:val="none"/>
          <w:lang w:eastAsia="zh-CN"/>
        </w:rPr>
      </w:pPr>
    </w:p>
    <w:p w14:paraId="322F1F4C">
      <w:pPr>
        <w:shd w:val="solid" w:color="FFFFFF" w:fill="auto"/>
        <w:autoSpaceDN w:val="0"/>
        <w:adjustRightInd w:val="0"/>
        <w:snapToGrid w:val="0"/>
        <w:spacing w:line="276" w:lineRule="auto"/>
        <w:ind w:firstLine="1535" w:firstLineChars="548"/>
        <w:jc w:val="left"/>
        <w:rPr>
          <w:rFonts w:hint="eastAsia" w:cs="宋体"/>
          <w:b/>
          <w:sz w:val="28"/>
          <w:szCs w:val="28"/>
          <w:highlight w:val="none"/>
          <w:lang w:eastAsia="zh-CN"/>
        </w:rPr>
      </w:pPr>
      <w:r>
        <w:rPr>
          <w:rFonts w:hint="eastAsia" w:ascii="宋体" w:hAnsi="宋体" w:cs="宋体"/>
          <w:b/>
          <w:sz w:val="28"/>
          <w:szCs w:val="28"/>
          <w:highlight w:val="none"/>
        </w:rPr>
        <w:t>代理机构：</w:t>
      </w:r>
      <w:r>
        <w:rPr>
          <w:rFonts w:hint="eastAsia" w:cs="宋体"/>
          <w:b/>
          <w:sz w:val="28"/>
          <w:szCs w:val="28"/>
          <w:highlight w:val="none"/>
          <w:lang w:eastAsia="zh-CN"/>
        </w:rPr>
        <w:t>呼图壁县锦华建业工程项目管理有限公司</w:t>
      </w:r>
    </w:p>
    <w:p w14:paraId="225AC9FB">
      <w:pPr>
        <w:pStyle w:val="22"/>
        <w:rPr>
          <w:rFonts w:hint="eastAsia"/>
          <w:highlight w:val="none"/>
          <w:lang w:eastAsia="zh-CN"/>
        </w:rPr>
      </w:pPr>
    </w:p>
    <w:p w14:paraId="40C5CFB1">
      <w:pPr>
        <w:shd w:val="solid" w:color="FFFFFF" w:fill="auto"/>
        <w:autoSpaceDN w:val="0"/>
        <w:adjustRightInd w:val="0"/>
        <w:snapToGrid w:val="0"/>
        <w:spacing w:line="276" w:lineRule="auto"/>
        <w:ind w:firstLine="1535" w:firstLineChars="548"/>
        <w:jc w:val="left"/>
        <w:rPr>
          <w:rFonts w:hint="eastAsia" w:ascii="宋体" w:hAnsi="宋体" w:cs="宋体"/>
          <w:b/>
          <w:sz w:val="28"/>
          <w:szCs w:val="28"/>
          <w:highlight w:val="none"/>
        </w:rPr>
      </w:pPr>
      <w:r>
        <w:rPr>
          <w:rFonts w:hint="eastAsia" w:ascii="宋体" w:hAnsi="宋体" w:cs="宋体"/>
          <w:b/>
          <w:sz w:val="28"/>
          <w:szCs w:val="28"/>
          <w:highlight w:val="none"/>
        </w:rPr>
        <w:t>日    期：二〇</w:t>
      </w:r>
      <w:r>
        <w:rPr>
          <w:rFonts w:hint="eastAsia" w:ascii="宋体" w:hAnsi="宋体" w:cs="宋体"/>
          <w:b/>
          <w:sz w:val="28"/>
          <w:szCs w:val="28"/>
          <w:highlight w:val="none"/>
          <w:lang w:eastAsia="zh-CN"/>
        </w:rPr>
        <w:t>二</w:t>
      </w:r>
      <w:r>
        <w:rPr>
          <w:rFonts w:hint="eastAsia" w:cs="宋体"/>
          <w:b/>
          <w:sz w:val="28"/>
          <w:szCs w:val="28"/>
          <w:highlight w:val="none"/>
          <w:lang w:val="en-US" w:eastAsia="zh-CN"/>
        </w:rPr>
        <w:t>六</w:t>
      </w:r>
      <w:r>
        <w:rPr>
          <w:rFonts w:hint="eastAsia" w:ascii="宋体" w:hAnsi="宋体" w:cs="宋体"/>
          <w:b/>
          <w:sz w:val="28"/>
          <w:szCs w:val="28"/>
          <w:highlight w:val="none"/>
        </w:rPr>
        <w:t>年</w:t>
      </w:r>
      <w:r>
        <w:rPr>
          <w:rFonts w:hint="eastAsia" w:cs="宋体"/>
          <w:b/>
          <w:sz w:val="28"/>
          <w:szCs w:val="28"/>
          <w:highlight w:val="none"/>
          <w:lang w:val="en-US" w:eastAsia="zh-CN"/>
        </w:rPr>
        <w:t>一</w:t>
      </w:r>
      <w:r>
        <w:rPr>
          <w:rFonts w:hint="eastAsia" w:ascii="宋体" w:hAnsi="宋体" w:cs="宋体"/>
          <w:b/>
          <w:sz w:val="28"/>
          <w:szCs w:val="28"/>
          <w:highlight w:val="none"/>
        </w:rPr>
        <w:t>月</w:t>
      </w:r>
    </w:p>
    <w:p w14:paraId="3080769B">
      <w:pPr>
        <w:kinsoku w:val="0"/>
        <w:overflowPunct w:val="0"/>
        <w:autoSpaceDE w:val="0"/>
        <w:autoSpaceDN w:val="0"/>
        <w:adjustRightInd w:val="0"/>
        <w:snapToGrid w:val="0"/>
        <w:spacing w:line="360" w:lineRule="auto"/>
        <w:ind w:left="0" w:leftChars="0" w:firstLine="0" w:firstLineChars="0"/>
        <w:rPr>
          <w:rFonts w:hint="eastAsia" w:ascii="楷体" w:hAnsi="楷体" w:eastAsia="楷体" w:cs="Arial"/>
          <w:sz w:val="24"/>
          <w:highlight w:val="none"/>
          <w:lang w:val="en-US" w:eastAsia="zh-CN"/>
        </w:rPr>
      </w:pPr>
    </w:p>
    <w:p w14:paraId="207BF558">
      <w:pPr>
        <w:pStyle w:val="6"/>
        <w:rPr>
          <w:rFonts w:hint="eastAsia" w:ascii="楷体" w:hAnsi="楷体" w:eastAsia="楷体" w:cs="Arial"/>
          <w:sz w:val="24"/>
          <w:highlight w:val="none"/>
          <w:lang w:val="en-US" w:eastAsia="zh-CN"/>
        </w:rPr>
      </w:pPr>
    </w:p>
    <w:p w14:paraId="17C140D1">
      <w:pPr>
        <w:pStyle w:val="11"/>
        <w:tabs>
          <w:tab w:val="right" w:leader="dot" w:pos="9638"/>
        </w:tabs>
        <w:jc w:val="center"/>
        <w:rPr>
          <w:rFonts w:hint="eastAsia" w:eastAsia="宋体" w:cs="宋体"/>
          <w:sz w:val="44"/>
          <w:szCs w:val="44"/>
          <w:highlight w:val="none"/>
        </w:rPr>
      </w:pPr>
    </w:p>
    <w:p w14:paraId="0A295A18">
      <w:pPr>
        <w:pStyle w:val="11"/>
        <w:tabs>
          <w:tab w:val="right" w:leader="dot" w:pos="9638"/>
        </w:tabs>
        <w:jc w:val="center"/>
        <w:rPr>
          <w:rFonts w:hint="eastAsia" w:eastAsia="宋体" w:cs="宋体"/>
          <w:sz w:val="44"/>
          <w:szCs w:val="44"/>
          <w:highlight w:val="none"/>
        </w:rPr>
      </w:pPr>
    </w:p>
    <w:p w14:paraId="402CE438">
      <w:pPr>
        <w:pStyle w:val="11"/>
        <w:tabs>
          <w:tab w:val="right" w:leader="dot" w:pos="9638"/>
        </w:tabs>
        <w:jc w:val="center"/>
        <w:rPr>
          <w:rFonts w:hint="eastAsia" w:eastAsia="宋体" w:cs="宋体"/>
          <w:sz w:val="44"/>
          <w:szCs w:val="44"/>
          <w:highlight w:val="none"/>
        </w:rPr>
      </w:pPr>
    </w:p>
    <w:p w14:paraId="4988B28D">
      <w:pPr>
        <w:pStyle w:val="11"/>
        <w:tabs>
          <w:tab w:val="right" w:leader="dot" w:pos="9638"/>
        </w:tabs>
        <w:jc w:val="center"/>
        <w:rPr>
          <w:rFonts w:hint="eastAsia" w:eastAsia="宋体" w:cs="宋体"/>
          <w:sz w:val="44"/>
          <w:szCs w:val="44"/>
          <w:highlight w:val="none"/>
        </w:rPr>
      </w:pPr>
      <w:r>
        <w:rPr>
          <w:rFonts w:hint="eastAsia" w:eastAsia="宋体" w:cs="宋体"/>
          <w:sz w:val="44"/>
          <w:szCs w:val="44"/>
          <w:highlight w:val="none"/>
        </w:rPr>
        <w:t>目   录</w:t>
      </w:r>
    </w:p>
    <w:p w14:paraId="0C5DF31D">
      <w:pPr>
        <w:pStyle w:val="11"/>
        <w:tabs>
          <w:tab w:val="right" w:leader="dot" w:pos="9638"/>
        </w:tabs>
        <w:rPr>
          <w:rFonts w:hint="eastAsia" w:ascii="宋体" w:hAnsi="宋体" w:cs="宋体"/>
          <w:bCs w:val="0"/>
          <w:sz w:val="44"/>
          <w:highlight w:val="none"/>
        </w:rPr>
      </w:pPr>
      <w:r>
        <w:rPr>
          <w:rFonts w:hint="eastAsia" w:eastAsia="宋体" w:cs="宋体"/>
          <w:highlight w:val="none"/>
          <w:lang w:val="en-US" w:eastAsia="zh-CN"/>
        </w:rPr>
        <w:t>第一章 竞争性磋商公告</w:t>
      </w:r>
      <w:r>
        <w:rPr>
          <w:rFonts w:hint="eastAsia" w:eastAsia="宋体" w:cs="宋体"/>
          <w:highlight w:val="none"/>
        </w:rPr>
        <w:tab/>
      </w:r>
      <w:r>
        <w:rPr>
          <w:rFonts w:hint="eastAsia" w:eastAsia="宋体" w:cs="宋体"/>
          <w:highlight w:val="none"/>
          <w:lang w:val="en-US" w:eastAsia="zh-CN"/>
        </w:rPr>
        <w:t>3</w:t>
      </w:r>
      <w:r>
        <w:rPr>
          <w:highlight w:val="none"/>
        </w:rPr>
        <w:tab/>
      </w:r>
    </w:p>
    <w:p w14:paraId="2C84A652">
      <w:pPr>
        <w:pStyle w:val="11"/>
        <w:tabs>
          <w:tab w:val="right" w:leader="dot" w:pos="9638"/>
        </w:tabs>
        <w:rPr>
          <w:rFonts w:hint="eastAsia" w:ascii="宋体" w:hAnsi="宋体" w:cs="宋体"/>
          <w:highlight w:val="none"/>
        </w:rPr>
      </w:pPr>
      <w:r>
        <w:rPr>
          <w:rFonts w:hint="eastAsia" w:ascii="宋体" w:hAnsi="宋体" w:cs="宋体"/>
          <w:b w:val="0"/>
          <w:sz w:val="44"/>
          <w:highlight w:val="none"/>
        </w:rPr>
        <w:fldChar w:fldCharType="begin"/>
      </w:r>
      <w:r>
        <w:rPr>
          <w:rFonts w:hint="eastAsia" w:ascii="宋体" w:hAnsi="宋体" w:cs="宋体"/>
          <w:b w:val="0"/>
          <w:sz w:val="44"/>
          <w:highlight w:val="none"/>
        </w:rPr>
        <w:instrText xml:space="preserve">TOC \o "1-1" \h \u </w:instrText>
      </w:r>
      <w:r>
        <w:rPr>
          <w:rFonts w:hint="eastAsia" w:ascii="宋体" w:hAnsi="宋体" w:cs="宋体"/>
          <w:b w:val="0"/>
          <w:sz w:val="44"/>
          <w:highlight w:val="none"/>
        </w:rPr>
        <w:fldChar w:fldCharType="separate"/>
      </w:r>
      <w:r>
        <w:rPr>
          <w:rFonts w:hint="eastAsia" w:ascii="宋体" w:hAnsi="宋体" w:cs="宋体"/>
          <w:highlight w:val="none"/>
        </w:rPr>
        <w:fldChar w:fldCharType="begin"/>
      </w:r>
      <w:r>
        <w:rPr>
          <w:rFonts w:hint="eastAsia" w:ascii="宋体" w:hAnsi="宋体" w:cs="宋体"/>
          <w:highlight w:val="none"/>
        </w:rPr>
        <w:instrText xml:space="preserve"> HYPERLINK \l _Toc7460 </w:instrText>
      </w:r>
      <w:r>
        <w:rPr>
          <w:rFonts w:hint="eastAsia" w:ascii="宋体" w:hAnsi="宋体" w:cs="宋体"/>
          <w:highlight w:val="none"/>
        </w:rPr>
        <w:fldChar w:fldCharType="separate"/>
      </w:r>
      <w:r>
        <w:rPr>
          <w:rFonts w:hint="eastAsia" w:cs="宋体"/>
          <w:highlight w:val="none"/>
          <w:lang w:eastAsia="zh-CN"/>
        </w:rPr>
        <w:t>第二章</w:t>
      </w:r>
      <w:r>
        <w:rPr>
          <w:rFonts w:hint="eastAsia" w:cs="宋体"/>
          <w:highlight w:val="none"/>
          <w:lang w:val="en-US" w:eastAsia="zh-CN"/>
        </w:rPr>
        <w:t xml:space="preserve"> </w:t>
      </w:r>
      <w:r>
        <w:rPr>
          <w:rFonts w:hint="eastAsia" w:cs="宋体"/>
          <w:highlight w:val="none"/>
        </w:rPr>
        <w:t>投标人须知</w:t>
      </w:r>
      <w:r>
        <w:rPr>
          <w:highlight w:val="none"/>
        </w:rPr>
        <w:tab/>
      </w:r>
      <w:r>
        <w:rPr>
          <w:rFonts w:hint="eastAsia"/>
          <w:highlight w:val="none"/>
          <w:lang w:val="en-US" w:eastAsia="zh-CN"/>
        </w:rPr>
        <w:t>7</w:t>
      </w:r>
      <w:r>
        <w:rPr>
          <w:rFonts w:hint="eastAsia" w:ascii="宋体" w:hAnsi="宋体" w:cs="宋体"/>
          <w:highlight w:val="none"/>
        </w:rPr>
        <w:fldChar w:fldCharType="end"/>
      </w:r>
    </w:p>
    <w:p w14:paraId="2FF1F29E">
      <w:pPr>
        <w:pStyle w:val="11"/>
        <w:tabs>
          <w:tab w:val="right" w:leader="dot" w:pos="9638"/>
        </w:tabs>
        <w:rPr>
          <w:rFonts w:hint="eastAsia" w:cs="宋体"/>
          <w:highlight w:val="none"/>
          <w:lang w:val="en-US" w:eastAsia="zh-CN"/>
        </w:rPr>
      </w:pPr>
      <w:r>
        <w:rPr>
          <w:rFonts w:hint="eastAsia" w:cs="宋体"/>
          <w:highlight w:val="none"/>
        </w:rPr>
        <w:fldChar w:fldCharType="begin"/>
      </w:r>
      <w:r>
        <w:rPr>
          <w:rFonts w:hint="eastAsia" w:cs="宋体"/>
          <w:highlight w:val="none"/>
        </w:rPr>
        <w:instrText xml:space="preserve"> HYPERLINK \l _Toc2952 </w:instrText>
      </w:r>
      <w:r>
        <w:rPr>
          <w:rFonts w:hint="eastAsia" w:cs="宋体"/>
          <w:highlight w:val="none"/>
        </w:rPr>
        <w:fldChar w:fldCharType="separate"/>
      </w:r>
      <w:r>
        <w:rPr>
          <w:rFonts w:hint="eastAsia" w:cs="宋体"/>
          <w:bCs/>
          <w:highlight w:val="none"/>
          <w:lang w:val="en-US" w:eastAsia="zh-CN"/>
        </w:rPr>
        <w:t>第三章 评标办法</w:t>
      </w:r>
      <w:r>
        <w:rPr>
          <w:highlight w:val="none"/>
        </w:rPr>
        <w:tab/>
      </w:r>
      <w:r>
        <w:rPr>
          <w:rFonts w:hint="eastAsia"/>
          <w:highlight w:val="none"/>
          <w:lang w:val="en-US" w:eastAsia="zh-CN"/>
        </w:rPr>
        <w:t>3</w:t>
      </w:r>
      <w:r>
        <w:rPr>
          <w:rFonts w:hint="eastAsia" w:cs="宋体"/>
          <w:highlight w:val="none"/>
        </w:rPr>
        <w:fldChar w:fldCharType="end"/>
      </w:r>
      <w:r>
        <w:rPr>
          <w:rFonts w:hint="eastAsia" w:cs="宋体"/>
          <w:highlight w:val="none"/>
          <w:lang w:val="en-US" w:eastAsia="zh-CN"/>
        </w:rPr>
        <w:t>2</w:t>
      </w:r>
    </w:p>
    <w:p w14:paraId="1F46C987">
      <w:pPr>
        <w:pStyle w:val="11"/>
        <w:tabs>
          <w:tab w:val="right" w:leader="dot" w:pos="9638"/>
        </w:tabs>
        <w:rPr>
          <w:rFonts w:hint="eastAsia" w:eastAsia="宋体"/>
          <w:highlight w:val="none"/>
          <w:lang w:val="en-US" w:eastAsia="zh-CN"/>
        </w:rPr>
      </w:pPr>
      <w:r>
        <w:rPr>
          <w:rFonts w:hint="eastAsia" w:cs="宋体"/>
          <w:highlight w:val="none"/>
        </w:rPr>
        <w:fldChar w:fldCharType="begin"/>
      </w:r>
      <w:r>
        <w:rPr>
          <w:rFonts w:hint="eastAsia" w:cs="宋体"/>
          <w:highlight w:val="none"/>
        </w:rPr>
        <w:instrText xml:space="preserve"> HYPERLINK \l _Toc2952 </w:instrText>
      </w:r>
      <w:r>
        <w:rPr>
          <w:rFonts w:hint="eastAsia" w:cs="宋体"/>
          <w:highlight w:val="none"/>
        </w:rPr>
        <w:fldChar w:fldCharType="separate"/>
      </w:r>
      <w:r>
        <w:rPr>
          <w:rFonts w:hint="eastAsia" w:cs="宋体"/>
          <w:bCs/>
          <w:highlight w:val="none"/>
          <w:lang w:val="en-US" w:eastAsia="zh-CN"/>
        </w:rPr>
        <w:t>第四章 项目采购需求</w:t>
      </w:r>
      <w:r>
        <w:rPr>
          <w:highlight w:val="none"/>
        </w:rPr>
        <w:tab/>
      </w:r>
      <w:r>
        <w:rPr>
          <w:rFonts w:hint="eastAsia"/>
          <w:highlight w:val="none"/>
          <w:lang w:val="en-US" w:eastAsia="zh-CN"/>
        </w:rPr>
        <w:t>3</w:t>
      </w:r>
      <w:r>
        <w:rPr>
          <w:rFonts w:hint="eastAsia" w:cs="宋体"/>
          <w:highlight w:val="none"/>
        </w:rPr>
        <w:fldChar w:fldCharType="end"/>
      </w:r>
      <w:r>
        <w:rPr>
          <w:rFonts w:hint="eastAsia" w:cs="宋体"/>
          <w:highlight w:val="none"/>
          <w:lang w:val="en-US" w:eastAsia="zh-CN"/>
        </w:rPr>
        <w:t>4</w:t>
      </w:r>
    </w:p>
    <w:p w14:paraId="0CB4CACE">
      <w:pPr>
        <w:pStyle w:val="11"/>
        <w:tabs>
          <w:tab w:val="right" w:leader="dot" w:pos="9638"/>
        </w:tabs>
        <w:rPr>
          <w:rFonts w:hint="eastAsia" w:eastAsia="宋体"/>
          <w:highlight w:val="none"/>
          <w:lang w:val="en-US" w:eastAsia="zh-CN"/>
        </w:rPr>
      </w:pPr>
      <w:r>
        <w:rPr>
          <w:rFonts w:hint="eastAsia" w:cs="宋体"/>
          <w:highlight w:val="none"/>
        </w:rPr>
        <w:fldChar w:fldCharType="begin"/>
      </w:r>
      <w:r>
        <w:rPr>
          <w:rFonts w:hint="eastAsia" w:cs="宋体"/>
          <w:highlight w:val="none"/>
        </w:rPr>
        <w:instrText xml:space="preserve"> HYPERLINK \l _Toc28418 </w:instrText>
      </w:r>
      <w:r>
        <w:rPr>
          <w:rFonts w:hint="eastAsia" w:cs="宋体"/>
          <w:highlight w:val="none"/>
        </w:rPr>
        <w:fldChar w:fldCharType="separate"/>
      </w:r>
      <w:r>
        <w:rPr>
          <w:rFonts w:hint="eastAsia" w:cs="宋体"/>
          <w:highlight w:val="none"/>
          <w:lang w:eastAsia="zh-CN"/>
        </w:rPr>
        <w:t>第</w:t>
      </w:r>
      <w:r>
        <w:rPr>
          <w:rFonts w:hint="eastAsia" w:cs="宋体"/>
          <w:highlight w:val="none"/>
          <w:lang w:val="en-US" w:eastAsia="zh-CN"/>
        </w:rPr>
        <w:t>五</w:t>
      </w:r>
      <w:r>
        <w:rPr>
          <w:rFonts w:hint="eastAsia" w:cs="宋体"/>
          <w:highlight w:val="none"/>
          <w:lang w:eastAsia="zh-CN"/>
        </w:rPr>
        <w:t>章</w:t>
      </w:r>
      <w:r>
        <w:rPr>
          <w:rFonts w:hint="eastAsia" w:cs="宋体"/>
          <w:highlight w:val="none"/>
          <w:lang w:val="en-US" w:eastAsia="zh-CN"/>
        </w:rPr>
        <w:t xml:space="preserve"> </w:t>
      </w:r>
      <w:r>
        <w:rPr>
          <w:rFonts w:hint="eastAsia" w:cs="宋体"/>
          <w:highlight w:val="none"/>
        </w:rPr>
        <w:t>合同条款及格式（仅供参考）</w:t>
      </w:r>
      <w:r>
        <w:rPr>
          <w:highlight w:val="none"/>
        </w:rPr>
        <w:tab/>
      </w:r>
      <w:r>
        <w:rPr>
          <w:rFonts w:hint="eastAsia"/>
          <w:highlight w:val="none"/>
          <w:lang w:val="en-US" w:eastAsia="zh-CN"/>
        </w:rPr>
        <w:t>3</w:t>
      </w:r>
      <w:r>
        <w:rPr>
          <w:rFonts w:hint="eastAsia" w:cs="宋体"/>
          <w:highlight w:val="none"/>
        </w:rPr>
        <w:fldChar w:fldCharType="end"/>
      </w:r>
      <w:r>
        <w:rPr>
          <w:rFonts w:hint="eastAsia" w:eastAsia="宋体" w:cs="宋体"/>
          <w:highlight w:val="none"/>
          <w:lang w:val="en-US" w:eastAsia="zh-CN"/>
        </w:rPr>
        <w:t>6</w:t>
      </w:r>
    </w:p>
    <w:p w14:paraId="0F571207">
      <w:pPr>
        <w:pStyle w:val="11"/>
        <w:tabs>
          <w:tab w:val="right" w:leader="dot" w:pos="9638"/>
        </w:tabs>
        <w:rPr>
          <w:rFonts w:hint="default"/>
          <w:lang w:val="en-US" w:eastAsia="zh-CN"/>
        </w:rPr>
      </w:pPr>
      <w:r>
        <w:rPr>
          <w:rFonts w:hint="eastAsia" w:cs="宋体"/>
          <w:highlight w:val="none"/>
        </w:rPr>
        <w:fldChar w:fldCharType="begin"/>
      </w:r>
      <w:r>
        <w:rPr>
          <w:rFonts w:hint="eastAsia" w:cs="宋体"/>
          <w:highlight w:val="none"/>
        </w:rPr>
        <w:instrText xml:space="preserve"> HYPERLINK \l _Toc29973 </w:instrText>
      </w:r>
      <w:r>
        <w:rPr>
          <w:rFonts w:hint="eastAsia" w:cs="宋体"/>
          <w:highlight w:val="none"/>
        </w:rPr>
        <w:fldChar w:fldCharType="separate"/>
      </w:r>
      <w:r>
        <w:rPr>
          <w:rFonts w:hint="eastAsia" w:cs="宋体"/>
          <w:highlight w:val="none"/>
          <w:lang w:eastAsia="zh-CN"/>
        </w:rPr>
        <w:t>第</w:t>
      </w:r>
      <w:r>
        <w:rPr>
          <w:rFonts w:hint="eastAsia" w:cs="宋体"/>
          <w:highlight w:val="none"/>
          <w:lang w:val="en-US" w:eastAsia="zh-CN"/>
        </w:rPr>
        <w:t>六</w:t>
      </w:r>
      <w:r>
        <w:rPr>
          <w:rFonts w:hint="eastAsia" w:cs="宋体"/>
          <w:highlight w:val="none"/>
          <w:lang w:eastAsia="zh-CN"/>
        </w:rPr>
        <w:t>章</w:t>
      </w:r>
      <w:r>
        <w:rPr>
          <w:rFonts w:hint="eastAsia" w:cs="宋体"/>
          <w:highlight w:val="none"/>
          <w:lang w:val="en-US" w:eastAsia="zh-CN"/>
        </w:rPr>
        <w:t xml:space="preserve"> 评审标准</w:t>
      </w:r>
      <w:r>
        <w:rPr>
          <w:highlight w:val="none"/>
        </w:rPr>
        <w:tab/>
      </w:r>
      <w:r>
        <w:rPr>
          <w:rFonts w:hint="eastAsia" w:cs="宋体"/>
          <w:highlight w:val="none"/>
        </w:rPr>
        <w:fldChar w:fldCharType="end"/>
      </w:r>
      <w:r>
        <w:rPr>
          <w:rFonts w:hint="eastAsia" w:cs="宋体"/>
          <w:highlight w:val="none"/>
          <w:lang w:val="en-US" w:eastAsia="zh-CN"/>
        </w:rPr>
        <w:t>42</w:t>
      </w:r>
    </w:p>
    <w:p w14:paraId="33CCCCC6">
      <w:pPr>
        <w:pStyle w:val="11"/>
        <w:tabs>
          <w:tab w:val="right" w:leader="dot" w:pos="9638"/>
        </w:tabs>
        <w:rPr>
          <w:rFonts w:hint="eastAsia"/>
          <w:lang w:val="en-US" w:eastAsia="zh-CN"/>
        </w:rPr>
      </w:pPr>
      <w:r>
        <w:rPr>
          <w:rFonts w:hint="eastAsia" w:cs="宋体"/>
          <w:highlight w:val="none"/>
        </w:rPr>
        <w:fldChar w:fldCharType="end"/>
      </w:r>
      <w:r>
        <w:rPr>
          <w:rFonts w:hint="eastAsia" w:cs="宋体"/>
          <w:highlight w:val="none"/>
        </w:rPr>
        <w:fldChar w:fldCharType="begin"/>
      </w:r>
      <w:r>
        <w:rPr>
          <w:rFonts w:hint="eastAsia" w:cs="宋体"/>
          <w:highlight w:val="none"/>
        </w:rPr>
        <w:instrText xml:space="preserve"> HYPERLINK \l _Toc29973 </w:instrText>
      </w:r>
      <w:r>
        <w:rPr>
          <w:rFonts w:hint="eastAsia" w:cs="宋体"/>
          <w:highlight w:val="none"/>
        </w:rPr>
        <w:fldChar w:fldCharType="separate"/>
      </w:r>
      <w:r>
        <w:rPr>
          <w:rFonts w:hint="eastAsia" w:cs="宋体"/>
          <w:highlight w:val="none"/>
          <w:lang w:eastAsia="zh-CN"/>
        </w:rPr>
        <w:t>第</w:t>
      </w:r>
      <w:r>
        <w:rPr>
          <w:rFonts w:hint="eastAsia" w:cs="宋体"/>
          <w:highlight w:val="none"/>
          <w:lang w:val="en-US" w:eastAsia="zh-CN"/>
        </w:rPr>
        <w:t>七</w:t>
      </w:r>
      <w:r>
        <w:rPr>
          <w:rFonts w:hint="eastAsia" w:cs="宋体"/>
          <w:highlight w:val="none"/>
          <w:lang w:eastAsia="zh-CN"/>
        </w:rPr>
        <w:t>章</w:t>
      </w:r>
      <w:r>
        <w:rPr>
          <w:rFonts w:hint="eastAsia" w:cs="宋体"/>
          <w:highlight w:val="none"/>
          <w:lang w:val="en-US" w:eastAsia="zh-CN"/>
        </w:rPr>
        <w:t xml:space="preserve"> 响应文件格式</w:t>
      </w:r>
      <w:r>
        <w:rPr>
          <w:highlight w:val="none"/>
        </w:rPr>
        <w:tab/>
      </w:r>
      <w:r>
        <w:rPr>
          <w:rFonts w:hint="eastAsia" w:cs="宋体"/>
          <w:highlight w:val="none"/>
        </w:rPr>
        <w:fldChar w:fldCharType="end"/>
      </w:r>
      <w:r>
        <w:rPr>
          <w:rFonts w:hint="eastAsia" w:cs="宋体"/>
          <w:highlight w:val="none"/>
          <w:lang w:val="en-US" w:eastAsia="zh-CN"/>
        </w:rPr>
        <w:t>47</w:t>
      </w:r>
    </w:p>
    <w:p w14:paraId="25FDB99C">
      <w:pPr>
        <w:ind w:firstLine="560"/>
        <w:jc w:val="center"/>
        <w:outlineLvl w:val="0"/>
        <w:rPr>
          <w:rFonts w:hint="eastAsia" w:cs="宋体"/>
          <w:b/>
          <w:sz w:val="44"/>
          <w:highlight w:val="none"/>
        </w:rPr>
      </w:pPr>
    </w:p>
    <w:p w14:paraId="2FDD3C9B">
      <w:pPr>
        <w:ind w:firstLine="883"/>
        <w:jc w:val="center"/>
        <w:outlineLvl w:val="0"/>
        <w:rPr>
          <w:rFonts w:hint="eastAsia" w:cs="宋体"/>
          <w:b/>
          <w:sz w:val="44"/>
          <w:highlight w:val="none"/>
        </w:rPr>
      </w:pPr>
    </w:p>
    <w:p w14:paraId="3FF7CD0D">
      <w:pPr>
        <w:ind w:firstLine="883"/>
        <w:jc w:val="center"/>
        <w:outlineLvl w:val="0"/>
        <w:rPr>
          <w:rFonts w:hint="eastAsia" w:cs="宋体"/>
          <w:b/>
          <w:sz w:val="44"/>
          <w:highlight w:val="none"/>
        </w:rPr>
      </w:pPr>
    </w:p>
    <w:p w14:paraId="33352832">
      <w:pPr>
        <w:ind w:firstLine="883"/>
        <w:jc w:val="center"/>
        <w:outlineLvl w:val="0"/>
        <w:rPr>
          <w:rFonts w:hint="eastAsia" w:cs="宋体"/>
          <w:b/>
          <w:sz w:val="44"/>
          <w:highlight w:val="none"/>
        </w:rPr>
      </w:pPr>
    </w:p>
    <w:p w14:paraId="2EFD6E27">
      <w:pPr>
        <w:ind w:firstLine="883"/>
        <w:jc w:val="center"/>
        <w:outlineLvl w:val="0"/>
        <w:rPr>
          <w:rFonts w:hint="eastAsia" w:cs="宋体"/>
          <w:b/>
          <w:sz w:val="44"/>
          <w:highlight w:val="none"/>
        </w:rPr>
      </w:pPr>
    </w:p>
    <w:p w14:paraId="5DF6FFBF">
      <w:pPr>
        <w:ind w:firstLine="883"/>
        <w:jc w:val="center"/>
        <w:outlineLvl w:val="0"/>
        <w:rPr>
          <w:rFonts w:hint="eastAsia" w:cs="宋体"/>
          <w:b/>
          <w:sz w:val="44"/>
          <w:highlight w:val="none"/>
        </w:rPr>
      </w:pPr>
    </w:p>
    <w:p w14:paraId="2523FABE">
      <w:pPr>
        <w:ind w:firstLine="883"/>
        <w:jc w:val="center"/>
        <w:outlineLvl w:val="0"/>
        <w:rPr>
          <w:rFonts w:hint="eastAsia" w:cs="宋体"/>
          <w:b/>
          <w:sz w:val="44"/>
          <w:highlight w:val="none"/>
        </w:rPr>
      </w:pPr>
    </w:p>
    <w:p w14:paraId="0FCA7179">
      <w:pPr>
        <w:ind w:firstLine="883"/>
        <w:jc w:val="center"/>
        <w:outlineLvl w:val="0"/>
        <w:rPr>
          <w:rFonts w:hint="eastAsia" w:cs="宋体"/>
          <w:b/>
          <w:sz w:val="44"/>
          <w:highlight w:val="none"/>
        </w:rPr>
      </w:pPr>
    </w:p>
    <w:p w14:paraId="5BC78BF1">
      <w:pPr>
        <w:pStyle w:val="12"/>
        <w:rPr>
          <w:rFonts w:hint="eastAsia" w:cs="宋体"/>
          <w:b/>
          <w:sz w:val="44"/>
          <w:highlight w:val="none"/>
        </w:rPr>
      </w:pPr>
    </w:p>
    <w:p w14:paraId="4EFEE671">
      <w:pPr>
        <w:pStyle w:val="12"/>
        <w:rPr>
          <w:rFonts w:hint="eastAsia" w:cs="宋体"/>
          <w:b/>
          <w:sz w:val="44"/>
          <w:highlight w:val="none"/>
        </w:rPr>
      </w:pPr>
    </w:p>
    <w:p w14:paraId="0DE75212">
      <w:pPr>
        <w:pStyle w:val="3"/>
        <w:keepNext/>
        <w:keepLines/>
        <w:pageBreakBefore w:val="0"/>
        <w:widowControl w:val="0"/>
        <w:numPr>
          <w:ilvl w:val="0"/>
          <w:numId w:val="0"/>
        </w:numPr>
        <w:kinsoku/>
        <w:wordWrap/>
        <w:overflowPunct/>
        <w:topLinePunct w:val="0"/>
        <w:autoSpaceDE/>
        <w:autoSpaceDN/>
        <w:bidi w:val="0"/>
        <w:adjustRightInd/>
        <w:snapToGrid/>
        <w:spacing w:line="540" w:lineRule="exact"/>
        <w:ind w:leftChars="200"/>
        <w:jc w:val="center"/>
        <w:textAlignment w:val="auto"/>
        <w:rPr>
          <w:rFonts w:hint="eastAsia" w:ascii="宋体" w:hAnsi="宋体" w:eastAsia="宋体" w:cs="宋体"/>
          <w:b/>
          <w:bCs/>
          <w:kern w:val="44"/>
          <w:sz w:val="40"/>
          <w:szCs w:val="52"/>
          <w:highlight w:val="none"/>
          <w:lang w:val="en-US" w:eastAsia="zh-CN" w:bidi="ar-SA"/>
        </w:rPr>
        <w:sectPr>
          <w:headerReference r:id="rId5" w:type="default"/>
          <w:footerReference r:id="rId6" w:type="default"/>
          <w:pgSz w:w="11906" w:h="16838"/>
          <w:pgMar w:top="1134" w:right="1134" w:bottom="1213" w:left="1134" w:header="851" w:footer="992" w:gutter="0"/>
          <w:pgNumType w:fmt="decimal" w:start="1"/>
          <w:cols w:space="720" w:num="1"/>
          <w:docGrid w:type="lines" w:linePitch="312" w:charSpace="0"/>
        </w:sectPr>
      </w:pPr>
      <w:bookmarkStart w:id="0" w:name="_Toc20823274"/>
      <w:bookmarkStart w:id="1" w:name="_Toc1926"/>
      <w:bookmarkStart w:id="2" w:name="_Toc16938518"/>
      <w:bookmarkStart w:id="3" w:name="_Toc513029202"/>
      <w:bookmarkStart w:id="4" w:name="_Toc403987204"/>
      <w:bookmarkStart w:id="5" w:name="_Toc120614213"/>
      <w:bookmarkStart w:id="6" w:name="_Toc28735"/>
      <w:bookmarkStart w:id="7" w:name="_Toc15712"/>
    </w:p>
    <w:p w14:paraId="5E6F1545">
      <w:pPr>
        <w:pStyle w:val="3"/>
        <w:keepNext/>
        <w:keepLines/>
        <w:pageBreakBefore w:val="0"/>
        <w:widowControl w:val="0"/>
        <w:numPr>
          <w:ilvl w:val="0"/>
          <w:numId w:val="0"/>
        </w:numPr>
        <w:kinsoku/>
        <w:wordWrap/>
        <w:overflowPunct/>
        <w:topLinePunct w:val="0"/>
        <w:autoSpaceDE/>
        <w:autoSpaceDN/>
        <w:bidi w:val="0"/>
        <w:adjustRightInd/>
        <w:snapToGrid/>
        <w:spacing w:line="540" w:lineRule="exact"/>
        <w:ind w:leftChars="200"/>
        <w:jc w:val="center"/>
        <w:textAlignment w:val="auto"/>
        <w:rPr>
          <w:rFonts w:hint="eastAsia"/>
          <w:highlight w:val="none"/>
          <w:lang w:val="en-US" w:eastAsia="zh-CN"/>
        </w:rPr>
      </w:pPr>
      <w:r>
        <w:rPr>
          <w:rFonts w:hint="eastAsia" w:ascii="宋体" w:hAnsi="宋体" w:eastAsia="宋体" w:cs="宋体"/>
          <w:b/>
          <w:bCs/>
          <w:kern w:val="44"/>
          <w:sz w:val="40"/>
          <w:szCs w:val="52"/>
          <w:highlight w:val="none"/>
          <w:lang w:val="en-US" w:eastAsia="zh-CN" w:bidi="ar-SA"/>
        </w:rPr>
        <w:t xml:space="preserve">第一章  竞争性磋商公告 </w:t>
      </w:r>
      <w:r>
        <w:rPr>
          <w:rFonts w:hint="eastAsia" w:ascii="宋体" w:hAnsi="宋体" w:eastAsia="宋体" w:cs="宋体"/>
          <w:b/>
          <w:bCs/>
          <w:kern w:val="44"/>
          <w:sz w:val="32"/>
          <w:szCs w:val="44"/>
          <w:highlight w:val="none"/>
          <w:lang w:val="en-US" w:eastAsia="zh-CN" w:bidi="ar-SA"/>
        </w:rPr>
        <w:t xml:space="preserve"> </w:t>
      </w:r>
      <w:r>
        <w:rPr>
          <w:rFonts w:hint="eastAsia" w:cs="宋体"/>
          <w:b w:val="0"/>
          <w:bCs w:val="0"/>
          <w:sz w:val="36"/>
          <w:szCs w:val="36"/>
          <w:highlight w:val="none"/>
        </w:rPr>
        <w:t xml:space="preserve">  </w:t>
      </w:r>
      <w:bookmarkStart w:id="8" w:name="_Toc7460"/>
    </w:p>
    <w:p w14:paraId="4E5C4A52">
      <w:pPr>
        <w:widowControl/>
        <w:numPr>
          <w:ilvl w:val="0"/>
          <w:numId w:val="0"/>
        </w:numPr>
        <w:adjustRightInd/>
        <w:spacing w:line="480" w:lineRule="exact"/>
        <w:jc w:val="center"/>
        <w:textAlignment w:val="auto"/>
        <w:rPr>
          <w:rFonts w:hint="eastAsia" w:ascii="宋体" w:hAnsi="宋体" w:cs="宋体"/>
          <w:b/>
          <w:bCs/>
          <w:kern w:val="44"/>
          <w:sz w:val="36"/>
          <w:szCs w:val="48"/>
          <w:highlight w:val="none"/>
          <w:lang w:val="en-US" w:eastAsia="zh-CN" w:bidi="ar-SA"/>
        </w:rPr>
      </w:pPr>
    </w:p>
    <w:p w14:paraId="54C8B22F">
      <w:pPr>
        <w:widowControl/>
        <w:numPr>
          <w:ilvl w:val="0"/>
          <w:numId w:val="0"/>
        </w:numPr>
        <w:adjustRightInd/>
        <w:spacing w:line="480" w:lineRule="exact"/>
        <w:jc w:val="center"/>
        <w:textAlignment w:val="auto"/>
        <w:rPr>
          <w:rFonts w:hint="eastAsia" w:cs="宋体"/>
          <w:b/>
          <w:bCs/>
          <w:sz w:val="40"/>
          <w:szCs w:val="40"/>
          <w:highlight w:val="none"/>
        </w:rPr>
      </w:pPr>
      <w:r>
        <w:rPr>
          <w:rFonts w:hint="eastAsia" w:ascii="宋体" w:hAnsi="宋体" w:cs="宋体"/>
          <w:b/>
          <w:bCs/>
          <w:kern w:val="44"/>
          <w:sz w:val="36"/>
          <w:szCs w:val="48"/>
          <w:highlight w:val="none"/>
          <w:lang w:val="en-US" w:eastAsia="zh-CN" w:bidi="ar-SA"/>
        </w:rPr>
        <w:t xml:space="preserve">呼图壁县重点危险区域城镇住宅建筑抗震鉴定项目（服务）竞争性磋商公告  </w:t>
      </w:r>
      <w:r>
        <w:rPr>
          <w:rFonts w:hint="eastAsia" w:cs="宋体"/>
          <w:b/>
          <w:bCs/>
          <w:sz w:val="40"/>
          <w:szCs w:val="40"/>
          <w:highlight w:val="none"/>
        </w:rPr>
        <w:t xml:space="preserve">  </w:t>
      </w:r>
    </w:p>
    <w:p w14:paraId="3E3F217B">
      <w:pPr>
        <w:widowControl/>
        <w:numPr>
          <w:ilvl w:val="0"/>
          <w:numId w:val="0"/>
        </w:numPr>
        <w:adjustRightInd/>
        <w:spacing w:line="480" w:lineRule="exact"/>
        <w:jc w:val="both"/>
        <w:textAlignment w:val="auto"/>
        <w:rPr>
          <w:rFonts w:hint="eastAsia" w:ascii="仿宋" w:hAnsi="仿宋" w:eastAsia="仿宋" w:cs="仿宋"/>
          <w:b/>
          <w:kern w:val="2"/>
          <w:sz w:val="32"/>
          <w:szCs w:val="24"/>
          <w:highlight w:val="none"/>
          <w:lang w:val="zh-CN" w:eastAsia="zh-CN" w:bidi="ar-SA"/>
        </w:rPr>
      </w:pPr>
      <w:r>
        <w:rPr>
          <w:rFonts w:hint="eastAsia" w:cs="宋体"/>
          <w:b/>
          <w:bCs/>
          <w:sz w:val="36"/>
          <w:szCs w:val="36"/>
          <w:highlight w:val="none"/>
        </w:rPr>
        <w:t xml:space="preserve">  </w:t>
      </w:r>
      <w:r>
        <w:rPr>
          <w:rFonts w:hint="eastAsia" w:cs="宋体"/>
          <w:sz w:val="24"/>
          <w:szCs w:val="24"/>
          <w:highlight w:val="none"/>
        </w:rPr>
        <w:t xml:space="preserve">  </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1"/>
      </w:tblGrid>
      <w:tr w14:paraId="0A912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01" w:type="dxa"/>
            <w:noWrap w:val="0"/>
            <w:vAlign w:val="top"/>
          </w:tcPr>
          <w:p w14:paraId="05C92AF0">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leftChars="0" w:right="0" w:firstLine="0" w:firstLineChars="0"/>
              <w:textAlignment w:val="auto"/>
              <w:rPr>
                <w:rFonts w:ascii="仿宋" w:hAnsi="仿宋" w:eastAsia="仿宋" w:cs="仿宋"/>
                <w:i w:val="0"/>
                <w:caps w:val="0"/>
                <w:color w:val="000000"/>
                <w:spacing w:val="0"/>
                <w:sz w:val="27"/>
                <w:szCs w:val="27"/>
                <w:highlight w:val="none"/>
                <w:vertAlign w:val="baseline"/>
              </w:rPr>
            </w:pPr>
            <w:r>
              <w:rPr>
                <w:rFonts w:hint="eastAsia" w:ascii="仿宋" w:hAnsi="仿宋" w:eastAsia="仿宋" w:cs="仿宋"/>
                <w:i w:val="0"/>
                <w:caps w:val="0"/>
                <w:color w:val="000000"/>
                <w:spacing w:val="0"/>
                <w:sz w:val="27"/>
                <w:szCs w:val="27"/>
                <w:highlight w:val="none"/>
                <w:vertAlign w:val="baseline"/>
              </w:rPr>
              <w:t>项目概况</w:t>
            </w:r>
          </w:p>
          <w:p w14:paraId="404A9D4C">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ascii="仿宋" w:hAnsi="仿宋" w:eastAsia="仿宋" w:cs="仿宋"/>
                <w:i w:val="0"/>
                <w:caps w:val="0"/>
                <w:color w:val="000000"/>
                <w:spacing w:val="0"/>
                <w:sz w:val="27"/>
                <w:szCs w:val="27"/>
                <w:highlight w:val="none"/>
                <w:vertAlign w:val="baseline"/>
              </w:rPr>
            </w:pPr>
            <w:r>
              <w:rPr>
                <w:rFonts w:hint="eastAsia" w:ascii="仿宋" w:hAnsi="仿宋" w:eastAsia="仿宋" w:cs="仿宋"/>
                <w:i w:val="0"/>
                <w:caps w:val="0"/>
                <w:color w:val="000000"/>
                <w:spacing w:val="0"/>
                <w:sz w:val="27"/>
                <w:szCs w:val="27"/>
                <w:highlight w:val="none"/>
                <w:vertAlign w:val="baseline"/>
              </w:rPr>
              <w:t xml:space="preserve"> </w:t>
            </w:r>
            <w:r>
              <w:rPr>
                <w:rFonts w:hint="eastAsia" w:ascii="仿宋" w:hAnsi="仿宋" w:eastAsia="仿宋" w:cs="仿宋"/>
                <w:kern w:val="0"/>
                <w:sz w:val="28"/>
                <w:szCs w:val="28"/>
                <w:highlight w:val="none"/>
                <w:u w:val="single"/>
                <w:lang w:val="en-US" w:eastAsia="zh-CN" w:bidi="ar-SA"/>
              </w:rPr>
              <w:t>呼图壁县重点危险区域城镇住宅建筑抗震鉴定项目（服务）</w:t>
            </w:r>
            <w:r>
              <w:rPr>
                <w:rFonts w:hint="eastAsia" w:ascii="仿宋" w:hAnsi="仿宋" w:eastAsia="仿宋" w:cs="仿宋"/>
                <w:i w:val="0"/>
                <w:caps w:val="0"/>
                <w:color w:val="000000"/>
                <w:spacing w:val="0"/>
                <w:sz w:val="27"/>
                <w:szCs w:val="27"/>
                <w:highlight w:val="none"/>
                <w:vertAlign w:val="baseline"/>
              </w:rPr>
              <w:t>招标项目的潜在投标人应在</w:t>
            </w:r>
            <w:r>
              <w:rPr>
                <w:rFonts w:ascii="仿宋" w:hAnsi="仿宋" w:eastAsia="仿宋" w:cs="仿宋"/>
                <w:i w:val="0"/>
                <w:iCs w:val="0"/>
                <w:caps w:val="0"/>
                <w:color w:val="000000"/>
                <w:spacing w:val="0"/>
                <w:sz w:val="27"/>
                <w:szCs w:val="27"/>
                <w:highlight w:val="none"/>
                <w:u w:val="single"/>
              </w:rPr>
              <w:t>政采云平台线上</w:t>
            </w:r>
            <w:r>
              <w:rPr>
                <w:rFonts w:hint="eastAsia" w:ascii="仿宋" w:hAnsi="仿宋" w:eastAsia="仿宋" w:cs="仿宋"/>
                <w:i w:val="0"/>
                <w:caps w:val="0"/>
                <w:color w:val="000000"/>
                <w:spacing w:val="0"/>
                <w:sz w:val="27"/>
                <w:szCs w:val="27"/>
                <w:highlight w:val="none"/>
                <w:vertAlign w:val="baseline"/>
              </w:rPr>
              <w:t>获取招标文</w:t>
            </w:r>
            <w:r>
              <w:rPr>
                <w:rFonts w:hint="eastAsia" w:ascii="仿宋" w:hAnsi="仿宋" w:eastAsia="仿宋" w:cs="Times New Roman"/>
                <w:sz w:val="28"/>
                <w:szCs w:val="28"/>
                <w:highlight w:val="none"/>
                <w:lang w:val="en-US" w:eastAsia="zh-CN" w:bidi="ar-SA"/>
              </w:rPr>
              <w:t>件，并于 2026年01月23日10点30分（北京时间）前递交投标文件。</w:t>
            </w:r>
          </w:p>
        </w:tc>
      </w:tr>
    </w:tbl>
    <w:p w14:paraId="0992CA40">
      <w:pPr>
        <w:pStyle w:val="15"/>
        <w:keepNext w:val="0"/>
        <w:keepLines w:val="0"/>
        <w:pageBreakBefore w:val="0"/>
        <w:widowControl/>
        <w:numPr>
          <w:ilvl w:val="0"/>
          <w:numId w:val="2"/>
        </w:numPr>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Style w:val="19"/>
          <w:rFonts w:hint="default" w:ascii="仿宋" w:hAnsi="仿宋" w:eastAsia="仿宋" w:cs="仿宋"/>
          <w:i w:val="0"/>
          <w:caps w:val="0"/>
          <w:color w:val="000000"/>
          <w:spacing w:val="0"/>
          <w:sz w:val="28"/>
          <w:szCs w:val="28"/>
          <w:highlight w:val="none"/>
        </w:rPr>
      </w:pPr>
      <w:r>
        <w:rPr>
          <w:rStyle w:val="19"/>
          <w:rFonts w:hint="default" w:ascii="仿宋" w:hAnsi="仿宋" w:eastAsia="仿宋" w:cs="仿宋"/>
          <w:i w:val="0"/>
          <w:caps w:val="0"/>
          <w:color w:val="000000"/>
          <w:spacing w:val="0"/>
          <w:sz w:val="28"/>
          <w:szCs w:val="28"/>
          <w:highlight w:val="none"/>
        </w:rPr>
        <w:t>项目基本情况</w:t>
      </w:r>
    </w:p>
    <w:p w14:paraId="7A1E62AB">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right="0" w:firstLine="560" w:firstLineChars="200"/>
        <w:jc w:val="left"/>
        <w:textAlignment w:val="auto"/>
        <w:rPr>
          <w:rFonts w:hint="default" w:ascii="仿宋" w:hAnsi="仿宋" w:eastAsia="仿宋" w:cs="仿宋"/>
          <w:b w:val="0"/>
          <w:i w:val="0"/>
          <w:caps w:val="0"/>
          <w:color w:val="000000"/>
          <w:spacing w:val="0"/>
          <w:sz w:val="27"/>
          <w:szCs w:val="27"/>
          <w:highlight w:val="none"/>
          <w:lang w:eastAsia="zh-CN"/>
        </w:rPr>
      </w:pPr>
      <w:r>
        <w:rPr>
          <w:rFonts w:hint="eastAsia" w:ascii="仿宋" w:hAnsi="仿宋" w:eastAsia="仿宋" w:cs="仿宋"/>
          <w:kern w:val="0"/>
          <w:sz w:val="28"/>
          <w:szCs w:val="28"/>
          <w:highlight w:val="none"/>
          <w:lang w:val="en-US" w:eastAsia="zh-CN" w:bidi="ar-SA"/>
        </w:rPr>
        <w:t>项目编号：</w:t>
      </w:r>
      <w:r>
        <w:rPr>
          <w:rFonts w:hint="eastAsia" w:ascii="仿宋" w:hAnsi="仿宋" w:eastAsia="仿宋" w:cs="仿宋"/>
          <w:b w:val="0"/>
          <w:i w:val="0"/>
          <w:caps w:val="0"/>
          <w:color w:val="000000"/>
          <w:spacing w:val="0"/>
          <w:sz w:val="27"/>
          <w:szCs w:val="27"/>
          <w:highlight w:val="none"/>
          <w:lang w:eastAsia="zh-CN"/>
        </w:rPr>
        <w:t>2025-JHJY-ZFCG-21-1</w:t>
      </w:r>
    </w:p>
    <w:p w14:paraId="1CDD04A0">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right="0" w:firstLine="560" w:firstLineChars="200"/>
        <w:jc w:val="left"/>
        <w:textAlignment w:val="auto"/>
        <w:rPr>
          <w:rFonts w:hint="eastAsia"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项目名称：呼图壁县重点危险区域城镇住宅建筑抗震鉴定项目（服务）</w:t>
      </w:r>
    </w:p>
    <w:p w14:paraId="468031F1">
      <w:pPr>
        <w:pStyle w:val="15"/>
        <w:keepNext w:val="0"/>
        <w:keepLines w:val="0"/>
        <w:pageBreakBefore w:val="0"/>
        <w:widowControl/>
        <w:suppressLineNumbers w:val="0"/>
        <w:kinsoku/>
        <w:wordWrap/>
        <w:overflowPunct/>
        <w:topLinePunct w:val="0"/>
        <w:autoSpaceDE/>
        <w:autoSpaceDN/>
        <w:bidi w:val="0"/>
        <w:adjustRightInd w:val="0"/>
        <w:snapToGrid w:val="0"/>
        <w:spacing w:before="75" w:beforeAutospacing="0" w:after="75" w:afterAutospacing="0" w:line="460" w:lineRule="exact"/>
        <w:ind w:right="0" w:firstLine="560" w:firstLineChars="200"/>
        <w:jc w:val="left"/>
        <w:textAlignment w:val="auto"/>
        <w:rPr>
          <w:rFonts w:hint="default"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采购方式：竞争性磋商</w:t>
      </w:r>
    </w:p>
    <w:p w14:paraId="0BEA9A0F">
      <w:pPr>
        <w:pStyle w:val="13"/>
        <w:ind w:left="0" w:leftChars="0" w:firstLine="560" w:firstLineChars="200"/>
        <w:rPr>
          <w:rFonts w:hint="default"/>
          <w:lang w:val="en-US" w:eastAsia="zh-CN"/>
        </w:rPr>
      </w:pPr>
      <w:r>
        <w:rPr>
          <w:rFonts w:hint="eastAsia" w:ascii="仿宋" w:hAnsi="仿宋" w:cs="仿宋"/>
          <w:kern w:val="0"/>
          <w:sz w:val="28"/>
          <w:szCs w:val="28"/>
          <w:highlight w:val="none"/>
          <w:lang w:val="en-US" w:eastAsia="zh-CN" w:bidi="ar-SA"/>
        </w:rPr>
        <w:t>最高限价：15元/每平方米（最终以中标的有效单价＊实际鉴定面积进行结算，最高结算金额不得超过预算总额）</w:t>
      </w:r>
    </w:p>
    <w:p w14:paraId="3975BA4D">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right="0" w:firstLine="280" w:firstLineChars="100"/>
        <w:jc w:val="left"/>
        <w:textAlignment w:val="auto"/>
        <w:rPr>
          <w:rFonts w:hint="eastAsia"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采购需求：对我县种牛场东、西片区及其它存在安全、抗震隐患的住宅进行现场实体检测并分别按栋出具自治区房屋建筑安全与抗震性鉴定报告，初步面积预估4.1万㎡具体以面积为准。</w:t>
      </w:r>
    </w:p>
    <w:p w14:paraId="3A19ED53">
      <w:pPr>
        <w:pStyle w:val="15"/>
        <w:keepNext w:val="0"/>
        <w:keepLines w:val="0"/>
        <w:pageBreakBefore w:val="0"/>
        <w:widowControl/>
        <w:numPr>
          <w:ilvl w:val="0"/>
          <w:numId w:val="0"/>
        </w:numPr>
        <w:suppressLineNumbers w:val="0"/>
        <w:kinsoku/>
        <w:wordWrap/>
        <w:overflowPunct/>
        <w:topLinePunct w:val="0"/>
        <w:autoSpaceDE/>
        <w:autoSpaceDN/>
        <w:bidi w:val="0"/>
        <w:adjustRightInd/>
        <w:snapToGrid/>
        <w:spacing w:before="75" w:beforeAutospacing="0" w:after="75" w:afterAutospacing="0" w:line="460" w:lineRule="exact"/>
        <w:ind w:right="0" w:rightChars="0" w:firstLine="560" w:firstLineChars="200"/>
        <w:jc w:val="left"/>
        <w:textAlignment w:val="auto"/>
        <w:rPr>
          <w:rFonts w:hint="eastAsia"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服务期限：自合同签订之日60天（日历日）（我县种牛场西域春社区、东泉社区平房区土地权属为种牛场有限责任公司，房屋均为满足当时种牛场公司职工住房需求而由居民自行建设，未参照标准图集，房屋结构混杂多样。该片区道路硬化不完善、无排水设施，多数房屋经多年雪水融冻与雨水冲刷，房屋存在失修失养、风化现象。经几十年来房屋买卖、继承、赠与，现居住的产权人多为外来务工人员、低收入群体，无能力改善居住条件，鉴定难度增加。此次鉴定的房屋基本是80-100平方米的平房，所有按照规范标准产生的破坏性检测取样的位置需要由中标单位恢复。此次鉴定房屋因分布广、人员外出务工等原因，需要多次上门走访开展入户检测，以上原因应当予以考虑。）</w:t>
      </w:r>
    </w:p>
    <w:p w14:paraId="1E964A17">
      <w:pPr>
        <w:pStyle w:val="15"/>
        <w:keepNext w:val="0"/>
        <w:keepLines w:val="0"/>
        <w:pageBreakBefore w:val="0"/>
        <w:widowControl/>
        <w:numPr>
          <w:ilvl w:val="0"/>
          <w:numId w:val="0"/>
        </w:numPr>
        <w:suppressLineNumbers w:val="0"/>
        <w:kinsoku/>
        <w:wordWrap/>
        <w:overflowPunct/>
        <w:topLinePunct w:val="0"/>
        <w:autoSpaceDE/>
        <w:autoSpaceDN/>
        <w:bidi w:val="0"/>
        <w:adjustRightInd/>
        <w:snapToGrid/>
        <w:spacing w:before="75" w:beforeAutospacing="0" w:after="75" w:afterAutospacing="0" w:line="460" w:lineRule="exact"/>
        <w:ind w:right="0" w:rightChars="0" w:firstLine="560" w:firstLineChars="200"/>
        <w:jc w:val="left"/>
        <w:textAlignment w:val="auto"/>
        <w:rPr>
          <w:rFonts w:hint="default"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本项目接受联合体投标。</w:t>
      </w:r>
    </w:p>
    <w:p w14:paraId="7D3DD5DA">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Style w:val="19"/>
          <w:rFonts w:hint="default" w:ascii="仿宋" w:hAnsi="仿宋" w:eastAsia="仿宋" w:cs="仿宋"/>
          <w:i w:val="0"/>
          <w:caps w:val="0"/>
          <w:color w:val="000000"/>
          <w:spacing w:val="0"/>
          <w:sz w:val="28"/>
          <w:szCs w:val="28"/>
          <w:highlight w:val="none"/>
        </w:rPr>
      </w:pPr>
      <w:r>
        <w:rPr>
          <w:rStyle w:val="19"/>
          <w:rFonts w:hint="default" w:ascii="仿宋" w:hAnsi="仿宋" w:eastAsia="仿宋" w:cs="仿宋"/>
          <w:i w:val="0"/>
          <w:caps w:val="0"/>
          <w:color w:val="000000"/>
          <w:spacing w:val="0"/>
          <w:sz w:val="28"/>
          <w:szCs w:val="28"/>
          <w:highlight w:val="none"/>
        </w:rPr>
        <w:t> </w:t>
      </w:r>
      <w:r>
        <w:rPr>
          <w:rStyle w:val="19"/>
          <w:rFonts w:hint="eastAsia" w:ascii="仿宋" w:hAnsi="仿宋" w:eastAsia="仿宋" w:cs="仿宋"/>
          <w:i w:val="0"/>
          <w:caps w:val="0"/>
          <w:color w:val="000000"/>
          <w:spacing w:val="0"/>
          <w:sz w:val="28"/>
          <w:szCs w:val="28"/>
          <w:highlight w:val="none"/>
          <w:lang w:eastAsia="zh-CN"/>
        </w:rPr>
        <w:t>二</w:t>
      </w:r>
      <w:r>
        <w:rPr>
          <w:rStyle w:val="19"/>
          <w:rFonts w:hint="default" w:ascii="仿宋" w:hAnsi="仿宋" w:eastAsia="仿宋" w:cs="仿宋"/>
          <w:i w:val="0"/>
          <w:caps w:val="0"/>
          <w:color w:val="000000"/>
          <w:spacing w:val="0"/>
          <w:sz w:val="28"/>
          <w:szCs w:val="28"/>
          <w:highlight w:val="none"/>
        </w:rPr>
        <w:t>、磋商供应商资格要求： </w:t>
      </w:r>
    </w:p>
    <w:p w14:paraId="2F4E7A44">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default"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1、</w:t>
      </w:r>
      <w:r>
        <w:rPr>
          <w:rFonts w:hint="default" w:ascii="仿宋" w:hAnsi="仿宋" w:eastAsia="仿宋" w:cs="仿宋"/>
          <w:kern w:val="0"/>
          <w:sz w:val="28"/>
          <w:szCs w:val="28"/>
          <w:highlight w:val="none"/>
          <w:lang w:val="en-US" w:eastAsia="zh-CN" w:bidi="ar-SA"/>
        </w:rPr>
        <w:t>符合《中华人民共和国政府采购法》第二十二条的相关规定；</w:t>
      </w:r>
    </w:p>
    <w:p w14:paraId="1E75C45C">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eastAsia"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（1）采购政策</w:t>
      </w:r>
    </w:p>
    <w:p w14:paraId="43AB1E10">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eastAsia"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政府采购应当优先采购本国货物、工程和服务，并执行节能产品、环境标志产品、中小企业、残疾人集中就业企业、监狱企业等适宜本项目的政府采购政策。</w:t>
      </w:r>
    </w:p>
    <w:p w14:paraId="372C80B7">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eastAsia"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（2）政策依据</w:t>
      </w:r>
    </w:p>
    <w:p w14:paraId="454976F0">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default"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1）《政府采购促进中小企业发展暂行办法》（财库〔2011〕181号）；（2）《财政部司法部关于政府采购支持监狱企业发展有关问题的通知》（财库〔2014〕68号）；（3）《国务院办公厅关于建立政府强制采购节能产品制度的通知》（国办发〔2007〕51号）；（4）《节能产品政府采购实施意见》（财库[2004]185号）；（5）《环境标志产品政府采购实施的意见》（财库[2006]90号）；（6）《三部门联合发布关于促进残疾人就业政府采购政策的通知》（财库〔2017〕141号） </w:t>
      </w:r>
    </w:p>
    <w:p w14:paraId="79C447EA">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default"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本项目的特定资格要求：</w:t>
      </w:r>
    </w:p>
    <w:p w14:paraId="26FE6079">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eastAsia"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（1）在中华人民共和国境内注册，具有独立法人资格，具有有效的营业执照或“三证合一”的营业执照；</w:t>
      </w:r>
    </w:p>
    <w:p w14:paraId="01AA796E">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eastAsia"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（2）落实政府采购政策需满足的资格要求：本项目专门面向中小微企业</w:t>
      </w:r>
    </w:p>
    <w:p w14:paraId="5E98641D">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eastAsia"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3）供应商须具备建设主管部门颁发的建设工程质量检测机构资质证书检测范围须包含：建筑材料及构配件、主体结构及装饰装修、钢结构、地基基础并同时具备工程设计建筑行业（建筑工程）专业乙级或乙级以上资质及工程勘察专业类（岩土工程（勘察））乙级或乙级以上资质。</w:t>
      </w:r>
    </w:p>
    <w:p w14:paraId="6565ACBE">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eastAsia"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（4）项目负责人须具备一级（含以上）注册结构工程师执业资格及相关中级及以上职称；</w:t>
      </w:r>
    </w:p>
    <w:p w14:paraId="6838937F">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eastAsia"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（5）未被“信用中国”（www.creditchina.gov.cn）列入失信被执行人、重大税收违法案件当事人名单、严重违法失信行为记录名单；</w:t>
      </w:r>
    </w:p>
    <w:p w14:paraId="7A5678C4">
      <w:pPr>
        <w:pStyle w:val="13"/>
        <w:ind w:left="0" w:leftChars="0" w:firstLine="0" w:firstLineChars="0"/>
        <w:rPr>
          <w:rFonts w:hint="eastAsia"/>
          <w:lang w:val="en-US" w:eastAsia="zh-CN"/>
        </w:rPr>
      </w:pPr>
      <w:r>
        <w:rPr>
          <w:rFonts w:hint="eastAsia" w:ascii="仿宋" w:hAnsi="仿宋" w:cs="仿宋"/>
          <w:kern w:val="0"/>
          <w:sz w:val="28"/>
          <w:szCs w:val="28"/>
          <w:highlight w:val="none"/>
          <w:lang w:val="en-US" w:eastAsia="zh-CN" w:bidi="ar-SA"/>
        </w:rPr>
        <w:t>（6）</w:t>
      </w:r>
      <w:r>
        <w:rPr>
          <w:rFonts w:hint="eastAsia" w:ascii="仿宋" w:hAnsi="仿宋" w:eastAsia="仿宋" w:cs="仿宋"/>
          <w:snapToGrid w:val="0"/>
          <w:color w:val="000000"/>
          <w:kern w:val="0"/>
          <w:sz w:val="28"/>
          <w:szCs w:val="28"/>
          <w:highlight w:val="none"/>
          <w:lang w:val="en-US" w:eastAsia="zh-CN" w:bidi="ar-SA"/>
        </w:rPr>
        <w:t>区外检测机构进疆开展检测鉴定业务，须在“新疆工程建设云”平台进行备案登记；区外检测机构进疆备案登记人员须为实际在我区开展检测鉴定的技术人员和注册人员，并应满足国家标准规范对检测鉴定项目技术人员配备要求。</w:t>
      </w:r>
    </w:p>
    <w:p w14:paraId="7E8376D1">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eastAsia"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（7）本次招标接受联合体投标，不接受中介机构投标；</w:t>
      </w:r>
    </w:p>
    <w:p w14:paraId="2D1F693D">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Style w:val="19"/>
          <w:rFonts w:hint="default" w:ascii="仿宋" w:hAnsi="仿宋" w:eastAsia="仿宋" w:cs="仿宋"/>
          <w:i w:val="0"/>
          <w:caps w:val="0"/>
          <w:color w:val="000000"/>
          <w:spacing w:val="0"/>
          <w:sz w:val="28"/>
          <w:szCs w:val="28"/>
          <w:highlight w:val="none"/>
          <w:lang w:val="en-US" w:eastAsia="zh-CN"/>
        </w:rPr>
      </w:pPr>
      <w:r>
        <w:rPr>
          <w:rStyle w:val="19"/>
          <w:rFonts w:hint="default" w:ascii="仿宋" w:hAnsi="仿宋" w:eastAsia="仿宋" w:cs="仿宋"/>
          <w:i w:val="0"/>
          <w:caps w:val="0"/>
          <w:color w:val="000000"/>
          <w:spacing w:val="0"/>
          <w:sz w:val="28"/>
          <w:szCs w:val="28"/>
          <w:highlight w:val="none"/>
          <w:lang w:val="en-US" w:eastAsia="zh-CN"/>
        </w:rPr>
        <w:t>三、获取招标文件</w:t>
      </w:r>
    </w:p>
    <w:p w14:paraId="2ACD5ED5">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default" w:ascii="仿宋" w:hAnsi="仿宋" w:eastAsia="仿宋" w:cs="仿宋"/>
          <w:kern w:val="0"/>
          <w:sz w:val="28"/>
          <w:szCs w:val="28"/>
          <w:highlight w:val="none"/>
          <w:lang w:val="en-US" w:eastAsia="zh-CN" w:bidi="ar-SA"/>
        </w:rPr>
      </w:pPr>
      <w:r>
        <w:rPr>
          <w:rFonts w:hint="default" w:ascii="仿宋" w:hAnsi="仿宋" w:eastAsia="仿宋" w:cs="仿宋"/>
          <w:kern w:val="0"/>
          <w:sz w:val="28"/>
          <w:szCs w:val="28"/>
          <w:highlight w:val="none"/>
          <w:lang w:val="en-US" w:eastAsia="zh-CN" w:bidi="ar-SA"/>
        </w:rPr>
        <w:t>时间：</w:t>
      </w:r>
      <w:r>
        <w:rPr>
          <w:rFonts w:hint="eastAsia" w:ascii="仿宋" w:hAnsi="仿宋" w:eastAsia="仿宋" w:cs="仿宋"/>
          <w:kern w:val="0"/>
          <w:sz w:val="28"/>
          <w:szCs w:val="28"/>
          <w:highlight w:val="none"/>
          <w:lang w:val="en-US" w:eastAsia="zh-CN" w:bidi="ar-SA"/>
        </w:rPr>
        <w:t>2026年01月13日</w:t>
      </w:r>
      <w:r>
        <w:rPr>
          <w:rFonts w:hint="default" w:ascii="仿宋" w:hAnsi="仿宋" w:eastAsia="仿宋" w:cs="仿宋"/>
          <w:kern w:val="0"/>
          <w:sz w:val="28"/>
          <w:szCs w:val="28"/>
          <w:highlight w:val="none"/>
          <w:lang w:val="en-US" w:eastAsia="zh-CN" w:bidi="ar-SA"/>
        </w:rPr>
        <w:t>至</w:t>
      </w:r>
      <w:r>
        <w:rPr>
          <w:rFonts w:hint="eastAsia" w:ascii="仿宋" w:hAnsi="仿宋" w:eastAsia="仿宋" w:cs="仿宋"/>
          <w:kern w:val="0"/>
          <w:sz w:val="28"/>
          <w:szCs w:val="28"/>
          <w:highlight w:val="none"/>
          <w:lang w:val="en-US" w:eastAsia="zh-CN" w:bidi="ar-SA"/>
        </w:rPr>
        <w:t>2026年01月20日</w:t>
      </w:r>
      <w:r>
        <w:rPr>
          <w:rFonts w:hint="default" w:ascii="仿宋" w:hAnsi="仿宋" w:eastAsia="仿宋" w:cs="仿宋"/>
          <w:kern w:val="0"/>
          <w:sz w:val="28"/>
          <w:szCs w:val="28"/>
          <w:highlight w:val="none"/>
          <w:lang w:val="en-US" w:eastAsia="zh-CN" w:bidi="ar-SA"/>
        </w:rPr>
        <w:t>，每天上午</w:t>
      </w:r>
      <w:r>
        <w:rPr>
          <w:rFonts w:hint="eastAsia" w:ascii="仿宋" w:hAnsi="仿宋" w:eastAsia="仿宋" w:cs="仿宋"/>
          <w:kern w:val="0"/>
          <w:sz w:val="28"/>
          <w:szCs w:val="28"/>
          <w:highlight w:val="none"/>
          <w:lang w:val="en-US" w:eastAsia="zh-CN" w:bidi="ar-SA"/>
        </w:rPr>
        <w:t>0:00-23:59</w:t>
      </w:r>
      <w:r>
        <w:rPr>
          <w:rFonts w:hint="default" w:ascii="仿宋" w:hAnsi="仿宋" w:eastAsia="仿宋" w:cs="仿宋"/>
          <w:kern w:val="0"/>
          <w:sz w:val="28"/>
          <w:szCs w:val="28"/>
          <w:highlight w:val="none"/>
          <w:lang w:val="en-US" w:eastAsia="zh-CN" w:bidi="ar-SA"/>
        </w:rPr>
        <w:t>（北京时间）</w:t>
      </w:r>
    </w:p>
    <w:p w14:paraId="68E9D7CA">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default" w:ascii="仿宋" w:hAnsi="仿宋" w:eastAsia="仿宋" w:cs="仿宋"/>
          <w:kern w:val="0"/>
          <w:sz w:val="28"/>
          <w:szCs w:val="28"/>
          <w:highlight w:val="none"/>
          <w:lang w:val="en-US" w:eastAsia="zh-CN" w:bidi="ar-SA"/>
        </w:rPr>
      </w:pPr>
      <w:r>
        <w:rPr>
          <w:rFonts w:hint="default" w:ascii="仿宋" w:hAnsi="仿宋" w:eastAsia="仿宋" w:cs="仿宋"/>
          <w:kern w:val="0"/>
          <w:sz w:val="28"/>
          <w:szCs w:val="28"/>
          <w:highlight w:val="none"/>
          <w:lang w:val="en-US" w:eastAsia="zh-CN" w:bidi="ar-SA"/>
        </w:rPr>
        <w:t>地点：政采云平台线上获取 </w:t>
      </w:r>
    </w:p>
    <w:p w14:paraId="1D0C12A0">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default" w:ascii="仿宋" w:hAnsi="仿宋" w:eastAsia="仿宋" w:cs="仿宋"/>
          <w:kern w:val="0"/>
          <w:sz w:val="28"/>
          <w:szCs w:val="28"/>
          <w:highlight w:val="none"/>
          <w:lang w:val="en-US" w:eastAsia="zh-CN" w:bidi="ar-SA"/>
        </w:rPr>
      </w:pPr>
      <w:r>
        <w:rPr>
          <w:rFonts w:hint="default" w:ascii="仿宋" w:hAnsi="仿宋" w:eastAsia="仿宋" w:cs="仿宋"/>
          <w:kern w:val="0"/>
          <w:sz w:val="28"/>
          <w:szCs w:val="28"/>
          <w:highlight w:val="none"/>
          <w:lang w:val="en-US" w:eastAsia="zh-CN" w:bidi="ar-SA"/>
        </w:rPr>
        <w:t>方式：供应商登录政采云平台https://www.zcygov.cn/在线申请获取采购文件（进入“项目采购”应用，在获取采购文件菜单中选择项目，申请获取采购文件）  </w:t>
      </w:r>
    </w:p>
    <w:p w14:paraId="2FA6529D">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default" w:ascii="仿宋" w:hAnsi="仿宋" w:eastAsia="仿宋" w:cs="仿宋"/>
          <w:kern w:val="0"/>
          <w:sz w:val="28"/>
          <w:szCs w:val="28"/>
          <w:highlight w:val="none"/>
          <w:lang w:val="en-US" w:eastAsia="zh-CN" w:bidi="ar-SA"/>
        </w:rPr>
      </w:pPr>
      <w:r>
        <w:rPr>
          <w:rFonts w:hint="default" w:ascii="仿宋" w:hAnsi="仿宋" w:eastAsia="仿宋" w:cs="仿宋"/>
          <w:kern w:val="0"/>
          <w:sz w:val="28"/>
          <w:szCs w:val="28"/>
          <w:highlight w:val="none"/>
          <w:lang w:val="en-US" w:eastAsia="zh-CN" w:bidi="ar-SA"/>
        </w:rPr>
        <w:t>招标文件费：0元</w:t>
      </w:r>
    </w:p>
    <w:p w14:paraId="4109F17C">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Style w:val="19"/>
          <w:rFonts w:hint="eastAsia" w:ascii="仿宋" w:hAnsi="仿宋" w:eastAsia="仿宋" w:cs="仿宋"/>
          <w:i w:val="0"/>
          <w:caps w:val="0"/>
          <w:color w:val="000000"/>
          <w:spacing w:val="0"/>
          <w:sz w:val="28"/>
          <w:szCs w:val="28"/>
          <w:highlight w:val="none"/>
          <w:lang w:val="en-US" w:eastAsia="zh-CN"/>
        </w:rPr>
      </w:pPr>
      <w:r>
        <w:rPr>
          <w:rStyle w:val="19"/>
          <w:rFonts w:hint="eastAsia" w:ascii="仿宋" w:hAnsi="仿宋" w:eastAsia="仿宋" w:cs="仿宋"/>
          <w:i w:val="0"/>
          <w:caps w:val="0"/>
          <w:color w:val="000000"/>
          <w:spacing w:val="0"/>
          <w:sz w:val="28"/>
          <w:szCs w:val="28"/>
          <w:highlight w:val="none"/>
          <w:lang w:val="en-US" w:eastAsia="zh-CN"/>
        </w:rPr>
        <w:t>四、响应文件提交</w:t>
      </w:r>
    </w:p>
    <w:p w14:paraId="038FBA3C">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eastAsia"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截止时间：2026年01月23日 10点30分（北京时间）</w:t>
      </w:r>
    </w:p>
    <w:p w14:paraId="45D6F583">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eastAsia"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地点：政采云开标大厅（https://www.zcygov.cn在线投标） </w:t>
      </w:r>
    </w:p>
    <w:p w14:paraId="63A426DB">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Style w:val="19"/>
          <w:rFonts w:hint="default" w:ascii="仿宋" w:hAnsi="仿宋" w:eastAsia="仿宋" w:cs="仿宋"/>
          <w:i w:val="0"/>
          <w:caps w:val="0"/>
          <w:color w:val="000000"/>
          <w:spacing w:val="0"/>
          <w:sz w:val="28"/>
          <w:szCs w:val="28"/>
          <w:highlight w:val="none"/>
          <w:lang w:val="en-US" w:eastAsia="zh-CN"/>
        </w:rPr>
      </w:pPr>
      <w:r>
        <w:rPr>
          <w:rStyle w:val="19"/>
          <w:rFonts w:hint="eastAsia" w:ascii="仿宋" w:hAnsi="仿宋" w:eastAsia="仿宋" w:cs="仿宋"/>
          <w:i w:val="0"/>
          <w:caps w:val="0"/>
          <w:color w:val="000000"/>
          <w:spacing w:val="0"/>
          <w:sz w:val="28"/>
          <w:szCs w:val="28"/>
          <w:highlight w:val="none"/>
          <w:lang w:val="en-US" w:eastAsia="zh-CN"/>
        </w:rPr>
        <w:t>五</w:t>
      </w:r>
      <w:r>
        <w:rPr>
          <w:rStyle w:val="19"/>
          <w:rFonts w:hint="default" w:ascii="仿宋" w:hAnsi="仿宋" w:eastAsia="仿宋" w:cs="仿宋"/>
          <w:i w:val="0"/>
          <w:caps w:val="0"/>
          <w:color w:val="000000"/>
          <w:spacing w:val="0"/>
          <w:sz w:val="28"/>
          <w:szCs w:val="28"/>
          <w:highlight w:val="none"/>
          <w:lang w:val="en-US" w:eastAsia="zh-CN"/>
        </w:rPr>
        <w:t>、开标时间和地点</w:t>
      </w:r>
    </w:p>
    <w:p w14:paraId="7DF9F3C4">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default" w:ascii="仿宋" w:hAnsi="仿宋" w:eastAsia="仿宋" w:cs="仿宋"/>
          <w:kern w:val="0"/>
          <w:sz w:val="28"/>
          <w:szCs w:val="28"/>
          <w:highlight w:val="none"/>
          <w:lang w:val="en-US" w:eastAsia="zh-CN" w:bidi="ar-SA"/>
        </w:rPr>
      </w:pPr>
      <w:r>
        <w:rPr>
          <w:rFonts w:hint="default" w:ascii="仿宋" w:hAnsi="仿宋" w:eastAsia="仿宋" w:cs="仿宋"/>
          <w:kern w:val="0"/>
          <w:sz w:val="28"/>
          <w:szCs w:val="28"/>
          <w:highlight w:val="none"/>
          <w:lang w:val="en-US" w:eastAsia="zh-CN" w:bidi="ar-SA"/>
        </w:rPr>
        <w:t>开标时间：</w:t>
      </w:r>
      <w:r>
        <w:rPr>
          <w:rFonts w:hint="eastAsia" w:ascii="仿宋" w:hAnsi="仿宋" w:eastAsia="仿宋" w:cs="仿宋"/>
          <w:kern w:val="0"/>
          <w:sz w:val="28"/>
          <w:szCs w:val="28"/>
          <w:highlight w:val="none"/>
          <w:lang w:val="en-US" w:eastAsia="zh-CN" w:bidi="ar-SA"/>
        </w:rPr>
        <w:t>2026年01月23日 10 点30分（北京时间）</w:t>
      </w:r>
    </w:p>
    <w:p w14:paraId="3C9C4759">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default" w:ascii="仿宋" w:hAnsi="仿宋" w:eastAsia="仿宋" w:cs="仿宋"/>
          <w:kern w:val="0"/>
          <w:sz w:val="28"/>
          <w:szCs w:val="28"/>
          <w:highlight w:val="none"/>
          <w:lang w:val="en-US" w:eastAsia="zh-CN" w:bidi="ar-SA"/>
        </w:rPr>
      </w:pPr>
      <w:r>
        <w:rPr>
          <w:rFonts w:hint="default" w:ascii="仿宋" w:hAnsi="仿宋" w:eastAsia="仿宋" w:cs="仿宋"/>
          <w:kern w:val="0"/>
          <w:sz w:val="28"/>
          <w:szCs w:val="28"/>
          <w:highlight w:val="none"/>
          <w:lang w:val="en-US" w:eastAsia="zh-CN" w:bidi="ar-SA"/>
        </w:rPr>
        <w:t>开标地点：政采云开标大厅（https://www.zcygov.cn）</w:t>
      </w:r>
    </w:p>
    <w:p w14:paraId="7A20D9DE">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Style w:val="19"/>
          <w:rFonts w:hint="default" w:ascii="仿宋" w:hAnsi="仿宋" w:eastAsia="仿宋" w:cs="仿宋"/>
          <w:i w:val="0"/>
          <w:caps w:val="0"/>
          <w:color w:val="000000"/>
          <w:spacing w:val="0"/>
          <w:sz w:val="28"/>
          <w:szCs w:val="28"/>
          <w:highlight w:val="none"/>
          <w:lang w:val="en-US" w:eastAsia="zh-CN"/>
        </w:rPr>
      </w:pPr>
      <w:r>
        <w:rPr>
          <w:rStyle w:val="19"/>
          <w:rFonts w:hint="eastAsia" w:ascii="仿宋" w:hAnsi="仿宋" w:eastAsia="仿宋" w:cs="仿宋"/>
          <w:i w:val="0"/>
          <w:caps w:val="0"/>
          <w:color w:val="000000"/>
          <w:spacing w:val="0"/>
          <w:sz w:val="28"/>
          <w:szCs w:val="28"/>
          <w:highlight w:val="none"/>
          <w:lang w:val="en-US" w:eastAsia="zh-CN"/>
        </w:rPr>
        <w:t>六</w:t>
      </w:r>
      <w:r>
        <w:rPr>
          <w:rStyle w:val="19"/>
          <w:rFonts w:hint="default" w:ascii="仿宋" w:hAnsi="仿宋" w:eastAsia="仿宋" w:cs="仿宋"/>
          <w:i w:val="0"/>
          <w:caps w:val="0"/>
          <w:color w:val="000000"/>
          <w:spacing w:val="0"/>
          <w:sz w:val="28"/>
          <w:szCs w:val="28"/>
          <w:highlight w:val="none"/>
          <w:lang w:val="en-US" w:eastAsia="zh-CN"/>
        </w:rPr>
        <w:t>、公告期限</w:t>
      </w:r>
    </w:p>
    <w:p w14:paraId="61A0C83A">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default" w:ascii="仿宋" w:hAnsi="仿宋" w:eastAsia="仿宋" w:cs="仿宋"/>
          <w:kern w:val="0"/>
          <w:sz w:val="28"/>
          <w:szCs w:val="28"/>
          <w:highlight w:val="none"/>
          <w:lang w:val="en-US" w:eastAsia="zh-CN" w:bidi="ar-SA"/>
        </w:rPr>
      </w:pPr>
      <w:r>
        <w:rPr>
          <w:rFonts w:hint="default" w:ascii="仿宋" w:hAnsi="仿宋" w:eastAsia="仿宋" w:cs="仿宋"/>
          <w:kern w:val="0"/>
          <w:sz w:val="28"/>
          <w:szCs w:val="28"/>
          <w:highlight w:val="none"/>
          <w:lang w:val="en-US" w:eastAsia="zh-CN" w:bidi="ar-SA"/>
        </w:rPr>
        <w:t>自本公告发布之日起</w:t>
      </w:r>
      <w:r>
        <w:rPr>
          <w:rFonts w:hint="eastAsia" w:ascii="仿宋" w:hAnsi="仿宋" w:eastAsia="仿宋" w:cs="仿宋"/>
          <w:kern w:val="0"/>
          <w:sz w:val="28"/>
          <w:szCs w:val="28"/>
          <w:highlight w:val="none"/>
          <w:lang w:val="en-US" w:eastAsia="zh-CN" w:bidi="ar-SA"/>
        </w:rPr>
        <w:t>5</w:t>
      </w:r>
      <w:r>
        <w:rPr>
          <w:rFonts w:hint="default" w:ascii="仿宋" w:hAnsi="仿宋" w:eastAsia="仿宋" w:cs="仿宋"/>
          <w:kern w:val="0"/>
          <w:sz w:val="28"/>
          <w:szCs w:val="28"/>
          <w:highlight w:val="none"/>
          <w:lang w:val="en-US" w:eastAsia="zh-CN" w:bidi="ar-SA"/>
        </w:rPr>
        <w:t>个工作日。</w:t>
      </w:r>
    </w:p>
    <w:p w14:paraId="026A1560">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Style w:val="19"/>
          <w:rFonts w:hint="eastAsia" w:ascii="仿宋" w:hAnsi="仿宋" w:eastAsia="仿宋" w:cs="仿宋"/>
          <w:i w:val="0"/>
          <w:caps w:val="0"/>
          <w:color w:val="000000"/>
          <w:spacing w:val="0"/>
          <w:sz w:val="28"/>
          <w:szCs w:val="28"/>
          <w:highlight w:val="none"/>
          <w:lang w:val="en-US" w:eastAsia="zh-CN"/>
        </w:rPr>
      </w:pPr>
      <w:r>
        <w:rPr>
          <w:rStyle w:val="19"/>
          <w:rFonts w:hint="eastAsia" w:ascii="仿宋" w:hAnsi="仿宋" w:eastAsia="仿宋" w:cs="仿宋"/>
          <w:i w:val="0"/>
          <w:caps w:val="0"/>
          <w:color w:val="000000"/>
          <w:spacing w:val="0"/>
          <w:sz w:val="28"/>
          <w:szCs w:val="28"/>
          <w:highlight w:val="none"/>
          <w:lang w:val="en-US" w:eastAsia="zh-CN"/>
        </w:rPr>
        <w:t>七、</w:t>
      </w:r>
      <w:r>
        <w:rPr>
          <w:rStyle w:val="19"/>
          <w:rFonts w:hint="default" w:ascii="仿宋" w:hAnsi="仿宋" w:eastAsia="仿宋" w:cs="仿宋"/>
          <w:i w:val="0"/>
          <w:caps w:val="0"/>
          <w:color w:val="000000"/>
          <w:spacing w:val="0"/>
          <w:sz w:val="28"/>
          <w:szCs w:val="28"/>
          <w:highlight w:val="none"/>
          <w:lang w:val="en-US" w:eastAsia="zh-CN"/>
        </w:rPr>
        <w:t>其他补充事宜</w:t>
      </w:r>
      <w:r>
        <w:rPr>
          <w:rStyle w:val="19"/>
          <w:rFonts w:hint="eastAsia" w:ascii="仿宋" w:hAnsi="仿宋" w:eastAsia="仿宋" w:cs="仿宋"/>
          <w:i w:val="0"/>
          <w:caps w:val="0"/>
          <w:color w:val="000000"/>
          <w:spacing w:val="0"/>
          <w:sz w:val="28"/>
          <w:szCs w:val="28"/>
          <w:highlight w:val="none"/>
          <w:lang w:val="en-US" w:eastAsia="zh-CN"/>
        </w:rPr>
        <w:t>：</w:t>
      </w:r>
    </w:p>
    <w:p w14:paraId="002C155D">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default"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1、</w:t>
      </w:r>
      <w:r>
        <w:rPr>
          <w:rFonts w:hint="default" w:ascii="仿宋" w:hAnsi="仿宋" w:eastAsia="仿宋" w:cs="仿宋"/>
          <w:kern w:val="0"/>
          <w:sz w:val="28"/>
          <w:szCs w:val="28"/>
          <w:highlight w:val="none"/>
          <w:lang w:val="en-US" w:eastAsia="zh-CN" w:bidi="ar-SA"/>
        </w:rPr>
        <w:t>本次采购采用电子交易方式，电子交易平台为“政府采购云平台（www.zcygov.cn）”。供应商参与本项目电子交易活动前，应注册成为政府采购云平台供应商。编制电子投标文件前还需申领CA证书并绑定帐号，CA申领地址查看网址https://www.xjca.com.cn/article/content/201802/582/1.html，CA服务电话：0991-281-9290。</w:t>
      </w:r>
    </w:p>
    <w:p w14:paraId="514B7772">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eastAsia"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2、供应商编制电子投标文件应安装“电子招投标供应商客户端”软件，并按照本招标文件和电子招投标供应商客户端的要求编制并加密投标文件。未按规定加密的投标文件，将被电子招投标供应商客户端拒收。“电子招投标供应商客户端”请供应商自行前往“新疆政府采购网—下载专区—新疆维吾尔自治区全流程电子招投标项目管理系统--电子招投标供应商客户端”版块获取。</w:t>
      </w:r>
    </w:p>
    <w:p w14:paraId="56441EF1">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eastAsia"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3、投标人应当在投标截止时间前，将“电子招投标供应商客户端”生成的“电子加密投标文件”上传电子交易平台。</w:t>
      </w:r>
    </w:p>
    <w:p w14:paraId="465716D8">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Style w:val="19"/>
          <w:rFonts w:ascii="黑体" w:hAnsi="宋体" w:eastAsia="黑体" w:cs="黑体"/>
          <w:i w:val="0"/>
          <w:caps w:val="0"/>
          <w:color w:val="000000"/>
          <w:spacing w:val="0"/>
          <w:sz w:val="27"/>
          <w:szCs w:val="27"/>
          <w:highlight w:val="none"/>
        </w:rPr>
      </w:pPr>
      <w:r>
        <w:rPr>
          <w:rFonts w:hint="eastAsia" w:ascii="仿宋" w:hAnsi="仿宋" w:eastAsia="仿宋" w:cs="仿宋"/>
          <w:kern w:val="0"/>
          <w:sz w:val="28"/>
          <w:szCs w:val="28"/>
          <w:highlight w:val="none"/>
          <w:lang w:val="en-US" w:eastAsia="zh-CN" w:bidi="ar-SA"/>
        </w:rPr>
        <w:t>4、服务与支持。各政府采购代理机构（含集采机构）及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政采云热线人工号码：400-881-7190（工作时间：工作日08:00~20：00）。  </w:t>
      </w:r>
    </w:p>
    <w:p w14:paraId="1D3CD9B1">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Style w:val="19"/>
          <w:rFonts w:hint="eastAsia" w:ascii="仿宋" w:hAnsi="仿宋" w:eastAsia="仿宋" w:cs="仿宋"/>
          <w:i w:val="0"/>
          <w:caps w:val="0"/>
          <w:color w:val="000000"/>
          <w:spacing w:val="0"/>
          <w:sz w:val="28"/>
          <w:szCs w:val="28"/>
          <w:highlight w:val="none"/>
          <w:lang w:val="en-US" w:eastAsia="zh-CN"/>
        </w:rPr>
      </w:pPr>
      <w:r>
        <w:rPr>
          <w:rStyle w:val="19"/>
          <w:rFonts w:hint="eastAsia" w:ascii="仿宋" w:hAnsi="仿宋" w:eastAsia="仿宋" w:cs="仿宋"/>
          <w:i w:val="0"/>
          <w:caps w:val="0"/>
          <w:color w:val="000000"/>
          <w:spacing w:val="0"/>
          <w:sz w:val="28"/>
          <w:szCs w:val="28"/>
          <w:highlight w:val="none"/>
          <w:lang w:val="en-US" w:eastAsia="zh-CN"/>
        </w:rPr>
        <w:t>八、对本次采购提出询问，请按以下方式联系</w:t>
      </w:r>
    </w:p>
    <w:p w14:paraId="70594509">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eastAsia"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1.采购人信息</w:t>
      </w:r>
    </w:p>
    <w:p w14:paraId="5F86C19D">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eastAsia"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招标人：呼图壁县住房和城乡建设局</w:t>
      </w:r>
    </w:p>
    <w:p w14:paraId="3FA204F2">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eastAsia"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联系方式：</w:t>
      </w:r>
      <w:bookmarkStart w:id="9" w:name="_Toc28359086"/>
      <w:bookmarkStart w:id="10" w:name="_Toc28359009"/>
      <w:r>
        <w:rPr>
          <w:rFonts w:hint="eastAsia" w:ascii="仿宋" w:hAnsi="仿宋" w:eastAsia="仿宋" w:cs="仿宋"/>
          <w:kern w:val="0"/>
          <w:sz w:val="28"/>
          <w:szCs w:val="28"/>
          <w:highlight w:val="none"/>
          <w:lang w:val="en-US" w:eastAsia="zh-CN" w:bidi="ar-SA"/>
        </w:rPr>
        <w:t xml:space="preserve">15899121635 </w:t>
      </w:r>
    </w:p>
    <w:p w14:paraId="61E23338">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eastAsia"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2.采购代理机构信息</w:t>
      </w:r>
      <w:bookmarkEnd w:id="9"/>
      <w:bookmarkEnd w:id="10"/>
    </w:p>
    <w:p w14:paraId="52DDBE16">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eastAsia"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招标代理机构名称：呼图壁县锦华建业工程项目管理有限公司  </w:t>
      </w:r>
    </w:p>
    <w:p w14:paraId="722D9A01">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eastAsia"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联系人：李东</w:t>
      </w:r>
    </w:p>
    <w:p w14:paraId="172466DA">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default"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联系电话：17699229943</w:t>
      </w:r>
    </w:p>
    <w:p w14:paraId="165E3633">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0"/>
        <w:jc w:val="left"/>
        <w:textAlignment w:val="auto"/>
        <w:rPr>
          <w:rFonts w:hint="eastAsia"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地址：呼图壁县如意家园南区物业办公楼二楼　　</w:t>
      </w:r>
    </w:p>
    <w:p w14:paraId="1E7ABC4A">
      <w:pPr>
        <w:pStyle w:val="12"/>
        <w:ind w:left="0" w:leftChars="0" w:firstLine="0" w:firstLineChars="0"/>
        <w:rPr>
          <w:rFonts w:hint="eastAsia"/>
          <w:highlight w:val="none"/>
          <w:lang w:eastAsia="zh-CN"/>
        </w:rPr>
      </w:pPr>
    </w:p>
    <w:p w14:paraId="75BFAC83">
      <w:pPr>
        <w:pStyle w:val="12"/>
        <w:ind w:left="0" w:leftChars="0" w:firstLine="0" w:firstLineChars="0"/>
        <w:rPr>
          <w:rFonts w:hint="eastAsia"/>
          <w:highlight w:val="none"/>
          <w:lang w:eastAsia="zh-CN"/>
        </w:rPr>
      </w:pPr>
    </w:p>
    <w:p w14:paraId="44CA6AAE">
      <w:pPr>
        <w:pStyle w:val="12"/>
        <w:ind w:left="0" w:leftChars="0" w:firstLine="0" w:firstLineChars="0"/>
        <w:rPr>
          <w:rFonts w:hint="eastAsia"/>
          <w:highlight w:val="none"/>
          <w:lang w:eastAsia="zh-CN"/>
        </w:rPr>
      </w:pPr>
    </w:p>
    <w:p w14:paraId="272665EC">
      <w:pPr>
        <w:pStyle w:val="12"/>
        <w:ind w:left="0" w:leftChars="0" w:firstLine="0" w:firstLineChars="0"/>
        <w:rPr>
          <w:rFonts w:hint="eastAsia"/>
          <w:highlight w:val="none"/>
          <w:lang w:eastAsia="zh-CN"/>
        </w:rPr>
      </w:pPr>
    </w:p>
    <w:p w14:paraId="78F800C0">
      <w:pPr>
        <w:pStyle w:val="12"/>
        <w:ind w:left="0" w:leftChars="0" w:firstLine="0" w:firstLineChars="0"/>
        <w:rPr>
          <w:rFonts w:hint="eastAsia"/>
          <w:highlight w:val="none"/>
          <w:lang w:eastAsia="zh-CN"/>
        </w:rPr>
      </w:pPr>
    </w:p>
    <w:p w14:paraId="49316704">
      <w:pPr>
        <w:pStyle w:val="12"/>
        <w:ind w:left="0" w:leftChars="0" w:firstLine="0" w:firstLineChars="0"/>
        <w:rPr>
          <w:rFonts w:hint="eastAsia"/>
          <w:highlight w:val="none"/>
          <w:lang w:eastAsia="zh-CN"/>
        </w:rPr>
      </w:pPr>
    </w:p>
    <w:p w14:paraId="799AE96D">
      <w:pPr>
        <w:pStyle w:val="12"/>
        <w:ind w:left="0" w:leftChars="0" w:firstLine="0" w:firstLineChars="0"/>
        <w:rPr>
          <w:rFonts w:hint="eastAsia"/>
          <w:highlight w:val="none"/>
          <w:lang w:eastAsia="zh-CN"/>
        </w:rPr>
      </w:pPr>
    </w:p>
    <w:p w14:paraId="0A39B2C2">
      <w:pPr>
        <w:pStyle w:val="12"/>
        <w:ind w:left="0" w:leftChars="0" w:firstLine="0" w:firstLineChars="0"/>
        <w:rPr>
          <w:rFonts w:hint="eastAsia"/>
          <w:highlight w:val="none"/>
          <w:lang w:eastAsia="zh-CN"/>
        </w:rPr>
      </w:pPr>
    </w:p>
    <w:p w14:paraId="46D25420">
      <w:pPr>
        <w:pStyle w:val="12"/>
        <w:ind w:left="0" w:leftChars="0" w:firstLine="0" w:firstLineChars="0"/>
        <w:rPr>
          <w:rFonts w:hint="eastAsia"/>
          <w:highlight w:val="none"/>
          <w:lang w:eastAsia="zh-CN"/>
        </w:rPr>
      </w:pPr>
    </w:p>
    <w:p w14:paraId="6CED0985">
      <w:pPr>
        <w:pStyle w:val="12"/>
        <w:ind w:left="0" w:leftChars="0" w:firstLine="0" w:firstLineChars="0"/>
        <w:rPr>
          <w:rFonts w:hint="eastAsia"/>
          <w:highlight w:val="none"/>
          <w:lang w:eastAsia="zh-CN"/>
        </w:rPr>
      </w:pPr>
    </w:p>
    <w:p w14:paraId="026F2F48">
      <w:pPr>
        <w:pStyle w:val="12"/>
        <w:ind w:left="0" w:leftChars="0" w:firstLine="0" w:firstLineChars="0"/>
        <w:rPr>
          <w:rFonts w:hint="eastAsia"/>
          <w:highlight w:val="none"/>
          <w:lang w:eastAsia="zh-CN"/>
        </w:rPr>
      </w:pPr>
    </w:p>
    <w:p w14:paraId="4546F50E">
      <w:pPr>
        <w:pStyle w:val="12"/>
        <w:ind w:left="0" w:leftChars="0" w:firstLine="0" w:firstLineChars="0"/>
        <w:rPr>
          <w:rFonts w:hint="eastAsia"/>
          <w:highlight w:val="none"/>
          <w:lang w:eastAsia="zh-CN"/>
        </w:rPr>
      </w:pPr>
    </w:p>
    <w:p w14:paraId="5209AC62">
      <w:pPr>
        <w:pStyle w:val="12"/>
        <w:ind w:left="0" w:leftChars="0" w:firstLine="0" w:firstLineChars="0"/>
        <w:rPr>
          <w:rFonts w:hint="eastAsia"/>
          <w:highlight w:val="none"/>
          <w:lang w:eastAsia="zh-CN"/>
        </w:rPr>
      </w:pPr>
    </w:p>
    <w:p w14:paraId="2C7907CA">
      <w:pPr>
        <w:pStyle w:val="12"/>
        <w:ind w:left="0" w:leftChars="0" w:firstLine="0" w:firstLineChars="0"/>
        <w:rPr>
          <w:rFonts w:hint="eastAsia"/>
          <w:highlight w:val="none"/>
          <w:lang w:eastAsia="zh-CN"/>
        </w:rPr>
      </w:pPr>
    </w:p>
    <w:p w14:paraId="07C1FAC5">
      <w:pPr>
        <w:pStyle w:val="12"/>
        <w:ind w:left="0" w:leftChars="0" w:firstLine="0" w:firstLineChars="0"/>
        <w:rPr>
          <w:rFonts w:hint="eastAsia"/>
          <w:highlight w:val="none"/>
          <w:lang w:eastAsia="zh-CN"/>
        </w:rPr>
      </w:pPr>
    </w:p>
    <w:p w14:paraId="3D61499E">
      <w:pPr>
        <w:pStyle w:val="12"/>
        <w:ind w:left="0" w:leftChars="0" w:firstLine="0" w:firstLineChars="0"/>
        <w:rPr>
          <w:rFonts w:hint="eastAsia"/>
          <w:highlight w:val="none"/>
          <w:lang w:eastAsia="zh-CN"/>
        </w:rPr>
      </w:pPr>
    </w:p>
    <w:p w14:paraId="5525C39F">
      <w:pPr>
        <w:pStyle w:val="12"/>
        <w:ind w:left="0" w:leftChars="0" w:firstLine="0" w:firstLineChars="0"/>
        <w:rPr>
          <w:rFonts w:hint="eastAsia"/>
          <w:highlight w:val="none"/>
          <w:lang w:eastAsia="zh-CN"/>
        </w:rPr>
      </w:pPr>
    </w:p>
    <w:p w14:paraId="5B10CCC5">
      <w:pPr>
        <w:pStyle w:val="12"/>
        <w:ind w:left="0" w:leftChars="0" w:firstLine="0" w:firstLineChars="0"/>
        <w:rPr>
          <w:rFonts w:hint="eastAsia"/>
          <w:highlight w:val="none"/>
          <w:lang w:eastAsia="zh-CN"/>
        </w:rPr>
      </w:pPr>
    </w:p>
    <w:p w14:paraId="409FCB81">
      <w:pPr>
        <w:pStyle w:val="12"/>
        <w:ind w:left="0" w:leftChars="0" w:firstLine="0" w:firstLineChars="0"/>
        <w:rPr>
          <w:rFonts w:hint="eastAsia"/>
          <w:highlight w:val="none"/>
          <w:lang w:eastAsia="zh-CN"/>
        </w:rPr>
      </w:pPr>
    </w:p>
    <w:p w14:paraId="4D2A1559">
      <w:pPr>
        <w:pStyle w:val="12"/>
        <w:ind w:left="0" w:leftChars="0" w:firstLine="0" w:firstLineChars="0"/>
        <w:rPr>
          <w:rFonts w:hint="eastAsia"/>
          <w:highlight w:val="none"/>
          <w:lang w:eastAsia="zh-CN"/>
        </w:rPr>
      </w:pPr>
    </w:p>
    <w:p w14:paraId="11A76832">
      <w:pPr>
        <w:pStyle w:val="12"/>
        <w:ind w:left="0" w:leftChars="0" w:firstLine="0" w:firstLineChars="0"/>
        <w:rPr>
          <w:rFonts w:hint="eastAsia"/>
          <w:highlight w:val="none"/>
          <w:lang w:eastAsia="zh-CN"/>
        </w:rPr>
      </w:pPr>
    </w:p>
    <w:p w14:paraId="5B742417">
      <w:pPr>
        <w:pStyle w:val="12"/>
        <w:ind w:left="0" w:leftChars="0" w:firstLine="0" w:firstLineChars="0"/>
        <w:rPr>
          <w:rFonts w:hint="eastAsia"/>
          <w:highlight w:val="none"/>
          <w:lang w:eastAsia="zh-CN"/>
        </w:rPr>
      </w:pPr>
    </w:p>
    <w:p w14:paraId="0E5AF366">
      <w:pPr>
        <w:pStyle w:val="12"/>
        <w:ind w:left="0" w:leftChars="0" w:firstLine="0" w:firstLineChars="0"/>
        <w:rPr>
          <w:rFonts w:hint="eastAsia"/>
          <w:highlight w:val="none"/>
          <w:lang w:eastAsia="zh-CN"/>
        </w:rPr>
      </w:pPr>
    </w:p>
    <w:p w14:paraId="57C1EBE3">
      <w:pPr>
        <w:pStyle w:val="2"/>
        <w:numPr>
          <w:ilvl w:val="0"/>
          <w:numId w:val="0"/>
        </w:numPr>
        <w:ind w:leftChars="0"/>
        <w:jc w:val="center"/>
        <w:rPr>
          <w:rFonts w:hint="eastAsia" w:cs="宋体"/>
          <w:highlight w:val="none"/>
        </w:rPr>
      </w:pPr>
      <w:r>
        <w:rPr>
          <w:rFonts w:hint="eastAsia" w:cs="宋体"/>
          <w:highlight w:val="none"/>
          <w:lang w:eastAsia="zh-CN"/>
        </w:rPr>
        <w:t>第二章</w:t>
      </w:r>
      <w:r>
        <w:rPr>
          <w:rFonts w:hint="eastAsia" w:cs="宋体"/>
          <w:highlight w:val="none"/>
          <w:lang w:val="en-US" w:eastAsia="zh-CN"/>
        </w:rPr>
        <w:t xml:space="preserve">  </w:t>
      </w:r>
      <w:r>
        <w:rPr>
          <w:rFonts w:hint="eastAsia" w:cs="宋体"/>
          <w:highlight w:val="none"/>
        </w:rPr>
        <w:t>投标人须知</w:t>
      </w:r>
      <w:bookmarkEnd w:id="0"/>
      <w:bookmarkEnd w:id="1"/>
      <w:bookmarkEnd w:id="2"/>
      <w:bookmarkEnd w:id="3"/>
      <w:bookmarkEnd w:id="4"/>
      <w:bookmarkEnd w:id="5"/>
      <w:bookmarkEnd w:id="6"/>
      <w:bookmarkEnd w:id="7"/>
      <w:bookmarkEnd w:id="8"/>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512"/>
        <w:gridCol w:w="7599"/>
      </w:tblGrid>
      <w:tr w14:paraId="09D27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14:paraId="36789BB4">
            <w:pPr>
              <w:spacing w:line="240" w:lineRule="auto"/>
              <w:ind w:firstLine="0" w:firstLineChars="0"/>
              <w:jc w:val="center"/>
              <w:rPr>
                <w:rFonts w:hint="eastAsia" w:cs="宋体"/>
                <w:b/>
                <w:bCs/>
                <w:sz w:val="24"/>
                <w:szCs w:val="24"/>
                <w:highlight w:val="none"/>
              </w:rPr>
            </w:pPr>
            <w:r>
              <w:rPr>
                <w:rFonts w:hint="eastAsia" w:cs="宋体"/>
                <w:b/>
                <w:bCs/>
                <w:sz w:val="24"/>
                <w:szCs w:val="24"/>
                <w:highlight w:val="none"/>
              </w:rPr>
              <w:t>序号</w:t>
            </w:r>
          </w:p>
        </w:tc>
        <w:tc>
          <w:tcPr>
            <w:tcW w:w="1512" w:type="dxa"/>
            <w:tcBorders>
              <w:top w:val="single" w:color="auto" w:sz="4" w:space="0"/>
              <w:left w:val="single" w:color="auto" w:sz="4" w:space="0"/>
              <w:bottom w:val="single" w:color="auto" w:sz="4" w:space="0"/>
              <w:right w:val="single" w:color="auto" w:sz="4" w:space="0"/>
            </w:tcBorders>
            <w:noWrap w:val="0"/>
            <w:vAlign w:val="center"/>
          </w:tcPr>
          <w:p w14:paraId="171EB7CA">
            <w:pPr>
              <w:spacing w:line="240" w:lineRule="auto"/>
              <w:ind w:firstLine="0" w:firstLineChars="0"/>
              <w:jc w:val="center"/>
              <w:rPr>
                <w:rFonts w:hint="eastAsia" w:cs="宋体"/>
                <w:b/>
                <w:bCs/>
                <w:sz w:val="24"/>
                <w:szCs w:val="24"/>
                <w:highlight w:val="none"/>
              </w:rPr>
            </w:pPr>
            <w:r>
              <w:rPr>
                <w:rFonts w:hint="eastAsia" w:cs="宋体"/>
                <w:b/>
                <w:bCs/>
                <w:sz w:val="24"/>
                <w:szCs w:val="24"/>
                <w:highlight w:val="none"/>
              </w:rPr>
              <w:t>项目</w:t>
            </w:r>
          </w:p>
        </w:tc>
        <w:tc>
          <w:tcPr>
            <w:tcW w:w="7599" w:type="dxa"/>
            <w:tcBorders>
              <w:top w:val="single" w:color="auto" w:sz="4" w:space="0"/>
              <w:left w:val="single" w:color="auto" w:sz="4" w:space="0"/>
              <w:bottom w:val="single" w:color="auto" w:sz="4" w:space="0"/>
              <w:right w:val="single" w:color="auto" w:sz="4" w:space="0"/>
            </w:tcBorders>
            <w:noWrap w:val="0"/>
            <w:vAlign w:val="center"/>
          </w:tcPr>
          <w:p w14:paraId="70052022">
            <w:pPr>
              <w:spacing w:line="240" w:lineRule="auto"/>
              <w:ind w:firstLine="0" w:firstLineChars="0"/>
              <w:jc w:val="center"/>
              <w:rPr>
                <w:rFonts w:hint="eastAsia" w:cs="宋体"/>
                <w:b/>
                <w:bCs/>
                <w:sz w:val="24"/>
                <w:szCs w:val="24"/>
                <w:highlight w:val="none"/>
              </w:rPr>
            </w:pPr>
            <w:r>
              <w:rPr>
                <w:rFonts w:hint="eastAsia" w:cs="宋体"/>
                <w:b/>
                <w:bCs/>
                <w:sz w:val="24"/>
                <w:szCs w:val="24"/>
                <w:highlight w:val="none"/>
              </w:rPr>
              <w:t>内容</w:t>
            </w:r>
          </w:p>
        </w:tc>
      </w:tr>
      <w:tr w14:paraId="3A221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14:paraId="11AA208F">
            <w:pPr>
              <w:spacing w:line="240" w:lineRule="auto"/>
              <w:ind w:firstLine="0" w:firstLineChars="0"/>
              <w:jc w:val="center"/>
              <w:rPr>
                <w:rFonts w:hint="eastAsia" w:cs="宋体"/>
                <w:sz w:val="24"/>
                <w:szCs w:val="24"/>
                <w:highlight w:val="none"/>
              </w:rPr>
            </w:pPr>
            <w:r>
              <w:rPr>
                <w:rFonts w:hint="eastAsia" w:cs="宋体"/>
                <w:sz w:val="24"/>
                <w:szCs w:val="24"/>
                <w:highlight w:val="none"/>
              </w:rPr>
              <w:fldChar w:fldCharType="begin"/>
            </w:r>
            <w:r>
              <w:rPr>
                <w:rFonts w:hint="eastAsia" w:cs="宋体"/>
                <w:sz w:val="24"/>
                <w:szCs w:val="24"/>
                <w:highlight w:val="none"/>
              </w:rPr>
              <w:instrText xml:space="preserve"> SEQ 前附表 \* MERGEFORMAT </w:instrText>
            </w:r>
            <w:r>
              <w:rPr>
                <w:rFonts w:hint="eastAsia" w:cs="宋体"/>
                <w:sz w:val="24"/>
                <w:szCs w:val="24"/>
                <w:highlight w:val="none"/>
              </w:rPr>
              <w:fldChar w:fldCharType="separate"/>
            </w:r>
            <w:r>
              <w:rPr>
                <w:rFonts w:hint="eastAsia" w:cs="宋体"/>
                <w:sz w:val="24"/>
                <w:szCs w:val="24"/>
                <w:highlight w:val="none"/>
              </w:rPr>
              <w:t>1</w:t>
            </w:r>
            <w:r>
              <w:rPr>
                <w:rFonts w:hint="eastAsia" w:cs="宋体"/>
                <w:sz w:val="24"/>
                <w:szCs w:val="24"/>
                <w:highlight w:val="none"/>
              </w:rPr>
              <w:fldChar w:fldCharType="end"/>
            </w:r>
          </w:p>
        </w:tc>
        <w:tc>
          <w:tcPr>
            <w:tcW w:w="1512" w:type="dxa"/>
            <w:tcBorders>
              <w:top w:val="single" w:color="auto" w:sz="4" w:space="0"/>
              <w:left w:val="single" w:color="auto" w:sz="4" w:space="0"/>
              <w:bottom w:val="single" w:color="auto" w:sz="4" w:space="0"/>
              <w:right w:val="single" w:color="auto" w:sz="4" w:space="0"/>
            </w:tcBorders>
            <w:noWrap w:val="0"/>
            <w:vAlign w:val="center"/>
          </w:tcPr>
          <w:p w14:paraId="4B604993">
            <w:pPr>
              <w:spacing w:line="240" w:lineRule="auto"/>
              <w:ind w:firstLine="0" w:firstLineChars="0"/>
              <w:jc w:val="center"/>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en-US" w:bidi="ar-SA"/>
              </w:rPr>
              <w:t>项目名称</w:t>
            </w:r>
          </w:p>
        </w:tc>
        <w:tc>
          <w:tcPr>
            <w:tcW w:w="7599" w:type="dxa"/>
            <w:tcBorders>
              <w:top w:val="single" w:color="auto" w:sz="4" w:space="0"/>
              <w:left w:val="single" w:color="auto" w:sz="4" w:space="0"/>
              <w:bottom w:val="single" w:color="auto" w:sz="4" w:space="0"/>
              <w:right w:val="single" w:color="auto" w:sz="4" w:space="0"/>
            </w:tcBorders>
            <w:noWrap w:val="0"/>
            <w:vAlign w:val="center"/>
          </w:tcPr>
          <w:p w14:paraId="446B9127">
            <w:pPr>
              <w:spacing w:line="240" w:lineRule="auto"/>
              <w:ind w:firstLine="0" w:firstLineChars="0"/>
              <w:jc w:val="left"/>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cs="宋体"/>
                <w:snapToGrid w:val="0"/>
                <w:color w:val="000000"/>
                <w:kern w:val="0"/>
                <w:sz w:val="24"/>
                <w:szCs w:val="24"/>
                <w:highlight w:val="none"/>
                <w:lang w:val="en-US" w:eastAsia="zh-CN" w:bidi="ar-SA"/>
              </w:rPr>
              <w:t>呼图壁县重点危险区域城镇住宅建筑抗震鉴定项目（服务）</w:t>
            </w:r>
          </w:p>
        </w:tc>
      </w:tr>
      <w:tr w14:paraId="798B7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14:paraId="0EA5BD1F">
            <w:pPr>
              <w:spacing w:line="240" w:lineRule="auto"/>
              <w:ind w:firstLine="0" w:firstLineChars="0"/>
              <w:jc w:val="center"/>
              <w:rPr>
                <w:rFonts w:hint="eastAsia" w:cs="宋体"/>
                <w:sz w:val="24"/>
                <w:szCs w:val="24"/>
                <w:highlight w:val="none"/>
              </w:rPr>
            </w:pPr>
            <w:r>
              <w:rPr>
                <w:rFonts w:hint="eastAsia" w:cs="宋体"/>
                <w:sz w:val="24"/>
                <w:szCs w:val="24"/>
                <w:highlight w:val="none"/>
              </w:rPr>
              <w:fldChar w:fldCharType="begin"/>
            </w:r>
            <w:r>
              <w:rPr>
                <w:rFonts w:hint="eastAsia" w:cs="宋体"/>
                <w:sz w:val="24"/>
                <w:szCs w:val="24"/>
                <w:highlight w:val="none"/>
              </w:rPr>
              <w:instrText xml:space="preserve"> SEQ 前附表 \* MERGEFORMAT </w:instrText>
            </w:r>
            <w:r>
              <w:rPr>
                <w:rFonts w:hint="eastAsia" w:cs="宋体"/>
                <w:sz w:val="24"/>
                <w:szCs w:val="24"/>
                <w:highlight w:val="none"/>
              </w:rPr>
              <w:fldChar w:fldCharType="separate"/>
            </w:r>
            <w:r>
              <w:rPr>
                <w:rFonts w:hint="eastAsia" w:cs="宋体"/>
                <w:sz w:val="24"/>
                <w:szCs w:val="24"/>
                <w:highlight w:val="none"/>
              </w:rPr>
              <w:t>2</w:t>
            </w:r>
            <w:r>
              <w:rPr>
                <w:rFonts w:hint="eastAsia" w:cs="宋体"/>
                <w:sz w:val="24"/>
                <w:szCs w:val="24"/>
                <w:highlight w:val="none"/>
              </w:rPr>
              <w:fldChar w:fldCharType="end"/>
            </w:r>
          </w:p>
        </w:tc>
        <w:tc>
          <w:tcPr>
            <w:tcW w:w="1512" w:type="dxa"/>
            <w:tcBorders>
              <w:top w:val="single" w:color="auto" w:sz="4" w:space="0"/>
              <w:left w:val="single" w:color="auto" w:sz="4" w:space="0"/>
              <w:bottom w:val="single" w:color="auto" w:sz="4" w:space="0"/>
              <w:right w:val="single" w:color="auto" w:sz="4" w:space="0"/>
            </w:tcBorders>
            <w:noWrap w:val="0"/>
            <w:vAlign w:val="center"/>
          </w:tcPr>
          <w:p w14:paraId="268EE9DE">
            <w:pPr>
              <w:spacing w:line="240" w:lineRule="auto"/>
              <w:ind w:firstLine="0" w:firstLineChars="0"/>
              <w:jc w:val="center"/>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zh-CN" w:bidi="ar-SA"/>
              </w:rPr>
              <w:t>招标内容</w:t>
            </w:r>
          </w:p>
        </w:tc>
        <w:tc>
          <w:tcPr>
            <w:tcW w:w="7599" w:type="dxa"/>
            <w:tcBorders>
              <w:top w:val="single" w:color="auto" w:sz="4" w:space="0"/>
              <w:left w:val="single" w:color="auto" w:sz="4" w:space="0"/>
              <w:bottom w:val="single" w:color="auto" w:sz="4" w:space="0"/>
              <w:right w:val="single" w:color="auto" w:sz="4" w:space="0"/>
            </w:tcBorders>
            <w:noWrap w:val="0"/>
            <w:vAlign w:val="center"/>
          </w:tcPr>
          <w:p w14:paraId="4522F8B6">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leftChars="0" w:right="0" w:firstLine="0" w:firstLineChars="0"/>
              <w:jc w:val="left"/>
              <w:textAlignment w:val="auto"/>
              <w:rPr>
                <w:rFonts w:hint="eastAsia" w:ascii="Times New Roman" w:hAnsi="Arial" w:eastAsia="Arial" w:cs="宋体"/>
                <w:snapToGrid w:val="0"/>
                <w:color w:val="000000"/>
                <w:kern w:val="0"/>
                <w:sz w:val="24"/>
                <w:szCs w:val="24"/>
                <w:highlight w:val="none"/>
                <w:lang w:val="en-US" w:eastAsia="en-US" w:bidi="ar-SA"/>
              </w:rPr>
            </w:pPr>
            <w:r>
              <w:rPr>
                <w:rFonts w:hint="eastAsia" w:eastAsia="宋体" w:cs="宋体"/>
                <w:snapToGrid w:val="0"/>
                <w:color w:val="000000"/>
                <w:kern w:val="0"/>
                <w:sz w:val="24"/>
                <w:szCs w:val="24"/>
                <w:highlight w:val="none"/>
                <w:lang w:val="en-US" w:eastAsia="zh-CN" w:bidi="ar-SA"/>
              </w:rPr>
              <w:t>对我县种牛场东、西片区及其它存在安全、抗震隐患的住宅进行现场实体检测并分别按栋出具自治区房屋建筑安全与抗震性鉴定报告，初步面积预估4.1万㎡</w:t>
            </w:r>
            <w:r>
              <w:rPr>
                <w:rFonts w:hint="eastAsia" w:ascii="Times New Roman" w:hAnsi="Arial" w:eastAsia="Arial" w:cs="宋体"/>
                <w:snapToGrid w:val="0"/>
                <w:color w:val="000000"/>
                <w:kern w:val="0"/>
                <w:sz w:val="24"/>
                <w:szCs w:val="24"/>
                <w:highlight w:val="none"/>
                <w:lang w:val="en-US" w:eastAsia="en-US" w:bidi="ar-SA"/>
              </w:rPr>
              <w:t>具体以面积为准。</w:t>
            </w:r>
          </w:p>
        </w:tc>
      </w:tr>
      <w:tr w14:paraId="10F44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14:paraId="79EC5EAF">
            <w:pPr>
              <w:spacing w:line="240" w:lineRule="auto"/>
              <w:ind w:firstLine="0" w:firstLineChars="0"/>
              <w:jc w:val="center"/>
              <w:rPr>
                <w:rFonts w:hint="eastAsia" w:cs="宋体"/>
                <w:sz w:val="24"/>
                <w:szCs w:val="24"/>
                <w:highlight w:val="none"/>
              </w:rPr>
            </w:pPr>
            <w:r>
              <w:rPr>
                <w:rFonts w:hint="eastAsia" w:cs="宋体"/>
                <w:sz w:val="24"/>
                <w:szCs w:val="24"/>
                <w:highlight w:val="none"/>
              </w:rPr>
              <w:fldChar w:fldCharType="begin"/>
            </w:r>
            <w:r>
              <w:rPr>
                <w:rFonts w:hint="eastAsia" w:cs="宋体"/>
                <w:sz w:val="24"/>
                <w:szCs w:val="24"/>
                <w:highlight w:val="none"/>
              </w:rPr>
              <w:instrText xml:space="preserve"> SEQ 前附表 \* MERGEFORMAT </w:instrText>
            </w:r>
            <w:r>
              <w:rPr>
                <w:rFonts w:hint="eastAsia" w:cs="宋体"/>
                <w:sz w:val="24"/>
                <w:szCs w:val="24"/>
                <w:highlight w:val="none"/>
              </w:rPr>
              <w:fldChar w:fldCharType="separate"/>
            </w:r>
            <w:r>
              <w:rPr>
                <w:rFonts w:hint="eastAsia" w:cs="宋体"/>
                <w:sz w:val="24"/>
                <w:szCs w:val="24"/>
                <w:highlight w:val="none"/>
              </w:rPr>
              <w:t>3</w:t>
            </w:r>
            <w:r>
              <w:rPr>
                <w:rFonts w:hint="eastAsia" w:cs="宋体"/>
                <w:sz w:val="24"/>
                <w:szCs w:val="24"/>
                <w:highlight w:val="none"/>
              </w:rPr>
              <w:fldChar w:fldCharType="end"/>
            </w:r>
          </w:p>
        </w:tc>
        <w:tc>
          <w:tcPr>
            <w:tcW w:w="1512" w:type="dxa"/>
            <w:tcBorders>
              <w:top w:val="single" w:color="auto" w:sz="4" w:space="0"/>
              <w:left w:val="single" w:color="auto" w:sz="4" w:space="0"/>
              <w:bottom w:val="single" w:color="auto" w:sz="4" w:space="0"/>
              <w:right w:val="single" w:color="auto" w:sz="4" w:space="0"/>
            </w:tcBorders>
            <w:noWrap w:val="0"/>
            <w:vAlign w:val="center"/>
          </w:tcPr>
          <w:p w14:paraId="36E846D2">
            <w:pPr>
              <w:spacing w:line="240" w:lineRule="auto"/>
              <w:ind w:firstLine="0" w:firstLineChars="0"/>
              <w:jc w:val="center"/>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zh-CN" w:bidi="ar-SA"/>
              </w:rPr>
              <w:t>简要规格描述或项目基本概况介绍、用途</w:t>
            </w:r>
          </w:p>
        </w:tc>
        <w:tc>
          <w:tcPr>
            <w:tcW w:w="7599" w:type="dxa"/>
            <w:tcBorders>
              <w:top w:val="single" w:color="auto" w:sz="4" w:space="0"/>
              <w:left w:val="single" w:color="auto" w:sz="4" w:space="0"/>
              <w:bottom w:val="single" w:color="auto" w:sz="4" w:space="0"/>
              <w:right w:val="single" w:color="auto" w:sz="4" w:space="0"/>
            </w:tcBorders>
            <w:noWrap w:val="0"/>
            <w:vAlign w:val="center"/>
          </w:tcPr>
          <w:p w14:paraId="5EB2031C">
            <w:pPr>
              <w:spacing w:line="240" w:lineRule="auto"/>
              <w:ind w:firstLine="0" w:firstLineChars="0"/>
              <w:jc w:val="left"/>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en-US" w:eastAsia="zh-CN" w:bidi="ar-SA"/>
              </w:rPr>
              <w:t>详见第四章项目采购需求</w:t>
            </w:r>
          </w:p>
        </w:tc>
      </w:tr>
      <w:tr w14:paraId="5FCC7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14:paraId="2BA99871">
            <w:pPr>
              <w:spacing w:line="240" w:lineRule="auto"/>
              <w:ind w:firstLine="0" w:firstLineChars="0"/>
              <w:jc w:val="center"/>
              <w:rPr>
                <w:rFonts w:hint="eastAsia" w:eastAsia="宋体" w:cs="宋体"/>
                <w:sz w:val="24"/>
                <w:szCs w:val="24"/>
                <w:highlight w:val="none"/>
                <w:lang w:eastAsia="zh-CN"/>
              </w:rPr>
            </w:pPr>
            <w:r>
              <w:rPr>
                <w:rFonts w:hint="eastAsia" w:cs="宋体"/>
                <w:sz w:val="24"/>
                <w:szCs w:val="24"/>
                <w:highlight w:val="none"/>
                <w:lang w:val="en-US" w:eastAsia="zh-CN"/>
              </w:rPr>
              <w:t>4</w:t>
            </w:r>
          </w:p>
        </w:tc>
        <w:tc>
          <w:tcPr>
            <w:tcW w:w="1512" w:type="dxa"/>
            <w:tcBorders>
              <w:top w:val="single" w:color="auto" w:sz="4" w:space="0"/>
              <w:left w:val="single" w:color="auto" w:sz="4" w:space="0"/>
              <w:bottom w:val="single" w:color="auto" w:sz="4" w:space="0"/>
              <w:right w:val="single" w:color="auto" w:sz="4" w:space="0"/>
            </w:tcBorders>
            <w:noWrap w:val="0"/>
            <w:vAlign w:val="center"/>
          </w:tcPr>
          <w:p w14:paraId="7CC86C41">
            <w:pPr>
              <w:spacing w:line="240" w:lineRule="auto"/>
              <w:ind w:firstLine="0" w:firstLineChars="0"/>
              <w:jc w:val="center"/>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en-US" w:bidi="ar-SA"/>
              </w:rPr>
              <w:t>招标方式</w:t>
            </w:r>
          </w:p>
        </w:tc>
        <w:tc>
          <w:tcPr>
            <w:tcW w:w="7599" w:type="dxa"/>
            <w:tcBorders>
              <w:top w:val="single" w:color="auto" w:sz="4" w:space="0"/>
              <w:left w:val="single" w:color="auto" w:sz="4" w:space="0"/>
              <w:bottom w:val="single" w:color="auto" w:sz="4" w:space="0"/>
              <w:right w:val="single" w:color="auto" w:sz="4" w:space="0"/>
            </w:tcBorders>
            <w:noWrap w:val="0"/>
            <w:vAlign w:val="center"/>
          </w:tcPr>
          <w:p w14:paraId="52927513">
            <w:pPr>
              <w:spacing w:line="240" w:lineRule="auto"/>
              <w:ind w:firstLine="0" w:firstLineChars="0"/>
              <w:jc w:val="left"/>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en-US" w:bidi="ar-SA"/>
              </w:rPr>
              <w:t>竞争性磋商</w:t>
            </w:r>
          </w:p>
        </w:tc>
      </w:tr>
      <w:tr w14:paraId="29688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14:paraId="508B658C">
            <w:pPr>
              <w:spacing w:line="240" w:lineRule="auto"/>
              <w:ind w:firstLine="0" w:firstLineChars="0"/>
              <w:jc w:val="center"/>
              <w:rPr>
                <w:rFonts w:hint="eastAsia" w:eastAsia="宋体" w:cs="宋体"/>
                <w:sz w:val="24"/>
                <w:szCs w:val="24"/>
                <w:highlight w:val="none"/>
                <w:lang w:eastAsia="zh-CN"/>
              </w:rPr>
            </w:pPr>
            <w:r>
              <w:rPr>
                <w:rFonts w:hint="eastAsia" w:cs="宋体"/>
                <w:sz w:val="24"/>
                <w:szCs w:val="24"/>
                <w:highlight w:val="none"/>
                <w:lang w:val="en-US" w:eastAsia="zh-CN"/>
              </w:rPr>
              <w:t>5</w:t>
            </w:r>
          </w:p>
        </w:tc>
        <w:tc>
          <w:tcPr>
            <w:tcW w:w="1512" w:type="dxa"/>
            <w:tcBorders>
              <w:top w:val="single" w:color="auto" w:sz="4" w:space="0"/>
              <w:left w:val="single" w:color="auto" w:sz="4" w:space="0"/>
              <w:bottom w:val="single" w:color="auto" w:sz="4" w:space="0"/>
              <w:right w:val="single" w:color="auto" w:sz="4" w:space="0"/>
            </w:tcBorders>
            <w:noWrap w:val="0"/>
            <w:vAlign w:val="center"/>
          </w:tcPr>
          <w:p w14:paraId="049D4359">
            <w:pPr>
              <w:spacing w:line="240" w:lineRule="auto"/>
              <w:ind w:firstLine="0" w:firstLineChars="0"/>
              <w:jc w:val="center"/>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en-US" w:bidi="ar-SA"/>
              </w:rPr>
              <w:t>投标人资格要求</w:t>
            </w:r>
          </w:p>
        </w:tc>
        <w:tc>
          <w:tcPr>
            <w:tcW w:w="7599" w:type="dxa"/>
            <w:tcBorders>
              <w:top w:val="single" w:color="auto" w:sz="4" w:space="0"/>
              <w:left w:val="single" w:color="auto" w:sz="4" w:space="0"/>
              <w:bottom w:val="single" w:color="auto" w:sz="4" w:space="0"/>
              <w:right w:val="single" w:color="auto" w:sz="4" w:space="0"/>
            </w:tcBorders>
            <w:noWrap w:val="0"/>
            <w:vAlign w:val="center"/>
          </w:tcPr>
          <w:p w14:paraId="5F8D9FDA">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leftChars="0" w:right="0" w:firstLine="0" w:firstLineChars="0"/>
              <w:jc w:val="left"/>
              <w:textAlignment w:val="auto"/>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en-US" w:eastAsia="zh-CN" w:bidi="ar-SA"/>
              </w:rPr>
              <w:t>1、符合《中华人民共和国政府采购法》第二十二条的相关规定；</w:t>
            </w:r>
          </w:p>
          <w:p w14:paraId="6B65FB51">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leftChars="0" w:right="0" w:firstLine="0" w:firstLineChars="0"/>
              <w:jc w:val="left"/>
              <w:textAlignment w:val="auto"/>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en-US" w:eastAsia="zh-CN" w:bidi="ar-SA"/>
              </w:rPr>
              <w:t>（1）采购政策</w:t>
            </w:r>
          </w:p>
          <w:p w14:paraId="0F090EAB">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leftChars="0" w:right="0" w:firstLine="0" w:firstLineChars="0"/>
              <w:jc w:val="left"/>
              <w:textAlignment w:val="auto"/>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en-US" w:eastAsia="zh-CN" w:bidi="ar-SA"/>
              </w:rPr>
              <w:t>政府采购应当优先采购本国货物、工程和服务，并执行节能产品、环境标志产品、中小企业、残疾人集中就业企业、监狱企业等适宜本项目的政府采购政策。</w:t>
            </w:r>
          </w:p>
          <w:p w14:paraId="5A69C2C9">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leftChars="0" w:right="0" w:firstLine="0" w:firstLineChars="0"/>
              <w:jc w:val="left"/>
              <w:textAlignment w:val="auto"/>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en-US" w:eastAsia="zh-CN" w:bidi="ar-SA"/>
              </w:rPr>
              <w:t>（2）政策依据</w:t>
            </w:r>
          </w:p>
          <w:p w14:paraId="53B653C1">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leftChars="0" w:right="0" w:firstLine="0" w:firstLineChars="0"/>
              <w:jc w:val="left"/>
              <w:textAlignment w:val="auto"/>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en-US" w:eastAsia="zh-CN" w:bidi="ar-SA"/>
              </w:rPr>
              <w:t>（1）《政府采购促进中小企业发展暂行办法》（财库〔2011〕181号）；（2）《财政部司法部关于政府采购支持监狱企业发展有关问题的通知》（财库〔2014〕68号）；（3）《国务院办公厅关于建立政府强制采购节能产品制度的通知》（国办发〔2007〕51号）；（4）《节能产品政府采购实施意见》（财库[2004]185号）；（5）《环境标志产品政府采购实施的意见》（财库[2006]90号）；（6）《三部门联合发布关于促进残疾人就业政府采购政策的通知》（财库〔2017〕141号） </w:t>
            </w:r>
          </w:p>
          <w:p w14:paraId="2A3F7972">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leftChars="0" w:right="0" w:firstLine="0" w:firstLineChars="0"/>
              <w:jc w:val="left"/>
              <w:textAlignment w:val="auto"/>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en-US" w:eastAsia="zh-CN" w:bidi="ar-SA"/>
              </w:rPr>
              <w:t>本项目的特定资格要求：</w:t>
            </w:r>
          </w:p>
          <w:p w14:paraId="681CCE90">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leftChars="0" w:right="0" w:firstLine="0" w:firstLineChars="0"/>
              <w:jc w:val="left"/>
              <w:textAlignment w:val="auto"/>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en-US" w:eastAsia="zh-CN" w:bidi="ar-SA"/>
              </w:rPr>
              <w:t>（1）在中华人民共和国境内注册，具有独立法人资格，具有有效的营业执照或“三证合一”的营业执照；</w:t>
            </w:r>
          </w:p>
          <w:p w14:paraId="4536B0ED">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leftChars="0" w:right="0" w:firstLine="0" w:firstLineChars="0"/>
              <w:jc w:val="left"/>
              <w:textAlignment w:val="auto"/>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en-US" w:eastAsia="zh-CN" w:bidi="ar-SA"/>
              </w:rPr>
              <w:t>（2）落实政府采购政策需满足的资格要求：本项目专门面向中小微企业</w:t>
            </w:r>
          </w:p>
          <w:p w14:paraId="1132CE5E">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leftChars="0" w:right="0" w:firstLine="0" w:firstLineChars="0"/>
              <w:jc w:val="left"/>
              <w:textAlignment w:val="auto"/>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en-US" w:eastAsia="zh-CN" w:bidi="ar-SA"/>
              </w:rPr>
              <w:t>（3）供应商须具备建设主管部门颁发的建设工程质量检测机构资质证书检测范围须包含：建筑材料及构配件、主体结构及装饰装修、钢结构、地基基础并同时具备工程设计建筑行业（建筑工程）专业乙级或乙级以上资质及工程勘察专业类（岩土工程（勘察））乙级或乙级以上资质。</w:t>
            </w:r>
          </w:p>
          <w:p w14:paraId="00654B68">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leftChars="0" w:right="0" w:firstLine="0" w:firstLineChars="0"/>
              <w:jc w:val="left"/>
              <w:textAlignment w:val="auto"/>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en-US" w:eastAsia="zh-CN" w:bidi="ar-SA"/>
              </w:rPr>
              <w:t>（4）项目负责人须具备一级（含以上）注册结构工程师执业资格及相关中级及以上职称；</w:t>
            </w:r>
          </w:p>
          <w:p w14:paraId="6A8F466C">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leftChars="0" w:right="0" w:firstLine="0" w:firstLineChars="0"/>
              <w:jc w:val="left"/>
              <w:textAlignment w:val="auto"/>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en-US" w:eastAsia="zh-CN" w:bidi="ar-SA"/>
              </w:rPr>
              <w:t>（5）未被“信用中国”（www.creditchina.gov.cn）列入失信被执行人、重大税收违法案件当事人名单、严重违法失信行为记录名单；</w:t>
            </w:r>
          </w:p>
          <w:p w14:paraId="74B3F5E9">
            <w:pPr>
              <w:pStyle w:val="13"/>
              <w:keepNext w:val="0"/>
              <w:keepLines w:val="0"/>
              <w:pageBreakBefore w:val="0"/>
              <w:widowControl/>
              <w:kinsoku w:val="0"/>
              <w:wordWrap/>
              <w:overflowPunct/>
              <w:topLinePunct w:val="0"/>
              <w:autoSpaceDE w:val="0"/>
              <w:autoSpaceDN w:val="0"/>
              <w:bidi w:val="0"/>
              <w:adjustRightInd w:val="0"/>
              <w:snapToGrid w:val="0"/>
              <w:spacing w:line="460" w:lineRule="exact"/>
              <w:ind w:left="0" w:leftChars="0" w:firstLine="0" w:firstLineChars="0"/>
              <w:textAlignment w:val="baseline"/>
              <w:rPr>
                <w:rFonts w:hint="eastAsia"/>
                <w:lang w:val="en-US" w:eastAsia="zh-CN"/>
              </w:rPr>
            </w:pPr>
            <w:r>
              <w:rPr>
                <w:rFonts w:hint="eastAsia" w:ascii="Times New Roman" w:hAnsi="Arial" w:eastAsia="Arial" w:cs="宋体"/>
                <w:snapToGrid w:val="0"/>
                <w:color w:val="000000"/>
                <w:kern w:val="0"/>
                <w:sz w:val="24"/>
                <w:szCs w:val="24"/>
                <w:highlight w:val="none"/>
                <w:lang w:val="en-US" w:eastAsia="zh-CN" w:bidi="ar-SA"/>
              </w:rPr>
              <w:t>（6）区外检测机构进疆开展检测鉴定业务，须在“新疆工程建设云”平台进行备案登记；区外检测机构进疆备案登记人员须为实际在我区开展检测鉴定的技术人员和注册人员，并应满足国家标准规范对检测鉴定项目技术人员配备要求。</w:t>
            </w:r>
          </w:p>
          <w:p w14:paraId="18DA02E3">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leftChars="0" w:right="0" w:firstLine="0" w:firstLineChars="0"/>
              <w:jc w:val="left"/>
              <w:textAlignment w:val="auto"/>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en-US" w:eastAsia="zh-CN" w:bidi="ar-SA"/>
              </w:rPr>
              <w:t>（</w:t>
            </w:r>
            <w:r>
              <w:rPr>
                <w:rFonts w:hint="eastAsia" w:cs="宋体"/>
                <w:snapToGrid w:val="0"/>
                <w:color w:val="000000"/>
                <w:kern w:val="0"/>
                <w:sz w:val="24"/>
                <w:szCs w:val="24"/>
                <w:highlight w:val="none"/>
                <w:lang w:val="en-US" w:eastAsia="zh-CN" w:bidi="ar-SA"/>
              </w:rPr>
              <w:t>7</w:t>
            </w:r>
            <w:r>
              <w:rPr>
                <w:rFonts w:hint="eastAsia" w:ascii="Times New Roman" w:hAnsi="Arial" w:eastAsia="Arial" w:cs="宋体"/>
                <w:snapToGrid w:val="0"/>
                <w:color w:val="000000"/>
                <w:kern w:val="0"/>
                <w:sz w:val="24"/>
                <w:szCs w:val="24"/>
                <w:highlight w:val="none"/>
                <w:lang w:val="en-US" w:eastAsia="zh-CN" w:bidi="ar-SA"/>
              </w:rPr>
              <w:t>）本次招标接受联合体投标，不接受中介机构投标；</w:t>
            </w:r>
          </w:p>
        </w:tc>
      </w:tr>
      <w:tr w14:paraId="42FC9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14:paraId="050AD342">
            <w:pPr>
              <w:pStyle w:val="8"/>
              <w:rPr>
                <w:rFonts w:hint="eastAsia"/>
                <w:highlight w:val="none"/>
                <w:lang w:val="en-US" w:eastAsia="zh-CN"/>
              </w:rPr>
            </w:pPr>
            <w:r>
              <w:rPr>
                <w:rFonts w:hint="eastAsia"/>
                <w:highlight w:val="none"/>
                <w:lang w:val="en-US" w:eastAsia="zh-CN"/>
              </w:rPr>
              <w:t>6</w:t>
            </w:r>
          </w:p>
          <w:p w14:paraId="2DF51452">
            <w:pPr>
              <w:bidi w:val="0"/>
              <w:rPr>
                <w:rFonts w:hint="default"/>
                <w:highlight w:val="none"/>
                <w:lang w:val="en-US" w:eastAsia="zh-CN"/>
              </w:rPr>
            </w:pPr>
          </w:p>
          <w:p w14:paraId="52C31FAE">
            <w:pPr>
              <w:bidi w:val="0"/>
              <w:rPr>
                <w:rFonts w:hint="default"/>
                <w:highlight w:val="none"/>
                <w:lang w:val="en-US" w:eastAsia="zh-CN"/>
              </w:rPr>
            </w:pPr>
          </w:p>
          <w:p w14:paraId="4C17F1FF">
            <w:pPr>
              <w:bidi w:val="0"/>
              <w:rPr>
                <w:rFonts w:hint="default"/>
                <w:highlight w:val="none"/>
                <w:lang w:val="en-US" w:eastAsia="zh-CN"/>
              </w:rPr>
            </w:pPr>
          </w:p>
          <w:p w14:paraId="181F77A0">
            <w:pPr>
              <w:bidi w:val="0"/>
              <w:rPr>
                <w:rFonts w:hint="default"/>
                <w:highlight w:val="none"/>
                <w:lang w:val="en-US" w:eastAsia="zh-CN"/>
              </w:rPr>
            </w:pPr>
          </w:p>
          <w:p w14:paraId="77706728">
            <w:pPr>
              <w:bidi w:val="0"/>
              <w:rPr>
                <w:rFonts w:hint="default"/>
                <w:highlight w:val="none"/>
                <w:lang w:val="en-US" w:eastAsia="zh-CN"/>
              </w:rPr>
            </w:pPr>
          </w:p>
          <w:p w14:paraId="38BF69CF">
            <w:pPr>
              <w:bidi w:val="0"/>
              <w:ind w:left="0" w:leftChars="0" w:firstLine="0" w:firstLineChars="0"/>
              <w:jc w:val="center"/>
              <w:rPr>
                <w:rFonts w:hint="default"/>
                <w:highlight w:val="none"/>
                <w:lang w:val="en-US" w:eastAsia="zh-CN"/>
              </w:rPr>
            </w:pPr>
            <w:r>
              <w:rPr>
                <w:rFonts w:hint="eastAsia"/>
                <w:highlight w:val="none"/>
                <w:lang w:val="en-US" w:eastAsia="zh-CN"/>
              </w:rPr>
              <w:t>6</w:t>
            </w:r>
          </w:p>
        </w:tc>
        <w:tc>
          <w:tcPr>
            <w:tcW w:w="1512" w:type="dxa"/>
            <w:tcBorders>
              <w:top w:val="single" w:color="auto" w:sz="4" w:space="0"/>
              <w:left w:val="single" w:color="auto" w:sz="4" w:space="0"/>
              <w:bottom w:val="single" w:color="auto" w:sz="4" w:space="0"/>
              <w:right w:val="single" w:color="auto" w:sz="4" w:space="0"/>
            </w:tcBorders>
            <w:noWrap w:val="0"/>
            <w:vAlign w:val="center"/>
          </w:tcPr>
          <w:p w14:paraId="0BD68963">
            <w:pPr>
              <w:spacing w:line="240" w:lineRule="auto"/>
              <w:ind w:firstLine="0" w:firstLineChars="0"/>
              <w:jc w:val="both"/>
              <w:rPr>
                <w:rFonts w:hint="eastAsia" w:ascii="Times New Roman" w:hAnsi="Arial" w:eastAsia="Arial" w:cs="宋体"/>
                <w:snapToGrid w:val="0"/>
                <w:color w:val="000000"/>
                <w:kern w:val="0"/>
                <w:sz w:val="24"/>
                <w:szCs w:val="24"/>
                <w:highlight w:val="none"/>
                <w:lang w:val="en-US" w:eastAsia="en-US" w:bidi="ar-SA"/>
              </w:rPr>
            </w:pPr>
          </w:p>
          <w:p w14:paraId="7B58F041">
            <w:pPr>
              <w:spacing w:line="240" w:lineRule="auto"/>
              <w:ind w:firstLine="0" w:firstLineChars="0"/>
              <w:jc w:val="center"/>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en-US" w:bidi="ar-SA"/>
              </w:rPr>
              <w:t>是否采用电子采购投标</w:t>
            </w:r>
          </w:p>
        </w:tc>
        <w:tc>
          <w:tcPr>
            <w:tcW w:w="7599" w:type="dxa"/>
            <w:tcBorders>
              <w:top w:val="single" w:color="auto" w:sz="4" w:space="0"/>
              <w:left w:val="single" w:color="auto" w:sz="4" w:space="0"/>
              <w:bottom w:val="single" w:color="auto" w:sz="4" w:space="0"/>
              <w:right w:val="single" w:color="auto" w:sz="4" w:space="0"/>
            </w:tcBorders>
            <w:noWrap w:val="0"/>
            <w:vAlign w:val="top"/>
          </w:tcPr>
          <w:p w14:paraId="2CB43584">
            <w:pPr>
              <w:keepNext w:val="0"/>
              <w:keepLines w:val="0"/>
              <w:widowControl/>
              <w:suppressLineNumbers w:val="0"/>
              <w:ind w:left="0" w:leftChars="0" w:firstLine="0" w:firstLineChars="0"/>
              <w:jc w:val="left"/>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zh-CN" w:bidi="ar-SA"/>
              </w:rPr>
              <w:t xml:space="preserve">□否 ■是，具体要求： </w:t>
            </w:r>
          </w:p>
          <w:p w14:paraId="59945475">
            <w:pPr>
              <w:keepNext w:val="0"/>
              <w:keepLines w:val="0"/>
              <w:widowControl/>
              <w:suppressLineNumbers w:val="0"/>
              <w:ind w:left="0" w:leftChars="0" w:firstLine="0" w:firstLineChars="0"/>
              <w:jc w:val="left"/>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zh-CN" w:bidi="ar-SA"/>
              </w:rPr>
              <w:t xml:space="preserve">1、投标文件解密时间：投标文件解密时间 30 分钟，开标前需投标单位用 CA 证书登录政采云平台开标大厅签 到，在 30 分钟解密时间内输入 CA 证书 PIN 码解密投标 文件。在 30 分钟解密时间内未进行解密的投标单位将导致废标。（解密时间开始时政采云平台将以短信形式向供应商在政采云平台预留的手机号发送短信通知，请供应商及时关注。） </w:t>
            </w:r>
          </w:p>
          <w:p w14:paraId="22E0586D">
            <w:pPr>
              <w:keepNext w:val="0"/>
              <w:keepLines w:val="0"/>
              <w:widowControl/>
              <w:suppressLineNumbers w:val="0"/>
              <w:ind w:left="0" w:leftChars="0" w:firstLine="0" w:firstLineChars="0"/>
              <w:jc w:val="left"/>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zh-CN" w:bidi="ar-SA"/>
              </w:rPr>
              <w:t xml:space="preserve">2、供应商报价CA 签字确认：报价文件开启后将开启签字时段，供应商须在 20 分钟内用 CA 证书对报价进行签 字确认。 </w:t>
            </w:r>
          </w:p>
          <w:p w14:paraId="79FAEB96">
            <w:pPr>
              <w:keepNext w:val="0"/>
              <w:keepLines w:val="0"/>
              <w:widowControl/>
              <w:suppressLineNumbers w:val="0"/>
              <w:ind w:left="0" w:leftChars="0" w:firstLine="0" w:firstLineChars="0"/>
              <w:jc w:val="left"/>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zh-CN" w:bidi="ar-SA"/>
              </w:rPr>
              <w:t xml:space="preserve">3、备注: </w:t>
            </w:r>
          </w:p>
          <w:p w14:paraId="70BE6246">
            <w:pPr>
              <w:keepNext w:val="0"/>
              <w:keepLines w:val="0"/>
              <w:widowControl/>
              <w:suppressLineNumbers w:val="0"/>
              <w:ind w:left="0" w:leftChars="0" w:firstLine="0" w:firstLineChars="0"/>
              <w:jc w:val="left"/>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zh-CN" w:bidi="ar-SA"/>
              </w:rPr>
              <w:t>（1）本次采购采用电子交易方式，电子交易平台为“政 府采购云平台（www.zcygov.cn）”。供应商参与本项目 电子交易活动前，应注册成为政府采购云平台供应商。 编制电子投标文件前还需申领 CA 证书并绑定帐号。</w:t>
            </w:r>
          </w:p>
          <w:p w14:paraId="3823AED8">
            <w:pPr>
              <w:keepNext w:val="0"/>
              <w:keepLines w:val="0"/>
              <w:widowControl/>
              <w:suppressLineNumbers w:val="0"/>
              <w:ind w:left="0" w:leftChars="0" w:firstLine="0" w:firstLineChars="0"/>
              <w:jc w:val="left"/>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zh-CN" w:bidi="ar-SA"/>
              </w:rPr>
              <w:t xml:space="preserve">注：CA 服务电话：0991-281-9290 CA 申领地址：https://www.xjca.com.cn/article/cont ent/201802/582/1.html </w:t>
            </w:r>
          </w:p>
          <w:p w14:paraId="251065A5">
            <w:pPr>
              <w:keepNext w:val="0"/>
              <w:keepLines w:val="0"/>
              <w:widowControl/>
              <w:suppressLineNumbers w:val="0"/>
              <w:ind w:left="0" w:leftChars="0" w:firstLine="0" w:firstLineChars="0"/>
              <w:jc w:val="left"/>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zh-CN" w:bidi="ar-SA"/>
              </w:rPr>
              <w:t>（2）供应商编制电子投标文件应安装“电子招投标供应 商客户端”软件，并按照本采购文件和电子招投标供应 商客户端的要求编制并加密投标文件。未按规定加密的 投标文件，将被电子招投标供应商客户端拒收。“电子 招投标供应商客户端”请供应商自行前往“新疆政府采 购网—下载专区—新疆维吾尔自治区全流程电子招投标 项目管理系统--电子招投标供应商客户端”版块获取。（3）供应商应当在投标截止时间前，将“电子招投标供 应商客户端”生成的“电子加密投标文件”上传电子交易平台。（5）服务与支持。各政府采购代理机构（含集采机构）及供应商对不见面开评标系统的技术操作咨询，可通过https://edu.zcygov.cn/luban/xinjiang-e-biding 自 助查询，也可在政采云帮助中心常见问题解答和操作流 程 讲 解 视 频 中 自 助 查 询 ， 网 址 为 ： https://service.zcygov.cn/#/help，“项目采购—操 作流程—电子招投标—政府采购项目电子交易管理操作 指南-供应商”版面获取操作指南，同时对自助查询无法 解决的问题可通过钉钉群及政采云在线客服获取服务支 持。政采云热线人工号码：400-881-7190（工作时间： 工作日 08:00~20：00）</w:t>
            </w:r>
          </w:p>
          <w:p w14:paraId="05626381">
            <w:pPr>
              <w:spacing w:line="240" w:lineRule="auto"/>
              <w:ind w:firstLine="0" w:firstLineChars="0"/>
              <w:jc w:val="left"/>
              <w:rPr>
                <w:rFonts w:hint="eastAsia" w:ascii="Times New Roman" w:hAnsi="Arial" w:eastAsia="Arial" w:cs="宋体"/>
                <w:snapToGrid w:val="0"/>
                <w:color w:val="000000"/>
                <w:kern w:val="0"/>
                <w:sz w:val="24"/>
                <w:szCs w:val="24"/>
                <w:highlight w:val="none"/>
                <w:lang w:val="en-US" w:eastAsia="zh-CN" w:bidi="ar-SA"/>
              </w:rPr>
            </w:pPr>
          </w:p>
        </w:tc>
      </w:tr>
      <w:tr w14:paraId="26D10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14:paraId="049D471E">
            <w:pPr>
              <w:spacing w:line="240" w:lineRule="auto"/>
              <w:ind w:firstLine="0" w:firstLineChars="0"/>
              <w:jc w:val="center"/>
              <w:rPr>
                <w:rFonts w:hint="default" w:eastAsia="宋体" w:cs="宋体"/>
                <w:sz w:val="24"/>
                <w:szCs w:val="24"/>
                <w:highlight w:val="none"/>
                <w:lang w:val="en-US" w:eastAsia="zh-CN"/>
              </w:rPr>
            </w:pPr>
            <w:r>
              <w:rPr>
                <w:rFonts w:hint="eastAsia" w:eastAsia="宋体" w:cs="宋体"/>
                <w:sz w:val="24"/>
                <w:szCs w:val="24"/>
                <w:highlight w:val="none"/>
                <w:lang w:val="en-US" w:eastAsia="zh-CN"/>
              </w:rPr>
              <w:t>7</w:t>
            </w:r>
          </w:p>
        </w:tc>
        <w:tc>
          <w:tcPr>
            <w:tcW w:w="1512" w:type="dxa"/>
            <w:tcBorders>
              <w:top w:val="single" w:color="auto" w:sz="4" w:space="0"/>
              <w:left w:val="single" w:color="auto" w:sz="4" w:space="0"/>
              <w:bottom w:val="single" w:color="auto" w:sz="4" w:space="0"/>
              <w:right w:val="single" w:color="auto" w:sz="4" w:space="0"/>
            </w:tcBorders>
            <w:noWrap w:val="0"/>
            <w:vAlign w:val="center"/>
          </w:tcPr>
          <w:p w14:paraId="5B50E688">
            <w:pPr>
              <w:spacing w:line="240" w:lineRule="auto"/>
              <w:ind w:firstLine="0" w:firstLineChars="0"/>
              <w:jc w:val="center"/>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en-US" w:bidi="ar-SA"/>
              </w:rPr>
              <w:t>投标截止时间</w:t>
            </w:r>
          </w:p>
        </w:tc>
        <w:tc>
          <w:tcPr>
            <w:tcW w:w="7599" w:type="dxa"/>
            <w:tcBorders>
              <w:top w:val="single" w:color="auto" w:sz="4" w:space="0"/>
              <w:left w:val="single" w:color="auto" w:sz="4" w:space="0"/>
              <w:bottom w:val="single" w:color="auto" w:sz="4" w:space="0"/>
              <w:right w:val="single" w:color="auto" w:sz="4" w:space="0"/>
            </w:tcBorders>
            <w:noWrap w:val="0"/>
            <w:vAlign w:val="center"/>
          </w:tcPr>
          <w:p w14:paraId="23125250">
            <w:pPr>
              <w:spacing w:line="240" w:lineRule="auto"/>
              <w:ind w:firstLine="0" w:firstLineChars="0"/>
              <w:jc w:val="left"/>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en-US" w:bidi="ar-SA"/>
              </w:rPr>
              <w:t>供应商应</w:t>
            </w:r>
            <w:r>
              <w:rPr>
                <w:rFonts w:hint="eastAsia" w:ascii="Times New Roman" w:hAnsi="Arial" w:eastAsia="Arial" w:cs="宋体"/>
                <w:snapToGrid w:val="0"/>
                <w:color w:val="000000"/>
                <w:kern w:val="0"/>
                <w:sz w:val="24"/>
                <w:szCs w:val="24"/>
                <w:highlight w:val="none"/>
                <w:lang w:val="en-US" w:eastAsia="zh-CN" w:bidi="ar-SA"/>
              </w:rPr>
              <w:t>于</w:t>
            </w:r>
            <w:r>
              <w:rPr>
                <w:rFonts w:hint="eastAsia" w:ascii="Times New Roman" w:cs="宋体"/>
                <w:snapToGrid w:val="0"/>
                <w:color w:val="000000"/>
                <w:kern w:val="0"/>
                <w:sz w:val="24"/>
                <w:szCs w:val="24"/>
                <w:highlight w:val="none"/>
                <w:lang w:val="en-US" w:eastAsia="zh-CN" w:bidi="ar-SA"/>
              </w:rPr>
              <w:t>2026年01月12日 10 点30分</w:t>
            </w:r>
            <w:r>
              <w:rPr>
                <w:rFonts w:hint="eastAsia" w:ascii="Times New Roman" w:hAnsi="Arial" w:eastAsia="Arial" w:cs="宋体"/>
                <w:snapToGrid w:val="0"/>
                <w:color w:val="000000"/>
                <w:kern w:val="0"/>
                <w:sz w:val="24"/>
                <w:szCs w:val="24"/>
                <w:highlight w:val="none"/>
                <w:lang w:val="en-US" w:eastAsia="zh-CN" w:bidi="ar-SA"/>
              </w:rPr>
              <w:t>之</w:t>
            </w:r>
            <w:r>
              <w:rPr>
                <w:rFonts w:hint="eastAsia" w:ascii="Times New Roman" w:hAnsi="Arial" w:eastAsia="Arial" w:cs="宋体"/>
                <w:snapToGrid w:val="0"/>
                <w:color w:val="000000"/>
                <w:kern w:val="0"/>
                <w:sz w:val="24"/>
                <w:szCs w:val="24"/>
                <w:highlight w:val="none"/>
                <w:lang w:val="en-US" w:eastAsia="en-US" w:bidi="ar-SA"/>
              </w:rPr>
              <w:t>前将电子投标文件上传到“政采云”平台。开标时间后30分钟内供应商登录“政采云”平台，用“项目采购-开标评标”功能进行解密投标文件。若供应商在规定时间内未按时解密的，视为无效投标。（解密时间开始时政采 云平台将以短信形式向供应商在政采云平台预留的手机 号发送短信通知，请供应商及时关注。）</w:t>
            </w:r>
          </w:p>
        </w:tc>
      </w:tr>
      <w:tr w14:paraId="5A278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14:paraId="7767781E">
            <w:pPr>
              <w:spacing w:line="240" w:lineRule="auto"/>
              <w:ind w:firstLine="0" w:firstLineChars="0"/>
              <w:jc w:val="center"/>
              <w:rPr>
                <w:rFonts w:hint="default" w:eastAsia="宋体" w:cs="宋体"/>
                <w:sz w:val="24"/>
                <w:szCs w:val="24"/>
                <w:highlight w:val="none"/>
                <w:lang w:val="en-US" w:eastAsia="zh-CN"/>
              </w:rPr>
            </w:pPr>
            <w:r>
              <w:rPr>
                <w:rFonts w:hint="eastAsia" w:eastAsia="宋体" w:cs="宋体"/>
                <w:sz w:val="24"/>
                <w:szCs w:val="24"/>
                <w:highlight w:val="none"/>
                <w:lang w:val="en-US" w:eastAsia="zh-CN"/>
              </w:rPr>
              <w:t>8</w:t>
            </w:r>
          </w:p>
        </w:tc>
        <w:tc>
          <w:tcPr>
            <w:tcW w:w="1512" w:type="dxa"/>
            <w:tcBorders>
              <w:top w:val="single" w:color="auto" w:sz="4" w:space="0"/>
              <w:left w:val="single" w:color="auto" w:sz="4" w:space="0"/>
              <w:bottom w:val="single" w:color="auto" w:sz="4" w:space="0"/>
              <w:right w:val="single" w:color="auto" w:sz="4" w:space="0"/>
            </w:tcBorders>
            <w:noWrap w:val="0"/>
            <w:vAlign w:val="center"/>
          </w:tcPr>
          <w:p w14:paraId="2709B1FE">
            <w:pPr>
              <w:spacing w:line="240" w:lineRule="auto"/>
              <w:ind w:firstLine="0" w:firstLineChars="0"/>
              <w:jc w:val="center"/>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en-US" w:bidi="ar-SA"/>
              </w:rPr>
              <w:t>磋商地点</w:t>
            </w:r>
          </w:p>
        </w:tc>
        <w:tc>
          <w:tcPr>
            <w:tcW w:w="7599" w:type="dxa"/>
            <w:tcBorders>
              <w:top w:val="single" w:color="auto" w:sz="4" w:space="0"/>
              <w:left w:val="single" w:color="auto" w:sz="4" w:space="0"/>
              <w:bottom w:val="single" w:color="auto" w:sz="4" w:space="0"/>
              <w:right w:val="single" w:color="auto" w:sz="4" w:space="0"/>
            </w:tcBorders>
            <w:noWrap w:val="0"/>
            <w:vAlign w:val="center"/>
          </w:tcPr>
          <w:p w14:paraId="38A82BED">
            <w:pPr>
              <w:spacing w:line="240" w:lineRule="auto"/>
              <w:ind w:firstLine="0" w:firstLineChars="0"/>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en-US" w:bidi="ar-SA"/>
              </w:rPr>
              <w:t>供应商应在投标截止时间前将“电子加密投标文件”成功上传递交至“政府采购云平台”，否则投标无效。</w:t>
            </w:r>
          </w:p>
        </w:tc>
      </w:tr>
      <w:tr w14:paraId="521A9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14:paraId="277B79FB">
            <w:pPr>
              <w:spacing w:line="240" w:lineRule="auto"/>
              <w:ind w:firstLine="0" w:firstLineChars="0"/>
              <w:jc w:val="center"/>
              <w:rPr>
                <w:rFonts w:hint="default" w:eastAsia="宋体" w:cs="宋体"/>
                <w:sz w:val="24"/>
                <w:szCs w:val="24"/>
                <w:highlight w:val="none"/>
                <w:lang w:val="en-US" w:eastAsia="zh-CN"/>
              </w:rPr>
            </w:pPr>
            <w:r>
              <w:rPr>
                <w:rFonts w:hint="eastAsia" w:eastAsia="宋体" w:cs="宋体"/>
                <w:sz w:val="24"/>
                <w:szCs w:val="24"/>
                <w:highlight w:val="none"/>
                <w:lang w:val="en-US" w:eastAsia="zh-CN"/>
              </w:rPr>
              <w:t>9</w:t>
            </w:r>
          </w:p>
        </w:tc>
        <w:tc>
          <w:tcPr>
            <w:tcW w:w="1512" w:type="dxa"/>
            <w:tcBorders>
              <w:top w:val="single" w:color="auto" w:sz="4" w:space="0"/>
              <w:left w:val="single" w:color="auto" w:sz="4" w:space="0"/>
              <w:bottom w:val="single" w:color="auto" w:sz="4" w:space="0"/>
              <w:right w:val="single" w:color="auto" w:sz="4" w:space="0"/>
            </w:tcBorders>
            <w:noWrap w:val="0"/>
            <w:vAlign w:val="center"/>
          </w:tcPr>
          <w:p w14:paraId="6A419B42">
            <w:pPr>
              <w:spacing w:line="240" w:lineRule="auto"/>
              <w:ind w:firstLine="0" w:firstLineChars="0"/>
              <w:jc w:val="center"/>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en-US" w:bidi="ar-SA"/>
              </w:rPr>
              <w:t>联合体</w:t>
            </w:r>
          </w:p>
        </w:tc>
        <w:tc>
          <w:tcPr>
            <w:tcW w:w="7599" w:type="dxa"/>
            <w:tcBorders>
              <w:top w:val="single" w:color="auto" w:sz="4" w:space="0"/>
              <w:left w:val="single" w:color="auto" w:sz="4" w:space="0"/>
              <w:bottom w:val="single" w:color="auto" w:sz="4" w:space="0"/>
              <w:right w:val="single" w:color="auto" w:sz="4" w:space="0"/>
            </w:tcBorders>
            <w:noWrap w:val="0"/>
            <w:vAlign w:val="center"/>
          </w:tcPr>
          <w:p w14:paraId="52D4755C">
            <w:pPr>
              <w:spacing w:line="240" w:lineRule="auto"/>
              <w:ind w:firstLine="0" w:firstLineChars="0"/>
              <w:jc w:val="left"/>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zh-CN" w:bidi="ar-SA"/>
              </w:rPr>
              <w:t xml:space="preserve">联合体的其他资格要求： </w:t>
            </w:r>
          </w:p>
          <w:p w14:paraId="0843C470">
            <w:pPr>
              <w:spacing w:line="240" w:lineRule="auto"/>
              <w:ind w:firstLine="0" w:firstLineChars="0"/>
              <w:jc w:val="left"/>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zh-CN" w:bidi="ar-SA"/>
              </w:rPr>
              <w:t xml:space="preserve">1、提供联合体协议 </w:t>
            </w:r>
          </w:p>
          <w:p w14:paraId="74FDA235">
            <w:pPr>
              <w:spacing w:line="240" w:lineRule="auto"/>
              <w:ind w:firstLine="0" w:firstLineChars="0"/>
              <w:jc w:val="left"/>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zh-CN" w:bidi="ar-SA"/>
              </w:rPr>
              <w:t xml:space="preserve">2、组成联合体成员数量不得超过 2 家。 </w:t>
            </w:r>
          </w:p>
          <w:p w14:paraId="487060E0">
            <w:pPr>
              <w:spacing w:line="240" w:lineRule="auto"/>
              <w:ind w:firstLine="0" w:firstLineChars="0"/>
              <w:jc w:val="left"/>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zh-CN" w:bidi="ar-SA"/>
              </w:rPr>
              <w:t xml:space="preserve">3、联合体投标资质组合要求： </w:t>
            </w:r>
          </w:p>
          <w:p w14:paraId="4D2D96CD">
            <w:pPr>
              <w:spacing w:line="240" w:lineRule="auto"/>
              <w:ind w:firstLine="0" w:firstLineChars="0"/>
              <w:jc w:val="left"/>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zh-CN" w:bidi="ar-SA"/>
              </w:rPr>
              <w:t>①联合体牵头单位或成员：供应商须具备建设主管部门颁发的建设工程质量检测机构资质证书检测范围须包含：建筑材料及构配件、主体结构及装饰装修、钢结构、地基基础。</w:t>
            </w:r>
          </w:p>
          <w:p w14:paraId="25E5DB83">
            <w:pPr>
              <w:spacing w:line="240" w:lineRule="auto"/>
              <w:ind w:firstLine="0" w:firstLineChars="0"/>
              <w:jc w:val="left"/>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zh-CN" w:bidi="ar-SA"/>
              </w:rPr>
              <w:t>②联合体牵头单位或成员：具备工程设计建筑行业（建筑工程）专业乙级或乙级以上资质及工程勘察专业类（岩土工程（勘察））乙级或乙级以上资质</w:t>
            </w:r>
          </w:p>
        </w:tc>
      </w:tr>
      <w:tr w14:paraId="5E05A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14:paraId="5A4F486D">
            <w:pPr>
              <w:spacing w:line="240" w:lineRule="auto"/>
              <w:ind w:firstLine="0" w:firstLineChars="0"/>
              <w:jc w:val="center"/>
              <w:rPr>
                <w:rFonts w:hint="default" w:eastAsia="宋体" w:cs="宋体"/>
                <w:sz w:val="24"/>
                <w:szCs w:val="24"/>
                <w:highlight w:val="none"/>
                <w:lang w:val="en-US" w:eastAsia="zh-CN"/>
              </w:rPr>
            </w:pPr>
            <w:r>
              <w:rPr>
                <w:rFonts w:hint="eastAsia" w:cs="宋体"/>
                <w:sz w:val="24"/>
                <w:szCs w:val="24"/>
                <w:highlight w:val="none"/>
                <w:lang w:val="en-US" w:eastAsia="zh-CN"/>
              </w:rPr>
              <w:t>10</w:t>
            </w:r>
          </w:p>
        </w:tc>
        <w:tc>
          <w:tcPr>
            <w:tcW w:w="1512" w:type="dxa"/>
            <w:tcBorders>
              <w:top w:val="single" w:color="auto" w:sz="4" w:space="0"/>
              <w:left w:val="single" w:color="auto" w:sz="4" w:space="0"/>
              <w:bottom w:val="single" w:color="auto" w:sz="4" w:space="0"/>
              <w:right w:val="single" w:color="auto" w:sz="4" w:space="0"/>
            </w:tcBorders>
            <w:noWrap w:val="0"/>
            <w:vAlign w:val="center"/>
          </w:tcPr>
          <w:p w14:paraId="5230D45B">
            <w:pPr>
              <w:spacing w:line="240" w:lineRule="auto"/>
              <w:ind w:firstLine="0" w:firstLineChars="0"/>
              <w:jc w:val="center"/>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en-US" w:bidi="ar-SA"/>
              </w:rPr>
              <w:t>磋商有效期</w:t>
            </w:r>
          </w:p>
        </w:tc>
        <w:tc>
          <w:tcPr>
            <w:tcW w:w="7599" w:type="dxa"/>
            <w:tcBorders>
              <w:top w:val="single" w:color="auto" w:sz="4" w:space="0"/>
              <w:left w:val="single" w:color="auto" w:sz="4" w:space="0"/>
              <w:bottom w:val="single" w:color="auto" w:sz="4" w:space="0"/>
              <w:right w:val="single" w:color="auto" w:sz="4" w:space="0"/>
            </w:tcBorders>
            <w:noWrap w:val="0"/>
            <w:vAlign w:val="center"/>
          </w:tcPr>
          <w:p w14:paraId="44803EDD">
            <w:pPr>
              <w:spacing w:line="240" w:lineRule="auto"/>
              <w:ind w:firstLine="0" w:firstLineChars="0"/>
              <w:jc w:val="left"/>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zh-CN" w:bidi="ar-SA"/>
              </w:rPr>
              <w:t>90</w:t>
            </w:r>
            <w:r>
              <w:rPr>
                <w:rFonts w:hint="eastAsia" w:ascii="Times New Roman" w:hAnsi="Arial" w:eastAsia="Arial" w:cs="宋体"/>
                <w:snapToGrid w:val="0"/>
                <w:color w:val="000000"/>
                <w:kern w:val="0"/>
                <w:sz w:val="24"/>
                <w:szCs w:val="24"/>
                <w:highlight w:val="none"/>
                <w:lang w:val="en-US" w:eastAsia="en-US" w:bidi="ar-SA"/>
              </w:rPr>
              <w:t>个日历日（从磋商截止之日算起）</w:t>
            </w:r>
          </w:p>
        </w:tc>
      </w:tr>
      <w:tr w14:paraId="54A08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14:paraId="241B15FC">
            <w:pPr>
              <w:spacing w:line="240" w:lineRule="auto"/>
              <w:ind w:firstLine="0" w:firstLineChars="0"/>
              <w:jc w:val="center"/>
              <w:rPr>
                <w:rFonts w:hint="default" w:eastAsia="宋体" w:cs="宋体"/>
                <w:sz w:val="24"/>
                <w:szCs w:val="24"/>
                <w:highlight w:val="none"/>
                <w:lang w:val="en-US" w:eastAsia="zh-CN"/>
              </w:rPr>
            </w:pPr>
            <w:r>
              <w:rPr>
                <w:rFonts w:hint="eastAsia" w:cs="宋体"/>
                <w:sz w:val="24"/>
                <w:szCs w:val="24"/>
                <w:highlight w:val="none"/>
                <w:lang w:val="en-US" w:eastAsia="zh-CN"/>
              </w:rPr>
              <w:t>11</w:t>
            </w:r>
          </w:p>
        </w:tc>
        <w:tc>
          <w:tcPr>
            <w:tcW w:w="1512" w:type="dxa"/>
            <w:tcBorders>
              <w:top w:val="single" w:color="auto" w:sz="4" w:space="0"/>
              <w:left w:val="single" w:color="auto" w:sz="4" w:space="0"/>
              <w:bottom w:val="single" w:color="auto" w:sz="4" w:space="0"/>
              <w:right w:val="single" w:color="auto" w:sz="4" w:space="0"/>
            </w:tcBorders>
            <w:noWrap w:val="0"/>
            <w:vAlign w:val="center"/>
          </w:tcPr>
          <w:p w14:paraId="42BC8DF2">
            <w:pPr>
              <w:spacing w:line="240" w:lineRule="auto"/>
              <w:ind w:firstLine="0" w:firstLineChars="0"/>
              <w:jc w:val="center"/>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en-US" w:bidi="ar-SA"/>
              </w:rPr>
              <w:t>磋商保证金</w:t>
            </w:r>
          </w:p>
        </w:tc>
        <w:tc>
          <w:tcPr>
            <w:tcW w:w="7599" w:type="dxa"/>
            <w:tcBorders>
              <w:top w:val="single" w:color="auto" w:sz="4" w:space="0"/>
              <w:left w:val="single" w:color="auto" w:sz="4" w:space="0"/>
              <w:bottom w:val="single" w:color="auto" w:sz="4" w:space="0"/>
              <w:right w:val="single" w:color="auto" w:sz="4" w:space="0"/>
            </w:tcBorders>
            <w:noWrap w:val="0"/>
            <w:vAlign w:val="center"/>
          </w:tcPr>
          <w:p w14:paraId="033E32EF">
            <w:pPr>
              <w:keepNext w:val="0"/>
              <w:keepLines w:val="0"/>
              <w:widowControl/>
              <w:suppressLineNumbers w:val="0"/>
              <w:ind w:left="0" w:leftChars="0" w:firstLine="0" w:firstLineChars="0"/>
              <w:jc w:val="left"/>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en-US" w:eastAsia="zh-CN" w:bidi="ar-SA"/>
              </w:rPr>
              <w:t>磋商保证金金额：</w:t>
            </w:r>
            <w:r>
              <w:rPr>
                <w:rFonts w:hint="eastAsia" w:ascii="Times New Roman" w:cs="宋体"/>
                <w:snapToGrid w:val="0"/>
                <w:color w:val="000000"/>
                <w:kern w:val="0"/>
                <w:sz w:val="24"/>
                <w:szCs w:val="24"/>
                <w:highlight w:val="none"/>
                <w:lang w:val="en-US" w:eastAsia="zh-CN" w:bidi="ar-SA"/>
              </w:rPr>
              <w:t>10000.00</w:t>
            </w:r>
            <w:r>
              <w:rPr>
                <w:rFonts w:hint="eastAsia" w:ascii="Times New Roman" w:hAnsi="Arial" w:eastAsia="Arial" w:cs="宋体"/>
                <w:snapToGrid w:val="0"/>
                <w:color w:val="000000"/>
                <w:kern w:val="0"/>
                <w:sz w:val="24"/>
                <w:szCs w:val="24"/>
                <w:highlight w:val="none"/>
                <w:lang w:val="en-US" w:eastAsia="zh-CN" w:bidi="ar-SA"/>
              </w:rPr>
              <w:t>元（大写：</w:t>
            </w:r>
            <w:r>
              <w:rPr>
                <w:rFonts w:hint="eastAsia" w:ascii="Times New Roman" w:cs="宋体"/>
                <w:snapToGrid w:val="0"/>
                <w:color w:val="000000"/>
                <w:kern w:val="0"/>
                <w:sz w:val="24"/>
                <w:szCs w:val="24"/>
                <w:highlight w:val="none"/>
                <w:lang w:val="en-US" w:eastAsia="zh-CN" w:bidi="ar-SA"/>
              </w:rPr>
              <w:t>壹万元整</w:t>
            </w:r>
            <w:r>
              <w:rPr>
                <w:rFonts w:hint="eastAsia" w:ascii="Times New Roman" w:hAnsi="Arial" w:eastAsia="Arial" w:cs="宋体"/>
                <w:snapToGrid w:val="0"/>
                <w:color w:val="000000"/>
                <w:kern w:val="0"/>
                <w:sz w:val="24"/>
                <w:szCs w:val="24"/>
                <w:highlight w:val="none"/>
                <w:lang w:val="en-US" w:eastAsia="zh-CN" w:bidi="ar-SA"/>
              </w:rPr>
              <w:t>）</w:t>
            </w:r>
          </w:p>
          <w:p w14:paraId="2D5DA7BF">
            <w:pPr>
              <w:keepNext w:val="0"/>
              <w:keepLines w:val="0"/>
              <w:widowControl/>
              <w:suppressLineNumbers w:val="0"/>
              <w:ind w:left="0" w:leftChars="0" w:firstLine="0" w:firstLineChars="0"/>
              <w:jc w:val="left"/>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en-US" w:eastAsia="zh-CN" w:bidi="ar-SA"/>
              </w:rPr>
              <w:t>磋商保证金须在</w:t>
            </w:r>
            <w:r>
              <w:rPr>
                <w:rFonts w:hint="eastAsia" w:ascii="Times New Roman" w:cs="宋体"/>
                <w:snapToGrid w:val="0"/>
                <w:color w:val="000000"/>
                <w:kern w:val="0"/>
                <w:sz w:val="24"/>
                <w:szCs w:val="24"/>
                <w:highlight w:val="none"/>
                <w:lang w:val="en-US" w:eastAsia="zh-CN" w:bidi="ar-SA"/>
              </w:rPr>
              <w:t>2026年01月23日10:30</w:t>
            </w:r>
            <w:r>
              <w:rPr>
                <w:rFonts w:hint="eastAsia" w:ascii="Times New Roman" w:hAnsi="Arial" w:eastAsia="Arial" w:cs="宋体"/>
                <w:snapToGrid w:val="0"/>
                <w:color w:val="000000"/>
                <w:kern w:val="0"/>
                <w:sz w:val="24"/>
                <w:szCs w:val="24"/>
                <w:highlight w:val="none"/>
                <w:lang w:val="en-US" w:eastAsia="zh-CN" w:bidi="ar-SA"/>
              </w:rPr>
              <w:t>前确认到账。</w:t>
            </w:r>
          </w:p>
          <w:p w14:paraId="4F8ADF8D">
            <w:pPr>
              <w:keepNext w:val="0"/>
              <w:keepLines w:val="0"/>
              <w:widowControl/>
              <w:suppressLineNumbers w:val="0"/>
              <w:ind w:left="0" w:leftChars="0" w:firstLine="0" w:firstLineChars="0"/>
              <w:jc w:val="left"/>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en-US" w:eastAsia="zh-CN" w:bidi="ar-SA"/>
              </w:rPr>
              <w:t>磋商保证金缴纳方式：采用金融机构、担保机构出具的保函、支票、汇票或本票等非现金形式交纳 ，以公对公转账方式缴纳磋商保证金的；缴纳磋商保证金时需备注项目名称；投标人未按要求缴纳磋商保证金的，响应文件无效。</w:t>
            </w:r>
          </w:p>
          <w:p w14:paraId="7B557951">
            <w:pPr>
              <w:keepNext w:val="0"/>
              <w:keepLines w:val="0"/>
              <w:widowControl/>
              <w:suppressLineNumbers w:val="0"/>
              <w:ind w:left="0" w:leftChars="0" w:firstLine="0" w:firstLineChars="0"/>
              <w:jc w:val="left"/>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en-US" w:eastAsia="zh-CN" w:bidi="ar-SA"/>
              </w:rPr>
              <w:t>磋商保证金缴纳账户：</w:t>
            </w:r>
          </w:p>
          <w:p w14:paraId="58AD9299">
            <w:pPr>
              <w:keepNext w:val="0"/>
              <w:keepLines w:val="0"/>
              <w:widowControl/>
              <w:suppressLineNumbers w:val="0"/>
              <w:ind w:left="0" w:leftChars="0" w:firstLine="0" w:firstLineChars="0"/>
              <w:jc w:val="left"/>
              <w:rPr>
                <w:rFonts w:hint="eastAsia" w:ascii="Times New Roman" w:hAnsi="Arial" w:eastAsia="Arial" w:cs="宋体"/>
                <w:snapToGrid w:val="0"/>
                <w:color w:val="000000"/>
                <w:kern w:val="0"/>
                <w:sz w:val="24"/>
                <w:szCs w:val="24"/>
                <w:highlight w:val="none"/>
                <w:lang w:val="zh-CN" w:eastAsia="zh-CN" w:bidi="ar-SA"/>
              </w:rPr>
            </w:pPr>
            <w:r>
              <w:rPr>
                <w:rFonts w:hint="eastAsia" w:ascii="Times New Roman" w:hAnsi="Arial" w:eastAsia="Arial" w:cs="宋体"/>
                <w:snapToGrid w:val="0"/>
                <w:color w:val="000000"/>
                <w:kern w:val="0"/>
                <w:sz w:val="24"/>
                <w:szCs w:val="24"/>
                <w:highlight w:val="none"/>
                <w:lang w:val="zh-CN" w:eastAsia="zh-CN" w:bidi="ar-SA"/>
              </w:rPr>
              <w:t>单位名称：呼图壁县锦华建业工程项目管理有限公司</w:t>
            </w:r>
          </w:p>
          <w:p w14:paraId="3BA2D99A">
            <w:pPr>
              <w:keepNext w:val="0"/>
              <w:keepLines w:val="0"/>
              <w:widowControl/>
              <w:suppressLineNumbers w:val="0"/>
              <w:ind w:left="0" w:leftChars="0" w:firstLine="0" w:firstLineChars="0"/>
              <w:jc w:val="left"/>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zh-CN" w:eastAsia="zh-CN" w:bidi="ar-SA"/>
              </w:rPr>
              <w:t>帐    号：</w:t>
            </w:r>
            <w:r>
              <w:rPr>
                <w:rFonts w:hint="eastAsia" w:ascii="Times New Roman" w:hAnsi="Arial" w:eastAsia="Arial" w:cs="宋体"/>
                <w:snapToGrid w:val="0"/>
                <w:color w:val="000000"/>
                <w:kern w:val="0"/>
                <w:sz w:val="24"/>
                <w:szCs w:val="24"/>
                <w:highlight w:val="none"/>
                <w:lang w:val="en-US" w:eastAsia="zh-CN" w:bidi="ar-SA"/>
              </w:rPr>
              <w:t>2036 5232 3001 0000 0488 561</w:t>
            </w:r>
          </w:p>
          <w:p w14:paraId="2A0F1009">
            <w:pPr>
              <w:keepNext w:val="0"/>
              <w:keepLines w:val="0"/>
              <w:widowControl/>
              <w:suppressLineNumbers w:val="0"/>
              <w:ind w:left="0" w:leftChars="0" w:firstLine="0" w:firstLineChars="0"/>
              <w:jc w:val="left"/>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zh-CN" w:eastAsia="zh-CN" w:bidi="ar-SA"/>
              </w:rPr>
              <w:t>开 户 行：</w:t>
            </w:r>
            <w:r>
              <w:rPr>
                <w:rFonts w:hint="eastAsia" w:ascii="Times New Roman" w:hAnsi="Arial" w:eastAsia="Arial" w:cs="宋体"/>
                <w:snapToGrid w:val="0"/>
                <w:color w:val="000000"/>
                <w:kern w:val="0"/>
                <w:sz w:val="24"/>
                <w:szCs w:val="24"/>
                <w:highlight w:val="none"/>
                <w:lang w:val="en-US" w:eastAsia="zh-CN" w:bidi="ar-SA"/>
              </w:rPr>
              <w:t>中国农业发展银行呼图壁支行</w:t>
            </w:r>
          </w:p>
          <w:p w14:paraId="4793E1AF">
            <w:pPr>
              <w:keepNext w:val="0"/>
              <w:keepLines w:val="0"/>
              <w:widowControl/>
              <w:suppressLineNumbers w:val="0"/>
              <w:ind w:left="0" w:leftChars="0" w:firstLine="0" w:firstLineChars="0"/>
              <w:jc w:val="left"/>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zh-CN" w:eastAsia="zh-CN" w:bidi="ar-SA"/>
              </w:rPr>
              <w:t>联系电话：</w:t>
            </w:r>
            <w:r>
              <w:rPr>
                <w:rFonts w:hint="eastAsia" w:ascii="Times New Roman" w:hAnsi="Arial" w:eastAsia="Arial" w:cs="宋体"/>
                <w:snapToGrid w:val="0"/>
                <w:color w:val="000000"/>
                <w:kern w:val="0"/>
                <w:sz w:val="24"/>
                <w:szCs w:val="24"/>
                <w:highlight w:val="none"/>
                <w:lang w:val="en-US" w:eastAsia="zh-CN" w:bidi="ar-SA"/>
              </w:rPr>
              <w:t>17699229943</w:t>
            </w:r>
            <w:r>
              <w:rPr>
                <w:rFonts w:hint="eastAsia" w:ascii="Times New Roman" w:hAnsi="Arial" w:eastAsia="Arial" w:cs="宋体"/>
                <w:snapToGrid w:val="0"/>
                <w:color w:val="000000"/>
                <w:kern w:val="0"/>
                <w:sz w:val="24"/>
                <w:szCs w:val="24"/>
                <w:highlight w:val="none"/>
                <w:lang w:val="zh-CN" w:eastAsia="zh-CN" w:bidi="ar-SA"/>
              </w:rPr>
              <w:t>投标单位汇入以上帐户的投标保证金，办理退还手续的投标单位必须开具加盖投标单位财务章的收据及基本帐户信息（与汇出保证金的基本帐户一致）中标单位委托的代理人须同时提供授权委托书到我公司财务部即可办理。</w:t>
            </w:r>
          </w:p>
        </w:tc>
      </w:tr>
      <w:tr w14:paraId="2F236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14:paraId="7E370BEA">
            <w:pPr>
              <w:spacing w:line="240" w:lineRule="auto"/>
              <w:ind w:firstLine="0" w:firstLineChars="0"/>
              <w:jc w:val="center"/>
              <w:rPr>
                <w:rFonts w:hint="default" w:eastAsia="宋体" w:cs="宋体"/>
                <w:sz w:val="24"/>
                <w:szCs w:val="24"/>
                <w:highlight w:val="none"/>
                <w:lang w:val="en-US" w:eastAsia="zh-CN"/>
              </w:rPr>
            </w:pPr>
            <w:r>
              <w:rPr>
                <w:rFonts w:hint="eastAsia" w:cs="宋体"/>
                <w:sz w:val="24"/>
                <w:szCs w:val="24"/>
                <w:highlight w:val="none"/>
                <w:lang w:val="en-US" w:eastAsia="zh-CN"/>
              </w:rPr>
              <w:t>12</w:t>
            </w:r>
          </w:p>
        </w:tc>
        <w:tc>
          <w:tcPr>
            <w:tcW w:w="1512" w:type="dxa"/>
            <w:tcBorders>
              <w:top w:val="single" w:color="auto" w:sz="4" w:space="0"/>
              <w:left w:val="single" w:color="auto" w:sz="4" w:space="0"/>
              <w:bottom w:val="single" w:color="auto" w:sz="4" w:space="0"/>
              <w:right w:val="single" w:color="auto" w:sz="4" w:space="0"/>
            </w:tcBorders>
            <w:noWrap w:val="0"/>
            <w:vAlign w:val="center"/>
          </w:tcPr>
          <w:p w14:paraId="72ED7C7F">
            <w:pPr>
              <w:spacing w:line="240" w:lineRule="auto"/>
              <w:ind w:firstLine="0" w:firstLineChars="0"/>
              <w:jc w:val="center"/>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en-US" w:bidi="ar-SA"/>
              </w:rPr>
              <w:t>竞争性磋商文件发放日 期及地点</w:t>
            </w:r>
          </w:p>
        </w:tc>
        <w:tc>
          <w:tcPr>
            <w:tcW w:w="7599" w:type="dxa"/>
            <w:tcBorders>
              <w:top w:val="single" w:color="auto" w:sz="4" w:space="0"/>
              <w:left w:val="single" w:color="auto" w:sz="4" w:space="0"/>
              <w:bottom w:val="single" w:color="auto" w:sz="4" w:space="0"/>
              <w:right w:val="single" w:color="auto" w:sz="4" w:space="0"/>
            </w:tcBorders>
            <w:noWrap w:val="0"/>
            <w:vAlign w:val="center"/>
          </w:tcPr>
          <w:p w14:paraId="6A768F6F">
            <w:pPr>
              <w:keepNext w:val="0"/>
              <w:keepLines w:val="0"/>
              <w:widowControl/>
              <w:suppressLineNumbers w:val="0"/>
              <w:ind w:left="0" w:leftChars="0" w:firstLine="0" w:firstLineChars="0"/>
              <w:jc w:val="left"/>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en-US" w:eastAsia="zh-CN" w:bidi="ar-SA"/>
              </w:rPr>
              <w:t>202</w:t>
            </w:r>
            <w:r>
              <w:rPr>
                <w:rFonts w:hint="eastAsia" w:ascii="Times New Roman" w:cs="宋体"/>
                <w:snapToGrid w:val="0"/>
                <w:color w:val="000000"/>
                <w:kern w:val="0"/>
                <w:sz w:val="24"/>
                <w:szCs w:val="24"/>
                <w:highlight w:val="none"/>
                <w:lang w:val="en-US" w:eastAsia="zh-CN" w:bidi="ar-SA"/>
              </w:rPr>
              <w:t>6</w:t>
            </w:r>
            <w:r>
              <w:rPr>
                <w:rFonts w:hint="eastAsia" w:ascii="Times New Roman" w:hAnsi="Arial" w:eastAsia="Arial" w:cs="宋体"/>
                <w:snapToGrid w:val="0"/>
                <w:color w:val="000000"/>
                <w:kern w:val="0"/>
                <w:sz w:val="24"/>
                <w:szCs w:val="24"/>
                <w:highlight w:val="none"/>
                <w:lang w:val="en-US" w:eastAsia="zh-CN" w:bidi="ar-SA"/>
              </w:rPr>
              <w:t xml:space="preserve"> 年</w:t>
            </w:r>
            <w:r>
              <w:rPr>
                <w:rFonts w:hint="eastAsia" w:ascii="Times New Roman" w:cs="宋体"/>
                <w:snapToGrid w:val="0"/>
                <w:color w:val="000000"/>
                <w:kern w:val="0"/>
                <w:sz w:val="24"/>
                <w:szCs w:val="24"/>
                <w:highlight w:val="none"/>
                <w:lang w:val="en-US" w:eastAsia="zh-CN" w:bidi="ar-SA"/>
              </w:rPr>
              <w:t>01</w:t>
            </w:r>
            <w:r>
              <w:rPr>
                <w:rFonts w:hint="eastAsia" w:ascii="Times New Roman" w:hAnsi="Arial" w:eastAsia="Arial" w:cs="宋体"/>
                <w:snapToGrid w:val="0"/>
                <w:color w:val="000000"/>
                <w:kern w:val="0"/>
                <w:sz w:val="24"/>
                <w:szCs w:val="24"/>
                <w:highlight w:val="none"/>
                <w:lang w:val="en-US" w:eastAsia="zh-CN" w:bidi="ar-SA"/>
              </w:rPr>
              <w:t>月</w:t>
            </w:r>
            <w:r>
              <w:rPr>
                <w:rFonts w:hint="eastAsia" w:ascii="Times New Roman" w:cs="宋体"/>
                <w:snapToGrid w:val="0"/>
                <w:color w:val="000000"/>
                <w:kern w:val="0"/>
                <w:sz w:val="24"/>
                <w:szCs w:val="24"/>
                <w:highlight w:val="none"/>
                <w:lang w:val="en-US" w:eastAsia="zh-CN" w:bidi="ar-SA"/>
              </w:rPr>
              <w:t>13</w:t>
            </w:r>
            <w:r>
              <w:rPr>
                <w:rFonts w:hint="eastAsia" w:ascii="Times New Roman" w:hAnsi="Arial" w:eastAsia="Arial" w:cs="宋体"/>
                <w:snapToGrid w:val="0"/>
                <w:color w:val="000000"/>
                <w:kern w:val="0"/>
                <w:sz w:val="24"/>
                <w:szCs w:val="24"/>
                <w:highlight w:val="none"/>
                <w:lang w:val="en-US" w:eastAsia="zh-CN" w:bidi="ar-SA"/>
              </w:rPr>
              <w:t>日至202</w:t>
            </w:r>
            <w:r>
              <w:rPr>
                <w:rFonts w:hint="eastAsia" w:ascii="Times New Roman" w:cs="宋体"/>
                <w:snapToGrid w:val="0"/>
                <w:color w:val="000000"/>
                <w:kern w:val="0"/>
                <w:sz w:val="24"/>
                <w:szCs w:val="24"/>
                <w:highlight w:val="none"/>
                <w:lang w:val="en-US" w:eastAsia="zh-CN" w:bidi="ar-SA"/>
              </w:rPr>
              <w:t>6</w:t>
            </w:r>
            <w:r>
              <w:rPr>
                <w:rFonts w:hint="eastAsia" w:ascii="Times New Roman" w:hAnsi="Arial" w:eastAsia="Arial" w:cs="宋体"/>
                <w:snapToGrid w:val="0"/>
                <w:color w:val="000000"/>
                <w:kern w:val="0"/>
                <w:sz w:val="24"/>
                <w:szCs w:val="24"/>
                <w:highlight w:val="none"/>
                <w:lang w:val="en-US" w:eastAsia="zh-CN" w:bidi="ar-SA"/>
              </w:rPr>
              <w:t>年</w:t>
            </w:r>
            <w:r>
              <w:rPr>
                <w:rFonts w:hint="eastAsia" w:ascii="Times New Roman" w:cs="宋体"/>
                <w:snapToGrid w:val="0"/>
                <w:color w:val="000000"/>
                <w:kern w:val="0"/>
                <w:sz w:val="24"/>
                <w:szCs w:val="24"/>
                <w:highlight w:val="none"/>
                <w:lang w:val="en-US" w:eastAsia="zh-CN" w:bidi="ar-SA"/>
              </w:rPr>
              <w:t>01</w:t>
            </w:r>
            <w:r>
              <w:rPr>
                <w:rFonts w:hint="eastAsia" w:ascii="Times New Roman" w:hAnsi="Arial" w:eastAsia="Arial" w:cs="宋体"/>
                <w:snapToGrid w:val="0"/>
                <w:color w:val="000000"/>
                <w:kern w:val="0"/>
                <w:sz w:val="24"/>
                <w:szCs w:val="24"/>
                <w:highlight w:val="none"/>
                <w:lang w:val="en-US" w:eastAsia="zh-CN" w:bidi="ar-SA"/>
              </w:rPr>
              <w:t>月</w:t>
            </w:r>
            <w:r>
              <w:rPr>
                <w:rFonts w:hint="eastAsia" w:ascii="Times New Roman" w:cs="宋体"/>
                <w:snapToGrid w:val="0"/>
                <w:color w:val="000000"/>
                <w:kern w:val="0"/>
                <w:sz w:val="24"/>
                <w:szCs w:val="24"/>
                <w:highlight w:val="none"/>
                <w:lang w:val="en-US" w:eastAsia="zh-CN" w:bidi="ar-SA"/>
              </w:rPr>
              <w:t>20</w:t>
            </w:r>
            <w:r>
              <w:rPr>
                <w:rFonts w:hint="eastAsia" w:ascii="Times New Roman" w:hAnsi="Arial" w:eastAsia="Arial" w:cs="宋体"/>
                <w:snapToGrid w:val="0"/>
                <w:color w:val="000000"/>
                <w:kern w:val="0"/>
                <w:sz w:val="24"/>
                <w:szCs w:val="24"/>
                <w:highlight w:val="none"/>
                <w:lang w:val="en-US" w:eastAsia="zh-CN" w:bidi="ar-SA"/>
              </w:rPr>
              <w:t xml:space="preserve">日，每天上午 0:00-23:59（北京时间）； </w:t>
            </w:r>
          </w:p>
          <w:p w14:paraId="666FC982">
            <w:pPr>
              <w:keepNext w:val="0"/>
              <w:keepLines w:val="0"/>
              <w:widowControl/>
              <w:suppressLineNumbers w:val="0"/>
              <w:ind w:left="0" w:leftChars="0" w:firstLine="0" w:firstLineChars="0"/>
              <w:jc w:val="left"/>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en-US" w:eastAsia="zh-CN" w:bidi="ar-SA"/>
              </w:rPr>
              <w:t>地点：新疆政采云平台线上获取。</w:t>
            </w:r>
          </w:p>
        </w:tc>
      </w:tr>
      <w:tr w14:paraId="0D32C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14:paraId="51C8B4C0">
            <w:pPr>
              <w:spacing w:line="240" w:lineRule="auto"/>
              <w:ind w:firstLine="0" w:firstLineChars="0"/>
              <w:jc w:val="center"/>
              <w:rPr>
                <w:rFonts w:hint="default" w:eastAsia="宋体" w:cs="宋体"/>
                <w:sz w:val="24"/>
                <w:szCs w:val="24"/>
                <w:highlight w:val="none"/>
                <w:lang w:val="en-US" w:eastAsia="zh-CN"/>
              </w:rPr>
            </w:pPr>
            <w:r>
              <w:rPr>
                <w:rFonts w:hint="eastAsia" w:cs="宋体"/>
                <w:sz w:val="24"/>
                <w:szCs w:val="24"/>
                <w:highlight w:val="none"/>
                <w:lang w:val="en-US" w:eastAsia="zh-CN"/>
              </w:rPr>
              <w:t>13</w:t>
            </w:r>
          </w:p>
        </w:tc>
        <w:tc>
          <w:tcPr>
            <w:tcW w:w="1512" w:type="dxa"/>
            <w:tcBorders>
              <w:top w:val="single" w:color="auto" w:sz="4" w:space="0"/>
              <w:left w:val="single" w:color="auto" w:sz="4" w:space="0"/>
              <w:bottom w:val="single" w:color="auto" w:sz="4" w:space="0"/>
              <w:right w:val="single" w:color="auto" w:sz="4" w:space="0"/>
            </w:tcBorders>
            <w:noWrap w:val="0"/>
            <w:vAlign w:val="center"/>
          </w:tcPr>
          <w:p w14:paraId="37B6BF1F">
            <w:pPr>
              <w:spacing w:line="240" w:lineRule="auto"/>
              <w:ind w:firstLine="0" w:firstLineChars="0"/>
              <w:jc w:val="center"/>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en-US" w:bidi="ar-SA"/>
              </w:rPr>
              <w:t>响应文件</w:t>
            </w:r>
          </w:p>
          <w:p w14:paraId="55B5F70C">
            <w:pPr>
              <w:spacing w:line="240" w:lineRule="auto"/>
              <w:ind w:firstLine="0" w:firstLineChars="0"/>
              <w:jc w:val="center"/>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en-US" w:bidi="ar-SA"/>
              </w:rPr>
              <w:t>递交地点</w:t>
            </w:r>
          </w:p>
        </w:tc>
        <w:tc>
          <w:tcPr>
            <w:tcW w:w="7599" w:type="dxa"/>
            <w:tcBorders>
              <w:top w:val="single" w:color="auto" w:sz="4" w:space="0"/>
              <w:left w:val="single" w:color="auto" w:sz="4" w:space="0"/>
              <w:bottom w:val="single" w:color="auto" w:sz="4" w:space="0"/>
              <w:right w:val="single" w:color="auto" w:sz="4" w:space="0"/>
            </w:tcBorders>
            <w:noWrap w:val="0"/>
            <w:vAlign w:val="center"/>
          </w:tcPr>
          <w:p w14:paraId="127B1685">
            <w:pPr>
              <w:pStyle w:val="15"/>
              <w:widowControl/>
              <w:adjustRightInd/>
              <w:spacing w:before="75" w:after="75" w:line="440" w:lineRule="exact"/>
              <w:ind w:firstLine="0" w:firstLineChars="0"/>
              <w:textAlignment w:val="auto"/>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en-US" w:bidi="ar-SA"/>
              </w:rPr>
              <w:t>供应商应在投标截止时间前将“电子加密投标文件”成 功上传递交至“政府采购云平台”，否则投标无效。</w:t>
            </w:r>
            <w:r>
              <w:rPr>
                <w:rFonts w:hint="eastAsia" w:ascii="Times New Roman" w:hAnsi="Arial" w:eastAsia="Arial" w:cs="宋体"/>
                <w:snapToGrid w:val="0"/>
                <w:color w:val="000000"/>
                <w:kern w:val="0"/>
                <w:sz w:val="24"/>
                <w:szCs w:val="24"/>
                <w:highlight w:val="none"/>
                <w:lang w:val="en-US" w:eastAsia="zh-CN" w:bidi="ar-SA"/>
              </w:rPr>
              <w:t> </w:t>
            </w:r>
            <w:r>
              <w:rPr>
                <w:rFonts w:hint="eastAsia" w:ascii="Times New Roman" w:hAnsi="Arial" w:eastAsia="Arial" w:cs="宋体"/>
                <w:snapToGrid w:val="0"/>
                <w:color w:val="000000"/>
                <w:kern w:val="0"/>
                <w:sz w:val="24"/>
                <w:szCs w:val="24"/>
                <w:highlight w:val="none"/>
                <w:lang w:val="zh-CN" w:eastAsia="zh-CN" w:bidi="ar-SA"/>
              </w:rPr>
              <w:t> </w:t>
            </w:r>
          </w:p>
        </w:tc>
      </w:tr>
      <w:tr w14:paraId="125D9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14:paraId="599FCBB4">
            <w:pPr>
              <w:spacing w:line="240" w:lineRule="auto"/>
              <w:ind w:firstLine="0" w:firstLineChars="0"/>
              <w:jc w:val="center"/>
              <w:rPr>
                <w:rFonts w:hint="eastAsia" w:eastAsia="宋体" w:cs="宋体"/>
                <w:sz w:val="24"/>
                <w:szCs w:val="24"/>
                <w:highlight w:val="none"/>
                <w:lang w:val="en-US" w:eastAsia="zh-CN"/>
              </w:rPr>
            </w:pPr>
            <w:r>
              <w:rPr>
                <w:rFonts w:hint="eastAsia" w:cs="宋体"/>
                <w:sz w:val="24"/>
                <w:szCs w:val="24"/>
                <w:highlight w:val="none"/>
              </w:rPr>
              <w:t>1</w:t>
            </w:r>
            <w:r>
              <w:rPr>
                <w:rFonts w:hint="eastAsia" w:cs="宋体"/>
                <w:sz w:val="24"/>
                <w:szCs w:val="24"/>
                <w:highlight w:val="none"/>
                <w:lang w:val="en-US" w:eastAsia="zh-CN"/>
              </w:rPr>
              <w:t>4</w:t>
            </w:r>
          </w:p>
        </w:tc>
        <w:tc>
          <w:tcPr>
            <w:tcW w:w="1512" w:type="dxa"/>
            <w:tcBorders>
              <w:top w:val="single" w:color="auto" w:sz="4" w:space="0"/>
              <w:left w:val="single" w:color="auto" w:sz="4" w:space="0"/>
              <w:bottom w:val="single" w:color="auto" w:sz="4" w:space="0"/>
              <w:right w:val="single" w:color="auto" w:sz="4" w:space="0"/>
            </w:tcBorders>
            <w:noWrap w:val="0"/>
            <w:vAlign w:val="center"/>
          </w:tcPr>
          <w:p w14:paraId="6E2D6C21">
            <w:pPr>
              <w:spacing w:line="240" w:lineRule="auto"/>
              <w:ind w:firstLine="0" w:firstLineChars="0"/>
              <w:jc w:val="center"/>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en-US" w:bidi="ar-SA"/>
              </w:rPr>
              <w:t>预算金额</w:t>
            </w:r>
          </w:p>
        </w:tc>
        <w:tc>
          <w:tcPr>
            <w:tcW w:w="7599" w:type="dxa"/>
            <w:tcBorders>
              <w:top w:val="single" w:color="auto" w:sz="4" w:space="0"/>
              <w:left w:val="single" w:color="auto" w:sz="4" w:space="0"/>
              <w:bottom w:val="single" w:color="auto" w:sz="4" w:space="0"/>
              <w:right w:val="single" w:color="auto" w:sz="4" w:space="0"/>
            </w:tcBorders>
            <w:noWrap w:val="0"/>
            <w:vAlign w:val="center"/>
          </w:tcPr>
          <w:p w14:paraId="3BD8E27A">
            <w:pPr>
              <w:pStyle w:val="13"/>
              <w:ind w:left="0" w:leftChars="0" w:firstLine="0" w:firstLineChars="0"/>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eastAsia="宋体" w:cs="宋体"/>
                <w:snapToGrid w:val="0"/>
                <w:color w:val="000000"/>
                <w:kern w:val="0"/>
                <w:sz w:val="24"/>
                <w:szCs w:val="24"/>
                <w:highlight w:val="none"/>
                <w:lang w:val="en-US" w:eastAsia="zh-CN" w:bidi="ar-SA"/>
              </w:rPr>
              <w:t>最高限价</w:t>
            </w:r>
            <w:r>
              <w:rPr>
                <w:rFonts w:hint="eastAsia" w:ascii="Times New Roman" w:hAnsi="Arial" w:eastAsia="Arial" w:cs="宋体"/>
                <w:snapToGrid w:val="0"/>
                <w:color w:val="000000"/>
                <w:kern w:val="0"/>
                <w:sz w:val="24"/>
                <w:szCs w:val="24"/>
                <w:highlight w:val="none"/>
                <w:lang w:val="en-US" w:eastAsia="en-US" w:bidi="ar-SA"/>
              </w:rPr>
              <w:t>：</w:t>
            </w:r>
            <w:r>
              <w:rPr>
                <w:rFonts w:hint="eastAsia" w:ascii="Times New Roman" w:cs="宋体"/>
                <w:snapToGrid w:val="0"/>
                <w:color w:val="000000"/>
                <w:kern w:val="0"/>
                <w:sz w:val="24"/>
                <w:szCs w:val="24"/>
                <w:highlight w:val="none"/>
                <w:lang w:val="en-US" w:eastAsia="zh-CN" w:bidi="ar-SA"/>
              </w:rPr>
              <w:t>15</w:t>
            </w:r>
            <w:r>
              <w:rPr>
                <w:rFonts w:hint="eastAsia" w:ascii="Times New Roman" w:hAnsi="Arial" w:eastAsia="Arial" w:cs="宋体"/>
                <w:snapToGrid w:val="0"/>
                <w:color w:val="000000"/>
                <w:kern w:val="0"/>
                <w:sz w:val="24"/>
                <w:szCs w:val="24"/>
                <w:highlight w:val="none"/>
                <w:lang w:val="en-US" w:eastAsia="en-US" w:bidi="ar-SA"/>
              </w:rPr>
              <w:t>元</w:t>
            </w:r>
            <w:r>
              <w:rPr>
                <w:rFonts w:hint="eastAsia" w:ascii="Times New Roman" w:eastAsia="宋体" w:cs="宋体"/>
                <w:snapToGrid w:val="0"/>
                <w:color w:val="000000"/>
                <w:kern w:val="0"/>
                <w:sz w:val="24"/>
                <w:szCs w:val="24"/>
                <w:highlight w:val="none"/>
                <w:lang w:val="en-US" w:eastAsia="zh-CN" w:bidi="ar-SA"/>
              </w:rPr>
              <w:t>/平方米</w:t>
            </w:r>
            <w:r>
              <w:rPr>
                <w:rFonts w:hint="eastAsia" w:ascii="Times New Roman" w:hAnsi="Arial" w:eastAsia="Arial" w:cs="宋体"/>
                <w:snapToGrid w:val="0"/>
                <w:color w:val="000000"/>
                <w:kern w:val="0"/>
                <w:sz w:val="24"/>
                <w:szCs w:val="24"/>
                <w:highlight w:val="none"/>
                <w:lang w:val="en-US" w:eastAsia="zh-CN" w:bidi="ar-SA"/>
              </w:rPr>
              <w:t>（最终以中标有效单价＊实际鉴定面积进行结算，最高结算金额不得超过预算总额）</w:t>
            </w:r>
            <w:r>
              <w:rPr>
                <w:rFonts w:hint="eastAsia" w:ascii="Times New Roman" w:hAnsi="Arial" w:eastAsia="Arial" w:cs="宋体"/>
                <w:snapToGrid w:val="0"/>
                <w:color w:val="000000"/>
                <w:kern w:val="0"/>
                <w:sz w:val="24"/>
                <w:szCs w:val="24"/>
                <w:highlight w:val="none"/>
                <w:lang w:val="en-US" w:eastAsia="en-US" w:bidi="ar-SA"/>
              </w:rPr>
              <w:t>投标报价不得超过</w:t>
            </w:r>
            <w:r>
              <w:rPr>
                <w:rFonts w:hint="eastAsia" w:ascii="Times New Roman" w:eastAsia="宋体" w:cs="宋体"/>
                <w:snapToGrid w:val="0"/>
                <w:color w:val="000000"/>
                <w:kern w:val="0"/>
                <w:sz w:val="24"/>
                <w:szCs w:val="24"/>
                <w:highlight w:val="none"/>
                <w:lang w:val="en-US" w:eastAsia="zh-CN" w:bidi="ar-SA"/>
              </w:rPr>
              <w:t>最高限价</w:t>
            </w:r>
            <w:r>
              <w:rPr>
                <w:rFonts w:hint="eastAsia" w:ascii="Times New Roman" w:hAnsi="Arial" w:eastAsia="Arial" w:cs="宋体"/>
                <w:snapToGrid w:val="0"/>
                <w:color w:val="000000"/>
                <w:kern w:val="0"/>
                <w:sz w:val="24"/>
                <w:szCs w:val="24"/>
                <w:highlight w:val="none"/>
                <w:lang w:val="en-US" w:eastAsia="en-US" w:bidi="ar-SA"/>
              </w:rPr>
              <w:t>，超过预算金额的投标人的投标将被拒。</w:t>
            </w:r>
          </w:p>
        </w:tc>
      </w:tr>
      <w:tr w14:paraId="3FC1C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14:paraId="7D433B2F">
            <w:pPr>
              <w:spacing w:line="240" w:lineRule="auto"/>
              <w:ind w:firstLine="0" w:firstLineChars="0"/>
              <w:jc w:val="center"/>
              <w:rPr>
                <w:rFonts w:hint="default" w:eastAsia="宋体" w:cs="宋体"/>
                <w:sz w:val="24"/>
                <w:szCs w:val="24"/>
                <w:highlight w:val="none"/>
                <w:lang w:val="en-US" w:eastAsia="zh-CN"/>
              </w:rPr>
            </w:pPr>
            <w:r>
              <w:rPr>
                <w:rFonts w:hint="eastAsia" w:cs="宋体"/>
                <w:sz w:val="24"/>
                <w:szCs w:val="24"/>
                <w:highlight w:val="none"/>
                <w:lang w:val="en-US" w:eastAsia="zh-CN"/>
              </w:rPr>
              <w:t>15</w:t>
            </w:r>
          </w:p>
        </w:tc>
        <w:tc>
          <w:tcPr>
            <w:tcW w:w="1512" w:type="dxa"/>
            <w:tcBorders>
              <w:top w:val="single" w:color="auto" w:sz="4" w:space="0"/>
              <w:left w:val="single" w:color="auto" w:sz="4" w:space="0"/>
              <w:bottom w:val="single" w:color="auto" w:sz="4" w:space="0"/>
              <w:right w:val="single" w:color="auto" w:sz="4" w:space="0"/>
            </w:tcBorders>
            <w:noWrap w:val="0"/>
            <w:vAlign w:val="center"/>
          </w:tcPr>
          <w:p w14:paraId="5E8AC1BB">
            <w:pPr>
              <w:spacing w:line="240" w:lineRule="auto"/>
              <w:ind w:firstLine="0" w:firstLineChars="0"/>
              <w:jc w:val="center"/>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en-US" w:bidi="ar-SA"/>
              </w:rPr>
              <w:t>付款方式</w:t>
            </w:r>
          </w:p>
        </w:tc>
        <w:tc>
          <w:tcPr>
            <w:tcW w:w="7599" w:type="dxa"/>
            <w:tcBorders>
              <w:top w:val="single" w:color="auto" w:sz="4" w:space="0"/>
              <w:left w:val="single" w:color="auto" w:sz="4" w:space="0"/>
              <w:bottom w:val="single" w:color="auto" w:sz="4" w:space="0"/>
              <w:right w:val="single" w:color="auto" w:sz="4" w:space="0"/>
            </w:tcBorders>
            <w:noWrap w:val="0"/>
            <w:vAlign w:val="center"/>
          </w:tcPr>
          <w:p w14:paraId="4E970390">
            <w:pPr>
              <w:spacing w:line="240" w:lineRule="auto"/>
              <w:ind w:firstLine="0" w:firstLineChars="0"/>
              <w:jc w:val="left"/>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zh-CN" w:bidi="ar-SA"/>
              </w:rPr>
              <w:t>以甲乙双方合同约定执行。</w:t>
            </w:r>
          </w:p>
        </w:tc>
      </w:tr>
      <w:tr w14:paraId="3F069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atLeas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14:paraId="1D033F93">
            <w:pPr>
              <w:spacing w:line="240" w:lineRule="auto"/>
              <w:ind w:firstLine="0" w:firstLineChars="0"/>
              <w:jc w:val="center"/>
              <w:rPr>
                <w:rFonts w:hint="default" w:eastAsia="宋体" w:cs="宋体"/>
                <w:sz w:val="24"/>
                <w:szCs w:val="24"/>
                <w:highlight w:val="none"/>
                <w:lang w:val="en-US" w:eastAsia="zh-CN"/>
              </w:rPr>
            </w:pPr>
            <w:r>
              <w:rPr>
                <w:rFonts w:hint="eastAsia" w:cs="宋体"/>
                <w:sz w:val="24"/>
                <w:szCs w:val="24"/>
                <w:highlight w:val="none"/>
                <w:lang w:val="en-US" w:eastAsia="zh-CN"/>
              </w:rPr>
              <w:t>16</w:t>
            </w:r>
          </w:p>
        </w:tc>
        <w:tc>
          <w:tcPr>
            <w:tcW w:w="1512" w:type="dxa"/>
            <w:tcBorders>
              <w:top w:val="single" w:color="auto" w:sz="4" w:space="0"/>
              <w:left w:val="single" w:color="auto" w:sz="4" w:space="0"/>
              <w:bottom w:val="single" w:color="auto" w:sz="4" w:space="0"/>
              <w:right w:val="single" w:color="auto" w:sz="4" w:space="0"/>
            </w:tcBorders>
            <w:noWrap w:val="0"/>
            <w:vAlign w:val="center"/>
          </w:tcPr>
          <w:p w14:paraId="155387C6">
            <w:pPr>
              <w:spacing w:line="240" w:lineRule="auto"/>
              <w:ind w:firstLine="0" w:firstLineChars="0"/>
              <w:jc w:val="center"/>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en-US" w:bidi="ar-SA"/>
              </w:rPr>
              <w:t>代理机构</w:t>
            </w:r>
          </w:p>
        </w:tc>
        <w:tc>
          <w:tcPr>
            <w:tcW w:w="7599" w:type="dxa"/>
            <w:tcBorders>
              <w:top w:val="single" w:color="auto" w:sz="4" w:space="0"/>
              <w:left w:val="single" w:color="auto" w:sz="4" w:space="0"/>
              <w:bottom w:val="single" w:color="auto" w:sz="4" w:space="0"/>
              <w:right w:val="single" w:color="auto" w:sz="4" w:space="0"/>
            </w:tcBorders>
            <w:noWrap w:val="0"/>
            <w:vAlign w:val="center"/>
          </w:tcPr>
          <w:p w14:paraId="0775B2E8">
            <w:pPr>
              <w:spacing w:line="240" w:lineRule="auto"/>
              <w:ind w:firstLine="0" w:firstLineChars="0"/>
              <w:jc w:val="left"/>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en-US" w:bidi="ar-SA"/>
              </w:rPr>
              <w:t>采购代理机构名称：</w:t>
            </w:r>
            <w:r>
              <w:rPr>
                <w:rFonts w:hint="eastAsia" w:ascii="Times New Roman" w:hAnsi="Arial" w:eastAsia="Arial" w:cs="宋体"/>
                <w:snapToGrid w:val="0"/>
                <w:color w:val="000000"/>
                <w:kern w:val="0"/>
                <w:sz w:val="24"/>
                <w:szCs w:val="24"/>
                <w:highlight w:val="none"/>
                <w:lang w:val="en-US" w:eastAsia="zh-CN" w:bidi="ar-SA"/>
              </w:rPr>
              <w:t>呼图壁县锦华建业工程项目管理有限公司  </w:t>
            </w:r>
            <w:r>
              <w:rPr>
                <w:rFonts w:hint="eastAsia" w:ascii="Times New Roman" w:hAnsi="Arial" w:eastAsia="Arial" w:cs="宋体"/>
                <w:snapToGrid w:val="0"/>
                <w:color w:val="000000"/>
                <w:kern w:val="0"/>
                <w:sz w:val="24"/>
                <w:szCs w:val="24"/>
                <w:highlight w:val="none"/>
                <w:lang w:val="en-US" w:eastAsia="en-US" w:bidi="ar-SA"/>
              </w:rPr>
              <w:t> </w:t>
            </w:r>
          </w:p>
          <w:p w14:paraId="17F8B475">
            <w:pPr>
              <w:spacing w:line="240" w:lineRule="auto"/>
              <w:ind w:firstLine="0" w:firstLineChars="0"/>
              <w:jc w:val="left"/>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en-US" w:eastAsia="en-US" w:bidi="ar-SA"/>
              </w:rPr>
              <w:t>联系人：</w:t>
            </w:r>
            <w:r>
              <w:rPr>
                <w:rFonts w:hint="eastAsia" w:ascii="Times New Roman" w:hAnsi="Arial" w:eastAsia="Arial" w:cs="宋体"/>
                <w:snapToGrid w:val="0"/>
                <w:color w:val="000000"/>
                <w:kern w:val="0"/>
                <w:sz w:val="24"/>
                <w:szCs w:val="24"/>
                <w:highlight w:val="none"/>
                <w:lang w:val="en-US" w:eastAsia="zh-CN" w:bidi="ar-SA"/>
              </w:rPr>
              <w:t>李东</w:t>
            </w:r>
          </w:p>
          <w:p w14:paraId="3AD0491F">
            <w:pPr>
              <w:spacing w:line="240" w:lineRule="auto"/>
              <w:ind w:firstLine="0" w:firstLineChars="0"/>
              <w:jc w:val="left"/>
              <w:rPr>
                <w:rFonts w:hint="default"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en-US" w:bidi="ar-SA"/>
              </w:rPr>
              <w:t>联系电话：</w:t>
            </w:r>
            <w:r>
              <w:rPr>
                <w:rFonts w:hint="eastAsia" w:ascii="Times New Roman" w:cs="宋体"/>
                <w:snapToGrid w:val="0"/>
                <w:color w:val="000000"/>
                <w:kern w:val="0"/>
                <w:sz w:val="24"/>
                <w:szCs w:val="24"/>
                <w:highlight w:val="none"/>
                <w:lang w:val="en-US" w:eastAsia="zh-CN" w:bidi="ar-SA"/>
              </w:rPr>
              <w:t>17699229943</w:t>
            </w:r>
          </w:p>
        </w:tc>
      </w:tr>
      <w:tr w14:paraId="67ECE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14:paraId="36CB28B9">
            <w:pPr>
              <w:spacing w:line="240" w:lineRule="auto"/>
              <w:ind w:firstLine="0" w:firstLineChars="0"/>
              <w:jc w:val="center"/>
              <w:rPr>
                <w:rFonts w:hint="default" w:eastAsia="宋体" w:cs="宋体"/>
                <w:sz w:val="24"/>
                <w:szCs w:val="24"/>
                <w:highlight w:val="none"/>
                <w:lang w:val="en-US" w:eastAsia="zh-CN"/>
              </w:rPr>
            </w:pPr>
            <w:r>
              <w:rPr>
                <w:rFonts w:hint="eastAsia" w:cs="宋体"/>
                <w:sz w:val="24"/>
                <w:szCs w:val="24"/>
                <w:highlight w:val="none"/>
                <w:lang w:val="en-US" w:eastAsia="zh-CN"/>
              </w:rPr>
              <w:t>17</w:t>
            </w:r>
          </w:p>
        </w:tc>
        <w:tc>
          <w:tcPr>
            <w:tcW w:w="1512" w:type="dxa"/>
            <w:tcBorders>
              <w:top w:val="single" w:color="auto" w:sz="4" w:space="0"/>
              <w:left w:val="single" w:color="auto" w:sz="4" w:space="0"/>
              <w:bottom w:val="single" w:color="auto" w:sz="4" w:space="0"/>
              <w:right w:val="single" w:color="auto" w:sz="4" w:space="0"/>
            </w:tcBorders>
            <w:noWrap w:val="0"/>
            <w:vAlign w:val="center"/>
          </w:tcPr>
          <w:p w14:paraId="554AC158">
            <w:pPr>
              <w:spacing w:line="240" w:lineRule="auto"/>
              <w:ind w:firstLine="0" w:firstLineChars="0"/>
              <w:jc w:val="center"/>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en-US" w:bidi="ar-SA"/>
              </w:rPr>
              <w:t>招标代理费</w:t>
            </w:r>
          </w:p>
        </w:tc>
        <w:tc>
          <w:tcPr>
            <w:tcW w:w="7599" w:type="dxa"/>
            <w:tcBorders>
              <w:top w:val="single" w:color="auto" w:sz="4" w:space="0"/>
              <w:left w:val="single" w:color="auto" w:sz="4" w:space="0"/>
              <w:bottom w:val="single" w:color="auto" w:sz="4" w:space="0"/>
              <w:right w:val="single" w:color="auto" w:sz="4" w:space="0"/>
            </w:tcBorders>
            <w:noWrap w:val="0"/>
            <w:vAlign w:val="center"/>
          </w:tcPr>
          <w:p w14:paraId="522B26C9">
            <w:pPr>
              <w:spacing w:line="240" w:lineRule="auto"/>
              <w:ind w:firstLine="0" w:firstLineChars="0"/>
              <w:jc w:val="left"/>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en-US" w:bidi="ar-SA"/>
              </w:rPr>
              <w:t>收取对象：中标或成交供应商。 收费标准：</w:t>
            </w:r>
            <w:r>
              <w:rPr>
                <w:rFonts w:hint="eastAsia" w:ascii="Times New Roman" w:hAnsi="Arial" w:eastAsia="Arial" w:cs="宋体"/>
                <w:snapToGrid w:val="0"/>
                <w:color w:val="000000"/>
                <w:kern w:val="0"/>
                <w:sz w:val="24"/>
                <w:szCs w:val="24"/>
                <w:highlight w:val="none"/>
                <w:lang w:val="en-US" w:eastAsia="zh-CN" w:bidi="ar-SA"/>
              </w:rPr>
              <w:t>参考《招标代理服务管理暂行办法》（计价格）【2002】1980号收费标准</w:t>
            </w:r>
            <w:r>
              <w:rPr>
                <w:rFonts w:hint="eastAsia" w:ascii="Times New Roman" w:hAnsi="Arial" w:eastAsia="Arial" w:cs="宋体"/>
                <w:snapToGrid w:val="0"/>
                <w:color w:val="000000"/>
                <w:kern w:val="0"/>
                <w:sz w:val="24"/>
                <w:szCs w:val="24"/>
                <w:highlight w:val="none"/>
                <w:lang w:val="en-US" w:eastAsia="en-US" w:bidi="ar-SA"/>
              </w:rPr>
              <w:t>。</w:t>
            </w:r>
          </w:p>
        </w:tc>
      </w:tr>
      <w:tr w14:paraId="0379D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14:paraId="06CF9026">
            <w:pPr>
              <w:spacing w:line="240" w:lineRule="auto"/>
              <w:ind w:firstLine="0" w:firstLineChars="0"/>
              <w:jc w:val="center"/>
              <w:rPr>
                <w:rFonts w:hint="default" w:eastAsia="宋体" w:cs="宋体"/>
                <w:sz w:val="24"/>
                <w:szCs w:val="24"/>
                <w:highlight w:val="none"/>
                <w:lang w:val="en-US" w:eastAsia="zh-CN"/>
              </w:rPr>
            </w:pPr>
            <w:r>
              <w:rPr>
                <w:rFonts w:hint="eastAsia" w:cs="宋体"/>
                <w:sz w:val="24"/>
                <w:szCs w:val="24"/>
                <w:highlight w:val="none"/>
                <w:lang w:val="en-US" w:eastAsia="zh-CN"/>
              </w:rPr>
              <w:t>18</w:t>
            </w:r>
          </w:p>
        </w:tc>
        <w:tc>
          <w:tcPr>
            <w:tcW w:w="1512" w:type="dxa"/>
            <w:tcBorders>
              <w:top w:val="single" w:color="auto" w:sz="4" w:space="0"/>
              <w:left w:val="single" w:color="auto" w:sz="4" w:space="0"/>
              <w:bottom w:val="single" w:color="auto" w:sz="4" w:space="0"/>
              <w:right w:val="single" w:color="auto" w:sz="4" w:space="0"/>
            </w:tcBorders>
            <w:noWrap w:val="0"/>
            <w:vAlign w:val="center"/>
          </w:tcPr>
          <w:p w14:paraId="7BBB3BF0">
            <w:pPr>
              <w:spacing w:line="240" w:lineRule="auto"/>
              <w:ind w:firstLine="0" w:firstLineChars="0"/>
              <w:jc w:val="center"/>
              <w:rPr>
                <w:rFonts w:hint="default"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en-US" w:eastAsia="zh-CN" w:bidi="ar-SA"/>
              </w:rPr>
              <w:t>服务期限</w:t>
            </w:r>
          </w:p>
        </w:tc>
        <w:tc>
          <w:tcPr>
            <w:tcW w:w="7599" w:type="dxa"/>
            <w:tcBorders>
              <w:top w:val="single" w:color="auto" w:sz="4" w:space="0"/>
              <w:left w:val="single" w:color="auto" w:sz="4" w:space="0"/>
              <w:bottom w:val="single" w:color="auto" w:sz="4" w:space="0"/>
              <w:right w:val="single" w:color="auto" w:sz="4" w:space="0"/>
            </w:tcBorders>
            <w:noWrap w:val="0"/>
            <w:vAlign w:val="center"/>
          </w:tcPr>
          <w:p w14:paraId="5741EAA5">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leftChars="0" w:right="0" w:firstLine="0" w:firstLineChars="0"/>
              <w:jc w:val="left"/>
              <w:textAlignment w:val="auto"/>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en-US" w:eastAsia="zh-CN" w:bidi="ar-SA"/>
              </w:rPr>
              <w:t>自合同签订之日60天（日历日）（我县种牛场西域春社区、东泉社区平房区土地权属为种牛场有限责任公司，房屋均为满足当时种牛场公司职工住房需求而由居民自行建设，未参照标准图集，房屋结构混杂多样。该片区道路硬化不完善、无排水设施，多数房屋经多年雪水融冻与雨水冲刷，房屋存在失修失养、风化现象。经几十年来房屋买卖、继承、赠与，现居住的产权人多为外来务工人员、低收入群体，无能力改善居住条件，鉴定难度增加。此次鉴定的房屋基本是80-100平方米的平房，所有按照规范标准产生的破坏性检测取样的位置需要由中标单位恢复。此次鉴定房屋因分布广、人员外出务工等原因，需要多次上门走访开展入户检测，以上原因应当予以考虑）</w:t>
            </w:r>
          </w:p>
        </w:tc>
      </w:tr>
      <w:tr w14:paraId="2D085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14:paraId="5042C842">
            <w:pPr>
              <w:spacing w:line="240" w:lineRule="auto"/>
              <w:ind w:firstLine="0" w:firstLineChars="0"/>
              <w:jc w:val="center"/>
              <w:rPr>
                <w:rFonts w:hint="default" w:eastAsia="宋体" w:cs="宋体"/>
                <w:sz w:val="24"/>
                <w:szCs w:val="24"/>
                <w:highlight w:val="none"/>
                <w:lang w:val="en-US" w:eastAsia="zh-CN"/>
              </w:rPr>
            </w:pPr>
            <w:r>
              <w:rPr>
                <w:rFonts w:hint="eastAsia" w:eastAsia="宋体" w:cs="宋体"/>
                <w:sz w:val="24"/>
                <w:szCs w:val="24"/>
                <w:highlight w:val="none"/>
                <w:lang w:val="en-US" w:eastAsia="zh-CN"/>
              </w:rPr>
              <w:t>19</w:t>
            </w:r>
          </w:p>
        </w:tc>
        <w:tc>
          <w:tcPr>
            <w:tcW w:w="1512" w:type="dxa"/>
            <w:tcBorders>
              <w:top w:val="single" w:color="auto" w:sz="4" w:space="0"/>
              <w:left w:val="single" w:color="auto" w:sz="4" w:space="0"/>
              <w:bottom w:val="single" w:color="auto" w:sz="4" w:space="0"/>
              <w:right w:val="single" w:color="auto" w:sz="4" w:space="0"/>
            </w:tcBorders>
            <w:noWrap w:val="0"/>
            <w:vAlign w:val="center"/>
          </w:tcPr>
          <w:p w14:paraId="37370504">
            <w:pPr>
              <w:spacing w:line="240" w:lineRule="auto"/>
              <w:ind w:firstLine="0" w:firstLineChars="0"/>
              <w:jc w:val="center"/>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en-US" w:bidi="ar-SA"/>
              </w:rPr>
              <w:t>优惠政策</w:t>
            </w:r>
          </w:p>
          <w:p w14:paraId="060E56D6">
            <w:pPr>
              <w:spacing w:line="240" w:lineRule="auto"/>
              <w:ind w:firstLine="0" w:firstLineChars="0"/>
              <w:jc w:val="center"/>
              <w:rPr>
                <w:rFonts w:hint="eastAsia" w:ascii="Times New Roman" w:hAnsi="Arial" w:eastAsia="Arial" w:cs="宋体"/>
                <w:snapToGrid w:val="0"/>
                <w:color w:val="000000"/>
                <w:kern w:val="0"/>
                <w:sz w:val="24"/>
                <w:szCs w:val="24"/>
                <w:highlight w:val="none"/>
                <w:lang w:val="en-US" w:eastAsia="zh-CN" w:bidi="ar-SA"/>
              </w:rPr>
            </w:pPr>
          </w:p>
        </w:tc>
        <w:tc>
          <w:tcPr>
            <w:tcW w:w="7599" w:type="dxa"/>
            <w:tcBorders>
              <w:top w:val="single" w:color="auto" w:sz="4" w:space="0"/>
              <w:left w:val="single" w:color="auto" w:sz="4" w:space="0"/>
              <w:bottom w:val="single" w:color="auto" w:sz="4" w:space="0"/>
              <w:right w:val="single" w:color="auto" w:sz="4" w:space="0"/>
            </w:tcBorders>
            <w:noWrap w:val="0"/>
            <w:vAlign w:val="center"/>
          </w:tcPr>
          <w:p w14:paraId="4E5B58D6">
            <w:pPr>
              <w:keepNext w:val="0"/>
              <w:keepLines w:val="0"/>
              <w:widowControl/>
              <w:suppressLineNumbers w:val="0"/>
              <w:ind w:left="0" w:leftChars="0" w:firstLine="0" w:firstLineChars="0"/>
              <w:jc w:val="left"/>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zh-CN" w:bidi="ar-SA"/>
              </w:rPr>
              <w:t>根据中华人民共和国财政部、中华人民共和国工业和信 息化部《政府采购促进中小企业发展管理办法》（财库 [2020]46号）文件的规定，属于中小企业评审优惠内容 及幅度如下：</w:t>
            </w:r>
          </w:p>
          <w:p w14:paraId="1437540D">
            <w:pPr>
              <w:keepNext w:val="0"/>
              <w:keepLines w:val="0"/>
              <w:widowControl/>
              <w:suppressLineNumbers w:val="0"/>
              <w:jc w:val="left"/>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zh-CN" w:bidi="ar-SA"/>
              </w:rPr>
              <w:t>序号名称内容 （一）在政府采购活动中，供应商提供的货物、工程或 者服务符合下列情形的，享受本办法规定的中小企业扶 持政策： （一）在货物采购项目中，货物由中小企业制造，即货 物由中小企业生产且使用该中小企业商号或者注册商 标； （二）在工程采购项目中，工程由中小企业承建，即工 程施工单位为中小企业； （三）在服务采购项目中，服务由中小企业承接，即提 供服务的人员为中小企业依照《中华人民共和国劳动合 同法》订立劳动合同的从业人员。 在货物采购项目中，供应商提供的货物既有中小企业制 造货物，也有大型企业制造货物的，不享受本办法规定 的中小企业扶持政策。 以联合体形式参加政府采购活动，联合体各方均为中小 企业的，联合体视同中小企业。其中，联合体各方均为 小微企业的，联合体视同小微企业。 监狱企业、残疾人福利性企业视同为小微企业。 （二）价格扣除办法：对小型和微型企业（或联合体各 方均为小型、微型企业的）的报价给予10</w:t>
            </w:r>
            <w:r>
              <w:rPr>
                <w:rFonts w:hint="default" w:ascii="Times New Roman" w:hAnsi="Arial" w:eastAsia="Arial" w:cs="宋体"/>
                <w:snapToGrid w:val="0"/>
                <w:color w:val="000000"/>
                <w:kern w:val="0"/>
                <w:sz w:val="24"/>
                <w:szCs w:val="24"/>
                <w:highlight w:val="none"/>
                <w:lang w:val="en-US" w:eastAsia="zh-CN" w:bidi="ar-SA"/>
              </w:rPr>
              <w:t>%</w:t>
            </w:r>
            <w:r>
              <w:rPr>
                <w:rFonts w:hint="eastAsia" w:ascii="Times New Roman" w:hAnsi="Arial" w:eastAsia="Arial" w:cs="宋体"/>
                <w:snapToGrid w:val="0"/>
                <w:color w:val="000000"/>
                <w:kern w:val="0"/>
                <w:sz w:val="24"/>
                <w:szCs w:val="24"/>
                <w:highlight w:val="none"/>
                <w:lang w:val="en-US" w:eastAsia="zh-CN" w:bidi="ar-SA"/>
              </w:rPr>
              <w:t>的扣除，用扣 除后的价格参与价格分的评审。 （三）小型和微型企业适用价格扣除办法时应提供的相 关资料：《中小企业声明函》。</w:t>
            </w:r>
          </w:p>
          <w:p w14:paraId="1B688553">
            <w:pPr>
              <w:spacing w:line="240" w:lineRule="auto"/>
              <w:ind w:firstLine="0" w:firstLineChars="0"/>
              <w:jc w:val="left"/>
              <w:rPr>
                <w:rFonts w:hint="eastAsia" w:ascii="Times New Roman" w:hAnsi="Arial" w:eastAsia="Arial" w:cs="宋体"/>
                <w:snapToGrid w:val="0"/>
                <w:color w:val="000000"/>
                <w:kern w:val="0"/>
                <w:sz w:val="24"/>
                <w:szCs w:val="24"/>
                <w:highlight w:val="none"/>
                <w:lang w:val="en-US" w:eastAsia="en-US" w:bidi="ar-SA"/>
              </w:rPr>
            </w:pPr>
          </w:p>
        </w:tc>
      </w:tr>
      <w:tr w14:paraId="7362A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14:paraId="3F09CCCF">
            <w:pPr>
              <w:spacing w:line="240" w:lineRule="auto"/>
              <w:ind w:firstLine="0" w:firstLineChars="0"/>
              <w:jc w:val="center"/>
              <w:rPr>
                <w:rFonts w:hint="default" w:eastAsia="宋体" w:cs="宋体"/>
                <w:sz w:val="24"/>
                <w:szCs w:val="24"/>
                <w:highlight w:val="none"/>
                <w:lang w:val="en-US" w:eastAsia="zh-CN"/>
              </w:rPr>
            </w:pPr>
            <w:r>
              <w:rPr>
                <w:rFonts w:hint="eastAsia" w:cs="宋体"/>
                <w:sz w:val="24"/>
                <w:szCs w:val="24"/>
                <w:highlight w:val="none"/>
                <w:lang w:val="en-US" w:eastAsia="zh-CN"/>
              </w:rPr>
              <w:t>21</w:t>
            </w:r>
          </w:p>
        </w:tc>
        <w:tc>
          <w:tcPr>
            <w:tcW w:w="1512" w:type="dxa"/>
            <w:tcBorders>
              <w:top w:val="single" w:color="auto" w:sz="4" w:space="0"/>
              <w:left w:val="single" w:color="auto" w:sz="4" w:space="0"/>
              <w:bottom w:val="single" w:color="auto" w:sz="4" w:space="0"/>
              <w:right w:val="single" w:color="auto" w:sz="4" w:space="0"/>
            </w:tcBorders>
            <w:noWrap w:val="0"/>
            <w:vAlign w:val="center"/>
          </w:tcPr>
          <w:p w14:paraId="522E58AC">
            <w:pPr>
              <w:spacing w:line="240" w:lineRule="auto"/>
              <w:ind w:firstLine="0" w:firstLineChars="0"/>
              <w:jc w:val="center"/>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en-US" w:eastAsia="zh-CN" w:bidi="ar-SA"/>
              </w:rPr>
              <w:t>评标办法</w:t>
            </w:r>
          </w:p>
        </w:tc>
        <w:tc>
          <w:tcPr>
            <w:tcW w:w="7599" w:type="dxa"/>
            <w:tcBorders>
              <w:top w:val="single" w:color="auto" w:sz="4" w:space="0"/>
              <w:left w:val="single" w:color="auto" w:sz="4" w:space="0"/>
              <w:bottom w:val="single" w:color="auto" w:sz="4" w:space="0"/>
              <w:right w:val="single" w:color="auto" w:sz="4" w:space="0"/>
            </w:tcBorders>
            <w:noWrap w:val="0"/>
            <w:vAlign w:val="center"/>
          </w:tcPr>
          <w:p w14:paraId="500EEC25">
            <w:pPr>
              <w:spacing w:line="240" w:lineRule="auto"/>
              <w:ind w:firstLine="0" w:firstLineChars="0"/>
              <w:jc w:val="left"/>
              <w:rPr>
                <w:rFonts w:hint="eastAsia" w:ascii="Times New Roman" w:hAnsi="Arial" w:eastAsia="Arial" w:cs="宋体"/>
                <w:snapToGrid w:val="0"/>
                <w:color w:val="000000"/>
                <w:kern w:val="0"/>
                <w:sz w:val="24"/>
                <w:szCs w:val="24"/>
                <w:highlight w:val="none"/>
                <w:lang w:val="en-US" w:eastAsia="en-US" w:bidi="ar-SA"/>
              </w:rPr>
            </w:pPr>
            <w:r>
              <w:rPr>
                <w:rFonts w:hint="eastAsia" w:ascii="Times New Roman" w:hAnsi="Arial" w:eastAsia="Arial" w:cs="宋体"/>
                <w:snapToGrid w:val="0"/>
                <w:color w:val="000000"/>
                <w:kern w:val="0"/>
                <w:sz w:val="24"/>
                <w:szCs w:val="24"/>
                <w:highlight w:val="none"/>
                <w:lang w:val="en-US" w:eastAsia="zh-CN" w:bidi="ar-SA"/>
              </w:rPr>
              <w:t>综合评分法</w:t>
            </w:r>
          </w:p>
        </w:tc>
      </w:tr>
      <w:tr w14:paraId="64825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741" w:type="dxa"/>
            <w:tcBorders>
              <w:top w:val="single" w:color="auto" w:sz="4" w:space="0"/>
              <w:left w:val="single" w:color="auto" w:sz="4" w:space="0"/>
              <w:bottom w:val="single" w:color="auto" w:sz="4" w:space="0"/>
              <w:right w:val="single" w:color="auto" w:sz="4" w:space="0"/>
            </w:tcBorders>
            <w:noWrap w:val="0"/>
            <w:vAlign w:val="center"/>
          </w:tcPr>
          <w:p w14:paraId="608F89C9">
            <w:pPr>
              <w:spacing w:line="240" w:lineRule="auto"/>
              <w:ind w:firstLine="0" w:firstLineChars="0"/>
              <w:jc w:val="center"/>
              <w:rPr>
                <w:rFonts w:hint="default" w:cs="宋体"/>
                <w:sz w:val="24"/>
                <w:szCs w:val="24"/>
                <w:highlight w:val="none"/>
                <w:lang w:val="en-US" w:eastAsia="zh-CN"/>
              </w:rPr>
            </w:pPr>
            <w:r>
              <w:rPr>
                <w:rFonts w:hint="eastAsia" w:cs="宋体"/>
                <w:sz w:val="24"/>
                <w:szCs w:val="24"/>
                <w:highlight w:val="none"/>
                <w:lang w:val="en-US" w:eastAsia="zh-CN"/>
              </w:rPr>
              <w:t>22</w:t>
            </w:r>
          </w:p>
        </w:tc>
        <w:tc>
          <w:tcPr>
            <w:tcW w:w="1512" w:type="dxa"/>
            <w:tcBorders>
              <w:top w:val="single" w:color="auto" w:sz="4" w:space="0"/>
              <w:left w:val="single" w:color="auto" w:sz="4" w:space="0"/>
              <w:bottom w:val="single" w:color="auto" w:sz="4" w:space="0"/>
              <w:right w:val="single" w:color="auto" w:sz="4" w:space="0"/>
            </w:tcBorders>
            <w:noWrap w:val="0"/>
            <w:vAlign w:val="center"/>
          </w:tcPr>
          <w:p w14:paraId="68D6EF7A">
            <w:pPr>
              <w:pStyle w:val="23"/>
              <w:keepNext w:val="0"/>
              <w:keepLines w:val="0"/>
              <w:pageBreakBefore w:val="0"/>
              <w:kinsoku/>
              <w:wordWrap/>
              <w:topLinePunct w:val="0"/>
              <w:bidi w:val="0"/>
              <w:snapToGrid w:val="0"/>
              <w:spacing w:line="400" w:lineRule="exact"/>
              <w:ind w:left="0" w:leftChars="0" w:firstLine="0" w:firstLineChars="0"/>
              <w:jc w:val="center"/>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en-US" w:eastAsia="zh-CN" w:bidi="ar-SA"/>
              </w:rPr>
              <w:t>成交结果</w:t>
            </w:r>
          </w:p>
          <w:p w14:paraId="6C1992FD">
            <w:pPr>
              <w:pStyle w:val="23"/>
              <w:keepNext w:val="0"/>
              <w:keepLines w:val="0"/>
              <w:pageBreakBefore w:val="0"/>
              <w:kinsoku/>
              <w:wordWrap/>
              <w:topLinePunct w:val="0"/>
              <w:bidi w:val="0"/>
              <w:snapToGrid w:val="0"/>
              <w:spacing w:line="400" w:lineRule="exact"/>
              <w:ind w:left="0" w:leftChars="0" w:firstLine="0" w:firstLineChars="0"/>
              <w:jc w:val="center"/>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en-US" w:eastAsia="zh-CN" w:bidi="ar-SA"/>
              </w:rPr>
              <w:t>公告</w:t>
            </w:r>
          </w:p>
        </w:tc>
        <w:tc>
          <w:tcPr>
            <w:tcW w:w="7599" w:type="dxa"/>
            <w:tcBorders>
              <w:top w:val="single" w:color="auto" w:sz="4" w:space="0"/>
              <w:left w:val="single" w:color="auto" w:sz="4" w:space="0"/>
              <w:bottom w:val="single" w:color="auto" w:sz="4" w:space="0"/>
              <w:right w:val="single" w:color="auto" w:sz="4" w:space="0"/>
            </w:tcBorders>
            <w:noWrap w:val="0"/>
            <w:vAlign w:val="center"/>
          </w:tcPr>
          <w:p w14:paraId="3D5657F8">
            <w:pPr>
              <w:pStyle w:val="23"/>
              <w:keepNext w:val="0"/>
              <w:keepLines w:val="0"/>
              <w:pageBreakBefore w:val="0"/>
              <w:kinsoku/>
              <w:wordWrap/>
              <w:topLinePunct w:val="0"/>
              <w:bidi w:val="0"/>
              <w:snapToGrid w:val="0"/>
              <w:spacing w:line="400" w:lineRule="exact"/>
              <w:ind w:left="0" w:leftChars="0" w:firstLine="0" w:firstLineChars="0"/>
              <w:rPr>
                <w:rFonts w:hint="eastAsia" w:ascii="Times New Roman" w:hAnsi="Arial" w:eastAsia="Arial" w:cs="宋体"/>
                <w:snapToGrid w:val="0"/>
                <w:color w:val="000000"/>
                <w:kern w:val="0"/>
                <w:sz w:val="24"/>
                <w:szCs w:val="24"/>
                <w:highlight w:val="none"/>
                <w:lang w:val="en-US" w:eastAsia="zh-CN" w:bidi="ar-SA"/>
              </w:rPr>
            </w:pPr>
            <w:r>
              <w:rPr>
                <w:rFonts w:hint="eastAsia" w:ascii="Times New Roman" w:hAnsi="Arial" w:eastAsia="Arial" w:cs="宋体"/>
                <w:snapToGrid w:val="0"/>
                <w:color w:val="000000"/>
                <w:kern w:val="0"/>
                <w:sz w:val="24"/>
                <w:szCs w:val="24"/>
                <w:highlight w:val="none"/>
                <w:lang w:val="en-US" w:eastAsia="zh-CN" w:bidi="ar-SA"/>
              </w:rPr>
              <w:t>成交结果公告将在新疆政府采购网发布。</w:t>
            </w:r>
          </w:p>
        </w:tc>
      </w:tr>
    </w:tbl>
    <w:p w14:paraId="5511BB08">
      <w:pPr>
        <w:pStyle w:val="5"/>
        <w:ind w:left="0" w:leftChars="0" w:firstLine="0" w:firstLineChars="0"/>
        <w:rPr>
          <w:rFonts w:hint="eastAsia"/>
          <w:highlight w:val="none"/>
        </w:rPr>
      </w:pPr>
      <w:bookmarkStart w:id="11" w:name="_Toc403987205"/>
      <w:bookmarkStart w:id="12" w:name="_Toc16938519"/>
      <w:bookmarkStart w:id="13" w:name="_Toc120614214"/>
      <w:bookmarkStart w:id="14" w:name="_Toc513029203"/>
      <w:bookmarkStart w:id="15" w:name="_Toc20823275"/>
    </w:p>
    <w:bookmarkEnd w:id="11"/>
    <w:bookmarkEnd w:id="12"/>
    <w:bookmarkEnd w:id="13"/>
    <w:bookmarkEnd w:id="14"/>
    <w:bookmarkEnd w:id="15"/>
    <w:p w14:paraId="10131023">
      <w:pPr>
        <w:pStyle w:val="3"/>
        <w:numPr>
          <w:ilvl w:val="0"/>
          <w:numId w:val="0"/>
        </w:numPr>
        <w:bidi w:val="0"/>
        <w:jc w:val="both"/>
        <w:rPr>
          <w:rFonts w:hint="eastAsia" w:ascii="宋体" w:hAnsi="宋体" w:eastAsia="宋体" w:cs="宋体"/>
          <w:b/>
          <w:sz w:val="24"/>
          <w:szCs w:val="24"/>
          <w:highlight w:val="none"/>
        </w:rPr>
      </w:pPr>
      <w:bookmarkStart w:id="16" w:name="_Toc21036"/>
      <w:bookmarkStart w:id="17" w:name="_Toc403987212"/>
      <w:bookmarkStart w:id="18" w:name="_Toc20823314"/>
      <w:bookmarkStart w:id="19" w:name="_Toc16938558"/>
      <w:bookmarkStart w:id="20" w:name="_Toc479757207"/>
      <w:bookmarkStart w:id="21" w:name="_Toc513029242"/>
      <w:bookmarkStart w:id="22" w:name="_Toc120614221"/>
    </w:p>
    <w:p w14:paraId="4310E2C7">
      <w:pPr>
        <w:rPr>
          <w:rFonts w:hint="eastAsia" w:ascii="宋体" w:hAnsi="宋体" w:eastAsia="宋体" w:cs="宋体"/>
          <w:b/>
          <w:sz w:val="24"/>
          <w:szCs w:val="24"/>
          <w:highlight w:val="none"/>
        </w:rPr>
      </w:pPr>
    </w:p>
    <w:p w14:paraId="5BC52996">
      <w:pPr>
        <w:pStyle w:val="22"/>
        <w:rPr>
          <w:rFonts w:hint="eastAsia" w:ascii="宋体" w:hAnsi="宋体" w:eastAsia="宋体" w:cs="宋体"/>
          <w:b/>
          <w:sz w:val="24"/>
          <w:szCs w:val="24"/>
          <w:highlight w:val="none"/>
        </w:rPr>
      </w:pPr>
    </w:p>
    <w:p w14:paraId="490ED7F9">
      <w:pPr>
        <w:pStyle w:val="22"/>
        <w:rPr>
          <w:rFonts w:hint="eastAsia" w:ascii="宋体" w:hAnsi="宋体" w:eastAsia="宋体" w:cs="宋体"/>
          <w:b/>
          <w:sz w:val="24"/>
          <w:szCs w:val="24"/>
          <w:highlight w:val="none"/>
        </w:rPr>
      </w:pPr>
    </w:p>
    <w:p w14:paraId="493E1F23">
      <w:pPr>
        <w:pStyle w:val="22"/>
        <w:ind w:left="0" w:leftChars="0" w:firstLine="0" w:firstLineChars="0"/>
        <w:rPr>
          <w:rFonts w:hint="eastAsia" w:ascii="宋体" w:hAnsi="宋体" w:eastAsia="宋体" w:cs="宋体"/>
          <w:b/>
          <w:sz w:val="24"/>
          <w:szCs w:val="24"/>
          <w:highlight w:val="none"/>
        </w:rPr>
      </w:pPr>
    </w:p>
    <w:p w14:paraId="002328A3">
      <w:pPr>
        <w:pStyle w:val="22"/>
        <w:ind w:left="0" w:leftChars="0" w:firstLine="0" w:firstLineChars="0"/>
        <w:rPr>
          <w:rFonts w:hint="eastAsia" w:ascii="宋体" w:hAnsi="宋体" w:eastAsia="宋体" w:cs="宋体"/>
          <w:b/>
          <w:sz w:val="24"/>
          <w:szCs w:val="24"/>
          <w:highlight w:val="none"/>
        </w:rPr>
      </w:pPr>
    </w:p>
    <w:p w14:paraId="53AD1C9E">
      <w:pPr>
        <w:pStyle w:val="22"/>
        <w:ind w:left="0" w:leftChars="0" w:firstLine="0" w:firstLineChars="0"/>
        <w:rPr>
          <w:rFonts w:hint="eastAsia" w:ascii="宋体" w:hAnsi="宋体" w:eastAsia="宋体" w:cs="宋体"/>
          <w:b/>
          <w:sz w:val="24"/>
          <w:szCs w:val="24"/>
          <w:highlight w:val="none"/>
        </w:rPr>
      </w:pPr>
    </w:p>
    <w:p w14:paraId="19D2EF00">
      <w:pPr>
        <w:pStyle w:val="22"/>
        <w:ind w:left="0" w:leftChars="0" w:firstLine="0" w:firstLineChars="0"/>
        <w:rPr>
          <w:rFonts w:hint="eastAsia" w:ascii="宋体" w:hAnsi="宋体" w:eastAsia="宋体" w:cs="宋体"/>
          <w:b/>
          <w:sz w:val="24"/>
          <w:szCs w:val="24"/>
          <w:highlight w:val="none"/>
        </w:rPr>
      </w:pPr>
    </w:p>
    <w:p w14:paraId="2EC55D40">
      <w:pPr>
        <w:pStyle w:val="22"/>
        <w:ind w:left="0" w:leftChars="0" w:firstLine="0" w:firstLineChars="0"/>
        <w:rPr>
          <w:rFonts w:hint="eastAsia" w:ascii="宋体" w:hAnsi="宋体" w:eastAsia="宋体" w:cs="宋体"/>
          <w:b/>
          <w:sz w:val="24"/>
          <w:szCs w:val="24"/>
          <w:highlight w:val="none"/>
        </w:rPr>
      </w:pPr>
    </w:p>
    <w:p w14:paraId="7367325E">
      <w:pPr>
        <w:pStyle w:val="22"/>
        <w:ind w:left="0" w:leftChars="0" w:firstLine="0" w:firstLineChars="0"/>
        <w:rPr>
          <w:rFonts w:hint="eastAsia" w:ascii="宋体" w:hAnsi="宋体" w:eastAsia="宋体" w:cs="宋体"/>
          <w:b/>
          <w:sz w:val="24"/>
          <w:szCs w:val="24"/>
          <w:highlight w:val="none"/>
        </w:rPr>
      </w:pPr>
    </w:p>
    <w:p w14:paraId="11A878EC">
      <w:pPr>
        <w:pStyle w:val="22"/>
        <w:ind w:left="0" w:leftChars="0" w:firstLine="0" w:firstLineChars="0"/>
        <w:rPr>
          <w:rFonts w:hint="eastAsia" w:ascii="宋体" w:hAnsi="宋体" w:eastAsia="宋体" w:cs="宋体"/>
          <w:b/>
          <w:sz w:val="24"/>
          <w:szCs w:val="24"/>
          <w:highlight w:val="none"/>
        </w:rPr>
      </w:pPr>
    </w:p>
    <w:p w14:paraId="65E6EB1A">
      <w:pPr>
        <w:pStyle w:val="22"/>
        <w:ind w:left="0" w:leftChars="0" w:firstLine="0" w:firstLineChars="0"/>
        <w:rPr>
          <w:rFonts w:hint="eastAsia" w:ascii="宋体" w:hAnsi="宋体" w:eastAsia="宋体" w:cs="宋体"/>
          <w:b/>
          <w:sz w:val="24"/>
          <w:szCs w:val="24"/>
          <w:highlight w:val="none"/>
        </w:rPr>
      </w:pPr>
    </w:p>
    <w:p w14:paraId="390EEF73">
      <w:pPr>
        <w:pStyle w:val="22"/>
        <w:ind w:left="0" w:leftChars="0" w:firstLine="0" w:firstLineChars="0"/>
        <w:rPr>
          <w:rFonts w:hint="eastAsia" w:ascii="宋体" w:hAnsi="宋体" w:eastAsia="宋体" w:cs="宋体"/>
          <w:b/>
          <w:sz w:val="24"/>
          <w:szCs w:val="24"/>
          <w:highlight w:val="none"/>
        </w:rPr>
      </w:pPr>
    </w:p>
    <w:p w14:paraId="17338957">
      <w:pPr>
        <w:pStyle w:val="22"/>
        <w:ind w:left="0" w:leftChars="0" w:firstLine="0" w:firstLineChars="0"/>
        <w:rPr>
          <w:rFonts w:hint="eastAsia" w:ascii="宋体" w:hAnsi="宋体" w:eastAsia="宋体" w:cs="宋体"/>
          <w:b/>
          <w:sz w:val="24"/>
          <w:szCs w:val="24"/>
          <w:highlight w:val="none"/>
        </w:rPr>
      </w:pPr>
    </w:p>
    <w:p w14:paraId="0D4BD842">
      <w:pPr>
        <w:pStyle w:val="22"/>
        <w:ind w:left="0" w:leftChars="0" w:firstLine="0" w:firstLineChars="0"/>
        <w:rPr>
          <w:rFonts w:hint="eastAsia" w:ascii="宋体" w:hAnsi="宋体" w:eastAsia="宋体" w:cs="宋体"/>
          <w:b/>
          <w:sz w:val="24"/>
          <w:szCs w:val="24"/>
          <w:highlight w:val="none"/>
        </w:rPr>
      </w:pPr>
    </w:p>
    <w:p w14:paraId="7CC19E00">
      <w:pPr>
        <w:pStyle w:val="22"/>
        <w:ind w:left="0" w:leftChars="0" w:firstLine="0" w:firstLineChars="0"/>
        <w:rPr>
          <w:rFonts w:hint="eastAsia" w:ascii="宋体" w:hAnsi="宋体" w:eastAsia="宋体" w:cs="宋体"/>
          <w:b/>
          <w:sz w:val="24"/>
          <w:szCs w:val="24"/>
          <w:highlight w:val="none"/>
        </w:rPr>
      </w:pPr>
    </w:p>
    <w:p w14:paraId="14A34A07">
      <w:pPr>
        <w:pStyle w:val="22"/>
        <w:ind w:left="0" w:leftChars="0" w:firstLine="0" w:firstLineChars="0"/>
        <w:rPr>
          <w:rFonts w:hint="eastAsia" w:ascii="宋体" w:hAnsi="宋体" w:eastAsia="宋体" w:cs="宋体"/>
          <w:b/>
          <w:sz w:val="24"/>
          <w:szCs w:val="24"/>
          <w:highlight w:val="none"/>
        </w:rPr>
      </w:pPr>
    </w:p>
    <w:p w14:paraId="2F6E0050">
      <w:pPr>
        <w:pStyle w:val="22"/>
        <w:ind w:left="0" w:leftChars="0" w:firstLine="0" w:firstLineChars="0"/>
        <w:rPr>
          <w:rFonts w:hint="eastAsia" w:ascii="宋体" w:hAnsi="宋体" w:eastAsia="宋体" w:cs="宋体"/>
          <w:b/>
          <w:sz w:val="24"/>
          <w:szCs w:val="24"/>
          <w:highlight w:val="none"/>
        </w:rPr>
      </w:pPr>
    </w:p>
    <w:p w14:paraId="277A465C">
      <w:pPr>
        <w:pStyle w:val="22"/>
        <w:ind w:left="0" w:leftChars="0" w:firstLine="0" w:firstLineChars="0"/>
        <w:rPr>
          <w:rFonts w:hint="eastAsia" w:ascii="宋体" w:hAnsi="宋体" w:eastAsia="宋体" w:cs="宋体"/>
          <w:b/>
          <w:sz w:val="24"/>
          <w:szCs w:val="24"/>
          <w:highlight w:val="none"/>
        </w:rPr>
      </w:pPr>
    </w:p>
    <w:p w14:paraId="42D8C835">
      <w:pPr>
        <w:pStyle w:val="22"/>
        <w:ind w:left="0" w:leftChars="0" w:firstLine="0" w:firstLineChars="0"/>
        <w:rPr>
          <w:rFonts w:hint="eastAsia" w:ascii="宋体" w:hAnsi="宋体" w:eastAsia="宋体" w:cs="宋体"/>
          <w:b/>
          <w:sz w:val="24"/>
          <w:szCs w:val="24"/>
          <w:highlight w:val="none"/>
        </w:rPr>
      </w:pPr>
    </w:p>
    <w:p w14:paraId="5D7EF884">
      <w:pPr>
        <w:pStyle w:val="22"/>
        <w:ind w:left="0" w:leftChars="0" w:firstLine="0" w:firstLineChars="0"/>
        <w:rPr>
          <w:rFonts w:hint="eastAsia" w:ascii="宋体" w:hAnsi="宋体" w:eastAsia="宋体" w:cs="宋体"/>
          <w:b/>
          <w:sz w:val="24"/>
          <w:szCs w:val="24"/>
          <w:highlight w:val="none"/>
        </w:rPr>
      </w:pPr>
    </w:p>
    <w:p w14:paraId="4C877323">
      <w:pPr>
        <w:pStyle w:val="3"/>
        <w:numPr>
          <w:ilvl w:val="0"/>
          <w:numId w:val="0"/>
        </w:numPr>
        <w:bidi w:val="0"/>
        <w:ind w:firstLine="3614" w:firstLineChars="1500"/>
        <w:jc w:val="both"/>
        <w:rPr>
          <w:rFonts w:hint="eastAsia" w:ascii="宋体" w:hAnsi="宋体" w:eastAsia="宋体" w:cs="宋体"/>
          <w:b/>
          <w:sz w:val="30"/>
          <w:highlight w:val="none"/>
        </w:rPr>
      </w:pPr>
      <w:r>
        <w:rPr>
          <w:rFonts w:hint="eastAsia" w:ascii="宋体" w:hAnsi="宋体" w:eastAsia="宋体" w:cs="宋体"/>
          <w:b/>
          <w:sz w:val="24"/>
          <w:szCs w:val="24"/>
          <w:highlight w:val="none"/>
        </w:rPr>
        <w:t>二、投标人须知</w:t>
      </w:r>
      <w:bookmarkEnd w:id="16"/>
    </w:p>
    <w:p w14:paraId="07F49E66">
      <w:pPr>
        <w:pStyle w:val="4"/>
        <w:numPr>
          <w:ilvl w:val="0"/>
          <w:numId w:val="0"/>
        </w:numPr>
        <w:bidi w:val="0"/>
        <w:ind w:leftChars="200"/>
        <w:jc w:val="center"/>
        <w:rPr>
          <w:rFonts w:hint="eastAsia" w:ascii="宋体" w:hAnsi="宋体" w:eastAsia="宋体" w:cs="宋体"/>
          <w:highlight w:val="none"/>
        </w:rPr>
      </w:pPr>
      <w:bookmarkStart w:id="23" w:name="（一）总  则"/>
      <w:bookmarkEnd w:id="23"/>
      <w:bookmarkStart w:id="24" w:name="_Toc10181"/>
      <w:r>
        <w:rPr>
          <w:rFonts w:hint="eastAsia" w:ascii="宋体" w:hAnsi="宋体" w:eastAsia="宋体" w:cs="宋体"/>
          <w:highlight w:val="none"/>
        </w:rPr>
        <w:t>（一）总则</w:t>
      </w:r>
      <w:bookmarkEnd w:id="24"/>
    </w:p>
    <w:p w14:paraId="31AD4958">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1.</w:t>
      </w:r>
      <w:r>
        <w:rPr>
          <w:rFonts w:hint="eastAsia" w:ascii="宋体" w:hAnsi="宋体" w:eastAsia="宋体" w:cs="宋体"/>
          <w:b/>
          <w:bCs/>
          <w:sz w:val="24"/>
          <w:szCs w:val="24"/>
          <w:highlight w:val="none"/>
        </w:rPr>
        <w:t>项目概况</w:t>
      </w:r>
    </w:p>
    <w:p w14:paraId="36FD10F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rPr>
        <w:t>本次招标采购项目名称：见投标人须知前附表。</w:t>
      </w:r>
    </w:p>
    <w:p w14:paraId="440D48A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项目编号：见投标人须知前附表。</w:t>
      </w:r>
    </w:p>
    <w:p w14:paraId="55C6E9A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招标人：见投标人须知前附表。</w:t>
      </w:r>
    </w:p>
    <w:p w14:paraId="1C99383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供货期（服务周期）：见投标人须知前附表。</w:t>
      </w:r>
    </w:p>
    <w:p w14:paraId="3101E93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供货地点：见投标人须知前附表。</w:t>
      </w:r>
    </w:p>
    <w:p w14:paraId="59E4AE6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1.2</w:t>
      </w:r>
      <w:r>
        <w:rPr>
          <w:rFonts w:hint="eastAsia" w:ascii="宋体" w:hAnsi="宋体" w:eastAsia="宋体" w:cs="宋体"/>
          <w:sz w:val="24"/>
          <w:szCs w:val="24"/>
          <w:highlight w:val="none"/>
        </w:rPr>
        <w:t>招标人及联系人:见投标人须知前附表。</w:t>
      </w:r>
    </w:p>
    <w:p w14:paraId="52C6F35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代理机构及联系人:见投标人须知前附表。</w:t>
      </w:r>
    </w:p>
    <w:p w14:paraId="0FC71FC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1.3</w:t>
      </w:r>
      <w:r>
        <w:rPr>
          <w:rFonts w:hint="eastAsia" w:ascii="宋体" w:hAnsi="宋体" w:eastAsia="宋体" w:cs="宋体"/>
          <w:sz w:val="24"/>
          <w:szCs w:val="24"/>
          <w:highlight w:val="none"/>
        </w:rPr>
        <w:t>本项目预算：见投标人须知前附表。</w:t>
      </w:r>
    </w:p>
    <w:p w14:paraId="0432F6C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1.4</w:t>
      </w:r>
      <w:r>
        <w:rPr>
          <w:rFonts w:hint="eastAsia" w:ascii="宋体" w:hAnsi="宋体" w:eastAsia="宋体" w:cs="宋体"/>
          <w:sz w:val="24"/>
          <w:szCs w:val="24"/>
          <w:highlight w:val="none"/>
        </w:rPr>
        <w:t>本项目控制价：见投标人须知前附表。</w:t>
      </w:r>
    </w:p>
    <w:p w14:paraId="7838A4E1">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2.招标范围：</w:t>
      </w:r>
    </w:p>
    <w:p w14:paraId="5FD7A7F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2.1</w:t>
      </w:r>
      <w:r>
        <w:rPr>
          <w:rFonts w:hint="eastAsia" w:ascii="宋体" w:hAnsi="宋体" w:eastAsia="宋体" w:cs="宋体"/>
          <w:sz w:val="24"/>
          <w:szCs w:val="24"/>
          <w:highlight w:val="none"/>
        </w:rPr>
        <w:t>采购内容：见投标人须知前附表。</w:t>
      </w:r>
    </w:p>
    <w:p w14:paraId="009880D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2.2</w:t>
      </w:r>
      <w:r>
        <w:rPr>
          <w:rFonts w:hint="eastAsia" w:ascii="宋体" w:hAnsi="宋体" w:eastAsia="宋体" w:cs="宋体"/>
          <w:sz w:val="24"/>
          <w:szCs w:val="24"/>
          <w:highlight w:val="none"/>
        </w:rPr>
        <w:t>技术要求：详见采购文件第四章采购内容及技术要求。</w:t>
      </w:r>
    </w:p>
    <w:p w14:paraId="068A598F">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3.标包划分：</w:t>
      </w:r>
    </w:p>
    <w:p w14:paraId="28998A5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3.1本项目划分：1个标包。</w:t>
      </w:r>
    </w:p>
    <w:p w14:paraId="23750499">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4.招标方式：</w:t>
      </w:r>
    </w:p>
    <w:p w14:paraId="369FCB3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4.1本项目招标方式：见投标人须知前附表。</w:t>
      </w:r>
    </w:p>
    <w:p w14:paraId="0EAE1D95">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5.计价方式：</w:t>
      </w:r>
    </w:p>
    <w:p w14:paraId="5A10E1C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5.1本次招标项目合同采用固定总价。</w:t>
      </w:r>
    </w:p>
    <w:p w14:paraId="2A7ADD28">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6.</w:t>
      </w:r>
      <w:r>
        <w:rPr>
          <w:rFonts w:hint="eastAsia" w:ascii="宋体" w:hAnsi="宋体" w:eastAsia="宋体" w:cs="宋体"/>
          <w:b/>
          <w:bCs/>
          <w:sz w:val="24"/>
          <w:szCs w:val="24"/>
          <w:highlight w:val="none"/>
        </w:rPr>
        <w:t>评标办法：</w:t>
      </w:r>
    </w:p>
    <w:p w14:paraId="79CF559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本次招标评标采用符合磋商文件的综合评分法（详见第三章评标办法）</w:t>
      </w:r>
    </w:p>
    <w:p w14:paraId="4FD3DF9B">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7.投标人资格：</w:t>
      </w:r>
    </w:p>
    <w:p w14:paraId="149FBA2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7.1</w:t>
      </w:r>
      <w:r>
        <w:rPr>
          <w:rFonts w:hint="eastAsia" w:ascii="宋体" w:hAnsi="宋体" w:eastAsia="宋体" w:cs="宋体"/>
          <w:sz w:val="24"/>
          <w:szCs w:val="24"/>
          <w:highlight w:val="none"/>
        </w:rPr>
        <w:t>参与采购活动的投标人必须是满足《中华人民共和国政府采购法》规定条件的法人、其他组织或者自然人：</w:t>
      </w:r>
    </w:p>
    <w:p w14:paraId="618ECCF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7.2</w:t>
      </w:r>
      <w:r>
        <w:rPr>
          <w:rFonts w:hint="eastAsia" w:ascii="宋体" w:hAnsi="宋体" w:eastAsia="宋体" w:cs="宋体"/>
          <w:sz w:val="24"/>
          <w:szCs w:val="24"/>
          <w:highlight w:val="none"/>
        </w:rPr>
        <w:t>由于政府采购项目的差异性，投标人在参与具体政府采购项目活动时，应仔细阅读该项目的资质要求,具体见投标人须知前附表。</w:t>
      </w:r>
    </w:p>
    <w:p w14:paraId="2709D79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7.3</w:t>
      </w:r>
      <w:r>
        <w:rPr>
          <w:rFonts w:hint="eastAsia" w:ascii="宋体" w:hAnsi="宋体" w:eastAsia="宋体" w:cs="宋体"/>
          <w:sz w:val="24"/>
          <w:szCs w:val="24"/>
          <w:highlight w:val="none"/>
        </w:rPr>
        <w:t>根据电子化政府采购的特点，各供应商在开标前应确保成为新疆维吾尔自治区政府采购网正式注册入库供应商，并完成CA数字证书申领。因未注册入库、未办理CA数字证书等原因造成无法投标或投标失败等后果由供应商自行承担。</w:t>
      </w:r>
    </w:p>
    <w:p w14:paraId="422C15E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7.4</w:t>
      </w:r>
      <w:r>
        <w:rPr>
          <w:rFonts w:hint="eastAsia" w:ascii="宋体" w:hAnsi="宋体" w:eastAsia="宋体" w:cs="宋体"/>
          <w:sz w:val="24"/>
          <w:szCs w:val="24"/>
          <w:highlight w:val="none"/>
        </w:rPr>
        <w:t>投标人必须确保自己在信息库中注册的信息真实、准确，并保证投标文件中的有关信息与库中的信息相一致。否则，投标人因此蒙受损失，招标人概不负责。</w:t>
      </w:r>
    </w:p>
    <w:p w14:paraId="7B03F5B9">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8.</w:t>
      </w:r>
      <w:r>
        <w:rPr>
          <w:rFonts w:hint="eastAsia" w:ascii="宋体" w:hAnsi="宋体" w:eastAsia="宋体" w:cs="宋体"/>
          <w:b/>
          <w:bCs/>
          <w:sz w:val="24"/>
          <w:szCs w:val="24"/>
          <w:highlight w:val="none"/>
        </w:rPr>
        <w:t>投标费用</w:t>
      </w:r>
    </w:p>
    <w:p w14:paraId="247E0B1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8.1</w:t>
      </w:r>
      <w:r>
        <w:rPr>
          <w:rFonts w:hint="eastAsia" w:ascii="宋体" w:hAnsi="宋体" w:eastAsia="宋体" w:cs="宋体"/>
          <w:sz w:val="24"/>
          <w:szCs w:val="24"/>
          <w:highlight w:val="none"/>
        </w:rPr>
        <w:t>投标人准备和参加投标活动发生的费用自理。</w:t>
      </w:r>
    </w:p>
    <w:p w14:paraId="55556FEE">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9.</w:t>
      </w:r>
      <w:r>
        <w:rPr>
          <w:rFonts w:hint="eastAsia" w:ascii="宋体" w:hAnsi="宋体" w:eastAsia="宋体" w:cs="宋体"/>
          <w:b/>
          <w:bCs/>
          <w:sz w:val="24"/>
          <w:szCs w:val="24"/>
          <w:highlight w:val="none"/>
        </w:rPr>
        <w:t>踏勘现场</w:t>
      </w:r>
    </w:p>
    <w:p w14:paraId="743CCC0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b/>
          <w:bCs/>
          <w:sz w:val="24"/>
          <w:szCs w:val="24"/>
          <w:highlight w:val="none"/>
        </w:rPr>
      </w:pPr>
      <w:r>
        <w:rPr>
          <w:rFonts w:hint="eastAsia" w:ascii="宋体" w:hAnsi="宋体" w:eastAsia="宋体" w:cs="宋体"/>
          <w:sz w:val="24"/>
          <w:szCs w:val="24"/>
          <w:highlight w:val="none"/>
          <w:lang w:val="en-US" w:eastAsia="zh-CN"/>
        </w:rPr>
        <w:t>9.1</w:t>
      </w:r>
      <w:r>
        <w:rPr>
          <w:rFonts w:hint="eastAsia" w:ascii="宋体" w:hAnsi="宋体" w:eastAsia="宋体" w:cs="宋体"/>
          <w:sz w:val="24"/>
          <w:szCs w:val="24"/>
          <w:highlight w:val="none"/>
        </w:rPr>
        <w:t>投标人须知前附表规定组织踏勘现场的，招标人按投标人须知前附表规定的时间、地点组织投标人踏勘项目现场。如需踏勘现场，投标人自行踏勘现场的，可咨询本项目采购人或采购代理机构联系人。</w:t>
      </w:r>
      <w:r>
        <w:rPr>
          <w:rFonts w:hint="eastAsia" w:ascii="宋体" w:hAnsi="宋体" w:eastAsia="宋体" w:cs="宋体"/>
          <w:b/>
          <w:bCs/>
          <w:sz w:val="24"/>
          <w:szCs w:val="24"/>
          <w:highlight w:val="none"/>
        </w:rPr>
        <w:t>投标人自行踏勘现场的，可咨询本项目采购人或采购代理机构联系人。</w:t>
      </w:r>
    </w:p>
    <w:p w14:paraId="03B825F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9.2</w:t>
      </w:r>
      <w:r>
        <w:rPr>
          <w:rFonts w:hint="eastAsia" w:ascii="宋体" w:hAnsi="宋体" w:eastAsia="宋体" w:cs="宋体"/>
          <w:sz w:val="24"/>
          <w:szCs w:val="24"/>
          <w:highlight w:val="none"/>
        </w:rPr>
        <w:t>投标人踏勘现场发生的费用自理。</w:t>
      </w:r>
    </w:p>
    <w:p w14:paraId="44748A7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9.3</w:t>
      </w:r>
      <w:r>
        <w:rPr>
          <w:rFonts w:hint="eastAsia" w:ascii="宋体" w:hAnsi="宋体" w:eastAsia="宋体" w:cs="宋体"/>
          <w:sz w:val="24"/>
          <w:szCs w:val="24"/>
          <w:highlight w:val="none"/>
        </w:rPr>
        <w:t>除招标人的原因外，投标人自行负责在踏勘现场中所发生的人员伤亡和财产损失。</w:t>
      </w:r>
    </w:p>
    <w:p w14:paraId="7604BC7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9.4</w:t>
      </w:r>
      <w:r>
        <w:rPr>
          <w:rFonts w:hint="eastAsia" w:ascii="宋体" w:hAnsi="宋体" w:eastAsia="宋体" w:cs="宋体"/>
          <w:sz w:val="24"/>
          <w:szCs w:val="24"/>
          <w:highlight w:val="none"/>
        </w:rPr>
        <w:t>组织投标人对现场及周围环境进行踏勘，以便投标人获取有关编制投标文件和签署合同所涉及现场的资料。招标人在踏勘现场中介绍的场地和相关的周边环境情况，供投标人在编制投标文件时参考，招标人不对投标人据此作出的判断和决策负责。</w:t>
      </w:r>
    </w:p>
    <w:p w14:paraId="60058EA6">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10.</w:t>
      </w:r>
      <w:r>
        <w:rPr>
          <w:rFonts w:hint="eastAsia" w:ascii="宋体" w:hAnsi="宋体" w:eastAsia="宋体" w:cs="宋体"/>
          <w:b/>
          <w:bCs/>
          <w:sz w:val="24"/>
          <w:szCs w:val="24"/>
          <w:highlight w:val="none"/>
        </w:rPr>
        <w:t>投标预备会</w:t>
      </w:r>
    </w:p>
    <w:p w14:paraId="5F22E3B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rPr>
        <w:t>投标人须知前附表规定召开投标预备会的，招标人按投标人须知前附表规定的时间和地点召开投标预备会，澄清投标人提出的问题。</w:t>
      </w:r>
    </w:p>
    <w:p w14:paraId="1A0BA4B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10.2</w:t>
      </w:r>
      <w:r>
        <w:rPr>
          <w:rFonts w:hint="eastAsia" w:ascii="宋体" w:hAnsi="宋体" w:eastAsia="宋体" w:cs="宋体"/>
          <w:sz w:val="24"/>
          <w:szCs w:val="24"/>
          <w:highlight w:val="none"/>
        </w:rPr>
        <w:t>投标人应在投标人须知前附表规定的时间前，将提出的问题送达招标人，以便招标人澄清。</w:t>
      </w:r>
    </w:p>
    <w:p w14:paraId="4880FCB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10.3</w:t>
      </w:r>
      <w:r>
        <w:rPr>
          <w:rFonts w:hint="eastAsia" w:ascii="宋体" w:hAnsi="宋体" w:eastAsia="宋体" w:cs="宋体"/>
          <w:sz w:val="24"/>
          <w:szCs w:val="24"/>
          <w:highlight w:val="none"/>
        </w:rPr>
        <w:t>招标人在投标人须知前附表规定的时间，将对投标人所提的问题进行澄清。该澄清内容为采购文件的组成部分。</w:t>
      </w:r>
    </w:p>
    <w:p w14:paraId="61E95539">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11.</w:t>
      </w:r>
      <w:r>
        <w:rPr>
          <w:rFonts w:hint="eastAsia" w:ascii="宋体" w:hAnsi="宋体" w:eastAsia="宋体" w:cs="宋体"/>
          <w:b/>
          <w:bCs/>
          <w:sz w:val="24"/>
          <w:szCs w:val="24"/>
          <w:highlight w:val="none"/>
        </w:rPr>
        <w:t>联合投标</w:t>
      </w:r>
    </w:p>
    <w:p w14:paraId="4D64625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11.1</w:t>
      </w:r>
      <w:r>
        <w:rPr>
          <w:rFonts w:hint="eastAsia" w:ascii="宋体" w:hAnsi="宋体" w:eastAsia="宋体" w:cs="宋体"/>
          <w:sz w:val="24"/>
          <w:szCs w:val="24"/>
          <w:highlight w:val="none"/>
        </w:rPr>
        <w:t>两个以上投标人可以组成一个投标联合体，以一个投标人的身份投标。以联合体形式参加投标的，联合体各方均应当符合《政府采购法》第二十二条规定的条件。招标人根据采购项目的特殊要求规定投标人特定条件的，联合体各方中至少应当有一方符合招标人规定的特定条件。</w:t>
      </w:r>
    </w:p>
    <w:p w14:paraId="5D7EA53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11.2</w:t>
      </w:r>
      <w:r>
        <w:rPr>
          <w:rFonts w:hint="eastAsia" w:ascii="宋体" w:hAnsi="宋体" w:eastAsia="宋体" w:cs="宋体"/>
          <w:sz w:val="24"/>
          <w:szCs w:val="24"/>
          <w:highlight w:val="none"/>
        </w:rPr>
        <w:t>联合体各方之间应当签订共同投标协议，明确约定联合体各方承担的工作和相应的责任，并将共同投标协议连同投标文件一并提交招标人。联合体各方签订共同投标协议后，不得再以自己名义单独在同一项目中投标，也不得组成新的联合体参加同一项目投标。</w:t>
      </w:r>
    </w:p>
    <w:p w14:paraId="36DFB5B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11.3</w:t>
      </w:r>
      <w:r>
        <w:rPr>
          <w:rFonts w:hint="eastAsia" w:ascii="宋体" w:hAnsi="宋体" w:eastAsia="宋体" w:cs="宋体"/>
          <w:sz w:val="24"/>
          <w:szCs w:val="24"/>
          <w:highlight w:val="none"/>
        </w:rPr>
        <w:t>联合体应当确定其中一个单位为投标的全权代表，负责参加投标的一切事务，并承担投标及履约中应承担的全部责任与义务。</w:t>
      </w:r>
    </w:p>
    <w:p w14:paraId="15E97CF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11.4</w:t>
      </w:r>
      <w:r>
        <w:rPr>
          <w:rFonts w:hint="eastAsia" w:ascii="宋体" w:hAnsi="宋体" w:eastAsia="宋体" w:cs="宋体"/>
          <w:sz w:val="24"/>
          <w:szCs w:val="24"/>
          <w:highlight w:val="none"/>
        </w:rPr>
        <w:t>联合体各方应当共同与招标人签订采购合同，就采购合同约定的事项对招标人承担连带责任。</w:t>
      </w:r>
    </w:p>
    <w:p w14:paraId="4FBAC05B">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12.招标代理费</w:t>
      </w:r>
    </w:p>
    <w:p w14:paraId="7B32B1F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12.1中标单位在领取本项目中标通知书时，按照</w:t>
      </w:r>
      <w:r>
        <w:rPr>
          <w:rFonts w:ascii="宋体" w:hAnsi="宋体" w:eastAsia="宋体" w:cs="宋体"/>
          <w:b w:val="0"/>
          <w:bCs w:val="0"/>
          <w:color w:val="000000"/>
          <w:sz w:val="24"/>
          <w:szCs w:val="24"/>
          <w:highlight w:val="none"/>
        </w:rPr>
        <w:t xml:space="preserve"> 收费标准：</w:t>
      </w:r>
      <w:r>
        <w:rPr>
          <w:rFonts w:hint="eastAsia" w:ascii="Times New Roman" w:hAnsi="Arial" w:eastAsia="Arial" w:cs="宋体"/>
          <w:snapToGrid w:val="0"/>
          <w:color w:val="000000"/>
          <w:kern w:val="0"/>
          <w:sz w:val="24"/>
          <w:szCs w:val="24"/>
          <w:highlight w:val="none"/>
          <w:lang w:val="en-US" w:eastAsia="en-US" w:bidi="ar-SA"/>
        </w:rPr>
        <w:t>中标或成交供应商。 收费标准：</w:t>
      </w:r>
      <w:r>
        <w:rPr>
          <w:rFonts w:hint="eastAsia" w:ascii="Times New Roman" w:hAnsi="Arial" w:eastAsia="Arial" w:cs="宋体"/>
          <w:snapToGrid w:val="0"/>
          <w:color w:val="000000"/>
          <w:kern w:val="0"/>
          <w:sz w:val="24"/>
          <w:szCs w:val="24"/>
          <w:highlight w:val="none"/>
          <w:lang w:val="en-US" w:eastAsia="zh-CN" w:bidi="ar-SA"/>
        </w:rPr>
        <w:t>参考《招标代理服务管理暂行办法》（计价格）【2002】1980号收费标准</w:t>
      </w:r>
      <w:r>
        <w:rPr>
          <w:rFonts w:hint="eastAsia" w:ascii="Times New Roman" w:hAnsi="Arial" w:eastAsia="Arial" w:cs="宋体"/>
          <w:snapToGrid w:val="0"/>
          <w:color w:val="000000"/>
          <w:kern w:val="0"/>
          <w:sz w:val="24"/>
          <w:szCs w:val="24"/>
          <w:highlight w:val="none"/>
          <w:lang w:val="en-US" w:eastAsia="en-US" w:bidi="ar-SA"/>
        </w:rPr>
        <w:t>。</w:t>
      </w:r>
    </w:p>
    <w:p w14:paraId="762BD968">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13.</w:t>
      </w:r>
      <w:r>
        <w:rPr>
          <w:rFonts w:hint="eastAsia" w:ascii="宋体" w:hAnsi="宋体" w:eastAsia="宋体" w:cs="宋体"/>
          <w:b/>
          <w:bCs/>
          <w:sz w:val="24"/>
          <w:szCs w:val="24"/>
          <w:highlight w:val="none"/>
        </w:rPr>
        <w:t>投标人应注意的事项</w:t>
      </w:r>
    </w:p>
    <w:p w14:paraId="7FB689D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13.1</w:t>
      </w:r>
      <w:r>
        <w:rPr>
          <w:rFonts w:hint="eastAsia" w:ascii="宋体" w:hAnsi="宋体" w:eastAsia="宋体" w:cs="宋体"/>
          <w:sz w:val="24"/>
          <w:szCs w:val="24"/>
          <w:highlight w:val="none"/>
        </w:rPr>
        <w:t>投标人一旦按规定缴纳了投标保证金并参加投标，即被认为接受了本采购文件中的所有条件和规定。投标人必须严格按采购文件的要求编制投标文件，投标文件宜编制页码和目录，以便评委审核。否则，由此产生的一切后果由投标人承担。</w:t>
      </w:r>
    </w:p>
    <w:p w14:paraId="52075E5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13.2</w:t>
      </w:r>
      <w:r>
        <w:rPr>
          <w:rFonts w:hint="eastAsia" w:ascii="宋体" w:hAnsi="宋体" w:eastAsia="宋体" w:cs="宋体"/>
          <w:sz w:val="24"/>
          <w:szCs w:val="24"/>
          <w:highlight w:val="none"/>
        </w:rPr>
        <w:t>投标人对采购内容中规定的技术参数、规格等要求必须完全响应或优于采购文件中的要求。</w:t>
      </w:r>
    </w:p>
    <w:p w14:paraId="306F0C1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13.3</w:t>
      </w:r>
      <w:r>
        <w:rPr>
          <w:rFonts w:hint="eastAsia" w:ascii="宋体" w:hAnsi="宋体" w:eastAsia="宋体" w:cs="宋体"/>
          <w:sz w:val="24"/>
          <w:szCs w:val="24"/>
          <w:highlight w:val="none"/>
        </w:rPr>
        <w:t>所有投标人的投标保证金都应在采购文件规定的投标保证金缴纳截止日期前缴纳。</w:t>
      </w:r>
    </w:p>
    <w:p w14:paraId="6C674EF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13.4</w:t>
      </w:r>
      <w:r>
        <w:rPr>
          <w:rFonts w:hint="eastAsia" w:ascii="宋体" w:hAnsi="宋体" w:eastAsia="宋体" w:cs="宋体"/>
          <w:sz w:val="24"/>
          <w:szCs w:val="24"/>
          <w:highlight w:val="none"/>
        </w:rPr>
        <w:t>单位负责人为同一人或者存在直接控股、管理关系的不同供应商，不得参加同一合同项下的政府采购活动。为采购项目提供整体设计、规范编制或者项目管理、监理、检测等服务的供应商，不得再参加该采购项目的其他采购活动。</w:t>
      </w:r>
    </w:p>
    <w:p w14:paraId="59CA03C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13.5</w:t>
      </w:r>
      <w:r>
        <w:rPr>
          <w:rFonts w:hint="eastAsia" w:ascii="宋体" w:hAnsi="宋体" w:eastAsia="宋体" w:cs="宋体"/>
          <w:sz w:val="24"/>
          <w:szCs w:val="24"/>
          <w:highlight w:val="none"/>
        </w:rPr>
        <w:t>本项目只接受成为新疆维吾尔自治区政府采购网正式注册入库并完成CA数字证书申领供应商参与投标。因未注册入库、未办理CA数字证书等原因造成无法投标或投标失败等后果由供应商自行承担。</w:t>
      </w:r>
    </w:p>
    <w:p w14:paraId="4581B66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13.6</w:t>
      </w:r>
      <w:r>
        <w:rPr>
          <w:rFonts w:hint="eastAsia" w:ascii="宋体" w:hAnsi="宋体" w:eastAsia="宋体" w:cs="宋体"/>
          <w:sz w:val="24"/>
          <w:szCs w:val="24"/>
          <w:highlight w:val="none"/>
        </w:rPr>
        <w:t>投标人被视为充分熟悉本招标项目所在地的与履行合同有关的各种情况，包括但不限于：</w:t>
      </w:r>
    </w:p>
    <w:p w14:paraId="792D78B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国家对本次投标货物和服务的生产、安装调试、验收、维修等有关法律、法规及行业管理标准；</w:t>
      </w:r>
    </w:p>
    <w:p w14:paraId="00CB58D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本地区有关管理部门的相关规定；</w:t>
      </w:r>
    </w:p>
    <w:p w14:paraId="44FF4CC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招标人的相关场地情况、基础建设、电力供应情况及相关设计标准。</w:t>
      </w:r>
    </w:p>
    <w:p w14:paraId="20F1A04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本采购文件不再对上述情况进行描述。</w:t>
      </w:r>
    </w:p>
    <w:p w14:paraId="68650B9E">
      <w:pPr>
        <w:pStyle w:val="4"/>
        <w:bidi w:val="0"/>
        <w:ind w:left="918" w:leftChars="0" w:firstLineChars="0"/>
        <w:rPr>
          <w:rFonts w:hint="eastAsia" w:ascii="宋体" w:hAnsi="宋体" w:eastAsia="宋体" w:cs="宋体"/>
          <w:sz w:val="24"/>
          <w:szCs w:val="24"/>
          <w:highlight w:val="none"/>
        </w:rPr>
      </w:pPr>
      <w:bookmarkStart w:id="25" w:name="_Toc27776"/>
      <w:r>
        <w:rPr>
          <w:rFonts w:hint="eastAsia" w:ascii="宋体" w:hAnsi="宋体" w:eastAsia="宋体" w:cs="宋体"/>
          <w:highlight w:val="none"/>
        </w:rPr>
        <w:t>（二）磋商文件</w:t>
      </w:r>
      <w:bookmarkEnd w:id="25"/>
    </w:p>
    <w:p w14:paraId="61D6FC91">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15.</w:t>
      </w:r>
      <w:r>
        <w:rPr>
          <w:rFonts w:hint="eastAsia" w:ascii="宋体" w:hAnsi="宋体" w:eastAsia="宋体" w:cs="宋体"/>
          <w:b/>
          <w:bCs/>
          <w:sz w:val="24"/>
          <w:szCs w:val="24"/>
          <w:highlight w:val="none"/>
        </w:rPr>
        <w:t>采购文件的编制依据</w:t>
      </w:r>
    </w:p>
    <w:p w14:paraId="5B9157E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根据《中华人民共和国政府采购法》、《政府采购货物和服务招标投标管理办法》和《中华人民共和国合同法》等相关法律法规和规章及部、省、市级规范性文件的规定，编制本采购文件。</w:t>
      </w:r>
    </w:p>
    <w:p w14:paraId="2B234F9A">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16.</w:t>
      </w:r>
      <w:r>
        <w:rPr>
          <w:rFonts w:hint="eastAsia" w:ascii="宋体" w:hAnsi="宋体" w:eastAsia="宋体" w:cs="宋体"/>
          <w:b/>
          <w:bCs/>
          <w:sz w:val="24"/>
          <w:szCs w:val="24"/>
          <w:highlight w:val="none"/>
        </w:rPr>
        <w:t>磋商文件的组成</w:t>
      </w:r>
    </w:p>
    <w:p w14:paraId="7D95A44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16.1</w:t>
      </w:r>
      <w:r>
        <w:rPr>
          <w:rFonts w:hint="eastAsia" w:ascii="宋体" w:hAnsi="宋体" w:eastAsia="宋体" w:cs="宋体"/>
          <w:sz w:val="24"/>
          <w:szCs w:val="24"/>
          <w:highlight w:val="none"/>
        </w:rPr>
        <w:t>磋商文件包括内容：</w:t>
      </w:r>
    </w:p>
    <w:p w14:paraId="020E2A5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第一章</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磋商公告</w:t>
      </w:r>
    </w:p>
    <w:p w14:paraId="1FFEC8E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第二章</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投标</w:t>
      </w:r>
      <w:r>
        <w:rPr>
          <w:rFonts w:hint="eastAsia" w:ascii="宋体" w:hAnsi="宋体" w:eastAsia="宋体" w:cs="宋体"/>
          <w:sz w:val="24"/>
          <w:szCs w:val="24"/>
          <w:highlight w:val="none"/>
          <w:lang w:eastAsia="zh-CN"/>
        </w:rPr>
        <w:t>人</w:t>
      </w:r>
      <w:r>
        <w:rPr>
          <w:rFonts w:hint="eastAsia" w:ascii="宋体" w:hAnsi="宋体" w:eastAsia="宋体" w:cs="宋体"/>
          <w:sz w:val="24"/>
          <w:szCs w:val="24"/>
          <w:highlight w:val="none"/>
        </w:rPr>
        <w:t>须知</w:t>
      </w:r>
    </w:p>
    <w:p w14:paraId="106E53C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第三章</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评标办法</w:t>
      </w:r>
    </w:p>
    <w:p w14:paraId="5FF8EFE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第四章</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采购内容及技术要求</w:t>
      </w:r>
    </w:p>
    <w:p w14:paraId="4C6743E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第五章</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合同条款及格式</w:t>
      </w:r>
    </w:p>
    <w:p w14:paraId="70B8E38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第六章 评审标准</w:t>
      </w:r>
    </w:p>
    <w:p w14:paraId="1055685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第</w:t>
      </w:r>
      <w:r>
        <w:rPr>
          <w:rFonts w:hint="eastAsia" w:ascii="宋体" w:hAnsi="宋体" w:eastAsia="宋体" w:cs="宋体"/>
          <w:sz w:val="24"/>
          <w:szCs w:val="24"/>
          <w:highlight w:val="none"/>
          <w:lang w:val="en-US" w:eastAsia="zh-CN"/>
        </w:rPr>
        <w:t>七</w:t>
      </w:r>
      <w:r>
        <w:rPr>
          <w:rFonts w:hint="eastAsia" w:ascii="宋体" w:hAnsi="宋体" w:eastAsia="宋体" w:cs="宋体"/>
          <w:sz w:val="24"/>
          <w:szCs w:val="24"/>
          <w:highlight w:val="none"/>
        </w:rPr>
        <w:t>章</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投标文件格式</w:t>
      </w:r>
    </w:p>
    <w:p w14:paraId="2F95B49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16.2</w:t>
      </w:r>
      <w:r>
        <w:rPr>
          <w:rFonts w:hint="eastAsia" w:ascii="宋体" w:hAnsi="宋体" w:eastAsia="宋体" w:cs="宋体"/>
          <w:sz w:val="24"/>
          <w:szCs w:val="24"/>
          <w:highlight w:val="none"/>
        </w:rPr>
        <w:t>除16.1内容外，招标答疑亦为采购文件的组成部分，对招标人和投标人起约束作用。</w:t>
      </w:r>
    </w:p>
    <w:p w14:paraId="296BC04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16.3</w:t>
      </w:r>
      <w:r>
        <w:rPr>
          <w:rFonts w:hint="eastAsia" w:ascii="宋体" w:hAnsi="宋体" w:eastAsia="宋体" w:cs="宋体"/>
          <w:sz w:val="24"/>
          <w:szCs w:val="24"/>
          <w:highlight w:val="none"/>
        </w:rPr>
        <w:t>投标人应仔细阅读和检查采购文件的全部内容。如发现缺页或附件不全，应及时向招标人提出，以便补齐。如有疑问，投标人应在以书面形式一次性向采购人和采购代理机构提出同一环节的质疑。</w:t>
      </w:r>
    </w:p>
    <w:p w14:paraId="59CCBF4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16.4</w:t>
      </w:r>
      <w:r>
        <w:rPr>
          <w:rFonts w:hint="eastAsia" w:ascii="宋体" w:hAnsi="宋体" w:eastAsia="宋体" w:cs="宋体"/>
          <w:sz w:val="24"/>
          <w:szCs w:val="24"/>
          <w:highlight w:val="none"/>
        </w:rPr>
        <w:t>供应商认为采购文件使自己的权益受到损害的，可以自收到采购文件之日（采购文件公告期限届满之前收到采购文件的，以完成获取采购文件申请后下载采购文件的时间为准）或者采购文件公告期限届满之日（公告发布后的第6个工作日）起7个工作日内且应当在采购响应截止时间之前，以书面形式一次性向采购人和采购代理机构提出同一环节的质疑。否则，被质疑人可不予接受。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采购文件的澄清将在政采云平台“更正公告”栏目予以公告，但不指明澄清问题的来源。如果澄清内容影响投标文件编制的，将相应延长投标截止时间。</w:t>
      </w:r>
    </w:p>
    <w:p w14:paraId="3409ED6B">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17.</w:t>
      </w:r>
      <w:r>
        <w:rPr>
          <w:rFonts w:hint="eastAsia" w:ascii="宋体" w:hAnsi="宋体" w:eastAsia="宋体" w:cs="宋体"/>
          <w:b/>
          <w:bCs/>
          <w:sz w:val="24"/>
          <w:szCs w:val="24"/>
          <w:highlight w:val="none"/>
        </w:rPr>
        <w:t>磋商文件的修改、补充、解释</w:t>
      </w:r>
    </w:p>
    <w:p w14:paraId="176E32D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17.1</w:t>
      </w:r>
      <w:r>
        <w:rPr>
          <w:rFonts w:hint="eastAsia" w:ascii="宋体" w:hAnsi="宋体" w:eastAsia="宋体" w:cs="宋体"/>
          <w:sz w:val="24"/>
          <w:szCs w:val="24"/>
          <w:highlight w:val="none"/>
        </w:rPr>
        <w:t>磋商文件发出后，招标人在规定的投标截止时间前可对采购文件进行必要的修改和补充，并以更正公告形式在政采云平台“更正公告”栏目予以公告，请各位投标人注意查看有关澄清内容，如不及时查看造成后果由投标人自负。采购文件的修改、补充等内容作为采购文件的组成部分，具有约束作用。</w:t>
      </w:r>
    </w:p>
    <w:p w14:paraId="0BA5827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17.2</w:t>
      </w:r>
      <w:r>
        <w:rPr>
          <w:rFonts w:hint="eastAsia" w:ascii="宋体" w:hAnsi="宋体" w:eastAsia="宋体" w:cs="宋体"/>
          <w:sz w:val="24"/>
          <w:szCs w:val="24"/>
          <w:highlight w:val="none"/>
        </w:rPr>
        <w:t>采购代理机构可视采购具体情况对已发出的采购文件进行必要的澄清、修改或者补充。澄清、修改或者补充的内容可能影响投标文件编制的，应当在投标截止时间至少3日前，在原公告发布媒体上发布澄清公告，澄清或者修改的内容为采购文件的组成部分；不足3日的，应当顺延提交投标文件的截止时间。</w:t>
      </w:r>
    </w:p>
    <w:p w14:paraId="73F4130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17.3</w:t>
      </w:r>
      <w:r>
        <w:rPr>
          <w:rFonts w:hint="eastAsia" w:ascii="宋体" w:hAnsi="宋体" w:eastAsia="宋体" w:cs="宋体"/>
          <w:sz w:val="24"/>
          <w:szCs w:val="24"/>
          <w:highlight w:val="none"/>
        </w:rPr>
        <w:t>供应商在规定的时间内未对采购文件提出疑问、质疑或要求澄清的，将视其为无异议。</w:t>
      </w:r>
    </w:p>
    <w:p w14:paraId="66EF865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17.4</w:t>
      </w:r>
      <w:r>
        <w:rPr>
          <w:rFonts w:hint="eastAsia" w:ascii="宋体" w:hAnsi="宋体" w:eastAsia="宋体" w:cs="宋体"/>
          <w:sz w:val="24"/>
          <w:szCs w:val="24"/>
          <w:highlight w:val="none"/>
        </w:rPr>
        <w:t>磋商文件的解释本磋商文件由招标人（或其委托的招标代理机构）负责解释。</w:t>
      </w:r>
    </w:p>
    <w:p w14:paraId="028CA814">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18.</w:t>
      </w:r>
      <w:r>
        <w:rPr>
          <w:rFonts w:hint="eastAsia" w:ascii="宋体" w:hAnsi="宋体" w:eastAsia="宋体" w:cs="宋体"/>
          <w:b/>
          <w:bCs/>
          <w:sz w:val="24"/>
          <w:szCs w:val="24"/>
          <w:highlight w:val="none"/>
        </w:rPr>
        <w:t>磋商文件的发出</w:t>
      </w:r>
    </w:p>
    <w:p w14:paraId="25B35FF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18.1</w:t>
      </w:r>
      <w:r>
        <w:rPr>
          <w:rFonts w:hint="eastAsia" w:ascii="宋体" w:hAnsi="宋体" w:eastAsia="宋体" w:cs="宋体"/>
          <w:sz w:val="24"/>
          <w:szCs w:val="24"/>
          <w:highlight w:val="none"/>
        </w:rPr>
        <w:t>磋商文件、磋商文件的澄清、修改、补充及招标答疑等均应报相关部门备案后，方可发出。</w:t>
      </w:r>
    </w:p>
    <w:p w14:paraId="70FF0F8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19.</w:t>
      </w:r>
      <w:r>
        <w:rPr>
          <w:rFonts w:hint="eastAsia" w:ascii="宋体" w:hAnsi="宋体" w:eastAsia="宋体" w:cs="宋体"/>
          <w:sz w:val="24"/>
          <w:szCs w:val="24"/>
          <w:highlight w:val="none"/>
        </w:rPr>
        <w:t>凡需要设置样品情形时，必须明确是否需要随样品提交检测报告，并明确检测机构的要求、检测内容、中标样品封存等事项。（评标委员会无法判断样品是否合格且样品需要提供给第三方权威检测机构检测的,在投标人提供招标人认可的第三方权威检测机构检测报告后，评标委员会推荐的中标候选人方可生效，采购人或代理机构发布中标（成交）结果公告。</w:t>
      </w:r>
    </w:p>
    <w:p w14:paraId="6588198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采购文件中应明确样品送检方式、检测费用支付方法、投标人在规定时间内无法提供第三方权威检测机构检测报告的处理方式。（采购人根据项目需求按上述要求自行描述）</w:t>
      </w:r>
    </w:p>
    <w:p w14:paraId="3362A9EF">
      <w:pPr>
        <w:pStyle w:val="4"/>
        <w:keepNext w:val="0"/>
        <w:keepLines w:val="0"/>
        <w:pageBreakBefore w:val="0"/>
        <w:widowControl w:val="0"/>
        <w:numPr>
          <w:ilvl w:val="0"/>
          <w:numId w:val="0"/>
        </w:numPr>
        <w:kinsoku/>
        <w:wordWrap/>
        <w:overflowPunct/>
        <w:topLinePunct w:val="0"/>
        <w:autoSpaceDE w:val="0"/>
        <w:autoSpaceDN w:val="0"/>
        <w:bidi w:val="0"/>
        <w:adjustRightInd/>
        <w:snapToGrid/>
        <w:ind w:leftChars="200"/>
        <w:textAlignment w:val="auto"/>
        <w:rPr>
          <w:rFonts w:hint="eastAsia" w:ascii="宋体" w:hAnsi="宋体" w:eastAsia="宋体" w:cs="宋体"/>
          <w:sz w:val="24"/>
          <w:szCs w:val="24"/>
          <w:highlight w:val="none"/>
        </w:rPr>
      </w:pPr>
      <w:bookmarkStart w:id="26" w:name="（三）响应文件的编制"/>
      <w:bookmarkEnd w:id="26"/>
      <w:bookmarkStart w:id="27" w:name="_Toc14698"/>
      <w:r>
        <w:rPr>
          <w:rFonts w:hint="eastAsia" w:ascii="宋体" w:hAnsi="宋体" w:eastAsia="宋体" w:cs="宋体"/>
          <w:highlight w:val="none"/>
        </w:rPr>
        <w:t>（三）响应文件的编制</w:t>
      </w:r>
      <w:bookmarkEnd w:id="27"/>
    </w:p>
    <w:p w14:paraId="76821FEF">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20.</w:t>
      </w:r>
      <w:r>
        <w:rPr>
          <w:rFonts w:hint="eastAsia" w:ascii="宋体" w:hAnsi="宋体" w:eastAsia="宋体" w:cs="宋体"/>
          <w:b/>
          <w:bCs/>
          <w:sz w:val="24"/>
          <w:szCs w:val="24"/>
          <w:highlight w:val="none"/>
        </w:rPr>
        <w:t>投标的语言及度量衡单位</w:t>
      </w:r>
    </w:p>
    <w:p w14:paraId="1970D03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20.1</w:t>
      </w:r>
      <w:r>
        <w:rPr>
          <w:rFonts w:hint="eastAsia" w:ascii="宋体" w:hAnsi="宋体" w:eastAsia="宋体" w:cs="宋体"/>
          <w:sz w:val="24"/>
          <w:szCs w:val="24"/>
          <w:highlight w:val="none"/>
        </w:rPr>
        <w:t>投标人提交的投标文件、技术文件和资料，以及投标人与招标人就有关投标的所有来往函电均应使用中文。投标文件中若有英文或其他语言文字的资料，应提供相应的中文翻译资料。对不同文本投标文件的解释发生异议的，以中文文本为准。</w:t>
      </w:r>
    </w:p>
    <w:p w14:paraId="2019F75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20.2</w:t>
      </w:r>
      <w:r>
        <w:rPr>
          <w:rFonts w:hint="eastAsia" w:ascii="宋体" w:hAnsi="宋体" w:eastAsia="宋体" w:cs="宋体"/>
          <w:sz w:val="24"/>
          <w:szCs w:val="24"/>
          <w:highlight w:val="none"/>
        </w:rPr>
        <w:t>除采购文件中另有规定外，投标书所使用的度量衡均须采用法定计量单位。</w:t>
      </w:r>
    </w:p>
    <w:p w14:paraId="4C9029EC">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21.</w:t>
      </w:r>
      <w:r>
        <w:rPr>
          <w:rFonts w:hint="eastAsia" w:ascii="宋体" w:hAnsi="宋体" w:eastAsia="宋体" w:cs="宋体"/>
          <w:b/>
          <w:bCs/>
          <w:sz w:val="24"/>
          <w:szCs w:val="24"/>
          <w:highlight w:val="none"/>
        </w:rPr>
        <w:t>响应文件的组成</w:t>
      </w:r>
    </w:p>
    <w:p w14:paraId="747C729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资格证明文件和商务及技术文件两部分。</w:t>
      </w:r>
    </w:p>
    <w:p w14:paraId="23338B52">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21.1</w:t>
      </w:r>
      <w:r>
        <w:rPr>
          <w:rFonts w:hint="eastAsia" w:ascii="宋体" w:hAnsi="宋体" w:eastAsia="宋体" w:cs="宋体"/>
          <w:b/>
          <w:bCs/>
          <w:sz w:val="24"/>
          <w:szCs w:val="24"/>
          <w:highlight w:val="none"/>
        </w:rPr>
        <w:t>资格证明文件（包括但不限于）</w:t>
      </w:r>
    </w:p>
    <w:p w14:paraId="3F0465C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资格证明文件是证明投标人有资格参加投标和中标后有能力履行合同的文件，这些文件应能满足招标的要求，否则作无效投标处理。</w:t>
      </w:r>
    </w:p>
    <w:p w14:paraId="1F1BADA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开标一览表（见投标文件格式一）</w:t>
      </w:r>
      <w:r>
        <w:rPr>
          <w:rFonts w:hint="eastAsia" w:ascii="宋体" w:hAnsi="宋体" w:eastAsia="宋体" w:cs="宋体"/>
          <w:sz w:val="24"/>
          <w:szCs w:val="24"/>
          <w:highlight w:val="none"/>
          <w:lang w:eastAsia="zh-CN"/>
        </w:rPr>
        <w:t>；</w:t>
      </w:r>
    </w:p>
    <w:p w14:paraId="21C2ED4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法人或者非法人组织的营业执照等证明文件复印件（须加盖本单位章）或自然人的身份证明复印件</w:t>
      </w:r>
      <w:r>
        <w:rPr>
          <w:rFonts w:hint="eastAsia" w:ascii="宋体" w:hAnsi="宋体" w:eastAsia="宋体" w:cs="宋体"/>
          <w:sz w:val="24"/>
          <w:szCs w:val="24"/>
          <w:highlight w:val="none"/>
          <w:lang w:eastAsia="zh-CN"/>
        </w:rPr>
        <w:t>；</w:t>
      </w:r>
    </w:p>
    <w:p w14:paraId="68DD356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法定代表人授权委托书（见投标文件格式二，自然人投标的无需提供）；</w:t>
      </w:r>
    </w:p>
    <w:p w14:paraId="6577FC6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法定代表人授权书（见投标文件格式三，自然人投标的无需提供）；</w:t>
      </w:r>
    </w:p>
    <w:p w14:paraId="20729B7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投标保证金缴纳凭证或投标担保函；</w:t>
      </w:r>
    </w:p>
    <w:p w14:paraId="29AE4BE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社会保障资金的缴纳记录；</w:t>
      </w:r>
    </w:p>
    <w:p w14:paraId="76A8FAE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参加政府采购活动前 3 年内在经营活动中没有重大违法记录的书面声明；</w:t>
      </w:r>
    </w:p>
    <w:p w14:paraId="2F414350">
      <w:pPr>
        <w:pStyle w:val="6"/>
        <w:rPr>
          <w:rFonts w:hint="eastAsia" w:eastAsia="宋体"/>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信用中国”网站（www.creditchina.gov.cn）、中国政府采购网（www.ccgp.gov.cn）或各级信用信息共享平台被列入失信被执行人、重大税收违法案件当事人名单、政府采购严重违法失信行为记录名单的（尚在处罚期内的），提供相关网站查询结果。</w:t>
      </w:r>
    </w:p>
    <w:p w14:paraId="260337D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投标人须知资料表要求的其他资格证明文件；</w:t>
      </w:r>
    </w:p>
    <w:p w14:paraId="29A3592E">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21.2</w:t>
      </w:r>
      <w:r>
        <w:rPr>
          <w:rFonts w:hint="eastAsia" w:ascii="宋体" w:hAnsi="宋体" w:eastAsia="宋体" w:cs="宋体"/>
          <w:b/>
          <w:bCs/>
          <w:sz w:val="24"/>
          <w:szCs w:val="24"/>
          <w:highlight w:val="none"/>
        </w:rPr>
        <w:t>商务及技术文件（包括但不限于）</w:t>
      </w:r>
    </w:p>
    <w:p w14:paraId="372AD37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投标书</w:t>
      </w:r>
    </w:p>
    <w:p w14:paraId="4AFF96C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投标分项报价表</w:t>
      </w:r>
    </w:p>
    <w:p w14:paraId="4126F5A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服务说明一览表</w:t>
      </w:r>
    </w:p>
    <w:p w14:paraId="1A3780D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技术规格偏离表</w:t>
      </w:r>
    </w:p>
    <w:p w14:paraId="118FF46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商务条款偏离表</w:t>
      </w:r>
    </w:p>
    <w:p w14:paraId="00B6E2B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符合《政府采购促进中小企业发展暂行办法》、《关于政府采购支持监狱企业发展有关问题的通知》和《三部门联合发布关于促进残疾人就业政府采购政策的通知》条件的投标人提交）（提供相关证明材料）</w:t>
      </w:r>
    </w:p>
    <w:p w14:paraId="1B64CAD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6-1</w:t>
      </w:r>
      <w:r>
        <w:rPr>
          <w:rFonts w:hint="eastAsia" w:ascii="宋体" w:hAnsi="宋体" w:eastAsia="宋体" w:cs="宋体"/>
          <w:sz w:val="24"/>
          <w:szCs w:val="24"/>
          <w:highlight w:val="none"/>
        </w:rPr>
        <w:t>《投标人企业（单位）类型声明函》（投标文件格式十）</w:t>
      </w:r>
    </w:p>
    <w:p w14:paraId="64F6805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6-2</w:t>
      </w:r>
      <w:r>
        <w:rPr>
          <w:rFonts w:hint="eastAsia" w:ascii="宋体" w:hAnsi="宋体" w:eastAsia="宋体" w:cs="宋体"/>
          <w:sz w:val="24"/>
          <w:szCs w:val="24"/>
          <w:highlight w:val="none"/>
        </w:rPr>
        <w:t>《制造商投标人企业（单位）类型声明函》（投标文件格式十一）</w:t>
      </w:r>
    </w:p>
    <w:p w14:paraId="64FFD92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6-3</w:t>
      </w:r>
      <w:r>
        <w:rPr>
          <w:rFonts w:hint="eastAsia" w:ascii="宋体" w:hAnsi="宋体" w:eastAsia="宋体" w:cs="宋体"/>
          <w:sz w:val="24"/>
          <w:szCs w:val="24"/>
          <w:highlight w:val="none"/>
        </w:rPr>
        <w:t>《残疾人福利性单位声明函》（投标文件格式十二）</w:t>
      </w:r>
    </w:p>
    <w:p w14:paraId="6005FE3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投标人关联单位的说明（格式自拟）</w:t>
      </w:r>
    </w:p>
    <w:p w14:paraId="0190ED6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评分标准和细则中技术部分证明材料（格式自拟）</w:t>
      </w:r>
    </w:p>
    <w:p w14:paraId="639E714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评分标准和细则中商务部分证明材料（格式自拟）</w:t>
      </w:r>
    </w:p>
    <w:p w14:paraId="13DBABE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投标人认为有必要提供的其他证明材料（格式自拟）</w:t>
      </w:r>
    </w:p>
    <w:p w14:paraId="3E25807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注：以上材料须逐页加盖单位公章。</w:t>
      </w:r>
    </w:p>
    <w:p w14:paraId="38A62162">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21.3</w:t>
      </w:r>
      <w:r>
        <w:rPr>
          <w:rFonts w:hint="eastAsia" w:ascii="宋体" w:hAnsi="宋体" w:eastAsia="宋体" w:cs="宋体"/>
          <w:b/>
          <w:bCs/>
          <w:sz w:val="24"/>
          <w:szCs w:val="24"/>
          <w:highlight w:val="none"/>
        </w:rPr>
        <w:t>投标文件的要求</w:t>
      </w:r>
    </w:p>
    <w:p w14:paraId="68A63CD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供应商应仔细阅读采购文件的所有内容，按照采购文件的要求详细编制投标文件，所提交的全部资料必须真实有效，并且要保证字迹清晰易于辨认。投标文件应对采购文件实质性内容作出响应，否则按无效标处理。</w:t>
      </w:r>
    </w:p>
    <w:p w14:paraId="1C778B7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投标文件格式应按本采购文件第</w:t>
      </w:r>
      <w:r>
        <w:rPr>
          <w:rFonts w:hint="eastAsia" w:ascii="宋体" w:hAnsi="宋体" w:eastAsia="宋体" w:cs="宋体"/>
          <w:sz w:val="24"/>
          <w:szCs w:val="24"/>
          <w:highlight w:val="none"/>
          <w:lang w:val="en-US" w:eastAsia="zh-CN"/>
        </w:rPr>
        <w:t>七</w:t>
      </w:r>
      <w:r>
        <w:rPr>
          <w:rFonts w:hint="eastAsia" w:ascii="宋体" w:hAnsi="宋体" w:eastAsia="宋体" w:cs="宋体"/>
          <w:sz w:val="24"/>
          <w:szCs w:val="24"/>
          <w:highlight w:val="none"/>
        </w:rPr>
        <w:t>章格式要求编制，不得对采购文件格式进行增删更改，否则按无效标处理。</w:t>
      </w:r>
    </w:p>
    <w:p w14:paraId="4B643F2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对采购文件格式可更改的例外情况：采购文件第</w:t>
      </w:r>
      <w:r>
        <w:rPr>
          <w:rFonts w:hint="eastAsia" w:ascii="宋体" w:hAnsi="宋体" w:eastAsia="宋体" w:cs="宋体"/>
          <w:sz w:val="24"/>
          <w:szCs w:val="24"/>
          <w:highlight w:val="none"/>
          <w:lang w:val="en-US" w:eastAsia="zh-CN"/>
        </w:rPr>
        <w:t>七</w:t>
      </w:r>
      <w:r>
        <w:rPr>
          <w:rFonts w:hint="eastAsia" w:ascii="宋体" w:hAnsi="宋体" w:eastAsia="宋体" w:cs="宋体"/>
          <w:sz w:val="24"/>
          <w:szCs w:val="24"/>
          <w:highlight w:val="none"/>
        </w:rPr>
        <w:t>章附件格式要求中明确规定表格中行数不够用时可按相同格式增加行数，其他一切内容和格式不得更改。</w:t>
      </w:r>
    </w:p>
    <w:p w14:paraId="4B9DBF5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投标文件为电子投标文件，电子投标文件按“政采云供应商项目采购-电子招投标操作指南”及本采购文件要求制作、加密传输。</w:t>
      </w:r>
    </w:p>
    <w:p w14:paraId="3DD4D68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投标文件未在投标截止时间前完成传输的，视为投标文件撤回；投标文件未按时解密，亦视为投标文件撤回。</w:t>
      </w:r>
    </w:p>
    <w:p w14:paraId="7DE4D8A3">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22.</w:t>
      </w:r>
      <w:r>
        <w:rPr>
          <w:rFonts w:hint="eastAsia" w:ascii="宋体" w:hAnsi="宋体" w:eastAsia="宋体" w:cs="宋体"/>
          <w:b/>
          <w:bCs/>
          <w:sz w:val="24"/>
          <w:szCs w:val="24"/>
          <w:highlight w:val="none"/>
        </w:rPr>
        <w:t>磋商报价</w:t>
      </w:r>
    </w:p>
    <w:p w14:paraId="569C715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22.1</w:t>
      </w:r>
      <w:r>
        <w:rPr>
          <w:rFonts w:hint="eastAsia" w:ascii="宋体" w:hAnsi="宋体" w:eastAsia="宋体" w:cs="宋体"/>
          <w:sz w:val="24"/>
          <w:szCs w:val="24"/>
          <w:highlight w:val="none"/>
        </w:rPr>
        <w:t>投标报价文件中的单价和总价全部采用人民币表示。</w:t>
      </w:r>
    </w:p>
    <w:p w14:paraId="11D96FA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22.2</w:t>
      </w:r>
      <w:r>
        <w:rPr>
          <w:rFonts w:hint="eastAsia" w:ascii="宋体" w:hAnsi="宋体" w:eastAsia="宋体" w:cs="宋体"/>
          <w:sz w:val="24"/>
          <w:szCs w:val="24"/>
          <w:highlight w:val="none"/>
        </w:rPr>
        <w:t>投标报价表上应清楚地标明投标人拟提供服务（货物）的名称、型号、生产厂家、数量、单价和总价。</w:t>
      </w:r>
    </w:p>
    <w:p w14:paraId="3922118E">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22.3</w:t>
      </w:r>
      <w:r>
        <w:rPr>
          <w:rFonts w:hint="eastAsia" w:ascii="宋体" w:hAnsi="宋体" w:eastAsia="宋体" w:cs="宋体"/>
          <w:b/>
          <w:bCs/>
          <w:sz w:val="24"/>
          <w:szCs w:val="24"/>
          <w:highlight w:val="none"/>
        </w:rPr>
        <w:t>本项目报价为分次报价，供应商响应文件中的报价作为第一次报价；以最终</w:t>
      </w:r>
      <w:r>
        <w:rPr>
          <w:rFonts w:hint="eastAsia" w:ascii="宋体" w:hAnsi="宋体" w:eastAsia="宋体" w:cs="宋体"/>
          <w:b/>
          <w:bCs/>
          <w:sz w:val="24"/>
          <w:szCs w:val="24"/>
          <w:highlight w:val="none"/>
          <w:lang w:val="en-US" w:eastAsia="zh-CN"/>
        </w:rPr>
        <w:t>第二次</w:t>
      </w:r>
      <w:r>
        <w:rPr>
          <w:rFonts w:hint="eastAsia" w:ascii="宋体" w:hAnsi="宋体" w:eastAsia="宋体" w:cs="宋体"/>
          <w:b/>
          <w:bCs/>
          <w:sz w:val="24"/>
          <w:szCs w:val="24"/>
          <w:highlight w:val="none"/>
        </w:rPr>
        <w:t>磋商报价作为评审价。</w:t>
      </w:r>
    </w:p>
    <w:p w14:paraId="0BC0CC4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22.4</w:t>
      </w:r>
      <w:r>
        <w:rPr>
          <w:rFonts w:hint="eastAsia" w:ascii="宋体" w:hAnsi="宋体" w:eastAsia="宋体" w:cs="宋体"/>
          <w:sz w:val="24"/>
          <w:szCs w:val="24"/>
          <w:highlight w:val="none"/>
        </w:rPr>
        <w:t>磋商报价应包括：货物及服务本身价格、人工费、培训费、保险费用、包装费、运输费用、二次搬运费、装卸费、损耗、税金费用、自检费、随产品备品备件费、专用工具费、随产品资料费、安装费、调试费、自检费及验收合格前和质保期内发生的一切费用、应当提供的伴随服务/售后服务费用。完成该项目的人工费、社保统筹费、保险费、材料费、机具使用费、管理费、利润、税金、风险费等所有费用，以及投标人在服务管理过程中可能发生的各种费用均包括在投标报价中。投标人应自行增加正常运行及使用所必需但招标文件没有包含的所有部件、工具、版权、专利等一切费用，如果投标人在中标并签署合同后，在实施过程中有任何遗漏，均由中标人免费提供，买方将不再支付任何费用。</w:t>
      </w:r>
    </w:p>
    <w:p w14:paraId="5020751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22.5</w:t>
      </w:r>
      <w:r>
        <w:rPr>
          <w:rFonts w:hint="eastAsia" w:ascii="宋体" w:hAnsi="宋体" w:eastAsia="宋体" w:cs="宋体"/>
          <w:sz w:val="24"/>
          <w:szCs w:val="24"/>
          <w:highlight w:val="none"/>
        </w:rPr>
        <w:t>投标报价的价格是货物交货地验收价格，其总价即为履行合同的固定总价。</w:t>
      </w:r>
    </w:p>
    <w:p w14:paraId="5981452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22.6</w:t>
      </w:r>
      <w:r>
        <w:rPr>
          <w:rFonts w:hint="eastAsia" w:ascii="宋体" w:hAnsi="宋体" w:eastAsia="宋体" w:cs="宋体"/>
          <w:sz w:val="24"/>
          <w:szCs w:val="24"/>
          <w:highlight w:val="none"/>
        </w:rPr>
        <w:t>技术要求中规定的安装、调试和培训费用应包括在投标价格中。投标文件报价为含税价，招标人不再为此次招标支付任何费用。</w:t>
      </w:r>
    </w:p>
    <w:p w14:paraId="7743747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22.7</w:t>
      </w:r>
      <w:r>
        <w:rPr>
          <w:rFonts w:hint="eastAsia" w:ascii="宋体" w:hAnsi="宋体" w:eastAsia="宋体" w:cs="宋体"/>
          <w:sz w:val="24"/>
          <w:szCs w:val="24"/>
          <w:highlight w:val="none"/>
        </w:rPr>
        <w:t>投标报价应由法定代表人或被授权人签署。</w:t>
      </w:r>
    </w:p>
    <w:p w14:paraId="7F86FF48">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22.8</w:t>
      </w:r>
      <w:r>
        <w:rPr>
          <w:rFonts w:hint="eastAsia" w:ascii="宋体" w:hAnsi="宋体" w:eastAsia="宋体" w:cs="宋体"/>
          <w:b/>
          <w:bCs/>
          <w:sz w:val="24"/>
          <w:szCs w:val="24"/>
          <w:highlight w:val="none"/>
        </w:rPr>
        <w:t>投标人投标总报价，不得高于本次招标设置的最高限价，否则将作为无效投标处理。</w:t>
      </w:r>
    </w:p>
    <w:p w14:paraId="6DCD685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22.9</w:t>
      </w:r>
      <w:r>
        <w:rPr>
          <w:rFonts w:hint="eastAsia" w:ascii="宋体" w:hAnsi="宋体" w:eastAsia="宋体" w:cs="宋体"/>
          <w:sz w:val="24"/>
          <w:szCs w:val="24"/>
          <w:highlight w:val="none"/>
        </w:rPr>
        <w:t>如投标文件中未列明全面实现投标货物功能而必须配置的配套或辅助设施及相应技术措施的费用，这些费用将被视为已包含在总投标价中。</w:t>
      </w:r>
    </w:p>
    <w:p w14:paraId="1DBC8CA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22.10</w:t>
      </w:r>
      <w:r>
        <w:rPr>
          <w:rFonts w:hint="eastAsia" w:ascii="宋体" w:hAnsi="宋体" w:eastAsia="宋体" w:cs="宋体"/>
          <w:sz w:val="24"/>
          <w:szCs w:val="24"/>
          <w:highlight w:val="none"/>
        </w:rPr>
        <w:t>总投标价中不得包含采购文件要求以外的内容，否则，在评标时不予核减，但在授予合同时，招标人有权将这部分价格从其中标价格中扣除。</w:t>
      </w:r>
    </w:p>
    <w:p w14:paraId="5F3596D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22.11</w:t>
      </w:r>
      <w:r>
        <w:rPr>
          <w:rFonts w:hint="eastAsia" w:ascii="宋体" w:hAnsi="宋体" w:eastAsia="宋体" w:cs="宋体"/>
          <w:sz w:val="24"/>
          <w:szCs w:val="24"/>
          <w:highlight w:val="none"/>
        </w:rPr>
        <w:t>总投标价中不得缺漏采购文件所要求的内容，否则，评标时将有效投标中该项内容的最高价计入其评标总价，但在授予合同时，缺漏项目的报价视作已含在其他项目的报价中，这些项目将作为免费赠   送而包含在合同内。</w:t>
      </w:r>
    </w:p>
    <w:p w14:paraId="6F0CB57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22.12</w:t>
      </w:r>
      <w:r>
        <w:rPr>
          <w:rFonts w:hint="eastAsia" w:ascii="宋体" w:hAnsi="宋体" w:eastAsia="宋体" w:cs="宋体"/>
          <w:sz w:val="24"/>
          <w:szCs w:val="24"/>
          <w:highlight w:val="none"/>
        </w:rPr>
        <w:t>投标人不得对从第三方采购货物的随机备品、备件另行收费，否则在计算评标价时这部分费用将不予扣除，在授予合同时将从中标价格中扣除该部分费用。</w:t>
      </w:r>
    </w:p>
    <w:p w14:paraId="01E00E0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22.13</w:t>
      </w:r>
      <w:r>
        <w:rPr>
          <w:rFonts w:hint="eastAsia" w:ascii="宋体" w:hAnsi="宋体" w:eastAsia="宋体" w:cs="宋体"/>
          <w:sz w:val="24"/>
          <w:szCs w:val="24"/>
          <w:highlight w:val="none"/>
        </w:rPr>
        <w:t>投标人应根据货物的技术状况列出随机备品备件的清单和数量，并将该备品备件价格计入总投标价，若所提供的产品无需备件，则应在投标文件中说明；无论投标人在报价中列明随机备品备件的数量及价格多少，在质保期内招标人均无需为维护维修保养所需的专用工具和备品备件另行支付费用。</w:t>
      </w:r>
    </w:p>
    <w:p w14:paraId="60398090">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23.</w:t>
      </w:r>
      <w:r>
        <w:rPr>
          <w:rFonts w:hint="eastAsia" w:ascii="宋体" w:hAnsi="宋体" w:eastAsia="宋体" w:cs="宋体"/>
          <w:b/>
          <w:bCs/>
          <w:sz w:val="24"/>
          <w:szCs w:val="24"/>
          <w:highlight w:val="none"/>
        </w:rPr>
        <w:t>投标有效期</w:t>
      </w:r>
    </w:p>
    <w:p w14:paraId="0CBC987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23.1</w:t>
      </w:r>
      <w:r>
        <w:rPr>
          <w:rFonts w:hint="eastAsia" w:ascii="宋体" w:hAnsi="宋体" w:eastAsia="宋体" w:cs="宋体"/>
          <w:sz w:val="24"/>
          <w:szCs w:val="24"/>
          <w:highlight w:val="none"/>
        </w:rPr>
        <w:t>除投标人须知前附表另有规定外，投标有效期为</w:t>
      </w:r>
      <w:r>
        <w:rPr>
          <w:rFonts w:hint="eastAsia" w:ascii="宋体" w:hAnsi="宋体" w:eastAsia="宋体" w:cs="宋体"/>
          <w:sz w:val="24"/>
          <w:szCs w:val="24"/>
          <w:highlight w:val="none"/>
          <w:lang w:val="en-US" w:eastAsia="zh-CN"/>
        </w:rPr>
        <w:t>90</w:t>
      </w:r>
      <w:r>
        <w:rPr>
          <w:rFonts w:hint="eastAsia" w:ascii="宋体" w:hAnsi="宋体" w:eastAsia="宋体" w:cs="宋体"/>
          <w:sz w:val="24"/>
          <w:szCs w:val="24"/>
          <w:highlight w:val="none"/>
        </w:rPr>
        <w:t>天。</w:t>
      </w:r>
    </w:p>
    <w:p w14:paraId="065301A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23.2</w:t>
      </w:r>
      <w:r>
        <w:rPr>
          <w:rFonts w:hint="eastAsia" w:ascii="宋体" w:hAnsi="宋体" w:eastAsia="宋体" w:cs="宋体"/>
          <w:sz w:val="24"/>
          <w:szCs w:val="24"/>
          <w:highlight w:val="none"/>
        </w:rPr>
        <w:t>在投标有效期内，投标人撤销或修改其投标文件的，应承担采购文件和法律规定的责任。</w:t>
      </w:r>
    </w:p>
    <w:p w14:paraId="7A1284B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23.3</w:t>
      </w:r>
      <w:r>
        <w:rPr>
          <w:rFonts w:hint="eastAsia" w:ascii="宋体" w:hAnsi="宋体" w:eastAsia="宋体" w:cs="宋体"/>
          <w:sz w:val="24"/>
          <w:szCs w:val="24"/>
          <w:highlight w:val="none"/>
        </w:rPr>
        <w:t>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14:paraId="159F8B45">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lang w:val="en-US" w:eastAsia="zh-CN"/>
        </w:rPr>
        <w:t>23.</w:t>
      </w:r>
      <w:r>
        <w:rPr>
          <w:rFonts w:hint="eastAsia" w:ascii="宋体" w:hAnsi="宋体" w:eastAsia="宋体" w:cs="宋体"/>
          <w:b/>
          <w:bCs/>
          <w:sz w:val="24"/>
          <w:szCs w:val="24"/>
          <w:highlight w:val="none"/>
        </w:rPr>
        <w:t>投标保证金</w:t>
      </w:r>
    </w:p>
    <w:p w14:paraId="268408E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23.1</w:t>
      </w:r>
      <w:r>
        <w:rPr>
          <w:rFonts w:hint="eastAsia" w:ascii="宋体" w:hAnsi="宋体" w:eastAsia="宋体" w:cs="宋体"/>
          <w:sz w:val="24"/>
          <w:szCs w:val="24"/>
          <w:highlight w:val="none"/>
        </w:rPr>
        <w:t>投标人须知前附表规定递交投标保证金的，投标人在递交投标文件的同时，应按投标人须知前附表规定的金额、担保形式和第</w:t>
      </w:r>
      <w:r>
        <w:rPr>
          <w:rFonts w:hint="eastAsia" w:ascii="宋体" w:hAnsi="宋体" w:eastAsia="宋体" w:cs="宋体"/>
          <w:sz w:val="24"/>
          <w:szCs w:val="24"/>
          <w:highlight w:val="none"/>
          <w:lang w:val="en-US" w:eastAsia="zh-CN"/>
        </w:rPr>
        <w:t>七</w:t>
      </w:r>
      <w:r>
        <w:rPr>
          <w:rFonts w:hint="eastAsia" w:ascii="宋体" w:hAnsi="宋体" w:eastAsia="宋体" w:cs="宋体"/>
          <w:sz w:val="24"/>
          <w:szCs w:val="24"/>
          <w:highlight w:val="none"/>
        </w:rPr>
        <w:t>章“投标文件格式”规定的投标保证金格式递交投标保证金，并作为其投标文件的组成部分。投标人不按要求提交投标保证金的，评标委员会将否决其投标。</w:t>
      </w:r>
    </w:p>
    <w:p w14:paraId="1FA89B2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23.2</w:t>
      </w:r>
      <w:r>
        <w:rPr>
          <w:rFonts w:hint="eastAsia" w:ascii="宋体" w:hAnsi="宋体" w:eastAsia="宋体" w:cs="宋体"/>
          <w:sz w:val="24"/>
          <w:szCs w:val="24"/>
          <w:highlight w:val="none"/>
        </w:rPr>
        <w:t>自中标通知书发出之日起5个工作日内退还未中标投标人的投标保证金，自政府采购合同签订之日起5个工作日内退还中标人的投标保证金。</w:t>
      </w:r>
    </w:p>
    <w:p w14:paraId="4E90389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23.3</w:t>
      </w:r>
      <w:r>
        <w:rPr>
          <w:rFonts w:hint="eastAsia" w:ascii="宋体" w:hAnsi="宋体" w:eastAsia="宋体" w:cs="宋体"/>
          <w:sz w:val="24"/>
          <w:szCs w:val="24"/>
          <w:highlight w:val="none"/>
        </w:rPr>
        <w:t>有下列情形之一的，投标保证金将不予退还：</w:t>
      </w:r>
    </w:p>
    <w:p w14:paraId="7785606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投标人在规定的投标有效期内撤回或修改其投标文件；</w:t>
      </w:r>
    </w:p>
    <w:p w14:paraId="2D9A8A0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成交通知书发出后三十天内，中标人无正当理由拒签合同协议书或未按采购文件规定提交履约担保。</w:t>
      </w:r>
    </w:p>
    <w:p w14:paraId="4C7BF57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提供虚假材料谋取中标的；</w:t>
      </w:r>
    </w:p>
    <w:p w14:paraId="65227AC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经查实属于陪标、串通投标的等。</w:t>
      </w:r>
    </w:p>
    <w:p w14:paraId="7D14D45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23.4</w:t>
      </w:r>
      <w:r>
        <w:rPr>
          <w:rFonts w:hint="eastAsia" w:ascii="宋体" w:hAnsi="宋体" w:eastAsia="宋体" w:cs="宋体"/>
          <w:sz w:val="24"/>
          <w:szCs w:val="24"/>
          <w:highlight w:val="none"/>
        </w:rPr>
        <w:t>投标保证金按投标人须知前附表第 24 条规定执行。</w:t>
      </w:r>
    </w:p>
    <w:p w14:paraId="5B77C993">
      <w:pPr>
        <w:pStyle w:val="4"/>
        <w:numPr>
          <w:ilvl w:val="0"/>
          <w:numId w:val="0"/>
        </w:numPr>
        <w:bidi w:val="0"/>
        <w:ind w:leftChars="200"/>
        <w:rPr>
          <w:rFonts w:hint="eastAsia" w:ascii="宋体" w:hAnsi="宋体" w:eastAsia="宋体" w:cs="宋体"/>
          <w:sz w:val="24"/>
          <w:szCs w:val="24"/>
          <w:highlight w:val="none"/>
        </w:rPr>
      </w:pPr>
      <w:bookmarkStart w:id="28" w:name="（四）投标文件的制作、上传及递交要求"/>
      <w:bookmarkEnd w:id="28"/>
      <w:bookmarkStart w:id="29" w:name="_Toc32331"/>
      <w:r>
        <w:rPr>
          <w:rFonts w:hint="eastAsia" w:ascii="宋体" w:hAnsi="宋体" w:eastAsia="宋体" w:cs="宋体"/>
          <w:highlight w:val="none"/>
        </w:rPr>
        <w:t>（四）投标文件的制作、上传及递交要求</w:t>
      </w:r>
      <w:bookmarkEnd w:id="29"/>
    </w:p>
    <w:p w14:paraId="370116A0">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25.</w:t>
      </w:r>
      <w:r>
        <w:rPr>
          <w:rFonts w:hint="eastAsia" w:ascii="宋体" w:hAnsi="宋体" w:eastAsia="宋体" w:cs="宋体"/>
          <w:b/>
          <w:bCs/>
          <w:sz w:val="24"/>
          <w:szCs w:val="24"/>
          <w:highlight w:val="none"/>
        </w:rPr>
        <w:t>投标文件的制作要求</w:t>
      </w:r>
    </w:p>
    <w:p w14:paraId="6803C1B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供应商应按照投标文件组成内容及项目招标需求和新疆政府采购云平台要求制作投标文件，不按采购文件和新疆政府采购云平台要求制作投标文件的将视情况处理（拒收等），由此产生的责任由供应商自行承担。</w:t>
      </w:r>
    </w:p>
    <w:p w14:paraId="6BA125F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电子投标文件部分：供应商应根据“政采云供应商项目采购-电子招投标操作指南”及本采购文件规定的格式和顺序编制电子投标文件并进行关联定位。本文件《第</w:t>
      </w:r>
      <w:r>
        <w:rPr>
          <w:rFonts w:hint="eastAsia" w:ascii="宋体" w:hAnsi="宋体" w:eastAsia="宋体" w:cs="宋体"/>
          <w:sz w:val="24"/>
          <w:szCs w:val="24"/>
          <w:highlight w:val="none"/>
          <w:lang w:val="en-US" w:eastAsia="zh-CN"/>
        </w:rPr>
        <w:t>七</w:t>
      </w:r>
      <w:r>
        <w:rPr>
          <w:rFonts w:hint="eastAsia" w:ascii="宋体" w:hAnsi="宋体" w:eastAsia="宋体" w:cs="宋体"/>
          <w:sz w:val="24"/>
          <w:szCs w:val="24"/>
          <w:highlight w:val="none"/>
        </w:rPr>
        <w:t>章投标文件格式》中有提供格式的，供应商应按照格式进行编制（格式中要求提供相关证明材料的还需后附相关证明材料），并按格式要求在指定位置根据要求进行签章，否则视为未提供；本文件《第</w:t>
      </w:r>
      <w:r>
        <w:rPr>
          <w:rFonts w:hint="eastAsia" w:ascii="宋体" w:hAnsi="宋体" w:eastAsia="宋体" w:cs="宋体"/>
          <w:sz w:val="24"/>
          <w:szCs w:val="24"/>
          <w:highlight w:val="none"/>
          <w:lang w:val="en-US" w:eastAsia="zh-CN"/>
        </w:rPr>
        <w:t>七</w:t>
      </w:r>
      <w:r>
        <w:rPr>
          <w:rFonts w:hint="eastAsia" w:ascii="宋体" w:hAnsi="宋体" w:eastAsia="宋体" w:cs="宋体"/>
          <w:sz w:val="24"/>
          <w:szCs w:val="24"/>
          <w:highlight w:val="none"/>
        </w:rPr>
        <w:t>章投标文件格式》未提供格式的，请供应商自行拟定格式，并加盖单位公章，否则视为未提供。</w:t>
      </w:r>
    </w:p>
    <w:p w14:paraId="60998BF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供应商应对所提供的全部资料的真实性、有效性承担法律责任，电子投标文件中所须加盖公章部分均采用 CA 签章。</w:t>
      </w:r>
    </w:p>
    <w:p w14:paraId="4335582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投标文件以及供应商与采购组织机构就有关投标事宜的所有来往函电，均应以中文汉语书写。除签字、盖章、专用名称等特殊情形外，以中文汉语以外的文字表述的投标文件视同未提供。</w:t>
      </w:r>
    </w:p>
    <w:p w14:paraId="7919A7D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投标计量单位，采购文件已有明确规定的，使用采购文件规定的计量单位；采购文件没有规定的，应采用中华人民共和国法定计量单位（货币单位：人民币元）。</w:t>
      </w:r>
    </w:p>
    <w:p w14:paraId="22E9F94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若供应商不按采购文件的要求提供资格审查材料，其风险由供应商自行承担。</w:t>
      </w:r>
    </w:p>
    <w:p w14:paraId="487EE4E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与本次投标无关的内容请不要制作在内，确保投标文件有针对性、简洁明了。</w:t>
      </w:r>
    </w:p>
    <w:p w14:paraId="1879FC29">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26.投标文件的上传</w:t>
      </w:r>
    </w:p>
    <w:p w14:paraId="4384395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（1）电子加密投标文件（“.jmbs”格式）：</w:t>
      </w:r>
    </w:p>
    <w:p w14:paraId="774B9F2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a.</w:t>
      </w:r>
      <w:r>
        <w:rPr>
          <w:rFonts w:hint="eastAsia" w:ascii="宋体" w:hAnsi="宋体" w:eastAsia="宋体" w:cs="宋体"/>
          <w:sz w:val="24"/>
          <w:szCs w:val="24"/>
          <w:highlight w:val="none"/>
        </w:rPr>
        <w:t>供应商应在投标截止时间前将电子加密投标文件成功上传递交至新疆政府采购云平台，否则投标无效；</w:t>
      </w:r>
    </w:p>
    <w:p w14:paraId="175D493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b.</w:t>
      </w:r>
      <w:r>
        <w:rPr>
          <w:rFonts w:hint="eastAsia" w:ascii="宋体" w:hAnsi="宋体" w:eastAsia="宋体" w:cs="宋体"/>
          <w:sz w:val="24"/>
          <w:szCs w:val="24"/>
          <w:highlight w:val="none"/>
        </w:rPr>
        <w:t>供应商成功上传电子加密投标文件后，可自行打印投标文件接收回执。</w:t>
      </w:r>
    </w:p>
    <w:p w14:paraId="71329285">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27.投标文件的递交要求</w:t>
      </w:r>
    </w:p>
    <w:p w14:paraId="3C8B166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供应商须按照采购文件和政采云平台的要求编制并加密投标文件。在投标文件递交截止时间以前完成投标文件的传输递交，截止时间后递交的投标文件，将被拒收。</w:t>
      </w:r>
    </w:p>
    <w:p w14:paraId="74B1DA0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如有特殊情况，采购组织机构延长截止时间和开标时间，采购组织机构和供应商的权利和义务将受到新的截止时间和开标时间的约束。</w:t>
      </w:r>
    </w:p>
    <w:p w14:paraId="6D0F9F11">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28.</w:t>
      </w:r>
      <w:r>
        <w:rPr>
          <w:rFonts w:hint="eastAsia" w:ascii="宋体" w:hAnsi="宋体" w:eastAsia="宋体" w:cs="宋体"/>
          <w:b/>
          <w:bCs/>
          <w:sz w:val="24"/>
          <w:szCs w:val="24"/>
          <w:highlight w:val="none"/>
        </w:rPr>
        <w:t>投标文件的补充、修改与撤回</w:t>
      </w:r>
    </w:p>
    <w:p w14:paraId="4E42569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投标截止时间后传输递交的投标文件，“政府采购云平台”将予以拒收。投标截止时间后，供应商不得修改（补充）或撤回其投标文件。</w:t>
      </w:r>
    </w:p>
    <w:p w14:paraId="0F8AA3D6">
      <w:pPr>
        <w:pStyle w:val="4"/>
        <w:numPr>
          <w:ilvl w:val="0"/>
          <w:numId w:val="0"/>
        </w:numPr>
        <w:bidi w:val="0"/>
        <w:ind w:leftChars="200"/>
        <w:rPr>
          <w:rFonts w:hint="eastAsia" w:ascii="宋体" w:hAnsi="宋体" w:eastAsia="宋体" w:cs="宋体"/>
          <w:sz w:val="24"/>
          <w:szCs w:val="24"/>
          <w:highlight w:val="none"/>
        </w:rPr>
      </w:pPr>
      <w:bookmarkStart w:id="30" w:name="（五）开 标、评标和定标"/>
      <w:bookmarkEnd w:id="30"/>
      <w:bookmarkStart w:id="31" w:name="_Toc30198"/>
      <w:r>
        <w:rPr>
          <w:rFonts w:hint="eastAsia" w:ascii="宋体" w:hAnsi="宋体" w:eastAsia="宋体" w:cs="宋体"/>
          <w:highlight w:val="none"/>
        </w:rPr>
        <w:t>（五）开标、评标和定标</w:t>
      </w:r>
      <w:bookmarkEnd w:id="31"/>
    </w:p>
    <w:p w14:paraId="7C7F2D43">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29.</w:t>
      </w:r>
      <w:r>
        <w:rPr>
          <w:rFonts w:hint="eastAsia" w:ascii="宋体" w:hAnsi="宋体" w:eastAsia="宋体" w:cs="宋体"/>
          <w:b/>
          <w:bCs/>
          <w:sz w:val="24"/>
          <w:szCs w:val="24"/>
          <w:highlight w:val="none"/>
        </w:rPr>
        <w:t>开标</w:t>
      </w:r>
    </w:p>
    <w:p w14:paraId="07917579">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29.1</w:t>
      </w:r>
      <w:r>
        <w:rPr>
          <w:rFonts w:hint="eastAsia" w:ascii="宋体" w:hAnsi="宋体" w:eastAsia="宋体" w:cs="宋体"/>
          <w:b/>
          <w:bCs/>
          <w:sz w:val="24"/>
          <w:szCs w:val="24"/>
          <w:highlight w:val="none"/>
        </w:rPr>
        <w:t>开标邀请</w:t>
      </w:r>
    </w:p>
    <w:p w14:paraId="71DFD3E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开标准备：本项目开标的准备工作由采购组织机构负责落实，开标过程由采购组织机构负责记录；</w:t>
      </w:r>
    </w:p>
    <w:p w14:paraId="24B82DF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开标主持：本项目开标由采购人或者采购代理机构主持；</w:t>
      </w:r>
    </w:p>
    <w:p w14:paraId="3DF2DA9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开标邀请：本项目采用电子交易，采购组织机构将按照采购文件规定的时间通过“新疆政府采购云平台，网址：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HYPERLINK"http://www.zcygov.cn/"\h</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www.zcygov.cn</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t>”组织开标、开启投标响应文件，所有供应商均应当准时在线参加。</w:t>
      </w:r>
    </w:p>
    <w:p w14:paraId="211A3D7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供应商对开标过程和开标记录有疑义，以及认为采购人、采购代理机构相关工作人员有需要回避的情形的，应当场提出询问或回避申请。供应商未参加开标的视同认可开标结果，事后不得对采购相关人员、开标过程和开标结果提出异议，同时投标供应商因未在线参加开标而导致投标文件无法按时解密等一切后果由供应商自行承担。</w:t>
      </w:r>
    </w:p>
    <w:p w14:paraId="6C633D27">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bookmarkStart w:id="32" w:name="29.2开标程序（先资格、商务技术后报价）"/>
      <w:bookmarkEnd w:id="32"/>
      <w:bookmarkStart w:id="33" w:name="29.2开标程序（先资格、商务技术后报价）"/>
      <w:bookmarkEnd w:id="33"/>
      <w:r>
        <w:rPr>
          <w:rFonts w:hint="eastAsia" w:ascii="宋体" w:hAnsi="宋体" w:eastAsia="宋体" w:cs="宋体"/>
          <w:b/>
          <w:bCs/>
          <w:sz w:val="24"/>
          <w:szCs w:val="24"/>
          <w:highlight w:val="none"/>
          <w:lang w:val="en-US" w:eastAsia="zh-CN"/>
        </w:rPr>
        <w:t>29.2</w:t>
      </w:r>
      <w:r>
        <w:rPr>
          <w:rFonts w:hint="eastAsia" w:ascii="宋体" w:hAnsi="宋体" w:eastAsia="宋体" w:cs="宋体"/>
          <w:b/>
          <w:bCs/>
          <w:sz w:val="24"/>
          <w:szCs w:val="24"/>
          <w:highlight w:val="none"/>
        </w:rPr>
        <w:t>开标程序（先资格、商务技术后报价）</w:t>
      </w:r>
    </w:p>
    <w:p w14:paraId="46448C4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开标时间到后，主持人宣布开标会议开始。</w:t>
      </w:r>
    </w:p>
    <w:p w14:paraId="2C74B5B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投标文件解密（解密规定见《供应商须知前附表》）。</w:t>
      </w:r>
    </w:p>
    <w:p w14:paraId="4049CA9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投标文件解密异常情况处理（处理办法见《供应商须知前附表》）。</w:t>
      </w:r>
    </w:p>
    <w:p w14:paraId="6F84FF3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开启标书信息（资格证明文件、商务技术文件）。标书信息开启后，首先由采购人或采购代理机构或评审小组依法对投标供应商的资格证明文件进行审查（具体见本章“29.3 投标供应商资格审查”）， 审查结束公布投标供应商的资格符合情况。资格审查未获通过的供应商，其商务技术文件及报价文件不再进入评审。</w:t>
      </w:r>
    </w:p>
    <w:p w14:paraId="7C81355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商务技术评审结束后，主持人公布商务技术评审无效投标供应商名单和商务技术评审有效投标供应商名单及其商务技术得分情况。商务技术评审无效的供应商，其报价不再进入评审。</w:t>
      </w:r>
    </w:p>
    <w:p w14:paraId="5D9D637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开启有效投标供应商的报价，公布开标一览表有关内容，并【开启签字时段】，供应商对开标纪录进行在线签字确认（不予确认的应说明理由，否则视为无异议）。开标结束后，由评标委员会对报价的合理性、准确性等进行审查核实。</w:t>
      </w:r>
    </w:p>
    <w:p w14:paraId="4EF9CD4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评审结束后，采购代理机构在系统上公布评审结果。</w:t>
      </w:r>
    </w:p>
    <w:p w14:paraId="6A3AC1A5">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特别情况说明：</w:t>
      </w:r>
    </w:p>
    <w:p w14:paraId="4A3CC09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本项目采用电子交易，如遇“新疆政府采购云平台”电子化开标或评审程序调整的，按调整后程序执行。</w:t>
      </w:r>
    </w:p>
    <w:p w14:paraId="3D06312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开标过程中需要相关当事人进行签字或盖章确认的材料将通过“政府采购云平台”进行，若因“政府采购云平台”技术问题无法进行签字或盖章确认的，采购组织机构将通过电子邮件等形式予以确认，请供应商保证办理投标事宜人员电话畅通、网络在线，签字或盖章确认的时间为20分钟。如未及时签字或盖章确认的，视为无异议。</w:t>
      </w:r>
    </w:p>
    <w:p w14:paraId="1C9ED78F">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29.3</w:t>
      </w:r>
      <w:r>
        <w:rPr>
          <w:rFonts w:hint="eastAsia" w:ascii="宋体" w:hAnsi="宋体" w:eastAsia="宋体" w:cs="宋体"/>
          <w:b/>
          <w:bCs/>
          <w:sz w:val="24"/>
          <w:szCs w:val="24"/>
          <w:highlight w:val="none"/>
        </w:rPr>
        <w:t>投标供应商资格审查：</w:t>
      </w:r>
    </w:p>
    <w:p w14:paraId="740795C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开标（标书信息开启）后，采购人或采购代理机构或评审小组首先依法对投标供应商的资格文件进行审查，审查各投标供应商的资格符合情况。采购人或采购代理机构或评审小组对投标供应商所提交的资格证明材料仅负审核的责任。如发现投标供应商所提交的资格证明材料不合法或与事实不符，采购人可取消其中标资格并追究投标供应商的法律责任。</w:t>
      </w:r>
    </w:p>
    <w:p w14:paraId="7738B75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投标供应商提交的资格证明材料无法证明其符合采购文件规定的“投标供应商资格要求”的，采购人或采购代理机构将对其作“资格审查不合格”处理（无效投标），并不再将其投标提交评标委员会进行后续评审。</w:t>
      </w:r>
    </w:p>
    <w:p w14:paraId="1B66773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供应商信用记录查询与使用：见《供应商须知前附表》。</w:t>
      </w:r>
    </w:p>
    <w:p w14:paraId="606FBE92">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lang w:val="en-US" w:eastAsia="zh-CN"/>
        </w:rPr>
      </w:pPr>
    </w:p>
    <w:p w14:paraId="4BE986A2">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30.</w:t>
      </w:r>
      <w:r>
        <w:rPr>
          <w:rFonts w:hint="eastAsia" w:ascii="宋体" w:hAnsi="宋体" w:eastAsia="宋体" w:cs="宋体"/>
          <w:b/>
          <w:bCs/>
          <w:sz w:val="24"/>
          <w:szCs w:val="24"/>
          <w:highlight w:val="none"/>
        </w:rPr>
        <w:t>评审工作的组织</w:t>
      </w:r>
    </w:p>
    <w:p w14:paraId="24BFAB2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采购人或采购代理机构负责组织本项目的评审工作，并依据《政府采购货物和服务招标投标管理办法（财政部第87号令）》第四十五条的相关规定履行职责。</w:t>
      </w:r>
    </w:p>
    <w:p w14:paraId="7672692D">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31.</w:t>
      </w:r>
      <w:r>
        <w:rPr>
          <w:rFonts w:hint="eastAsia" w:ascii="宋体" w:hAnsi="宋体" w:eastAsia="宋体" w:cs="宋体"/>
          <w:b/>
          <w:bCs/>
          <w:sz w:val="24"/>
          <w:szCs w:val="24"/>
          <w:highlight w:val="none"/>
        </w:rPr>
        <w:t>评标委员会的组建</w:t>
      </w:r>
    </w:p>
    <w:p w14:paraId="008D5F0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b/>
          <w:bCs/>
          <w:sz w:val="24"/>
          <w:szCs w:val="24"/>
          <w:highlight w:val="none"/>
        </w:rPr>
      </w:pPr>
      <w:r>
        <w:rPr>
          <w:rFonts w:hint="eastAsia" w:ascii="宋体" w:hAnsi="宋体" w:eastAsia="宋体" w:cs="宋体"/>
          <w:sz w:val="24"/>
          <w:szCs w:val="24"/>
          <w:highlight w:val="none"/>
          <w:lang w:val="en-US" w:eastAsia="zh-CN"/>
        </w:rPr>
        <w:t>31.1</w:t>
      </w:r>
      <w:r>
        <w:rPr>
          <w:rFonts w:hint="eastAsia" w:ascii="宋体" w:hAnsi="宋体" w:eastAsia="宋体" w:cs="宋体"/>
          <w:sz w:val="24"/>
          <w:szCs w:val="24"/>
          <w:highlight w:val="none"/>
        </w:rPr>
        <w:t>评标委员会由采购人或采购代理机构依法组建，成员由采购人代表和评审专家组成，</w:t>
      </w:r>
      <w:r>
        <w:rPr>
          <w:rFonts w:hint="eastAsia" w:ascii="宋体" w:hAnsi="宋体" w:eastAsia="宋体" w:cs="宋体"/>
          <w:b/>
          <w:bCs/>
          <w:sz w:val="24"/>
          <w:szCs w:val="24"/>
          <w:highlight w:val="none"/>
        </w:rPr>
        <w:t>成员人数为3人或以上单数，其中评审专家不少于成员总数的三分之二。</w:t>
      </w:r>
    </w:p>
    <w:p w14:paraId="36F563C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31.2</w:t>
      </w:r>
      <w:r>
        <w:rPr>
          <w:rFonts w:hint="eastAsia" w:ascii="宋体" w:hAnsi="宋体" w:eastAsia="宋体" w:cs="宋体"/>
          <w:sz w:val="24"/>
          <w:szCs w:val="24"/>
          <w:highlight w:val="none"/>
        </w:rPr>
        <w:t>评审专家从新疆政府采购云平台专家库中通过随机方式抽取产生。评标委员会成员名单在采购结果公告前保密。</w:t>
      </w:r>
    </w:p>
    <w:p w14:paraId="27D4467C">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32.</w:t>
      </w:r>
      <w:r>
        <w:rPr>
          <w:rFonts w:hint="eastAsia" w:ascii="宋体" w:hAnsi="宋体" w:eastAsia="宋体" w:cs="宋体"/>
          <w:b/>
          <w:bCs/>
          <w:sz w:val="24"/>
          <w:szCs w:val="24"/>
          <w:highlight w:val="none"/>
        </w:rPr>
        <w:t>评标委员会的职责</w:t>
      </w:r>
    </w:p>
    <w:p w14:paraId="1FEF5E4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32.1</w:t>
      </w:r>
      <w:r>
        <w:rPr>
          <w:rFonts w:hint="eastAsia" w:ascii="宋体" w:hAnsi="宋体" w:eastAsia="宋体" w:cs="宋体"/>
          <w:sz w:val="24"/>
          <w:szCs w:val="24"/>
          <w:highlight w:val="none"/>
        </w:rPr>
        <w:t>审查、评价投标文件是否符合采购文件的商务、技术等实质性要求。</w:t>
      </w:r>
    </w:p>
    <w:p w14:paraId="0518EDC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32.2</w:t>
      </w:r>
      <w:r>
        <w:rPr>
          <w:rFonts w:hint="eastAsia" w:ascii="宋体" w:hAnsi="宋体" w:eastAsia="宋体" w:cs="宋体"/>
          <w:sz w:val="24"/>
          <w:szCs w:val="24"/>
          <w:highlight w:val="none"/>
        </w:rPr>
        <w:t>要求供应商对投标文件有关事项作出澄清或者说明。</w:t>
      </w:r>
    </w:p>
    <w:p w14:paraId="7B74A82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32.3</w:t>
      </w:r>
      <w:r>
        <w:rPr>
          <w:rFonts w:hint="eastAsia" w:ascii="宋体" w:hAnsi="宋体" w:eastAsia="宋体" w:cs="宋体"/>
          <w:sz w:val="24"/>
          <w:szCs w:val="24"/>
          <w:highlight w:val="none"/>
        </w:rPr>
        <w:t>对投标文件进行比较和评价。</w:t>
      </w:r>
    </w:p>
    <w:p w14:paraId="772EC12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32.4</w:t>
      </w:r>
      <w:r>
        <w:rPr>
          <w:rFonts w:hint="eastAsia" w:ascii="宋体" w:hAnsi="宋体" w:eastAsia="宋体" w:cs="宋体"/>
          <w:sz w:val="24"/>
          <w:szCs w:val="24"/>
          <w:highlight w:val="none"/>
        </w:rPr>
        <w:t>确定中标候选人名单，以及根据采购人委托直接确定中标人。</w:t>
      </w:r>
    </w:p>
    <w:p w14:paraId="20FA099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32.5</w:t>
      </w:r>
      <w:r>
        <w:rPr>
          <w:rFonts w:hint="eastAsia" w:ascii="宋体" w:hAnsi="宋体" w:eastAsia="宋体" w:cs="宋体"/>
          <w:sz w:val="24"/>
          <w:szCs w:val="24"/>
          <w:highlight w:val="none"/>
        </w:rPr>
        <w:t>向采购人、采购代理机构或者有关部门报告评审中发现的违法行为。</w:t>
      </w:r>
    </w:p>
    <w:p w14:paraId="4AC4E252">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33.</w:t>
      </w:r>
      <w:r>
        <w:rPr>
          <w:rFonts w:hint="eastAsia" w:ascii="宋体" w:hAnsi="宋体" w:eastAsia="宋体" w:cs="宋体"/>
          <w:b/>
          <w:bCs/>
          <w:sz w:val="24"/>
          <w:szCs w:val="24"/>
          <w:highlight w:val="none"/>
        </w:rPr>
        <w:t>评标原则</w:t>
      </w:r>
    </w:p>
    <w:p w14:paraId="0956CFE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33.1</w:t>
      </w:r>
      <w:r>
        <w:rPr>
          <w:rFonts w:hint="eastAsia" w:ascii="宋体" w:hAnsi="宋体" w:eastAsia="宋体" w:cs="宋体"/>
          <w:sz w:val="24"/>
          <w:szCs w:val="24"/>
          <w:highlight w:val="none"/>
        </w:rPr>
        <w:t>评标委员会将遵循公平、公正、科学的原则，对供应商提交的投标文件进行综合评审，评标委员会按照采购文件规定的评标细则进行评分。</w:t>
      </w:r>
    </w:p>
    <w:p w14:paraId="3A85B85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33.2</w:t>
      </w:r>
      <w:r>
        <w:rPr>
          <w:rFonts w:hint="eastAsia" w:ascii="宋体" w:hAnsi="宋体" w:eastAsia="宋体" w:cs="宋体"/>
          <w:sz w:val="24"/>
          <w:szCs w:val="24"/>
          <w:highlight w:val="none"/>
        </w:rPr>
        <w:t>客观公正对待所有供应商，对所有投标评价均采用相同的程序和标准。</w:t>
      </w:r>
    </w:p>
    <w:p w14:paraId="447FC58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33.3</w:t>
      </w:r>
      <w:r>
        <w:rPr>
          <w:rFonts w:hint="eastAsia" w:ascii="宋体" w:hAnsi="宋体" w:eastAsia="宋体" w:cs="宋体"/>
          <w:sz w:val="24"/>
          <w:szCs w:val="24"/>
          <w:highlight w:val="none"/>
        </w:rPr>
        <w:t>评标委员会成员对需要共同认定的事项存在争议的，按照少数服从多数的原则作出结论。持不同意见的评标委员会成员应当在评审报告上签署不同意见及理由，否则视为同意评审报告。</w:t>
      </w:r>
    </w:p>
    <w:p w14:paraId="40B76EE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33.4</w:t>
      </w:r>
      <w:r>
        <w:rPr>
          <w:rFonts w:hint="eastAsia" w:ascii="宋体" w:hAnsi="宋体" w:eastAsia="宋体" w:cs="宋体"/>
          <w:sz w:val="24"/>
          <w:szCs w:val="24"/>
          <w:highlight w:val="none"/>
        </w:rPr>
        <w:t>财政部令第87号《政府采购货物和服务招标投标管理办法》第三十一条规定：使用综合评分法的采购项目，提供相同品牌产品且通过资格审查、符合性审查的不同供应商参加同一合同项下投标的，按一家供应商计算，评审后得分最高的同品牌供应商获得中标人推荐资格；评审得分相同的，由采购人或者采购人委托评标委员会按照采购文件规定的方式确定一个供应商获得中标人推荐资格，采购文件未规定的采取随机抽取方式确定，其他同品牌供应商不作为中标候选人。</w:t>
      </w:r>
    </w:p>
    <w:p w14:paraId="420BA16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非单一产品采购项目，采购人应当根据采购项目技术构成、产品价格比重等合理确定核心产品，并在采购文件中载明。多家供应商提供的核心产品品牌相同的，按前款规定处理。</w:t>
      </w:r>
    </w:p>
    <w:p w14:paraId="65EEB71F">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34.</w:t>
      </w:r>
      <w:r>
        <w:rPr>
          <w:rFonts w:hint="eastAsia" w:ascii="宋体" w:hAnsi="宋体" w:eastAsia="宋体" w:cs="宋体"/>
          <w:b/>
          <w:bCs/>
          <w:sz w:val="24"/>
          <w:szCs w:val="24"/>
          <w:highlight w:val="none"/>
        </w:rPr>
        <w:t>评委纪律</w:t>
      </w:r>
    </w:p>
    <w:p w14:paraId="3D66EEE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评标委员会成员必须严格遵守保密规定，不得泄露评审的有关情况，任何单位和个人不得干扰、影响评   标的正常进行，评标委员会成员不得私下与投标供应商接触，不得出现浙江省政府采购活动现场组织管理   办法中规定的其他禁止行为。</w:t>
      </w:r>
    </w:p>
    <w:p w14:paraId="5AFF91A4">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35.</w:t>
      </w:r>
      <w:r>
        <w:rPr>
          <w:rFonts w:hint="eastAsia" w:ascii="宋体" w:hAnsi="宋体" w:eastAsia="宋体" w:cs="宋体"/>
          <w:b/>
          <w:bCs/>
          <w:sz w:val="24"/>
          <w:szCs w:val="24"/>
          <w:highlight w:val="none"/>
        </w:rPr>
        <w:t>评标程序</w:t>
      </w:r>
    </w:p>
    <w:p w14:paraId="67589B3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35.1</w:t>
      </w:r>
      <w:r>
        <w:rPr>
          <w:rFonts w:hint="eastAsia" w:ascii="宋体" w:hAnsi="宋体" w:eastAsia="宋体" w:cs="宋体"/>
          <w:sz w:val="24"/>
          <w:szCs w:val="24"/>
          <w:highlight w:val="none"/>
        </w:rPr>
        <w:t>在评审专家中推选评标委员会组长，采购人代表不得担任评标委员会组长。</w:t>
      </w:r>
    </w:p>
    <w:p w14:paraId="3FC227C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35.2</w:t>
      </w:r>
      <w:r>
        <w:rPr>
          <w:rFonts w:hint="eastAsia" w:ascii="宋体" w:hAnsi="宋体" w:eastAsia="宋体" w:cs="宋体"/>
          <w:sz w:val="24"/>
          <w:szCs w:val="24"/>
          <w:highlight w:val="none"/>
        </w:rPr>
        <w:t>评标委员会组长召集成员认真阅读采购文件以及相关补充、质疑、答复文件、项目书面说明等材料，熟悉采购项目的基本概况，采购项目的质量要求、数量、主要技术标准或服务需求，采购合同主要条款，投标文件无效情形，评审方法、评审依据、评审标准等。</w:t>
      </w:r>
    </w:p>
    <w:p w14:paraId="711141C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35.3</w:t>
      </w:r>
      <w:r>
        <w:rPr>
          <w:rFonts w:hint="eastAsia" w:ascii="宋体" w:hAnsi="宋体" w:eastAsia="宋体" w:cs="宋体"/>
          <w:sz w:val="24"/>
          <w:szCs w:val="24"/>
          <w:highlight w:val="none"/>
        </w:rPr>
        <w:t>评审人员对符合资格的供应商的投标文件的有效性、符合性、完整性和响应程度进行审查，确定是否对采购文件作出实质性响应。</w:t>
      </w:r>
    </w:p>
    <w:p w14:paraId="0891C7B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35.4</w:t>
      </w:r>
      <w:r>
        <w:rPr>
          <w:rFonts w:hint="eastAsia" w:ascii="宋体" w:hAnsi="宋体" w:eastAsia="宋体" w:cs="宋体"/>
          <w:sz w:val="24"/>
          <w:szCs w:val="24"/>
          <w:highlight w:val="none"/>
        </w:rPr>
        <w:t>评审人员按采购文件规定的评审方法和评审标准，依法独立对供应商投标文件进行评估、比较，并给予评价或打分，不受任何单位和个人的干预。</w:t>
      </w:r>
    </w:p>
    <w:p w14:paraId="5ED261C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b w:val="0"/>
          <w:bCs w:val="0"/>
          <w:sz w:val="24"/>
          <w:szCs w:val="24"/>
          <w:highlight w:val="none"/>
        </w:rPr>
        <w:t>综合评分法服务项目的价格分值占总分值的比重(即权值)为</w:t>
      </w:r>
      <w:r>
        <w:rPr>
          <w:rFonts w:hint="eastAsia" w:ascii="宋体" w:hAnsi="宋体" w:eastAsia="宋体" w:cs="宋体"/>
          <w:b w:val="0"/>
          <w:bCs w:val="0"/>
          <w:sz w:val="24"/>
          <w:szCs w:val="24"/>
          <w:highlight w:val="none"/>
          <w:lang w:val="en-US" w:eastAsia="zh-CN"/>
        </w:rPr>
        <w:t>10</w:t>
      </w:r>
      <w:r>
        <w:rPr>
          <w:rFonts w:hint="eastAsia" w:ascii="宋体" w:hAnsi="宋体" w:eastAsia="宋体" w:cs="宋体"/>
          <w:b w:val="0"/>
          <w:bCs w:val="0"/>
          <w:sz w:val="24"/>
          <w:szCs w:val="24"/>
          <w:highlight w:val="none"/>
        </w:rPr>
        <w:t>％，</w:t>
      </w:r>
      <w:r>
        <w:rPr>
          <w:rFonts w:hint="eastAsia" w:ascii="宋体" w:hAnsi="宋体" w:eastAsia="宋体" w:cs="宋体"/>
          <w:sz w:val="24"/>
          <w:szCs w:val="24"/>
          <w:highlight w:val="none"/>
        </w:rPr>
        <w:t>采购项目中含不同采购对象的，以占项目资金比例最高的采购对象确定其项目属性。其价格不列为评分因素，有特殊情况需要在上述规定范围外设定价格分权重的。</w:t>
      </w:r>
    </w:p>
    <w:p w14:paraId="24919E0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综合评分法中的价格分统一采用低价优先法计算，即满足磋商文件要求且最后报价最低的供应商的价格为招标基准价，其价格分为满分。其他供应商的价格分统一按照下列公式计算：</w:t>
      </w:r>
    </w:p>
    <w:p w14:paraId="5187869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投标报价得分=（基准价/投标报价）×价格权值×100</w:t>
      </w:r>
    </w:p>
    <w:p w14:paraId="0576E68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项目评审过程中，不得去掉最后报价中的最高报价和最低报价。</w:t>
      </w:r>
    </w:p>
    <w:p w14:paraId="2328E1B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35.5</w:t>
      </w:r>
      <w:r>
        <w:rPr>
          <w:rFonts w:hint="eastAsia" w:ascii="宋体" w:hAnsi="宋体" w:eastAsia="宋体" w:cs="宋体"/>
          <w:sz w:val="24"/>
          <w:szCs w:val="24"/>
          <w:highlight w:val="none"/>
        </w:rPr>
        <w:t>评审人员对各供应商投标文件非实质性内容有疑议或异议，或者审查发现明显的文字或计算错误等，及时向评标委员会组长提出。经评标委员会商议认为需要供应商作出必要澄清、说明或者补正的，应当以在线询标形式要求供应商作出必要的澄清、说明或者补正。澄清、说明或者补正的内容应作为政府采购项目档案归档留存。</w:t>
      </w:r>
    </w:p>
    <w:p w14:paraId="693BFE7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35.6</w:t>
      </w:r>
      <w:r>
        <w:rPr>
          <w:rFonts w:hint="eastAsia" w:ascii="宋体" w:hAnsi="宋体" w:eastAsia="宋体" w:cs="宋体"/>
          <w:sz w:val="24"/>
          <w:szCs w:val="24"/>
          <w:highlight w:val="none"/>
        </w:rPr>
        <w:t>评审人员需对采购方工作人员唱票或统计的评审结果进行确认，现场监督员应对评审结果签署监督意见。如发现分值汇总计算错误、分项评分超出评分标准范围、客观评分不一致以及存在评分畸高、畸低（其总评分偏离平均分30%以上的）情形的，应由相关人员当场改正或作出书面说明；拒不改正又不作书面说明的，由现场监督员如实记载后存入项目档案资料。</w:t>
      </w:r>
    </w:p>
    <w:p w14:paraId="420D5D3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35.7</w:t>
      </w:r>
      <w:r>
        <w:rPr>
          <w:rFonts w:hint="eastAsia" w:ascii="宋体" w:hAnsi="宋体" w:eastAsia="宋体" w:cs="宋体"/>
          <w:sz w:val="24"/>
          <w:szCs w:val="24"/>
          <w:highlight w:val="none"/>
        </w:rPr>
        <w:t>评标委员会根据评审汇总情况和采购文件规定确定中标候选供应商排序名单。</w:t>
      </w:r>
    </w:p>
    <w:p w14:paraId="2384F24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35.8</w:t>
      </w:r>
      <w:r>
        <w:rPr>
          <w:rFonts w:hint="eastAsia" w:ascii="宋体" w:hAnsi="宋体" w:eastAsia="宋体" w:cs="宋体"/>
          <w:sz w:val="24"/>
          <w:szCs w:val="24"/>
          <w:highlight w:val="none"/>
        </w:rPr>
        <w:t>起草评审报告，所有评审人员须在评审报告上签字确认，对自己的评审意见承担法律责任。</w:t>
      </w:r>
    </w:p>
    <w:p w14:paraId="308E86C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35.9</w:t>
      </w:r>
      <w:r>
        <w:rPr>
          <w:rFonts w:hint="eastAsia" w:ascii="宋体" w:hAnsi="宋体" w:eastAsia="宋体" w:cs="宋体"/>
          <w:sz w:val="24"/>
          <w:szCs w:val="24"/>
          <w:highlight w:val="none"/>
        </w:rPr>
        <w:t>采购组织机构对评标委员会评审专家进行评价。</w:t>
      </w:r>
    </w:p>
    <w:p w14:paraId="1D88438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35.10</w:t>
      </w:r>
      <w:r>
        <w:rPr>
          <w:rFonts w:hint="eastAsia" w:ascii="宋体" w:hAnsi="宋体" w:eastAsia="宋体" w:cs="宋体"/>
          <w:sz w:val="24"/>
          <w:szCs w:val="24"/>
          <w:highlight w:val="none"/>
        </w:rPr>
        <w:t>修改评审结果</w:t>
      </w:r>
    </w:p>
    <w:p w14:paraId="27D74C1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评标结果汇总完成后，除下列情形外，任何人不得修改评标结果：</w:t>
      </w:r>
    </w:p>
    <w:p w14:paraId="34BA350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分值汇总计算错误的；</w:t>
      </w:r>
    </w:p>
    <w:p w14:paraId="121462F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分项评分超出评分标准范围的；</w:t>
      </w:r>
    </w:p>
    <w:p w14:paraId="0805EB9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评标委员会成员对客观评审因素评分不一致的；</w:t>
      </w:r>
    </w:p>
    <w:p w14:paraId="5562604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经评标委员会认定评分畸高、畸低的。</w:t>
      </w:r>
    </w:p>
    <w:p w14:paraId="053D4A5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1A4D91DE">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lang w:val="en-US" w:eastAsia="zh-CN"/>
        </w:rPr>
        <w:t>36.</w:t>
      </w:r>
      <w:r>
        <w:rPr>
          <w:rFonts w:hint="eastAsia" w:ascii="宋体" w:hAnsi="宋体" w:eastAsia="宋体" w:cs="宋体"/>
          <w:b/>
          <w:bCs/>
          <w:sz w:val="24"/>
          <w:szCs w:val="24"/>
          <w:highlight w:val="none"/>
        </w:rPr>
        <w:t>澄清、说明或补正的形式</w:t>
      </w:r>
    </w:p>
    <w:p w14:paraId="2B7B352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36.1</w:t>
      </w:r>
      <w:r>
        <w:rPr>
          <w:rFonts w:hint="eastAsia" w:ascii="宋体" w:hAnsi="宋体" w:eastAsia="宋体" w:cs="宋体"/>
          <w:sz w:val="24"/>
          <w:szCs w:val="24"/>
          <w:highlight w:val="none"/>
        </w:rPr>
        <w:t>对于投标文件中含义不明确、同类问题表述不一致或者有明显文字和计算错误的内容，评标委员会将通过“政府采购云平台”在线询标的方式要求投标供应商在规定的时间内作出必要的澄清、说明或者补正，投标供应商澄清、说明或补正时间为20分钟。</w:t>
      </w:r>
    </w:p>
    <w:p w14:paraId="25BD6A9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36.2</w:t>
      </w:r>
      <w:r>
        <w:rPr>
          <w:rFonts w:hint="eastAsia" w:ascii="宋体" w:hAnsi="宋体" w:eastAsia="宋体" w:cs="宋体"/>
          <w:sz w:val="24"/>
          <w:szCs w:val="24"/>
          <w:highlight w:val="none"/>
        </w:rPr>
        <w:t>投标供应商的澄清、说明或者补正应当通过“政府采购云平台”在线答复的方式提交，并加盖公章（电子印章），或者由法定代表人（负责人）或其授权的代表签字。投标供应商的澄清、说明或者补正不得超出投标文件的范围或者改变投标文件的实质性内容，不接受投标供应商主动对投标文件的澄清、说明或者补正。</w:t>
      </w:r>
    </w:p>
    <w:p w14:paraId="40DD5E8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36.3</w:t>
      </w:r>
      <w:r>
        <w:rPr>
          <w:rFonts w:hint="eastAsia" w:ascii="宋体" w:hAnsi="宋体" w:eastAsia="宋体" w:cs="宋体"/>
          <w:sz w:val="24"/>
          <w:szCs w:val="24"/>
          <w:highlight w:val="none"/>
        </w:rPr>
        <w:t>上述询标、澄清、说明和补正工作如因客观原因无法通过“政府采购云平台”在线进行的，将采用电子邮件等形式进行，请供应商保证办理投标事宜人员电话畅通、网络在线。如未及时进行澄清、说明或者补正的，视为放弃澄清、说明或者补正的权利。</w:t>
      </w:r>
    </w:p>
    <w:p w14:paraId="52B2338D">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lang w:val="en-US" w:eastAsia="zh-CN"/>
        </w:rPr>
        <w:t>37.</w:t>
      </w:r>
      <w:r>
        <w:rPr>
          <w:rFonts w:hint="eastAsia" w:ascii="宋体" w:hAnsi="宋体" w:eastAsia="宋体" w:cs="宋体"/>
          <w:b/>
          <w:bCs/>
          <w:sz w:val="24"/>
          <w:szCs w:val="24"/>
          <w:highlight w:val="none"/>
        </w:rPr>
        <w:t>错误修正的原则</w:t>
      </w:r>
    </w:p>
    <w:p w14:paraId="29760EC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电子交易平台客户端里开标一览表录入的投标报价或优惠率与扫描上传的报价文件信息不一致的，以扫描上传的报价文件信息为准进行修正。</w:t>
      </w:r>
    </w:p>
    <w:p w14:paraId="22AF1F7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投标文件报价出现前后不一致的，除采购文件另有规定外，按照下列规定修正：</w:t>
      </w:r>
    </w:p>
    <w:p w14:paraId="3B21175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37.1</w:t>
      </w:r>
      <w:r>
        <w:rPr>
          <w:rFonts w:hint="eastAsia" w:ascii="宋体" w:hAnsi="宋体" w:eastAsia="宋体" w:cs="宋体"/>
          <w:sz w:val="24"/>
          <w:szCs w:val="24"/>
          <w:highlight w:val="none"/>
        </w:rPr>
        <w:t>投标函中表述的内容与报价表中不一致的，以报价表为准；报价表中的内容与报价明细表不一致的，以报价表为准；</w:t>
      </w:r>
    </w:p>
    <w:p w14:paraId="5596266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37.2</w:t>
      </w:r>
      <w:r>
        <w:rPr>
          <w:rFonts w:hint="eastAsia" w:ascii="宋体" w:hAnsi="宋体" w:eastAsia="宋体" w:cs="宋体"/>
          <w:sz w:val="24"/>
          <w:szCs w:val="24"/>
          <w:highlight w:val="none"/>
        </w:rPr>
        <w:t>投标文件中的大写金额和小写金额不一致的，以大写金额为准；</w:t>
      </w:r>
    </w:p>
    <w:p w14:paraId="28907B8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37.3</w:t>
      </w:r>
      <w:r>
        <w:rPr>
          <w:rFonts w:hint="eastAsia" w:ascii="宋体" w:hAnsi="宋体" w:eastAsia="宋体" w:cs="宋体"/>
          <w:sz w:val="24"/>
          <w:szCs w:val="24"/>
          <w:highlight w:val="none"/>
        </w:rPr>
        <w:t>单价金额小数点或者百分比有明显错位的，以开标一览表的总价为准，并修改单价；</w:t>
      </w:r>
    </w:p>
    <w:p w14:paraId="5B94013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37.4</w:t>
      </w:r>
      <w:r>
        <w:rPr>
          <w:rFonts w:hint="eastAsia" w:ascii="宋体" w:hAnsi="宋体" w:eastAsia="宋体" w:cs="宋体"/>
          <w:sz w:val="24"/>
          <w:szCs w:val="24"/>
          <w:highlight w:val="none"/>
        </w:rPr>
        <w:t>总价金额与按单价汇总金额不一致的，以单价金额计算结果为准；</w:t>
      </w:r>
    </w:p>
    <w:p w14:paraId="680000F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37.5</w:t>
      </w:r>
      <w:r>
        <w:rPr>
          <w:rFonts w:hint="eastAsia" w:ascii="宋体" w:hAnsi="宋体" w:eastAsia="宋体" w:cs="宋体"/>
          <w:sz w:val="24"/>
          <w:szCs w:val="24"/>
          <w:highlight w:val="none"/>
        </w:rPr>
        <w:t>若用文字表示的数值与用数字表示的数值不一致，以文字表示的数值为准；</w:t>
      </w:r>
    </w:p>
    <w:p w14:paraId="08A806A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37.6</w:t>
      </w:r>
      <w:r>
        <w:rPr>
          <w:rFonts w:hint="eastAsia" w:ascii="宋体" w:hAnsi="宋体" w:eastAsia="宋体" w:cs="宋体"/>
          <w:sz w:val="24"/>
          <w:szCs w:val="24"/>
          <w:highlight w:val="none"/>
        </w:rPr>
        <w:t>如有多报（指数量超出采购文件需求）、重报（指同一货物重复报价），其投标总价在评标过程中不予调整，如其中标，其合同价按其投标单价予以调整；</w:t>
      </w:r>
    </w:p>
    <w:p w14:paraId="7A7D490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37.7</w:t>
      </w:r>
      <w:r>
        <w:rPr>
          <w:rFonts w:hint="eastAsia" w:ascii="宋体" w:hAnsi="宋体" w:eastAsia="宋体" w:cs="宋体"/>
          <w:sz w:val="24"/>
          <w:szCs w:val="24"/>
          <w:highlight w:val="none"/>
        </w:rPr>
        <w:t>对不同文字文本投标文件的解释发生异议的，以中文文本为准；</w:t>
      </w:r>
    </w:p>
    <w:p w14:paraId="3D42427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b/>
          <w:bCs/>
          <w:sz w:val="24"/>
          <w:szCs w:val="24"/>
          <w:highlight w:val="none"/>
        </w:rPr>
      </w:pPr>
      <w:r>
        <w:rPr>
          <w:rFonts w:hint="eastAsia" w:ascii="宋体" w:hAnsi="宋体" w:eastAsia="宋体" w:cs="宋体"/>
          <w:sz w:val="24"/>
          <w:szCs w:val="24"/>
          <w:highlight w:val="none"/>
        </w:rPr>
        <w:t>同时出现两种以上不一致的，按照前款规定的顺序修正。按上述修正错误的原则及方法调整或修正投标文件的投标报价，供应商确认后，以调整或修正后的投标报价为准。如供应商拒绝调整或修正的，其投标文件按无效标处理。</w:t>
      </w:r>
      <w:r>
        <w:rPr>
          <w:rFonts w:hint="eastAsia" w:ascii="宋体" w:hAnsi="宋体" w:eastAsia="宋体" w:cs="宋体"/>
          <w:b/>
          <w:bCs/>
          <w:sz w:val="24"/>
          <w:szCs w:val="24"/>
          <w:highlight w:val="none"/>
        </w:rPr>
        <w:t>修正应当采用电子询标的形式，并加盖公章（电子印章）。</w:t>
      </w:r>
    </w:p>
    <w:p w14:paraId="7B31D453">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38.</w:t>
      </w:r>
      <w:r>
        <w:rPr>
          <w:rFonts w:hint="eastAsia" w:ascii="宋体" w:hAnsi="宋体" w:eastAsia="宋体" w:cs="宋体"/>
          <w:b/>
          <w:bCs/>
          <w:sz w:val="24"/>
          <w:szCs w:val="24"/>
          <w:highlight w:val="none"/>
        </w:rPr>
        <w:t>无效投标文件</w:t>
      </w:r>
    </w:p>
    <w:p w14:paraId="0E1B137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有下列情形之一的，投标文件按无效标处理：</w:t>
      </w:r>
    </w:p>
    <w:p w14:paraId="69ABD16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38.1</w:t>
      </w:r>
      <w:r>
        <w:rPr>
          <w:rFonts w:hint="eastAsia" w:ascii="宋体" w:hAnsi="宋体" w:eastAsia="宋体" w:cs="宋体"/>
          <w:sz w:val="24"/>
          <w:szCs w:val="24"/>
          <w:highlight w:val="none"/>
        </w:rPr>
        <w:t>报名的投标人与参加投标的投标人发生实质性变更的且未提供有效证明的；</w:t>
      </w:r>
    </w:p>
    <w:p w14:paraId="6A1DC2B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38.2</w:t>
      </w:r>
      <w:r>
        <w:rPr>
          <w:rFonts w:hint="eastAsia" w:ascii="宋体" w:hAnsi="宋体" w:eastAsia="宋体" w:cs="宋体"/>
          <w:sz w:val="24"/>
          <w:szCs w:val="24"/>
          <w:highlight w:val="none"/>
        </w:rPr>
        <w:t>投标人提交两份或两份以上内容不同的投标文件，未声明哪一份有效的；</w:t>
      </w:r>
    </w:p>
    <w:p w14:paraId="064D637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38.3</w:t>
      </w:r>
      <w:r>
        <w:rPr>
          <w:rFonts w:hint="eastAsia" w:ascii="宋体" w:hAnsi="宋体" w:eastAsia="宋体" w:cs="宋体"/>
          <w:sz w:val="24"/>
          <w:szCs w:val="24"/>
          <w:highlight w:val="none"/>
        </w:rPr>
        <w:t>投标文件非投标人法定代表人签署的，未提供或提供无效的法定代表人授权书；</w:t>
      </w:r>
    </w:p>
    <w:p w14:paraId="105AB19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38.4</w:t>
      </w:r>
      <w:r>
        <w:rPr>
          <w:rFonts w:hint="eastAsia" w:ascii="宋体" w:hAnsi="宋体" w:eastAsia="宋体" w:cs="宋体"/>
          <w:sz w:val="24"/>
          <w:szCs w:val="24"/>
          <w:highlight w:val="none"/>
        </w:rPr>
        <w:t>未按磋商文件规定装订；</w:t>
      </w:r>
    </w:p>
    <w:p w14:paraId="0FA9A4F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38.5</w:t>
      </w:r>
      <w:r>
        <w:rPr>
          <w:rFonts w:hint="eastAsia" w:ascii="宋体" w:hAnsi="宋体" w:eastAsia="宋体" w:cs="宋体"/>
          <w:sz w:val="24"/>
          <w:szCs w:val="24"/>
          <w:highlight w:val="none"/>
        </w:rPr>
        <w:t>投标文件内容未按磋商文件规定签字或盖章的；</w:t>
      </w:r>
    </w:p>
    <w:p w14:paraId="3009B44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38.6</w:t>
      </w:r>
      <w:r>
        <w:rPr>
          <w:rFonts w:hint="eastAsia" w:ascii="宋体" w:hAnsi="宋体" w:eastAsia="宋体" w:cs="宋体"/>
          <w:sz w:val="24"/>
          <w:szCs w:val="24"/>
          <w:highlight w:val="none"/>
        </w:rPr>
        <w:t>投标文件组成漏项或未按规定的格式编制或投标文件正、副本份数不足或内容不全或内容字迹模糊辨认不清的等而导致评标活动无法正常进行；</w:t>
      </w:r>
    </w:p>
    <w:p w14:paraId="6526A97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38.7</w:t>
      </w:r>
      <w:r>
        <w:rPr>
          <w:rFonts w:hint="eastAsia" w:ascii="宋体" w:hAnsi="宋体" w:eastAsia="宋体" w:cs="宋体"/>
          <w:sz w:val="24"/>
          <w:szCs w:val="24"/>
          <w:highlight w:val="none"/>
        </w:rPr>
        <w:t>投标人未按磋商文件变更通知更改投标文件的；</w:t>
      </w:r>
    </w:p>
    <w:p w14:paraId="35297ED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38.8</w:t>
      </w:r>
      <w:r>
        <w:rPr>
          <w:rFonts w:hint="eastAsia" w:ascii="宋体" w:hAnsi="宋体" w:eastAsia="宋体" w:cs="宋体"/>
          <w:sz w:val="24"/>
          <w:szCs w:val="24"/>
          <w:highlight w:val="none"/>
        </w:rPr>
        <w:t>《开标一览表》和《投标分项报价表》内容不完整且不接受修正意见或字迹不能辨认的或未提供；</w:t>
      </w:r>
    </w:p>
    <w:p w14:paraId="672C9D2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38.9</w:t>
      </w:r>
      <w:r>
        <w:rPr>
          <w:rFonts w:hint="eastAsia" w:ascii="宋体" w:hAnsi="宋体" w:eastAsia="宋体" w:cs="宋体"/>
          <w:sz w:val="24"/>
          <w:szCs w:val="24"/>
          <w:highlight w:val="none"/>
        </w:rPr>
        <w:t>标项投标报价超过磋商文件规定的预算金额或最高限价</w:t>
      </w:r>
    </w:p>
    <w:p w14:paraId="648E1E0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38.10</w:t>
      </w:r>
      <w:r>
        <w:rPr>
          <w:rFonts w:hint="eastAsia" w:ascii="宋体" w:hAnsi="宋体" w:eastAsia="宋体" w:cs="宋体"/>
          <w:sz w:val="24"/>
          <w:szCs w:val="24"/>
          <w:highlight w:val="none"/>
        </w:rPr>
        <w:t>因投标人原因编制错误造成经评标委员会修正后的报价达到或超过投标报价的0.5%；</w:t>
      </w:r>
    </w:p>
    <w:p w14:paraId="08086E1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38.11</w:t>
      </w:r>
      <w:r>
        <w:rPr>
          <w:rFonts w:hint="eastAsia" w:ascii="宋体" w:hAnsi="宋体" w:eastAsia="宋体" w:cs="宋体"/>
          <w:sz w:val="24"/>
          <w:szCs w:val="24"/>
          <w:highlight w:val="none"/>
        </w:rPr>
        <w:t>投标人的报价明显低于其他通过符合性审查投标人的报价，有可能影响产品质量或者不能诚信履约的，且在规定时间内不能合理说明原因并提供证明材料的；</w:t>
      </w:r>
    </w:p>
    <w:p w14:paraId="2AC10A2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38.12</w:t>
      </w:r>
      <w:r>
        <w:rPr>
          <w:rFonts w:hint="eastAsia" w:ascii="宋体" w:hAnsi="宋体" w:eastAsia="宋体" w:cs="宋体"/>
          <w:sz w:val="24"/>
          <w:szCs w:val="24"/>
          <w:highlight w:val="none"/>
        </w:rPr>
        <w:t>未实质性响应磋商文件中条款要求的投标文件；</w:t>
      </w:r>
    </w:p>
    <w:p w14:paraId="4574115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38.13</w:t>
      </w:r>
      <w:r>
        <w:rPr>
          <w:rFonts w:hint="eastAsia" w:ascii="宋体" w:hAnsi="宋体" w:eastAsia="宋体" w:cs="宋体"/>
          <w:sz w:val="24"/>
          <w:szCs w:val="24"/>
          <w:highlight w:val="none"/>
        </w:rPr>
        <w:t>不符合招标范围、技术规格、技术标准的要求无法满足采购人使用要求；</w:t>
      </w:r>
    </w:p>
    <w:p w14:paraId="49528CB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38.14</w:t>
      </w:r>
      <w:r>
        <w:rPr>
          <w:rFonts w:hint="eastAsia" w:ascii="宋体" w:hAnsi="宋体" w:eastAsia="宋体" w:cs="宋体"/>
          <w:sz w:val="24"/>
          <w:szCs w:val="24"/>
          <w:highlight w:val="none"/>
        </w:rPr>
        <w:t>投标文件附有采购人不能接受的条款；</w:t>
      </w:r>
    </w:p>
    <w:p w14:paraId="1019691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38.15</w:t>
      </w:r>
      <w:r>
        <w:rPr>
          <w:rFonts w:hint="eastAsia" w:ascii="宋体" w:hAnsi="宋体" w:eastAsia="宋体" w:cs="宋体"/>
          <w:sz w:val="24"/>
          <w:szCs w:val="24"/>
          <w:highlight w:val="none"/>
        </w:rPr>
        <w:t>投标文件中提供了赠品或者与本项目采购无关的其他商品、服务；</w:t>
      </w:r>
    </w:p>
    <w:p w14:paraId="0835C17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38.16</w:t>
      </w:r>
      <w:r>
        <w:rPr>
          <w:rFonts w:hint="eastAsia" w:ascii="宋体" w:hAnsi="宋体" w:eastAsia="宋体" w:cs="宋体"/>
          <w:sz w:val="24"/>
          <w:szCs w:val="24"/>
          <w:highlight w:val="none"/>
        </w:rPr>
        <w:t>投标文件中承诺的投标有效期少于磋商文件中载明的投标有效期；</w:t>
      </w:r>
    </w:p>
    <w:p w14:paraId="6B07FB6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38.17</w:t>
      </w:r>
      <w:r>
        <w:rPr>
          <w:rFonts w:hint="eastAsia" w:ascii="宋体" w:hAnsi="宋体" w:eastAsia="宋体" w:cs="宋体"/>
          <w:sz w:val="24"/>
          <w:szCs w:val="24"/>
          <w:highlight w:val="none"/>
        </w:rPr>
        <w:t>投标人串通投标，妨碍其他投标人的竞争行为，损害采购人或者其他投标人的合法权益；</w:t>
      </w:r>
    </w:p>
    <w:p w14:paraId="730042C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b/>
          <w:bCs/>
          <w:sz w:val="24"/>
          <w:szCs w:val="24"/>
          <w:highlight w:val="none"/>
        </w:rPr>
      </w:pPr>
      <w:r>
        <w:rPr>
          <w:rFonts w:hint="eastAsia" w:ascii="宋体" w:hAnsi="宋体" w:eastAsia="宋体" w:cs="宋体"/>
          <w:sz w:val="24"/>
          <w:szCs w:val="24"/>
          <w:highlight w:val="none"/>
          <w:lang w:val="en-US" w:eastAsia="zh-CN"/>
        </w:rPr>
        <w:t>38.18</w:t>
      </w:r>
      <w:r>
        <w:rPr>
          <w:rFonts w:hint="eastAsia" w:ascii="宋体" w:hAnsi="宋体" w:eastAsia="宋体" w:cs="宋体"/>
          <w:sz w:val="24"/>
          <w:szCs w:val="24"/>
          <w:highlight w:val="none"/>
        </w:rPr>
        <w:t>违反国家及政府部门相关法律、法规、文件规定或经评标委员会认定的其他属于重大偏离；</w:t>
      </w:r>
    </w:p>
    <w:p w14:paraId="61A45619">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39</w:t>
      </w:r>
      <w:r>
        <w:rPr>
          <w:rFonts w:hint="eastAsia" w:ascii="宋体" w:hAnsi="宋体" w:eastAsia="宋体" w:cs="宋体"/>
          <w:b/>
          <w:bCs/>
          <w:sz w:val="24"/>
          <w:szCs w:val="24"/>
          <w:highlight w:val="none"/>
          <w:lang w:val="en-US" w:eastAsia="zh-CN"/>
        </w:rPr>
        <w:t>.</w:t>
      </w:r>
      <w:r>
        <w:rPr>
          <w:rFonts w:hint="eastAsia" w:ascii="宋体" w:hAnsi="宋体" w:eastAsia="宋体" w:cs="宋体"/>
          <w:b/>
          <w:bCs/>
          <w:sz w:val="24"/>
          <w:szCs w:val="24"/>
          <w:highlight w:val="none"/>
        </w:rPr>
        <w:t>废标</w:t>
      </w:r>
    </w:p>
    <w:p w14:paraId="68BA8D0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39.1</w:t>
      </w:r>
      <w:r>
        <w:rPr>
          <w:rFonts w:hint="eastAsia" w:ascii="宋体" w:hAnsi="宋体" w:eastAsia="宋体" w:cs="宋体"/>
          <w:sz w:val="24"/>
          <w:szCs w:val="24"/>
          <w:highlight w:val="none"/>
        </w:rPr>
        <w:t>符合磋商文件规定废标情形的；</w:t>
      </w:r>
    </w:p>
    <w:p w14:paraId="7BECFC1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39.2</w:t>
      </w:r>
      <w:r>
        <w:rPr>
          <w:rFonts w:hint="eastAsia" w:ascii="宋体" w:hAnsi="宋体" w:eastAsia="宋体" w:cs="宋体"/>
          <w:sz w:val="24"/>
          <w:szCs w:val="24"/>
          <w:highlight w:val="none"/>
        </w:rPr>
        <w:t>出现影响采购公正的违法、违规行为的；</w:t>
      </w:r>
    </w:p>
    <w:p w14:paraId="3E71122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39.3</w:t>
      </w:r>
      <w:r>
        <w:rPr>
          <w:rFonts w:hint="eastAsia" w:ascii="宋体" w:hAnsi="宋体" w:eastAsia="宋体" w:cs="宋体"/>
          <w:sz w:val="24"/>
          <w:szCs w:val="24"/>
          <w:highlight w:val="none"/>
        </w:rPr>
        <w:t>供应商的报价均超过了采购预算（或最高限价），采购人不能支付的</w:t>
      </w:r>
      <w:r>
        <w:rPr>
          <w:rFonts w:hint="eastAsia" w:ascii="宋体" w:hAnsi="宋体" w:eastAsia="宋体" w:cs="宋体"/>
          <w:sz w:val="24"/>
          <w:szCs w:val="24"/>
          <w:highlight w:val="none"/>
          <w:lang w:eastAsia="zh-CN"/>
        </w:rPr>
        <w:t>；</w:t>
      </w:r>
    </w:p>
    <w:p w14:paraId="5D18804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39.4</w:t>
      </w:r>
      <w:r>
        <w:rPr>
          <w:rFonts w:hint="eastAsia" w:ascii="宋体" w:hAnsi="宋体" w:eastAsia="宋体" w:cs="宋体"/>
          <w:sz w:val="24"/>
          <w:szCs w:val="24"/>
          <w:highlight w:val="none"/>
        </w:rPr>
        <w:t>因重大变故，采购任务取消的。</w:t>
      </w:r>
    </w:p>
    <w:p w14:paraId="319E86DB">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40</w:t>
      </w:r>
      <w:r>
        <w:rPr>
          <w:rFonts w:hint="eastAsia" w:ascii="宋体" w:hAnsi="宋体" w:eastAsia="宋体" w:cs="宋体"/>
          <w:b/>
          <w:bCs/>
          <w:sz w:val="24"/>
          <w:szCs w:val="24"/>
          <w:highlight w:val="none"/>
          <w:lang w:val="en-US" w:eastAsia="zh-CN"/>
        </w:rPr>
        <w:t>.</w:t>
      </w:r>
      <w:r>
        <w:rPr>
          <w:rFonts w:hint="eastAsia" w:ascii="宋体" w:hAnsi="宋体" w:eastAsia="宋体" w:cs="宋体"/>
          <w:b/>
          <w:bCs/>
          <w:sz w:val="24"/>
          <w:szCs w:val="24"/>
          <w:highlight w:val="none"/>
        </w:rPr>
        <w:t>突发情况处理</w:t>
      </w:r>
    </w:p>
    <w:p w14:paraId="7004C36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40.1</w:t>
      </w:r>
      <w:r>
        <w:rPr>
          <w:rFonts w:hint="eastAsia" w:ascii="宋体" w:hAnsi="宋体" w:eastAsia="宋体" w:cs="宋体"/>
          <w:sz w:val="24"/>
          <w:szCs w:val="24"/>
          <w:highlight w:val="none"/>
        </w:rPr>
        <w:t>采购过程中出现以下情形，导致电子交易平台无法正常运行，或者无法保证电子交易的公平、公正和安全时，采购组织机构可中止电子交易活动：</w:t>
      </w:r>
    </w:p>
    <w:p w14:paraId="42337C3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电子交易平台发生故障而无法登录访问的；</w:t>
      </w:r>
    </w:p>
    <w:p w14:paraId="4DE6824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电子交易平台应用或数据库出现错误，不能进行正常操作的；</w:t>
      </w:r>
    </w:p>
    <w:p w14:paraId="13571B1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电子交易平台发现严重安全漏洞，有潜在泄密危险的；</w:t>
      </w:r>
    </w:p>
    <w:p w14:paraId="3F81CAB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病毒发作导致不能进行正常操作的；</w:t>
      </w:r>
    </w:p>
    <w:p w14:paraId="6273222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其他无法保证电子交易的公平、公正和安全的情况。</w:t>
      </w:r>
    </w:p>
    <w:p w14:paraId="13E86B0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5A71530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40.2</w:t>
      </w:r>
      <w:r>
        <w:rPr>
          <w:rFonts w:hint="eastAsia" w:ascii="宋体" w:hAnsi="宋体" w:eastAsia="宋体" w:cs="宋体"/>
          <w:sz w:val="24"/>
          <w:szCs w:val="24"/>
          <w:highlight w:val="none"/>
        </w:rPr>
        <w:t>采购代理机构或评审小组因不可抗力（不可抗力包括但不限于自然灾害、断电、传播疫病等）原因造成电子交易活动无法正常运行的，将采取以下措施：</w:t>
      </w:r>
    </w:p>
    <w:p w14:paraId="222AB7D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短时间内能消除不可抗力因素的，采购代理机构或评审小组在消除不可抗力因素后继续组织电子交易活动；</w:t>
      </w:r>
    </w:p>
    <w:p w14:paraId="244FDD7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长时间内无法消除不可抗力因素的，采购代理机构或评审小组将中止电子交易活动。中止电子交易活动的，采购人应当重新组织政府采购活动。</w:t>
      </w:r>
    </w:p>
    <w:p w14:paraId="3075A6F4">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41.</w:t>
      </w:r>
      <w:r>
        <w:rPr>
          <w:rFonts w:hint="eastAsia" w:ascii="宋体" w:hAnsi="宋体" w:eastAsia="宋体" w:cs="宋体"/>
          <w:b/>
          <w:bCs/>
          <w:sz w:val="24"/>
          <w:szCs w:val="24"/>
          <w:highlight w:val="none"/>
        </w:rPr>
        <w:t>定标</w:t>
      </w:r>
    </w:p>
    <w:p w14:paraId="3698FD4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41.1</w:t>
      </w:r>
      <w:r>
        <w:rPr>
          <w:rFonts w:hint="eastAsia" w:ascii="宋体" w:hAnsi="宋体" w:eastAsia="宋体" w:cs="宋体"/>
          <w:sz w:val="24"/>
          <w:szCs w:val="24"/>
          <w:highlight w:val="none"/>
        </w:rPr>
        <w:t>采购结果确认（确定中标供应商）</w:t>
      </w:r>
    </w:p>
    <w:p w14:paraId="721873E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采购结果确认（确定中标供应商）：本项目由采购人根据评标委员会提交的《评审报告》，通过“政府采购云平台”依法确认采购结果、确定中标供应商。具体流程如下：</w:t>
      </w:r>
    </w:p>
    <w:p w14:paraId="06C09E1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采购代理机构将在评审结束后2个工作日内将评审报告送采购人。</w:t>
      </w:r>
    </w:p>
    <w:p w14:paraId="66A08BD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采购人将在收到评审报告之日起5个工作日内，在评审报告推荐的中标候选供应商名单中按顺序确定中标供应商，并将确认意见以书面形式回复采购代理机构。</w:t>
      </w:r>
    </w:p>
    <w:p w14:paraId="7C86B83B">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41.2</w:t>
      </w:r>
      <w:r>
        <w:rPr>
          <w:rFonts w:hint="eastAsia" w:ascii="宋体" w:hAnsi="宋体" w:eastAsia="宋体" w:cs="宋体"/>
          <w:b/>
          <w:bCs/>
          <w:sz w:val="24"/>
          <w:szCs w:val="24"/>
          <w:highlight w:val="none"/>
        </w:rPr>
        <w:t>采购结果经采购人确认后2个工作日内，采购代理机构将在新疆政府采购网（</w:t>
      </w: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HYPERLINK"http://www.zjzfcg.gov.cn/"\h</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www.zjzfcg.gov.cn</w:t>
      </w:r>
      <w:r>
        <w:rPr>
          <w:rFonts w:hint="eastAsia" w:ascii="宋体" w:hAnsi="宋体" w:eastAsia="宋体" w:cs="宋体"/>
          <w:b/>
          <w:bCs/>
          <w:sz w:val="24"/>
          <w:szCs w:val="24"/>
          <w:highlight w:val="none"/>
        </w:rPr>
        <w:fldChar w:fldCharType="end"/>
      </w:r>
      <w:r>
        <w:rPr>
          <w:rFonts w:hint="eastAsia" w:ascii="宋体" w:hAnsi="宋体" w:eastAsia="宋体" w:cs="宋体"/>
          <w:b/>
          <w:bCs/>
          <w:sz w:val="24"/>
          <w:szCs w:val="24"/>
          <w:highlight w:val="none"/>
        </w:rPr>
        <w:t>）上公告采购结果，中标公告期限为1个工作日。</w:t>
      </w:r>
    </w:p>
    <w:p w14:paraId="723D736F">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42.</w:t>
      </w:r>
      <w:r>
        <w:rPr>
          <w:rFonts w:hint="eastAsia" w:ascii="宋体" w:hAnsi="宋体" w:eastAsia="宋体" w:cs="宋体"/>
          <w:b/>
          <w:bCs/>
          <w:sz w:val="24"/>
          <w:szCs w:val="24"/>
          <w:highlight w:val="none"/>
        </w:rPr>
        <w:t>成交通知书</w:t>
      </w:r>
    </w:p>
    <w:p w14:paraId="1FB38B2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42.1</w:t>
      </w:r>
      <w:r>
        <w:rPr>
          <w:rFonts w:hint="eastAsia" w:ascii="宋体" w:hAnsi="宋体" w:eastAsia="宋体" w:cs="宋体"/>
          <w:sz w:val="24"/>
          <w:szCs w:val="24"/>
          <w:highlight w:val="none"/>
        </w:rPr>
        <w:t>在成交通知书发出前，招标人将中标侯选人的情况在新疆政府采购网予以公示，公示期为一个工作日。待公示期结束后，采购组织机构向中标人发出中标通知书。</w:t>
      </w:r>
    </w:p>
    <w:p w14:paraId="791C75A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42.2</w:t>
      </w:r>
      <w:r>
        <w:rPr>
          <w:rFonts w:hint="eastAsia" w:ascii="宋体" w:hAnsi="宋体" w:eastAsia="宋体" w:cs="宋体"/>
          <w:sz w:val="24"/>
          <w:szCs w:val="24"/>
          <w:highlight w:val="none"/>
        </w:rPr>
        <w:t>成交通知书作为签订合同的重要依据，对采购人和中标供应商均具有法律效力。采购人改变中标结果或者中标供应商放弃中标项目的都应承担法律责任。成交供应商不得向他人转让中标项目，也不得将中标项目肢解后分别向他人转让。</w:t>
      </w:r>
    </w:p>
    <w:p w14:paraId="78D20B67">
      <w:pPr>
        <w:pStyle w:val="4"/>
        <w:numPr>
          <w:ilvl w:val="0"/>
          <w:numId w:val="0"/>
        </w:numPr>
        <w:bidi w:val="0"/>
        <w:ind w:leftChars="200"/>
        <w:rPr>
          <w:rFonts w:hint="eastAsia" w:ascii="宋体" w:hAnsi="宋体" w:eastAsia="宋体" w:cs="宋体"/>
          <w:highlight w:val="none"/>
        </w:rPr>
      </w:pPr>
      <w:bookmarkStart w:id="34" w:name="（六）合同的授予"/>
      <w:bookmarkEnd w:id="34"/>
      <w:bookmarkStart w:id="35" w:name="_Toc8315"/>
      <w:r>
        <w:rPr>
          <w:rFonts w:hint="eastAsia" w:ascii="宋体" w:hAnsi="宋体" w:eastAsia="宋体" w:cs="宋体"/>
          <w:highlight w:val="none"/>
        </w:rPr>
        <w:t>（六）合同的授予</w:t>
      </w:r>
      <w:bookmarkEnd w:id="35"/>
    </w:p>
    <w:p w14:paraId="65B61AF0">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43.</w:t>
      </w:r>
      <w:r>
        <w:rPr>
          <w:rFonts w:hint="eastAsia" w:ascii="宋体" w:hAnsi="宋体" w:eastAsia="宋体" w:cs="宋体"/>
          <w:b/>
          <w:bCs/>
          <w:sz w:val="24"/>
          <w:szCs w:val="24"/>
          <w:highlight w:val="none"/>
        </w:rPr>
        <w:t>履约保证金</w:t>
      </w:r>
    </w:p>
    <w:p w14:paraId="14DDDCA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43.1</w:t>
      </w:r>
      <w:r>
        <w:rPr>
          <w:rFonts w:hint="eastAsia" w:ascii="宋体" w:hAnsi="宋体" w:eastAsia="宋体" w:cs="宋体"/>
          <w:sz w:val="24"/>
          <w:szCs w:val="24"/>
          <w:highlight w:val="none"/>
        </w:rPr>
        <w:t>中标供应商在签订合同后5个工作日内向采购人交纳不超过中标价10%的履约保证金（鼓励以银行、保险公司出具的履约保函形式提交；若以电汇、银行转账方式提交的，必须转到采购人的指定账户）</w:t>
      </w:r>
      <w:r>
        <w:rPr>
          <w:rFonts w:hint="eastAsia" w:ascii="宋体" w:hAnsi="宋体" w:eastAsia="宋体" w:cs="宋体"/>
          <w:sz w:val="24"/>
          <w:szCs w:val="24"/>
          <w:highlight w:val="none"/>
          <w:lang w:val="en-US" w:eastAsia="zh-CN"/>
        </w:rPr>
        <w:t>本项目无需缴纳</w:t>
      </w:r>
      <w:r>
        <w:rPr>
          <w:rFonts w:hint="eastAsia" w:ascii="宋体" w:hAnsi="宋体" w:eastAsia="宋体" w:cs="宋体"/>
          <w:sz w:val="24"/>
          <w:szCs w:val="24"/>
          <w:highlight w:val="none"/>
        </w:rPr>
        <w:t>。</w:t>
      </w:r>
    </w:p>
    <w:p w14:paraId="08858DA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43.2</w:t>
      </w:r>
      <w:r>
        <w:rPr>
          <w:rFonts w:hint="eastAsia" w:ascii="宋体" w:hAnsi="宋体" w:eastAsia="宋体" w:cs="宋体"/>
          <w:sz w:val="24"/>
          <w:szCs w:val="24"/>
          <w:highlight w:val="none"/>
        </w:rPr>
        <w:t>签订合同后，如中标供应商不按合同约定履约的，履约保证金不予退还，履约保证金不足以赔偿损失的，按实际损失赔偿。</w:t>
      </w:r>
    </w:p>
    <w:p w14:paraId="0A635FF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43.3</w:t>
      </w:r>
      <w:r>
        <w:rPr>
          <w:rFonts w:hint="eastAsia" w:ascii="宋体" w:hAnsi="宋体" w:eastAsia="宋体" w:cs="宋体"/>
          <w:sz w:val="24"/>
          <w:szCs w:val="24"/>
          <w:highlight w:val="none"/>
        </w:rPr>
        <w:t>如果中标供应商在建设期内没有涉及采购人的应付而未付金额或违约行为，采购人在项目验收合格后或提前终止合同后全额无息退还履约保证金。</w:t>
      </w:r>
    </w:p>
    <w:p w14:paraId="531F5151">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44.</w:t>
      </w:r>
      <w:r>
        <w:rPr>
          <w:rFonts w:hint="eastAsia" w:ascii="宋体" w:hAnsi="宋体" w:eastAsia="宋体" w:cs="宋体"/>
          <w:b/>
          <w:bCs/>
          <w:sz w:val="24"/>
          <w:szCs w:val="24"/>
          <w:highlight w:val="none"/>
        </w:rPr>
        <w:t>签订合同及公告</w:t>
      </w:r>
    </w:p>
    <w:p w14:paraId="5239789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44.1</w:t>
      </w:r>
      <w:r>
        <w:rPr>
          <w:rFonts w:hint="eastAsia" w:ascii="宋体" w:hAnsi="宋体" w:eastAsia="宋体" w:cs="宋体"/>
          <w:sz w:val="24"/>
          <w:szCs w:val="24"/>
          <w:highlight w:val="none"/>
        </w:rPr>
        <w:t>采购人在中标通知书发出之日起30日内与中标供应商签订合同。</w:t>
      </w:r>
    </w:p>
    <w:p w14:paraId="00C9D87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44.2</w:t>
      </w:r>
      <w:r>
        <w:rPr>
          <w:rFonts w:hint="eastAsia" w:ascii="宋体" w:hAnsi="宋体" w:eastAsia="宋体" w:cs="宋体"/>
          <w:sz w:val="24"/>
          <w:szCs w:val="24"/>
          <w:highlight w:val="none"/>
        </w:rPr>
        <w:t>中标供应商拖延、拒签合同的,取消中标资格。</w:t>
      </w:r>
    </w:p>
    <w:p w14:paraId="3EFFE72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44.3</w:t>
      </w:r>
      <w:r>
        <w:rPr>
          <w:rFonts w:hint="eastAsia" w:ascii="宋体" w:hAnsi="宋体" w:eastAsia="宋体" w:cs="宋体"/>
          <w:sz w:val="24"/>
          <w:szCs w:val="24"/>
          <w:highlight w:val="none"/>
        </w:rPr>
        <w:t>采购文件、中标供应商的投标文件及评标过程中有关澄清文件等均作为签订合同的依据。所签订的合同不得对采购文件和中标供应商的投标文件的内容作实质性修改。</w:t>
      </w:r>
    </w:p>
    <w:p w14:paraId="6843587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44.4</w:t>
      </w:r>
      <w:r>
        <w:rPr>
          <w:rFonts w:hint="eastAsia" w:ascii="宋体" w:hAnsi="宋体" w:eastAsia="宋体" w:cs="宋体"/>
          <w:sz w:val="24"/>
          <w:szCs w:val="24"/>
          <w:highlight w:val="none"/>
        </w:rPr>
        <w:t>采购人应当自政府采购合同签订之日起 2 个工作日内，在省级以上财政部门指定的政府采购信息发布媒体及相关网站上公告。</w:t>
      </w:r>
    </w:p>
    <w:p w14:paraId="39FB4BC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sz w:val="24"/>
          <w:szCs w:val="24"/>
          <w:highlight w:val="none"/>
          <w:lang w:val="en-US" w:eastAsia="zh-CN"/>
        </w:rPr>
        <w:t>44.5</w:t>
      </w:r>
      <w:r>
        <w:rPr>
          <w:rFonts w:hint="eastAsia" w:ascii="宋体" w:hAnsi="宋体" w:eastAsia="宋体" w:cs="宋体"/>
          <w:sz w:val="24"/>
          <w:szCs w:val="24"/>
          <w:highlight w:val="none"/>
        </w:rPr>
        <w:t>采购人应当自政府采购合同签订之日起 7 个工作日内，将政府采购合同副本报同级人民政府财政部门备案以及采购代理机构存档。</w:t>
      </w:r>
    </w:p>
    <w:p w14:paraId="444D8D13">
      <w:pPr>
        <w:pStyle w:val="4"/>
        <w:numPr>
          <w:ilvl w:val="0"/>
          <w:numId w:val="0"/>
        </w:numPr>
        <w:bidi w:val="0"/>
        <w:ind w:leftChars="200"/>
        <w:rPr>
          <w:rFonts w:hint="eastAsia" w:ascii="宋体" w:hAnsi="宋体" w:eastAsia="宋体" w:cs="宋体"/>
          <w:highlight w:val="none"/>
          <w:lang w:eastAsia="zh-CN"/>
        </w:rPr>
      </w:pPr>
      <w:bookmarkStart w:id="36" w:name="_Toc32527"/>
    </w:p>
    <w:p w14:paraId="46DF5875">
      <w:pPr>
        <w:pStyle w:val="4"/>
        <w:numPr>
          <w:ilvl w:val="0"/>
          <w:numId w:val="0"/>
        </w:numPr>
        <w:bidi w:val="0"/>
        <w:ind w:leftChars="200"/>
        <w:rPr>
          <w:rFonts w:hint="eastAsia" w:ascii="宋体" w:hAnsi="宋体" w:eastAsia="宋体" w:cs="宋体"/>
          <w:highlight w:val="none"/>
          <w:lang w:val="en-US" w:eastAsia="zh-CN"/>
        </w:rPr>
      </w:pPr>
      <w:r>
        <w:rPr>
          <w:rFonts w:hint="eastAsia" w:ascii="宋体" w:hAnsi="宋体" w:eastAsia="宋体" w:cs="宋体"/>
          <w:highlight w:val="none"/>
          <w:lang w:eastAsia="zh-CN"/>
        </w:rPr>
        <w:t>（七）</w:t>
      </w:r>
      <w:r>
        <w:rPr>
          <w:rFonts w:hint="eastAsia" w:ascii="宋体" w:hAnsi="宋体" w:eastAsia="宋体" w:cs="宋体"/>
          <w:highlight w:val="none"/>
        </w:rPr>
        <w:t>纪律和监督</w:t>
      </w:r>
      <w:bookmarkEnd w:id="36"/>
    </w:p>
    <w:p w14:paraId="34439618">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45.</w:t>
      </w:r>
      <w:r>
        <w:rPr>
          <w:rFonts w:hint="eastAsia" w:ascii="宋体" w:hAnsi="宋体" w:eastAsia="宋体" w:cs="宋体"/>
          <w:b/>
          <w:bCs/>
          <w:sz w:val="24"/>
          <w:szCs w:val="24"/>
          <w:highlight w:val="none"/>
        </w:rPr>
        <w:t>对招标人的纪律要求</w:t>
      </w:r>
    </w:p>
    <w:p w14:paraId="29AA8CD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45.1</w:t>
      </w:r>
      <w:r>
        <w:rPr>
          <w:rFonts w:hint="eastAsia" w:ascii="宋体" w:hAnsi="宋体" w:eastAsia="宋体" w:cs="宋体"/>
          <w:sz w:val="24"/>
          <w:szCs w:val="24"/>
          <w:highlight w:val="none"/>
        </w:rPr>
        <w:t>招标人不得泄漏招标投标活动中应当保密的情况和资料，不得与投标人串通损害国家利益，社会公共利益或者他人合法权益。</w:t>
      </w:r>
    </w:p>
    <w:p w14:paraId="5E4F6F69">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46.</w:t>
      </w:r>
      <w:r>
        <w:rPr>
          <w:rFonts w:hint="eastAsia" w:ascii="宋体" w:hAnsi="宋体" w:eastAsia="宋体" w:cs="宋体"/>
          <w:b/>
          <w:bCs/>
          <w:sz w:val="24"/>
          <w:szCs w:val="24"/>
          <w:highlight w:val="none"/>
        </w:rPr>
        <w:t>对投标人的纪律要求</w:t>
      </w:r>
    </w:p>
    <w:p w14:paraId="75F963F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46.1</w:t>
      </w:r>
      <w:r>
        <w:rPr>
          <w:rFonts w:hint="eastAsia" w:ascii="宋体" w:hAnsi="宋体" w:eastAsia="宋体" w:cs="宋体"/>
          <w:sz w:val="24"/>
          <w:szCs w:val="24"/>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44E6AEEB">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47.</w:t>
      </w:r>
      <w:r>
        <w:rPr>
          <w:rFonts w:hint="eastAsia" w:ascii="宋体" w:hAnsi="宋体" w:eastAsia="宋体" w:cs="宋体"/>
          <w:b/>
          <w:bCs/>
          <w:sz w:val="24"/>
          <w:szCs w:val="24"/>
          <w:highlight w:val="none"/>
        </w:rPr>
        <w:t>对评标委员会成员的纪律要求</w:t>
      </w:r>
    </w:p>
    <w:p w14:paraId="6DD0897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47.1</w:t>
      </w:r>
      <w:r>
        <w:rPr>
          <w:rFonts w:hint="eastAsia" w:ascii="宋体" w:hAnsi="宋体" w:eastAsia="宋体" w:cs="宋体"/>
          <w:sz w:val="24"/>
          <w:szCs w:val="24"/>
          <w:highlight w:val="none"/>
        </w:rPr>
        <w:t>评标委员会成员不得收受他人的财物或者其他好处，不得向他人透漏对投标文件的评审和比较、中标候选人的推荐情况以及评标有关的其他情况。</w:t>
      </w:r>
    </w:p>
    <w:p w14:paraId="7DFA0D5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47.2</w:t>
      </w:r>
      <w:r>
        <w:rPr>
          <w:rFonts w:hint="eastAsia" w:ascii="宋体" w:hAnsi="宋体" w:eastAsia="宋体" w:cs="宋体"/>
          <w:sz w:val="24"/>
          <w:szCs w:val="24"/>
          <w:highlight w:val="none"/>
        </w:rPr>
        <w:t>在评标活动中，评标委员会成员不得擅离职守，影响评标程序正常进行，不得使用第三章“评标办法”没有规定的评审因素和标准进行评标。</w:t>
      </w:r>
    </w:p>
    <w:p w14:paraId="73918856">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48.</w:t>
      </w:r>
      <w:r>
        <w:rPr>
          <w:rFonts w:hint="eastAsia" w:ascii="宋体" w:hAnsi="宋体" w:eastAsia="宋体" w:cs="宋体"/>
          <w:b/>
          <w:bCs/>
          <w:sz w:val="24"/>
          <w:szCs w:val="24"/>
          <w:highlight w:val="none"/>
        </w:rPr>
        <w:t>对与评标活动有关的工作人员的纪律要求</w:t>
      </w:r>
    </w:p>
    <w:p w14:paraId="00ED28A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   擅离职守，影响评标程序正常进行。</w:t>
      </w:r>
    </w:p>
    <w:p w14:paraId="36BB8D2C">
      <w:pPr>
        <w:pStyle w:val="4"/>
        <w:numPr>
          <w:ilvl w:val="0"/>
          <w:numId w:val="0"/>
        </w:numPr>
        <w:bidi w:val="0"/>
        <w:rPr>
          <w:rFonts w:hint="eastAsia" w:ascii="宋体" w:hAnsi="宋体" w:eastAsia="宋体" w:cs="宋体"/>
          <w:sz w:val="24"/>
          <w:szCs w:val="24"/>
          <w:highlight w:val="none"/>
        </w:rPr>
      </w:pPr>
      <w:bookmarkStart w:id="37" w:name="_Toc20702"/>
      <w:r>
        <w:rPr>
          <w:rFonts w:hint="eastAsia" w:ascii="宋体" w:hAnsi="宋体" w:eastAsia="宋体" w:cs="宋体"/>
          <w:highlight w:val="none"/>
        </w:rPr>
        <w:t>（八）质疑与投诉</w:t>
      </w:r>
      <w:bookmarkEnd w:id="37"/>
    </w:p>
    <w:p w14:paraId="7CD01AFE">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49.</w:t>
      </w:r>
      <w:r>
        <w:rPr>
          <w:rFonts w:hint="eastAsia" w:ascii="宋体" w:hAnsi="宋体" w:eastAsia="宋体" w:cs="宋体"/>
          <w:b/>
          <w:bCs/>
          <w:sz w:val="24"/>
          <w:szCs w:val="24"/>
          <w:highlight w:val="none"/>
        </w:rPr>
        <w:t>质疑和投诉</w:t>
      </w:r>
    </w:p>
    <w:p w14:paraId="3DA1E06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49.1供应商认为采购文件、采购过程和中标、成交结果使自己的权益受到损害的，可以在知道或者应知其权益受到损害之日起七个工作日内，以书面形式向采购人提出质疑。供应商应当在法定质疑期内一次性提出针对同一采购程序环节的质疑。供应商应知其权益受到损害之日，是指：</w:t>
      </w:r>
    </w:p>
    <w:p w14:paraId="7259054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（一）对可以质疑的采购文件提出质疑的，为收到采购文件之日或者采购文件公告期限届满之日；</w:t>
      </w:r>
    </w:p>
    <w:p w14:paraId="1441E9F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（二）对采购过程提出质疑的，为各采购程序环节结束之日；</w:t>
      </w:r>
    </w:p>
    <w:p w14:paraId="764E6D0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（三）对中标或者成交结果提出质疑的，为中标或者成交结果公告期限届满之日。</w:t>
      </w:r>
    </w:p>
    <w:p w14:paraId="178490B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49.2</w:t>
      </w:r>
      <w:r>
        <w:rPr>
          <w:rFonts w:hint="eastAsia" w:ascii="宋体" w:hAnsi="宋体" w:eastAsia="宋体" w:cs="宋体"/>
          <w:sz w:val="24"/>
          <w:szCs w:val="24"/>
          <w:highlight w:val="none"/>
        </w:rPr>
        <w:t>供应商提出质疑应当提交质疑函和必要的证明材料。质疑函应当包括下列内容：供应商的姓名或者名称、地址、邮编、联系人及联系电话；质疑项目的名称、编号；具体、明确的质疑事项和与质疑事项相关的请求；事实依据；必要的法律依据；提出质疑的日期。（具体格式详见附件）</w:t>
      </w:r>
    </w:p>
    <w:p w14:paraId="2E9986C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供应商为自然人的，应当由本人签字；供应商为法人或者其他组织的，应当由法定代表人、主要负责人，或者其授权代表签字或者盖章，并加盖公章。</w:t>
      </w:r>
    </w:p>
    <w:p w14:paraId="363A974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49.3</w:t>
      </w:r>
      <w:r>
        <w:rPr>
          <w:rFonts w:hint="eastAsia" w:ascii="宋体" w:hAnsi="宋体" w:eastAsia="宋体" w:cs="宋体"/>
          <w:sz w:val="24"/>
          <w:szCs w:val="24"/>
          <w:highlight w:val="none"/>
        </w:rPr>
        <w:t>供应商质疑、投诉应当有明确的请求和必要的证明材料。供应商投诉的事项不得超出已质疑事项的范围。采购人及采购代理机构按《政府采购质疑和投诉办法》进行处理供应商质疑事项。</w:t>
      </w:r>
    </w:p>
    <w:p w14:paraId="2E69C1A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49.4</w:t>
      </w:r>
      <w:r>
        <w:rPr>
          <w:rFonts w:hint="eastAsia" w:ascii="宋体" w:hAnsi="宋体" w:eastAsia="宋体" w:cs="宋体"/>
          <w:sz w:val="24"/>
          <w:szCs w:val="24"/>
          <w:highlight w:val="none"/>
        </w:rPr>
        <w:t>质疑供应商对采购人、采购代理机构的质疑答复不满意，或者采购人、采购代理机构未在规定期限内作出答复的，供应商可以在答复期满后15个工作日内向同级财政部门提起投诉。</w:t>
      </w:r>
    </w:p>
    <w:p w14:paraId="2F69650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49.5</w:t>
      </w:r>
      <w:r>
        <w:rPr>
          <w:rFonts w:hint="eastAsia" w:ascii="宋体" w:hAnsi="宋体" w:eastAsia="宋体" w:cs="宋体"/>
          <w:sz w:val="24"/>
          <w:szCs w:val="24"/>
          <w:highlight w:val="none"/>
        </w:rPr>
        <w:t>供应商有下列情形之一的，将其列入不良行为记录名单：</w:t>
      </w:r>
    </w:p>
    <w:p w14:paraId="087C1A7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（一）一年内三次以上质疑均查无实据的；</w:t>
      </w:r>
    </w:p>
    <w:p w14:paraId="1178669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（二）捏造事实或者提供虚假质疑材料的。</w:t>
      </w:r>
    </w:p>
    <w:p w14:paraId="691E409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（三）以非法手段取得证明材料。证据来源的合法性存在明显疑问，质疑人无法证明其取得方式合法的，视为以非法手段取得证明材料。</w:t>
      </w:r>
    </w:p>
    <w:p w14:paraId="38CECC8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p>
    <w:p w14:paraId="372240F4">
      <w:pPr>
        <w:keepNext w:val="0"/>
        <w:keepLines w:val="0"/>
        <w:pageBreakBefore w:val="0"/>
        <w:widowControl w:val="0"/>
        <w:kinsoku/>
        <w:wordWrap/>
        <w:overflowPunct/>
        <w:topLinePunct w:val="0"/>
        <w:autoSpaceDE w:val="0"/>
        <w:autoSpaceDN w:val="0"/>
        <w:bidi w:val="0"/>
        <w:adjustRightInd/>
        <w:snapToGrid/>
        <w:ind w:left="0"/>
        <w:textAlignment w:val="auto"/>
        <w:outlineLvl w:val="9"/>
        <w:rPr>
          <w:rFonts w:hint="eastAsia" w:ascii="宋体" w:hAnsi="宋体" w:eastAsia="宋体" w:cs="宋体"/>
          <w:b/>
          <w:sz w:val="14"/>
          <w:highlight w:val="none"/>
        </w:rPr>
      </w:pPr>
      <w:r>
        <w:rPr>
          <w:rFonts w:hint="eastAsia" w:ascii="宋体" w:hAnsi="宋体" w:eastAsia="宋体" w:cs="宋体"/>
          <w:spacing w:val="-5"/>
          <w:highlight w:val="none"/>
        </w:rPr>
        <w:br w:type="page"/>
      </w:r>
      <w:r>
        <w:rPr>
          <w:rFonts w:hint="eastAsia" w:ascii="宋体" w:hAnsi="宋体" w:eastAsia="宋体" w:cs="宋体"/>
          <w:highlight w:val="none"/>
        </w:rPr>
        <w:t>附件：</w:t>
      </w:r>
    </w:p>
    <w:p w14:paraId="2B72EC38">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宋体" w:hAnsi="宋体" w:eastAsia="宋体" w:cs="宋体"/>
          <w:b/>
          <w:sz w:val="32"/>
          <w:highlight w:val="none"/>
        </w:rPr>
      </w:pPr>
      <w:r>
        <w:rPr>
          <w:rFonts w:hint="eastAsia" w:ascii="宋体" w:hAnsi="宋体" w:eastAsia="宋体" w:cs="宋体"/>
          <w:b/>
          <w:sz w:val="32"/>
          <w:highlight w:val="none"/>
        </w:rPr>
        <w:t>政府采购投诉书（范本）、质疑函范本</w:t>
      </w:r>
    </w:p>
    <w:p w14:paraId="5C2D1FD1">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宋体" w:hAnsi="宋体" w:eastAsia="宋体" w:cs="宋体"/>
          <w:b/>
          <w:sz w:val="28"/>
          <w:highlight w:val="none"/>
        </w:rPr>
      </w:pPr>
      <w:r>
        <w:rPr>
          <w:rFonts w:hint="eastAsia" w:ascii="宋体" w:hAnsi="宋体" w:eastAsia="宋体" w:cs="宋体"/>
          <w:b/>
          <w:sz w:val="28"/>
          <w:highlight w:val="none"/>
        </w:rPr>
        <w:t>政府采购投诉书（范本）</w:t>
      </w:r>
    </w:p>
    <w:p w14:paraId="259D5EE7">
      <w:pPr>
        <w:pStyle w:val="7"/>
        <w:spacing w:before="5"/>
        <w:rPr>
          <w:rFonts w:hint="eastAsia" w:ascii="宋体" w:hAnsi="宋体" w:eastAsia="宋体" w:cs="宋体"/>
          <w:b/>
          <w:sz w:val="10"/>
          <w:highlight w:val="none"/>
        </w:rPr>
      </w:pPr>
    </w:p>
    <w:tbl>
      <w:tblPr>
        <w:tblStyle w:val="16"/>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4817"/>
        <w:gridCol w:w="4817"/>
      </w:tblGrid>
      <w:tr w14:paraId="1AEEB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6" w:hRule="atLeast"/>
        </w:trPr>
        <w:tc>
          <w:tcPr>
            <w:tcW w:w="2500" w:type="pct"/>
            <w:noWrap w:val="0"/>
            <w:vAlign w:val="center"/>
          </w:tcPr>
          <w:p w14:paraId="31FBF749">
            <w:pPr>
              <w:pStyle w:val="24"/>
              <w:keepNext w:val="0"/>
              <w:keepLines w:val="0"/>
              <w:pageBreakBefore w:val="0"/>
              <w:widowControl w:val="0"/>
              <w:tabs>
                <w:tab w:val="left" w:pos="2412"/>
              </w:tabs>
              <w:kinsoku/>
              <w:wordWrap/>
              <w:overflowPunct/>
              <w:topLinePunct w:val="0"/>
              <w:autoSpaceDE w:val="0"/>
              <w:autoSpaceDN w:val="0"/>
              <w:bidi w:val="0"/>
              <w:adjustRightInd/>
              <w:snapToGrid/>
              <w:spacing w:before="0" w:line="240" w:lineRule="auto"/>
              <w:ind w:left="0" w:right="0"/>
              <w:jc w:val="both"/>
              <w:textAlignment w:val="auto"/>
              <w:rPr>
                <w:rFonts w:hint="eastAsia" w:ascii="宋体" w:hAnsi="宋体" w:eastAsia="宋体" w:cs="宋体"/>
                <w:sz w:val="24"/>
                <w:szCs w:val="24"/>
                <w:highlight w:val="none"/>
              </w:rPr>
            </w:pPr>
            <w:r>
              <w:rPr>
                <w:rFonts w:hint="eastAsia" w:ascii="宋体" w:hAnsi="宋体" w:eastAsia="宋体" w:cs="宋体"/>
                <w:w w:val="95"/>
                <w:sz w:val="24"/>
                <w:szCs w:val="24"/>
                <w:highlight w:val="none"/>
              </w:rPr>
              <w:t>投诉人：</w:t>
            </w:r>
            <w:r>
              <w:rPr>
                <w:rFonts w:hint="eastAsia" w:ascii="宋体" w:hAnsi="宋体" w:eastAsia="宋体" w:cs="宋体"/>
                <w:w w:val="95"/>
                <w:sz w:val="24"/>
                <w:szCs w:val="24"/>
                <w:highlight w:val="none"/>
                <w:u w:val="single"/>
              </w:rPr>
              <w:t xml:space="preserve"> </w:t>
            </w:r>
            <w:r>
              <w:rPr>
                <w:rFonts w:hint="eastAsia" w:ascii="宋体" w:hAnsi="宋体" w:eastAsia="宋体" w:cs="宋体"/>
                <w:sz w:val="24"/>
                <w:szCs w:val="24"/>
                <w:highlight w:val="none"/>
                <w:u w:val="single"/>
              </w:rPr>
              <w:tab/>
            </w:r>
          </w:p>
        </w:tc>
        <w:tc>
          <w:tcPr>
            <w:tcW w:w="2500" w:type="pct"/>
            <w:noWrap w:val="0"/>
            <w:vAlign w:val="center"/>
          </w:tcPr>
          <w:p w14:paraId="7A0B4F3C">
            <w:pPr>
              <w:pStyle w:val="24"/>
              <w:keepNext w:val="0"/>
              <w:keepLines w:val="0"/>
              <w:pageBreakBefore w:val="0"/>
              <w:widowControl w:val="0"/>
              <w:tabs>
                <w:tab w:val="left" w:pos="2806"/>
              </w:tabs>
              <w:kinsoku/>
              <w:wordWrap/>
              <w:overflowPunct/>
              <w:topLinePunct w:val="0"/>
              <w:autoSpaceDE w:val="0"/>
              <w:autoSpaceDN w:val="0"/>
              <w:bidi w:val="0"/>
              <w:adjustRightInd/>
              <w:snapToGrid/>
              <w:spacing w:before="0" w:line="240" w:lineRule="auto"/>
              <w:ind w:left="0" w:right="0"/>
              <w:jc w:val="both"/>
              <w:textAlignment w:val="auto"/>
              <w:rPr>
                <w:rFonts w:hint="eastAsia" w:ascii="宋体" w:hAnsi="宋体" w:eastAsia="宋体" w:cs="宋体"/>
                <w:sz w:val="24"/>
                <w:szCs w:val="24"/>
                <w:highlight w:val="none"/>
              </w:rPr>
            </w:pPr>
            <w:r>
              <w:rPr>
                <w:rFonts w:hint="eastAsia" w:ascii="宋体" w:hAnsi="宋体" w:eastAsia="宋体" w:cs="宋体"/>
                <w:w w:val="95"/>
                <w:sz w:val="24"/>
                <w:szCs w:val="24"/>
                <w:highlight w:val="none"/>
              </w:rPr>
              <w:t>法定代表人：</w:t>
            </w:r>
            <w:r>
              <w:rPr>
                <w:rFonts w:hint="eastAsia" w:ascii="宋体" w:hAnsi="宋体" w:eastAsia="宋体" w:cs="宋体"/>
                <w:w w:val="95"/>
                <w:sz w:val="24"/>
                <w:szCs w:val="24"/>
                <w:highlight w:val="none"/>
                <w:u w:val="single"/>
              </w:rPr>
              <w:t xml:space="preserve"> </w:t>
            </w:r>
            <w:r>
              <w:rPr>
                <w:rFonts w:hint="eastAsia" w:ascii="宋体" w:hAnsi="宋体" w:eastAsia="宋体" w:cs="宋体"/>
                <w:sz w:val="24"/>
                <w:szCs w:val="24"/>
                <w:highlight w:val="none"/>
                <w:u w:val="single"/>
              </w:rPr>
              <w:tab/>
            </w:r>
          </w:p>
        </w:tc>
      </w:tr>
      <w:tr w14:paraId="40EDA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9" w:hRule="atLeast"/>
        </w:trPr>
        <w:tc>
          <w:tcPr>
            <w:tcW w:w="2500" w:type="pct"/>
            <w:noWrap w:val="0"/>
            <w:vAlign w:val="center"/>
          </w:tcPr>
          <w:p w14:paraId="6DCEB0E8">
            <w:pPr>
              <w:pStyle w:val="24"/>
              <w:keepNext w:val="0"/>
              <w:keepLines w:val="0"/>
              <w:pageBreakBefore w:val="0"/>
              <w:widowControl w:val="0"/>
              <w:tabs>
                <w:tab w:val="left" w:pos="2412"/>
              </w:tabs>
              <w:kinsoku/>
              <w:wordWrap/>
              <w:overflowPunct/>
              <w:topLinePunct w:val="0"/>
              <w:autoSpaceDE w:val="0"/>
              <w:autoSpaceDN w:val="0"/>
              <w:bidi w:val="0"/>
              <w:adjustRightInd/>
              <w:snapToGrid/>
              <w:spacing w:before="0" w:line="240" w:lineRule="auto"/>
              <w:ind w:left="0" w:right="0"/>
              <w:jc w:val="both"/>
              <w:textAlignment w:val="auto"/>
              <w:rPr>
                <w:rFonts w:hint="eastAsia" w:ascii="宋体" w:hAnsi="宋体" w:eastAsia="宋体" w:cs="宋体"/>
                <w:sz w:val="24"/>
                <w:szCs w:val="24"/>
                <w:highlight w:val="none"/>
              </w:rPr>
            </w:pPr>
            <w:r>
              <w:rPr>
                <w:rFonts w:hint="eastAsia" w:ascii="宋体" w:hAnsi="宋体" w:eastAsia="宋体" w:cs="宋体"/>
                <w:w w:val="95"/>
                <w:sz w:val="24"/>
                <w:szCs w:val="24"/>
                <w:highlight w:val="none"/>
              </w:rPr>
              <w:t>地址：</w:t>
            </w:r>
            <w:r>
              <w:rPr>
                <w:rFonts w:hint="eastAsia" w:ascii="宋体" w:hAnsi="宋体" w:eastAsia="宋体" w:cs="宋体"/>
                <w:w w:val="95"/>
                <w:sz w:val="24"/>
                <w:szCs w:val="24"/>
                <w:highlight w:val="none"/>
                <w:u w:val="single"/>
              </w:rPr>
              <w:t xml:space="preserve"> </w:t>
            </w:r>
            <w:r>
              <w:rPr>
                <w:rFonts w:hint="eastAsia" w:ascii="宋体" w:hAnsi="宋体" w:eastAsia="宋体" w:cs="宋体"/>
                <w:sz w:val="24"/>
                <w:szCs w:val="24"/>
                <w:highlight w:val="none"/>
                <w:u w:val="single"/>
              </w:rPr>
              <w:tab/>
            </w:r>
          </w:p>
        </w:tc>
        <w:tc>
          <w:tcPr>
            <w:tcW w:w="2500" w:type="pct"/>
            <w:noWrap w:val="0"/>
            <w:vAlign w:val="center"/>
          </w:tcPr>
          <w:p w14:paraId="3FD0C3F1">
            <w:pPr>
              <w:pStyle w:val="24"/>
              <w:keepNext w:val="0"/>
              <w:keepLines w:val="0"/>
              <w:pageBreakBefore w:val="0"/>
              <w:widowControl w:val="0"/>
              <w:tabs>
                <w:tab w:val="left" w:pos="2256"/>
              </w:tabs>
              <w:kinsoku/>
              <w:wordWrap/>
              <w:overflowPunct/>
              <w:topLinePunct w:val="0"/>
              <w:autoSpaceDE w:val="0"/>
              <w:autoSpaceDN w:val="0"/>
              <w:bidi w:val="0"/>
              <w:adjustRightInd/>
              <w:snapToGrid/>
              <w:spacing w:before="0" w:line="240" w:lineRule="auto"/>
              <w:ind w:left="0" w:right="0"/>
              <w:jc w:val="both"/>
              <w:textAlignment w:val="auto"/>
              <w:rPr>
                <w:rFonts w:hint="eastAsia" w:ascii="宋体" w:hAnsi="宋体" w:eastAsia="宋体" w:cs="宋体"/>
                <w:sz w:val="24"/>
                <w:szCs w:val="24"/>
                <w:highlight w:val="none"/>
              </w:rPr>
            </w:pPr>
            <w:r>
              <w:rPr>
                <w:rFonts w:hint="eastAsia" w:ascii="宋体" w:hAnsi="宋体" w:eastAsia="宋体" w:cs="宋体"/>
                <w:w w:val="95"/>
                <w:sz w:val="24"/>
                <w:szCs w:val="24"/>
                <w:highlight w:val="none"/>
              </w:rPr>
              <w:t>电话：</w:t>
            </w:r>
            <w:r>
              <w:rPr>
                <w:rFonts w:hint="eastAsia" w:ascii="宋体" w:hAnsi="宋体" w:eastAsia="宋体" w:cs="宋体"/>
                <w:w w:val="95"/>
                <w:sz w:val="24"/>
                <w:szCs w:val="24"/>
                <w:highlight w:val="none"/>
                <w:u w:val="single"/>
              </w:rPr>
              <w:t xml:space="preserve"> </w:t>
            </w:r>
            <w:r>
              <w:rPr>
                <w:rFonts w:hint="eastAsia" w:ascii="宋体" w:hAnsi="宋体" w:eastAsia="宋体" w:cs="宋体"/>
                <w:sz w:val="24"/>
                <w:szCs w:val="24"/>
                <w:highlight w:val="none"/>
                <w:u w:val="single"/>
              </w:rPr>
              <w:tab/>
            </w:r>
          </w:p>
        </w:tc>
      </w:tr>
      <w:tr w14:paraId="6017B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9" w:hRule="atLeast"/>
        </w:trPr>
        <w:tc>
          <w:tcPr>
            <w:tcW w:w="2500" w:type="pct"/>
            <w:noWrap w:val="0"/>
            <w:vAlign w:val="center"/>
          </w:tcPr>
          <w:p w14:paraId="63BA9282">
            <w:pPr>
              <w:pStyle w:val="24"/>
              <w:keepNext w:val="0"/>
              <w:keepLines w:val="0"/>
              <w:pageBreakBefore w:val="0"/>
              <w:widowControl w:val="0"/>
              <w:tabs>
                <w:tab w:val="left" w:pos="2412"/>
              </w:tabs>
              <w:kinsoku/>
              <w:wordWrap/>
              <w:overflowPunct/>
              <w:topLinePunct w:val="0"/>
              <w:autoSpaceDE w:val="0"/>
              <w:autoSpaceDN w:val="0"/>
              <w:bidi w:val="0"/>
              <w:adjustRightInd/>
              <w:snapToGrid/>
              <w:spacing w:before="0" w:line="240" w:lineRule="auto"/>
              <w:ind w:left="0" w:right="0"/>
              <w:jc w:val="both"/>
              <w:textAlignment w:val="auto"/>
              <w:rPr>
                <w:rFonts w:hint="eastAsia" w:ascii="宋体" w:hAnsi="宋体" w:eastAsia="宋体" w:cs="宋体"/>
                <w:sz w:val="24"/>
                <w:szCs w:val="24"/>
                <w:highlight w:val="none"/>
              </w:rPr>
            </w:pPr>
            <w:r>
              <w:rPr>
                <w:rFonts w:hint="eastAsia" w:ascii="宋体" w:hAnsi="宋体" w:eastAsia="宋体" w:cs="宋体"/>
                <w:w w:val="95"/>
                <w:sz w:val="24"/>
                <w:szCs w:val="24"/>
                <w:highlight w:val="none"/>
              </w:rPr>
              <w:t>委托代理人姓名：</w:t>
            </w:r>
            <w:r>
              <w:rPr>
                <w:rFonts w:hint="eastAsia" w:ascii="宋体" w:hAnsi="宋体" w:eastAsia="宋体" w:cs="宋体"/>
                <w:w w:val="95"/>
                <w:sz w:val="24"/>
                <w:szCs w:val="24"/>
                <w:highlight w:val="none"/>
                <w:u w:val="single"/>
              </w:rPr>
              <w:t xml:space="preserve"> </w:t>
            </w:r>
            <w:r>
              <w:rPr>
                <w:rFonts w:hint="eastAsia" w:ascii="宋体" w:hAnsi="宋体" w:eastAsia="宋体" w:cs="宋体"/>
                <w:sz w:val="24"/>
                <w:szCs w:val="24"/>
                <w:highlight w:val="none"/>
                <w:u w:val="single"/>
              </w:rPr>
              <w:tab/>
            </w:r>
          </w:p>
        </w:tc>
        <w:tc>
          <w:tcPr>
            <w:tcW w:w="2500" w:type="pct"/>
            <w:noWrap w:val="0"/>
            <w:vAlign w:val="center"/>
          </w:tcPr>
          <w:p w14:paraId="179419BB">
            <w:pPr>
              <w:pStyle w:val="24"/>
              <w:keepNext w:val="0"/>
              <w:keepLines w:val="0"/>
              <w:pageBreakBefore w:val="0"/>
              <w:widowControl w:val="0"/>
              <w:tabs>
                <w:tab w:val="left" w:pos="2256"/>
              </w:tabs>
              <w:kinsoku/>
              <w:wordWrap/>
              <w:overflowPunct/>
              <w:topLinePunct w:val="0"/>
              <w:autoSpaceDE w:val="0"/>
              <w:autoSpaceDN w:val="0"/>
              <w:bidi w:val="0"/>
              <w:adjustRightInd/>
              <w:snapToGrid/>
              <w:spacing w:before="0" w:line="240" w:lineRule="auto"/>
              <w:ind w:left="0" w:right="0"/>
              <w:jc w:val="both"/>
              <w:textAlignment w:val="auto"/>
              <w:rPr>
                <w:rFonts w:hint="eastAsia" w:ascii="宋体" w:hAnsi="宋体" w:eastAsia="宋体" w:cs="宋体"/>
                <w:sz w:val="24"/>
                <w:szCs w:val="24"/>
                <w:highlight w:val="none"/>
              </w:rPr>
            </w:pPr>
            <w:r>
              <w:rPr>
                <w:rFonts w:hint="eastAsia" w:ascii="宋体" w:hAnsi="宋体" w:eastAsia="宋体" w:cs="宋体"/>
                <w:w w:val="95"/>
                <w:sz w:val="24"/>
                <w:szCs w:val="24"/>
                <w:highlight w:val="none"/>
              </w:rPr>
              <w:t>职务：</w:t>
            </w:r>
            <w:r>
              <w:rPr>
                <w:rFonts w:hint="eastAsia" w:ascii="宋体" w:hAnsi="宋体" w:eastAsia="宋体" w:cs="宋体"/>
                <w:w w:val="95"/>
                <w:sz w:val="24"/>
                <w:szCs w:val="24"/>
                <w:highlight w:val="none"/>
                <w:u w:val="single"/>
              </w:rPr>
              <w:t xml:space="preserve"> </w:t>
            </w:r>
            <w:r>
              <w:rPr>
                <w:rFonts w:hint="eastAsia" w:ascii="宋体" w:hAnsi="宋体" w:eastAsia="宋体" w:cs="宋体"/>
                <w:sz w:val="24"/>
                <w:szCs w:val="24"/>
                <w:highlight w:val="none"/>
                <w:u w:val="single"/>
              </w:rPr>
              <w:tab/>
            </w:r>
          </w:p>
        </w:tc>
      </w:tr>
      <w:tr w14:paraId="01BC2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trPr>
        <w:tc>
          <w:tcPr>
            <w:tcW w:w="2500" w:type="pct"/>
            <w:noWrap w:val="0"/>
            <w:vAlign w:val="center"/>
          </w:tcPr>
          <w:p w14:paraId="65C4D71F">
            <w:pPr>
              <w:pStyle w:val="24"/>
              <w:keepNext w:val="0"/>
              <w:keepLines w:val="0"/>
              <w:pageBreakBefore w:val="0"/>
              <w:widowControl w:val="0"/>
              <w:tabs>
                <w:tab w:val="left" w:pos="2412"/>
              </w:tabs>
              <w:kinsoku/>
              <w:wordWrap/>
              <w:overflowPunct/>
              <w:topLinePunct w:val="0"/>
              <w:autoSpaceDE w:val="0"/>
              <w:autoSpaceDN w:val="0"/>
              <w:bidi w:val="0"/>
              <w:adjustRightInd/>
              <w:snapToGrid/>
              <w:spacing w:before="0" w:line="240" w:lineRule="auto"/>
              <w:ind w:left="0" w:right="0"/>
              <w:jc w:val="both"/>
              <w:textAlignment w:val="auto"/>
              <w:rPr>
                <w:rFonts w:hint="eastAsia" w:ascii="宋体" w:hAnsi="宋体" w:eastAsia="宋体" w:cs="宋体"/>
                <w:sz w:val="24"/>
                <w:szCs w:val="24"/>
                <w:highlight w:val="none"/>
              </w:rPr>
            </w:pPr>
            <w:r>
              <w:rPr>
                <w:rFonts w:hint="eastAsia" w:ascii="宋体" w:hAnsi="宋体" w:eastAsia="宋体" w:cs="宋体"/>
                <w:w w:val="95"/>
                <w:sz w:val="24"/>
                <w:szCs w:val="24"/>
                <w:highlight w:val="none"/>
              </w:rPr>
              <w:t>住址：</w:t>
            </w:r>
            <w:r>
              <w:rPr>
                <w:rFonts w:hint="eastAsia" w:ascii="宋体" w:hAnsi="宋体" w:eastAsia="宋体" w:cs="宋体"/>
                <w:w w:val="95"/>
                <w:sz w:val="24"/>
                <w:szCs w:val="24"/>
                <w:highlight w:val="none"/>
                <w:u w:val="single"/>
              </w:rPr>
              <w:t xml:space="preserve"> </w:t>
            </w:r>
            <w:r>
              <w:rPr>
                <w:rFonts w:hint="eastAsia" w:ascii="宋体" w:hAnsi="宋体" w:eastAsia="宋体" w:cs="宋体"/>
                <w:sz w:val="24"/>
                <w:szCs w:val="24"/>
                <w:highlight w:val="none"/>
                <w:u w:val="single"/>
              </w:rPr>
              <w:tab/>
            </w:r>
          </w:p>
        </w:tc>
        <w:tc>
          <w:tcPr>
            <w:tcW w:w="2500" w:type="pct"/>
            <w:noWrap w:val="0"/>
            <w:vAlign w:val="center"/>
          </w:tcPr>
          <w:p w14:paraId="50931B9C">
            <w:pPr>
              <w:pStyle w:val="24"/>
              <w:keepNext w:val="0"/>
              <w:keepLines w:val="0"/>
              <w:pageBreakBefore w:val="0"/>
              <w:widowControl w:val="0"/>
              <w:tabs>
                <w:tab w:val="left" w:pos="2703"/>
              </w:tabs>
              <w:kinsoku/>
              <w:wordWrap/>
              <w:overflowPunct/>
              <w:topLinePunct w:val="0"/>
              <w:autoSpaceDE w:val="0"/>
              <w:autoSpaceDN w:val="0"/>
              <w:bidi w:val="0"/>
              <w:adjustRightInd/>
              <w:snapToGrid/>
              <w:spacing w:before="0" w:line="240" w:lineRule="auto"/>
              <w:ind w:left="0" w:right="0"/>
              <w:jc w:val="both"/>
              <w:textAlignment w:val="auto"/>
              <w:rPr>
                <w:rFonts w:hint="eastAsia" w:ascii="宋体" w:hAnsi="宋体" w:eastAsia="宋体" w:cs="宋体"/>
                <w:sz w:val="24"/>
                <w:szCs w:val="24"/>
                <w:highlight w:val="none"/>
              </w:rPr>
            </w:pPr>
            <w:r>
              <w:rPr>
                <w:rFonts w:hint="eastAsia" w:ascii="宋体" w:hAnsi="宋体" w:eastAsia="宋体" w:cs="宋体"/>
                <w:w w:val="95"/>
                <w:sz w:val="24"/>
                <w:szCs w:val="24"/>
                <w:highlight w:val="none"/>
              </w:rPr>
              <w:t>联系电话：</w:t>
            </w:r>
            <w:r>
              <w:rPr>
                <w:rFonts w:hint="eastAsia" w:ascii="宋体" w:hAnsi="宋体" w:eastAsia="宋体" w:cs="宋体"/>
                <w:w w:val="95"/>
                <w:sz w:val="24"/>
                <w:szCs w:val="24"/>
                <w:highlight w:val="none"/>
                <w:u w:val="single"/>
              </w:rPr>
              <w:t xml:space="preserve"> </w:t>
            </w:r>
            <w:r>
              <w:rPr>
                <w:rFonts w:hint="eastAsia" w:ascii="宋体" w:hAnsi="宋体" w:eastAsia="宋体" w:cs="宋体"/>
                <w:sz w:val="24"/>
                <w:szCs w:val="24"/>
                <w:highlight w:val="none"/>
                <w:u w:val="single"/>
              </w:rPr>
              <w:tab/>
            </w:r>
          </w:p>
        </w:tc>
      </w:tr>
      <w:tr w14:paraId="57371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9" w:hRule="atLeast"/>
        </w:trPr>
        <w:tc>
          <w:tcPr>
            <w:tcW w:w="2500" w:type="pct"/>
            <w:noWrap w:val="0"/>
            <w:vAlign w:val="center"/>
          </w:tcPr>
          <w:p w14:paraId="7ED27E0D">
            <w:pPr>
              <w:pStyle w:val="24"/>
              <w:keepNext w:val="0"/>
              <w:keepLines w:val="0"/>
              <w:pageBreakBefore w:val="0"/>
              <w:widowControl w:val="0"/>
              <w:tabs>
                <w:tab w:val="left" w:pos="2307"/>
              </w:tabs>
              <w:kinsoku/>
              <w:wordWrap/>
              <w:overflowPunct/>
              <w:topLinePunct w:val="0"/>
              <w:autoSpaceDE w:val="0"/>
              <w:autoSpaceDN w:val="0"/>
              <w:bidi w:val="0"/>
              <w:adjustRightInd/>
              <w:snapToGrid/>
              <w:spacing w:before="0" w:line="240" w:lineRule="auto"/>
              <w:ind w:left="0" w:right="0"/>
              <w:jc w:val="both"/>
              <w:textAlignment w:val="auto"/>
              <w:rPr>
                <w:rFonts w:hint="eastAsia" w:ascii="宋体" w:hAnsi="宋体" w:eastAsia="宋体" w:cs="宋体"/>
                <w:sz w:val="24"/>
                <w:szCs w:val="24"/>
                <w:highlight w:val="none"/>
              </w:rPr>
            </w:pPr>
            <w:r>
              <w:rPr>
                <w:rFonts w:hint="eastAsia" w:ascii="宋体" w:hAnsi="宋体" w:eastAsia="宋体" w:cs="宋体"/>
                <w:w w:val="95"/>
                <w:sz w:val="24"/>
                <w:szCs w:val="24"/>
                <w:highlight w:val="none"/>
              </w:rPr>
              <w:t>被投诉人：</w:t>
            </w:r>
            <w:r>
              <w:rPr>
                <w:rFonts w:hint="eastAsia" w:ascii="宋体" w:hAnsi="宋体" w:eastAsia="宋体" w:cs="宋体"/>
                <w:w w:val="95"/>
                <w:sz w:val="24"/>
                <w:szCs w:val="24"/>
                <w:highlight w:val="none"/>
                <w:u w:val="single"/>
              </w:rPr>
              <w:t xml:space="preserve"> </w:t>
            </w:r>
            <w:r>
              <w:rPr>
                <w:rFonts w:hint="eastAsia" w:ascii="宋体" w:hAnsi="宋体" w:eastAsia="宋体" w:cs="宋体"/>
                <w:sz w:val="24"/>
                <w:szCs w:val="24"/>
                <w:highlight w:val="none"/>
                <w:u w:val="single"/>
              </w:rPr>
              <w:tab/>
            </w:r>
          </w:p>
        </w:tc>
        <w:tc>
          <w:tcPr>
            <w:tcW w:w="2500" w:type="pct"/>
            <w:noWrap w:val="0"/>
            <w:vAlign w:val="center"/>
          </w:tcPr>
          <w:p w14:paraId="6157087C">
            <w:pPr>
              <w:pStyle w:val="24"/>
              <w:keepNext w:val="0"/>
              <w:keepLines w:val="0"/>
              <w:pageBreakBefore w:val="0"/>
              <w:widowControl w:val="0"/>
              <w:tabs>
                <w:tab w:val="left" w:pos="2492"/>
              </w:tabs>
              <w:kinsoku/>
              <w:wordWrap/>
              <w:overflowPunct/>
              <w:topLinePunct w:val="0"/>
              <w:autoSpaceDE w:val="0"/>
              <w:autoSpaceDN w:val="0"/>
              <w:bidi w:val="0"/>
              <w:adjustRightInd/>
              <w:snapToGrid/>
              <w:spacing w:before="0" w:line="240" w:lineRule="auto"/>
              <w:ind w:left="0" w:right="0"/>
              <w:jc w:val="both"/>
              <w:textAlignment w:val="auto"/>
              <w:rPr>
                <w:rFonts w:hint="eastAsia" w:ascii="宋体" w:hAnsi="宋体" w:eastAsia="宋体" w:cs="宋体"/>
                <w:sz w:val="24"/>
                <w:szCs w:val="24"/>
                <w:highlight w:val="none"/>
              </w:rPr>
            </w:pPr>
            <w:r>
              <w:rPr>
                <w:rFonts w:hint="eastAsia" w:ascii="宋体" w:hAnsi="宋体" w:eastAsia="宋体" w:cs="宋体"/>
                <w:w w:val="95"/>
                <w:sz w:val="24"/>
                <w:szCs w:val="24"/>
                <w:highlight w:val="none"/>
              </w:rPr>
              <w:t>法定代表人：</w:t>
            </w:r>
            <w:r>
              <w:rPr>
                <w:rFonts w:hint="eastAsia" w:ascii="宋体" w:hAnsi="宋体" w:eastAsia="宋体" w:cs="宋体"/>
                <w:w w:val="95"/>
                <w:sz w:val="24"/>
                <w:szCs w:val="24"/>
                <w:highlight w:val="none"/>
                <w:u w:val="single"/>
              </w:rPr>
              <w:t xml:space="preserve"> </w:t>
            </w:r>
            <w:r>
              <w:rPr>
                <w:rFonts w:hint="eastAsia" w:ascii="宋体" w:hAnsi="宋体" w:eastAsia="宋体" w:cs="宋体"/>
                <w:sz w:val="24"/>
                <w:szCs w:val="24"/>
                <w:highlight w:val="none"/>
                <w:u w:val="single"/>
              </w:rPr>
              <w:tab/>
            </w:r>
          </w:p>
        </w:tc>
      </w:tr>
      <w:tr w14:paraId="64088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4" w:hRule="atLeast"/>
        </w:trPr>
        <w:tc>
          <w:tcPr>
            <w:tcW w:w="2500" w:type="pct"/>
            <w:noWrap w:val="0"/>
            <w:vAlign w:val="center"/>
          </w:tcPr>
          <w:p w14:paraId="7B0FADC1">
            <w:pPr>
              <w:pStyle w:val="24"/>
              <w:keepNext w:val="0"/>
              <w:keepLines w:val="0"/>
              <w:pageBreakBefore w:val="0"/>
              <w:widowControl w:val="0"/>
              <w:tabs>
                <w:tab w:val="left" w:pos="2307"/>
              </w:tabs>
              <w:kinsoku/>
              <w:wordWrap/>
              <w:overflowPunct/>
              <w:topLinePunct w:val="0"/>
              <w:autoSpaceDE w:val="0"/>
              <w:autoSpaceDN w:val="0"/>
              <w:bidi w:val="0"/>
              <w:adjustRightInd/>
              <w:snapToGrid/>
              <w:spacing w:before="0" w:line="240" w:lineRule="auto"/>
              <w:ind w:left="0" w:right="0"/>
              <w:jc w:val="both"/>
              <w:textAlignment w:val="auto"/>
              <w:rPr>
                <w:rFonts w:hint="eastAsia" w:ascii="宋体" w:hAnsi="宋体" w:eastAsia="宋体" w:cs="宋体"/>
                <w:sz w:val="24"/>
                <w:szCs w:val="24"/>
                <w:highlight w:val="none"/>
              </w:rPr>
            </w:pPr>
            <w:r>
              <w:rPr>
                <w:rFonts w:hint="eastAsia" w:ascii="宋体" w:hAnsi="宋体" w:eastAsia="宋体" w:cs="宋体"/>
                <w:w w:val="95"/>
                <w:sz w:val="24"/>
                <w:szCs w:val="24"/>
                <w:highlight w:val="none"/>
              </w:rPr>
              <w:t>地址：</w:t>
            </w:r>
            <w:r>
              <w:rPr>
                <w:rFonts w:hint="eastAsia" w:ascii="宋体" w:hAnsi="宋体" w:eastAsia="宋体" w:cs="宋体"/>
                <w:w w:val="95"/>
                <w:sz w:val="24"/>
                <w:szCs w:val="24"/>
                <w:highlight w:val="none"/>
                <w:u w:val="single"/>
              </w:rPr>
              <w:t xml:space="preserve"> </w:t>
            </w:r>
            <w:r>
              <w:rPr>
                <w:rFonts w:hint="eastAsia" w:ascii="宋体" w:hAnsi="宋体" w:eastAsia="宋体" w:cs="宋体"/>
                <w:sz w:val="24"/>
                <w:szCs w:val="24"/>
                <w:highlight w:val="none"/>
                <w:u w:val="single"/>
              </w:rPr>
              <w:tab/>
            </w:r>
          </w:p>
        </w:tc>
        <w:tc>
          <w:tcPr>
            <w:tcW w:w="2500" w:type="pct"/>
            <w:noWrap w:val="0"/>
            <w:vAlign w:val="center"/>
          </w:tcPr>
          <w:p w14:paraId="6FFFBFA2">
            <w:pPr>
              <w:pStyle w:val="24"/>
              <w:keepNext w:val="0"/>
              <w:keepLines w:val="0"/>
              <w:pageBreakBefore w:val="0"/>
              <w:widowControl w:val="0"/>
              <w:tabs>
                <w:tab w:val="left" w:pos="2359"/>
              </w:tabs>
              <w:kinsoku/>
              <w:wordWrap/>
              <w:overflowPunct/>
              <w:topLinePunct w:val="0"/>
              <w:autoSpaceDE w:val="0"/>
              <w:autoSpaceDN w:val="0"/>
              <w:bidi w:val="0"/>
              <w:adjustRightInd/>
              <w:snapToGrid/>
              <w:spacing w:before="0" w:line="240" w:lineRule="auto"/>
              <w:ind w:left="0" w:right="0"/>
              <w:jc w:val="both"/>
              <w:textAlignment w:val="auto"/>
              <w:rPr>
                <w:rFonts w:hint="eastAsia" w:ascii="宋体" w:hAnsi="宋体" w:eastAsia="宋体" w:cs="宋体"/>
                <w:sz w:val="24"/>
                <w:szCs w:val="24"/>
                <w:highlight w:val="none"/>
              </w:rPr>
            </w:pPr>
            <w:r>
              <w:rPr>
                <w:rFonts w:hint="eastAsia" w:ascii="宋体" w:hAnsi="宋体" w:eastAsia="宋体" w:cs="宋体"/>
                <w:w w:val="95"/>
                <w:sz w:val="24"/>
                <w:szCs w:val="24"/>
                <w:highlight w:val="none"/>
              </w:rPr>
              <w:t>电话：</w:t>
            </w:r>
            <w:r>
              <w:rPr>
                <w:rFonts w:hint="eastAsia" w:ascii="宋体" w:hAnsi="宋体" w:eastAsia="宋体" w:cs="宋体"/>
                <w:w w:val="95"/>
                <w:sz w:val="24"/>
                <w:szCs w:val="24"/>
                <w:highlight w:val="none"/>
                <w:u w:val="single"/>
              </w:rPr>
              <w:t xml:space="preserve"> </w:t>
            </w:r>
            <w:r>
              <w:rPr>
                <w:rFonts w:hint="eastAsia" w:ascii="宋体" w:hAnsi="宋体" w:eastAsia="宋体" w:cs="宋体"/>
                <w:sz w:val="24"/>
                <w:szCs w:val="24"/>
                <w:highlight w:val="none"/>
                <w:u w:val="single"/>
              </w:rPr>
              <w:tab/>
            </w:r>
          </w:p>
        </w:tc>
      </w:tr>
    </w:tbl>
    <w:p w14:paraId="4FFC74B7">
      <w:pPr>
        <w:keepNext w:val="0"/>
        <w:keepLines w:val="0"/>
        <w:pageBreakBefore w:val="0"/>
        <w:widowControl w:val="0"/>
        <w:kinsoku/>
        <w:wordWrap/>
        <w:overflowPunct/>
        <w:topLinePunct w:val="0"/>
        <w:autoSpaceDE w:val="0"/>
        <w:autoSpaceDN w:val="0"/>
        <w:bidi w:val="0"/>
        <w:adjustRightInd/>
        <w:snapToGrid/>
        <w:spacing w:line="312" w:lineRule="auto"/>
        <w:ind w:firstLine="480" w:firstLineChars="200"/>
        <w:textAlignment w:val="auto"/>
        <w:rPr>
          <w:rFonts w:hint="eastAsia" w:ascii="宋体" w:hAnsi="宋体" w:eastAsia="宋体" w:cs="宋体"/>
          <w:sz w:val="24"/>
          <w:szCs w:val="24"/>
          <w:highlight w:val="none"/>
        </w:rPr>
      </w:pPr>
    </w:p>
    <w:p w14:paraId="2A2F67F7">
      <w:pPr>
        <w:keepNext w:val="0"/>
        <w:keepLines w:val="0"/>
        <w:pageBreakBefore w:val="0"/>
        <w:widowControl w:val="0"/>
        <w:kinsoku/>
        <w:wordWrap/>
        <w:overflowPunct/>
        <w:topLinePunct w:val="0"/>
        <w:autoSpaceDE w:val="0"/>
        <w:autoSpaceDN w:val="0"/>
        <w:bidi w:val="0"/>
        <w:adjustRightInd/>
        <w:snapToGrid/>
        <w:spacing w:line="312"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我公司参加了</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ab/>
      </w:r>
      <w:r>
        <w:rPr>
          <w:rFonts w:hint="eastAsia" w:ascii="宋体" w:hAnsi="宋体" w:eastAsia="宋体" w:cs="宋体"/>
          <w:sz w:val="24"/>
          <w:szCs w:val="24"/>
          <w:highlight w:val="none"/>
        </w:rPr>
        <w:t>日被投诉人组织的</w:t>
      </w:r>
      <w:r>
        <w:rPr>
          <w:rFonts w:hint="eastAsia" w:ascii="宋体" w:hAnsi="宋体" w:eastAsia="宋体" w:cs="宋体"/>
          <w:sz w:val="24"/>
          <w:szCs w:val="24"/>
          <w:highlight w:val="none"/>
          <w:u w:val="single"/>
        </w:rPr>
        <w:t>（采购人）（项目名称）（项目编号）</w:t>
      </w:r>
      <w:r>
        <w:rPr>
          <w:rFonts w:hint="eastAsia" w:ascii="宋体" w:hAnsi="宋体" w:eastAsia="宋体" w:cs="宋体"/>
          <w:sz w:val="24"/>
          <w:szCs w:val="24"/>
          <w:highlight w:val="none"/>
        </w:rPr>
        <w:t>的采购活动，我公司认为该项目的</w:t>
      </w:r>
      <w:r>
        <w:rPr>
          <w:rFonts w:hint="eastAsia" w:ascii="宋体" w:hAnsi="宋体" w:eastAsia="宋体" w:cs="宋体"/>
          <w:sz w:val="24"/>
          <w:szCs w:val="24"/>
          <w:highlight w:val="none"/>
          <w:u w:val="single"/>
        </w:rPr>
        <w:t>（采购文件/采购过程/中标（中标）结果）</w:t>
      </w:r>
      <w:r>
        <w:rPr>
          <w:rFonts w:hint="eastAsia" w:ascii="宋体" w:hAnsi="宋体" w:eastAsia="宋体" w:cs="宋体"/>
          <w:sz w:val="24"/>
          <w:szCs w:val="24"/>
          <w:highlight w:val="none"/>
        </w:rPr>
        <w:t>损害了我公司权益，对此，我公司于</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ab/>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ab/>
      </w:r>
      <w:r>
        <w:rPr>
          <w:rFonts w:hint="eastAsia" w:ascii="宋体" w:hAnsi="宋体" w:eastAsia="宋体" w:cs="宋体"/>
          <w:sz w:val="24"/>
          <w:szCs w:val="24"/>
          <w:highlight w:val="none"/>
        </w:rPr>
        <w:t>日向</w:t>
      </w:r>
      <w:r>
        <w:rPr>
          <w:rFonts w:hint="eastAsia" w:ascii="宋体" w:hAnsi="宋体" w:eastAsia="宋体" w:cs="宋体"/>
          <w:sz w:val="24"/>
          <w:szCs w:val="24"/>
          <w:highlight w:val="none"/>
          <w:u w:val="single"/>
        </w:rPr>
        <w:t>（采购人或者政府采购代理机构）</w:t>
      </w:r>
      <w:r>
        <w:rPr>
          <w:rFonts w:hint="eastAsia" w:ascii="宋体" w:hAnsi="宋体" w:eastAsia="宋体" w:cs="宋体"/>
          <w:sz w:val="24"/>
          <w:szCs w:val="24"/>
          <w:highlight w:val="none"/>
        </w:rPr>
        <w:t>提出了质疑，</w:t>
      </w:r>
      <w:r>
        <w:rPr>
          <w:rFonts w:hint="eastAsia" w:ascii="宋体" w:hAnsi="宋体" w:eastAsia="宋体" w:cs="宋体"/>
          <w:sz w:val="24"/>
          <w:szCs w:val="24"/>
          <w:highlight w:val="none"/>
          <w:u w:val="single"/>
        </w:rPr>
        <w:t xml:space="preserve">（其于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rPr>
        <w:t>年</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月</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日作出书面答复，因对其作出的答复不满意）/（被质疑人未在法定期内予以答复，按照政府采购有关规定）</w:t>
      </w:r>
      <w:r>
        <w:rPr>
          <w:rFonts w:hint="eastAsia" w:ascii="宋体" w:hAnsi="宋体" w:eastAsia="宋体" w:cs="宋体"/>
          <w:sz w:val="24"/>
          <w:szCs w:val="24"/>
          <w:highlight w:val="none"/>
        </w:rPr>
        <w:t>，现向贵机关提起投诉：</w:t>
      </w:r>
    </w:p>
    <w:p w14:paraId="32DD6689">
      <w:pPr>
        <w:keepNext w:val="0"/>
        <w:keepLines w:val="0"/>
        <w:pageBreakBefore w:val="0"/>
        <w:widowControl w:val="0"/>
        <w:kinsoku/>
        <w:wordWrap/>
        <w:overflowPunct/>
        <w:topLinePunct w:val="0"/>
        <w:autoSpaceDE w:val="0"/>
        <w:autoSpaceDN w:val="0"/>
        <w:bidi w:val="0"/>
        <w:adjustRightInd/>
        <w:snapToGrid/>
        <w:spacing w:line="312"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u w:val="single"/>
        </w:rPr>
        <w:t>具体的投诉事项及事实依据；</w:t>
      </w:r>
    </w:p>
    <w:p w14:paraId="5A8B6287">
      <w:pPr>
        <w:keepNext w:val="0"/>
        <w:keepLines w:val="0"/>
        <w:pageBreakBefore w:val="0"/>
        <w:widowControl w:val="0"/>
        <w:kinsoku/>
        <w:wordWrap/>
        <w:overflowPunct/>
        <w:topLinePunct w:val="0"/>
        <w:autoSpaceDE w:val="0"/>
        <w:autoSpaceDN w:val="0"/>
        <w:bidi w:val="0"/>
        <w:adjustRightInd/>
        <w:snapToGrid/>
        <w:spacing w:line="312"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u w:val="single"/>
        </w:rPr>
        <w:t>质疑和质疑答复情况简要描述；</w:t>
      </w:r>
    </w:p>
    <w:p w14:paraId="56C6AA6B">
      <w:pPr>
        <w:keepNext w:val="0"/>
        <w:keepLines w:val="0"/>
        <w:pageBreakBefore w:val="0"/>
        <w:widowControl w:val="0"/>
        <w:kinsoku/>
        <w:wordWrap/>
        <w:overflowPunct/>
        <w:topLinePunct w:val="0"/>
        <w:autoSpaceDE w:val="0"/>
        <w:autoSpaceDN w:val="0"/>
        <w:bidi w:val="0"/>
        <w:adjustRightInd/>
        <w:snapToGrid/>
        <w:spacing w:line="312"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u w:val="single"/>
        </w:rPr>
        <w:t>投诉请求</w:t>
      </w:r>
      <w:r>
        <w:rPr>
          <w:rFonts w:hint="eastAsia" w:ascii="宋体" w:hAnsi="宋体" w:eastAsia="宋体" w:cs="宋体"/>
          <w:sz w:val="24"/>
          <w:szCs w:val="24"/>
          <w:highlight w:val="none"/>
        </w:rPr>
        <w:t>。</w:t>
      </w:r>
    </w:p>
    <w:p w14:paraId="107B6FB4">
      <w:pPr>
        <w:keepNext w:val="0"/>
        <w:keepLines w:val="0"/>
        <w:pageBreakBefore w:val="0"/>
        <w:widowControl w:val="0"/>
        <w:kinsoku/>
        <w:wordWrap/>
        <w:overflowPunct/>
        <w:topLinePunct w:val="0"/>
        <w:autoSpaceDE w:val="0"/>
        <w:autoSpaceDN w:val="0"/>
        <w:bidi w:val="0"/>
        <w:adjustRightInd/>
        <w:snapToGrid/>
        <w:spacing w:line="312"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附件：</w:t>
      </w:r>
    </w:p>
    <w:p w14:paraId="17B40438">
      <w:pPr>
        <w:keepNext w:val="0"/>
        <w:keepLines w:val="0"/>
        <w:pageBreakBefore w:val="0"/>
        <w:widowControl w:val="0"/>
        <w:kinsoku/>
        <w:wordWrap/>
        <w:overflowPunct/>
        <w:topLinePunct w:val="0"/>
        <w:autoSpaceDE w:val="0"/>
        <w:autoSpaceDN w:val="0"/>
        <w:bidi w:val="0"/>
        <w:adjustRightInd/>
        <w:snapToGrid/>
        <w:spacing w:line="312"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质疑书和质疑答复书；</w:t>
      </w:r>
    </w:p>
    <w:p w14:paraId="6C7D484E">
      <w:pPr>
        <w:keepNext w:val="0"/>
        <w:keepLines w:val="0"/>
        <w:pageBreakBefore w:val="0"/>
        <w:widowControl w:val="0"/>
        <w:kinsoku/>
        <w:wordWrap/>
        <w:overflowPunct/>
        <w:topLinePunct w:val="0"/>
        <w:autoSpaceDE w:val="0"/>
        <w:autoSpaceDN w:val="0"/>
        <w:bidi w:val="0"/>
        <w:adjustRightInd/>
        <w:snapToGrid/>
        <w:spacing w:line="312"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证据材料（需注明证据来源），证人的姓名、住址和联系方式等；</w:t>
      </w:r>
    </w:p>
    <w:p w14:paraId="6A453D77">
      <w:pPr>
        <w:keepNext w:val="0"/>
        <w:keepLines w:val="0"/>
        <w:pageBreakBefore w:val="0"/>
        <w:widowControl w:val="0"/>
        <w:kinsoku/>
        <w:wordWrap/>
        <w:overflowPunct/>
        <w:topLinePunct w:val="0"/>
        <w:autoSpaceDE w:val="0"/>
        <w:autoSpaceDN w:val="0"/>
        <w:bidi w:val="0"/>
        <w:adjustRightInd/>
        <w:snapToGrid/>
        <w:spacing w:line="312"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营业执照；</w:t>
      </w:r>
    </w:p>
    <w:p w14:paraId="5499EFC6">
      <w:pPr>
        <w:keepNext w:val="0"/>
        <w:keepLines w:val="0"/>
        <w:pageBreakBefore w:val="0"/>
        <w:widowControl w:val="0"/>
        <w:kinsoku/>
        <w:wordWrap/>
        <w:overflowPunct/>
        <w:topLinePunct w:val="0"/>
        <w:autoSpaceDE w:val="0"/>
        <w:autoSpaceDN w:val="0"/>
        <w:bidi w:val="0"/>
        <w:adjustRightInd/>
        <w:snapToGrid/>
        <w:spacing w:line="312"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法定代表人身份证明函</w:t>
      </w:r>
    </w:p>
    <w:p w14:paraId="7B5B8054">
      <w:pPr>
        <w:keepNext w:val="0"/>
        <w:keepLines w:val="0"/>
        <w:pageBreakBefore w:val="0"/>
        <w:widowControl w:val="0"/>
        <w:kinsoku/>
        <w:wordWrap/>
        <w:overflowPunct/>
        <w:topLinePunct w:val="0"/>
        <w:autoSpaceDE w:val="0"/>
        <w:autoSpaceDN w:val="0"/>
        <w:bidi w:val="0"/>
        <w:adjustRightInd/>
        <w:snapToGrid/>
        <w:spacing w:line="312"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法定代表人授权委托书（包含法定代表人和委托代理人的身份证复印件）；</w:t>
      </w:r>
    </w:p>
    <w:p w14:paraId="1BD04DDD">
      <w:pPr>
        <w:keepNext w:val="0"/>
        <w:keepLines w:val="0"/>
        <w:pageBreakBefore w:val="0"/>
        <w:widowControl w:val="0"/>
        <w:kinsoku/>
        <w:wordWrap/>
        <w:overflowPunct/>
        <w:topLinePunct w:val="0"/>
        <w:autoSpaceDE w:val="0"/>
        <w:autoSpaceDN w:val="0"/>
        <w:bidi w:val="0"/>
        <w:adjustRightInd/>
        <w:snapToGrid/>
        <w:spacing w:line="312"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政府采购监管部门认为应当提供的其它材料。</w:t>
      </w:r>
    </w:p>
    <w:p w14:paraId="7BC57D0B">
      <w:pPr>
        <w:keepNext w:val="0"/>
        <w:keepLines w:val="0"/>
        <w:pageBreakBefore w:val="0"/>
        <w:widowControl w:val="0"/>
        <w:kinsoku/>
        <w:wordWrap/>
        <w:overflowPunct/>
        <w:topLinePunct w:val="0"/>
        <w:autoSpaceDE w:val="0"/>
        <w:autoSpaceDN w:val="0"/>
        <w:bidi w:val="0"/>
        <w:adjustRightInd/>
        <w:snapToGrid/>
        <w:spacing w:line="312" w:lineRule="auto"/>
        <w:ind w:firstLine="480" w:firstLineChars="200"/>
        <w:textAlignment w:val="auto"/>
        <w:rPr>
          <w:rFonts w:hint="eastAsia" w:ascii="宋体" w:hAnsi="宋体" w:eastAsia="宋体" w:cs="宋体"/>
          <w:sz w:val="24"/>
          <w:szCs w:val="24"/>
          <w:highlight w:val="none"/>
        </w:rPr>
      </w:pPr>
    </w:p>
    <w:p w14:paraId="28925132">
      <w:pPr>
        <w:keepNext w:val="0"/>
        <w:keepLines w:val="0"/>
        <w:pageBreakBefore w:val="0"/>
        <w:widowControl w:val="0"/>
        <w:kinsoku/>
        <w:wordWrap/>
        <w:overflowPunct/>
        <w:topLinePunct w:val="0"/>
        <w:autoSpaceDE w:val="0"/>
        <w:autoSpaceDN w:val="0"/>
        <w:bidi w:val="0"/>
        <w:adjustRightInd/>
        <w:snapToGrid/>
        <w:spacing w:line="312" w:lineRule="auto"/>
        <w:ind w:firstLine="480" w:firstLineChars="200"/>
        <w:textAlignment w:val="auto"/>
        <w:rPr>
          <w:rFonts w:hint="eastAsia" w:ascii="宋体" w:hAnsi="宋体" w:eastAsia="宋体" w:cs="宋体"/>
          <w:sz w:val="24"/>
          <w:szCs w:val="24"/>
          <w:highlight w:val="none"/>
        </w:rPr>
      </w:pPr>
    </w:p>
    <w:p w14:paraId="0278E0C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righ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投诉供应商：</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（盖章）</w:t>
      </w:r>
    </w:p>
    <w:p w14:paraId="12A5E73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righ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法定代表人（或主要负责人）：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（签字）</w:t>
      </w:r>
    </w:p>
    <w:p w14:paraId="6A05746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right"/>
        <w:textAlignment w:val="auto"/>
        <w:rPr>
          <w:rFonts w:hint="eastAsia" w:ascii="宋体" w:hAnsi="宋体" w:eastAsia="宋体" w:cs="宋体"/>
          <w:sz w:val="16"/>
          <w:highlight w:val="none"/>
        </w:rPr>
      </w:pP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ab/>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ab/>
      </w:r>
      <w:r>
        <w:rPr>
          <w:rFonts w:hint="eastAsia" w:ascii="宋体" w:hAnsi="宋体" w:eastAsia="宋体" w:cs="宋体"/>
          <w:sz w:val="24"/>
          <w:szCs w:val="24"/>
          <w:highlight w:val="none"/>
        </w:rPr>
        <w:t>日</w:t>
      </w:r>
    </w:p>
    <w:p w14:paraId="4B32E1EE">
      <w:pPr>
        <w:jc w:val="right"/>
        <w:rPr>
          <w:rFonts w:hint="eastAsia" w:ascii="宋体" w:hAnsi="宋体" w:eastAsia="宋体" w:cs="宋体"/>
          <w:highlight w:val="none"/>
        </w:rPr>
      </w:pPr>
      <w:r>
        <w:rPr>
          <w:rFonts w:hint="eastAsia" w:ascii="宋体" w:hAnsi="宋体" w:eastAsia="宋体" w:cs="宋体"/>
          <w:highlight w:val="none"/>
        </w:rPr>
        <w:t>本投诉书正本叁份，副本</w:t>
      </w:r>
      <w:r>
        <w:rPr>
          <w:rFonts w:hint="eastAsia" w:ascii="宋体" w:hAnsi="宋体" w:eastAsia="宋体" w:cs="宋体"/>
          <w:highlight w:val="none"/>
          <w:u w:val="single"/>
        </w:rPr>
        <w:t xml:space="preserve"> </w:t>
      </w:r>
      <w:r>
        <w:rPr>
          <w:rFonts w:hint="eastAsia" w:ascii="宋体" w:hAnsi="宋体" w:eastAsia="宋体" w:cs="宋体"/>
          <w:highlight w:val="none"/>
          <w:u w:val="single"/>
        </w:rPr>
        <w:tab/>
      </w:r>
      <w:r>
        <w:rPr>
          <w:rFonts w:hint="eastAsia" w:ascii="宋体" w:hAnsi="宋体" w:eastAsia="宋体" w:cs="宋体"/>
          <w:highlight w:val="none"/>
        </w:rPr>
        <w:t>份并附电子文档。</w:t>
      </w:r>
    </w:p>
    <w:p w14:paraId="74209820">
      <w:pPr>
        <w:pageBreakBefore w:val="0"/>
        <w:kinsoku/>
        <w:wordWrap/>
        <w:overflowPunct/>
        <w:topLinePunct w:val="0"/>
        <w:autoSpaceDE w:val="0"/>
        <w:autoSpaceDN w:val="0"/>
        <w:bidi w:val="0"/>
        <w:adjustRightInd/>
        <w:snapToGrid/>
        <w:spacing w:before="0" w:beforeLines="0" w:after="0" w:afterLines="0" w:line="360" w:lineRule="auto"/>
        <w:ind w:right="0"/>
        <w:jc w:val="center"/>
        <w:outlineLvl w:val="9"/>
        <w:rPr>
          <w:rFonts w:hint="eastAsia" w:ascii="宋体" w:hAnsi="宋体" w:eastAsia="宋体" w:cs="宋体"/>
          <w:sz w:val="24"/>
          <w:szCs w:val="24"/>
          <w:highlight w:val="none"/>
        </w:rPr>
      </w:pPr>
      <w:r>
        <w:rPr>
          <w:rFonts w:hint="eastAsia" w:ascii="宋体" w:hAnsi="宋体" w:eastAsia="宋体" w:cs="宋体"/>
          <w:highlight w:val="none"/>
        </w:rPr>
        <w:br w:type="page"/>
      </w:r>
      <w:r>
        <w:rPr>
          <w:rFonts w:hint="eastAsia" w:ascii="宋体" w:hAnsi="宋体" w:eastAsia="宋体" w:cs="宋体"/>
          <w:b/>
          <w:bCs/>
          <w:sz w:val="24"/>
          <w:szCs w:val="24"/>
          <w:highlight w:val="none"/>
        </w:rPr>
        <w:t>质疑函范本</w:t>
      </w:r>
    </w:p>
    <w:p w14:paraId="78D225CC">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highlight w:val="none"/>
        </w:rPr>
      </w:pPr>
    </w:p>
    <w:p w14:paraId="5FAF17A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bookmarkStart w:id="38" w:name="一、质疑供应商基本信息"/>
      <w:bookmarkEnd w:id="38"/>
      <w:r>
        <w:rPr>
          <w:rFonts w:hint="eastAsia" w:ascii="宋体" w:hAnsi="宋体" w:eastAsia="宋体" w:cs="宋体"/>
          <w:sz w:val="24"/>
          <w:szCs w:val="24"/>
          <w:highlight w:val="none"/>
        </w:rPr>
        <w:t>一、质疑供应商基本信息</w:t>
      </w:r>
    </w:p>
    <w:p w14:paraId="0621BDD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质疑供应商：</w:t>
      </w:r>
      <w:r>
        <w:rPr>
          <w:rFonts w:hint="eastAsia" w:ascii="宋体" w:hAnsi="宋体" w:eastAsia="宋体" w:cs="宋体"/>
          <w:sz w:val="24"/>
          <w:szCs w:val="24"/>
          <w:highlight w:val="none"/>
          <w:u w:val="single"/>
          <w:lang w:val="en-US" w:eastAsia="zh-CN"/>
        </w:rPr>
        <w:t xml:space="preserve">                             </w:t>
      </w:r>
    </w:p>
    <w:p w14:paraId="5174336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地址：</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 xml:space="preserve">邮编： </w:t>
      </w:r>
      <w:r>
        <w:rPr>
          <w:rFonts w:hint="eastAsia" w:ascii="宋体" w:hAnsi="宋体" w:eastAsia="宋体" w:cs="宋体"/>
          <w:sz w:val="24"/>
          <w:szCs w:val="24"/>
          <w:highlight w:val="none"/>
          <w:u w:val="single"/>
          <w:lang w:val="en-US" w:eastAsia="zh-CN"/>
        </w:rPr>
        <w:t xml:space="preserve">                             </w:t>
      </w:r>
    </w:p>
    <w:p w14:paraId="5F401D8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联系人：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ab/>
      </w:r>
      <w:r>
        <w:rPr>
          <w:rFonts w:hint="eastAsia" w:ascii="宋体" w:hAnsi="宋体" w:eastAsia="宋体" w:cs="宋体"/>
          <w:sz w:val="24"/>
          <w:szCs w:val="24"/>
          <w:highlight w:val="none"/>
        </w:rPr>
        <w:t xml:space="preserve">联系电话： </w:t>
      </w:r>
      <w:r>
        <w:rPr>
          <w:rFonts w:hint="eastAsia" w:ascii="宋体" w:hAnsi="宋体" w:eastAsia="宋体" w:cs="宋体"/>
          <w:sz w:val="24"/>
          <w:szCs w:val="24"/>
          <w:highlight w:val="none"/>
          <w:u w:val="single"/>
          <w:lang w:val="en-US" w:eastAsia="zh-CN"/>
        </w:rPr>
        <w:t xml:space="preserve">                             </w:t>
      </w:r>
    </w:p>
    <w:p w14:paraId="6F7FF0D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授权代表：</w:t>
      </w:r>
      <w:r>
        <w:rPr>
          <w:rFonts w:hint="eastAsia" w:ascii="宋体" w:hAnsi="宋体" w:eastAsia="宋体" w:cs="宋体"/>
          <w:sz w:val="24"/>
          <w:szCs w:val="24"/>
          <w:highlight w:val="none"/>
          <w:u w:val="single"/>
          <w:lang w:val="en-US" w:eastAsia="zh-CN"/>
        </w:rPr>
        <w:t xml:space="preserve">                             </w:t>
      </w:r>
    </w:p>
    <w:p w14:paraId="030F4C7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联系电话： </w:t>
      </w:r>
      <w:r>
        <w:rPr>
          <w:rFonts w:hint="eastAsia" w:ascii="宋体" w:hAnsi="宋体" w:eastAsia="宋体" w:cs="宋体"/>
          <w:sz w:val="24"/>
          <w:szCs w:val="24"/>
          <w:highlight w:val="none"/>
          <w:u w:val="single"/>
          <w:lang w:val="en-US" w:eastAsia="zh-CN"/>
        </w:rPr>
        <w:t xml:space="preserve">                             </w:t>
      </w:r>
    </w:p>
    <w:p w14:paraId="395CADF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地址：</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邮编：</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ab/>
      </w:r>
    </w:p>
    <w:p w14:paraId="09FC0EB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bookmarkStart w:id="39" w:name="二、质疑项目基本情况"/>
      <w:bookmarkEnd w:id="39"/>
      <w:r>
        <w:rPr>
          <w:rFonts w:hint="eastAsia" w:ascii="宋体" w:hAnsi="宋体" w:eastAsia="宋体" w:cs="宋体"/>
          <w:sz w:val="24"/>
          <w:szCs w:val="24"/>
          <w:highlight w:val="none"/>
        </w:rPr>
        <w:t>二、质疑项目基本情况</w:t>
      </w:r>
    </w:p>
    <w:p w14:paraId="409C1BA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质疑项目的名称： </w:t>
      </w:r>
      <w:r>
        <w:rPr>
          <w:rFonts w:hint="eastAsia" w:ascii="宋体" w:hAnsi="宋体" w:eastAsia="宋体" w:cs="宋体"/>
          <w:sz w:val="24"/>
          <w:szCs w:val="24"/>
          <w:highlight w:val="none"/>
          <w:u w:val="single"/>
          <w:lang w:val="en-US" w:eastAsia="zh-CN"/>
        </w:rPr>
        <w:t xml:space="preserve">                             </w:t>
      </w:r>
    </w:p>
    <w:p w14:paraId="07125BA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质疑项目的编号： </w:t>
      </w:r>
      <w:r>
        <w:rPr>
          <w:rFonts w:hint="eastAsia" w:ascii="宋体" w:hAnsi="宋体" w:eastAsia="宋体" w:cs="宋体"/>
          <w:sz w:val="24"/>
          <w:szCs w:val="24"/>
          <w:highlight w:val="none"/>
        </w:rPr>
        <w:tab/>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包号：</w:t>
      </w:r>
      <w:r>
        <w:rPr>
          <w:rFonts w:hint="eastAsia" w:ascii="宋体" w:hAnsi="宋体" w:eastAsia="宋体" w:cs="宋体"/>
          <w:sz w:val="24"/>
          <w:szCs w:val="24"/>
          <w:highlight w:val="none"/>
          <w:u w:val="single"/>
          <w:lang w:val="en-US" w:eastAsia="zh-CN"/>
        </w:rPr>
        <w:t xml:space="preserve">                         </w:t>
      </w:r>
    </w:p>
    <w:p w14:paraId="53D3592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采购人名称： </w:t>
      </w:r>
      <w:r>
        <w:rPr>
          <w:rFonts w:hint="eastAsia" w:ascii="宋体" w:hAnsi="宋体" w:eastAsia="宋体" w:cs="宋体"/>
          <w:sz w:val="24"/>
          <w:szCs w:val="24"/>
          <w:highlight w:val="none"/>
          <w:u w:val="single"/>
          <w:lang w:val="en-US" w:eastAsia="zh-CN"/>
        </w:rPr>
        <w:t xml:space="preserve">                             </w:t>
      </w:r>
    </w:p>
    <w:p w14:paraId="75C5B5D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采购文件获取日期：</w:t>
      </w:r>
      <w:r>
        <w:rPr>
          <w:rFonts w:hint="eastAsia" w:ascii="宋体" w:hAnsi="宋体" w:eastAsia="宋体" w:cs="宋体"/>
          <w:sz w:val="24"/>
          <w:szCs w:val="24"/>
          <w:highlight w:val="none"/>
          <w:u w:val="single"/>
          <w:lang w:val="en-US" w:eastAsia="zh-CN"/>
        </w:rPr>
        <w:t xml:space="preserve">                             </w:t>
      </w:r>
    </w:p>
    <w:p w14:paraId="12E3C11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bookmarkStart w:id="40" w:name="三、质疑事项具体内容"/>
      <w:bookmarkEnd w:id="40"/>
      <w:r>
        <w:rPr>
          <w:rFonts w:hint="eastAsia" w:ascii="宋体" w:hAnsi="宋体" w:eastAsia="宋体" w:cs="宋体"/>
          <w:sz w:val="24"/>
          <w:szCs w:val="24"/>
          <w:highlight w:val="none"/>
        </w:rPr>
        <w:t>三、质疑事项具体内容</w:t>
      </w:r>
    </w:p>
    <w:p w14:paraId="56658BB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质疑事项1：</w:t>
      </w:r>
      <w:r>
        <w:rPr>
          <w:rFonts w:hint="eastAsia" w:ascii="宋体" w:hAnsi="宋体" w:eastAsia="宋体" w:cs="宋体"/>
          <w:sz w:val="24"/>
          <w:szCs w:val="24"/>
          <w:highlight w:val="none"/>
          <w:u w:val="single"/>
          <w:lang w:val="en-US" w:eastAsia="zh-CN"/>
        </w:rPr>
        <w:t xml:space="preserve">                             </w:t>
      </w:r>
    </w:p>
    <w:p w14:paraId="164BB63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事实依据：</w:t>
      </w:r>
      <w:r>
        <w:rPr>
          <w:rFonts w:hint="eastAsia" w:ascii="宋体" w:hAnsi="宋体" w:eastAsia="宋体" w:cs="宋体"/>
          <w:sz w:val="24"/>
          <w:szCs w:val="24"/>
          <w:highlight w:val="none"/>
          <w:u w:val="single"/>
          <w:lang w:val="en-US" w:eastAsia="zh-CN"/>
        </w:rPr>
        <w:t xml:space="preserve">                             </w:t>
      </w:r>
    </w:p>
    <w:p w14:paraId="06C4949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法律依据：</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ab/>
      </w:r>
    </w:p>
    <w:p w14:paraId="309F510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质疑事项2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u w:val="single"/>
          <w:lang w:val="en-US" w:eastAsia="zh-CN"/>
        </w:rPr>
        <w:t xml:space="preserve">                             </w:t>
      </w:r>
    </w:p>
    <w:p w14:paraId="04503D0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p>
    <w:p w14:paraId="1C7A07A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bookmarkStart w:id="41" w:name="四、与质疑事项相关的质疑请求"/>
      <w:bookmarkEnd w:id="41"/>
      <w:r>
        <w:rPr>
          <w:rFonts w:hint="eastAsia" w:ascii="宋体" w:hAnsi="宋体" w:eastAsia="宋体" w:cs="宋体"/>
          <w:sz w:val="24"/>
          <w:szCs w:val="24"/>
          <w:highlight w:val="none"/>
        </w:rPr>
        <w:t>四、与质疑事项相关的质疑请求</w:t>
      </w:r>
    </w:p>
    <w:p w14:paraId="75A3DB8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请求：</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ab/>
      </w:r>
    </w:p>
    <w:p w14:paraId="631517B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p>
    <w:p w14:paraId="0146822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b/>
          <w:bCs/>
          <w:sz w:val="24"/>
          <w:szCs w:val="24"/>
          <w:highlight w:val="none"/>
        </w:rPr>
      </w:pPr>
      <w:r>
        <w:rPr>
          <w:rFonts w:hint="eastAsia" w:ascii="宋体" w:hAnsi="宋体" w:eastAsia="宋体" w:cs="宋体"/>
          <w:sz w:val="24"/>
          <w:szCs w:val="24"/>
          <w:highlight w:val="none"/>
        </w:rPr>
        <w:t>签字(签章)：</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ab/>
      </w:r>
      <w:r>
        <w:rPr>
          <w:rFonts w:hint="eastAsia" w:ascii="宋体" w:hAnsi="宋体" w:eastAsia="宋体" w:cs="宋体"/>
          <w:sz w:val="24"/>
          <w:szCs w:val="24"/>
          <w:highlight w:val="none"/>
        </w:rPr>
        <w:t>公章：</w:t>
      </w:r>
      <w:r>
        <w:rPr>
          <w:rFonts w:hint="eastAsia" w:ascii="宋体" w:hAnsi="宋体" w:eastAsia="宋体" w:cs="宋体"/>
          <w:sz w:val="24"/>
          <w:szCs w:val="24"/>
          <w:highlight w:val="none"/>
          <w:u w:val="single"/>
          <w:lang w:val="en-US" w:eastAsia="zh-CN"/>
        </w:rPr>
        <w:t xml:space="preserve">                             </w:t>
      </w:r>
    </w:p>
    <w:p w14:paraId="45031DD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日期：</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eastAsia="zh-CN"/>
        </w:rPr>
        <w:t>年</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eastAsia="zh-CN"/>
        </w:rPr>
        <w:t>月</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eastAsia="zh-CN"/>
        </w:rPr>
        <w:t>日</w:t>
      </w:r>
    </w:p>
    <w:p w14:paraId="17618BBC">
      <w:pPr>
        <w:pStyle w:val="2"/>
        <w:numPr>
          <w:ilvl w:val="0"/>
          <w:numId w:val="0"/>
        </w:numPr>
        <w:bidi w:val="0"/>
        <w:ind w:leftChars="0"/>
        <w:jc w:val="both"/>
        <w:rPr>
          <w:rFonts w:hint="eastAsia" w:ascii="宋体" w:hAnsi="宋体" w:eastAsia="宋体" w:cs="宋体"/>
          <w:sz w:val="32"/>
          <w:szCs w:val="32"/>
          <w:highlight w:val="none"/>
        </w:rPr>
      </w:pPr>
      <w:r>
        <w:rPr>
          <w:rFonts w:hint="eastAsia" w:ascii="宋体" w:hAnsi="宋体" w:eastAsia="宋体" w:cs="宋体"/>
          <w:sz w:val="24"/>
          <w:szCs w:val="24"/>
          <w:highlight w:val="none"/>
        </w:rPr>
        <w:br w:type="page"/>
      </w:r>
      <w:bookmarkStart w:id="42" w:name="_Toc15101"/>
      <w:r>
        <w:rPr>
          <w:rFonts w:hint="eastAsia" w:ascii="宋体" w:hAnsi="宋体" w:eastAsia="宋体" w:cs="宋体"/>
          <w:sz w:val="24"/>
          <w:szCs w:val="24"/>
          <w:highlight w:val="none"/>
          <w:lang w:val="en-US" w:eastAsia="zh-CN"/>
        </w:rPr>
        <w:t xml:space="preserve">                         </w:t>
      </w:r>
      <w:r>
        <w:rPr>
          <w:rFonts w:hint="eastAsia" w:ascii="宋体" w:hAnsi="宋体" w:eastAsia="宋体" w:cs="宋体"/>
          <w:sz w:val="32"/>
          <w:szCs w:val="32"/>
          <w:highlight w:val="none"/>
        </w:rPr>
        <w:t>第三章</w:t>
      </w:r>
      <w:r>
        <w:rPr>
          <w:rFonts w:hint="eastAsia" w:ascii="宋体" w:hAnsi="宋体" w:eastAsia="宋体" w:cs="宋体"/>
          <w:sz w:val="32"/>
          <w:szCs w:val="32"/>
          <w:highlight w:val="none"/>
          <w:lang w:eastAsia="zh-CN"/>
        </w:rPr>
        <w:t>、</w:t>
      </w:r>
      <w:r>
        <w:rPr>
          <w:rFonts w:hint="eastAsia" w:ascii="宋体" w:hAnsi="宋体" w:eastAsia="宋体" w:cs="宋体"/>
          <w:sz w:val="32"/>
          <w:szCs w:val="32"/>
          <w:highlight w:val="none"/>
        </w:rPr>
        <w:tab/>
      </w:r>
      <w:r>
        <w:rPr>
          <w:rFonts w:hint="eastAsia" w:ascii="宋体" w:hAnsi="宋体" w:eastAsia="宋体" w:cs="宋体"/>
          <w:sz w:val="32"/>
          <w:szCs w:val="32"/>
          <w:highlight w:val="none"/>
        </w:rPr>
        <w:t>评标办法</w:t>
      </w:r>
      <w:bookmarkEnd w:id="42"/>
    </w:p>
    <w:p w14:paraId="09FA7B28">
      <w:pPr>
        <w:pStyle w:val="3"/>
        <w:numPr>
          <w:ilvl w:val="0"/>
          <w:numId w:val="0"/>
        </w:numPr>
        <w:bidi w:val="0"/>
        <w:rPr>
          <w:rFonts w:hint="eastAsia" w:ascii="宋体" w:hAnsi="宋体" w:eastAsia="宋体" w:cs="宋体"/>
          <w:b/>
          <w:sz w:val="24"/>
          <w:szCs w:val="24"/>
          <w:highlight w:val="none"/>
        </w:rPr>
      </w:pPr>
      <w:bookmarkStart w:id="43" w:name="一  总  则"/>
      <w:bookmarkEnd w:id="43"/>
      <w:bookmarkStart w:id="44" w:name="_bookmark4"/>
      <w:bookmarkEnd w:id="44"/>
      <w:bookmarkStart w:id="45" w:name="_Toc9583"/>
      <w:r>
        <w:rPr>
          <w:rFonts w:hint="eastAsia" w:ascii="宋体" w:hAnsi="宋体" w:eastAsia="宋体" w:cs="宋体"/>
          <w:sz w:val="24"/>
          <w:szCs w:val="24"/>
          <w:highlight w:val="none"/>
        </w:rPr>
        <w:t>一</w:t>
      </w:r>
      <w:r>
        <w:rPr>
          <w:rFonts w:hint="eastAsia" w:ascii="宋体" w:hAnsi="宋体" w:eastAsia="宋体" w:cs="宋体"/>
          <w:sz w:val="24"/>
          <w:szCs w:val="24"/>
          <w:highlight w:val="none"/>
        </w:rPr>
        <w:tab/>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总</w:t>
      </w:r>
      <w:r>
        <w:rPr>
          <w:rFonts w:hint="eastAsia" w:ascii="宋体" w:hAnsi="宋体" w:eastAsia="宋体" w:cs="宋体"/>
          <w:sz w:val="24"/>
          <w:szCs w:val="24"/>
          <w:highlight w:val="none"/>
        </w:rPr>
        <w:tab/>
      </w:r>
      <w:r>
        <w:rPr>
          <w:rFonts w:hint="eastAsia" w:ascii="宋体" w:hAnsi="宋体" w:eastAsia="宋体" w:cs="宋体"/>
          <w:sz w:val="24"/>
          <w:szCs w:val="24"/>
          <w:highlight w:val="none"/>
        </w:rPr>
        <w:t>则</w:t>
      </w:r>
      <w:bookmarkEnd w:id="45"/>
    </w:p>
    <w:p w14:paraId="2384CC5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1、一般规定</w:t>
      </w:r>
    </w:p>
    <w:p w14:paraId="7753177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rPr>
        <w:t>本项目的招标按照《中华人民共和国政府采购法》、《政府采购服务和服务招标磋商管理办法》、《政府采购竞争性磋商采购方式管理暂行办法》及政府采购的有关规定进行。</w:t>
      </w:r>
    </w:p>
    <w:p w14:paraId="3E9A61F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1.2</w:t>
      </w:r>
      <w:r>
        <w:rPr>
          <w:rFonts w:hint="eastAsia" w:ascii="宋体" w:hAnsi="宋体" w:eastAsia="宋体" w:cs="宋体"/>
          <w:sz w:val="24"/>
          <w:szCs w:val="24"/>
          <w:highlight w:val="none"/>
        </w:rPr>
        <w:t>评标必须遵循公开、公平、公正、诚实信用的原则。</w:t>
      </w:r>
    </w:p>
    <w:p w14:paraId="7D91831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1.3</w:t>
      </w:r>
      <w:r>
        <w:rPr>
          <w:rFonts w:hint="eastAsia" w:ascii="宋体" w:hAnsi="宋体" w:eastAsia="宋体" w:cs="宋体"/>
          <w:sz w:val="24"/>
          <w:szCs w:val="24"/>
          <w:highlight w:val="none"/>
        </w:rPr>
        <w:t>招标代理机构组织招标、开标、评标工作，全过程接受政府采购有关部门的监督、管理和指导。</w:t>
      </w:r>
    </w:p>
    <w:p w14:paraId="77883A7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1.4</w:t>
      </w:r>
      <w:r>
        <w:rPr>
          <w:rFonts w:hint="eastAsia" w:ascii="宋体" w:hAnsi="宋体" w:eastAsia="宋体" w:cs="宋体"/>
          <w:sz w:val="24"/>
          <w:szCs w:val="24"/>
          <w:highlight w:val="none"/>
        </w:rPr>
        <w:t>评标按照磋商文件规定的内容进行，采取综合比较和分项打分相结合的评标方法（综合评分法），避免纯技术或纯经济的倾向。</w:t>
      </w:r>
    </w:p>
    <w:p w14:paraId="2F14D26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1.5</w:t>
      </w:r>
      <w:r>
        <w:rPr>
          <w:rFonts w:hint="eastAsia" w:ascii="宋体" w:hAnsi="宋体" w:eastAsia="宋体" w:cs="宋体"/>
          <w:sz w:val="24"/>
          <w:szCs w:val="24"/>
          <w:highlight w:val="none"/>
        </w:rPr>
        <w:t>本办法的评标对象是指供应商按照磋商文件要求提供的有效响应文件，包括供应商应磋商小组要求对原响应文件作出的正式书面澄清文件。</w:t>
      </w:r>
    </w:p>
    <w:p w14:paraId="4FA252D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2、磋商组织机构的组成</w:t>
      </w:r>
    </w:p>
    <w:p w14:paraId="791ABFA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2.1</w:t>
      </w:r>
      <w:r>
        <w:rPr>
          <w:rFonts w:hint="eastAsia" w:ascii="宋体" w:hAnsi="宋体" w:eastAsia="宋体" w:cs="宋体"/>
          <w:sz w:val="24"/>
          <w:szCs w:val="24"/>
          <w:highlight w:val="none"/>
        </w:rPr>
        <w:t>磋商小组成员由招标人的代表和随机抽取的有关方面的专家2名组成，成员为3人，磋商小组的成员在评标过程中必须严格遵守政府采购的有关规定。专家从当地专家库中随机抽取产生。</w:t>
      </w:r>
    </w:p>
    <w:p w14:paraId="481CB4C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2.2</w:t>
      </w:r>
      <w:r>
        <w:rPr>
          <w:rFonts w:hint="eastAsia" w:ascii="宋体" w:hAnsi="宋体" w:eastAsia="宋体" w:cs="宋体"/>
          <w:sz w:val="24"/>
          <w:szCs w:val="24"/>
          <w:highlight w:val="none"/>
        </w:rPr>
        <w:t>评标工作组由招标人及有关专家组成，由磋商小组确认，并接受其领导。</w:t>
      </w:r>
    </w:p>
    <w:p w14:paraId="5EA0331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2.3</w:t>
      </w:r>
      <w:r>
        <w:rPr>
          <w:rFonts w:hint="eastAsia" w:ascii="宋体" w:hAnsi="宋体" w:eastAsia="宋体" w:cs="宋体"/>
          <w:sz w:val="24"/>
          <w:szCs w:val="24"/>
          <w:highlight w:val="none"/>
        </w:rPr>
        <w:t>磋商小组应相对独立工作，负责评标、撰写技术、商务评标报告。采购代理机构负责评标过程中资料的保管、发放、回收，整理、汇总评标资料。</w:t>
      </w:r>
    </w:p>
    <w:p w14:paraId="446C6C6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3、磋商小组职责</w:t>
      </w:r>
    </w:p>
    <w:p w14:paraId="45609AB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3.1</w:t>
      </w:r>
      <w:r>
        <w:rPr>
          <w:rFonts w:hint="eastAsia" w:ascii="宋体" w:hAnsi="宋体" w:eastAsia="宋体" w:cs="宋体"/>
          <w:sz w:val="24"/>
          <w:szCs w:val="24"/>
          <w:highlight w:val="none"/>
        </w:rPr>
        <w:t>审查磋商文件是否符合磋商文件要求，并作出评价；</w:t>
      </w:r>
    </w:p>
    <w:p w14:paraId="566FED2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3.2</w:t>
      </w:r>
      <w:r>
        <w:rPr>
          <w:rFonts w:hint="eastAsia" w:ascii="宋体" w:hAnsi="宋体" w:eastAsia="宋体" w:cs="宋体"/>
          <w:sz w:val="24"/>
          <w:szCs w:val="24"/>
          <w:highlight w:val="none"/>
        </w:rPr>
        <w:t>要求供应商对磋商文件有关事项作出解释或者澄清；</w:t>
      </w:r>
    </w:p>
    <w:p w14:paraId="586BFD2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3.3</w:t>
      </w:r>
      <w:r>
        <w:rPr>
          <w:rFonts w:hint="eastAsia" w:ascii="宋体" w:hAnsi="宋体" w:eastAsia="宋体" w:cs="宋体"/>
          <w:sz w:val="24"/>
          <w:szCs w:val="24"/>
          <w:highlight w:val="none"/>
        </w:rPr>
        <w:t>推荐成交候选人名单；</w:t>
      </w:r>
    </w:p>
    <w:p w14:paraId="7FBD6B4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3.4</w:t>
      </w:r>
      <w:r>
        <w:rPr>
          <w:rFonts w:hint="eastAsia" w:ascii="宋体" w:hAnsi="宋体" w:eastAsia="宋体" w:cs="宋体"/>
          <w:sz w:val="24"/>
          <w:szCs w:val="24"/>
          <w:highlight w:val="none"/>
        </w:rPr>
        <w:t>向招标人、招标代理机构或者有关部门报告非法干预评标工作的行为。</w:t>
      </w:r>
    </w:p>
    <w:p w14:paraId="70B72DA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4、磋商小组义务</w:t>
      </w:r>
    </w:p>
    <w:p w14:paraId="13364E8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4.1</w:t>
      </w:r>
      <w:r>
        <w:rPr>
          <w:rFonts w:hint="eastAsia" w:ascii="宋体" w:hAnsi="宋体" w:eastAsia="宋体" w:cs="宋体"/>
          <w:sz w:val="24"/>
          <w:szCs w:val="24"/>
          <w:highlight w:val="none"/>
        </w:rPr>
        <w:t>遵纪守法，客观、公正、廉洁地履行职责；</w:t>
      </w:r>
    </w:p>
    <w:p w14:paraId="704D458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4.2</w:t>
      </w:r>
      <w:r>
        <w:rPr>
          <w:rFonts w:hint="eastAsia" w:ascii="宋体" w:hAnsi="宋体" w:eastAsia="宋体" w:cs="宋体"/>
          <w:sz w:val="24"/>
          <w:szCs w:val="24"/>
          <w:highlight w:val="none"/>
        </w:rPr>
        <w:t>按照磋商文件规定的评标方法和评标标准进行评标，对评审意见承担个人责任；</w:t>
      </w:r>
    </w:p>
    <w:p w14:paraId="0D833E0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4.3</w:t>
      </w:r>
      <w:r>
        <w:rPr>
          <w:rFonts w:hint="eastAsia" w:ascii="宋体" w:hAnsi="宋体" w:eastAsia="宋体" w:cs="宋体"/>
          <w:sz w:val="24"/>
          <w:szCs w:val="24"/>
          <w:highlight w:val="none"/>
        </w:rPr>
        <w:t>对评标过程和结果，以及供应商的商业秘密保密；</w:t>
      </w:r>
    </w:p>
    <w:p w14:paraId="33E72D2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4.4</w:t>
      </w:r>
      <w:r>
        <w:rPr>
          <w:rFonts w:hint="eastAsia" w:ascii="宋体" w:hAnsi="宋体" w:eastAsia="宋体" w:cs="宋体"/>
          <w:sz w:val="24"/>
          <w:szCs w:val="24"/>
          <w:highlight w:val="none"/>
        </w:rPr>
        <w:t>参与评标报告的起草；</w:t>
      </w:r>
    </w:p>
    <w:p w14:paraId="7DAF78B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4.5</w:t>
      </w:r>
      <w:r>
        <w:rPr>
          <w:rFonts w:hint="eastAsia" w:ascii="宋体" w:hAnsi="宋体" w:eastAsia="宋体" w:cs="宋体"/>
          <w:sz w:val="24"/>
          <w:szCs w:val="24"/>
          <w:highlight w:val="none"/>
        </w:rPr>
        <w:t>配合有关部门的投诉处理工作；</w:t>
      </w:r>
    </w:p>
    <w:p w14:paraId="733E49C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4.6</w:t>
      </w:r>
      <w:r>
        <w:rPr>
          <w:rFonts w:hint="eastAsia" w:ascii="宋体" w:hAnsi="宋体" w:eastAsia="宋体" w:cs="宋体"/>
          <w:sz w:val="24"/>
          <w:szCs w:val="24"/>
          <w:highlight w:val="none"/>
        </w:rPr>
        <w:t>配合招标人、招标代理机构答复磋商供应商提出的质疑。</w:t>
      </w:r>
    </w:p>
    <w:p w14:paraId="099987E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5、评标程序</w:t>
      </w:r>
    </w:p>
    <w:p w14:paraId="617EA34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5.1</w:t>
      </w:r>
      <w:r>
        <w:rPr>
          <w:rFonts w:hint="eastAsia" w:ascii="宋体" w:hAnsi="宋体" w:eastAsia="宋体" w:cs="宋体"/>
          <w:sz w:val="24"/>
          <w:szCs w:val="24"/>
          <w:highlight w:val="none"/>
        </w:rPr>
        <w:t>本次评标首先由磋商小组对供应商的响应文件进行初审，对未能通过初审的响应文件作废标处理；对通过初审的供应商的响应文件进行详细的比较和评价。如需要，进行必要的澄清工作；</w:t>
      </w:r>
    </w:p>
    <w:p w14:paraId="7776065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5.2</w:t>
      </w:r>
      <w:r>
        <w:rPr>
          <w:rFonts w:hint="eastAsia" w:ascii="宋体" w:hAnsi="宋体" w:eastAsia="宋体" w:cs="宋体"/>
          <w:sz w:val="24"/>
          <w:szCs w:val="24"/>
          <w:highlight w:val="none"/>
        </w:rPr>
        <w:t>评标报告与推荐成交候选人</w:t>
      </w:r>
    </w:p>
    <w:p w14:paraId="11C90A3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5.3磋商小组各成员应当独立对每个有效响应的文件进行评价、打分，然后汇总每个供应商每项评分因素的得分。</w:t>
      </w:r>
    </w:p>
    <w:p w14:paraId="0669C119">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综合评分法服务项目的价格分值占总分值的比重(即权值)为</w:t>
      </w:r>
      <w:r>
        <w:rPr>
          <w:rFonts w:hint="eastAsia" w:ascii="宋体" w:hAnsi="宋体" w:eastAsia="宋体" w:cs="宋体"/>
          <w:b/>
          <w:bCs/>
          <w:sz w:val="24"/>
          <w:szCs w:val="24"/>
          <w:highlight w:val="none"/>
          <w:lang w:val="en-US" w:eastAsia="zh-CN"/>
        </w:rPr>
        <w:t>10</w:t>
      </w:r>
      <w:r>
        <w:rPr>
          <w:rFonts w:hint="eastAsia" w:ascii="宋体" w:hAnsi="宋体" w:eastAsia="宋体" w:cs="宋体"/>
          <w:b/>
          <w:bCs/>
          <w:sz w:val="24"/>
          <w:szCs w:val="24"/>
          <w:highlight w:val="none"/>
        </w:rPr>
        <w:t>％</w:t>
      </w:r>
      <w:r>
        <w:rPr>
          <w:rFonts w:hint="eastAsia" w:ascii="宋体" w:hAnsi="宋体" w:eastAsia="宋体" w:cs="宋体"/>
          <w:sz w:val="24"/>
          <w:szCs w:val="24"/>
          <w:highlight w:val="none"/>
        </w:rPr>
        <w:t>，采购项目中含不同采购对象的，以占项目资金比例最高的采购对象确定其项目属性。其价格不列为评分因素，有特殊情况需要在上述规定范围外设定价格分权重的。</w:t>
      </w:r>
    </w:p>
    <w:p w14:paraId="7AE9B9A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综合评分法中的价格分统一采用低价优先法计算，即满足磋商文件要求且最后报价最低的供应商的价格为磋商基准价，其价格分为满分。其他供应商的价格分统一按照下列公式计算：</w:t>
      </w:r>
    </w:p>
    <w:p w14:paraId="563E108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磋商报价得分=（磋商基准价/最后磋商报价）×价格权值×100项目评审过程中，不得去掉最后报价中的最高报价和最低报价。</w:t>
      </w:r>
    </w:p>
    <w:p w14:paraId="7DC2490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磋商小组应当根据综合评分情况，按照评审得分由高到低顺序推荐3名以上成交候选供应商符合《政府采购竞争性磋商采购方式管理暂行办法》法第二十五条磋商小组应当根据综合评分情况，按照评审得分由高到低顺序推荐3名以上成交候选供应商。</w:t>
      </w:r>
    </w:p>
    <w:p w14:paraId="04D935D4">
      <w:pPr>
        <w:pStyle w:val="3"/>
        <w:numPr>
          <w:ilvl w:val="0"/>
          <w:numId w:val="0"/>
        </w:numPr>
        <w:spacing w:line="560" w:lineRule="exact"/>
        <w:ind w:leftChars="200"/>
        <w:jc w:val="left"/>
        <w:rPr>
          <w:rFonts w:hint="eastAsia" w:ascii="宋体" w:hAnsi="宋体" w:eastAsia="宋体" w:cs="宋体"/>
          <w:b w:val="0"/>
          <w:bCs w:val="0"/>
          <w:sz w:val="24"/>
          <w:szCs w:val="24"/>
          <w:highlight w:val="none"/>
          <w:lang w:val="en-US" w:eastAsia="zh-CN" w:bidi="ar-SA"/>
        </w:rPr>
      </w:pPr>
      <w:r>
        <w:rPr>
          <w:rFonts w:hint="eastAsia" w:ascii="宋体" w:hAnsi="宋体" w:eastAsia="宋体" w:cs="宋体"/>
          <w:b w:val="0"/>
          <w:bCs w:val="0"/>
          <w:sz w:val="24"/>
          <w:szCs w:val="24"/>
          <w:highlight w:val="none"/>
          <w:lang w:val="en-US" w:eastAsia="zh-CN" w:bidi="ar-SA"/>
        </w:rPr>
        <w:t>6、招标代理费</w:t>
      </w:r>
    </w:p>
    <w:p w14:paraId="61B6E0B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6.1</w:t>
      </w:r>
      <w:r>
        <w:rPr>
          <w:rFonts w:hint="eastAsia" w:ascii="宋体" w:hAnsi="宋体" w:eastAsia="宋体" w:cs="宋体"/>
          <w:sz w:val="24"/>
          <w:szCs w:val="24"/>
          <w:highlight w:val="none"/>
        </w:rPr>
        <w:t>本项目的招标代理服务费等由中标人支付。</w:t>
      </w:r>
    </w:p>
    <w:p w14:paraId="7316ECA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6.2</w:t>
      </w:r>
      <w:r>
        <w:rPr>
          <w:rFonts w:hint="eastAsia" w:ascii="宋体" w:hAnsi="宋体" w:eastAsia="宋体" w:cs="宋体"/>
          <w:sz w:val="24"/>
          <w:szCs w:val="24"/>
          <w:highlight w:val="none"/>
        </w:rPr>
        <w:t>投标人应承担其投标文件编制与递交所涉及的一切费用。在任何情况下招标人对上述费用均不负任何责任。</w:t>
      </w:r>
    </w:p>
    <w:p w14:paraId="4A639463">
      <w:pPr>
        <w:spacing w:line="560" w:lineRule="exact"/>
        <w:ind w:firstLine="560"/>
        <w:jc w:val="left"/>
        <w:rPr>
          <w:rFonts w:hint="eastAsia" w:cs="宋体"/>
          <w:highlight w:val="none"/>
        </w:rPr>
      </w:pPr>
    </w:p>
    <w:p w14:paraId="75069ED8">
      <w:pPr>
        <w:pStyle w:val="25"/>
        <w:spacing w:line="560" w:lineRule="exact"/>
        <w:ind w:left="210" w:leftChars="100" w:firstLine="560"/>
        <w:jc w:val="left"/>
        <w:rPr>
          <w:rFonts w:hint="eastAsia"/>
          <w:highlight w:val="none"/>
        </w:rPr>
      </w:pPr>
    </w:p>
    <w:p w14:paraId="2A97B8E5">
      <w:pPr>
        <w:pStyle w:val="25"/>
        <w:spacing w:line="560" w:lineRule="exact"/>
        <w:ind w:left="210" w:leftChars="100" w:firstLine="643"/>
        <w:jc w:val="left"/>
        <w:rPr>
          <w:rFonts w:hint="eastAsia"/>
          <w:b/>
          <w:sz w:val="32"/>
          <w:szCs w:val="21"/>
          <w:highlight w:val="none"/>
        </w:rPr>
      </w:pPr>
    </w:p>
    <w:p w14:paraId="2D204097">
      <w:pPr>
        <w:pStyle w:val="25"/>
        <w:spacing w:line="560" w:lineRule="exact"/>
        <w:ind w:left="210" w:leftChars="100" w:firstLine="643"/>
        <w:jc w:val="left"/>
        <w:rPr>
          <w:rFonts w:hint="eastAsia"/>
          <w:b/>
          <w:sz w:val="32"/>
          <w:szCs w:val="21"/>
          <w:highlight w:val="none"/>
        </w:rPr>
        <w:sectPr>
          <w:footerReference r:id="rId7" w:type="default"/>
          <w:pgSz w:w="11906" w:h="16838"/>
          <w:pgMar w:top="1134" w:right="1134" w:bottom="1213" w:left="1134" w:header="851" w:footer="992" w:gutter="0"/>
          <w:pgNumType w:fmt="decimal"/>
          <w:cols w:space="720" w:num="1"/>
          <w:docGrid w:type="lines" w:linePitch="312" w:charSpace="0"/>
        </w:sectPr>
      </w:pPr>
    </w:p>
    <w:p w14:paraId="17EEF8D6">
      <w:pPr>
        <w:pStyle w:val="2"/>
        <w:pageBreakBefore w:val="0"/>
        <w:widowControl w:val="0"/>
        <w:numPr>
          <w:ilvl w:val="0"/>
          <w:numId w:val="0"/>
        </w:numPr>
        <w:kinsoku/>
        <w:wordWrap/>
        <w:overflowPunct/>
        <w:topLinePunct w:val="0"/>
        <w:bidi w:val="0"/>
        <w:adjustRightInd w:val="0"/>
        <w:snapToGrid/>
        <w:spacing w:line="480" w:lineRule="exact"/>
        <w:ind w:leftChars="0"/>
        <w:jc w:val="center"/>
        <w:textAlignment w:val="baseline"/>
        <w:rPr>
          <w:rFonts w:hint="eastAsia" w:cs="宋体"/>
          <w:b/>
          <w:bCs/>
          <w:highlight w:val="none"/>
          <w:lang w:val="en-US" w:eastAsia="zh-CN"/>
        </w:rPr>
      </w:pPr>
      <w:bookmarkStart w:id="46" w:name="_Toc2952"/>
      <w:bookmarkStart w:id="47" w:name="_Toc439801621"/>
      <w:r>
        <w:rPr>
          <w:rFonts w:hint="eastAsia" w:cs="宋体"/>
          <w:b/>
          <w:bCs/>
          <w:sz w:val="36"/>
          <w:szCs w:val="48"/>
          <w:highlight w:val="none"/>
          <w:lang w:val="en-US" w:eastAsia="zh-CN"/>
        </w:rPr>
        <w:t xml:space="preserve">第四章 </w:t>
      </w:r>
      <w:bookmarkEnd w:id="46"/>
      <w:r>
        <w:rPr>
          <w:rFonts w:hint="eastAsia" w:cs="宋体"/>
          <w:b/>
          <w:bCs/>
          <w:sz w:val="36"/>
          <w:szCs w:val="48"/>
          <w:highlight w:val="none"/>
          <w:lang w:val="en-US" w:eastAsia="zh-CN"/>
        </w:rPr>
        <w:t>项目采购需求</w:t>
      </w:r>
    </w:p>
    <w:p w14:paraId="095775C8">
      <w:pPr>
        <w:keepNext w:val="0"/>
        <w:keepLines w:val="0"/>
        <w:pageBreakBefore w:val="0"/>
        <w:widowControl w:val="0"/>
        <w:kinsoku/>
        <w:wordWrap/>
        <w:overflowPunct/>
        <w:topLinePunct w:val="0"/>
        <w:autoSpaceDE/>
        <w:autoSpaceDN/>
        <w:bidi w:val="0"/>
        <w:adjustRightInd w:val="0"/>
        <w:snapToGrid/>
        <w:spacing w:line="520" w:lineRule="exact"/>
        <w:ind w:firstLine="560"/>
        <w:jc w:val="left"/>
        <w:textAlignment w:val="baseline"/>
        <w:rPr>
          <w:rFonts w:hint="default" w:ascii="仿宋" w:hAnsi="仿宋" w:eastAsia="仿宋" w:cs="仿宋"/>
          <w:snapToGrid w:val="0"/>
          <w:color w:val="000000"/>
          <w:kern w:val="0"/>
          <w:sz w:val="32"/>
          <w:szCs w:val="32"/>
          <w:highlight w:val="none"/>
          <w:lang w:val="en-US" w:eastAsia="zh-CN" w:bidi="ar-SA"/>
        </w:rPr>
      </w:pPr>
      <w:r>
        <w:rPr>
          <w:rFonts w:hint="eastAsia" w:ascii="仿宋" w:hAnsi="仿宋" w:eastAsia="仿宋" w:cs="仿宋"/>
          <w:b/>
          <w:bCs/>
          <w:snapToGrid w:val="0"/>
          <w:color w:val="000000"/>
          <w:kern w:val="0"/>
          <w:sz w:val="32"/>
          <w:szCs w:val="32"/>
          <w:highlight w:val="none"/>
          <w:lang w:val="en-US" w:eastAsia="zh-CN" w:bidi="ar-SA"/>
        </w:rPr>
        <w:t>一、工作范围：</w:t>
      </w:r>
      <w:bookmarkEnd w:id="17"/>
      <w:bookmarkEnd w:id="18"/>
      <w:bookmarkEnd w:id="19"/>
      <w:bookmarkEnd w:id="20"/>
      <w:bookmarkEnd w:id="21"/>
      <w:bookmarkEnd w:id="22"/>
      <w:bookmarkEnd w:id="47"/>
      <w:bookmarkStart w:id="48" w:name="_Toc1123"/>
      <w:bookmarkStart w:id="49" w:name="_Toc7149"/>
      <w:bookmarkStart w:id="50" w:name="_Toc23146"/>
      <w:bookmarkStart w:id="51" w:name="_Toc28418"/>
      <w:bookmarkStart w:id="52" w:name="_Toc26554093"/>
      <w:bookmarkStart w:id="53" w:name="_Toc49090575"/>
      <w:bookmarkStart w:id="54" w:name="_Toc120614281"/>
      <w:bookmarkStart w:id="55" w:name="OLE_LINK1"/>
      <w:bookmarkStart w:id="56" w:name="OLE_LINK2"/>
      <w:r>
        <w:rPr>
          <w:rFonts w:hint="eastAsia" w:ascii="仿宋" w:hAnsi="仿宋" w:eastAsia="仿宋" w:cs="仿宋"/>
          <w:snapToGrid w:val="0"/>
          <w:color w:val="000000"/>
          <w:kern w:val="0"/>
          <w:sz w:val="32"/>
          <w:szCs w:val="32"/>
          <w:highlight w:val="none"/>
          <w:lang w:val="en-US" w:eastAsia="zh-CN" w:bidi="ar-SA"/>
        </w:rPr>
        <w:t>呼图壁县</w:t>
      </w:r>
    </w:p>
    <w:p w14:paraId="62FE8509">
      <w:pPr>
        <w:pStyle w:val="8"/>
        <w:numPr>
          <w:ilvl w:val="0"/>
          <w:numId w:val="0"/>
        </w:numPr>
        <w:ind w:firstLine="643" w:firstLineChars="200"/>
        <w:rPr>
          <w:rFonts w:hint="eastAsia" w:ascii="仿宋" w:hAnsi="仿宋" w:eastAsia="仿宋" w:cs="仿宋"/>
          <w:snapToGrid w:val="0"/>
          <w:color w:val="000000"/>
          <w:kern w:val="0"/>
          <w:sz w:val="32"/>
          <w:szCs w:val="32"/>
          <w:highlight w:val="none"/>
          <w:lang w:val="en-US" w:eastAsia="zh-CN" w:bidi="ar-SA"/>
        </w:rPr>
      </w:pPr>
      <w:r>
        <w:rPr>
          <w:rFonts w:hint="eastAsia" w:ascii="仿宋" w:hAnsi="仿宋" w:eastAsia="仿宋" w:cs="仿宋"/>
          <w:b/>
          <w:bCs/>
          <w:snapToGrid w:val="0"/>
          <w:color w:val="000000"/>
          <w:kern w:val="0"/>
          <w:sz w:val="32"/>
          <w:szCs w:val="32"/>
          <w:highlight w:val="none"/>
          <w:lang w:val="en-US" w:eastAsia="zh-CN" w:bidi="ar-SA"/>
        </w:rPr>
        <w:t>二、项目名称：</w:t>
      </w:r>
      <w:r>
        <w:rPr>
          <w:rFonts w:hint="eastAsia" w:ascii="仿宋" w:hAnsi="仿宋" w:cs="仿宋"/>
          <w:snapToGrid w:val="0"/>
          <w:color w:val="000000"/>
          <w:kern w:val="0"/>
          <w:sz w:val="32"/>
          <w:szCs w:val="32"/>
          <w:highlight w:val="none"/>
          <w:lang w:val="en-US" w:eastAsia="zh-CN" w:bidi="ar-SA"/>
        </w:rPr>
        <w:t>呼图壁县重点危险区域城镇住宅建筑抗震鉴定项目（服务）</w:t>
      </w:r>
      <w:r>
        <w:rPr>
          <w:rFonts w:hint="eastAsia" w:ascii="仿宋" w:hAnsi="仿宋" w:eastAsia="仿宋" w:cs="仿宋"/>
          <w:snapToGrid w:val="0"/>
          <w:color w:val="000000"/>
          <w:kern w:val="0"/>
          <w:sz w:val="32"/>
          <w:szCs w:val="32"/>
          <w:highlight w:val="none"/>
          <w:lang w:val="en-US" w:eastAsia="zh-CN" w:bidi="ar-SA"/>
        </w:rPr>
        <w:t xml:space="preserve"> </w:t>
      </w:r>
    </w:p>
    <w:p w14:paraId="4F181C63">
      <w:pPr>
        <w:pStyle w:val="8"/>
        <w:numPr>
          <w:ilvl w:val="0"/>
          <w:numId w:val="0"/>
        </w:numPr>
        <w:ind w:firstLine="643" w:firstLineChars="200"/>
        <w:rPr>
          <w:rFonts w:hint="default" w:ascii="仿宋" w:hAnsi="仿宋" w:eastAsia="仿宋" w:cs="仿宋"/>
          <w:snapToGrid w:val="0"/>
          <w:color w:val="000000"/>
          <w:kern w:val="0"/>
          <w:sz w:val="32"/>
          <w:szCs w:val="32"/>
          <w:highlight w:val="none"/>
          <w:lang w:val="en-US" w:eastAsia="zh-CN" w:bidi="ar-SA"/>
        </w:rPr>
      </w:pPr>
      <w:r>
        <w:rPr>
          <w:rFonts w:hint="eastAsia" w:ascii="仿宋" w:hAnsi="仿宋" w:eastAsia="仿宋" w:cs="仿宋"/>
          <w:b/>
          <w:bCs/>
          <w:snapToGrid w:val="0"/>
          <w:color w:val="000000"/>
          <w:kern w:val="0"/>
          <w:sz w:val="32"/>
          <w:szCs w:val="32"/>
          <w:highlight w:val="none"/>
          <w:lang w:val="en-US" w:eastAsia="zh-CN" w:bidi="ar-SA"/>
        </w:rPr>
        <w:t>三、服务期限：</w:t>
      </w:r>
      <w:r>
        <w:rPr>
          <w:rFonts w:hint="eastAsia" w:ascii="仿宋" w:hAnsi="仿宋" w:cs="仿宋"/>
          <w:snapToGrid w:val="0"/>
          <w:color w:val="000000"/>
          <w:kern w:val="0"/>
          <w:sz w:val="32"/>
          <w:szCs w:val="32"/>
          <w:highlight w:val="none"/>
          <w:lang w:val="en-US" w:eastAsia="zh-CN" w:bidi="ar-SA"/>
        </w:rPr>
        <w:t>自合同签订之日60天（日历日）(</w:t>
      </w:r>
      <w:r>
        <w:rPr>
          <w:rFonts w:hint="eastAsia" w:ascii="仿宋" w:hAnsi="仿宋" w:eastAsia="仿宋" w:cs="仿宋"/>
          <w:snapToGrid w:val="0"/>
          <w:color w:val="000000"/>
          <w:kern w:val="0"/>
          <w:sz w:val="32"/>
          <w:szCs w:val="32"/>
          <w:highlight w:val="none"/>
          <w:lang w:val="en-US" w:eastAsia="zh-CN" w:bidi="ar-SA"/>
        </w:rPr>
        <w:t>我县种牛场西域春社区、东泉社区平房区土地权属为种牛场有限责任公司，房屋均为满足当时种牛场公司职工住房需求而由居民自行建设，未参照标准图集，房屋结构混杂多样。该片区道路硬化不完善、无排水设施，多数房屋经多年雪水融冻与雨水冲刷，房屋存在失修失养、风化现象。经几十年来房屋买卖、继承、赠与，现居住的产权人多为外来务工人员、低收入群体，无能力改善居住条件，鉴定难度增加。此次鉴定的房屋基本是80-100平方米的平房，所有按照规范标准产生的破坏性检测取样的位置需要由中标单位恢复。此次鉴定房屋因分布广、人员外出务工等原因，需要多次上门走访开展入户检测，以上原因应当予以考虑</w:t>
      </w:r>
      <w:r>
        <w:rPr>
          <w:rFonts w:hint="eastAsia" w:ascii="仿宋" w:hAnsi="仿宋" w:cs="仿宋"/>
          <w:snapToGrid w:val="0"/>
          <w:color w:val="000000"/>
          <w:kern w:val="0"/>
          <w:sz w:val="32"/>
          <w:szCs w:val="32"/>
          <w:highlight w:val="none"/>
          <w:lang w:val="en-US" w:eastAsia="zh-CN" w:bidi="ar-SA"/>
        </w:rPr>
        <w:t>)</w:t>
      </w:r>
      <w:r>
        <w:rPr>
          <w:rFonts w:hint="eastAsia" w:ascii="仿宋" w:hAnsi="仿宋" w:eastAsia="仿宋" w:cs="仿宋"/>
          <w:snapToGrid w:val="0"/>
          <w:color w:val="000000"/>
          <w:kern w:val="0"/>
          <w:sz w:val="32"/>
          <w:szCs w:val="32"/>
          <w:highlight w:val="none"/>
          <w:lang w:val="en-US" w:eastAsia="zh-CN" w:bidi="ar-SA"/>
        </w:rPr>
        <w:t>。</w:t>
      </w:r>
    </w:p>
    <w:p w14:paraId="36BF30AF">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643" w:firstLineChars="200"/>
        <w:jc w:val="left"/>
        <w:textAlignment w:val="auto"/>
        <w:rPr>
          <w:rFonts w:hint="eastAsia" w:ascii="仿宋" w:hAnsi="仿宋" w:eastAsia="仿宋" w:cs="仿宋"/>
          <w:snapToGrid w:val="0"/>
          <w:color w:val="000000"/>
          <w:kern w:val="0"/>
          <w:sz w:val="32"/>
          <w:szCs w:val="32"/>
          <w:highlight w:val="none"/>
          <w:lang w:val="en-US" w:eastAsia="zh-CN" w:bidi="ar-SA"/>
        </w:rPr>
      </w:pPr>
      <w:r>
        <w:rPr>
          <w:rFonts w:hint="eastAsia" w:ascii="仿宋" w:hAnsi="仿宋" w:eastAsia="仿宋" w:cs="仿宋"/>
          <w:b/>
          <w:bCs/>
          <w:snapToGrid w:val="0"/>
          <w:color w:val="000000"/>
          <w:kern w:val="0"/>
          <w:sz w:val="32"/>
          <w:szCs w:val="32"/>
          <w:highlight w:val="none"/>
          <w:lang w:val="en-US" w:eastAsia="zh-CN" w:bidi="ar-SA"/>
        </w:rPr>
        <w:t>四、采购需求：</w:t>
      </w:r>
      <w:r>
        <w:rPr>
          <w:rFonts w:hint="eastAsia" w:ascii="仿宋" w:hAnsi="仿宋" w:eastAsia="仿宋" w:cs="仿宋"/>
          <w:snapToGrid w:val="0"/>
          <w:color w:val="000000"/>
          <w:kern w:val="0"/>
          <w:sz w:val="32"/>
          <w:szCs w:val="32"/>
          <w:highlight w:val="none"/>
          <w:lang w:val="en-US" w:eastAsia="zh-CN" w:bidi="ar-SA"/>
        </w:rPr>
        <w:t>对我县种牛场东、西片区及其它存在安全、抗震隐患的住宅进行现场实体检测并分别按栋出具自治区房屋建筑安全与抗震性鉴定报告，初步面积预估4.1万㎡具体以面积为准。</w:t>
      </w:r>
    </w:p>
    <w:p w14:paraId="5FCB17D1">
      <w:pPr>
        <w:pStyle w:val="13"/>
        <w:ind w:left="0" w:leftChars="0" w:firstLine="643" w:firstLineChars="200"/>
        <w:rPr>
          <w:rFonts w:hint="default"/>
          <w:lang w:val="en-US" w:eastAsia="zh-CN"/>
        </w:rPr>
      </w:pPr>
      <w:r>
        <w:rPr>
          <w:rFonts w:hint="eastAsia" w:ascii="仿宋" w:hAnsi="仿宋" w:eastAsia="仿宋" w:cs="仿宋"/>
          <w:b/>
          <w:bCs/>
          <w:snapToGrid w:val="0"/>
          <w:color w:val="000000"/>
          <w:kern w:val="0"/>
          <w:sz w:val="32"/>
          <w:szCs w:val="32"/>
          <w:highlight w:val="none"/>
          <w:lang w:val="en-US" w:eastAsia="zh-CN" w:bidi="ar-SA"/>
        </w:rPr>
        <w:t>五、最高限价：</w:t>
      </w:r>
      <w:r>
        <w:rPr>
          <w:rFonts w:hint="eastAsia" w:ascii="仿宋" w:hAnsi="仿宋" w:cs="仿宋"/>
          <w:kern w:val="0"/>
          <w:sz w:val="28"/>
          <w:szCs w:val="28"/>
          <w:highlight w:val="none"/>
          <w:lang w:val="en-US" w:eastAsia="zh-CN" w:bidi="ar-SA"/>
        </w:rPr>
        <w:t>15元/每平方米（最终以中标下浮率报价折合的有效单价＊实际鉴定面积进行结算，最高结算金额不得超过预算总额）</w:t>
      </w:r>
    </w:p>
    <w:p w14:paraId="58A14906">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643" w:firstLineChars="200"/>
        <w:jc w:val="left"/>
        <w:textAlignment w:val="auto"/>
        <w:rPr>
          <w:rFonts w:hint="eastAsia" w:ascii="仿宋" w:hAnsi="仿宋" w:eastAsia="仿宋" w:cs="仿宋"/>
          <w:snapToGrid w:val="0"/>
          <w:color w:val="000000"/>
          <w:kern w:val="0"/>
          <w:sz w:val="32"/>
          <w:szCs w:val="32"/>
          <w:highlight w:val="none"/>
          <w:lang w:val="en-US" w:eastAsia="zh-CN" w:bidi="ar-SA"/>
        </w:rPr>
      </w:pPr>
      <w:r>
        <w:rPr>
          <w:rFonts w:hint="eastAsia" w:ascii="仿宋" w:hAnsi="仿宋" w:eastAsia="仿宋" w:cs="仿宋"/>
          <w:b/>
          <w:bCs/>
          <w:snapToGrid w:val="0"/>
          <w:color w:val="000000"/>
          <w:kern w:val="0"/>
          <w:sz w:val="32"/>
          <w:szCs w:val="32"/>
          <w:highlight w:val="none"/>
          <w:lang w:val="en-US" w:eastAsia="zh-CN" w:bidi="ar-SA"/>
        </w:rPr>
        <w:t>六、行业规范：</w:t>
      </w:r>
      <w:r>
        <w:rPr>
          <w:rFonts w:hint="eastAsia" w:ascii="仿宋" w:hAnsi="仿宋" w:eastAsia="仿宋" w:cs="仿宋"/>
          <w:snapToGrid w:val="0"/>
          <w:color w:val="000000"/>
          <w:kern w:val="0"/>
          <w:sz w:val="32"/>
          <w:szCs w:val="32"/>
          <w:highlight w:val="none"/>
          <w:lang w:val="en-US" w:eastAsia="zh-CN" w:bidi="ar-SA"/>
        </w:rPr>
        <w:t>依据《2024年自治区地震重点危险区城镇住宅抗震体检工作指南》；《建筑抗震设计规范》GB50011；《建筑抗震鉴定标准》 GB 50023-2009；《中国地震动参数区划图》(GB18306)；《非结构构件抗震设计规范》(JGJ339)；《既有建筑鉴定与加固通用规范》 GB 55021-2021等标准进行鉴定。</w:t>
      </w:r>
    </w:p>
    <w:p w14:paraId="0BA6EF0C">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643" w:firstLineChars="200"/>
        <w:jc w:val="left"/>
        <w:textAlignment w:val="auto"/>
        <w:rPr>
          <w:rFonts w:hint="eastAsia" w:ascii="仿宋" w:hAnsi="仿宋" w:eastAsia="仿宋" w:cs="仿宋"/>
          <w:snapToGrid w:val="0"/>
          <w:color w:val="000000"/>
          <w:kern w:val="0"/>
          <w:sz w:val="32"/>
          <w:szCs w:val="32"/>
          <w:highlight w:val="none"/>
          <w:lang w:val="en-US" w:eastAsia="zh-CN" w:bidi="ar-SA"/>
        </w:rPr>
      </w:pPr>
      <w:r>
        <w:rPr>
          <w:rFonts w:hint="eastAsia" w:ascii="仿宋" w:hAnsi="仿宋" w:eastAsia="仿宋" w:cs="仿宋"/>
          <w:b/>
          <w:bCs/>
          <w:snapToGrid w:val="0"/>
          <w:color w:val="000000"/>
          <w:kern w:val="0"/>
          <w:sz w:val="32"/>
          <w:szCs w:val="32"/>
          <w:highlight w:val="none"/>
          <w:lang w:val="en-US" w:eastAsia="zh-CN" w:bidi="ar-SA"/>
        </w:rPr>
        <w:t>七、验收方式：</w:t>
      </w:r>
      <w:r>
        <w:rPr>
          <w:rFonts w:hint="eastAsia" w:ascii="仿宋" w:hAnsi="仿宋" w:eastAsia="仿宋" w:cs="仿宋"/>
          <w:snapToGrid w:val="0"/>
          <w:color w:val="000000"/>
          <w:kern w:val="0"/>
          <w:sz w:val="32"/>
          <w:szCs w:val="32"/>
          <w:highlight w:val="none"/>
          <w:lang w:val="en-US" w:eastAsia="zh-CN" w:bidi="ar-SA"/>
        </w:rPr>
        <w:t>项目验收时，按照相应验收办法、行业强制性标准、自治区建设厅发布的文件、招标文件要求（或响应文件的响应或承诺）以及合同的要求。如果以上标准有不一致的，以较高标准为准。</w:t>
      </w:r>
    </w:p>
    <w:p w14:paraId="4B0E6D90">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643" w:firstLineChars="200"/>
        <w:jc w:val="left"/>
        <w:textAlignment w:val="auto"/>
        <w:rPr>
          <w:rFonts w:hint="eastAsia" w:ascii="仿宋" w:hAnsi="仿宋" w:eastAsia="仿宋" w:cs="仿宋"/>
          <w:snapToGrid w:val="0"/>
          <w:color w:val="000000"/>
          <w:kern w:val="0"/>
          <w:sz w:val="32"/>
          <w:szCs w:val="32"/>
          <w:highlight w:val="none"/>
          <w:lang w:val="en-US" w:eastAsia="zh-CN" w:bidi="ar-SA"/>
        </w:rPr>
      </w:pPr>
      <w:r>
        <w:rPr>
          <w:rFonts w:hint="eastAsia" w:ascii="仿宋" w:hAnsi="仿宋" w:eastAsia="仿宋" w:cs="仿宋"/>
          <w:b/>
          <w:bCs/>
          <w:snapToGrid w:val="0"/>
          <w:color w:val="000000"/>
          <w:kern w:val="0"/>
          <w:sz w:val="32"/>
          <w:szCs w:val="32"/>
          <w:highlight w:val="none"/>
          <w:lang w:val="en-US" w:eastAsia="zh-CN" w:bidi="ar-SA"/>
        </w:rPr>
        <w:t>八、技术情报和资料的保密：</w:t>
      </w:r>
      <w:r>
        <w:rPr>
          <w:rFonts w:hint="eastAsia" w:ascii="仿宋" w:hAnsi="仿宋" w:eastAsia="仿宋" w:cs="仿宋"/>
          <w:snapToGrid w:val="0"/>
          <w:color w:val="000000"/>
          <w:kern w:val="0"/>
          <w:sz w:val="32"/>
          <w:szCs w:val="32"/>
          <w:highlight w:val="none"/>
          <w:lang w:val="en-US" w:eastAsia="zh-CN" w:bidi="ar-SA"/>
        </w:rPr>
        <w:t>甲乙双方均有对成果文件保密的责任和义务，除此之外的第三方使用需经本单位同意。</w:t>
      </w:r>
    </w:p>
    <w:p w14:paraId="367CE4AB">
      <w:pPr>
        <w:pStyle w:val="1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60" w:lineRule="exact"/>
        <w:ind w:left="0" w:right="0" w:firstLine="643" w:firstLineChars="200"/>
        <w:jc w:val="left"/>
        <w:textAlignment w:val="auto"/>
        <w:rPr>
          <w:rFonts w:hint="default" w:ascii="仿宋" w:hAnsi="仿宋" w:eastAsia="仿宋" w:cs="仿宋"/>
          <w:snapToGrid w:val="0"/>
          <w:color w:val="000000"/>
          <w:kern w:val="0"/>
          <w:sz w:val="32"/>
          <w:szCs w:val="32"/>
          <w:highlight w:val="none"/>
          <w:lang w:val="en-US" w:eastAsia="zh-CN" w:bidi="ar-SA"/>
        </w:rPr>
      </w:pPr>
      <w:r>
        <w:rPr>
          <w:rFonts w:hint="eastAsia" w:ascii="仿宋" w:hAnsi="仿宋" w:eastAsia="仿宋" w:cs="仿宋"/>
          <w:b/>
          <w:bCs/>
          <w:snapToGrid w:val="0"/>
          <w:color w:val="000000"/>
          <w:kern w:val="0"/>
          <w:sz w:val="32"/>
          <w:szCs w:val="32"/>
          <w:highlight w:val="none"/>
          <w:lang w:val="en-US" w:eastAsia="zh-CN" w:bidi="ar-SA"/>
        </w:rPr>
        <w:t>九、付款方式</w:t>
      </w:r>
      <w:r>
        <w:rPr>
          <w:rFonts w:hint="eastAsia" w:ascii="仿宋" w:hAnsi="仿宋" w:eastAsia="仿宋" w:cs="仿宋"/>
          <w:snapToGrid w:val="0"/>
          <w:color w:val="000000"/>
          <w:kern w:val="0"/>
          <w:sz w:val="32"/>
          <w:szCs w:val="32"/>
          <w:highlight w:val="none"/>
          <w:lang w:val="en-US" w:eastAsia="zh-CN" w:bidi="ar-SA"/>
        </w:rPr>
        <w:t>：根据具体项目合同（协议）约定方式支付。</w:t>
      </w:r>
    </w:p>
    <w:p w14:paraId="324DC151">
      <w:pPr>
        <w:pStyle w:val="7"/>
        <w:keepNext w:val="0"/>
        <w:keepLines w:val="0"/>
        <w:pageBreakBefore w:val="0"/>
        <w:kinsoku/>
        <w:overflowPunct/>
        <w:topLinePunct w:val="0"/>
        <w:autoSpaceDE/>
        <w:autoSpaceDN/>
        <w:bidi w:val="0"/>
        <w:adjustRightInd/>
        <w:snapToGrid/>
        <w:spacing w:line="560" w:lineRule="exact"/>
        <w:ind w:firstLine="643" w:firstLineChars="200"/>
        <w:rPr>
          <w:rFonts w:hint="default" w:ascii="仿宋" w:hAnsi="仿宋" w:eastAsia="仿宋" w:cs="仿宋"/>
          <w:snapToGrid w:val="0"/>
          <w:color w:val="000000"/>
          <w:kern w:val="0"/>
          <w:sz w:val="32"/>
          <w:szCs w:val="32"/>
          <w:highlight w:val="none"/>
          <w:lang w:val="en-US" w:eastAsia="zh-CN" w:bidi="ar-SA"/>
        </w:rPr>
      </w:pPr>
      <w:r>
        <w:rPr>
          <w:rFonts w:hint="eastAsia" w:ascii="仿宋" w:hAnsi="仿宋" w:eastAsia="仿宋" w:cs="仿宋"/>
          <w:b/>
          <w:bCs/>
          <w:snapToGrid w:val="0"/>
          <w:color w:val="000000"/>
          <w:kern w:val="0"/>
          <w:sz w:val="32"/>
          <w:szCs w:val="32"/>
          <w:highlight w:val="none"/>
          <w:lang w:val="en-US" w:eastAsia="zh-CN" w:bidi="ar-SA"/>
        </w:rPr>
        <w:t>十、提供成果文件：</w:t>
      </w:r>
      <w:r>
        <w:rPr>
          <w:rFonts w:hint="default" w:ascii="仿宋" w:hAnsi="仿宋" w:eastAsia="仿宋" w:cs="仿宋"/>
          <w:snapToGrid w:val="0"/>
          <w:color w:val="000000"/>
          <w:kern w:val="0"/>
          <w:sz w:val="32"/>
          <w:szCs w:val="32"/>
          <w:highlight w:val="none"/>
          <w:lang w:val="en-US" w:eastAsia="zh-CN" w:bidi="ar-SA"/>
        </w:rPr>
        <w:t>鉴定机构接受鉴定委托后，根据不同的鉴定目的，依据相应现行的国家及行业技术标准出具鉴定报告。鉴定报告内容应包含房屋概况、执行依据和标准、仪器设备、详细调查与检测结果、安全性鉴定、抗震鉴定、鉴定结论及建议、附件等内容。</w:t>
      </w:r>
    </w:p>
    <w:p w14:paraId="44F9D2C8">
      <w:pPr>
        <w:pStyle w:val="7"/>
        <w:keepNext w:val="0"/>
        <w:keepLines w:val="0"/>
        <w:pageBreakBefore w:val="0"/>
        <w:kinsoku/>
        <w:overflowPunct/>
        <w:topLinePunct w:val="0"/>
        <w:autoSpaceDE/>
        <w:autoSpaceDN/>
        <w:bidi w:val="0"/>
        <w:adjustRightInd/>
        <w:snapToGrid/>
        <w:spacing w:line="560" w:lineRule="exact"/>
        <w:ind w:firstLine="640" w:firstLineChars="200"/>
        <w:rPr>
          <w:rFonts w:hint="default" w:ascii="仿宋" w:hAnsi="仿宋" w:eastAsia="仿宋" w:cs="仿宋"/>
          <w:snapToGrid w:val="0"/>
          <w:color w:val="000000"/>
          <w:kern w:val="0"/>
          <w:sz w:val="32"/>
          <w:szCs w:val="32"/>
          <w:highlight w:val="none"/>
          <w:lang w:val="en-US" w:eastAsia="zh-CN" w:bidi="ar-SA"/>
        </w:rPr>
      </w:pPr>
    </w:p>
    <w:p w14:paraId="702A5D8B">
      <w:pPr>
        <w:pStyle w:val="7"/>
        <w:keepNext w:val="0"/>
        <w:keepLines w:val="0"/>
        <w:pageBreakBefore w:val="0"/>
        <w:kinsoku/>
        <w:overflowPunct/>
        <w:topLinePunct w:val="0"/>
        <w:autoSpaceDE/>
        <w:autoSpaceDN/>
        <w:bidi w:val="0"/>
        <w:adjustRightInd/>
        <w:snapToGrid/>
        <w:spacing w:line="560" w:lineRule="exact"/>
        <w:ind w:firstLine="640" w:firstLineChars="200"/>
        <w:rPr>
          <w:rFonts w:hint="default" w:ascii="仿宋" w:hAnsi="仿宋" w:eastAsia="仿宋" w:cs="仿宋"/>
          <w:snapToGrid w:val="0"/>
          <w:color w:val="000000"/>
          <w:kern w:val="0"/>
          <w:sz w:val="32"/>
          <w:szCs w:val="32"/>
          <w:highlight w:val="none"/>
          <w:lang w:val="en-US" w:eastAsia="zh-CN" w:bidi="ar-SA"/>
        </w:rPr>
      </w:pPr>
    </w:p>
    <w:p w14:paraId="7C7A3AF2">
      <w:pPr>
        <w:pStyle w:val="7"/>
        <w:keepNext w:val="0"/>
        <w:keepLines w:val="0"/>
        <w:pageBreakBefore w:val="0"/>
        <w:kinsoku/>
        <w:overflowPunct/>
        <w:topLinePunct w:val="0"/>
        <w:autoSpaceDE/>
        <w:autoSpaceDN/>
        <w:bidi w:val="0"/>
        <w:adjustRightInd/>
        <w:snapToGrid/>
        <w:spacing w:line="560" w:lineRule="exact"/>
        <w:ind w:firstLine="640" w:firstLineChars="200"/>
        <w:rPr>
          <w:rFonts w:hint="default" w:ascii="仿宋" w:hAnsi="仿宋" w:eastAsia="仿宋" w:cs="仿宋"/>
          <w:snapToGrid w:val="0"/>
          <w:color w:val="000000"/>
          <w:kern w:val="0"/>
          <w:sz w:val="32"/>
          <w:szCs w:val="32"/>
          <w:highlight w:val="none"/>
          <w:lang w:val="en-US" w:eastAsia="zh-CN" w:bidi="ar-SA"/>
        </w:rPr>
      </w:pPr>
    </w:p>
    <w:p w14:paraId="284FB3B9">
      <w:pPr>
        <w:pStyle w:val="7"/>
        <w:keepNext w:val="0"/>
        <w:keepLines w:val="0"/>
        <w:pageBreakBefore w:val="0"/>
        <w:kinsoku/>
        <w:overflowPunct/>
        <w:topLinePunct w:val="0"/>
        <w:autoSpaceDE/>
        <w:autoSpaceDN/>
        <w:bidi w:val="0"/>
        <w:adjustRightInd/>
        <w:snapToGrid/>
        <w:spacing w:line="560" w:lineRule="exact"/>
        <w:ind w:firstLine="640" w:firstLineChars="200"/>
        <w:rPr>
          <w:rFonts w:hint="default" w:ascii="仿宋" w:hAnsi="仿宋" w:eastAsia="仿宋" w:cs="仿宋"/>
          <w:snapToGrid w:val="0"/>
          <w:color w:val="000000"/>
          <w:kern w:val="0"/>
          <w:sz w:val="32"/>
          <w:szCs w:val="32"/>
          <w:highlight w:val="none"/>
          <w:lang w:val="en-US" w:eastAsia="zh-CN" w:bidi="ar-SA"/>
        </w:rPr>
      </w:pPr>
    </w:p>
    <w:p w14:paraId="13300AC3">
      <w:pPr>
        <w:pStyle w:val="7"/>
        <w:keepNext w:val="0"/>
        <w:keepLines w:val="0"/>
        <w:pageBreakBefore w:val="0"/>
        <w:kinsoku/>
        <w:overflowPunct/>
        <w:topLinePunct w:val="0"/>
        <w:autoSpaceDE/>
        <w:autoSpaceDN/>
        <w:bidi w:val="0"/>
        <w:adjustRightInd/>
        <w:snapToGrid/>
        <w:spacing w:line="560" w:lineRule="exact"/>
        <w:ind w:firstLine="640" w:firstLineChars="200"/>
        <w:rPr>
          <w:rFonts w:hint="default" w:ascii="仿宋" w:hAnsi="仿宋" w:eastAsia="仿宋" w:cs="仿宋"/>
          <w:snapToGrid w:val="0"/>
          <w:color w:val="000000"/>
          <w:kern w:val="0"/>
          <w:sz w:val="32"/>
          <w:szCs w:val="32"/>
          <w:highlight w:val="none"/>
          <w:lang w:val="en-US" w:eastAsia="zh-CN" w:bidi="ar-SA"/>
        </w:rPr>
      </w:pPr>
    </w:p>
    <w:p w14:paraId="234F3ED5">
      <w:pPr>
        <w:pStyle w:val="7"/>
        <w:keepNext w:val="0"/>
        <w:keepLines w:val="0"/>
        <w:pageBreakBefore w:val="0"/>
        <w:kinsoku/>
        <w:overflowPunct/>
        <w:topLinePunct w:val="0"/>
        <w:autoSpaceDE/>
        <w:autoSpaceDN/>
        <w:bidi w:val="0"/>
        <w:adjustRightInd/>
        <w:snapToGrid/>
        <w:spacing w:line="560" w:lineRule="exact"/>
        <w:ind w:firstLine="640" w:firstLineChars="200"/>
        <w:rPr>
          <w:rFonts w:hint="default" w:ascii="仿宋" w:hAnsi="仿宋" w:eastAsia="仿宋" w:cs="仿宋"/>
          <w:snapToGrid w:val="0"/>
          <w:color w:val="000000"/>
          <w:kern w:val="0"/>
          <w:sz w:val="32"/>
          <w:szCs w:val="32"/>
          <w:highlight w:val="none"/>
          <w:lang w:val="en-US" w:eastAsia="zh-CN" w:bidi="ar-SA"/>
        </w:rPr>
      </w:pPr>
    </w:p>
    <w:p w14:paraId="34491C67">
      <w:pPr>
        <w:pStyle w:val="7"/>
        <w:keepNext w:val="0"/>
        <w:keepLines w:val="0"/>
        <w:pageBreakBefore w:val="0"/>
        <w:kinsoku/>
        <w:overflowPunct/>
        <w:topLinePunct w:val="0"/>
        <w:autoSpaceDE/>
        <w:autoSpaceDN/>
        <w:bidi w:val="0"/>
        <w:adjustRightInd/>
        <w:snapToGrid/>
        <w:spacing w:line="560" w:lineRule="exact"/>
        <w:ind w:firstLine="640" w:firstLineChars="200"/>
        <w:rPr>
          <w:rFonts w:hint="default" w:ascii="仿宋" w:hAnsi="仿宋" w:eastAsia="仿宋" w:cs="仿宋"/>
          <w:snapToGrid w:val="0"/>
          <w:color w:val="000000"/>
          <w:kern w:val="0"/>
          <w:sz w:val="32"/>
          <w:szCs w:val="32"/>
          <w:highlight w:val="none"/>
          <w:lang w:val="en-US" w:eastAsia="zh-CN" w:bidi="ar-SA"/>
        </w:rPr>
      </w:pPr>
    </w:p>
    <w:p w14:paraId="6D1549C1">
      <w:pPr>
        <w:pStyle w:val="7"/>
        <w:keepNext w:val="0"/>
        <w:keepLines w:val="0"/>
        <w:pageBreakBefore w:val="0"/>
        <w:kinsoku/>
        <w:overflowPunct/>
        <w:topLinePunct w:val="0"/>
        <w:autoSpaceDE/>
        <w:autoSpaceDN/>
        <w:bidi w:val="0"/>
        <w:adjustRightInd/>
        <w:snapToGrid/>
        <w:spacing w:line="560" w:lineRule="exact"/>
        <w:ind w:firstLine="640" w:firstLineChars="200"/>
        <w:rPr>
          <w:rFonts w:hint="default" w:ascii="仿宋" w:hAnsi="仿宋" w:eastAsia="仿宋" w:cs="仿宋"/>
          <w:snapToGrid w:val="0"/>
          <w:color w:val="000000"/>
          <w:kern w:val="0"/>
          <w:sz w:val="32"/>
          <w:szCs w:val="32"/>
          <w:highlight w:val="none"/>
          <w:lang w:val="en-US" w:eastAsia="zh-CN" w:bidi="ar-SA"/>
        </w:rPr>
      </w:pPr>
    </w:p>
    <w:p w14:paraId="3E9CCCB7">
      <w:pPr>
        <w:pStyle w:val="7"/>
        <w:keepNext w:val="0"/>
        <w:keepLines w:val="0"/>
        <w:pageBreakBefore w:val="0"/>
        <w:kinsoku/>
        <w:overflowPunct/>
        <w:topLinePunct w:val="0"/>
        <w:autoSpaceDE/>
        <w:autoSpaceDN/>
        <w:bidi w:val="0"/>
        <w:adjustRightInd/>
        <w:snapToGrid/>
        <w:spacing w:line="560" w:lineRule="exact"/>
        <w:ind w:firstLine="640" w:firstLineChars="200"/>
        <w:rPr>
          <w:rFonts w:hint="default" w:ascii="仿宋" w:hAnsi="仿宋" w:eastAsia="仿宋" w:cs="仿宋"/>
          <w:snapToGrid w:val="0"/>
          <w:color w:val="000000"/>
          <w:kern w:val="0"/>
          <w:sz w:val="32"/>
          <w:szCs w:val="32"/>
          <w:highlight w:val="none"/>
          <w:lang w:val="en-US" w:eastAsia="zh-CN" w:bidi="ar-SA"/>
        </w:rPr>
      </w:pPr>
    </w:p>
    <w:p w14:paraId="335018E9">
      <w:pPr>
        <w:pStyle w:val="7"/>
        <w:keepNext w:val="0"/>
        <w:keepLines w:val="0"/>
        <w:pageBreakBefore w:val="0"/>
        <w:kinsoku/>
        <w:overflowPunct/>
        <w:topLinePunct w:val="0"/>
        <w:autoSpaceDE/>
        <w:autoSpaceDN/>
        <w:bidi w:val="0"/>
        <w:adjustRightInd/>
        <w:snapToGrid/>
        <w:spacing w:line="560" w:lineRule="exact"/>
        <w:ind w:firstLine="640" w:firstLineChars="200"/>
        <w:rPr>
          <w:rFonts w:hint="default" w:ascii="仿宋" w:hAnsi="仿宋" w:eastAsia="仿宋" w:cs="仿宋"/>
          <w:snapToGrid w:val="0"/>
          <w:color w:val="000000"/>
          <w:kern w:val="0"/>
          <w:sz w:val="32"/>
          <w:szCs w:val="32"/>
          <w:highlight w:val="none"/>
          <w:lang w:val="en-US" w:eastAsia="zh-CN" w:bidi="ar-SA"/>
        </w:rPr>
      </w:pPr>
    </w:p>
    <w:p w14:paraId="3115D962">
      <w:pPr>
        <w:pStyle w:val="7"/>
        <w:keepNext w:val="0"/>
        <w:keepLines w:val="0"/>
        <w:pageBreakBefore w:val="0"/>
        <w:kinsoku/>
        <w:overflowPunct/>
        <w:topLinePunct w:val="0"/>
        <w:autoSpaceDE/>
        <w:autoSpaceDN/>
        <w:bidi w:val="0"/>
        <w:adjustRightInd/>
        <w:snapToGrid/>
        <w:spacing w:line="560" w:lineRule="exact"/>
        <w:ind w:firstLine="640" w:firstLineChars="200"/>
        <w:rPr>
          <w:rFonts w:hint="default" w:ascii="仿宋" w:hAnsi="仿宋" w:eastAsia="仿宋" w:cs="仿宋"/>
          <w:snapToGrid w:val="0"/>
          <w:color w:val="000000"/>
          <w:kern w:val="0"/>
          <w:sz w:val="32"/>
          <w:szCs w:val="32"/>
          <w:highlight w:val="none"/>
          <w:lang w:val="en-US" w:eastAsia="zh-CN" w:bidi="ar-SA"/>
        </w:rPr>
      </w:pPr>
    </w:p>
    <w:p w14:paraId="5A157634">
      <w:pPr>
        <w:pStyle w:val="7"/>
        <w:keepNext w:val="0"/>
        <w:keepLines w:val="0"/>
        <w:pageBreakBefore w:val="0"/>
        <w:kinsoku/>
        <w:overflowPunct/>
        <w:topLinePunct w:val="0"/>
        <w:autoSpaceDE/>
        <w:autoSpaceDN/>
        <w:bidi w:val="0"/>
        <w:adjustRightInd/>
        <w:snapToGrid/>
        <w:spacing w:line="560" w:lineRule="exact"/>
        <w:ind w:firstLine="640" w:firstLineChars="200"/>
        <w:rPr>
          <w:rFonts w:hint="default" w:ascii="仿宋" w:hAnsi="仿宋" w:eastAsia="仿宋" w:cs="仿宋"/>
          <w:snapToGrid w:val="0"/>
          <w:color w:val="000000"/>
          <w:kern w:val="0"/>
          <w:sz w:val="32"/>
          <w:szCs w:val="32"/>
          <w:highlight w:val="none"/>
          <w:lang w:val="en-US" w:eastAsia="zh-CN" w:bidi="ar-SA"/>
        </w:rPr>
      </w:pPr>
    </w:p>
    <w:p w14:paraId="33722086">
      <w:pPr>
        <w:pStyle w:val="7"/>
        <w:keepNext w:val="0"/>
        <w:keepLines w:val="0"/>
        <w:pageBreakBefore w:val="0"/>
        <w:kinsoku/>
        <w:overflowPunct/>
        <w:topLinePunct w:val="0"/>
        <w:autoSpaceDE/>
        <w:autoSpaceDN/>
        <w:bidi w:val="0"/>
        <w:adjustRightInd/>
        <w:snapToGrid/>
        <w:spacing w:line="560" w:lineRule="exact"/>
        <w:ind w:firstLine="640" w:firstLineChars="200"/>
        <w:rPr>
          <w:rFonts w:hint="default" w:ascii="仿宋" w:hAnsi="仿宋" w:eastAsia="仿宋" w:cs="仿宋"/>
          <w:snapToGrid w:val="0"/>
          <w:color w:val="000000"/>
          <w:kern w:val="0"/>
          <w:sz w:val="32"/>
          <w:szCs w:val="32"/>
          <w:highlight w:val="none"/>
          <w:lang w:val="en-US" w:eastAsia="zh-CN" w:bidi="ar-SA"/>
        </w:rPr>
      </w:pPr>
    </w:p>
    <w:p w14:paraId="2A7A23AB">
      <w:pPr>
        <w:pStyle w:val="7"/>
        <w:keepNext w:val="0"/>
        <w:keepLines w:val="0"/>
        <w:pageBreakBefore w:val="0"/>
        <w:kinsoku/>
        <w:overflowPunct/>
        <w:topLinePunct w:val="0"/>
        <w:autoSpaceDE/>
        <w:autoSpaceDN/>
        <w:bidi w:val="0"/>
        <w:adjustRightInd/>
        <w:snapToGrid/>
        <w:spacing w:line="560" w:lineRule="exact"/>
        <w:ind w:firstLine="640" w:firstLineChars="200"/>
        <w:rPr>
          <w:rFonts w:hint="default" w:ascii="仿宋" w:hAnsi="仿宋" w:eastAsia="仿宋" w:cs="仿宋"/>
          <w:snapToGrid w:val="0"/>
          <w:color w:val="000000"/>
          <w:kern w:val="0"/>
          <w:sz w:val="32"/>
          <w:szCs w:val="32"/>
          <w:highlight w:val="none"/>
          <w:lang w:val="en-US" w:eastAsia="zh-CN" w:bidi="ar-SA"/>
        </w:rPr>
      </w:pPr>
    </w:p>
    <w:p w14:paraId="6C813C93">
      <w:pPr>
        <w:pStyle w:val="7"/>
        <w:spacing w:before="101" w:line="224" w:lineRule="auto"/>
        <w:ind w:left="0" w:leftChars="0" w:firstLine="0" w:firstLineChars="0"/>
        <w:jc w:val="center"/>
        <w:outlineLvl w:val="0"/>
        <w:rPr>
          <w:sz w:val="31"/>
          <w:szCs w:val="31"/>
        </w:rPr>
      </w:pPr>
      <w:r>
        <w:rPr>
          <w:rFonts w:hint="eastAsia" w:ascii="宋体" w:hAnsi="Times New Roman" w:cs="Times New Roman"/>
          <w:b/>
          <w:bCs/>
          <w:spacing w:val="5"/>
          <w:sz w:val="44"/>
          <w:szCs w:val="44"/>
          <w:lang w:eastAsia="zh-CN"/>
        </w:rPr>
        <w:t>第</w:t>
      </w:r>
      <w:r>
        <w:rPr>
          <w:rFonts w:hint="eastAsia" w:ascii="宋体" w:hAnsi="Times New Roman" w:cs="Times New Roman"/>
          <w:b/>
          <w:bCs/>
          <w:spacing w:val="5"/>
          <w:sz w:val="44"/>
          <w:szCs w:val="44"/>
          <w:lang w:val="en-US" w:eastAsia="zh-CN"/>
        </w:rPr>
        <w:t>五</w:t>
      </w:r>
      <w:r>
        <w:rPr>
          <w:rFonts w:hint="eastAsia" w:ascii="宋体" w:hAnsi="Times New Roman" w:cs="Times New Roman"/>
          <w:b/>
          <w:bCs/>
          <w:spacing w:val="5"/>
          <w:sz w:val="44"/>
          <w:szCs w:val="44"/>
          <w:lang w:eastAsia="zh-CN"/>
        </w:rPr>
        <w:t>章</w:t>
      </w:r>
      <w:r>
        <w:rPr>
          <w:rFonts w:hint="eastAsia" w:cs="宋体"/>
          <w:sz w:val="40"/>
          <w:szCs w:val="32"/>
          <w:highlight w:val="none"/>
          <w:lang w:val="en-US" w:eastAsia="zh-CN"/>
        </w:rPr>
        <w:t xml:space="preserve">  </w:t>
      </w:r>
      <w:bookmarkEnd w:id="48"/>
      <w:bookmarkEnd w:id="49"/>
      <w:bookmarkEnd w:id="50"/>
      <w:bookmarkEnd w:id="51"/>
      <w:bookmarkStart w:id="57" w:name="_Toc12923"/>
      <w:bookmarkStart w:id="58" w:name="_Toc14197"/>
      <w:bookmarkStart w:id="59" w:name="_Toc20180"/>
      <w:bookmarkStart w:id="60" w:name="_Toc29973"/>
      <w:r>
        <w:rPr>
          <w:b/>
          <w:bCs/>
          <w:spacing w:val="5"/>
          <w:sz w:val="44"/>
          <w:szCs w:val="44"/>
        </w:rPr>
        <w:t>政府采购合同</w:t>
      </w:r>
    </w:p>
    <w:p w14:paraId="41457C00">
      <w:pPr>
        <w:spacing w:line="441" w:lineRule="auto"/>
        <w:rPr>
          <w:rFonts w:ascii="Arial"/>
          <w:sz w:val="21"/>
        </w:rPr>
      </w:pPr>
    </w:p>
    <w:p w14:paraId="6A2B6F21">
      <w:pPr>
        <w:pStyle w:val="7"/>
        <w:spacing w:before="78" w:line="219" w:lineRule="auto"/>
        <w:ind w:left="0" w:leftChars="0"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pacing w:val="-3"/>
          <w:sz w:val="32"/>
          <w:szCs w:val="32"/>
        </w:rPr>
        <w:t>合同编号：</w:t>
      </w:r>
    </w:p>
    <w:p w14:paraId="35A0D50A">
      <w:pPr>
        <w:spacing w:line="343" w:lineRule="auto"/>
        <w:rPr>
          <w:rFonts w:ascii="Arial"/>
          <w:sz w:val="21"/>
        </w:rPr>
      </w:pPr>
    </w:p>
    <w:p w14:paraId="7C9291B7">
      <w:pPr>
        <w:pStyle w:val="7"/>
        <w:keepNext w:val="0"/>
        <w:keepLines w:val="0"/>
        <w:pageBreakBefore w:val="0"/>
        <w:widowControl w:val="0"/>
        <w:kinsoku/>
        <w:wordWrap/>
        <w:overflowPunct/>
        <w:topLinePunct w:val="0"/>
        <w:autoSpaceDE/>
        <w:autoSpaceDN/>
        <w:bidi w:val="0"/>
        <w:adjustRightInd w:val="0"/>
        <w:snapToGrid/>
        <w:spacing w:after="0" w:line="360" w:lineRule="auto"/>
        <w:ind w:left="0" w:leftChars="0" w:right="0" w:firstLine="0" w:firstLineChars="0"/>
        <w:jc w:val="center"/>
        <w:textAlignment w:val="baseline"/>
        <w:rPr>
          <w:sz w:val="24"/>
          <w:szCs w:val="24"/>
        </w:rPr>
      </w:pPr>
      <w:r>
        <w:rPr>
          <w:rFonts w:hint="eastAsia"/>
          <w:b/>
          <w:bCs/>
          <w:spacing w:val="5"/>
          <w:sz w:val="43"/>
          <w:szCs w:val="43"/>
          <w:lang w:val="en-US" w:eastAsia="zh-CN"/>
        </w:rPr>
        <w:t xml:space="preserve">   </w:t>
      </w:r>
      <w:r>
        <w:rPr>
          <w:b/>
          <w:bCs/>
          <w:spacing w:val="5"/>
          <w:sz w:val="43"/>
          <w:szCs w:val="43"/>
        </w:rPr>
        <w:t>政府采购合同参考范本</w:t>
      </w:r>
      <w:r>
        <w:rPr>
          <w:b/>
          <w:bCs/>
          <w:spacing w:val="-7"/>
          <w:sz w:val="24"/>
          <w:szCs w:val="24"/>
        </w:rPr>
        <w:t>（服务类）</w:t>
      </w:r>
    </w:p>
    <w:p w14:paraId="5B499C32">
      <w:pPr>
        <w:spacing w:line="404" w:lineRule="auto"/>
        <w:rPr>
          <w:rFonts w:ascii="Arial"/>
          <w:sz w:val="21"/>
        </w:rPr>
      </w:pPr>
    </w:p>
    <w:p w14:paraId="1E90F0AD">
      <w:pPr>
        <w:pStyle w:val="7"/>
        <w:spacing w:before="78" w:line="219" w:lineRule="auto"/>
        <w:ind w:left="3273"/>
        <w:rPr>
          <w:sz w:val="24"/>
          <w:szCs w:val="24"/>
        </w:rPr>
      </w:pPr>
      <w:r>
        <w:rPr>
          <w:b/>
          <w:bCs/>
          <w:spacing w:val="-3"/>
          <w:sz w:val="24"/>
          <w:szCs w:val="24"/>
        </w:rPr>
        <w:t>第一部分</w:t>
      </w:r>
      <w:r>
        <w:rPr>
          <w:spacing w:val="-3"/>
          <w:sz w:val="24"/>
          <w:szCs w:val="24"/>
        </w:rPr>
        <w:t xml:space="preserve"> </w:t>
      </w:r>
      <w:r>
        <w:rPr>
          <w:b/>
          <w:bCs/>
          <w:spacing w:val="-3"/>
          <w:sz w:val="24"/>
          <w:szCs w:val="24"/>
        </w:rPr>
        <w:t>合同书</w:t>
      </w:r>
    </w:p>
    <w:p w14:paraId="47BB5562">
      <w:pPr>
        <w:spacing w:line="386" w:lineRule="auto"/>
        <w:rPr>
          <w:rFonts w:ascii="Arial"/>
          <w:sz w:val="21"/>
        </w:rPr>
      </w:pPr>
    </w:p>
    <w:p w14:paraId="3DF3CCC5">
      <w:pPr>
        <w:pStyle w:val="7"/>
        <w:spacing w:before="78" w:line="220" w:lineRule="auto"/>
        <w:ind w:left="0" w:leftChars="0" w:firstLine="628" w:firstLineChars="200"/>
        <w:rPr>
          <w:rFonts w:hint="eastAsia" w:ascii="仿宋_GB2312" w:hAnsi="仿宋_GB2312" w:eastAsia="仿宋_GB2312" w:cs="仿宋_GB2312"/>
          <w:sz w:val="32"/>
          <w:szCs w:val="32"/>
          <w:u w:val="none" w:color="auto"/>
        </w:rPr>
      </w:pPr>
      <w:r>
        <w:rPr>
          <w:rFonts w:hint="eastAsia" w:ascii="仿宋_GB2312" w:hAnsi="仿宋_GB2312" w:eastAsia="仿宋_GB2312" w:cs="仿宋_GB2312"/>
          <w:spacing w:val="-3"/>
          <w:sz w:val="32"/>
          <w:szCs w:val="32"/>
        </w:rPr>
        <w:t>项目名称：</w:t>
      </w:r>
      <w:r>
        <w:rPr>
          <w:rFonts w:hint="eastAsia" w:ascii="仿宋_GB2312" w:hAnsi="仿宋_GB2312" w:eastAsia="仿宋_GB2312" w:cs="仿宋_GB2312"/>
          <w:sz w:val="32"/>
          <w:szCs w:val="32"/>
          <w:u w:val="none" w:color="auto"/>
        </w:rPr>
        <w:t xml:space="preserve">                                   </w:t>
      </w:r>
    </w:p>
    <w:p w14:paraId="5418F50B">
      <w:pPr>
        <w:spacing w:line="295" w:lineRule="auto"/>
        <w:rPr>
          <w:rFonts w:hint="eastAsia" w:ascii="仿宋_GB2312" w:hAnsi="仿宋_GB2312" w:eastAsia="仿宋_GB2312" w:cs="仿宋_GB2312"/>
          <w:sz w:val="32"/>
          <w:szCs w:val="32"/>
        </w:rPr>
      </w:pPr>
    </w:p>
    <w:p w14:paraId="4CD04CEC">
      <w:pPr>
        <w:spacing w:line="296" w:lineRule="auto"/>
        <w:rPr>
          <w:rFonts w:hint="eastAsia" w:ascii="仿宋_GB2312" w:hAnsi="仿宋_GB2312" w:eastAsia="仿宋_GB2312" w:cs="仿宋_GB2312"/>
          <w:sz w:val="32"/>
          <w:szCs w:val="32"/>
        </w:rPr>
      </w:pPr>
    </w:p>
    <w:p w14:paraId="1A2039AD">
      <w:pPr>
        <w:pStyle w:val="7"/>
        <w:spacing w:before="79" w:line="221" w:lineRule="auto"/>
        <w:rPr>
          <w:rFonts w:hint="eastAsia" w:ascii="仿宋_GB2312" w:hAnsi="仿宋_GB2312" w:eastAsia="仿宋_GB2312" w:cs="仿宋_GB2312"/>
          <w:sz w:val="32"/>
          <w:szCs w:val="32"/>
        </w:rPr>
      </w:pPr>
      <w:r>
        <w:rPr>
          <w:rFonts w:hint="eastAsia" w:ascii="仿宋_GB2312" w:hAnsi="仿宋_GB2312" w:eastAsia="仿宋_GB2312" w:cs="仿宋_GB2312"/>
          <w:spacing w:val="-14"/>
          <w:sz w:val="32"/>
          <w:szCs w:val="32"/>
        </w:rPr>
        <w:t>甲方：</w:t>
      </w:r>
      <w:r>
        <w:rPr>
          <w:rFonts w:hint="eastAsia" w:ascii="仿宋_GB2312" w:hAnsi="仿宋_GB2312" w:eastAsia="仿宋_GB2312" w:cs="仿宋_GB2312"/>
          <w:sz w:val="32"/>
          <w:szCs w:val="32"/>
          <w:u w:val="single" w:color="auto"/>
        </w:rPr>
        <w:t xml:space="preserve">                                        </w:t>
      </w:r>
    </w:p>
    <w:p w14:paraId="5EC57DA7">
      <w:pPr>
        <w:spacing w:line="295" w:lineRule="auto"/>
        <w:rPr>
          <w:rFonts w:hint="eastAsia" w:ascii="仿宋_GB2312" w:hAnsi="仿宋_GB2312" w:eastAsia="仿宋_GB2312" w:cs="仿宋_GB2312"/>
          <w:sz w:val="32"/>
          <w:szCs w:val="32"/>
        </w:rPr>
      </w:pPr>
    </w:p>
    <w:p w14:paraId="4EEB2930">
      <w:pPr>
        <w:spacing w:line="296" w:lineRule="auto"/>
        <w:rPr>
          <w:rFonts w:hint="eastAsia" w:ascii="仿宋_GB2312" w:hAnsi="仿宋_GB2312" w:eastAsia="仿宋_GB2312" w:cs="仿宋_GB2312"/>
          <w:sz w:val="32"/>
          <w:szCs w:val="32"/>
        </w:rPr>
      </w:pPr>
    </w:p>
    <w:p w14:paraId="2FF8F467">
      <w:pPr>
        <w:pStyle w:val="7"/>
        <w:spacing w:before="78" w:line="221" w:lineRule="auto"/>
        <w:rPr>
          <w:rFonts w:hint="eastAsia" w:ascii="仿宋_GB2312" w:hAnsi="仿宋_GB2312" w:eastAsia="仿宋_GB2312" w:cs="仿宋_GB2312"/>
          <w:sz w:val="32"/>
          <w:szCs w:val="32"/>
        </w:rPr>
      </w:pPr>
      <w:r>
        <w:rPr>
          <w:rFonts w:hint="eastAsia" w:ascii="仿宋_GB2312" w:hAnsi="仿宋_GB2312" w:eastAsia="仿宋_GB2312" w:cs="仿宋_GB2312"/>
          <w:spacing w:val="-6"/>
          <w:sz w:val="32"/>
          <w:szCs w:val="32"/>
        </w:rPr>
        <w:t>乙方：</w:t>
      </w:r>
      <w:r>
        <w:rPr>
          <w:rFonts w:hint="eastAsia" w:ascii="仿宋_GB2312" w:hAnsi="仿宋_GB2312" w:eastAsia="仿宋_GB2312" w:cs="仿宋_GB2312"/>
          <w:spacing w:val="-6"/>
          <w:sz w:val="32"/>
          <w:szCs w:val="32"/>
          <w:u w:val="single" w:color="auto"/>
        </w:rPr>
        <w:t xml:space="preserve">                              </w:t>
      </w:r>
      <w:r>
        <w:rPr>
          <w:rFonts w:hint="eastAsia" w:ascii="仿宋_GB2312" w:hAnsi="仿宋_GB2312" w:eastAsia="仿宋_GB2312" w:cs="仿宋_GB2312"/>
          <w:spacing w:val="-7"/>
          <w:sz w:val="32"/>
          <w:szCs w:val="32"/>
          <w:u w:val="single" w:color="auto"/>
        </w:rPr>
        <w:t xml:space="preserve">           </w:t>
      </w:r>
    </w:p>
    <w:p w14:paraId="78F5A363">
      <w:pPr>
        <w:spacing w:line="295" w:lineRule="auto"/>
        <w:rPr>
          <w:rFonts w:hint="eastAsia" w:ascii="仿宋_GB2312" w:hAnsi="仿宋_GB2312" w:eastAsia="仿宋_GB2312" w:cs="仿宋_GB2312"/>
          <w:sz w:val="32"/>
          <w:szCs w:val="32"/>
        </w:rPr>
      </w:pPr>
    </w:p>
    <w:p w14:paraId="207F4A57">
      <w:pPr>
        <w:spacing w:line="296" w:lineRule="auto"/>
        <w:rPr>
          <w:rFonts w:hint="eastAsia" w:ascii="仿宋_GB2312" w:hAnsi="仿宋_GB2312" w:eastAsia="仿宋_GB2312" w:cs="仿宋_GB2312"/>
          <w:sz w:val="32"/>
          <w:szCs w:val="32"/>
        </w:rPr>
      </w:pPr>
    </w:p>
    <w:p w14:paraId="5DA13CF7">
      <w:pPr>
        <w:pStyle w:val="7"/>
        <w:keepNext w:val="0"/>
        <w:keepLines w:val="0"/>
        <w:pageBreakBefore w:val="0"/>
        <w:widowControl w:val="0"/>
        <w:kinsoku/>
        <w:wordWrap/>
        <w:overflowPunct/>
        <w:topLinePunct w:val="0"/>
        <w:autoSpaceDE/>
        <w:autoSpaceDN/>
        <w:bidi w:val="0"/>
        <w:adjustRightInd w:val="0"/>
        <w:snapToGrid/>
        <w:spacing w:after="0" w:line="360" w:lineRule="auto"/>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pacing w:val="-3"/>
          <w:sz w:val="32"/>
          <w:szCs w:val="32"/>
        </w:rPr>
        <w:t>签订地</w:t>
      </w:r>
      <w:r>
        <w:rPr>
          <w:rFonts w:hint="eastAsia" w:ascii="仿宋_GB2312" w:hAnsi="仿宋_GB2312" w:eastAsia="仿宋_GB2312" w:cs="仿宋_GB2312"/>
          <w:spacing w:val="-3"/>
          <w:sz w:val="32"/>
          <w:szCs w:val="32"/>
          <w:u w:val="single" w:color="auto"/>
        </w:rPr>
        <w:t>：</w:t>
      </w:r>
      <w:r>
        <w:rPr>
          <w:rFonts w:hint="eastAsia" w:ascii="仿宋_GB2312" w:hAnsi="仿宋_GB2312" w:eastAsia="仿宋_GB2312" w:cs="仿宋_GB2312"/>
          <w:spacing w:val="-3"/>
          <w:sz w:val="32"/>
          <w:szCs w:val="32"/>
          <w:u w:val="single" w:color="auto"/>
          <w:lang w:val="en-US" w:eastAsia="zh-CN"/>
        </w:rPr>
        <w:t xml:space="preserve">             </w:t>
      </w:r>
      <w:r>
        <w:rPr>
          <w:rFonts w:hint="eastAsia" w:ascii="仿宋_GB2312" w:hAnsi="仿宋_GB2312" w:eastAsia="仿宋_GB2312" w:cs="仿宋_GB2312"/>
          <w:sz w:val="32"/>
          <w:szCs w:val="32"/>
          <w:u w:val="single" w:color="auto"/>
        </w:rPr>
        <w:t xml:space="preserve">                                      </w:t>
      </w:r>
    </w:p>
    <w:p w14:paraId="2487BEE7">
      <w:pPr>
        <w:spacing w:line="294" w:lineRule="auto"/>
        <w:rPr>
          <w:rFonts w:hint="eastAsia" w:ascii="仿宋_GB2312" w:hAnsi="仿宋_GB2312" w:eastAsia="仿宋_GB2312" w:cs="仿宋_GB2312"/>
          <w:sz w:val="32"/>
          <w:szCs w:val="32"/>
        </w:rPr>
      </w:pPr>
    </w:p>
    <w:p w14:paraId="0E4EE180">
      <w:pPr>
        <w:spacing w:line="295" w:lineRule="auto"/>
        <w:rPr>
          <w:rFonts w:hint="eastAsia" w:ascii="仿宋_GB2312" w:hAnsi="仿宋_GB2312" w:eastAsia="仿宋_GB2312" w:cs="仿宋_GB2312"/>
          <w:sz w:val="32"/>
          <w:szCs w:val="32"/>
        </w:rPr>
      </w:pPr>
    </w:p>
    <w:p w14:paraId="7B3FEAB9">
      <w:pPr>
        <w:pStyle w:val="7"/>
        <w:spacing w:before="79" w:line="219" w:lineRule="auto"/>
        <w:rPr>
          <w:rFonts w:hint="eastAsia" w:ascii="仿宋_GB2312" w:hAnsi="仿宋_GB2312" w:eastAsia="仿宋_GB2312" w:cs="仿宋_GB2312"/>
          <w:sz w:val="32"/>
          <w:szCs w:val="32"/>
        </w:rPr>
      </w:pPr>
      <w:r>
        <w:rPr>
          <w:rFonts w:hint="eastAsia" w:ascii="仿宋_GB2312" w:hAnsi="仿宋_GB2312" w:eastAsia="仿宋_GB2312" w:cs="仿宋_GB2312"/>
          <w:spacing w:val="-2"/>
          <w:sz w:val="32"/>
          <w:szCs w:val="32"/>
        </w:rPr>
        <w:t>签订日期：</w:t>
      </w:r>
      <w:r>
        <w:rPr>
          <w:rFonts w:hint="eastAsia" w:ascii="仿宋_GB2312" w:hAnsi="仿宋_GB2312" w:eastAsia="仿宋_GB2312" w:cs="仿宋_GB2312"/>
          <w:spacing w:val="-2"/>
          <w:sz w:val="32"/>
          <w:szCs w:val="32"/>
          <w:u w:val="single" w:color="auto"/>
        </w:rPr>
        <w:t xml:space="preserve">               </w:t>
      </w:r>
      <w:r>
        <w:rPr>
          <w:rFonts w:hint="eastAsia" w:ascii="仿宋_GB2312" w:hAnsi="仿宋_GB2312" w:eastAsia="仿宋_GB2312" w:cs="仿宋_GB2312"/>
          <w:spacing w:val="-100"/>
          <w:sz w:val="32"/>
          <w:szCs w:val="32"/>
        </w:rPr>
        <w:t xml:space="preserve"> </w:t>
      </w:r>
      <w:r>
        <w:rPr>
          <w:rFonts w:hint="eastAsia" w:ascii="仿宋_GB2312" w:hAnsi="仿宋_GB2312" w:eastAsia="仿宋_GB2312" w:cs="仿宋_GB2312"/>
          <w:spacing w:val="-2"/>
          <w:sz w:val="32"/>
          <w:szCs w:val="32"/>
        </w:rPr>
        <w:t>年</w:t>
      </w:r>
      <w:r>
        <w:rPr>
          <w:rFonts w:hint="eastAsia" w:ascii="仿宋_GB2312" w:hAnsi="仿宋_GB2312" w:eastAsia="仿宋_GB2312" w:cs="仿宋_GB2312"/>
          <w:spacing w:val="19"/>
          <w:sz w:val="32"/>
          <w:szCs w:val="32"/>
          <w:u w:val="single" w:color="auto"/>
        </w:rPr>
        <w:t xml:space="preserve">      </w:t>
      </w:r>
      <w:r>
        <w:rPr>
          <w:rFonts w:hint="eastAsia" w:ascii="仿宋_GB2312" w:hAnsi="仿宋_GB2312" w:eastAsia="仿宋_GB2312" w:cs="仿宋_GB2312"/>
          <w:spacing w:val="-99"/>
          <w:sz w:val="32"/>
          <w:szCs w:val="32"/>
        </w:rPr>
        <w:t xml:space="preserve"> </w:t>
      </w:r>
      <w:r>
        <w:rPr>
          <w:rFonts w:hint="eastAsia" w:ascii="仿宋_GB2312" w:hAnsi="仿宋_GB2312" w:eastAsia="仿宋_GB2312" w:cs="仿宋_GB2312"/>
          <w:spacing w:val="-2"/>
          <w:sz w:val="32"/>
          <w:szCs w:val="32"/>
        </w:rPr>
        <w:t>月</w:t>
      </w:r>
      <w:r>
        <w:rPr>
          <w:rFonts w:hint="eastAsia" w:ascii="仿宋_GB2312" w:hAnsi="仿宋_GB2312" w:eastAsia="仿宋_GB2312" w:cs="仿宋_GB2312"/>
          <w:spacing w:val="20"/>
          <w:sz w:val="32"/>
          <w:szCs w:val="32"/>
          <w:u w:val="single" w:color="auto"/>
        </w:rPr>
        <w:t xml:space="preserve">      </w:t>
      </w:r>
      <w:r>
        <w:rPr>
          <w:rFonts w:hint="eastAsia" w:ascii="仿宋_GB2312" w:hAnsi="仿宋_GB2312" w:eastAsia="仿宋_GB2312" w:cs="仿宋_GB2312"/>
          <w:spacing w:val="-69"/>
          <w:sz w:val="32"/>
          <w:szCs w:val="32"/>
        </w:rPr>
        <w:t xml:space="preserve"> </w:t>
      </w:r>
      <w:r>
        <w:rPr>
          <w:rFonts w:hint="eastAsia" w:ascii="仿宋_GB2312" w:hAnsi="仿宋_GB2312" w:eastAsia="仿宋_GB2312" w:cs="仿宋_GB2312"/>
          <w:spacing w:val="-2"/>
          <w:sz w:val="32"/>
          <w:szCs w:val="32"/>
        </w:rPr>
        <w:t>日</w:t>
      </w:r>
    </w:p>
    <w:p w14:paraId="6AF13011">
      <w:pPr>
        <w:spacing w:line="219" w:lineRule="auto"/>
        <w:rPr>
          <w:rFonts w:hint="eastAsia" w:ascii="仿宋_GB2312" w:hAnsi="仿宋_GB2312" w:eastAsia="仿宋_GB2312" w:cs="仿宋_GB2312"/>
          <w:sz w:val="32"/>
          <w:szCs w:val="32"/>
        </w:rPr>
        <w:sectPr>
          <w:footerReference r:id="rId8" w:type="default"/>
          <w:pgSz w:w="11905" w:h="16839"/>
          <w:pgMar w:top="1086" w:right="1785" w:bottom="1175" w:left="1785" w:header="1076" w:footer="1013" w:gutter="0"/>
          <w:pgNumType w:fmt="decimal"/>
          <w:cols w:space="720" w:num="1"/>
        </w:sectPr>
      </w:pPr>
    </w:p>
    <w:p w14:paraId="096F7B26">
      <w:pPr>
        <w:pStyle w:val="7"/>
        <w:tabs>
          <w:tab w:val="left" w:pos="1466"/>
          <w:tab w:val="left" w:pos="8305"/>
        </w:tabs>
        <w:spacing w:before="117" w:line="308" w:lineRule="auto"/>
        <w:ind w:left="0" w:leftChars="0" w:firstLine="720" w:firstLineChars="300"/>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single"/>
          <w:lang w:val="en-US" w:eastAsia="zh-CN" w:bidi="ar-SA"/>
        </w:rPr>
        <w:tab/>
      </w:r>
      <w:r>
        <w:rPr>
          <w:rFonts w:hint="eastAsia" w:ascii="仿宋_GB2312" w:hAnsi="仿宋_GB2312" w:eastAsia="仿宋_GB2312" w:cs="仿宋_GB2312"/>
          <w:b w:val="0"/>
          <w:bCs/>
          <w:kern w:val="0"/>
          <w:sz w:val="24"/>
          <w:szCs w:val="24"/>
          <w:highlight w:val="none"/>
          <w:u w:val="single"/>
          <w:lang w:val="en-US" w:eastAsia="zh-CN" w:bidi="ar-SA"/>
        </w:rPr>
        <w:t xml:space="preserve"> </w:t>
      </w:r>
      <w:r>
        <w:rPr>
          <w:rFonts w:hint="eastAsia" w:ascii="仿宋_GB2312" w:hAnsi="仿宋_GB2312" w:eastAsia="仿宋_GB2312" w:cs="仿宋_GB2312"/>
          <w:b w:val="0"/>
          <w:bCs/>
          <w:kern w:val="0"/>
          <w:sz w:val="24"/>
          <w:szCs w:val="24"/>
          <w:highlight w:val="none"/>
          <w:u w:val="none"/>
          <w:lang w:val="en-US" w:eastAsia="zh-CN" w:bidi="ar-SA"/>
        </w:rPr>
        <w:t>年</w:t>
      </w:r>
      <w:r>
        <w:rPr>
          <w:rFonts w:hint="eastAsia" w:ascii="仿宋_GB2312" w:hAnsi="仿宋_GB2312" w:eastAsia="仿宋_GB2312" w:cs="仿宋_GB2312"/>
          <w:b w:val="0"/>
          <w:bCs/>
          <w:kern w:val="0"/>
          <w:sz w:val="24"/>
          <w:szCs w:val="24"/>
          <w:highlight w:val="none"/>
          <w:u w:val="single"/>
          <w:lang w:val="en-US" w:eastAsia="zh-CN" w:bidi="ar-SA"/>
        </w:rPr>
        <w:t xml:space="preserve">      </w:t>
      </w:r>
      <w:r>
        <w:rPr>
          <w:rFonts w:hint="eastAsia" w:ascii="仿宋_GB2312" w:hAnsi="仿宋_GB2312" w:eastAsia="仿宋_GB2312" w:cs="仿宋_GB2312"/>
          <w:b w:val="0"/>
          <w:bCs/>
          <w:kern w:val="0"/>
          <w:sz w:val="24"/>
          <w:szCs w:val="24"/>
          <w:highlight w:val="none"/>
          <w:u w:val="none"/>
          <w:lang w:val="en-US" w:eastAsia="zh-CN" w:bidi="ar-SA"/>
        </w:rPr>
        <w:t>月</w:t>
      </w:r>
      <w:r>
        <w:rPr>
          <w:rFonts w:hint="eastAsia" w:ascii="仿宋_GB2312" w:hAnsi="仿宋_GB2312" w:eastAsia="仿宋_GB2312" w:cs="仿宋_GB2312"/>
          <w:b w:val="0"/>
          <w:bCs/>
          <w:kern w:val="0"/>
          <w:sz w:val="24"/>
          <w:szCs w:val="24"/>
          <w:highlight w:val="none"/>
          <w:u w:val="single"/>
          <w:lang w:val="en-US" w:eastAsia="zh-CN" w:bidi="ar-SA"/>
        </w:rPr>
        <w:t xml:space="preserve">      </w:t>
      </w:r>
      <w:r>
        <w:rPr>
          <w:rFonts w:hint="eastAsia" w:ascii="仿宋_GB2312" w:hAnsi="仿宋_GB2312" w:eastAsia="仿宋_GB2312" w:cs="仿宋_GB2312"/>
          <w:b w:val="0"/>
          <w:bCs/>
          <w:kern w:val="0"/>
          <w:sz w:val="24"/>
          <w:szCs w:val="24"/>
          <w:highlight w:val="none"/>
          <w:u w:val="none"/>
          <w:lang w:val="en-US" w:eastAsia="zh-CN" w:bidi="ar-SA"/>
        </w:rPr>
        <w:t>日，</w:t>
      </w:r>
      <w:r>
        <w:rPr>
          <w:rFonts w:hint="eastAsia" w:ascii="仿宋_GB2312" w:hAnsi="仿宋_GB2312" w:eastAsia="仿宋_GB2312" w:cs="仿宋_GB2312"/>
          <w:b w:val="0"/>
          <w:bCs/>
          <w:kern w:val="0"/>
          <w:sz w:val="24"/>
          <w:szCs w:val="24"/>
          <w:highlight w:val="none"/>
          <w:u w:val="single"/>
          <w:lang w:val="en-US" w:eastAsia="zh-CN" w:bidi="ar-SA"/>
        </w:rPr>
        <w:t xml:space="preserve">   （采购人名称）    </w:t>
      </w:r>
      <w:r>
        <w:rPr>
          <w:rFonts w:hint="eastAsia" w:ascii="仿宋_GB2312" w:hAnsi="仿宋_GB2312" w:eastAsia="仿宋_GB2312" w:cs="仿宋_GB2312"/>
          <w:b w:val="0"/>
          <w:bCs/>
          <w:kern w:val="0"/>
          <w:sz w:val="24"/>
          <w:szCs w:val="24"/>
          <w:highlight w:val="none"/>
          <w:u w:val="none"/>
          <w:lang w:val="en-US" w:eastAsia="zh-CN" w:bidi="ar-SA"/>
        </w:rPr>
        <w:t>以</w:t>
      </w:r>
      <w:r>
        <w:rPr>
          <w:rFonts w:hint="eastAsia" w:ascii="仿宋_GB2312" w:hAnsi="仿宋_GB2312" w:eastAsia="仿宋_GB2312" w:cs="仿宋_GB2312"/>
          <w:b w:val="0"/>
          <w:bCs/>
          <w:kern w:val="0"/>
          <w:sz w:val="24"/>
          <w:szCs w:val="24"/>
          <w:highlight w:val="none"/>
          <w:u w:val="single"/>
          <w:lang w:val="en-US" w:eastAsia="zh-CN" w:bidi="ar-SA"/>
        </w:rPr>
        <w:t xml:space="preserve">    （政府采购方式） </w:t>
      </w:r>
      <w:r>
        <w:rPr>
          <w:rFonts w:hint="eastAsia" w:ascii="仿宋_GB2312" w:hAnsi="仿宋_GB2312" w:eastAsia="仿宋_GB2312" w:cs="仿宋_GB2312"/>
          <w:b w:val="0"/>
          <w:bCs/>
          <w:kern w:val="0"/>
          <w:sz w:val="24"/>
          <w:szCs w:val="24"/>
          <w:highlight w:val="none"/>
          <w:u w:val="none"/>
          <w:lang w:val="en-US" w:eastAsia="zh-CN" w:bidi="ar-SA"/>
        </w:rPr>
        <w:t>对</w:t>
      </w:r>
      <w:r>
        <w:rPr>
          <w:rFonts w:hint="eastAsia" w:ascii="仿宋_GB2312" w:hAnsi="仿宋_GB2312" w:eastAsia="仿宋_GB2312" w:cs="仿宋_GB2312"/>
          <w:b w:val="0"/>
          <w:bCs/>
          <w:kern w:val="0"/>
          <w:sz w:val="24"/>
          <w:szCs w:val="24"/>
          <w:highlight w:val="none"/>
          <w:u w:val="single"/>
          <w:lang w:val="en-US" w:eastAsia="zh-CN" w:bidi="ar-SA"/>
        </w:rPr>
        <w:t xml:space="preserve">    （同前页项目名称）    </w:t>
      </w:r>
      <w:r>
        <w:rPr>
          <w:rFonts w:hint="eastAsia" w:ascii="仿宋_GB2312" w:hAnsi="仿宋_GB2312" w:eastAsia="仿宋_GB2312" w:cs="仿宋_GB2312"/>
          <w:b w:val="0"/>
          <w:bCs/>
          <w:kern w:val="0"/>
          <w:sz w:val="24"/>
          <w:szCs w:val="24"/>
          <w:highlight w:val="none"/>
          <w:u w:val="none"/>
          <w:lang w:val="en-US" w:eastAsia="zh-CN" w:bidi="ar-SA"/>
        </w:rPr>
        <w:t>项目进行了采购。经</w:t>
      </w:r>
      <w:r>
        <w:rPr>
          <w:rFonts w:hint="eastAsia" w:ascii="仿宋_GB2312" w:hAnsi="仿宋_GB2312" w:eastAsia="仿宋_GB2312" w:cs="仿宋_GB2312"/>
          <w:b w:val="0"/>
          <w:bCs/>
          <w:kern w:val="0"/>
          <w:sz w:val="24"/>
          <w:szCs w:val="24"/>
          <w:highlight w:val="none"/>
          <w:u w:val="single"/>
          <w:lang w:val="en-US" w:eastAsia="zh-CN" w:bidi="ar-SA"/>
        </w:rPr>
        <w:t xml:space="preserve">    （相关评定主体名称）</w:t>
      </w:r>
      <w:r>
        <w:rPr>
          <w:rFonts w:hint="eastAsia" w:ascii="仿宋_GB2312" w:hAnsi="仿宋_GB2312" w:eastAsia="仿宋_GB2312" w:cs="仿宋_GB2312"/>
          <w:b w:val="0"/>
          <w:bCs/>
          <w:kern w:val="0"/>
          <w:sz w:val="24"/>
          <w:szCs w:val="24"/>
          <w:highlight w:val="none"/>
          <w:u w:val="single"/>
          <w:lang w:val="en-US" w:eastAsia="zh-CN" w:bidi="ar-SA"/>
        </w:rPr>
        <w:tab/>
      </w:r>
      <w:r>
        <w:rPr>
          <w:rFonts w:hint="eastAsia" w:ascii="仿宋_GB2312" w:hAnsi="仿宋_GB2312" w:eastAsia="仿宋_GB2312" w:cs="仿宋_GB2312"/>
          <w:b w:val="0"/>
          <w:bCs/>
          <w:kern w:val="0"/>
          <w:sz w:val="24"/>
          <w:szCs w:val="24"/>
          <w:highlight w:val="none"/>
          <w:u w:val="single"/>
          <w:lang w:val="en-US" w:eastAsia="zh-CN" w:bidi="ar-SA"/>
        </w:rPr>
        <w:t xml:space="preserve">  </w:t>
      </w:r>
      <w:r>
        <w:rPr>
          <w:rFonts w:hint="eastAsia" w:ascii="仿宋_GB2312" w:hAnsi="仿宋_GB2312" w:eastAsia="仿宋_GB2312" w:cs="仿宋_GB2312"/>
          <w:b w:val="0"/>
          <w:bCs/>
          <w:kern w:val="0"/>
          <w:sz w:val="24"/>
          <w:szCs w:val="24"/>
          <w:highlight w:val="none"/>
          <w:u w:val="none"/>
          <w:lang w:val="en-US" w:eastAsia="zh-CN" w:bidi="ar-SA"/>
        </w:rPr>
        <w:t>评定，</w:t>
      </w:r>
      <w:r>
        <w:rPr>
          <w:rFonts w:hint="eastAsia" w:ascii="仿宋_GB2312" w:hAnsi="仿宋_GB2312" w:eastAsia="仿宋_GB2312" w:cs="仿宋_GB2312"/>
          <w:b w:val="0"/>
          <w:bCs/>
          <w:kern w:val="0"/>
          <w:sz w:val="24"/>
          <w:szCs w:val="24"/>
          <w:highlight w:val="none"/>
          <w:u w:val="single"/>
          <w:lang w:val="en-US" w:eastAsia="zh-CN" w:bidi="ar-SA"/>
        </w:rPr>
        <w:t xml:space="preserve">   （成交供应商名称）  </w:t>
      </w:r>
      <w:r>
        <w:rPr>
          <w:rFonts w:hint="eastAsia" w:ascii="仿宋_GB2312" w:hAnsi="仿宋_GB2312" w:eastAsia="仿宋_GB2312" w:cs="仿宋_GB2312"/>
          <w:b w:val="0"/>
          <w:bCs/>
          <w:kern w:val="0"/>
          <w:sz w:val="24"/>
          <w:szCs w:val="24"/>
          <w:highlight w:val="none"/>
          <w:u w:val="none"/>
          <w:lang w:val="en-US" w:eastAsia="zh-CN" w:bidi="ar-SA"/>
        </w:rPr>
        <w:t>为该项目成交供应商。现于成交通知书发出之日起三十日内，按照采购文件确定的事项签订本合同。</w:t>
      </w:r>
    </w:p>
    <w:p w14:paraId="37E61F19">
      <w:pPr>
        <w:pStyle w:val="7"/>
        <w:spacing w:before="4" w:line="307" w:lineRule="auto"/>
        <w:ind w:left="38" w:right="216" w:firstLine="479"/>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根据《中华人民共和国合同法》、《中华人民共和国政府采购法》等相关 法律法规之规定，按照平等、自愿、公平和诚实信用的原则，经</w:t>
      </w:r>
      <w:r>
        <w:rPr>
          <w:rFonts w:hint="eastAsia" w:ascii="仿宋_GB2312" w:hAnsi="仿宋_GB2312" w:eastAsia="仿宋_GB2312" w:cs="仿宋_GB2312"/>
          <w:b w:val="0"/>
          <w:bCs/>
          <w:kern w:val="0"/>
          <w:sz w:val="24"/>
          <w:szCs w:val="24"/>
          <w:highlight w:val="none"/>
          <w:u w:val="single"/>
          <w:lang w:val="en-US" w:eastAsia="zh-CN" w:bidi="ar-SA"/>
        </w:rPr>
        <w:t xml:space="preserve">    （采购人 名称）    </w:t>
      </w:r>
      <w:r>
        <w:rPr>
          <w:rFonts w:hint="eastAsia" w:ascii="仿宋_GB2312" w:hAnsi="仿宋_GB2312" w:eastAsia="仿宋_GB2312" w:cs="仿宋_GB2312"/>
          <w:b w:val="0"/>
          <w:bCs/>
          <w:kern w:val="0"/>
          <w:sz w:val="24"/>
          <w:szCs w:val="24"/>
          <w:highlight w:val="none"/>
          <w:u w:val="none"/>
          <w:lang w:val="en-US" w:eastAsia="zh-CN" w:bidi="ar-SA"/>
        </w:rPr>
        <w:t>(以下简称：甲方)和</w:t>
      </w:r>
      <w:r>
        <w:rPr>
          <w:rFonts w:hint="eastAsia" w:ascii="仿宋_GB2312" w:hAnsi="仿宋_GB2312" w:eastAsia="仿宋_GB2312" w:cs="仿宋_GB2312"/>
          <w:b w:val="0"/>
          <w:bCs/>
          <w:kern w:val="0"/>
          <w:sz w:val="24"/>
          <w:szCs w:val="24"/>
          <w:highlight w:val="none"/>
          <w:u w:val="single"/>
          <w:lang w:val="en-US" w:eastAsia="zh-CN" w:bidi="ar-SA"/>
        </w:rPr>
        <w:t xml:space="preserve">    （成交供应商名称）    </w:t>
      </w:r>
      <w:r>
        <w:rPr>
          <w:rFonts w:hint="eastAsia" w:ascii="仿宋_GB2312" w:hAnsi="仿宋_GB2312" w:eastAsia="仿宋_GB2312" w:cs="仿宋_GB2312"/>
          <w:b w:val="0"/>
          <w:bCs/>
          <w:kern w:val="0"/>
          <w:sz w:val="24"/>
          <w:szCs w:val="24"/>
          <w:highlight w:val="none"/>
          <w:u w:val="none"/>
          <w:lang w:val="en-US" w:eastAsia="zh-CN" w:bidi="ar-SA"/>
        </w:rPr>
        <w:t>(以下简称：乙方)协商一致，约定以下合同条款，以兹共同遵守、全面履行。</w:t>
      </w:r>
    </w:p>
    <w:p w14:paraId="6471953D">
      <w:pPr>
        <w:pStyle w:val="7"/>
        <w:spacing w:line="219" w:lineRule="auto"/>
        <w:ind w:left="535"/>
        <w:outlineLvl w:val="1"/>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1.1 合同组成部分</w:t>
      </w:r>
    </w:p>
    <w:p w14:paraId="47E50CC8">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下列文件为本合同的组成部分，并构成一个整体，需综合解释、相互补充。 如果下列文件内容出现不一致的情形，那么在保证按照采购文件确定的事项的 前提下，组成本合同的多个文件的优先适用顺序如下：</w:t>
      </w:r>
    </w:p>
    <w:p w14:paraId="092A6C48">
      <w:pPr>
        <w:pStyle w:val="7"/>
        <w:keepNext w:val="0"/>
        <w:keepLines w:val="0"/>
        <w:pageBreakBefore w:val="0"/>
        <w:widowControl w:val="0"/>
        <w:kinsoku/>
        <w:wordWrap/>
        <w:overflowPunct/>
        <w:topLinePunct w:val="0"/>
        <w:autoSpaceDE/>
        <w:autoSpaceDN/>
        <w:bidi w:val="0"/>
        <w:adjustRightInd w:val="0"/>
        <w:snapToGrid/>
        <w:spacing w:after="0" w:line="218" w:lineRule="auto"/>
        <w:ind w:left="0" w:leftChars="0" w:firstLine="480" w:firstLineChars="200"/>
        <w:textAlignment w:val="baseline"/>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1.1.1 本合同及其补充合同、变更协议；</w:t>
      </w:r>
    </w:p>
    <w:p w14:paraId="4BCA1FF6">
      <w:pPr>
        <w:pStyle w:val="7"/>
        <w:keepNext w:val="0"/>
        <w:keepLines w:val="0"/>
        <w:pageBreakBefore w:val="0"/>
        <w:widowControl w:val="0"/>
        <w:kinsoku/>
        <w:wordWrap/>
        <w:overflowPunct/>
        <w:topLinePunct w:val="0"/>
        <w:autoSpaceDE/>
        <w:autoSpaceDN/>
        <w:bidi w:val="0"/>
        <w:adjustRightInd w:val="0"/>
        <w:snapToGrid/>
        <w:spacing w:after="0" w:line="219" w:lineRule="auto"/>
        <w:ind w:left="0"/>
        <w:textAlignment w:val="baseline"/>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1.1.2 成交通知书；</w:t>
      </w:r>
    </w:p>
    <w:p w14:paraId="1A8AC431">
      <w:pPr>
        <w:pStyle w:val="7"/>
        <w:keepNext w:val="0"/>
        <w:keepLines w:val="0"/>
        <w:pageBreakBefore w:val="0"/>
        <w:widowControl w:val="0"/>
        <w:kinsoku/>
        <w:wordWrap/>
        <w:overflowPunct/>
        <w:topLinePunct w:val="0"/>
        <w:autoSpaceDE/>
        <w:autoSpaceDN/>
        <w:bidi w:val="0"/>
        <w:adjustRightInd w:val="0"/>
        <w:snapToGrid/>
        <w:spacing w:after="0" w:line="219" w:lineRule="auto"/>
        <w:ind w:left="0"/>
        <w:textAlignment w:val="baseline"/>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1.1.3 磋商文件（含澄清或者说明文件）；</w:t>
      </w:r>
    </w:p>
    <w:p w14:paraId="4BE8D173">
      <w:pPr>
        <w:pStyle w:val="7"/>
        <w:keepNext w:val="0"/>
        <w:keepLines w:val="0"/>
        <w:pageBreakBefore w:val="0"/>
        <w:widowControl w:val="0"/>
        <w:kinsoku/>
        <w:wordWrap/>
        <w:overflowPunct/>
        <w:topLinePunct w:val="0"/>
        <w:autoSpaceDE/>
        <w:autoSpaceDN/>
        <w:bidi w:val="0"/>
        <w:adjustRightInd w:val="0"/>
        <w:snapToGrid/>
        <w:spacing w:after="0" w:line="219" w:lineRule="auto"/>
        <w:ind w:left="0"/>
        <w:textAlignment w:val="baseline"/>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1.1.4 磋商文件（含澄清或者修改文件）；</w:t>
      </w:r>
    </w:p>
    <w:p w14:paraId="1917E4B5">
      <w:pPr>
        <w:pStyle w:val="7"/>
        <w:keepNext w:val="0"/>
        <w:keepLines w:val="0"/>
        <w:pageBreakBefore w:val="0"/>
        <w:widowControl w:val="0"/>
        <w:kinsoku/>
        <w:wordWrap/>
        <w:overflowPunct/>
        <w:topLinePunct w:val="0"/>
        <w:autoSpaceDE/>
        <w:autoSpaceDN/>
        <w:bidi w:val="0"/>
        <w:adjustRightInd w:val="0"/>
        <w:snapToGrid/>
        <w:spacing w:after="0" w:line="219" w:lineRule="auto"/>
        <w:ind w:left="0"/>
        <w:textAlignment w:val="baseline"/>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1.1.5 其他相关采购文件。</w:t>
      </w:r>
    </w:p>
    <w:p w14:paraId="24E73D88">
      <w:pPr>
        <w:pStyle w:val="7"/>
        <w:keepNext w:val="0"/>
        <w:keepLines w:val="0"/>
        <w:pageBreakBefore w:val="0"/>
        <w:widowControl w:val="0"/>
        <w:kinsoku/>
        <w:wordWrap/>
        <w:overflowPunct/>
        <w:topLinePunct w:val="0"/>
        <w:autoSpaceDE/>
        <w:autoSpaceDN/>
        <w:bidi w:val="0"/>
        <w:adjustRightInd w:val="0"/>
        <w:snapToGrid/>
        <w:spacing w:after="0" w:line="220" w:lineRule="auto"/>
        <w:ind w:left="0"/>
        <w:textAlignment w:val="baseline"/>
        <w:outlineLvl w:val="1"/>
        <w:rPr>
          <w:rFonts w:hint="eastAsia" w:ascii="仿宋_GB2312" w:hAnsi="仿宋_GB2312" w:eastAsia="仿宋_GB2312" w:cs="仿宋_GB2312"/>
          <w:sz w:val="24"/>
          <w:szCs w:val="24"/>
        </w:rPr>
      </w:pPr>
      <w:r>
        <w:rPr>
          <w:rFonts w:hint="eastAsia" w:ascii="仿宋_GB2312" w:hAnsi="仿宋_GB2312" w:eastAsia="仿宋_GB2312" w:cs="仿宋_GB2312"/>
          <w:b/>
          <w:bCs/>
          <w:spacing w:val="-10"/>
          <w:sz w:val="24"/>
          <w:szCs w:val="24"/>
        </w:rPr>
        <w:t>1.2</w:t>
      </w:r>
      <w:r>
        <w:rPr>
          <w:rFonts w:hint="eastAsia" w:ascii="仿宋_GB2312" w:hAnsi="仿宋_GB2312" w:eastAsia="仿宋_GB2312" w:cs="仿宋_GB2312"/>
          <w:spacing w:val="11"/>
          <w:sz w:val="24"/>
          <w:szCs w:val="24"/>
        </w:rPr>
        <w:t xml:space="preserve"> </w:t>
      </w:r>
      <w:r>
        <w:rPr>
          <w:rFonts w:hint="eastAsia" w:ascii="仿宋_GB2312" w:hAnsi="仿宋_GB2312" w:eastAsia="仿宋_GB2312" w:cs="仿宋_GB2312"/>
          <w:b/>
          <w:bCs/>
          <w:spacing w:val="-10"/>
          <w:sz w:val="24"/>
          <w:szCs w:val="24"/>
        </w:rPr>
        <w:t>标的</w:t>
      </w:r>
    </w:p>
    <w:p w14:paraId="0223F2B1">
      <w:pPr>
        <w:pStyle w:val="7"/>
        <w:spacing w:before="113" w:line="220" w:lineRule="auto"/>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1.2.1 标的名称</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u w:val="single" w:color="auto"/>
        </w:rPr>
        <w:t xml:space="preserve">                                                </w:t>
      </w:r>
      <w:r>
        <w:rPr>
          <w:rFonts w:hint="eastAsia" w:ascii="仿宋_GB2312" w:hAnsi="仿宋_GB2312" w:eastAsia="仿宋_GB2312" w:cs="仿宋_GB2312"/>
          <w:sz w:val="24"/>
          <w:szCs w:val="24"/>
        </w:rPr>
        <w:t>；</w:t>
      </w:r>
    </w:p>
    <w:p w14:paraId="53989215">
      <w:pPr>
        <w:pStyle w:val="7"/>
        <w:spacing w:before="115" w:line="219" w:lineRule="auto"/>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1.2.2 标的数量</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u w:val="single" w:color="auto"/>
        </w:rPr>
        <w:t xml:space="preserve">                                                </w:t>
      </w:r>
      <w:r>
        <w:rPr>
          <w:rFonts w:hint="eastAsia" w:ascii="仿宋_GB2312" w:hAnsi="仿宋_GB2312" w:eastAsia="仿宋_GB2312" w:cs="仿宋_GB2312"/>
          <w:sz w:val="24"/>
          <w:szCs w:val="24"/>
        </w:rPr>
        <w:t>；</w:t>
      </w:r>
    </w:p>
    <w:p w14:paraId="71C829F3">
      <w:pPr>
        <w:pStyle w:val="7"/>
        <w:spacing w:before="116" w:line="220" w:lineRule="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1.2.3 标的质量：</w:t>
      </w:r>
      <w:r>
        <w:rPr>
          <w:rFonts w:hint="eastAsia" w:ascii="仿宋_GB2312" w:hAnsi="仿宋_GB2312" w:eastAsia="仿宋_GB2312" w:cs="仿宋_GB2312"/>
          <w:spacing w:val="-2"/>
          <w:sz w:val="24"/>
          <w:szCs w:val="24"/>
          <w:u w:val="single" w:color="auto"/>
        </w:rPr>
        <w:t xml:space="preserve">                       </w:t>
      </w:r>
      <w:r>
        <w:rPr>
          <w:rFonts w:hint="eastAsia" w:ascii="仿宋_GB2312" w:hAnsi="仿宋_GB2312" w:eastAsia="仿宋_GB2312" w:cs="仿宋_GB2312"/>
          <w:spacing w:val="-3"/>
          <w:sz w:val="24"/>
          <w:szCs w:val="24"/>
          <w:u w:val="single" w:color="auto"/>
        </w:rPr>
        <w:t xml:space="preserve">                          </w:t>
      </w:r>
      <w:r>
        <w:rPr>
          <w:rFonts w:hint="eastAsia" w:ascii="仿宋_GB2312" w:hAnsi="仿宋_GB2312" w:eastAsia="仿宋_GB2312" w:cs="仿宋_GB2312"/>
          <w:spacing w:val="-3"/>
          <w:sz w:val="24"/>
          <w:szCs w:val="24"/>
        </w:rPr>
        <w:t>。</w:t>
      </w:r>
    </w:p>
    <w:p w14:paraId="25DB8D29">
      <w:pPr>
        <w:pStyle w:val="7"/>
        <w:spacing w:before="112" w:line="218" w:lineRule="auto"/>
        <w:outlineLvl w:val="1"/>
        <w:rPr>
          <w:rFonts w:hint="eastAsia" w:ascii="仿宋_GB2312" w:hAnsi="仿宋_GB2312" w:eastAsia="仿宋_GB2312" w:cs="仿宋_GB2312"/>
          <w:sz w:val="24"/>
          <w:szCs w:val="24"/>
        </w:rPr>
      </w:pPr>
      <w:r>
        <w:rPr>
          <w:rFonts w:hint="eastAsia" w:ascii="仿宋_GB2312" w:hAnsi="仿宋_GB2312" w:eastAsia="仿宋_GB2312" w:cs="仿宋_GB2312"/>
          <w:b/>
          <w:bCs/>
          <w:spacing w:val="-10"/>
          <w:sz w:val="24"/>
          <w:szCs w:val="24"/>
        </w:rPr>
        <w:t>1.3</w:t>
      </w:r>
      <w:r>
        <w:rPr>
          <w:rFonts w:hint="eastAsia" w:ascii="仿宋_GB2312" w:hAnsi="仿宋_GB2312" w:eastAsia="仿宋_GB2312" w:cs="仿宋_GB2312"/>
          <w:spacing w:val="11"/>
          <w:sz w:val="24"/>
          <w:szCs w:val="24"/>
        </w:rPr>
        <w:t xml:space="preserve"> </w:t>
      </w:r>
      <w:r>
        <w:rPr>
          <w:rFonts w:hint="eastAsia" w:ascii="仿宋_GB2312" w:hAnsi="仿宋_GB2312" w:eastAsia="仿宋_GB2312" w:cs="仿宋_GB2312"/>
          <w:b/>
          <w:bCs/>
          <w:spacing w:val="-10"/>
          <w:sz w:val="24"/>
          <w:szCs w:val="24"/>
        </w:rPr>
        <w:t>价款</w:t>
      </w:r>
    </w:p>
    <w:p w14:paraId="1FB5D7D7">
      <w:pPr>
        <w:pStyle w:val="7"/>
        <w:spacing w:before="119" w:line="263" w:lineRule="auto"/>
        <w:ind w:left="519" w:right="136" w:hanging="1"/>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本合同总价为：￥</w:t>
      </w:r>
      <w:r>
        <w:rPr>
          <w:rFonts w:hint="eastAsia" w:ascii="仿宋_GB2312" w:hAnsi="仿宋_GB2312" w:eastAsia="仿宋_GB2312" w:cs="仿宋_GB2312"/>
          <w:spacing w:val="-87"/>
          <w:sz w:val="24"/>
          <w:szCs w:val="24"/>
        </w:rPr>
        <w:t xml:space="preserve"> </w:t>
      </w:r>
      <w:r>
        <w:rPr>
          <w:rFonts w:hint="eastAsia" w:ascii="仿宋_GB2312" w:hAnsi="仿宋_GB2312" w:eastAsia="仿宋_GB2312" w:cs="仿宋_GB2312"/>
          <w:sz w:val="24"/>
          <w:szCs w:val="24"/>
          <w:u w:val="single" w:color="auto"/>
        </w:rPr>
        <w:t xml:space="preserve">           </w:t>
      </w:r>
      <w:r>
        <w:rPr>
          <w:rFonts w:hint="eastAsia" w:ascii="仿宋_GB2312" w:hAnsi="仿宋_GB2312" w:eastAsia="仿宋_GB2312" w:cs="仿宋_GB2312"/>
          <w:spacing w:val="-108"/>
          <w:sz w:val="24"/>
          <w:szCs w:val="24"/>
        </w:rPr>
        <w:t xml:space="preserve"> </w:t>
      </w:r>
      <w:r>
        <w:rPr>
          <w:rFonts w:hint="eastAsia" w:ascii="仿宋_GB2312" w:hAnsi="仿宋_GB2312" w:eastAsia="仿宋_GB2312" w:cs="仿宋_GB2312"/>
          <w:spacing w:val="-3"/>
          <w:sz w:val="24"/>
          <w:szCs w:val="24"/>
        </w:rPr>
        <w:t>元（大写：</w:t>
      </w:r>
      <w:r>
        <w:rPr>
          <w:rFonts w:hint="eastAsia" w:ascii="仿宋_GB2312" w:hAnsi="仿宋_GB2312" w:eastAsia="仿宋_GB2312" w:cs="仿宋_GB2312"/>
          <w:spacing w:val="-3"/>
          <w:sz w:val="24"/>
          <w:szCs w:val="24"/>
          <w:u w:val="single" w:color="auto"/>
        </w:rPr>
        <w:t xml:space="preserve">                 </w:t>
      </w:r>
      <w:r>
        <w:rPr>
          <w:rFonts w:hint="eastAsia" w:ascii="仿宋_GB2312" w:hAnsi="仿宋_GB2312" w:eastAsia="仿宋_GB2312" w:cs="仿宋_GB2312"/>
          <w:spacing w:val="-109"/>
          <w:sz w:val="24"/>
          <w:szCs w:val="24"/>
        </w:rPr>
        <w:t xml:space="preserve"> </w:t>
      </w:r>
      <w:r>
        <w:rPr>
          <w:rFonts w:hint="eastAsia" w:ascii="仿宋_GB2312" w:hAnsi="仿宋_GB2312" w:eastAsia="仿宋_GB2312" w:cs="仿宋_GB2312"/>
          <w:spacing w:val="-3"/>
          <w:sz w:val="24"/>
          <w:szCs w:val="24"/>
        </w:rPr>
        <w:t>元人民币）。</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3"/>
          <w:sz w:val="24"/>
          <w:szCs w:val="24"/>
        </w:rPr>
        <w:t>分项价格：</w:t>
      </w:r>
    </w:p>
    <w:tbl>
      <w:tblPr>
        <w:tblStyle w:val="20"/>
        <w:tblW w:w="7159" w:type="dxa"/>
        <w:tblInd w:w="5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5"/>
        <w:gridCol w:w="3399"/>
        <w:gridCol w:w="2555"/>
      </w:tblGrid>
      <w:tr w14:paraId="60DEE1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205" w:type="dxa"/>
            <w:noWrap w:val="0"/>
            <w:vAlign w:val="top"/>
          </w:tcPr>
          <w:p w14:paraId="5935FF3A">
            <w:pPr>
              <w:spacing w:before="118" w:line="216" w:lineRule="auto"/>
              <w:rPr>
                <w:rFonts w:hint="eastAsia" w:ascii="仿宋_GB2312" w:hAnsi="仿宋_GB2312" w:eastAsia="仿宋_GB2312" w:cs="仿宋_GB2312"/>
                <w:sz w:val="24"/>
                <w:szCs w:val="24"/>
              </w:rPr>
            </w:pPr>
            <w:r>
              <w:rPr>
                <w:rFonts w:hint="eastAsia" w:ascii="仿宋_GB2312" w:hAnsi="仿宋_GB2312" w:eastAsia="仿宋_GB2312" w:cs="仿宋_GB2312"/>
                <w:spacing w:val="-5"/>
                <w:sz w:val="24"/>
                <w:szCs w:val="24"/>
              </w:rPr>
              <w:t>序号</w:t>
            </w:r>
          </w:p>
        </w:tc>
        <w:tc>
          <w:tcPr>
            <w:tcW w:w="3399" w:type="dxa"/>
            <w:noWrap w:val="0"/>
            <w:vAlign w:val="top"/>
          </w:tcPr>
          <w:p w14:paraId="059AD20E">
            <w:pPr>
              <w:spacing w:before="118" w:line="216" w:lineRule="auto"/>
              <w:ind w:left="0" w:lef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pacing w:val="-4"/>
                <w:sz w:val="24"/>
                <w:szCs w:val="24"/>
              </w:rPr>
              <w:t>分项名称</w:t>
            </w:r>
          </w:p>
        </w:tc>
        <w:tc>
          <w:tcPr>
            <w:tcW w:w="2555" w:type="dxa"/>
            <w:noWrap w:val="0"/>
            <w:vAlign w:val="top"/>
          </w:tcPr>
          <w:p w14:paraId="36D71CEE">
            <w:pPr>
              <w:spacing w:before="118" w:line="216" w:lineRule="auto"/>
              <w:ind w:left="0" w:leftChars="0"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pacing w:val="-4"/>
                <w:sz w:val="24"/>
                <w:szCs w:val="24"/>
              </w:rPr>
              <w:t>分项价格</w:t>
            </w:r>
          </w:p>
        </w:tc>
      </w:tr>
      <w:tr w14:paraId="23CDF8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205" w:type="dxa"/>
            <w:noWrap w:val="0"/>
            <w:vAlign w:val="top"/>
          </w:tcPr>
          <w:p w14:paraId="067640E4">
            <w:pPr>
              <w:pStyle w:val="21"/>
              <w:rPr>
                <w:rFonts w:hint="eastAsia" w:ascii="仿宋_GB2312" w:hAnsi="仿宋_GB2312" w:eastAsia="仿宋_GB2312" w:cs="仿宋_GB2312"/>
                <w:sz w:val="24"/>
                <w:szCs w:val="24"/>
              </w:rPr>
            </w:pPr>
          </w:p>
        </w:tc>
        <w:tc>
          <w:tcPr>
            <w:tcW w:w="3399" w:type="dxa"/>
            <w:noWrap w:val="0"/>
            <w:vAlign w:val="top"/>
          </w:tcPr>
          <w:p w14:paraId="5DE54886">
            <w:pPr>
              <w:pStyle w:val="21"/>
              <w:rPr>
                <w:rFonts w:hint="eastAsia" w:ascii="仿宋_GB2312" w:hAnsi="仿宋_GB2312" w:eastAsia="仿宋_GB2312" w:cs="仿宋_GB2312"/>
                <w:sz w:val="24"/>
                <w:szCs w:val="24"/>
              </w:rPr>
            </w:pPr>
          </w:p>
        </w:tc>
        <w:tc>
          <w:tcPr>
            <w:tcW w:w="2555" w:type="dxa"/>
            <w:noWrap w:val="0"/>
            <w:vAlign w:val="top"/>
          </w:tcPr>
          <w:p w14:paraId="4A2E3EE2">
            <w:pPr>
              <w:pStyle w:val="21"/>
              <w:rPr>
                <w:rFonts w:hint="eastAsia" w:ascii="仿宋_GB2312" w:hAnsi="仿宋_GB2312" w:eastAsia="仿宋_GB2312" w:cs="仿宋_GB2312"/>
                <w:sz w:val="24"/>
                <w:szCs w:val="24"/>
              </w:rPr>
            </w:pPr>
          </w:p>
        </w:tc>
      </w:tr>
      <w:tr w14:paraId="3E8DE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205" w:type="dxa"/>
            <w:noWrap w:val="0"/>
            <w:vAlign w:val="top"/>
          </w:tcPr>
          <w:p w14:paraId="28828CCB">
            <w:pPr>
              <w:pStyle w:val="21"/>
              <w:rPr>
                <w:rFonts w:hint="eastAsia" w:ascii="仿宋_GB2312" w:hAnsi="仿宋_GB2312" w:eastAsia="仿宋_GB2312" w:cs="仿宋_GB2312"/>
                <w:sz w:val="24"/>
                <w:szCs w:val="24"/>
              </w:rPr>
            </w:pPr>
          </w:p>
        </w:tc>
        <w:tc>
          <w:tcPr>
            <w:tcW w:w="3399" w:type="dxa"/>
            <w:noWrap w:val="0"/>
            <w:vAlign w:val="top"/>
          </w:tcPr>
          <w:p w14:paraId="3D186EBF">
            <w:pPr>
              <w:pStyle w:val="21"/>
              <w:rPr>
                <w:rFonts w:hint="eastAsia" w:ascii="仿宋_GB2312" w:hAnsi="仿宋_GB2312" w:eastAsia="仿宋_GB2312" w:cs="仿宋_GB2312"/>
                <w:sz w:val="24"/>
                <w:szCs w:val="24"/>
              </w:rPr>
            </w:pPr>
          </w:p>
        </w:tc>
        <w:tc>
          <w:tcPr>
            <w:tcW w:w="2555" w:type="dxa"/>
            <w:noWrap w:val="0"/>
            <w:vAlign w:val="top"/>
          </w:tcPr>
          <w:p w14:paraId="6CE36AD3">
            <w:pPr>
              <w:pStyle w:val="21"/>
              <w:rPr>
                <w:rFonts w:hint="eastAsia" w:ascii="仿宋_GB2312" w:hAnsi="仿宋_GB2312" w:eastAsia="仿宋_GB2312" w:cs="仿宋_GB2312"/>
                <w:sz w:val="24"/>
                <w:szCs w:val="24"/>
              </w:rPr>
            </w:pPr>
          </w:p>
        </w:tc>
      </w:tr>
      <w:tr w14:paraId="5717E4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205" w:type="dxa"/>
            <w:noWrap w:val="0"/>
            <w:vAlign w:val="top"/>
          </w:tcPr>
          <w:p w14:paraId="5069DBA6">
            <w:pPr>
              <w:pStyle w:val="21"/>
              <w:rPr>
                <w:rFonts w:hint="eastAsia" w:ascii="仿宋_GB2312" w:hAnsi="仿宋_GB2312" w:eastAsia="仿宋_GB2312" w:cs="仿宋_GB2312"/>
                <w:sz w:val="24"/>
                <w:szCs w:val="24"/>
              </w:rPr>
            </w:pPr>
          </w:p>
        </w:tc>
        <w:tc>
          <w:tcPr>
            <w:tcW w:w="3399" w:type="dxa"/>
            <w:noWrap w:val="0"/>
            <w:vAlign w:val="top"/>
          </w:tcPr>
          <w:p w14:paraId="448CD598">
            <w:pPr>
              <w:pStyle w:val="21"/>
              <w:rPr>
                <w:rFonts w:hint="eastAsia" w:ascii="仿宋_GB2312" w:hAnsi="仿宋_GB2312" w:eastAsia="仿宋_GB2312" w:cs="仿宋_GB2312"/>
                <w:sz w:val="24"/>
                <w:szCs w:val="24"/>
              </w:rPr>
            </w:pPr>
          </w:p>
        </w:tc>
        <w:tc>
          <w:tcPr>
            <w:tcW w:w="2555" w:type="dxa"/>
            <w:noWrap w:val="0"/>
            <w:vAlign w:val="top"/>
          </w:tcPr>
          <w:p w14:paraId="10F3C802">
            <w:pPr>
              <w:pStyle w:val="21"/>
              <w:rPr>
                <w:rFonts w:hint="eastAsia" w:ascii="仿宋_GB2312" w:hAnsi="仿宋_GB2312" w:eastAsia="仿宋_GB2312" w:cs="仿宋_GB2312"/>
                <w:sz w:val="24"/>
                <w:szCs w:val="24"/>
              </w:rPr>
            </w:pPr>
          </w:p>
        </w:tc>
      </w:tr>
      <w:tr w14:paraId="6CD6E9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205" w:type="dxa"/>
            <w:noWrap w:val="0"/>
            <w:vAlign w:val="top"/>
          </w:tcPr>
          <w:p w14:paraId="097460E8">
            <w:pPr>
              <w:pStyle w:val="21"/>
              <w:rPr>
                <w:rFonts w:hint="eastAsia" w:ascii="仿宋_GB2312" w:hAnsi="仿宋_GB2312" w:eastAsia="仿宋_GB2312" w:cs="仿宋_GB2312"/>
                <w:sz w:val="24"/>
                <w:szCs w:val="24"/>
              </w:rPr>
            </w:pPr>
          </w:p>
        </w:tc>
        <w:tc>
          <w:tcPr>
            <w:tcW w:w="3399" w:type="dxa"/>
            <w:noWrap w:val="0"/>
            <w:vAlign w:val="top"/>
          </w:tcPr>
          <w:p w14:paraId="7F889508">
            <w:pPr>
              <w:pStyle w:val="21"/>
              <w:rPr>
                <w:rFonts w:hint="eastAsia" w:ascii="仿宋_GB2312" w:hAnsi="仿宋_GB2312" w:eastAsia="仿宋_GB2312" w:cs="仿宋_GB2312"/>
                <w:sz w:val="24"/>
                <w:szCs w:val="24"/>
              </w:rPr>
            </w:pPr>
          </w:p>
        </w:tc>
        <w:tc>
          <w:tcPr>
            <w:tcW w:w="2555" w:type="dxa"/>
            <w:noWrap w:val="0"/>
            <w:vAlign w:val="top"/>
          </w:tcPr>
          <w:p w14:paraId="1804C074">
            <w:pPr>
              <w:pStyle w:val="21"/>
              <w:rPr>
                <w:rFonts w:hint="eastAsia" w:ascii="仿宋_GB2312" w:hAnsi="仿宋_GB2312" w:eastAsia="仿宋_GB2312" w:cs="仿宋_GB2312"/>
                <w:sz w:val="24"/>
                <w:szCs w:val="24"/>
              </w:rPr>
            </w:pPr>
          </w:p>
        </w:tc>
      </w:tr>
      <w:tr w14:paraId="3EB0A1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4604" w:type="dxa"/>
            <w:gridSpan w:val="2"/>
            <w:noWrap w:val="0"/>
            <w:vAlign w:val="top"/>
          </w:tcPr>
          <w:p w14:paraId="34A9B45F">
            <w:pPr>
              <w:spacing w:before="120" w:line="214" w:lineRule="auto"/>
              <w:ind w:left="2175"/>
              <w:rPr>
                <w:rFonts w:hint="eastAsia" w:ascii="仿宋_GB2312" w:hAnsi="仿宋_GB2312" w:eastAsia="仿宋_GB2312" w:cs="仿宋_GB2312"/>
                <w:sz w:val="24"/>
                <w:szCs w:val="24"/>
              </w:rPr>
            </w:pPr>
            <w:r>
              <w:rPr>
                <w:rFonts w:hint="eastAsia" w:ascii="仿宋_GB2312" w:hAnsi="仿宋_GB2312" w:eastAsia="仿宋_GB2312" w:cs="仿宋_GB2312"/>
                <w:spacing w:val="-8"/>
                <w:sz w:val="24"/>
                <w:szCs w:val="24"/>
              </w:rPr>
              <w:t>总价</w:t>
            </w:r>
          </w:p>
        </w:tc>
        <w:tc>
          <w:tcPr>
            <w:tcW w:w="2555" w:type="dxa"/>
            <w:noWrap w:val="0"/>
            <w:vAlign w:val="top"/>
          </w:tcPr>
          <w:p w14:paraId="043DDE44">
            <w:pPr>
              <w:pStyle w:val="21"/>
              <w:rPr>
                <w:rFonts w:hint="eastAsia" w:ascii="仿宋_GB2312" w:hAnsi="仿宋_GB2312" w:eastAsia="仿宋_GB2312" w:cs="仿宋_GB2312"/>
                <w:sz w:val="24"/>
                <w:szCs w:val="24"/>
              </w:rPr>
            </w:pPr>
          </w:p>
        </w:tc>
      </w:tr>
    </w:tbl>
    <w:p w14:paraId="500913FE">
      <w:pPr>
        <w:pStyle w:val="7"/>
        <w:spacing w:before="114" w:line="219" w:lineRule="auto"/>
        <w:outlineLvl w:val="1"/>
        <w:rPr>
          <w:rFonts w:hint="eastAsia" w:ascii="仿宋_GB2312" w:hAnsi="仿宋_GB2312" w:eastAsia="仿宋_GB2312" w:cs="仿宋_GB2312"/>
          <w:sz w:val="24"/>
          <w:szCs w:val="24"/>
        </w:rPr>
      </w:pPr>
      <w:r>
        <w:rPr>
          <w:rFonts w:hint="eastAsia" w:ascii="仿宋_GB2312" w:hAnsi="仿宋_GB2312" w:eastAsia="仿宋_GB2312" w:cs="仿宋_GB2312"/>
          <w:b/>
          <w:bCs/>
          <w:spacing w:val="-4"/>
          <w:sz w:val="24"/>
          <w:szCs w:val="24"/>
        </w:rPr>
        <w:t>1.4</w:t>
      </w:r>
      <w:r>
        <w:rPr>
          <w:rFonts w:hint="eastAsia" w:ascii="仿宋_GB2312" w:hAnsi="仿宋_GB2312" w:eastAsia="仿宋_GB2312" w:cs="仿宋_GB2312"/>
          <w:spacing w:val="-4"/>
          <w:sz w:val="24"/>
          <w:szCs w:val="24"/>
        </w:rPr>
        <w:t xml:space="preserve"> </w:t>
      </w:r>
      <w:r>
        <w:rPr>
          <w:rFonts w:hint="eastAsia" w:ascii="仿宋_GB2312" w:hAnsi="仿宋_GB2312" w:eastAsia="仿宋_GB2312" w:cs="仿宋_GB2312"/>
          <w:b/>
          <w:bCs/>
          <w:spacing w:val="-4"/>
          <w:sz w:val="24"/>
          <w:szCs w:val="24"/>
        </w:rPr>
        <w:t>付款方式和发票开具方式</w:t>
      </w:r>
    </w:p>
    <w:p w14:paraId="084CC1CE">
      <w:pPr>
        <w:pStyle w:val="7"/>
        <w:spacing w:before="116" w:line="219" w:lineRule="auto"/>
        <w:rPr>
          <w:rFonts w:hint="eastAsia" w:ascii="仿宋_GB2312" w:hAnsi="仿宋_GB2312" w:eastAsia="仿宋_GB2312" w:cs="仿宋_GB2312"/>
          <w:sz w:val="24"/>
          <w:szCs w:val="24"/>
        </w:rPr>
      </w:pPr>
      <w:r>
        <w:rPr>
          <w:rFonts w:hint="eastAsia" w:ascii="仿宋_GB2312" w:hAnsi="仿宋_GB2312" w:eastAsia="仿宋_GB2312" w:cs="仿宋_GB2312"/>
          <w:spacing w:val="-5"/>
          <w:sz w:val="24"/>
          <w:szCs w:val="24"/>
        </w:rPr>
        <w:t>1.4.1</w:t>
      </w:r>
      <w:r>
        <w:rPr>
          <w:rFonts w:hint="eastAsia" w:ascii="仿宋_GB2312" w:hAnsi="仿宋_GB2312" w:eastAsia="仿宋_GB2312" w:cs="仿宋_GB2312"/>
          <w:spacing w:val="-50"/>
          <w:sz w:val="24"/>
          <w:szCs w:val="24"/>
        </w:rPr>
        <w:t xml:space="preserve"> </w:t>
      </w:r>
      <w:r>
        <w:rPr>
          <w:rFonts w:hint="eastAsia" w:ascii="仿宋_GB2312" w:hAnsi="仿宋_GB2312" w:eastAsia="仿宋_GB2312" w:cs="仿宋_GB2312"/>
          <w:spacing w:val="-5"/>
          <w:sz w:val="24"/>
          <w:szCs w:val="24"/>
        </w:rPr>
        <w:t>付款方式</w:t>
      </w:r>
      <w:r>
        <w:rPr>
          <w:rFonts w:hint="eastAsia" w:ascii="仿宋_GB2312" w:hAnsi="仿宋_GB2312" w:eastAsia="仿宋_GB2312" w:cs="仿宋_GB2312"/>
          <w:spacing w:val="3"/>
          <w:sz w:val="24"/>
          <w:szCs w:val="24"/>
        </w:rPr>
        <w:t>：</w:t>
      </w:r>
      <w:r>
        <w:rPr>
          <w:rFonts w:hint="eastAsia" w:ascii="仿宋_GB2312" w:hAnsi="仿宋_GB2312" w:eastAsia="仿宋_GB2312" w:cs="仿宋_GB2312"/>
          <w:sz w:val="24"/>
          <w:szCs w:val="24"/>
          <w:u w:val="single" w:color="auto"/>
        </w:rPr>
        <w:t xml:space="preserve">                                                </w:t>
      </w:r>
      <w:r>
        <w:rPr>
          <w:rFonts w:hint="eastAsia" w:ascii="仿宋_GB2312" w:hAnsi="仿宋_GB2312" w:eastAsia="仿宋_GB2312" w:cs="仿宋_GB2312"/>
          <w:spacing w:val="3"/>
          <w:sz w:val="24"/>
          <w:szCs w:val="24"/>
        </w:rPr>
        <w:t>；</w:t>
      </w:r>
    </w:p>
    <w:p w14:paraId="1BC076AF">
      <w:pPr>
        <w:pStyle w:val="7"/>
        <w:spacing w:before="116" w:line="219" w:lineRule="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1.4.2 发票开具方式：</w:t>
      </w:r>
      <w:r>
        <w:rPr>
          <w:rFonts w:hint="eastAsia" w:ascii="仿宋_GB2312" w:hAnsi="仿宋_GB2312" w:eastAsia="仿宋_GB2312" w:cs="仿宋_GB2312"/>
          <w:sz w:val="24"/>
          <w:szCs w:val="24"/>
          <w:u w:val="single" w:color="auto"/>
        </w:rPr>
        <w:t xml:space="preserve">                                            </w:t>
      </w:r>
      <w:r>
        <w:rPr>
          <w:rFonts w:hint="eastAsia" w:ascii="仿宋_GB2312" w:hAnsi="仿宋_GB2312" w:eastAsia="仿宋_GB2312" w:cs="仿宋_GB2312"/>
          <w:spacing w:val="-2"/>
          <w:sz w:val="24"/>
          <w:szCs w:val="24"/>
        </w:rPr>
        <w:t>。</w:t>
      </w:r>
    </w:p>
    <w:p w14:paraId="79F39486">
      <w:pPr>
        <w:pStyle w:val="7"/>
        <w:spacing w:before="157" w:line="220" w:lineRule="auto"/>
        <w:ind w:left="535"/>
        <w:outlineLvl w:val="1"/>
        <w:rPr>
          <w:b/>
          <w:bCs/>
          <w:spacing w:val="-4"/>
          <w:sz w:val="24"/>
          <w:szCs w:val="24"/>
        </w:rPr>
      </w:pPr>
    </w:p>
    <w:p w14:paraId="0743EFA3">
      <w:pPr>
        <w:pStyle w:val="7"/>
        <w:keepNext w:val="0"/>
        <w:keepLines w:val="0"/>
        <w:pageBreakBefore w:val="0"/>
        <w:widowControl w:val="0"/>
        <w:kinsoku/>
        <w:wordWrap/>
        <w:overflowPunct/>
        <w:topLinePunct w:val="0"/>
        <w:autoSpaceDE/>
        <w:autoSpaceDN/>
        <w:bidi w:val="0"/>
        <w:adjustRightInd w:val="0"/>
        <w:snapToGrid/>
        <w:spacing w:after="0" w:line="220" w:lineRule="auto"/>
        <w:ind w:left="0" w:leftChars="0" w:firstLine="464" w:firstLineChars="200"/>
        <w:textAlignment w:val="baseline"/>
        <w:outlineLvl w:val="1"/>
        <w:rPr>
          <w:sz w:val="24"/>
          <w:szCs w:val="24"/>
        </w:rPr>
      </w:pPr>
      <w:r>
        <w:rPr>
          <w:b/>
          <w:bCs/>
          <w:spacing w:val="-4"/>
          <w:sz w:val="24"/>
          <w:szCs w:val="24"/>
        </w:rPr>
        <w:t>1.5</w:t>
      </w:r>
      <w:r>
        <w:rPr>
          <w:spacing w:val="-4"/>
          <w:sz w:val="24"/>
          <w:szCs w:val="24"/>
        </w:rPr>
        <w:t xml:space="preserve"> </w:t>
      </w:r>
      <w:r>
        <w:rPr>
          <w:b/>
          <w:bCs/>
          <w:spacing w:val="-4"/>
          <w:sz w:val="24"/>
          <w:szCs w:val="24"/>
        </w:rPr>
        <w:t>履行期限、地点和方式</w:t>
      </w:r>
    </w:p>
    <w:p w14:paraId="289E64D4">
      <w:pPr>
        <w:pStyle w:val="7"/>
        <w:keepNext w:val="0"/>
        <w:keepLines w:val="0"/>
        <w:pageBreakBefore w:val="0"/>
        <w:widowControl w:val="0"/>
        <w:kinsoku/>
        <w:wordWrap/>
        <w:overflowPunct/>
        <w:topLinePunct w:val="0"/>
        <w:autoSpaceDE/>
        <w:autoSpaceDN/>
        <w:bidi w:val="0"/>
        <w:adjustRightInd w:val="0"/>
        <w:snapToGrid/>
        <w:spacing w:after="0" w:line="219" w:lineRule="auto"/>
        <w:ind w:left="0"/>
        <w:textAlignment w:val="baseline"/>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1.5.1 履行期限：</w:t>
      </w:r>
      <w:r>
        <w:rPr>
          <w:rFonts w:hint="eastAsia" w:ascii="仿宋_GB2312" w:hAnsi="仿宋_GB2312" w:eastAsia="仿宋_GB2312" w:cs="仿宋_GB2312"/>
          <w:b w:val="0"/>
          <w:bCs/>
          <w:kern w:val="0"/>
          <w:sz w:val="24"/>
          <w:szCs w:val="24"/>
          <w:highlight w:val="none"/>
          <w:u w:val="single"/>
          <w:lang w:val="en-US" w:eastAsia="zh-CN" w:bidi="ar-SA"/>
        </w:rPr>
        <w:t xml:space="preserve">                                                </w:t>
      </w:r>
      <w:r>
        <w:rPr>
          <w:rFonts w:hint="eastAsia" w:ascii="仿宋_GB2312" w:hAnsi="仿宋_GB2312" w:eastAsia="仿宋_GB2312" w:cs="仿宋_GB2312"/>
          <w:b w:val="0"/>
          <w:bCs/>
          <w:kern w:val="0"/>
          <w:sz w:val="24"/>
          <w:szCs w:val="24"/>
          <w:highlight w:val="none"/>
          <w:u w:val="none"/>
          <w:lang w:val="en-US" w:eastAsia="zh-CN" w:bidi="ar-SA"/>
        </w:rPr>
        <w:t>；</w:t>
      </w:r>
    </w:p>
    <w:p w14:paraId="41567397">
      <w:pPr>
        <w:pStyle w:val="7"/>
        <w:keepNext w:val="0"/>
        <w:keepLines w:val="0"/>
        <w:pageBreakBefore w:val="0"/>
        <w:widowControl w:val="0"/>
        <w:kinsoku/>
        <w:wordWrap/>
        <w:overflowPunct/>
        <w:topLinePunct w:val="0"/>
        <w:autoSpaceDE/>
        <w:autoSpaceDN/>
        <w:bidi w:val="0"/>
        <w:adjustRightInd w:val="0"/>
        <w:snapToGrid/>
        <w:spacing w:after="0" w:line="219" w:lineRule="auto"/>
        <w:ind w:left="0"/>
        <w:textAlignment w:val="baseline"/>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1.5.2 履行地点：</w:t>
      </w:r>
      <w:r>
        <w:rPr>
          <w:rFonts w:hint="eastAsia" w:ascii="仿宋_GB2312" w:hAnsi="仿宋_GB2312" w:eastAsia="仿宋_GB2312" w:cs="仿宋_GB2312"/>
          <w:b w:val="0"/>
          <w:bCs/>
          <w:kern w:val="0"/>
          <w:sz w:val="24"/>
          <w:szCs w:val="24"/>
          <w:highlight w:val="none"/>
          <w:u w:val="single"/>
          <w:lang w:val="en-US" w:eastAsia="zh-CN" w:bidi="ar-SA"/>
        </w:rPr>
        <w:t xml:space="preserve">                                                </w:t>
      </w:r>
      <w:r>
        <w:rPr>
          <w:rFonts w:hint="eastAsia" w:ascii="仿宋_GB2312" w:hAnsi="仿宋_GB2312" w:eastAsia="仿宋_GB2312" w:cs="仿宋_GB2312"/>
          <w:b w:val="0"/>
          <w:bCs/>
          <w:kern w:val="0"/>
          <w:sz w:val="24"/>
          <w:szCs w:val="24"/>
          <w:highlight w:val="none"/>
          <w:u w:val="none"/>
          <w:lang w:val="en-US" w:eastAsia="zh-CN" w:bidi="ar-SA"/>
        </w:rPr>
        <w:t>；</w:t>
      </w:r>
    </w:p>
    <w:p w14:paraId="0AF0115C">
      <w:pPr>
        <w:pStyle w:val="7"/>
        <w:keepNext w:val="0"/>
        <w:keepLines w:val="0"/>
        <w:pageBreakBefore w:val="0"/>
        <w:widowControl w:val="0"/>
        <w:kinsoku/>
        <w:wordWrap/>
        <w:overflowPunct/>
        <w:topLinePunct w:val="0"/>
        <w:autoSpaceDE/>
        <w:autoSpaceDN/>
        <w:bidi w:val="0"/>
        <w:adjustRightInd w:val="0"/>
        <w:snapToGrid/>
        <w:spacing w:after="0" w:line="220" w:lineRule="auto"/>
        <w:ind w:left="0"/>
        <w:jc w:val="both"/>
        <w:textAlignment w:val="baseline"/>
        <w:rPr>
          <w:sz w:val="24"/>
          <w:szCs w:val="24"/>
        </w:rPr>
      </w:pPr>
      <w:r>
        <w:rPr>
          <w:spacing w:val="-5"/>
          <w:sz w:val="24"/>
          <w:szCs w:val="24"/>
        </w:rPr>
        <w:t>1.5.3 履行方式：</w:t>
      </w:r>
      <w:r>
        <w:rPr>
          <w:spacing w:val="-5"/>
          <w:sz w:val="24"/>
          <w:szCs w:val="24"/>
          <w:u w:val="single" w:color="auto"/>
        </w:rPr>
        <w:t xml:space="preserve">                                                  </w:t>
      </w:r>
      <w:r>
        <w:rPr>
          <w:spacing w:val="-5"/>
          <w:sz w:val="24"/>
          <w:szCs w:val="24"/>
        </w:rPr>
        <w:t>。</w:t>
      </w:r>
    </w:p>
    <w:p w14:paraId="0BB32CC6">
      <w:pPr>
        <w:pStyle w:val="7"/>
        <w:keepNext w:val="0"/>
        <w:keepLines w:val="0"/>
        <w:pageBreakBefore w:val="0"/>
        <w:widowControl w:val="0"/>
        <w:kinsoku/>
        <w:wordWrap/>
        <w:overflowPunct/>
        <w:topLinePunct w:val="0"/>
        <w:autoSpaceDE/>
        <w:autoSpaceDN/>
        <w:bidi w:val="0"/>
        <w:adjustRightInd w:val="0"/>
        <w:snapToGrid/>
        <w:spacing w:after="0" w:line="219" w:lineRule="auto"/>
        <w:ind w:left="0"/>
        <w:textAlignment w:val="baseline"/>
        <w:outlineLvl w:val="1"/>
        <w:rPr>
          <w:sz w:val="24"/>
          <w:szCs w:val="24"/>
        </w:rPr>
      </w:pPr>
      <w:r>
        <w:rPr>
          <w:b/>
          <w:bCs/>
          <w:spacing w:val="-5"/>
          <w:sz w:val="24"/>
          <w:szCs w:val="24"/>
        </w:rPr>
        <w:t>1.6</w:t>
      </w:r>
      <w:r>
        <w:rPr>
          <w:spacing w:val="-5"/>
          <w:sz w:val="24"/>
          <w:szCs w:val="24"/>
        </w:rPr>
        <w:t xml:space="preserve"> </w:t>
      </w:r>
      <w:r>
        <w:rPr>
          <w:b/>
          <w:bCs/>
          <w:spacing w:val="-5"/>
          <w:sz w:val="24"/>
          <w:szCs w:val="24"/>
        </w:rPr>
        <w:t>违约责任</w:t>
      </w:r>
    </w:p>
    <w:p w14:paraId="1B3B77F8">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1.6.1 除不可抗力外，如果乙方没有按照本合同约定的期限、地点和方式 履行，那么甲方可要求乙方支付违约金，违约金按每迟延履行一日的应提供而 未提供服务价格的      %计算，最高限额为本合同总价的       %；迟延履行的 违约金计算数额达到前述最高限额之日起，甲方有权在要求乙方支付违约金的 同时，书面通知乙方解除本合同；</w:t>
      </w:r>
    </w:p>
    <w:p w14:paraId="41B148BF">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1.6.2 除不可抗力外，如果甲方没有按照本合同约定的付款方式付款，那 么乙方可要求甲方支付违约金 ，违约金按每迟延付款一 日 的应付而未付款 的      %计算，最高限额为本合同总价的       %；迟延付款的违约金计算数额 达到前述最高限额之日起，乙方有权在要求甲方支付违约金的同时，书面通知 甲方解除本合同；</w:t>
      </w:r>
    </w:p>
    <w:p w14:paraId="1550CDCA">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1.6.3 除不可抗力外，任何一方未能履行本合同约定的其他主要义务，经 催告后在合理期限内仍未履行的，或者任何一方有其他违约行为致使不能实现 合同目的的，或者任何一方有腐败行为（即：提供或给予或接受或索取任何财 物或其他好处或者采取其他不正当手段来影响对方当事人在合同签订、履行过 程中的行为）或者欺诈行为（即：以谎报事实或隐瞒真相的方法来影响对方当 事人在合同签订、履行过程中的行为）的，对方当事人可以书面通知违约方解 除本合同；</w:t>
      </w:r>
    </w:p>
    <w:p w14:paraId="1F12EED4">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1.6.4 任何一方按照前述约定要求违约方支付违约金的同时，仍有权要求 违约方继续履行合同、采取补救措施，并有权按照己方实际损失情况要求违约 方赔偿损失；任何一方按照前述约定要求解除本合同的同时，仍有权要求违约 方支付违约金和按照己方实际损失情况要求违约方赔偿损失；且守约方行使的 任何权利救济方式均不视为其放弃了其他法定或者约定的权利救济方式；</w:t>
      </w:r>
    </w:p>
    <w:p w14:paraId="466177E3">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1.6.5 除前述约定外，除不可抗力外，任何一方未能履行本合同约定的义 务，对方当事人均有权要求继续履行、采取补救措施或者赔偿损失等，且对方 当事人行使的任何权利救济方式均不视为其放弃了其他法定或者约定的权利救 济方式；</w:t>
      </w:r>
    </w:p>
    <w:p w14:paraId="111C9410">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1.6.6 如果出现政府采购监督管理部门在处理投诉事项期间，书面通知甲 方暂停采购活动的情形，或者询问或质疑事项可能影响成交结果的，导致甲方 中止履行合同的情形，均不视为甲方违约。</w:t>
      </w:r>
    </w:p>
    <w:p w14:paraId="5D0E5D68">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sectPr>
          <w:headerReference r:id="rId9" w:type="default"/>
          <w:footerReference r:id="rId10" w:type="default"/>
          <w:pgSz w:w="11907" w:h="16840"/>
          <w:pgMar w:top="1716" w:right="1732" w:bottom="1036" w:left="1786" w:header="1696" w:footer="873" w:gutter="0"/>
          <w:pgNumType w:fmt="decimal" w:start="35"/>
          <w:cols w:space="720" w:num="1"/>
        </w:sectPr>
      </w:pPr>
    </w:p>
    <w:p w14:paraId="08B2168A">
      <w:pPr>
        <w:pStyle w:val="7"/>
        <w:spacing w:before="119" w:line="219" w:lineRule="auto"/>
        <w:ind w:left="0" w:leftChars="0" w:firstLine="460" w:firstLineChars="200"/>
        <w:outlineLvl w:val="1"/>
        <w:rPr>
          <w:sz w:val="24"/>
          <w:szCs w:val="24"/>
        </w:rPr>
      </w:pPr>
      <w:r>
        <w:rPr>
          <w:b/>
          <w:bCs/>
          <w:spacing w:val="-5"/>
          <w:sz w:val="24"/>
          <w:szCs w:val="24"/>
        </w:rPr>
        <w:t>1.7</w:t>
      </w:r>
      <w:r>
        <w:rPr>
          <w:spacing w:val="-5"/>
          <w:sz w:val="24"/>
          <w:szCs w:val="24"/>
        </w:rPr>
        <w:t xml:space="preserve"> </w:t>
      </w:r>
      <w:r>
        <w:rPr>
          <w:b/>
          <w:bCs/>
          <w:spacing w:val="-5"/>
          <w:sz w:val="24"/>
          <w:szCs w:val="24"/>
        </w:rPr>
        <w:t>合同争议的解决</w:t>
      </w:r>
    </w:p>
    <w:p w14:paraId="4CFBA1DC">
      <w:pPr>
        <w:pStyle w:val="7"/>
        <w:spacing w:before="115" w:line="219" w:lineRule="auto"/>
        <w:ind w:firstLine="234" w:firstLineChars="100"/>
        <w:rPr>
          <w:rFonts w:hint="eastAsia" w:ascii="仿宋_GB2312" w:hAnsi="仿宋_GB2312" w:eastAsia="仿宋_GB2312" w:cs="仿宋_GB2312"/>
          <w:spacing w:val="-3"/>
          <w:sz w:val="24"/>
          <w:szCs w:val="24"/>
        </w:rPr>
      </w:pPr>
      <w:r>
        <w:rPr>
          <w:rFonts w:hint="eastAsia" w:ascii="仿宋_GB2312" w:hAnsi="仿宋_GB2312" w:eastAsia="仿宋_GB2312" w:cs="仿宋_GB2312"/>
          <w:spacing w:val="-3"/>
          <w:sz w:val="24"/>
          <w:szCs w:val="24"/>
        </w:rPr>
        <w:t>本合同履行过程中发生的任何争议，双方当事人均可通过和解或者调解解 决；不愿和解、调解或者和解、调解不成的，可以选择下列第     种方式解决：</w:t>
      </w:r>
    </w:p>
    <w:p w14:paraId="01E87298">
      <w:pPr>
        <w:pStyle w:val="7"/>
        <w:spacing w:before="115" w:line="219" w:lineRule="auto"/>
        <w:rPr>
          <w:rFonts w:hint="eastAsia" w:ascii="仿宋_GB2312" w:hAnsi="仿宋_GB2312" w:eastAsia="仿宋_GB2312" w:cs="仿宋_GB2312"/>
          <w:spacing w:val="-3"/>
          <w:sz w:val="24"/>
          <w:szCs w:val="24"/>
        </w:rPr>
      </w:pPr>
      <w:r>
        <w:rPr>
          <w:rFonts w:hint="eastAsia" w:ascii="仿宋_GB2312" w:hAnsi="仿宋_GB2312" w:eastAsia="仿宋_GB2312" w:cs="仿宋_GB2312"/>
          <w:spacing w:val="-3"/>
          <w:sz w:val="24"/>
          <w:szCs w:val="24"/>
        </w:rPr>
        <w:t xml:space="preserve">1.7.1 将争议提交 </w:t>
      </w:r>
      <w:r>
        <w:rPr>
          <w:rFonts w:hint="eastAsia" w:ascii="仿宋_GB2312" w:hAnsi="仿宋_GB2312" w:eastAsia="仿宋_GB2312" w:cs="仿宋_GB2312"/>
          <w:spacing w:val="-3"/>
          <w:sz w:val="24"/>
          <w:szCs w:val="24"/>
          <w:u w:val="single"/>
        </w:rPr>
        <w:t xml:space="preserve">               </w:t>
      </w:r>
      <w:r>
        <w:rPr>
          <w:rFonts w:hint="eastAsia" w:ascii="仿宋_GB2312" w:hAnsi="仿宋_GB2312" w:eastAsia="仿宋_GB2312" w:cs="仿宋_GB2312"/>
          <w:spacing w:val="-3"/>
          <w:sz w:val="24"/>
          <w:szCs w:val="24"/>
        </w:rPr>
        <w:t>仲裁委员会依申请仲裁时其现行有效的 仲裁规则裁决；</w:t>
      </w:r>
    </w:p>
    <w:p w14:paraId="42F97441">
      <w:pPr>
        <w:pStyle w:val="7"/>
        <w:spacing w:before="115" w:line="219" w:lineRule="auto"/>
        <w:rPr>
          <w:rFonts w:hint="eastAsia" w:ascii="仿宋_GB2312" w:hAnsi="仿宋_GB2312" w:eastAsia="仿宋_GB2312" w:cs="仿宋_GB2312"/>
          <w:spacing w:val="-3"/>
          <w:sz w:val="24"/>
          <w:szCs w:val="24"/>
        </w:rPr>
      </w:pPr>
      <w:r>
        <w:rPr>
          <w:rFonts w:hint="eastAsia" w:ascii="仿宋_GB2312" w:hAnsi="仿宋_GB2312" w:eastAsia="仿宋_GB2312" w:cs="仿宋_GB2312"/>
          <w:spacing w:val="-3"/>
          <w:sz w:val="24"/>
          <w:szCs w:val="24"/>
        </w:rPr>
        <w:t>1.7.2 向（被告住所地、合同履行地、合同签订地、原告住所地、标 的物所在地等与争议有实际联系的地点中选出的人民法院名称） 人民法院起诉。</w:t>
      </w:r>
    </w:p>
    <w:p w14:paraId="770F9568">
      <w:pPr>
        <w:pStyle w:val="7"/>
        <w:spacing w:before="115" w:line="220" w:lineRule="auto"/>
        <w:ind w:left="535"/>
        <w:outlineLvl w:val="1"/>
        <w:rPr>
          <w:sz w:val="24"/>
          <w:szCs w:val="24"/>
        </w:rPr>
      </w:pPr>
      <w:r>
        <w:rPr>
          <w:b/>
          <w:bCs/>
          <w:spacing w:val="-8"/>
          <w:sz w:val="24"/>
          <w:szCs w:val="24"/>
        </w:rPr>
        <w:t>1.8</w:t>
      </w:r>
      <w:r>
        <w:rPr>
          <w:spacing w:val="15"/>
          <w:sz w:val="24"/>
          <w:szCs w:val="24"/>
        </w:rPr>
        <w:t xml:space="preserve"> </w:t>
      </w:r>
      <w:r>
        <w:rPr>
          <w:b/>
          <w:bCs/>
          <w:spacing w:val="-8"/>
          <w:sz w:val="24"/>
          <w:szCs w:val="24"/>
        </w:rPr>
        <w:t>合同生效</w:t>
      </w:r>
    </w:p>
    <w:p w14:paraId="5A5CA9E7">
      <w:pPr>
        <w:pStyle w:val="7"/>
        <w:spacing w:before="111" w:line="219" w:lineRule="auto"/>
        <w:ind w:left="518"/>
        <w:rPr>
          <w:sz w:val="24"/>
          <w:szCs w:val="24"/>
        </w:rPr>
      </w:pPr>
      <w:r>
        <w:rPr>
          <w:spacing w:val="-1"/>
          <w:sz w:val="24"/>
          <w:szCs w:val="24"/>
        </w:rPr>
        <w:t>本合同自双方当事人盖章或者签字时生效。</w:t>
      </w:r>
    </w:p>
    <w:p w14:paraId="6A8BC77A">
      <w:pPr>
        <w:spacing w:line="436" w:lineRule="auto"/>
        <w:rPr>
          <w:rFonts w:ascii="Arial"/>
          <w:sz w:val="21"/>
        </w:rPr>
      </w:pPr>
    </w:p>
    <w:p w14:paraId="50274D53">
      <w:pPr>
        <w:pStyle w:val="7"/>
        <w:spacing w:before="79" w:line="221" w:lineRule="auto"/>
        <w:ind w:left="68"/>
        <w:rPr>
          <w:sz w:val="24"/>
          <w:szCs w:val="24"/>
        </w:rPr>
      </w:pPr>
      <w:r>
        <w:rPr>
          <w:b/>
          <w:bCs/>
          <w:spacing w:val="-7"/>
          <w:sz w:val="24"/>
          <w:szCs w:val="24"/>
        </w:rPr>
        <w:t>甲方</w:t>
      </w:r>
      <w:r>
        <w:rPr>
          <w:spacing w:val="-7"/>
          <w:sz w:val="24"/>
          <w:szCs w:val="24"/>
        </w:rPr>
        <w:t xml:space="preserve">：                                     </w:t>
      </w:r>
      <w:r>
        <w:rPr>
          <w:b/>
          <w:bCs/>
          <w:spacing w:val="-7"/>
          <w:sz w:val="24"/>
          <w:szCs w:val="24"/>
        </w:rPr>
        <w:t>乙方</w:t>
      </w:r>
      <w:r>
        <w:rPr>
          <w:spacing w:val="-7"/>
          <w:sz w:val="24"/>
          <w:szCs w:val="24"/>
        </w:rPr>
        <w:t>：</w:t>
      </w:r>
    </w:p>
    <w:p w14:paraId="656D67BD">
      <w:pPr>
        <w:pStyle w:val="7"/>
        <w:spacing w:before="111" w:line="219" w:lineRule="auto"/>
        <w:ind w:left="43"/>
        <w:rPr>
          <w:sz w:val="24"/>
          <w:szCs w:val="24"/>
        </w:rPr>
      </w:pPr>
      <w:r>
        <w:rPr>
          <w:spacing w:val="2"/>
          <w:sz w:val="24"/>
          <w:szCs w:val="24"/>
        </w:rPr>
        <w:t>统一社会信用代码：                        统一社会信用代码或身份证号</w:t>
      </w:r>
    </w:p>
    <w:p w14:paraId="1DAF2A74">
      <w:pPr>
        <w:pStyle w:val="7"/>
        <w:spacing w:before="116" w:line="223" w:lineRule="auto"/>
        <w:ind w:left="36"/>
        <w:rPr>
          <w:sz w:val="24"/>
          <w:szCs w:val="24"/>
        </w:rPr>
      </w:pPr>
      <w:r>
        <w:rPr>
          <w:spacing w:val="-5"/>
          <w:sz w:val="24"/>
          <w:szCs w:val="24"/>
        </w:rPr>
        <w:t>码：</w:t>
      </w:r>
    </w:p>
    <w:p w14:paraId="7179FCA2">
      <w:pPr>
        <w:spacing w:line="428" w:lineRule="auto"/>
        <w:rPr>
          <w:rFonts w:ascii="Arial"/>
          <w:sz w:val="21"/>
        </w:rPr>
      </w:pPr>
    </w:p>
    <w:p w14:paraId="65DCC01A">
      <w:pPr>
        <w:pStyle w:val="7"/>
        <w:spacing w:before="79" w:line="220" w:lineRule="auto"/>
        <w:ind w:left="36"/>
        <w:rPr>
          <w:sz w:val="24"/>
          <w:szCs w:val="24"/>
        </w:rPr>
      </w:pPr>
      <w:r>
        <w:rPr>
          <w:spacing w:val="-3"/>
          <w:sz w:val="24"/>
          <w:szCs w:val="24"/>
        </w:rPr>
        <w:t>住所：</w:t>
      </w:r>
      <w:r>
        <w:rPr>
          <w:sz w:val="24"/>
          <w:szCs w:val="24"/>
        </w:rPr>
        <w:t xml:space="preserve">                                   </w:t>
      </w:r>
      <w:r>
        <w:rPr>
          <w:spacing w:val="-3"/>
          <w:sz w:val="24"/>
          <w:szCs w:val="24"/>
        </w:rPr>
        <w:t>住所：</w:t>
      </w:r>
    </w:p>
    <w:p w14:paraId="74DFBF40">
      <w:pPr>
        <w:pStyle w:val="7"/>
        <w:spacing w:before="115" w:line="219" w:lineRule="auto"/>
        <w:ind w:left="38"/>
        <w:rPr>
          <w:sz w:val="24"/>
          <w:szCs w:val="24"/>
        </w:rPr>
      </w:pPr>
      <w:r>
        <w:rPr>
          <w:sz w:val="24"/>
          <w:szCs w:val="24"/>
        </w:rPr>
        <w:t xml:space="preserve">法定代表人或                      </w:t>
      </w:r>
      <w:r>
        <w:rPr>
          <w:spacing w:val="-1"/>
          <w:sz w:val="24"/>
          <w:szCs w:val="24"/>
        </w:rPr>
        <w:t xml:space="preserve">       法定代表人</w:t>
      </w:r>
    </w:p>
    <w:p w14:paraId="126EE42A">
      <w:pPr>
        <w:pStyle w:val="7"/>
        <w:spacing w:before="116" w:line="219" w:lineRule="auto"/>
        <w:ind w:left="36"/>
        <w:rPr>
          <w:sz w:val="24"/>
          <w:szCs w:val="24"/>
        </w:rPr>
      </w:pPr>
      <w:r>
        <w:rPr>
          <w:spacing w:val="1"/>
          <w:sz w:val="24"/>
          <w:szCs w:val="24"/>
        </w:rPr>
        <w:t>授权代表（签字</w:t>
      </w:r>
      <w:r>
        <w:rPr>
          <w:spacing w:val="3"/>
          <w:sz w:val="24"/>
          <w:szCs w:val="24"/>
        </w:rPr>
        <w:t>）：</w:t>
      </w:r>
      <w:r>
        <w:rPr>
          <w:sz w:val="24"/>
          <w:szCs w:val="24"/>
        </w:rPr>
        <w:t xml:space="preserve">                        </w:t>
      </w:r>
      <w:r>
        <w:rPr>
          <w:spacing w:val="1"/>
          <w:sz w:val="24"/>
          <w:szCs w:val="24"/>
        </w:rPr>
        <w:t>或授权代表（签字）:</w:t>
      </w:r>
    </w:p>
    <w:p w14:paraId="68BED2B6">
      <w:pPr>
        <w:pStyle w:val="7"/>
        <w:spacing w:before="114" w:line="221" w:lineRule="auto"/>
        <w:ind w:left="38"/>
        <w:rPr>
          <w:sz w:val="24"/>
          <w:szCs w:val="24"/>
        </w:rPr>
      </w:pPr>
      <w:r>
        <w:rPr>
          <w:sz w:val="24"/>
          <w:szCs w:val="24"/>
        </w:rPr>
        <w:t xml:space="preserve">联系人：                         </w:t>
      </w:r>
      <w:r>
        <w:rPr>
          <w:spacing w:val="-1"/>
          <w:sz w:val="24"/>
          <w:szCs w:val="24"/>
        </w:rPr>
        <w:t xml:space="preserve">        联系人：</w:t>
      </w:r>
    </w:p>
    <w:p w14:paraId="2F2AFA5F">
      <w:pPr>
        <w:pStyle w:val="7"/>
        <w:spacing w:before="113" w:line="220" w:lineRule="auto"/>
        <w:ind w:left="43"/>
        <w:rPr>
          <w:sz w:val="24"/>
          <w:szCs w:val="24"/>
        </w:rPr>
      </w:pPr>
      <w:r>
        <w:rPr>
          <w:sz w:val="24"/>
          <w:szCs w:val="24"/>
        </w:rPr>
        <w:t xml:space="preserve">约定送达地址：                 </w:t>
      </w:r>
      <w:r>
        <w:rPr>
          <w:spacing w:val="-1"/>
          <w:sz w:val="24"/>
          <w:szCs w:val="24"/>
        </w:rPr>
        <w:t xml:space="preserve">          约定送达地址：</w:t>
      </w:r>
    </w:p>
    <w:p w14:paraId="04DF0C51">
      <w:pPr>
        <w:pStyle w:val="7"/>
        <w:spacing w:before="115" w:line="219" w:lineRule="auto"/>
        <w:ind w:left="55"/>
        <w:rPr>
          <w:sz w:val="24"/>
          <w:szCs w:val="24"/>
        </w:rPr>
      </w:pPr>
      <w:r>
        <w:rPr>
          <w:spacing w:val="-6"/>
          <w:sz w:val="24"/>
          <w:szCs w:val="24"/>
        </w:rPr>
        <w:t>邮政编码：</w:t>
      </w:r>
      <w:r>
        <w:rPr>
          <w:spacing w:val="1"/>
          <w:sz w:val="24"/>
          <w:szCs w:val="24"/>
        </w:rPr>
        <w:t xml:space="preserve">                               </w:t>
      </w:r>
      <w:r>
        <w:rPr>
          <w:spacing w:val="-6"/>
          <w:sz w:val="24"/>
          <w:szCs w:val="24"/>
        </w:rPr>
        <w:t>邮政编码：</w:t>
      </w:r>
    </w:p>
    <w:p w14:paraId="5E15269C">
      <w:pPr>
        <w:pStyle w:val="7"/>
        <w:spacing w:before="114" w:line="221" w:lineRule="auto"/>
        <w:ind w:left="65"/>
        <w:rPr>
          <w:sz w:val="24"/>
          <w:szCs w:val="24"/>
        </w:rPr>
      </w:pPr>
      <w:r>
        <w:rPr>
          <w:spacing w:val="-3"/>
          <w:sz w:val="24"/>
          <w:szCs w:val="24"/>
        </w:rPr>
        <w:t>电话:                                     电话:</w:t>
      </w:r>
    </w:p>
    <w:p w14:paraId="4566D75D">
      <w:pPr>
        <w:pStyle w:val="7"/>
        <w:spacing w:before="113" w:line="219" w:lineRule="auto"/>
        <w:ind w:left="35"/>
        <w:rPr>
          <w:sz w:val="24"/>
          <w:szCs w:val="24"/>
        </w:rPr>
      </w:pPr>
      <w:r>
        <w:rPr>
          <w:spacing w:val="4"/>
          <w:sz w:val="24"/>
          <w:szCs w:val="24"/>
        </w:rPr>
        <w:t xml:space="preserve">传真:                              </w:t>
      </w:r>
      <w:r>
        <w:rPr>
          <w:spacing w:val="3"/>
          <w:sz w:val="24"/>
          <w:szCs w:val="24"/>
        </w:rPr>
        <w:t xml:space="preserve">     传真:</w:t>
      </w:r>
    </w:p>
    <w:p w14:paraId="50DE5DFF">
      <w:pPr>
        <w:pStyle w:val="7"/>
        <w:spacing w:before="116" w:line="220" w:lineRule="auto"/>
        <w:ind w:left="65"/>
        <w:rPr>
          <w:sz w:val="24"/>
          <w:szCs w:val="24"/>
        </w:rPr>
      </w:pPr>
      <w:r>
        <w:rPr>
          <w:spacing w:val="-4"/>
          <w:sz w:val="24"/>
          <w:szCs w:val="24"/>
        </w:rPr>
        <w:t>电子邮箱：                                电子邮箱：</w:t>
      </w:r>
    </w:p>
    <w:p w14:paraId="67337CB9">
      <w:pPr>
        <w:pStyle w:val="7"/>
        <w:spacing w:before="113" w:line="220" w:lineRule="auto"/>
        <w:ind w:left="38"/>
        <w:rPr>
          <w:sz w:val="24"/>
          <w:szCs w:val="24"/>
        </w:rPr>
      </w:pPr>
      <w:r>
        <w:rPr>
          <w:sz w:val="24"/>
          <w:szCs w:val="24"/>
        </w:rPr>
        <w:t xml:space="preserve">开户银行：                        </w:t>
      </w:r>
      <w:r>
        <w:rPr>
          <w:spacing w:val="-1"/>
          <w:sz w:val="24"/>
          <w:szCs w:val="24"/>
        </w:rPr>
        <w:t xml:space="preserve">       开户银行：</w:t>
      </w:r>
    </w:p>
    <w:p w14:paraId="5C482EBE">
      <w:pPr>
        <w:pStyle w:val="7"/>
        <w:spacing w:before="114" w:line="220" w:lineRule="auto"/>
        <w:ind w:left="38"/>
        <w:rPr>
          <w:sz w:val="24"/>
          <w:szCs w:val="24"/>
        </w:rPr>
      </w:pPr>
      <w:r>
        <w:rPr>
          <w:sz w:val="24"/>
          <w:szCs w:val="24"/>
        </w:rPr>
        <w:t xml:space="preserve">开户名称：                        </w:t>
      </w:r>
      <w:r>
        <w:rPr>
          <w:spacing w:val="-1"/>
          <w:sz w:val="24"/>
          <w:szCs w:val="24"/>
        </w:rPr>
        <w:t xml:space="preserve">       开户名称：</w:t>
      </w:r>
    </w:p>
    <w:p w14:paraId="28545F0E">
      <w:pPr>
        <w:pStyle w:val="7"/>
        <w:spacing w:before="115" w:line="220" w:lineRule="auto"/>
        <w:ind w:left="38"/>
        <w:rPr>
          <w:sz w:val="24"/>
          <w:szCs w:val="24"/>
        </w:rPr>
      </w:pPr>
      <w:r>
        <w:rPr>
          <w:sz w:val="24"/>
          <w:szCs w:val="24"/>
        </w:rPr>
        <w:t xml:space="preserve">开户账号：                        </w:t>
      </w:r>
      <w:r>
        <w:rPr>
          <w:spacing w:val="-1"/>
          <w:sz w:val="24"/>
          <w:szCs w:val="24"/>
        </w:rPr>
        <w:t xml:space="preserve">       开户账号：</w:t>
      </w:r>
    </w:p>
    <w:p w14:paraId="2A176EED">
      <w:pPr>
        <w:spacing w:line="220" w:lineRule="auto"/>
        <w:rPr>
          <w:sz w:val="24"/>
          <w:szCs w:val="24"/>
        </w:rPr>
        <w:sectPr>
          <w:headerReference r:id="rId11" w:type="default"/>
          <w:footerReference r:id="rId12" w:type="default"/>
          <w:pgSz w:w="11907" w:h="16840"/>
          <w:pgMar w:top="400" w:right="1752" w:bottom="1036" w:left="1786" w:header="0" w:footer="873" w:gutter="0"/>
          <w:pgNumType w:fmt="decimal"/>
          <w:cols w:space="720" w:num="1"/>
        </w:sectPr>
      </w:pPr>
    </w:p>
    <w:p w14:paraId="5D8548AA">
      <w:pPr>
        <w:pStyle w:val="7"/>
        <w:spacing w:before="78" w:line="219" w:lineRule="auto"/>
        <w:ind w:left="2910"/>
        <w:outlineLvl w:val="0"/>
        <w:rPr>
          <w:sz w:val="24"/>
          <w:szCs w:val="24"/>
        </w:rPr>
      </w:pPr>
      <w:r>
        <w:rPr>
          <w:b/>
          <w:bCs/>
          <w:spacing w:val="-3"/>
          <w:sz w:val="24"/>
          <w:szCs w:val="24"/>
        </w:rPr>
        <w:t>第二部分</w:t>
      </w:r>
      <w:r>
        <w:rPr>
          <w:spacing w:val="-3"/>
          <w:sz w:val="24"/>
          <w:szCs w:val="24"/>
        </w:rPr>
        <w:t xml:space="preserve"> </w:t>
      </w:r>
      <w:r>
        <w:rPr>
          <w:b/>
          <w:bCs/>
          <w:spacing w:val="-3"/>
          <w:sz w:val="24"/>
          <w:szCs w:val="24"/>
        </w:rPr>
        <w:t>合同一般条款</w:t>
      </w:r>
    </w:p>
    <w:p w14:paraId="35B65F9B">
      <w:pPr>
        <w:pStyle w:val="7"/>
        <w:keepNext w:val="0"/>
        <w:keepLines w:val="0"/>
        <w:pageBreakBefore w:val="0"/>
        <w:widowControl w:val="0"/>
        <w:kinsoku/>
        <w:wordWrap/>
        <w:overflowPunct/>
        <w:topLinePunct w:val="0"/>
        <w:autoSpaceDE/>
        <w:autoSpaceDN/>
        <w:bidi w:val="0"/>
        <w:adjustRightInd w:val="0"/>
        <w:snapToGrid/>
        <w:spacing w:after="0" w:line="220" w:lineRule="auto"/>
        <w:ind w:left="0" w:leftChars="0" w:right="0" w:firstLine="448" w:firstLineChars="200"/>
        <w:textAlignment w:val="baseline"/>
        <w:outlineLvl w:val="1"/>
        <w:rPr>
          <w:sz w:val="24"/>
          <w:szCs w:val="24"/>
        </w:rPr>
      </w:pPr>
      <w:r>
        <w:rPr>
          <w:b/>
          <w:bCs/>
          <w:spacing w:val="-8"/>
          <w:sz w:val="24"/>
          <w:szCs w:val="24"/>
        </w:rPr>
        <w:t>2.1</w:t>
      </w:r>
      <w:r>
        <w:rPr>
          <w:spacing w:val="16"/>
          <w:sz w:val="24"/>
          <w:szCs w:val="24"/>
        </w:rPr>
        <w:t xml:space="preserve"> </w:t>
      </w:r>
      <w:r>
        <w:rPr>
          <w:b/>
          <w:bCs/>
          <w:spacing w:val="-8"/>
          <w:sz w:val="24"/>
          <w:szCs w:val="24"/>
        </w:rPr>
        <w:t>定义</w:t>
      </w:r>
    </w:p>
    <w:p w14:paraId="56897125">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本合同中的下列词语应按以下内容进行解释：</w:t>
      </w:r>
    </w:p>
    <w:p w14:paraId="183413E9">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2.1.1 “合同 ”系指采购人和成交供应商签订的载明双方当事人所达成的 协议，并包括所有的附件、附录和构成合同的其他文件。</w:t>
      </w:r>
    </w:p>
    <w:p w14:paraId="06C07348">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2.1.2 “合同价 ”系指根据合同约定，成交供应商在完全履行合同义务后， 采购人应支付给成交供应商的价格。</w:t>
      </w:r>
    </w:p>
    <w:p w14:paraId="08CB56FF">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2.1.3 “服务 ”系指成交供应商根据合同约定应向采购人履行的除货物和 工程以外的其他政府采购对象，包括采购人自身需要的服务和向社会公众提供 的公共服务。</w:t>
      </w:r>
    </w:p>
    <w:p w14:paraId="2352208C">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2.1.4 “ 甲方 ”系指与成交供应商签署合同的采购人；采购人委托采购代 理机构代表其与乙方签订合同的，采购人的授权委托书作为合同附件。</w:t>
      </w:r>
    </w:p>
    <w:p w14:paraId="0CFF0C96">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2.1.5 “ 乙方 ”系指根据合同约定提供服务的成交供应商；两个以上的自 然人、法人或者其他组织组成一个联合体，以一个供应商的身份共同参加政府 采购的，联合体各方均应为乙方或者与乙方相同地位的合同当事人，并就合同 约定的事项对甲方承担连带责任。</w:t>
      </w:r>
    </w:p>
    <w:p w14:paraId="710E98E2">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2.1.6 “现场 ”系指合同约定提供服务的地点。</w:t>
      </w:r>
    </w:p>
    <w:p w14:paraId="3DF5C48C">
      <w:pPr>
        <w:pStyle w:val="7"/>
        <w:keepNext w:val="0"/>
        <w:keepLines w:val="0"/>
        <w:pageBreakBefore w:val="0"/>
        <w:widowControl w:val="0"/>
        <w:kinsoku/>
        <w:wordWrap/>
        <w:overflowPunct/>
        <w:topLinePunct w:val="0"/>
        <w:autoSpaceDE/>
        <w:autoSpaceDN/>
        <w:bidi w:val="0"/>
        <w:adjustRightInd w:val="0"/>
        <w:snapToGrid/>
        <w:spacing w:after="0" w:line="219" w:lineRule="auto"/>
        <w:ind w:left="0" w:right="0"/>
        <w:textAlignment w:val="baseline"/>
        <w:outlineLvl w:val="1"/>
        <w:rPr>
          <w:sz w:val="24"/>
          <w:szCs w:val="24"/>
        </w:rPr>
      </w:pPr>
      <w:r>
        <w:rPr>
          <w:b/>
          <w:bCs/>
          <w:spacing w:val="-4"/>
          <w:sz w:val="24"/>
          <w:szCs w:val="24"/>
        </w:rPr>
        <w:t>2.2</w:t>
      </w:r>
      <w:r>
        <w:rPr>
          <w:spacing w:val="-4"/>
          <w:sz w:val="24"/>
          <w:szCs w:val="24"/>
        </w:rPr>
        <w:t xml:space="preserve"> </w:t>
      </w:r>
      <w:r>
        <w:rPr>
          <w:b/>
          <w:bCs/>
          <w:spacing w:val="-4"/>
          <w:sz w:val="24"/>
          <w:szCs w:val="24"/>
        </w:rPr>
        <w:t>技术规范</w:t>
      </w:r>
    </w:p>
    <w:p w14:paraId="7D869B45">
      <w:pPr>
        <w:pStyle w:val="7"/>
        <w:spacing w:before="112" w:line="308" w:lineRule="auto"/>
        <w:ind w:left="41" w:right="136" w:firstLine="483"/>
        <w:jc w:val="both"/>
        <w:rPr>
          <w:sz w:val="24"/>
          <w:szCs w:val="24"/>
        </w:rPr>
      </w:pPr>
      <w:r>
        <w:rPr>
          <w:rFonts w:hint="eastAsia" w:ascii="仿宋_GB2312" w:hAnsi="仿宋_GB2312" w:eastAsia="仿宋_GB2312" w:cs="仿宋_GB2312"/>
          <w:b w:val="0"/>
          <w:bCs/>
          <w:kern w:val="0"/>
          <w:sz w:val="24"/>
          <w:szCs w:val="24"/>
          <w:highlight w:val="none"/>
          <w:u w:val="none"/>
          <w:lang w:val="en-US" w:eastAsia="zh-CN" w:bidi="ar-SA"/>
        </w:rPr>
        <w:t>服务所应遵守的技术规范应与采购文件规定的技术规范和技术规范附件 (如果有的话)及其技术规范偏差表(如果被甲方接受的话)相一致；如果采购文 件中没有技术规范的相应说明，那么应以国家有关部门最新颁布的相应标准和 规范为准。</w:t>
      </w:r>
    </w:p>
    <w:p w14:paraId="349E8333">
      <w:pPr>
        <w:pStyle w:val="7"/>
        <w:keepNext w:val="0"/>
        <w:keepLines w:val="0"/>
        <w:pageBreakBefore w:val="0"/>
        <w:widowControl w:val="0"/>
        <w:kinsoku/>
        <w:wordWrap/>
        <w:overflowPunct/>
        <w:topLinePunct w:val="0"/>
        <w:autoSpaceDE/>
        <w:autoSpaceDN/>
        <w:bidi w:val="0"/>
        <w:adjustRightInd w:val="0"/>
        <w:snapToGrid/>
        <w:spacing w:after="0" w:line="219" w:lineRule="auto"/>
        <w:ind w:left="0" w:right="0"/>
        <w:textAlignment w:val="baseline"/>
        <w:outlineLvl w:val="1"/>
        <w:rPr>
          <w:sz w:val="24"/>
          <w:szCs w:val="24"/>
        </w:rPr>
      </w:pPr>
      <w:r>
        <w:rPr>
          <w:b/>
          <w:bCs/>
          <w:spacing w:val="-6"/>
          <w:sz w:val="24"/>
          <w:szCs w:val="24"/>
        </w:rPr>
        <w:t>2.3</w:t>
      </w:r>
      <w:r>
        <w:rPr>
          <w:spacing w:val="15"/>
          <w:sz w:val="24"/>
          <w:szCs w:val="24"/>
        </w:rPr>
        <w:t xml:space="preserve"> </w:t>
      </w:r>
      <w:r>
        <w:rPr>
          <w:b/>
          <w:bCs/>
          <w:spacing w:val="-6"/>
          <w:sz w:val="24"/>
          <w:szCs w:val="24"/>
        </w:rPr>
        <w:t>知识产权</w:t>
      </w:r>
    </w:p>
    <w:p w14:paraId="0E5A8817">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2.3.1 乙方应保证其提供的服务不受任何第三方提出的侵犯其著作权、商 标权、专利权等知识产权方面的起诉；如果任何第三方提出侵权指控，那么乙 方须与该第三方交涉并承担由此发生的一切责任、费用和赔偿；</w:t>
      </w:r>
    </w:p>
    <w:p w14:paraId="07CC3666">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2.3.2 合同涉及技术成果的归属和收益的分成办法的，详见合同专用条款。</w:t>
      </w:r>
    </w:p>
    <w:p w14:paraId="2DE613DA">
      <w:pPr>
        <w:pStyle w:val="7"/>
        <w:keepNext w:val="0"/>
        <w:keepLines w:val="0"/>
        <w:pageBreakBefore w:val="0"/>
        <w:widowControl w:val="0"/>
        <w:kinsoku/>
        <w:wordWrap/>
        <w:overflowPunct/>
        <w:topLinePunct w:val="0"/>
        <w:autoSpaceDE/>
        <w:autoSpaceDN/>
        <w:bidi w:val="0"/>
        <w:adjustRightInd w:val="0"/>
        <w:snapToGrid/>
        <w:spacing w:after="0" w:line="219" w:lineRule="auto"/>
        <w:ind w:left="0" w:right="0"/>
        <w:textAlignment w:val="baseline"/>
        <w:outlineLvl w:val="1"/>
        <w:rPr>
          <w:sz w:val="24"/>
          <w:szCs w:val="24"/>
        </w:rPr>
      </w:pPr>
      <w:r>
        <w:rPr>
          <w:b/>
          <w:bCs/>
          <w:spacing w:val="-3"/>
          <w:sz w:val="24"/>
          <w:szCs w:val="24"/>
        </w:rPr>
        <w:t>2.4</w:t>
      </w:r>
      <w:r>
        <w:rPr>
          <w:spacing w:val="-3"/>
          <w:sz w:val="24"/>
          <w:szCs w:val="24"/>
        </w:rPr>
        <w:t xml:space="preserve"> </w:t>
      </w:r>
      <w:r>
        <w:rPr>
          <w:b/>
          <w:bCs/>
          <w:spacing w:val="-3"/>
          <w:sz w:val="24"/>
          <w:szCs w:val="24"/>
        </w:rPr>
        <w:t>履约检查和问题反馈</w:t>
      </w:r>
    </w:p>
    <w:p w14:paraId="5D4F2E45">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2.4.1 甲方有权在其认为必要时，对乙方是否能够按照合同约定提供服务 进行履约检查，以确保乙方所提供的服务能够依约满足甲方之项目需求，但不 得因履约检查妨碍乙方的正常工作，乙方应予积极配合；</w:t>
      </w:r>
    </w:p>
    <w:p w14:paraId="5BAE7A86">
      <w:pPr>
        <w:pStyle w:val="7"/>
        <w:spacing w:before="112" w:line="308" w:lineRule="auto"/>
        <w:ind w:left="41" w:right="136" w:firstLine="483"/>
        <w:jc w:val="both"/>
        <w:rPr>
          <w:sz w:val="24"/>
          <w:szCs w:val="24"/>
        </w:rPr>
      </w:pPr>
      <w:r>
        <w:rPr>
          <w:rFonts w:hint="eastAsia" w:ascii="仿宋_GB2312" w:hAnsi="仿宋_GB2312" w:eastAsia="仿宋_GB2312" w:cs="仿宋_GB2312"/>
          <w:b w:val="0"/>
          <w:bCs/>
          <w:kern w:val="0"/>
          <w:sz w:val="24"/>
          <w:szCs w:val="24"/>
          <w:highlight w:val="none"/>
          <w:u w:val="none"/>
          <w:lang w:val="en-US" w:eastAsia="zh-CN" w:bidi="ar-SA"/>
        </w:rPr>
        <w:t>2.4.2 合同履行期间，甲方有权将履行过程中出现的问题反馈给乙方，双 方当事人应以书面形式约定需要完善和改进的内容。</w:t>
      </w:r>
    </w:p>
    <w:p w14:paraId="2C9C8DE0">
      <w:pPr>
        <w:pStyle w:val="7"/>
        <w:keepNext w:val="0"/>
        <w:keepLines w:val="0"/>
        <w:pageBreakBefore w:val="0"/>
        <w:widowControl w:val="0"/>
        <w:kinsoku/>
        <w:wordWrap/>
        <w:overflowPunct/>
        <w:topLinePunct w:val="0"/>
        <w:autoSpaceDE/>
        <w:autoSpaceDN/>
        <w:bidi w:val="0"/>
        <w:adjustRightInd w:val="0"/>
        <w:snapToGrid/>
        <w:spacing w:after="0" w:line="219" w:lineRule="auto"/>
        <w:ind w:left="0" w:right="0"/>
        <w:textAlignment w:val="baseline"/>
        <w:outlineLvl w:val="1"/>
        <w:rPr>
          <w:sz w:val="24"/>
          <w:szCs w:val="24"/>
        </w:rPr>
      </w:pPr>
      <w:r>
        <w:rPr>
          <w:b/>
          <w:bCs/>
          <w:spacing w:val="-3"/>
          <w:sz w:val="24"/>
          <w:szCs w:val="24"/>
        </w:rPr>
        <w:t>2.5</w:t>
      </w:r>
      <w:r>
        <w:rPr>
          <w:spacing w:val="-3"/>
          <w:sz w:val="24"/>
          <w:szCs w:val="24"/>
        </w:rPr>
        <w:t xml:space="preserve"> </w:t>
      </w:r>
      <w:r>
        <w:rPr>
          <w:b/>
          <w:bCs/>
          <w:spacing w:val="-3"/>
          <w:sz w:val="24"/>
          <w:szCs w:val="24"/>
        </w:rPr>
        <w:t>结算方式和付款条件</w:t>
      </w:r>
    </w:p>
    <w:p w14:paraId="2910CCD4">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详见合同专用条款。</w:t>
      </w:r>
    </w:p>
    <w:p w14:paraId="30BC2763">
      <w:pPr>
        <w:pStyle w:val="7"/>
        <w:keepNext w:val="0"/>
        <w:keepLines w:val="0"/>
        <w:pageBreakBefore w:val="0"/>
        <w:widowControl w:val="0"/>
        <w:kinsoku/>
        <w:wordWrap/>
        <w:overflowPunct/>
        <w:topLinePunct w:val="0"/>
        <w:autoSpaceDE/>
        <w:autoSpaceDN/>
        <w:bidi w:val="0"/>
        <w:adjustRightInd w:val="0"/>
        <w:snapToGrid/>
        <w:spacing w:after="0" w:line="219" w:lineRule="auto"/>
        <w:ind w:left="0" w:right="0"/>
        <w:textAlignment w:val="baseline"/>
        <w:outlineLvl w:val="1"/>
        <w:rPr>
          <w:sz w:val="24"/>
          <w:szCs w:val="24"/>
        </w:rPr>
      </w:pPr>
      <w:r>
        <w:rPr>
          <w:b/>
          <w:bCs/>
          <w:spacing w:val="-3"/>
          <w:sz w:val="24"/>
          <w:szCs w:val="24"/>
        </w:rPr>
        <w:t>2.6</w:t>
      </w:r>
      <w:r>
        <w:rPr>
          <w:spacing w:val="-3"/>
          <w:sz w:val="24"/>
          <w:szCs w:val="24"/>
        </w:rPr>
        <w:t xml:space="preserve"> </w:t>
      </w:r>
      <w:r>
        <w:rPr>
          <w:b/>
          <w:bCs/>
          <w:spacing w:val="-3"/>
          <w:sz w:val="24"/>
          <w:szCs w:val="24"/>
        </w:rPr>
        <w:t>技术资料和保密义务</w:t>
      </w:r>
    </w:p>
    <w:p w14:paraId="671E6081">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2.6.1 乙方有权依据合同约定和项目需要，向甲方了解有关情况，调阅有 关资料等，甲方应予积极配合；</w:t>
      </w:r>
    </w:p>
    <w:p w14:paraId="35584A9A">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2.6.2 乙方有义务妥善保管和保护由甲方提供的前款信息和资料等；</w:t>
      </w:r>
    </w:p>
    <w:p w14:paraId="6DC81A60">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2.6.3 除非依照法律规定或者对方当事人的书面同意，任何一方均应保证 不向任何第三方提供或披露有关合同的或者履行合同过程中知悉的对方当事人 任何未公开的信息和资料，包括但不限于技术情报、技术资料、商业秘密和商 业信息等，并采取一切合理和必要措施和方式防止任何第三方接触到对方当事 人的上述保密信息和资料。</w:t>
      </w:r>
    </w:p>
    <w:p w14:paraId="1BF577ED">
      <w:pPr>
        <w:pStyle w:val="7"/>
        <w:keepNext w:val="0"/>
        <w:keepLines w:val="0"/>
        <w:pageBreakBefore w:val="0"/>
        <w:widowControl w:val="0"/>
        <w:kinsoku/>
        <w:wordWrap/>
        <w:overflowPunct/>
        <w:topLinePunct w:val="0"/>
        <w:autoSpaceDE/>
        <w:autoSpaceDN/>
        <w:bidi w:val="0"/>
        <w:adjustRightInd w:val="0"/>
        <w:snapToGrid/>
        <w:spacing w:after="0" w:line="220" w:lineRule="auto"/>
        <w:ind w:left="0" w:right="0"/>
        <w:textAlignment w:val="baseline"/>
        <w:outlineLvl w:val="1"/>
        <w:rPr>
          <w:sz w:val="24"/>
          <w:szCs w:val="24"/>
        </w:rPr>
      </w:pPr>
      <w:r>
        <w:rPr>
          <w:b/>
          <w:bCs/>
          <w:spacing w:val="-4"/>
          <w:sz w:val="24"/>
          <w:szCs w:val="24"/>
        </w:rPr>
        <w:t>2.7</w:t>
      </w:r>
      <w:r>
        <w:rPr>
          <w:spacing w:val="-4"/>
          <w:sz w:val="24"/>
          <w:szCs w:val="24"/>
        </w:rPr>
        <w:t xml:space="preserve"> </w:t>
      </w:r>
      <w:r>
        <w:rPr>
          <w:b/>
          <w:bCs/>
          <w:spacing w:val="-4"/>
          <w:sz w:val="24"/>
          <w:szCs w:val="24"/>
        </w:rPr>
        <w:t>质量保证</w:t>
      </w:r>
    </w:p>
    <w:p w14:paraId="14EA50B6">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2.7.1 乙方应建立和完善履行合同的内部质量保证体系，并提供相关内部 规章制度给甲方，以便甲方进行监督检查；</w:t>
      </w:r>
    </w:p>
    <w:p w14:paraId="1924195B">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2.7.2 乙方应保证履行合同的人员数量和素质、软件和硬件设备的配置、 场地、环境和设施等满足全面履行合同的要求，并应接受甲方的监督检查。</w:t>
      </w:r>
    </w:p>
    <w:p w14:paraId="6762E991">
      <w:pPr>
        <w:pStyle w:val="7"/>
        <w:keepNext w:val="0"/>
        <w:keepLines w:val="0"/>
        <w:pageBreakBefore w:val="0"/>
        <w:widowControl w:val="0"/>
        <w:kinsoku/>
        <w:wordWrap/>
        <w:overflowPunct/>
        <w:topLinePunct w:val="0"/>
        <w:autoSpaceDE/>
        <w:autoSpaceDN/>
        <w:bidi w:val="0"/>
        <w:adjustRightInd w:val="0"/>
        <w:snapToGrid/>
        <w:spacing w:after="0" w:line="220" w:lineRule="auto"/>
        <w:ind w:left="0" w:right="0"/>
        <w:textAlignment w:val="baseline"/>
        <w:outlineLvl w:val="1"/>
        <w:rPr>
          <w:sz w:val="24"/>
          <w:szCs w:val="24"/>
        </w:rPr>
      </w:pPr>
      <w:r>
        <w:rPr>
          <w:b/>
          <w:bCs/>
          <w:spacing w:val="-4"/>
          <w:sz w:val="24"/>
          <w:szCs w:val="24"/>
        </w:rPr>
        <w:t>2.8</w:t>
      </w:r>
      <w:r>
        <w:rPr>
          <w:spacing w:val="-4"/>
          <w:sz w:val="24"/>
          <w:szCs w:val="24"/>
        </w:rPr>
        <w:t xml:space="preserve"> </w:t>
      </w:r>
      <w:r>
        <w:rPr>
          <w:b/>
          <w:bCs/>
          <w:spacing w:val="-4"/>
          <w:sz w:val="24"/>
          <w:szCs w:val="24"/>
        </w:rPr>
        <w:t>延迟履行</w:t>
      </w:r>
    </w:p>
    <w:p w14:paraId="77D1B5A4">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在合同履行过程中，如果乙方遇到不能按时提供服务的情况，应及时以书 面形式将不能按时提供服务的理由、预期延误时间通知甲方；甲方收到乙方通 知后，认为其理由正当的，可以书面形式酌情同意乙方可以延长履行的具体时 间。</w:t>
      </w:r>
    </w:p>
    <w:p w14:paraId="321EADAE">
      <w:pPr>
        <w:pStyle w:val="7"/>
        <w:keepNext w:val="0"/>
        <w:keepLines w:val="0"/>
        <w:pageBreakBefore w:val="0"/>
        <w:widowControl w:val="0"/>
        <w:kinsoku/>
        <w:wordWrap/>
        <w:overflowPunct/>
        <w:topLinePunct w:val="0"/>
        <w:autoSpaceDE/>
        <w:autoSpaceDN/>
        <w:bidi w:val="0"/>
        <w:adjustRightInd w:val="0"/>
        <w:snapToGrid/>
        <w:spacing w:after="0" w:line="220" w:lineRule="auto"/>
        <w:ind w:left="0" w:right="0"/>
        <w:textAlignment w:val="baseline"/>
        <w:outlineLvl w:val="1"/>
        <w:rPr>
          <w:sz w:val="24"/>
          <w:szCs w:val="24"/>
        </w:rPr>
      </w:pPr>
      <w:r>
        <w:rPr>
          <w:b/>
          <w:bCs/>
          <w:spacing w:val="-4"/>
          <w:sz w:val="24"/>
          <w:szCs w:val="24"/>
        </w:rPr>
        <w:t>2.9</w:t>
      </w:r>
      <w:r>
        <w:rPr>
          <w:spacing w:val="-4"/>
          <w:sz w:val="24"/>
          <w:szCs w:val="24"/>
        </w:rPr>
        <w:t xml:space="preserve"> </w:t>
      </w:r>
      <w:r>
        <w:rPr>
          <w:b/>
          <w:bCs/>
          <w:spacing w:val="-4"/>
          <w:sz w:val="24"/>
          <w:szCs w:val="24"/>
        </w:rPr>
        <w:t>合同变更</w:t>
      </w:r>
    </w:p>
    <w:p w14:paraId="0E4B9810">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2.9.1 双方当事人协商一致，可以签订书面补充合同的形式变更合同，但 不得违背采购文件确定的事项，且如果系追加与合同标的相同的服务的，那么 所有补充合同的采购金额不得超过原合同价的 10%；</w:t>
      </w:r>
    </w:p>
    <w:p w14:paraId="0863574A">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2.9.2 合同继续履行将损害国家利益和社会公共利益的，双方当事人应当 以书面形式变更合同。有过错的一方应当承担赔偿责任，双方当事人都有过错 的，各自承担相应的责任。</w:t>
      </w:r>
    </w:p>
    <w:p w14:paraId="2AE57C3E">
      <w:pPr>
        <w:pStyle w:val="7"/>
        <w:keepNext w:val="0"/>
        <w:keepLines w:val="0"/>
        <w:pageBreakBefore w:val="0"/>
        <w:widowControl w:val="0"/>
        <w:kinsoku/>
        <w:wordWrap/>
        <w:overflowPunct/>
        <w:topLinePunct w:val="0"/>
        <w:autoSpaceDE/>
        <w:autoSpaceDN/>
        <w:bidi w:val="0"/>
        <w:adjustRightInd w:val="0"/>
        <w:snapToGrid/>
        <w:spacing w:after="0" w:line="220" w:lineRule="auto"/>
        <w:ind w:left="0" w:right="0"/>
        <w:textAlignment w:val="baseline"/>
        <w:outlineLvl w:val="1"/>
        <w:rPr>
          <w:sz w:val="24"/>
          <w:szCs w:val="24"/>
        </w:rPr>
      </w:pPr>
      <w:r>
        <w:rPr>
          <w:b/>
          <w:bCs/>
          <w:spacing w:val="-3"/>
          <w:sz w:val="24"/>
          <w:szCs w:val="24"/>
        </w:rPr>
        <w:t>2.10</w:t>
      </w:r>
      <w:r>
        <w:rPr>
          <w:spacing w:val="-3"/>
          <w:sz w:val="24"/>
          <w:szCs w:val="24"/>
        </w:rPr>
        <w:t xml:space="preserve"> </w:t>
      </w:r>
      <w:r>
        <w:rPr>
          <w:b/>
          <w:bCs/>
          <w:spacing w:val="-3"/>
          <w:sz w:val="24"/>
          <w:szCs w:val="24"/>
        </w:rPr>
        <w:t>合同转让和分包</w:t>
      </w:r>
    </w:p>
    <w:p w14:paraId="3224F75F">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合同的权利义务依法不得转让，但经甲方同意，乙方可以依法采取分包方 式履行合同，即：依法可以将合同项下的部分非主体、非关键性工作分包给他 人完成，接受分包的人应当具备相应的资格条件，并不得再次分包，且乙方应 就分包项目向甲方负责，并与分包供应商就分包项目向甲方承担连带责任。</w:t>
      </w:r>
    </w:p>
    <w:p w14:paraId="61F585CD">
      <w:pPr>
        <w:pStyle w:val="7"/>
        <w:keepNext w:val="0"/>
        <w:keepLines w:val="0"/>
        <w:pageBreakBefore w:val="0"/>
        <w:widowControl w:val="0"/>
        <w:kinsoku/>
        <w:wordWrap/>
        <w:overflowPunct/>
        <w:topLinePunct w:val="0"/>
        <w:autoSpaceDE/>
        <w:autoSpaceDN/>
        <w:bidi w:val="0"/>
        <w:adjustRightInd w:val="0"/>
        <w:snapToGrid/>
        <w:spacing w:after="0" w:line="219" w:lineRule="auto"/>
        <w:ind w:left="0" w:right="0"/>
        <w:textAlignment w:val="baseline"/>
        <w:outlineLvl w:val="1"/>
        <w:rPr>
          <w:sz w:val="24"/>
          <w:szCs w:val="24"/>
        </w:rPr>
      </w:pPr>
      <w:r>
        <w:rPr>
          <w:b/>
          <w:bCs/>
          <w:spacing w:val="-4"/>
          <w:sz w:val="24"/>
          <w:szCs w:val="24"/>
        </w:rPr>
        <w:t>2.11</w:t>
      </w:r>
      <w:r>
        <w:rPr>
          <w:spacing w:val="-4"/>
          <w:sz w:val="24"/>
          <w:szCs w:val="24"/>
        </w:rPr>
        <w:t xml:space="preserve"> </w:t>
      </w:r>
      <w:r>
        <w:rPr>
          <w:b/>
          <w:bCs/>
          <w:spacing w:val="-4"/>
          <w:sz w:val="24"/>
          <w:szCs w:val="24"/>
        </w:rPr>
        <w:t>不可抗力</w:t>
      </w:r>
    </w:p>
    <w:p w14:paraId="18BCEA8B">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2.11.1 如果任何一方遭遇法律规定的不可抗力，致使合同履行受阻时，履 行合同的期限应予延长，延长的期限应相当于不可抗力所影响的时间；</w:t>
      </w:r>
    </w:p>
    <w:p w14:paraId="67E300BE">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2.11.2 因不可抗力致使不能实现合同目的的，当事人可以解除合同；</w:t>
      </w:r>
    </w:p>
    <w:p w14:paraId="6852A1C2">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2.11.3 因不可抗力致使合同有变更必要的，双方当事人应在合同专用条 款约定时间内以书面形式变更合同；</w:t>
      </w:r>
    </w:p>
    <w:p w14:paraId="162A1862">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2.11.4 受不可抗力影响的一方在不可抗力发生后，应在合同专用条款约定 时间内以书面形式通知对方当事人，并在合同专用条款约定时间内，将有关部 门出具的证明文件送达对方当事人。</w:t>
      </w:r>
    </w:p>
    <w:p w14:paraId="3B8588C4">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2.12 税费</w:t>
      </w:r>
    </w:p>
    <w:p w14:paraId="3D9AD662">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与合同有关的一切税费，均按照中华人民共和国法律的相关规定缴纳。</w:t>
      </w:r>
    </w:p>
    <w:p w14:paraId="15BE3B19">
      <w:pPr>
        <w:pStyle w:val="7"/>
        <w:keepNext w:val="0"/>
        <w:keepLines w:val="0"/>
        <w:pageBreakBefore w:val="0"/>
        <w:widowControl w:val="0"/>
        <w:kinsoku/>
        <w:wordWrap/>
        <w:overflowPunct/>
        <w:topLinePunct w:val="0"/>
        <w:autoSpaceDE/>
        <w:autoSpaceDN/>
        <w:bidi w:val="0"/>
        <w:adjustRightInd w:val="0"/>
        <w:snapToGrid/>
        <w:spacing w:after="0" w:line="219" w:lineRule="auto"/>
        <w:ind w:left="0" w:right="0"/>
        <w:textAlignment w:val="baseline"/>
        <w:outlineLvl w:val="1"/>
        <w:rPr>
          <w:sz w:val="24"/>
          <w:szCs w:val="24"/>
        </w:rPr>
      </w:pPr>
      <w:r>
        <w:rPr>
          <w:b/>
          <w:bCs/>
          <w:spacing w:val="-8"/>
          <w:sz w:val="24"/>
          <w:szCs w:val="24"/>
        </w:rPr>
        <w:t>2.13</w:t>
      </w:r>
      <w:r>
        <w:rPr>
          <w:spacing w:val="35"/>
          <w:sz w:val="24"/>
          <w:szCs w:val="24"/>
        </w:rPr>
        <w:t xml:space="preserve"> </w:t>
      </w:r>
      <w:r>
        <w:rPr>
          <w:b/>
          <w:bCs/>
          <w:spacing w:val="-8"/>
          <w:sz w:val="24"/>
          <w:szCs w:val="24"/>
        </w:rPr>
        <w:t>乙方破产</w:t>
      </w:r>
    </w:p>
    <w:p w14:paraId="7F429C05">
      <w:pPr>
        <w:pStyle w:val="7"/>
        <w:spacing w:before="112" w:line="308" w:lineRule="auto"/>
        <w:ind w:left="41" w:right="136" w:firstLine="483"/>
        <w:jc w:val="both"/>
        <w:rPr>
          <w:sz w:val="24"/>
          <w:szCs w:val="24"/>
        </w:rPr>
      </w:pPr>
      <w:r>
        <w:rPr>
          <w:rFonts w:hint="eastAsia" w:ascii="仿宋_GB2312" w:hAnsi="仿宋_GB2312" w:eastAsia="仿宋_GB2312" w:cs="仿宋_GB2312"/>
          <w:b w:val="0"/>
          <w:bCs/>
          <w:kern w:val="0"/>
          <w:sz w:val="24"/>
          <w:szCs w:val="24"/>
          <w:highlight w:val="none"/>
          <w:u w:val="none"/>
          <w:lang w:val="en-US" w:eastAsia="zh-CN" w:bidi="ar-SA"/>
        </w:rPr>
        <w:t>如果乙方破产导致合同无法履行时，甲方可以书面形式通知乙方终止合同 且不给予乙方任何补偿和赔偿，但合同的终止不损害或不影响甲方已经采取或 将要采取的任何要求乙方支付违约金、赔偿损失等的行动或补救措施的权利。</w:t>
      </w:r>
    </w:p>
    <w:p w14:paraId="43B45D85">
      <w:pPr>
        <w:pStyle w:val="7"/>
        <w:keepNext w:val="0"/>
        <w:keepLines w:val="0"/>
        <w:pageBreakBefore w:val="0"/>
        <w:widowControl w:val="0"/>
        <w:kinsoku/>
        <w:wordWrap/>
        <w:overflowPunct/>
        <w:topLinePunct w:val="0"/>
        <w:autoSpaceDE/>
        <w:autoSpaceDN/>
        <w:bidi w:val="0"/>
        <w:adjustRightInd w:val="0"/>
        <w:snapToGrid/>
        <w:spacing w:after="0" w:line="220" w:lineRule="auto"/>
        <w:ind w:left="0" w:right="0"/>
        <w:textAlignment w:val="baseline"/>
        <w:outlineLvl w:val="1"/>
        <w:rPr>
          <w:sz w:val="24"/>
          <w:szCs w:val="24"/>
        </w:rPr>
      </w:pPr>
      <w:r>
        <w:rPr>
          <w:b/>
          <w:bCs/>
          <w:spacing w:val="-3"/>
          <w:sz w:val="24"/>
          <w:szCs w:val="24"/>
        </w:rPr>
        <w:t>2.14</w:t>
      </w:r>
      <w:r>
        <w:rPr>
          <w:spacing w:val="-3"/>
          <w:sz w:val="24"/>
          <w:szCs w:val="24"/>
        </w:rPr>
        <w:t xml:space="preserve"> </w:t>
      </w:r>
      <w:r>
        <w:rPr>
          <w:b/>
          <w:bCs/>
          <w:spacing w:val="-3"/>
          <w:sz w:val="24"/>
          <w:szCs w:val="24"/>
        </w:rPr>
        <w:t>合同中止、终止</w:t>
      </w:r>
    </w:p>
    <w:p w14:paraId="741DB7F9">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2.14.1 双方当事人不得擅自中止或者终止合同；</w:t>
      </w:r>
    </w:p>
    <w:p w14:paraId="3E52AFEA">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2.14.2 合同继续履行将损害国家利益和社会公共利益的，双方当事人应当 中止或者终止合同。有过错的一方应当承担赔偿责任，双方当事人都有过错的， 各自承担相应的责任。</w:t>
      </w:r>
    </w:p>
    <w:p w14:paraId="61A5E7E2">
      <w:pPr>
        <w:pStyle w:val="7"/>
        <w:keepNext w:val="0"/>
        <w:keepLines w:val="0"/>
        <w:pageBreakBefore w:val="0"/>
        <w:widowControl w:val="0"/>
        <w:kinsoku/>
        <w:wordWrap/>
        <w:overflowPunct/>
        <w:topLinePunct w:val="0"/>
        <w:autoSpaceDE/>
        <w:autoSpaceDN/>
        <w:bidi w:val="0"/>
        <w:adjustRightInd w:val="0"/>
        <w:snapToGrid/>
        <w:spacing w:after="0" w:line="219" w:lineRule="auto"/>
        <w:ind w:left="0" w:right="0"/>
        <w:textAlignment w:val="baseline"/>
        <w:outlineLvl w:val="1"/>
        <w:rPr>
          <w:sz w:val="24"/>
          <w:szCs w:val="24"/>
        </w:rPr>
      </w:pPr>
      <w:r>
        <w:rPr>
          <w:b/>
          <w:bCs/>
          <w:spacing w:val="-3"/>
          <w:sz w:val="24"/>
          <w:szCs w:val="24"/>
        </w:rPr>
        <w:t>2.15</w:t>
      </w:r>
      <w:r>
        <w:rPr>
          <w:spacing w:val="-3"/>
          <w:sz w:val="24"/>
          <w:szCs w:val="24"/>
        </w:rPr>
        <w:t xml:space="preserve"> </w:t>
      </w:r>
      <w:r>
        <w:rPr>
          <w:b/>
          <w:bCs/>
          <w:spacing w:val="-3"/>
          <w:sz w:val="24"/>
          <w:szCs w:val="24"/>
        </w:rPr>
        <w:t>检验和验收</w:t>
      </w:r>
    </w:p>
    <w:p w14:paraId="3880AB47">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2.15.1 乙方按照合同专用条款的约定，定期提交服务报告， 甲方按照合 同专用条款的约定进行定期验收；</w:t>
      </w:r>
    </w:p>
    <w:p w14:paraId="5026BBE9">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2.15.2 合同期满或者履行完毕后， 甲方有权组织（包括依法邀请国家认 可的质量检测机构参加）对乙方履约的验收，即：按照合同约定的标准，组织对乙方履约情况的验收，并出具验收书；向社会公众提供的公共服务项目，验 收时应当邀请服务对象参与并出具意见，验收结果应当向社会公告；</w:t>
      </w:r>
    </w:p>
    <w:p w14:paraId="070DA810">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2.15.3 检验和验收标准、程序等具体内容以及前述验收书的效力详见合 同专用条款。</w:t>
      </w:r>
    </w:p>
    <w:p w14:paraId="7FCE7B08">
      <w:pPr>
        <w:pStyle w:val="7"/>
        <w:keepNext w:val="0"/>
        <w:keepLines w:val="0"/>
        <w:pageBreakBefore w:val="0"/>
        <w:widowControl w:val="0"/>
        <w:kinsoku/>
        <w:wordWrap/>
        <w:overflowPunct/>
        <w:topLinePunct w:val="0"/>
        <w:autoSpaceDE/>
        <w:autoSpaceDN/>
        <w:bidi w:val="0"/>
        <w:adjustRightInd w:val="0"/>
        <w:snapToGrid/>
        <w:spacing w:after="0" w:line="221" w:lineRule="auto"/>
        <w:ind w:left="0" w:right="0"/>
        <w:textAlignment w:val="baseline"/>
        <w:outlineLvl w:val="1"/>
        <w:rPr>
          <w:sz w:val="24"/>
          <w:szCs w:val="24"/>
        </w:rPr>
      </w:pPr>
      <w:r>
        <w:rPr>
          <w:b/>
          <w:bCs/>
          <w:spacing w:val="-3"/>
          <w:sz w:val="24"/>
          <w:szCs w:val="24"/>
        </w:rPr>
        <w:t>2.16</w:t>
      </w:r>
      <w:r>
        <w:rPr>
          <w:spacing w:val="-3"/>
          <w:sz w:val="24"/>
          <w:szCs w:val="24"/>
        </w:rPr>
        <w:t xml:space="preserve"> </w:t>
      </w:r>
      <w:r>
        <w:rPr>
          <w:b/>
          <w:bCs/>
          <w:spacing w:val="-3"/>
          <w:sz w:val="24"/>
          <w:szCs w:val="24"/>
        </w:rPr>
        <w:t>通知和送达</w:t>
      </w:r>
    </w:p>
    <w:p w14:paraId="4B1B9811">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2.16.1 任 何 一 方 因 履 行 合 同 而 以 合 同 第 一 部 分 尾 部 所 列 明 的发出的所有通知、文件、材料，均视为已向对方当事人送达；任何一方变更上述送达方式或者地址的，应于</w:t>
      </w:r>
      <w:r>
        <w:rPr>
          <w:rFonts w:hint="eastAsia" w:ascii="仿宋_GB2312" w:hAnsi="仿宋_GB2312" w:eastAsia="仿宋_GB2312" w:cs="仿宋_GB2312"/>
          <w:b w:val="0"/>
          <w:bCs/>
          <w:kern w:val="0"/>
          <w:sz w:val="24"/>
          <w:szCs w:val="24"/>
          <w:highlight w:val="none"/>
          <w:u w:val="single"/>
          <w:lang w:val="en-US" w:eastAsia="zh-CN" w:bidi="ar-SA"/>
        </w:rPr>
        <w:t xml:space="preserve">     </w:t>
      </w:r>
      <w:r>
        <w:rPr>
          <w:rFonts w:hint="eastAsia" w:ascii="仿宋_GB2312" w:hAnsi="仿宋_GB2312" w:eastAsia="仿宋_GB2312" w:cs="仿宋_GB2312"/>
          <w:b w:val="0"/>
          <w:bCs/>
          <w:kern w:val="0"/>
          <w:sz w:val="24"/>
          <w:szCs w:val="24"/>
          <w:highlight w:val="none"/>
          <w:u w:val="none"/>
          <w:lang w:val="en-US" w:eastAsia="zh-CN" w:bidi="ar-SA"/>
        </w:rPr>
        <w:t>个工作日内书面通知对方当事人，在对方当事人收到有关变更通知之前，变更前的约定送达方式或者地址仍视为有效。</w:t>
      </w:r>
    </w:p>
    <w:p w14:paraId="25578A87">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2.16.2 以当面交付方式送达的，交付之时视为送达；以电子邮件方式送达的，发出电子邮件之时视为送达；以传真方式送达的，发出传真之时视为送达； 以邮寄方式送达的，邮件挂号寄出或者交邮之日之次日视为送达。</w:t>
      </w:r>
    </w:p>
    <w:p w14:paraId="630F1F22">
      <w:pPr>
        <w:pStyle w:val="7"/>
        <w:keepNext w:val="0"/>
        <w:keepLines w:val="0"/>
        <w:pageBreakBefore w:val="0"/>
        <w:widowControl w:val="0"/>
        <w:kinsoku/>
        <w:wordWrap/>
        <w:overflowPunct/>
        <w:topLinePunct w:val="0"/>
        <w:autoSpaceDE/>
        <w:autoSpaceDN/>
        <w:bidi w:val="0"/>
        <w:adjustRightInd w:val="0"/>
        <w:snapToGrid/>
        <w:spacing w:after="0" w:line="219" w:lineRule="auto"/>
        <w:ind w:left="0" w:right="0"/>
        <w:textAlignment w:val="baseline"/>
        <w:outlineLvl w:val="1"/>
        <w:rPr>
          <w:sz w:val="24"/>
          <w:szCs w:val="24"/>
        </w:rPr>
      </w:pPr>
      <w:r>
        <w:rPr>
          <w:b/>
          <w:bCs/>
          <w:spacing w:val="-3"/>
          <w:sz w:val="24"/>
          <w:szCs w:val="24"/>
        </w:rPr>
        <w:t>2.17</w:t>
      </w:r>
      <w:r>
        <w:rPr>
          <w:spacing w:val="-3"/>
          <w:sz w:val="24"/>
          <w:szCs w:val="24"/>
        </w:rPr>
        <w:t xml:space="preserve"> </w:t>
      </w:r>
      <w:r>
        <w:rPr>
          <w:b/>
          <w:bCs/>
          <w:spacing w:val="-3"/>
          <w:sz w:val="24"/>
          <w:szCs w:val="24"/>
        </w:rPr>
        <w:t>合同使用的文字和适用的法律</w:t>
      </w:r>
    </w:p>
    <w:p w14:paraId="7D89863E">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2.17.1 合同使用汉语书就、变更和解释；</w:t>
      </w:r>
    </w:p>
    <w:p w14:paraId="6EE060C9">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2.17.2 合同适用中华人民共和国法律。</w:t>
      </w:r>
    </w:p>
    <w:p w14:paraId="7243D6DA">
      <w:pPr>
        <w:pStyle w:val="7"/>
        <w:keepNext w:val="0"/>
        <w:keepLines w:val="0"/>
        <w:pageBreakBefore w:val="0"/>
        <w:widowControl w:val="0"/>
        <w:kinsoku/>
        <w:wordWrap/>
        <w:overflowPunct/>
        <w:topLinePunct w:val="0"/>
        <w:autoSpaceDE/>
        <w:autoSpaceDN/>
        <w:bidi w:val="0"/>
        <w:adjustRightInd w:val="0"/>
        <w:snapToGrid/>
        <w:spacing w:after="0" w:line="220" w:lineRule="auto"/>
        <w:ind w:left="0" w:right="0"/>
        <w:textAlignment w:val="baseline"/>
        <w:outlineLvl w:val="1"/>
        <w:rPr>
          <w:sz w:val="24"/>
          <w:szCs w:val="24"/>
        </w:rPr>
      </w:pPr>
      <w:r>
        <w:rPr>
          <w:b/>
          <w:bCs/>
          <w:spacing w:val="-3"/>
          <w:sz w:val="24"/>
          <w:szCs w:val="24"/>
        </w:rPr>
        <w:t>2.18</w:t>
      </w:r>
      <w:r>
        <w:rPr>
          <w:spacing w:val="-3"/>
          <w:sz w:val="24"/>
          <w:szCs w:val="24"/>
        </w:rPr>
        <w:t xml:space="preserve"> </w:t>
      </w:r>
      <w:r>
        <w:rPr>
          <w:b/>
          <w:bCs/>
          <w:spacing w:val="-3"/>
          <w:sz w:val="24"/>
          <w:szCs w:val="24"/>
        </w:rPr>
        <w:t>履约保证金</w:t>
      </w:r>
    </w:p>
    <w:p w14:paraId="543F9F91">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2.18.1 采购文件要求乙方提交履约保证金的，乙方应按合同专用条款约 定的方式，以支票、汇票、本票或者金融机构、担保机构出具的保函等非现金 形式，提交不超过合同价 10%的履约保证金；</w:t>
      </w:r>
    </w:p>
    <w:p w14:paraId="71E23B1A">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2.18.2 履约保证金在合同专用条款约定期间内不予退还或者应完全有效， 前述约定期间届满之日起     个工作日内，甲方应将履约保证金退还乙方；</w:t>
      </w:r>
    </w:p>
    <w:p w14:paraId="61C3D929">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2.18.3 如果乙方不履行合同，履约保证金不予退还；如果乙方未能按合 同约定全面履行义务，那么甲方有权从履约保证金中取得补偿或赔偿，同时不 影响甲方要求乙方承担合同约定的超过履约保证金的违约责任的权利。</w:t>
      </w:r>
    </w:p>
    <w:p w14:paraId="4771A466">
      <w:pPr>
        <w:pStyle w:val="7"/>
        <w:keepNext w:val="0"/>
        <w:keepLines w:val="0"/>
        <w:pageBreakBefore w:val="0"/>
        <w:widowControl w:val="0"/>
        <w:kinsoku/>
        <w:wordWrap/>
        <w:overflowPunct/>
        <w:topLinePunct w:val="0"/>
        <w:autoSpaceDE/>
        <w:autoSpaceDN/>
        <w:bidi w:val="0"/>
        <w:adjustRightInd w:val="0"/>
        <w:snapToGrid/>
        <w:spacing w:after="0" w:line="219" w:lineRule="auto"/>
        <w:ind w:left="0" w:right="0"/>
        <w:textAlignment w:val="baseline"/>
        <w:outlineLvl w:val="1"/>
        <w:rPr>
          <w:sz w:val="24"/>
          <w:szCs w:val="24"/>
        </w:rPr>
      </w:pPr>
      <w:r>
        <w:rPr>
          <w:b/>
          <w:bCs/>
          <w:spacing w:val="-4"/>
          <w:sz w:val="24"/>
          <w:szCs w:val="24"/>
        </w:rPr>
        <w:t>2.19</w:t>
      </w:r>
      <w:r>
        <w:rPr>
          <w:spacing w:val="-4"/>
          <w:sz w:val="24"/>
          <w:szCs w:val="24"/>
        </w:rPr>
        <w:t xml:space="preserve"> </w:t>
      </w:r>
      <w:r>
        <w:rPr>
          <w:b/>
          <w:bCs/>
          <w:spacing w:val="-4"/>
          <w:sz w:val="24"/>
          <w:szCs w:val="24"/>
        </w:rPr>
        <w:t>合同份数</w:t>
      </w:r>
    </w:p>
    <w:p w14:paraId="35CB2ED8">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合同份数按合同专用条款规定，每份均具有同等法律效力。</w:t>
      </w:r>
    </w:p>
    <w:p w14:paraId="5A864826">
      <w:pPr>
        <w:pStyle w:val="7"/>
        <w:keepNext w:val="0"/>
        <w:keepLines w:val="0"/>
        <w:pageBreakBefore w:val="0"/>
        <w:widowControl w:val="0"/>
        <w:kinsoku/>
        <w:wordWrap/>
        <w:overflowPunct/>
        <w:topLinePunct w:val="0"/>
        <w:autoSpaceDE/>
        <w:autoSpaceDN/>
        <w:bidi w:val="0"/>
        <w:adjustRightInd w:val="0"/>
        <w:snapToGrid/>
        <w:spacing w:after="0" w:line="228" w:lineRule="auto"/>
        <w:ind w:left="0" w:right="0"/>
        <w:textAlignment w:val="baseline"/>
        <w:outlineLvl w:val="0"/>
        <w:rPr>
          <w:sz w:val="20"/>
          <w:szCs w:val="20"/>
        </w:rPr>
      </w:pPr>
      <w:r>
        <w:rPr>
          <w:b/>
          <w:bCs/>
          <w:spacing w:val="7"/>
          <w:sz w:val="20"/>
          <w:szCs w:val="20"/>
        </w:rPr>
        <w:t>第三部分</w:t>
      </w:r>
      <w:r>
        <w:rPr>
          <w:spacing w:val="7"/>
          <w:sz w:val="20"/>
          <w:szCs w:val="20"/>
        </w:rPr>
        <w:t xml:space="preserve">  </w:t>
      </w:r>
      <w:r>
        <w:rPr>
          <w:b/>
          <w:bCs/>
          <w:spacing w:val="7"/>
          <w:sz w:val="20"/>
          <w:szCs w:val="20"/>
        </w:rPr>
        <w:t>合同专用条款</w:t>
      </w:r>
    </w:p>
    <w:p w14:paraId="2F6CC515">
      <w:pPr>
        <w:pStyle w:val="7"/>
        <w:spacing w:before="112" w:line="308" w:lineRule="auto"/>
        <w:ind w:left="41" w:right="136" w:firstLine="483"/>
        <w:jc w:val="both"/>
        <w:rPr>
          <w:rFonts w:hint="eastAsia" w:ascii="仿宋_GB2312" w:hAnsi="仿宋_GB2312" w:eastAsia="仿宋_GB2312" w:cs="仿宋_GB2312"/>
          <w:b w:val="0"/>
          <w:bCs/>
          <w:kern w:val="0"/>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u w:val="none"/>
          <w:lang w:val="en-US" w:eastAsia="zh-CN" w:bidi="ar-SA"/>
        </w:rPr>
        <w:t>本部分是对前两部分的补充和修改，如果前两部分和本部分的约定不一致， 应以本部分的约定为准。本部分的条款号应与前两部分的条款号保持对应；与 前两部分无对应关系的内容可另行编制条款号。</w:t>
      </w:r>
    </w:p>
    <w:tbl>
      <w:tblPr>
        <w:tblStyle w:val="20"/>
        <w:tblW w:w="967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54"/>
        <w:gridCol w:w="7923"/>
      </w:tblGrid>
      <w:tr w14:paraId="0F64BB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754" w:type="dxa"/>
            <w:noWrap w:val="0"/>
            <w:vAlign w:val="top"/>
          </w:tcPr>
          <w:p w14:paraId="5DE42059">
            <w:pPr>
              <w:spacing w:before="120" w:line="216" w:lineRule="auto"/>
              <w:ind w:left="0" w:leftChars="0" w:firstLine="0" w:firstLineChars="0"/>
              <w:jc w:val="center"/>
              <w:rPr>
                <w:rFonts w:ascii="宋体" w:hAnsi="宋体" w:eastAsia="宋体" w:cs="宋体"/>
                <w:sz w:val="24"/>
                <w:szCs w:val="24"/>
              </w:rPr>
            </w:pPr>
            <w:r>
              <w:rPr>
                <w:rFonts w:ascii="宋体" w:hAnsi="宋体" w:eastAsia="宋体" w:cs="宋体"/>
                <w:b/>
                <w:bCs/>
                <w:spacing w:val="-6"/>
                <w:sz w:val="24"/>
                <w:szCs w:val="24"/>
              </w:rPr>
              <w:t>条款号</w:t>
            </w:r>
          </w:p>
        </w:tc>
        <w:tc>
          <w:tcPr>
            <w:tcW w:w="7923" w:type="dxa"/>
            <w:noWrap w:val="0"/>
            <w:vAlign w:val="top"/>
          </w:tcPr>
          <w:p w14:paraId="56457AD6">
            <w:pPr>
              <w:spacing w:before="120" w:line="216" w:lineRule="auto"/>
              <w:ind w:left="3339"/>
              <w:rPr>
                <w:rFonts w:ascii="宋体" w:hAnsi="宋体" w:eastAsia="宋体" w:cs="宋体"/>
                <w:sz w:val="24"/>
                <w:szCs w:val="24"/>
              </w:rPr>
            </w:pPr>
            <w:r>
              <w:rPr>
                <w:rFonts w:ascii="宋体" w:hAnsi="宋体" w:eastAsia="宋体" w:cs="宋体"/>
                <w:b/>
                <w:bCs/>
                <w:spacing w:val="-6"/>
                <w:sz w:val="24"/>
                <w:szCs w:val="24"/>
              </w:rPr>
              <w:t>约定内容</w:t>
            </w:r>
          </w:p>
        </w:tc>
      </w:tr>
      <w:tr w14:paraId="16F31A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754" w:type="dxa"/>
            <w:noWrap w:val="0"/>
            <w:vAlign w:val="top"/>
          </w:tcPr>
          <w:p w14:paraId="7E2C6212">
            <w:pPr>
              <w:pStyle w:val="21"/>
            </w:pPr>
          </w:p>
        </w:tc>
        <w:tc>
          <w:tcPr>
            <w:tcW w:w="7923" w:type="dxa"/>
            <w:noWrap w:val="0"/>
            <w:vAlign w:val="top"/>
          </w:tcPr>
          <w:p w14:paraId="075471DA">
            <w:pPr>
              <w:pStyle w:val="21"/>
            </w:pPr>
          </w:p>
        </w:tc>
      </w:tr>
      <w:tr w14:paraId="17B4B1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754" w:type="dxa"/>
            <w:noWrap w:val="0"/>
            <w:vAlign w:val="top"/>
          </w:tcPr>
          <w:p w14:paraId="01B10C6C">
            <w:pPr>
              <w:pStyle w:val="21"/>
            </w:pPr>
          </w:p>
        </w:tc>
        <w:tc>
          <w:tcPr>
            <w:tcW w:w="7923" w:type="dxa"/>
            <w:noWrap w:val="0"/>
            <w:vAlign w:val="top"/>
          </w:tcPr>
          <w:p w14:paraId="31B7AE4B">
            <w:pPr>
              <w:pStyle w:val="21"/>
            </w:pPr>
          </w:p>
        </w:tc>
      </w:tr>
      <w:tr w14:paraId="772B0A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1754" w:type="dxa"/>
            <w:noWrap w:val="0"/>
            <w:vAlign w:val="top"/>
          </w:tcPr>
          <w:p w14:paraId="1EFB3BB8">
            <w:pPr>
              <w:pStyle w:val="21"/>
            </w:pPr>
          </w:p>
        </w:tc>
        <w:tc>
          <w:tcPr>
            <w:tcW w:w="7923" w:type="dxa"/>
            <w:noWrap w:val="0"/>
            <w:vAlign w:val="top"/>
          </w:tcPr>
          <w:p w14:paraId="1F4B7FF3">
            <w:pPr>
              <w:pStyle w:val="21"/>
            </w:pPr>
          </w:p>
        </w:tc>
      </w:tr>
      <w:tr w14:paraId="580C5B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1754" w:type="dxa"/>
            <w:noWrap w:val="0"/>
            <w:vAlign w:val="top"/>
          </w:tcPr>
          <w:p w14:paraId="02E8ED99">
            <w:pPr>
              <w:pStyle w:val="21"/>
            </w:pPr>
          </w:p>
        </w:tc>
        <w:tc>
          <w:tcPr>
            <w:tcW w:w="7923" w:type="dxa"/>
            <w:noWrap w:val="0"/>
            <w:vAlign w:val="top"/>
          </w:tcPr>
          <w:p w14:paraId="30ADF620">
            <w:pPr>
              <w:pStyle w:val="21"/>
            </w:pPr>
          </w:p>
        </w:tc>
      </w:tr>
      <w:tr w14:paraId="67E318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1754" w:type="dxa"/>
            <w:noWrap w:val="0"/>
            <w:vAlign w:val="top"/>
          </w:tcPr>
          <w:p w14:paraId="074E1027">
            <w:pPr>
              <w:pStyle w:val="21"/>
            </w:pPr>
          </w:p>
        </w:tc>
        <w:tc>
          <w:tcPr>
            <w:tcW w:w="7923" w:type="dxa"/>
            <w:noWrap w:val="0"/>
            <w:vAlign w:val="top"/>
          </w:tcPr>
          <w:p w14:paraId="4EE77A90">
            <w:pPr>
              <w:pStyle w:val="21"/>
            </w:pPr>
          </w:p>
        </w:tc>
      </w:tr>
      <w:tr w14:paraId="1422DE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1754" w:type="dxa"/>
            <w:noWrap w:val="0"/>
            <w:vAlign w:val="top"/>
          </w:tcPr>
          <w:p w14:paraId="2EAFF896">
            <w:pPr>
              <w:pStyle w:val="21"/>
            </w:pPr>
          </w:p>
        </w:tc>
        <w:tc>
          <w:tcPr>
            <w:tcW w:w="7923" w:type="dxa"/>
            <w:noWrap w:val="0"/>
            <w:vAlign w:val="top"/>
          </w:tcPr>
          <w:p w14:paraId="56ED3D2C">
            <w:pPr>
              <w:pStyle w:val="21"/>
            </w:pPr>
          </w:p>
        </w:tc>
      </w:tr>
      <w:tr w14:paraId="6E6252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754" w:type="dxa"/>
            <w:noWrap w:val="0"/>
            <w:vAlign w:val="top"/>
          </w:tcPr>
          <w:p w14:paraId="17033A0E">
            <w:pPr>
              <w:pStyle w:val="21"/>
            </w:pPr>
          </w:p>
        </w:tc>
        <w:tc>
          <w:tcPr>
            <w:tcW w:w="7923" w:type="dxa"/>
            <w:noWrap w:val="0"/>
            <w:vAlign w:val="top"/>
          </w:tcPr>
          <w:p w14:paraId="4D2DB08E">
            <w:pPr>
              <w:pStyle w:val="21"/>
            </w:pPr>
          </w:p>
        </w:tc>
      </w:tr>
    </w:tbl>
    <w:p w14:paraId="463BC635">
      <w:pPr>
        <w:spacing w:line="434" w:lineRule="auto"/>
        <w:rPr>
          <w:rFonts w:ascii="Arial"/>
          <w:sz w:val="21"/>
        </w:rPr>
      </w:pPr>
    </w:p>
    <w:p w14:paraId="0F7A8978">
      <w:pPr>
        <w:pStyle w:val="7"/>
        <w:spacing w:before="79" w:line="219" w:lineRule="auto"/>
        <w:ind w:left="72"/>
        <w:rPr>
          <w:sz w:val="24"/>
          <w:szCs w:val="24"/>
        </w:rPr>
      </w:pPr>
      <w:r>
        <w:rPr>
          <w:b/>
          <w:bCs/>
          <w:spacing w:val="-3"/>
          <w:sz w:val="24"/>
          <w:szCs w:val="24"/>
        </w:rPr>
        <w:t>注：</w:t>
      </w:r>
      <w:r>
        <w:rPr>
          <w:spacing w:val="-3"/>
          <w:sz w:val="24"/>
          <w:szCs w:val="24"/>
        </w:rPr>
        <w:t xml:space="preserve"> </w:t>
      </w:r>
      <w:r>
        <w:rPr>
          <w:b/>
          <w:bCs/>
          <w:spacing w:val="-3"/>
          <w:sz w:val="24"/>
          <w:szCs w:val="24"/>
        </w:rPr>
        <w:t>合同仅供参考</w:t>
      </w:r>
    </w:p>
    <w:p w14:paraId="629B6A32">
      <w:pPr>
        <w:ind w:left="0" w:leftChars="0" w:firstLine="0" w:firstLineChars="0"/>
        <w:rPr>
          <w:rFonts w:hint="eastAsia"/>
          <w:highlight w:val="none"/>
          <w:lang w:eastAsia="zh-CN"/>
        </w:rPr>
      </w:pPr>
      <w:r>
        <w:rPr>
          <w:rFonts w:hint="eastAsia"/>
          <w:highlight w:val="none"/>
          <w:lang w:eastAsia="zh-CN"/>
        </w:rPr>
        <w:t xml:space="preserve"> </w:t>
      </w:r>
    </w:p>
    <w:p w14:paraId="73DB503E">
      <w:pPr>
        <w:pStyle w:val="6"/>
        <w:rPr>
          <w:rFonts w:hint="eastAsia"/>
          <w:highlight w:val="none"/>
          <w:lang w:eastAsia="zh-CN"/>
        </w:rPr>
      </w:pPr>
    </w:p>
    <w:p w14:paraId="5655E618">
      <w:pPr>
        <w:rPr>
          <w:rFonts w:hint="eastAsia"/>
          <w:highlight w:val="none"/>
          <w:lang w:eastAsia="zh-CN"/>
        </w:rPr>
      </w:pPr>
    </w:p>
    <w:p w14:paraId="32F58FDF">
      <w:pPr>
        <w:spacing w:line="440" w:lineRule="exact"/>
        <w:rPr>
          <w:rFonts w:hint="eastAsia" w:ascii="宋体" w:hAnsi="宋体" w:eastAsia="宋体" w:cs="宋体"/>
          <w:b/>
          <w:bCs/>
          <w:sz w:val="28"/>
          <w:szCs w:val="28"/>
          <w:highlight w:val="none"/>
          <w:lang w:val="en-US" w:eastAsia="zh-CN"/>
        </w:rPr>
      </w:pPr>
      <w:r>
        <w:rPr>
          <w:rFonts w:hint="eastAsia" w:ascii="宋体" w:hAnsi="宋体" w:eastAsia="宋体" w:cs="宋体"/>
          <w:sz w:val="28"/>
          <w:szCs w:val="28"/>
          <w:highlight w:val="none"/>
          <w:lang w:val="en-US" w:eastAsia="zh-CN"/>
        </w:rPr>
        <w:t>★</w:t>
      </w:r>
      <w:r>
        <w:rPr>
          <w:rFonts w:hint="eastAsia" w:ascii="宋体" w:hAnsi="宋体" w:eastAsia="宋体" w:cs="宋体"/>
          <w:b/>
          <w:bCs/>
          <w:sz w:val="28"/>
          <w:szCs w:val="28"/>
          <w:highlight w:val="none"/>
          <w:lang w:val="en-US" w:eastAsia="zh-CN"/>
        </w:rPr>
        <w:t>注：合同文本仅供参考，具体签订以呼图壁县住房和城乡建设局提供合同文本为准 。</w:t>
      </w:r>
    </w:p>
    <w:p w14:paraId="06BD3F4E">
      <w:pPr>
        <w:pStyle w:val="5"/>
        <w:rPr>
          <w:rFonts w:hint="eastAsia" w:ascii="宋体" w:hAnsi="宋体" w:eastAsia="宋体" w:cs="宋体"/>
          <w:b/>
          <w:bCs/>
          <w:sz w:val="28"/>
          <w:szCs w:val="28"/>
          <w:highlight w:val="none"/>
          <w:lang w:val="en-US" w:eastAsia="zh-CN"/>
        </w:rPr>
      </w:pPr>
    </w:p>
    <w:p w14:paraId="29D3ECE0">
      <w:pPr>
        <w:pStyle w:val="6"/>
        <w:rPr>
          <w:rFonts w:hint="eastAsia" w:ascii="宋体" w:hAnsi="宋体" w:eastAsia="宋体" w:cs="宋体"/>
          <w:b/>
          <w:bCs/>
          <w:sz w:val="28"/>
          <w:szCs w:val="28"/>
          <w:highlight w:val="none"/>
          <w:lang w:val="en-US" w:eastAsia="zh-CN"/>
        </w:rPr>
      </w:pPr>
    </w:p>
    <w:p w14:paraId="5F55B091">
      <w:pPr>
        <w:rPr>
          <w:rFonts w:hint="eastAsia" w:ascii="宋体" w:hAnsi="宋体" w:eastAsia="宋体" w:cs="宋体"/>
          <w:b/>
          <w:bCs/>
          <w:sz w:val="28"/>
          <w:szCs w:val="28"/>
          <w:highlight w:val="none"/>
          <w:lang w:val="en-US" w:eastAsia="zh-CN"/>
        </w:rPr>
      </w:pPr>
    </w:p>
    <w:p w14:paraId="3DC1546B">
      <w:pPr>
        <w:rPr>
          <w:rFonts w:hint="eastAsia" w:ascii="宋体" w:hAnsi="宋体" w:eastAsia="宋体" w:cs="宋体"/>
          <w:b/>
          <w:bCs/>
          <w:sz w:val="28"/>
          <w:szCs w:val="28"/>
          <w:highlight w:val="none"/>
          <w:lang w:val="en-US" w:eastAsia="zh-CN"/>
        </w:rPr>
      </w:pPr>
    </w:p>
    <w:p w14:paraId="5545DBD7">
      <w:pPr>
        <w:rPr>
          <w:rFonts w:hint="eastAsia" w:ascii="宋体" w:hAnsi="宋体" w:eastAsia="宋体" w:cs="宋体"/>
          <w:b/>
          <w:bCs/>
          <w:sz w:val="28"/>
          <w:szCs w:val="28"/>
          <w:highlight w:val="none"/>
          <w:lang w:val="en-US" w:eastAsia="zh-CN"/>
        </w:rPr>
      </w:pPr>
    </w:p>
    <w:p w14:paraId="6EA9E824">
      <w:pPr>
        <w:rPr>
          <w:rFonts w:hint="eastAsia" w:ascii="宋体" w:hAnsi="宋体" w:eastAsia="宋体" w:cs="宋体"/>
          <w:b/>
          <w:bCs/>
          <w:sz w:val="28"/>
          <w:szCs w:val="28"/>
          <w:highlight w:val="none"/>
          <w:lang w:val="en-US" w:eastAsia="zh-CN"/>
        </w:rPr>
      </w:pPr>
    </w:p>
    <w:p w14:paraId="2C4F8CC0">
      <w:pPr>
        <w:rPr>
          <w:rFonts w:hint="eastAsia" w:ascii="宋体" w:hAnsi="宋体" w:eastAsia="宋体" w:cs="宋体"/>
          <w:b/>
          <w:bCs/>
          <w:sz w:val="28"/>
          <w:szCs w:val="28"/>
          <w:highlight w:val="none"/>
          <w:lang w:val="en-US" w:eastAsia="zh-CN"/>
        </w:rPr>
      </w:pPr>
    </w:p>
    <w:p w14:paraId="1BC231B7">
      <w:pPr>
        <w:rPr>
          <w:rFonts w:hint="eastAsia" w:ascii="宋体" w:hAnsi="宋体" w:eastAsia="宋体" w:cs="宋体"/>
          <w:b/>
          <w:bCs/>
          <w:sz w:val="28"/>
          <w:szCs w:val="28"/>
          <w:highlight w:val="none"/>
          <w:lang w:val="en-US" w:eastAsia="zh-CN"/>
        </w:rPr>
      </w:pPr>
    </w:p>
    <w:p w14:paraId="415CFE7D">
      <w:pPr>
        <w:rPr>
          <w:rFonts w:hint="eastAsia" w:ascii="宋体" w:hAnsi="宋体" w:eastAsia="宋体" w:cs="宋体"/>
          <w:b/>
          <w:bCs/>
          <w:sz w:val="28"/>
          <w:szCs w:val="28"/>
          <w:highlight w:val="none"/>
          <w:lang w:val="en-US" w:eastAsia="zh-CN"/>
        </w:rPr>
      </w:pPr>
    </w:p>
    <w:p w14:paraId="11C4FACE">
      <w:pPr>
        <w:rPr>
          <w:rFonts w:hint="eastAsia" w:ascii="宋体" w:hAnsi="宋体" w:eastAsia="宋体" w:cs="宋体"/>
          <w:b/>
          <w:bCs/>
          <w:sz w:val="28"/>
          <w:szCs w:val="28"/>
          <w:highlight w:val="none"/>
          <w:lang w:val="en-US" w:eastAsia="zh-CN"/>
        </w:rPr>
      </w:pPr>
    </w:p>
    <w:p w14:paraId="18803B73">
      <w:pPr>
        <w:rPr>
          <w:rFonts w:hint="eastAsia" w:ascii="宋体" w:hAnsi="宋体" w:eastAsia="宋体" w:cs="宋体"/>
          <w:b/>
          <w:bCs/>
          <w:sz w:val="28"/>
          <w:szCs w:val="28"/>
          <w:highlight w:val="none"/>
          <w:lang w:val="en-US" w:eastAsia="zh-CN"/>
        </w:rPr>
      </w:pPr>
    </w:p>
    <w:p w14:paraId="779CD9D5">
      <w:pPr>
        <w:rPr>
          <w:rFonts w:hint="eastAsia" w:ascii="宋体" w:hAnsi="宋体" w:eastAsia="宋体" w:cs="宋体"/>
          <w:b/>
          <w:bCs/>
          <w:sz w:val="28"/>
          <w:szCs w:val="28"/>
          <w:highlight w:val="none"/>
          <w:lang w:val="en-US" w:eastAsia="zh-CN"/>
        </w:rPr>
      </w:pPr>
    </w:p>
    <w:p w14:paraId="63E99A05">
      <w:pPr>
        <w:rPr>
          <w:rFonts w:hint="eastAsia" w:ascii="宋体" w:hAnsi="宋体" w:eastAsia="宋体" w:cs="宋体"/>
          <w:b/>
          <w:bCs/>
          <w:sz w:val="28"/>
          <w:szCs w:val="28"/>
          <w:highlight w:val="none"/>
          <w:lang w:val="en-US" w:eastAsia="zh-CN"/>
        </w:rPr>
      </w:pPr>
    </w:p>
    <w:p w14:paraId="3A2714AD">
      <w:pPr>
        <w:rPr>
          <w:rFonts w:hint="eastAsia" w:ascii="宋体" w:hAnsi="宋体" w:eastAsia="宋体" w:cs="宋体"/>
          <w:b/>
          <w:bCs/>
          <w:sz w:val="28"/>
          <w:szCs w:val="28"/>
          <w:highlight w:val="none"/>
          <w:lang w:val="en-US" w:eastAsia="zh-CN"/>
        </w:rPr>
      </w:pPr>
    </w:p>
    <w:p w14:paraId="5B509663">
      <w:pPr>
        <w:rPr>
          <w:rFonts w:hint="eastAsia" w:ascii="宋体" w:hAnsi="宋体" w:eastAsia="宋体" w:cs="宋体"/>
          <w:b/>
          <w:bCs/>
          <w:sz w:val="28"/>
          <w:szCs w:val="28"/>
          <w:highlight w:val="none"/>
          <w:lang w:val="en-US" w:eastAsia="zh-CN"/>
        </w:rPr>
      </w:pPr>
    </w:p>
    <w:p w14:paraId="40089EA7">
      <w:pPr>
        <w:rPr>
          <w:rFonts w:hint="eastAsia" w:ascii="宋体" w:hAnsi="宋体" w:eastAsia="宋体" w:cs="宋体"/>
          <w:b/>
          <w:bCs/>
          <w:sz w:val="28"/>
          <w:szCs w:val="28"/>
          <w:highlight w:val="none"/>
          <w:lang w:val="en-US" w:eastAsia="zh-CN"/>
        </w:rPr>
      </w:pPr>
    </w:p>
    <w:p w14:paraId="250CAA5E">
      <w:pPr>
        <w:rPr>
          <w:rFonts w:hint="eastAsia" w:ascii="宋体" w:hAnsi="宋体" w:eastAsia="宋体" w:cs="宋体"/>
          <w:b/>
          <w:bCs/>
          <w:sz w:val="28"/>
          <w:szCs w:val="28"/>
          <w:highlight w:val="none"/>
          <w:lang w:val="en-US" w:eastAsia="zh-CN"/>
        </w:rPr>
      </w:pPr>
    </w:p>
    <w:p w14:paraId="2D9667AB">
      <w:pPr>
        <w:pStyle w:val="2"/>
        <w:numPr>
          <w:ilvl w:val="0"/>
          <w:numId w:val="3"/>
        </w:numPr>
        <w:ind w:leftChars="0"/>
        <w:jc w:val="center"/>
        <w:rPr>
          <w:rFonts w:hint="eastAsia" w:cs="宋体"/>
          <w:highlight w:val="none"/>
        </w:rPr>
      </w:pPr>
      <w:r>
        <w:rPr>
          <w:rFonts w:hint="eastAsia" w:cs="宋体"/>
          <w:highlight w:val="none"/>
          <w:lang w:val="en-US" w:eastAsia="zh-CN"/>
        </w:rPr>
        <w:t xml:space="preserve"> </w:t>
      </w:r>
      <w:r>
        <w:rPr>
          <w:rFonts w:hint="eastAsia" w:cs="宋体"/>
          <w:highlight w:val="none"/>
        </w:rPr>
        <w:t>评审标准</w:t>
      </w:r>
      <w:bookmarkEnd w:id="57"/>
      <w:bookmarkEnd w:id="58"/>
      <w:bookmarkEnd w:id="59"/>
      <w:bookmarkEnd w:id="60"/>
    </w:p>
    <w:p w14:paraId="5EA5AA6B">
      <w:pPr>
        <w:rPr>
          <w:rFonts w:hint="eastAsia"/>
          <w:highlight w:val="none"/>
        </w:rPr>
      </w:pPr>
      <w:r>
        <w:rPr>
          <w:rFonts w:hint="eastAsia" w:ascii="宋体" w:hAnsi="宋体" w:cs="宋体"/>
          <w:b/>
          <w:sz w:val="24"/>
          <w:highlight w:val="none"/>
        </w:rPr>
        <w:t>附表：</w:t>
      </w:r>
      <w:r>
        <w:rPr>
          <w:rFonts w:hint="eastAsia" w:ascii="宋体" w:hAnsi="宋体" w:eastAsia="宋体" w:cs="宋体"/>
          <w:b/>
          <w:sz w:val="24"/>
          <w:highlight w:val="none"/>
        </w:rPr>
        <w:t>资格审查</w:t>
      </w:r>
    </w:p>
    <w:tbl>
      <w:tblPr>
        <w:tblStyle w:val="16"/>
        <w:tblW w:w="9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2039"/>
        <w:gridCol w:w="5928"/>
        <w:gridCol w:w="1001"/>
      </w:tblGrid>
      <w:tr w14:paraId="0A823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2571" w:type="dxa"/>
            <w:gridSpan w:val="2"/>
            <w:noWrap w:val="0"/>
            <w:vAlign w:val="center"/>
          </w:tcPr>
          <w:p w14:paraId="2282BE54">
            <w:pPr>
              <w:spacing w:line="360" w:lineRule="exact"/>
              <w:jc w:val="center"/>
              <w:rPr>
                <w:rFonts w:ascii="宋体" w:hAnsi="宋体"/>
                <w:b/>
                <w:spacing w:val="-2"/>
                <w:sz w:val="18"/>
                <w:szCs w:val="18"/>
                <w:highlight w:val="none"/>
              </w:rPr>
            </w:pPr>
            <w:r>
              <w:rPr>
                <w:rFonts w:hint="eastAsia" w:ascii="宋体" w:hAnsi="宋体"/>
                <w:b/>
                <w:spacing w:val="-2"/>
                <w:sz w:val="18"/>
                <w:szCs w:val="18"/>
                <w:highlight w:val="none"/>
              </w:rPr>
              <w:t>评审内容</w:t>
            </w:r>
          </w:p>
        </w:tc>
        <w:tc>
          <w:tcPr>
            <w:tcW w:w="5928" w:type="dxa"/>
            <w:noWrap w:val="0"/>
            <w:vAlign w:val="center"/>
          </w:tcPr>
          <w:p w14:paraId="4D9DCF5F">
            <w:pPr>
              <w:jc w:val="center"/>
              <w:rPr>
                <w:rFonts w:hint="eastAsia" w:ascii="宋体" w:hAnsi="宋体" w:eastAsia="宋体" w:cs="宋体"/>
                <w:szCs w:val="21"/>
                <w:highlight w:val="none"/>
              </w:rPr>
            </w:pPr>
            <w:r>
              <w:rPr>
                <w:rFonts w:hint="eastAsia" w:ascii="宋体" w:hAnsi="宋体" w:eastAsia="宋体" w:cs="宋体"/>
                <w:b/>
                <w:bCs/>
                <w:szCs w:val="21"/>
                <w:highlight w:val="none"/>
              </w:rPr>
              <w:t>评审标准</w:t>
            </w:r>
          </w:p>
        </w:tc>
        <w:tc>
          <w:tcPr>
            <w:tcW w:w="1001" w:type="dxa"/>
            <w:noWrap w:val="0"/>
            <w:vAlign w:val="center"/>
          </w:tcPr>
          <w:p w14:paraId="17967A10">
            <w:pPr>
              <w:spacing w:line="440" w:lineRule="exact"/>
              <w:ind w:left="0" w:leftChars="0" w:firstLine="0" w:firstLineChars="0"/>
              <w:jc w:val="both"/>
              <w:rPr>
                <w:rFonts w:ascii="宋体" w:hAnsi="宋体"/>
                <w:b/>
                <w:spacing w:val="-2"/>
                <w:sz w:val="18"/>
                <w:szCs w:val="18"/>
                <w:highlight w:val="none"/>
              </w:rPr>
            </w:pPr>
            <w:r>
              <w:rPr>
                <w:rFonts w:ascii="宋体" w:hAnsi="宋体"/>
                <w:b/>
                <w:spacing w:val="-2"/>
                <w:sz w:val="18"/>
                <w:szCs w:val="18"/>
                <w:highlight w:val="none"/>
              </w:rPr>
              <w:t>评审意见</w:t>
            </w:r>
          </w:p>
        </w:tc>
      </w:tr>
      <w:tr w14:paraId="7407F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532" w:type="dxa"/>
            <w:noWrap w:val="0"/>
            <w:vAlign w:val="center"/>
          </w:tcPr>
          <w:p w14:paraId="5D62C2CD">
            <w:pPr>
              <w:ind w:left="0" w:leftChars="0" w:firstLine="0" w:firstLineChars="0"/>
              <w:jc w:val="left"/>
              <w:rPr>
                <w:rFonts w:hint="eastAsia" w:ascii="宋体" w:hAnsi="宋体" w:eastAsia="宋体"/>
                <w:b/>
                <w:spacing w:val="-2"/>
                <w:sz w:val="18"/>
                <w:szCs w:val="18"/>
                <w:highlight w:val="none"/>
                <w:lang w:val="en-US" w:eastAsia="zh-CN"/>
              </w:rPr>
            </w:pPr>
            <w:r>
              <w:rPr>
                <w:rFonts w:hint="eastAsia" w:ascii="宋体" w:hAnsi="宋体" w:eastAsia="宋体" w:cs="宋体"/>
                <w:sz w:val="24"/>
                <w:szCs w:val="20"/>
                <w:highlight w:val="none"/>
                <w:lang w:val="en-US" w:eastAsia="zh-CN"/>
              </w:rPr>
              <w:t>1</w:t>
            </w:r>
          </w:p>
        </w:tc>
        <w:tc>
          <w:tcPr>
            <w:tcW w:w="2039" w:type="dxa"/>
            <w:noWrap w:val="0"/>
            <w:vAlign w:val="center"/>
          </w:tcPr>
          <w:p w14:paraId="21667F77">
            <w:pPr>
              <w:spacing w:line="360" w:lineRule="exact"/>
              <w:jc w:val="center"/>
              <w:rPr>
                <w:rFonts w:hint="eastAsia" w:ascii="宋体" w:hAnsi="宋体"/>
                <w:b/>
                <w:spacing w:val="-2"/>
                <w:sz w:val="18"/>
                <w:szCs w:val="18"/>
                <w:highlight w:val="none"/>
              </w:rPr>
            </w:pPr>
            <w:r>
              <w:rPr>
                <w:rFonts w:hint="eastAsia" w:ascii="宋体" w:hAnsi="宋体" w:eastAsia="宋体" w:cs="宋体"/>
                <w:sz w:val="24"/>
                <w:szCs w:val="20"/>
                <w:highlight w:val="none"/>
              </w:rPr>
              <w:t>供应商应为中小企业或供应商以联合体形式参加采购活动，且联合体中中小企业承担的部分达到30%。</w:t>
            </w:r>
          </w:p>
        </w:tc>
        <w:tc>
          <w:tcPr>
            <w:tcW w:w="5928" w:type="dxa"/>
            <w:noWrap w:val="0"/>
            <w:vAlign w:val="center"/>
          </w:tcPr>
          <w:p w14:paraId="39E20169">
            <w:pPr>
              <w:spacing w:line="360" w:lineRule="exact"/>
              <w:jc w:val="left"/>
              <w:rPr>
                <w:rFonts w:hint="eastAsia" w:ascii="宋体" w:hAnsi="宋体" w:eastAsia="宋体" w:cs="宋体"/>
                <w:sz w:val="24"/>
                <w:szCs w:val="20"/>
                <w:highlight w:val="none"/>
              </w:rPr>
            </w:pPr>
            <w:r>
              <w:rPr>
                <w:rFonts w:hint="eastAsia" w:ascii="宋体" w:hAnsi="宋体" w:eastAsia="宋体" w:cs="宋体"/>
                <w:sz w:val="24"/>
                <w:szCs w:val="20"/>
                <w:highlight w:val="none"/>
              </w:rPr>
              <w:t>请根据要求单独上传《中小企业声明函》。格式以采购文件要求为准。</w:t>
            </w:r>
          </w:p>
          <w:p w14:paraId="1B0F3B88">
            <w:pPr>
              <w:spacing w:line="360" w:lineRule="exact"/>
              <w:jc w:val="left"/>
              <w:rPr>
                <w:rFonts w:hint="eastAsia" w:ascii="宋体" w:hAnsi="宋体" w:eastAsia="宋体" w:cs="宋体"/>
                <w:b/>
                <w:bCs/>
                <w:szCs w:val="21"/>
                <w:highlight w:val="none"/>
              </w:rPr>
            </w:pPr>
            <w:r>
              <w:rPr>
                <w:rFonts w:hint="eastAsia" w:ascii="宋体" w:hAnsi="宋体" w:eastAsia="宋体" w:cs="宋体"/>
                <w:sz w:val="24"/>
                <w:szCs w:val="20"/>
                <w:highlight w:val="none"/>
              </w:rPr>
              <w:t>请根据要求单独上传《联合协议》，并在联合体协议中进行相关比例说明。格式以采购文件要求为准。</w:t>
            </w:r>
          </w:p>
        </w:tc>
        <w:tc>
          <w:tcPr>
            <w:tcW w:w="1001" w:type="dxa"/>
            <w:noWrap w:val="0"/>
            <w:vAlign w:val="center"/>
          </w:tcPr>
          <w:p w14:paraId="286BF1E5">
            <w:pPr>
              <w:spacing w:line="440" w:lineRule="exact"/>
              <w:ind w:left="0" w:leftChars="0" w:firstLine="0" w:firstLineChars="0"/>
              <w:jc w:val="both"/>
              <w:rPr>
                <w:rFonts w:ascii="宋体" w:hAnsi="宋体"/>
                <w:b/>
                <w:spacing w:val="-2"/>
                <w:sz w:val="18"/>
                <w:szCs w:val="18"/>
                <w:highlight w:val="none"/>
              </w:rPr>
            </w:pPr>
          </w:p>
        </w:tc>
      </w:tr>
      <w:tr w14:paraId="17392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dxa"/>
            <w:noWrap w:val="0"/>
            <w:vAlign w:val="center"/>
          </w:tcPr>
          <w:p w14:paraId="50A7507F">
            <w:pPr>
              <w:ind w:left="0" w:leftChars="0" w:firstLine="0" w:firstLineChars="0"/>
              <w:jc w:val="left"/>
              <w:rPr>
                <w:rFonts w:hint="eastAsia"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2</w:t>
            </w:r>
          </w:p>
        </w:tc>
        <w:tc>
          <w:tcPr>
            <w:tcW w:w="2039" w:type="dxa"/>
            <w:noWrap w:val="0"/>
            <w:vAlign w:val="center"/>
          </w:tcPr>
          <w:p w14:paraId="68F17564">
            <w:pPr>
              <w:ind w:left="0" w:leftChars="0" w:firstLine="0" w:firstLineChars="0"/>
              <w:jc w:val="center"/>
              <w:rPr>
                <w:rFonts w:hint="eastAsia" w:ascii="宋体" w:hAnsi="宋体" w:eastAsia="宋体" w:cs="宋体"/>
                <w:sz w:val="24"/>
                <w:szCs w:val="20"/>
                <w:highlight w:val="none"/>
              </w:rPr>
            </w:pPr>
            <w:r>
              <w:rPr>
                <w:rFonts w:hint="eastAsia" w:ascii="宋体" w:hAnsi="宋体" w:eastAsia="宋体" w:cs="宋体"/>
                <w:sz w:val="24"/>
                <w:szCs w:val="20"/>
                <w:highlight w:val="none"/>
              </w:rPr>
              <w:t>供应商的授权委托书</w:t>
            </w:r>
          </w:p>
        </w:tc>
        <w:tc>
          <w:tcPr>
            <w:tcW w:w="5928" w:type="dxa"/>
            <w:noWrap w:val="0"/>
            <w:vAlign w:val="center"/>
          </w:tcPr>
          <w:p w14:paraId="1903AA66">
            <w:pPr>
              <w:ind w:left="0" w:leftChars="0" w:firstLine="0" w:firstLineChars="0"/>
              <w:jc w:val="left"/>
              <w:rPr>
                <w:rFonts w:hint="eastAsia" w:ascii="宋体" w:hAnsi="宋体" w:eastAsia="宋体" w:cs="宋体"/>
                <w:sz w:val="24"/>
                <w:szCs w:val="20"/>
                <w:highlight w:val="none"/>
              </w:rPr>
            </w:pPr>
            <w:r>
              <w:rPr>
                <w:rFonts w:hint="eastAsia" w:ascii="宋体" w:hAnsi="宋体" w:eastAsia="宋体" w:cs="宋体"/>
                <w:sz w:val="24"/>
                <w:szCs w:val="20"/>
                <w:highlight w:val="none"/>
              </w:rPr>
              <w:t>是否提供有效的投标代表的授权委托书，授权委托书应由法定代表人（或负责人）电子签字或签章并加盖企业电子公章。如为法定代表人（或负责人）参加投标，需提供法定代表人（或负责人）身份证明。</w:t>
            </w:r>
          </w:p>
        </w:tc>
        <w:tc>
          <w:tcPr>
            <w:tcW w:w="1001" w:type="dxa"/>
            <w:noWrap w:val="0"/>
            <w:vAlign w:val="center"/>
          </w:tcPr>
          <w:p w14:paraId="7CA1BCEB">
            <w:pPr>
              <w:spacing w:line="440" w:lineRule="exact"/>
              <w:jc w:val="left"/>
              <w:rPr>
                <w:rFonts w:hint="eastAsia" w:ascii="宋体" w:hAnsi="宋体" w:eastAsia="宋体" w:cs="宋体"/>
                <w:sz w:val="16"/>
                <w:szCs w:val="16"/>
                <w:highlight w:val="none"/>
              </w:rPr>
            </w:pPr>
          </w:p>
        </w:tc>
      </w:tr>
      <w:tr w14:paraId="5121E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dxa"/>
            <w:noWrap w:val="0"/>
            <w:vAlign w:val="center"/>
          </w:tcPr>
          <w:p w14:paraId="57564731">
            <w:pPr>
              <w:ind w:left="0" w:leftChars="0" w:firstLine="0" w:firstLineChars="0"/>
              <w:jc w:val="left"/>
              <w:rPr>
                <w:rFonts w:hint="eastAsia"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3</w:t>
            </w:r>
          </w:p>
        </w:tc>
        <w:tc>
          <w:tcPr>
            <w:tcW w:w="2039" w:type="dxa"/>
            <w:noWrap w:val="0"/>
            <w:vAlign w:val="center"/>
          </w:tcPr>
          <w:p w14:paraId="61D4BC5A">
            <w:pPr>
              <w:ind w:left="0" w:leftChars="0" w:firstLine="0" w:firstLineChars="0"/>
              <w:jc w:val="center"/>
              <w:rPr>
                <w:rFonts w:hint="eastAsia" w:ascii="宋体" w:hAnsi="宋体" w:eastAsia="宋体" w:cs="宋体"/>
                <w:sz w:val="24"/>
                <w:szCs w:val="20"/>
                <w:highlight w:val="none"/>
              </w:rPr>
            </w:pPr>
            <w:r>
              <w:rPr>
                <w:rFonts w:hint="eastAsia" w:ascii="宋体" w:hAnsi="宋体" w:eastAsia="宋体" w:cs="宋体"/>
                <w:sz w:val="24"/>
                <w:szCs w:val="20"/>
                <w:highlight w:val="none"/>
              </w:rPr>
              <w:t>被授权人身份证</w:t>
            </w:r>
          </w:p>
        </w:tc>
        <w:tc>
          <w:tcPr>
            <w:tcW w:w="5928" w:type="dxa"/>
            <w:noWrap w:val="0"/>
            <w:vAlign w:val="center"/>
          </w:tcPr>
          <w:p w14:paraId="357674AC">
            <w:pPr>
              <w:ind w:left="0" w:leftChars="0" w:firstLine="0" w:firstLineChars="0"/>
              <w:jc w:val="left"/>
              <w:rPr>
                <w:rFonts w:hint="eastAsia" w:ascii="宋体" w:hAnsi="宋体" w:eastAsia="宋体" w:cs="宋体"/>
                <w:sz w:val="24"/>
                <w:szCs w:val="20"/>
                <w:highlight w:val="none"/>
              </w:rPr>
            </w:pPr>
            <w:r>
              <w:rPr>
                <w:rFonts w:hint="eastAsia" w:ascii="宋体" w:hAnsi="宋体" w:eastAsia="宋体" w:cs="宋体"/>
                <w:sz w:val="24"/>
                <w:szCs w:val="20"/>
                <w:highlight w:val="none"/>
              </w:rPr>
              <w:t>是否提供有效的被授权人身份证扫描件。</w:t>
            </w:r>
          </w:p>
        </w:tc>
        <w:tc>
          <w:tcPr>
            <w:tcW w:w="1001" w:type="dxa"/>
            <w:noWrap w:val="0"/>
            <w:vAlign w:val="center"/>
          </w:tcPr>
          <w:p w14:paraId="261559B9">
            <w:pPr>
              <w:spacing w:line="440" w:lineRule="exact"/>
              <w:jc w:val="left"/>
              <w:rPr>
                <w:rFonts w:hint="eastAsia" w:ascii="宋体" w:hAnsi="宋体" w:eastAsia="宋体" w:cs="宋体"/>
                <w:sz w:val="16"/>
                <w:szCs w:val="16"/>
                <w:highlight w:val="none"/>
              </w:rPr>
            </w:pPr>
          </w:p>
        </w:tc>
      </w:tr>
      <w:tr w14:paraId="36828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dxa"/>
            <w:noWrap w:val="0"/>
            <w:vAlign w:val="center"/>
          </w:tcPr>
          <w:p w14:paraId="2868F1B4">
            <w:pPr>
              <w:ind w:left="0" w:leftChars="0" w:firstLine="0" w:firstLineChars="0"/>
              <w:jc w:val="left"/>
              <w:rPr>
                <w:rFonts w:hint="eastAsia"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4</w:t>
            </w:r>
          </w:p>
        </w:tc>
        <w:tc>
          <w:tcPr>
            <w:tcW w:w="2039" w:type="dxa"/>
            <w:noWrap w:val="0"/>
            <w:vAlign w:val="center"/>
          </w:tcPr>
          <w:p w14:paraId="319E2776">
            <w:pPr>
              <w:ind w:left="0" w:leftChars="0" w:firstLine="0" w:firstLineChars="0"/>
              <w:jc w:val="center"/>
              <w:rPr>
                <w:rFonts w:hint="default" w:ascii="宋体" w:hAnsi="宋体" w:eastAsia="宋体" w:cs="宋体"/>
                <w:sz w:val="24"/>
                <w:szCs w:val="20"/>
                <w:highlight w:val="none"/>
                <w:lang w:val="en-US" w:eastAsia="zh-CN"/>
              </w:rPr>
            </w:pPr>
            <w:r>
              <w:rPr>
                <w:rFonts w:hint="eastAsia" w:ascii="宋体" w:hAnsi="宋体" w:eastAsia="宋体" w:cs="宋体"/>
                <w:sz w:val="24"/>
                <w:szCs w:val="20"/>
                <w:highlight w:val="none"/>
              </w:rPr>
              <w:t>企业营业执照</w:t>
            </w:r>
            <w:r>
              <w:rPr>
                <w:rFonts w:hint="eastAsia" w:eastAsia="宋体" w:cs="宋体"/>
                <w:sz w:val="24"/>
                <w:szCs w:val="20"/>
                <w:highlight w:val="none"/>
                <w:lang w:val="en-US" w:eastAsia="zh-CN"/>
              </w:rPr>
              <w:t>及资质证书</w:t>
            </w:r>
          </w:p>
        </w:tc>
        <w:tc>
          <w:tcPr>
            <w:tcW w:w="5928" w:type="dxa"/>
            <w:noWrap w:val="0"/>
            <w:vAlign w:val="center"/>
          </w:tcPr>
          <w:p w14:paraId="4F82D321">
            <w:pPr>
              <w:ind w:left="0" w:leftChars="0" w:firstLine="0" w:firstLineChars="0"/>
              <w:jc w:val="left"/>
              <w:rPr>
                <w:rFonts w:hint="eastAsia" w:ascii="宋体" w:hAnsi="宋体" w:eastAsia="宋体" w:cs="宋体"/>
                <w:sz w:val="24"/>
                <w:szCs w:val="20"/>
                <w:highlight w:val="none"/>
                <w:lang w:val="en-US" w:eastAsia="zh-CN"/>
              </w:rPr>
            </w:pPr>
            <w:r>
              <w:rPr>
                <w:rFonts w:hint="eastAsia" w:ascii="宋体" w:hAnsi="宋体" w:eastAsia="宋体" w:cs="宋体"/>
                <w:sz w:val="24"/>
                <w:szCs w:val="20"/>
                <w:highlight w:val="none"/>
                <w:lang w:eastAsia="zh-CN"/>
              </w:rPr>
              <w:t>（</w:t>
            </w:r>
            <w:r>
              <w:rPr>
                <w:rFonts w:hint="eastAsia" w:ascii="宋体" w:hAnsi="宋体" w:eastAsia="宋体" w:cs="宋体"/>
                <w:sz w:val="24"/>
                <w:szCs w:val="20"/>
                <w:highlight w:val="none"/>
                <w:lang w:val="en-US" w:eastAsia="zh-CN"/>
              </w:rPr>
              <w:t>1</w:t>
            </w:r>
            <w:r>
              <w:rPr>
                <w:rFonts w:hint="eastAsia" w:ascii="宋体" w:hAnsi="宋体" w:eastAsia="宋体" w:cs="宋体"/>
                <w:sz w:val="24"/>
                <w:szCs w:val="20"/>
                <w:highlight w:val="none"/>
                <w:lang w:eastAsia="zh-CN"/>
              </w:rPr>
              <w:t>）</w:t>
            </w:r>
            <w:r>
              <w:rPr>
                <w:rFonts w:hint="eastAsia" w:ascii="宋体" w:hAnsi="宋体" w:eastAsia="宋体" w:cs="宋体"/>
                <w:sz w:val="24"/>
                <w:szCs w:val="20"/>
                <w:highlight w:val="none"/>
              </w:rPr>
              <w:t>是否提供有效的</w:t>
            </w:r>
            <w:r>
              <w:rPr>
                <w:rFonts w:hint="eastAsia" w:ascii="宋体" w:hAnsi="宋体" w:eastAsia="宋体" w:cs="宋体"/>
                <w:sz w:val="24"/>
                <w:szCs w:val="20"/>
                <w:highlight w:val="none"/>
                <w:lang w:val="en-US" w:eastAsia="zh-CN"/>
              </w:rPr>
              <w:t>在中华人民共和国境内注册，具有独立法人资格，</w:t>
            </w:r>
            <w:r>
              <w:rPr>
                <w:rFonts w:hint="eastAsia" w:ascii="宋体" w:hAnsi="宋体" w:eastAsia="宋体" w:cs="宋体"/>
                <w:sz w:val="24"/>
                <w:szCs w:val="20"/>
                <w:highlight w:val="none"/>
              </w:rPr>
              <w:t>具有有效的营业执照或“三证合一”的营业执照；</w:t>
            </w:r>
          </w:p>
          <w:p w14:paraId="66198538">
            <w:pPr>
              <w:spacing w:line="360" w:lineRule="exact"/>
              <w:jc w:val="left"/>
              <w:rPr>
                <w:rFonts w:hint="eastAsia"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2）供应商须具备建设主管部门颁发的建设工程质量检测机构资质证书检测范围须包含：筑材料及构配件、主体结构及装饰装修、钢结构、地基基础并同时具备工程设计建筑行业（建筑工程）专业乙级或乙级以上资质及工程勘察专业类（岩土工程（勘察））乙级或乙级以上资质。</w:t>
            </w:r>
          </w:p>
          <w:p w14:paraId="51BAF4FC">
            <w:pPr>
              <w:spacing w:line="360" w:lineRule="exact"/>
              <w:jc w:val="left"/>
              <w:rPr>
                <w:rFonts w:hint="eastAsia" w:ascii="宋体" w:hAnsi="宋体" w:eastAsia="宋体" w:cs="宋体"/>
                <w:sz w:val="24"/>
                <w:szCs w:val="20"/>
                <w:highlight w:val="none"/>
              </w:rPr>
            </w:pPr>
            <w:r>
              <w:rPr>
                <w:rFonts w:hint="eastAsia" w:ascii="宋体" w:hAnsi="宋体" w:eastAsia="宋体" w:cs="宋体"/>
                <w:sz w:val="24"/>
                <w:szCs w:val="20"/>
                <w:highlight w:val="none"/>
                <w:lang w:val="en-US" w:eastAsia="zh-CN"/>
              </w:rPr>
              <w:t>（3）项目负责人须具备一级注册结构工程师资格近六个月的缴纳社会保障资金的证明材料件加盖公章。</w:t>
            </w:r>
          </w:p>
        </w:tc>
        <w:tc>
          <w:tcPr>
            <w:tcW w:w="1001" w:type="dxa"/>
            <w:noWrap w:val="0"/>
            <w:vAlign w:val="center"/>
          </w:tcPr>
          <w:p w14:paraId="1D040641">
            <w:pPr>
              <w:spacing w:line="440" w:lineRule="exact"/>
              <w:jc w:val="left"/>
              <w:rPr>
                <w:rFonts w:hint="eastAsia" w:ascii="宋体" w:hAnsi="宋体" w:eastAsia="宋体" w:cs="宋体"/>
                <w:sz w:val="16"/>
                <w:szCs w:val="16"/>
                <w:highlight w:val="none"/>
              </w:rPr>
            </w:pPr>
          </w:p>
        </w:tc>
      </w:tr>
      <w:tr w14:paraId="536A0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dxa"/>
            <w:noWrap w:val="0"/>
            <w:vAlign w:val="center"/>
          </w:tcPr>
          <w:p w14:paraId="361FE22E">
            <w:pPr>
              <w:ind w:left="0" w:leftChars="0" w:firstLine="0" w:firstLineChars="0"/>
              <w:jc w:val="left"/>
              <w:rPr>
                <w:rFonts w:hint="eastAsia"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5</w:t>
            </w:r>
          </w:p>
        </w:tc>
        <w:tc>
          <w:tcPr>
            <w:tcW w:w="2039" w:type="dxa"/>
            <w:noWrap w:val="0"/>
            <w:vAlign w:val="center"/>
          </w:tcPr>
          <w:p w14:paraId="4403BCD8">
            <w:pPr>
              <w:jc w:val="center"/>
              <w:rPr>
                <w:rFonts w:hint="eastAsia" w:ascii="宋体" w:hAnsi="宋体" w:eastAsia="宋体" w:cs="宋体"/>
                <w:sz w:val="24"/>
                <w:szCs w:val="20"/>
                <w:highlight w:val="none"/>
              </w:rPr>
            </w:pPr>
            <w:r>
              <w:rPr>
                <w:rFonts w:hint="eastAsia" w:ascii="宋体" w:hAnsi="宋体" w:eastAsia="宋体" w:cs="宋体"/>
                <w:sz w:val="24"/>
                <w:szCs w:val="20"/>
                <w:highlight w:val="none"/>
              </w:rPr>
              <w:t>财务报告</w:t>
            </w:r>
          </w:p>
        </w:tc>
        <w:tc>
          <w:tcPr>
            <w:tcW w:w="5928" w:type="dxa"/>
            <w:noWrap w:val="0"/>
            <w:vAlign w:val="center"/>
          </w:tcPr>
          <w:p w14:paraId="71FA389A">
            <w:pPr>
              <w:ind w:left="0" w:leftChars="0" w:firstLine="0" w:firstLineChars="0"/>
              <w:jc w:val="left"/>
              <w:rPr>
                <w:rFonts w:hint="eastAsia" w:ascii="宋体" w:hAnsi="宋体" w:eastAsia="宋体" w:cs="宋体"/>
                <w:sz w:val="24"/>
                <w:szCs w:val="20"/>
                <w:highlight w:val="none"/>
              </w:rPr>
            </w:pPr>
            <w:r>
              <w:rPr>
                <w:rFonts w:hint="eastAsia" w:ascii="宋体" w:hAnsi="宋体" w:eastAsia="宋体" w:cs="宋体"/>
                <w:sz w:val="24"/>
                <w:szCs w:val="20"/>
                <w:highlight w:val="none"/>
              </w:rPr>
              <w:t>是否提供本单位上一年度由会计师事务所出具的财务审计报告（当上一年度审计报告未出来时，可提供前一年度审计报告），审计报告须包括资产负债表、利润表、现金流量表、所有者权益变动（如有）及其附注（原件扫描件加盖电子公章）。成立不足一年的提供自成立以来任意一个月财务报表（财务报表应至少包括资产负债表、损益表、现金流量表或财务状况变动表，当月新成立公司不需提供。</w:t>
            </w:r>
          </w:p>
        </w:tc>
        <w:tc>
          <w:tcPr>
            <w:tcW w:w="1001" w:type="dxa"/>
            <w:noWrap w:val="0"/>
            <w:vAlign w:val="center"/>
          </w:tcPr>
          <w:p w14:paraId="0DCB04BC">
            <w:pPr>
              <w:spacing w:line="440" w:lineRule="exact"/>
              <w:jc w:val="left"/>
              <w:rPr>
                <w:rFonts w:hint="eastAsia" w:ascii="宋体" w:hAnsi="宋体" w:eastAsia="宋体" w:cs="宋体"/>
                <w:sz w:val="16"/>
                <w:szCs w:val="16"/>
                <w:highlight w:val="none"/>
              </w:rPr>
            </w:pPr>
          </w:p>
        </w:tc>
      </w:tr>
      <w:tr w14:paraId="41DA1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dxa"/>
            <w:noWrap w:val="0"/>
            <w:vAlign w:val="center"/>
          </w:tcPr>
          <w:p w14:paraId="75E59972">
            <w:pPr>
              <w:ind w:left="0" w:leftChars="0" w:firstLine="0" w:firstLineChars="0"/>
              <w:jc w:val="left"/>
              <w:rPr>
                <w:rFonts w:hint="default"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6</w:t>
            </w:r>
          </w:p>
        </w:tc>
        <w:tc>
          <w:tcPr>
            <w:tcW w:w="2039" w:type="dxa"/>
            <w:noWrap w:val="0"/>
            <w:vAlign w:val="center"/>
          </w:tcPr>
          <w:p w14:paraId="0B107306">
            <w:pPr>
              <w:jc w:val="center"/>
              <w:rPr>
                <w:rFonts w:hint="default"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备案登记</w:t>
            </w:r>
          </w:p>
        </w:tc>
        <w:tc>
          <w:tcPr>
            <w:tcW w:w="5928" w:type="dxa"/>
            <w:noWrap w:val="0"/>
            <w:vAlign w:val="center"/>
          </w:tcPr>
          <w:p w14:paraId="7FEA3009">
            <w:pPr>
              <w:ind w:left="0" w:leftChars="0" w:firstLine="0" w:firstLineChars="0"/>
              <w:jc w:val="left"/>
              <w:rPr>
                <w:rFonts w:hint="eastAsia" w:ascii="宋体" w:hAnsi="宋体" w:eastAsia="宋体" w:cs="宋体"/>
                <w:sz w:val="24"/>
                <w:szCs w:val="20"/>
                <w:highlight w:val="none"/>
                <w:lang w:eastAsia="zh-CN"/>
              </w:rPr>
            </w:pPr>
            <w:r>
              <w:rPr>
                <w:rFonts w:hint="eastAsia" w:ascii="宋体" w:hAnsi="宋体" w:eastAsia="宋体" w:cs="宋体"/>
                <w:sz w:val="24"/>
                <w:szCs w:val="20"/>
                <w:highlight w:val="none"/>
                <w:lang w:eastAsia="zh-CN"/>
              </w:rPr>
              <w:t>区外检测机构进疆开展检测鉴定业务，须在"新疆工程建设云"平台进行备案登记;区外检测机构进疆备案登记人员须为实际在我区开展检测鉴定的技术人员和注册人员，并应满足国家标准规范对检测鉴定项目技术人员配备要求。</w:t>
            </w:r>
          </w:p>
          <w:p w14:paraId="6639AE58">
            <w:pPr>
              <w:ind w:left="0" w:leftChars="0" w:firstLine="0" w:firstLineChars="0"/>
              <w:jc w:val="left"/>
              <w:rPr>
                <w:rFonts w:hint="default"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注：疆外企业必须上传相关证明材料</w:t>
            </w:r>
          </w:p>
        </w:tc>
        <w:tc>
          <w:tcPr>
            <w:tcW w:w="1001" w:type="dxa"/>
            <w:noWrap w:val="0"/>
            <w:vAlign w:val="center"/>
          </w:tcPr>
          <w:p w14:paraId="4AA9036A">
            <w:pPr>
              <w:spacing w:line="440" w:lineRule="exact"/>
              <w:jc w:val="left"/>
              <w:rPr>
                <w:rFonts w:hint="eastAsia" w:ascii="宋体" w:hAnsi="宋体" w:eastAsia="宋体" w:cs="宋体"/>
                <w:sz w:val="16"/>
                <w:szCs w:val="16"/>
                <w:highlight w:val="none"/>
              </w:rPr>
            </w:pPr>
          </w:p>
        </w:tc>
      </w:tr>
      <w:tr w14:paraId="3BCBC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dxa"/>
            <w:noWrap w:val="0"/>
            <w:vAlign w:val="center"/>
          </w:tcPr>
          <w:p w14:paraId="7E290253">
            <w:pPr>
              <w:ind w:left="0" w:leftChars="0" w:firstLine="0" w:firstLineChars="0"/>
              <w:jc w:val="left"/>
              <w:rPr>
                <w:rFonts w:hint="default"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7</w:t>
            </w:r>
          </w:p>
        </w:tc>
        <w:tc>
          <w:tcPr>
            <w:tcW w:w="2039" w:type="dxa"/>
            <w:noWrap w:val="0"/>
            <w:vAlign w:val="center"/>
          </w:tcPr>
          <w:p w14:paraId="70770A65">
            <w:pPr>
              <w:jc w:val="center"/>
              <w:rPr>
                <w:rFonts w:hint="eastAsia" w:ascii="宋体" w:hAnsi="宋体" w:eastAsia="宋体" w:cs="宋体"/>
                <w:sz w:val="24"/>
                <w:szCs w:val="20"/>
                <w:highlight w:val="none"/>
              </w:rPr>
            </w:pPr>
            <w:r>
              <w:rPr>
                <w:rFonts w:hint="eastAsia" w:ascii="宋体" w:hAnsi="宋体" w:eastAsia="宋体" w:cs="宋体"/>
                <w:sz w:val="24"/>
                <w:szCs w:val="20"/>
                <w:highlight w:val="none"/>
              </w:rPr>
              <w:t>纳税证明</w:t>
            </w:r>
          </w:p>
        </w:tc>
        <w:tc>
          <w:tcPr>
            <w:tcW w:w="5928" w:type="dxa"/>
            <w:noWrap w:val="0"/>
            <w:vAlign w:val="center"/>
          </w:tcPr>
          <w:p w14:paraId="735BC423">
            <w:pPr>
              <w:ind w:left="0" w:leftChars="0" w:firstLine="0" w:firstLineChars="0"/>
              <w:jc w:val="left"/>
              <w:rPr>
                <w:rFonts w:hint="eastAsia" w:ascii="宋体" w:hAnsi="宋体" w:eastAsia="宋体" w:cs="宋体"/>
                <w:sz w:val="24"/>
                <w:szCs w:val="20"/>
                <w:highlight w:val="none"/>
              </w:rPr>
            </w:pPr>
            <w:r>
              <w:rPr>
                <w:rFonts w:hint="eastAsia" w:ascii="宋体" w:hAnsi="宋体" w:eastAsia="宋体" w:cs="宋体"/>
                <w:sz w:val="24"/>
                <w:szCs w:val="20"/>
                <w:highlight w:val="none"/>
              </w:rPr>
              <w:t>是否提供的近三月内任意一月的依法缴纳税收证明，当月新成立公司不需提供；无需纳税或免税的也需提供相应证明材料。</w:t>
            </w:r>
          </w:p>
        </w:tc>
        <w:tc>
          <w:tcPr>
            <w:tcW w:w="1001" w:type="dxa"/>
            <w:noWrap w:val="0"/>
            <w:vAlign w:val="center"/>
          </w:tcPr>
          <w:p w14:paraId="7985088B">
            <w:pPr>
              <w:spacing w:line="440" w:lineRule="exact"/>
              <w:jc w:val="left"/>
              <w:rPr>
                <w:rFonts w:hint="eastAsia" w:ascii="宋体" w:hAnsi="宋体" w:eastAsia="宋体" w:cs="宋体"/>
                <w:sz w:val="16"/>
                <w:szCs w:val="16"/>
                <w:highlight w:val="none"/>
              </w:rPr>
            </w:pPr>
          </w:p>
        </w:tc>
      </w:tr>
      <w:tr w14:paraId="0A614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dxa"/>
            <w:noWrap w:val="0"/>
            <w:vAlign w:val="center"/>
          </w:tcPr>
          <w:p w14:paraId="0FEACD0A">
            <w:pPr>
              <w:ind w:left="0" w:leftChars="0" w:firstLine="0" w:firstLineChars="0"/>
              <w:jc w:val="left"/>
              <w:rPr>
                <w:rFonts w:hint="default"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8</w:t>
            </w:r>
          </w:p>
        </w:tc>
        <w:tc>
          <w:tcPr>
            <w:tcW w:w="2039" w:type="dxa"/>
            <w:noWrap w:val="0"/>
            <w:vAlign w:val="center"/>
          </w:tcPr>
          <w:p w14:paraId="02798512">
            <w:pPr>
              <w:ind w:left="0" w:leftChars="0" w:firstLine="0" w:firstLineChars="0"/>
              <w:jc w:val="center"/>
              <w:rPr>
                <w:rFonts w:hint="eastAsia" w:ascii="宋体" w:hAnsi="宋体" w:eastAsia="宋体" w:cs="宋体"/>
                <w:sz w:val="24"/>
                <w:szCs w:val="20"/>
                <w:highlight w:val="none"/>
              </w:rPr>
            </w:pPr>
            <w:r>
              <w:rPr>
                <w:rFonts w:hint="eastAsia" w:ascii="宋体" w:hAnsi="宋体" w:eastAsia="宋体" w:cs="宋体"/>
                <w:sz w:val="24"/>
                <w:szCs w:val="20"/>
                <w:highlight w:val="none"/>
              </w:rPr>
              <w:t>缴纳社会保障资金证明</w:t>
            </w:r>
          </w:p>
        </w:tc>
        <w:tc>
          <w:tcPr>
            <w:tcW w:w="5928" w:type="dxa"/>
            <w:noWrap w:val="0"/>
            <w:vAlign w:val="center"/>
          </w:tcPr>
          <w:p w14:paraId="7ECEEE09">
            <w:pPr>
              <w:ind w:left="0" w:leftChars="0" w:firstLine="0" w:firstLineChars="0"/>
              <w:jc w:val="left"/>
              <w:rPr>
                <w:rFonts w:hint="eastAsia" w:ascii="宋体" w:hAnsi="宋体" w:eastAsia="宋体" w:cs="宋体"/>
                <w:sz w:val="24"/>
                <w:szCs w:val="20"/>
                <w:highlight w:val="none"/>
              </w:rPr>
            </w:pPr>
            <w:r>
              <w:rPr>
                <w:rFonts w:hint="eastAsia" w:ascii="宋体" w:hAnsi="宋体" w:eastAsia="宋体" w:cs="宋体"/>
                <w:sz w:val="24"/>
                <w:szCs w:val="20"/>
                <w:highlight w:val="none"/>
              </w:rPr>
              <w:t>是否提供社保机构出具的社保缴纳证明（近三个月至响应文件递交截止日任意一月），当月新成立公司不需提供。</w:t>
            </w:r>
          </w:p>
        </w:tc>
        <w:tc>
          <w:tcPr>
            <w:tcW w:w="1001" w:type="dxa"/>
            <w:noWrap w:val="0"/>
            <w:vAlign w:val="center"/>
          </w:tcPr>
          <w:p w14:paraId="153F7F93">
            <w:pPr>
              <w:spacing w:line="440" w:lineRule="exact"/>
              <w:jc w:val="left"/>
              <w:rPr>
                <w:rFonts w:hint="eastAsia" w:ascii="宋体" w:hAnsi="宋体" w:eastAsia="宋体" w:cs="宋体"/>
                <w:sz w:val="16"/>
                <w:szCs w:val="16"/>
                <w:highlight w:val="none"/>
              </w:rPr>
            </w:pPr>
          </w:p>
        </w:tc>
      </w:tr>
      <w:tr w14:paraId="61E62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532" w:type="dxa"/>
            <w:noWrap w:val="0"/>
            <w:vAlign w:val="center"/>
          </w:tcPr>
          <w:p w14:paraId="48B22B57">
            <w:pPr>
              <w:ind w:left="0" w:leftChars="0" w:firstLine="0" w:firstLineChars="0"/>
              <w:jc w:val="center"/>
              <w:rPr>
                <w:rFonts w:hint="default"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9</w:t>
            </w:r>
          </w:p>
        </w:tc>
        <w:tc>
          <w:tcPr>
            <w:tcW w:w="2039" w:type="dxa"/>
            <w:noWrap w:val="0"/>
            <w:vAlign w:val="center"/>
          </w:tcPr>
          <w:p w14:paraId="7F48976E">
            <w:pPr>
              <w:ind w:left="0" w:leftChars="0" w:firstLine="0" w:firstLineChars="0"/>
              <w:jc w:val="center"/>
              <w:rPr>
                <w:rFonts w:hint="eastAsia" w:ascii="宋体" w:hAnsi="宋体" w:eastAsia="宋体" w:cs="宋体"/>
                <w:sz w:val="24"/>
                <w:szCs w:val="20"/>
                <w:highlight w:val="none"/>
              </w:rPr>
            </w:pPr>
            <w:r>
              <w:rPr>
                <w:rFonts w:hint="eastAsia" w:ascii="宋体" w:hAnsi="宋体" w:eastAsia="宋体" w:cs="宋体"/>
                <w:sz w:val="24"/>
                <w:szCs w:val="20"/>
                <w:highlight w:val="none"/>
              </w:rPr>
              <w:t>履行合同所必需的设备和能力</w:t>
            </w:r>
          </w:p>
        </w:tc>
        <w:tc>
          <w:tcPr>
            <w:tcW w:w="5928" w:type="dxa"/>
            <w:noWrap w:val="0"/>
            <w:vAlign w:val="center"/>
          </w:tcPr>
          <w:p w14:paraId="40886004">
            <w:pPr>
              <w:ind w:left="0" w:leftChars="0" w:firstLine="0" w:firstLineChars="0"/>
              <w:jc w:val="left"/>
              <w:rPr>
                <w:rFonts w:hint="eastAsia" w:ascii="宋体" w:hAnsi="宋体" w:eastAsia="宋体" w:cs="宋体"/>
                <w:sz w:val="24"/>
                <w:szCs w:val="20"/>
                <w:highlight w:val="none"/>
              </w:rPr>
            </w:pPr>
            <w:r>
              <w:rPr>
                <w:rFonts w:hint="eastAsia" w:ascii="宋体" w:hAnsi="宋体" w:eastAsia="宋体" w:cs="宋体"/>
                <w:sz w:val="24"/>
                <w:szCs w:val="20"/>
                <w:highlight w:val="none"/>
              </w:rPr>
              <w:t>是否提供具有履行合同所必需的设备和专业技术能力相关证明材料或承诺书。</w:t>
            </w:r>
          </w:p>
        </w:tc>
        <w:tc>
          <w:tcPr>
            <w:tcW w:w="1001" w:type="dxa"/>
            <w:noWrap w:val="0"/>
            <w:vAlign w:val="center"/>
          </w:tcPr>
          <w:p w14:paraId="48D7841C">
            <w:pPr>
              <w:spacing w:line="440" w:lineRule="exact"/>
              <w:jc w:val="left"/>
              <w:rPr>
                <w:rFonts w:hint="eastAsia" w:ascii="宋体" w:hAnsi="宋体" w:eastAsia="宋体" w:cs="宋体"/>
                <w:sz w:val="16"/>
                <w:szCs w:val="16"/>
                <w:highlight w:val="none"/>
              </w:rPr>
            </w:pPr>
          </w:p>
        </w:tc>
      </w:tr>
      <w:tr w14:paraId="78568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532" w:type="dxa"/>
            <w:noWrap w:val="0"/>
            <w:vAlign w:val="center"/>
          </w:tcPr>
          <w:p w14:paraId="45FE3946">
            <w:pPr>
              <w:ind w:left="0" w:leftChars="0" w:firstLine="0" w:firstLineChars="0"/>
              <w:jc w:val="center"/>
              <w:rPr>
                <w:rFonts w:hint="default"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10</w:t>
            </w:r>
          </w:p>
        </w:tc>
        <w:tc>
          <w:tcPr>
            <w:tcW w:w="2039" w:type="dxa"/>
            <w:noWrap w:val="0"/>
            <w:vAlign w:val="center"/>
          </w:tcPr>
          <w:p w14:paraId="4D0E065E">
            <w:pPr>
              <w:ind w:left="0" w:leftChars="0" w:firstLine="0" w:firstLineChars="0"/>
              <w:jc w:val="center"/>
              <w:rPr>
                <w:rFonts w:hint="eastAsia" w:ascii="宋体" w:hAnsi="宋体" w:eastAsia="宋体" w:cs="宋体"/>
                <w:sz w:val="24"/>
                <w:szCs w:val="20"/>
                <w:highlight w:val="none"/>
              </w:rPr>
            </w:pPr>
            <w:r>
              <w:rPr>
                <w:rFonts w:hint="eastAsia" w:ascii="宋体" w:hAnsi="宋体" w:eastAsia="宋体" w:cs="宋体"/>
                <w:sz w:val="24"/>
                <w:szCs w:val="20"/>
                <w:highlight w:val="none"/>
              </w:rPr>
              <w:t>无重大违法记录的书面声明</w:t>
            </w:r>
          </w:p>
        </w:tc>
        <w:tc>
          <w:tcPr>
            <w:tcW w:w="5928" w:type="dxa"/>
            <w:noWrap w:val="0"/>
            <w:vAlign w:val="center"/>
          </w:tcPr>
          <w:p w14:paraId="512051E5">
            <w:pPr>
              <w:ind w:left="0" w:leftChars="0" w:firstLine="0" w:firstLineChars="0"/>
              <w:jc w:val="left"/>
              <w:rPr>
                <w:rFonts w:hint="eastAsia" w:ascii="宋体" w:hAnsi="宋体" w:eastAsia="宋体" w:cs="宋体"/>
                <w:sz w:val="24"/>
                <w:szCs w:val="20"/>
                <w:highlight w:val="none"/>
              </w:rPr>
            </w:pPr>
            <w:r>
              <w:rPr>
                <w:rFonts w:hint="eastAsia" w:ascii="宋体" w:hAnsi="宋体" w:eastAsia="宋体" w:cs="宋体"/>
                <w:sz w:val="24"/>
                <w:szCs w:val="20"/>
                <w:highlight w:val="none"/>
              </w:rPr>
              <w:t>是否提供参加采购活动前三年内在经营活动中没有重大违法记录的书面声明。</w:t>
            </w:r>
          </w:p>
        </w:tc>
        <w:tc>
          <w:tcPr>
            <w:tcW w:w="1001" w:type="dxa"/>
            <w:noWrap w:val="0"/>
            <w:vAlign w:val="center"/>
          </w:tcPr>
          <w:p w14:paraId="600D570B">
            <w:pPr>
              <w:spacing w:line="440" w:lineRule="exact"/>
              <w:jc w:val="left"/>
              <w:rPr>
                <w:rFonts w:hint="eastAsia" w:ascii="宋体" w:hAnsi="宋体" w:eastAsia="宋体" w:cs="宋体"/>
                <w:sz w:val="16"/>
                <w:szCs w:val="16"/>
                <w:highlight w:val="none"/>
              </w:rPr>
            </w:pPr>
          </w:p>
        </w:tc>
      </w:tr>
      <w:tr w14:paraId="1047C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532" w:type="dxa"/>
            <w:noWrap w:val="0"/>
            <w:vAlign w:val="center"/>
          </w:tcPr>
          <w:p w14:paraId="6212FA95">
            <w:pPr>
              <w:ind w:left="0" w:leftChars="0" w:firstLine="0" w:firstLineChars="0"/>
              <w:jc w:val="center"/>
              <w:rPr>
                <w:rFonts w:hint="default"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11</w:t>
            </w:r>
          </w:p>
        </w:tc>
        <w:tc>
          <w:tcPr>
            <w:tcW w:w="2039" w:type="dxa"/>
            <w:noWrap w:val="0"/>
            <w:vAlign w:val="center"/>
          </w:tcPr>
          <w:p w14:paraId="777347B5">
            <w:pPr>
              <w:ind w:left="0" w:leftChars="0" w:firstLine="0" w:firstLineChars="0"/>
              <w:jc w:val="center"/>
              <w:rPr>
                <w:rFonts w:hint="eastAsia" w:ascii="宋体" w:hAnsi="宋体" w:eastAsia="宋体" w:cs="宋体"/>
                <w:sz w:val="24"/>
                <w:szCs w:val="20"/>
                <w:highlight w:val="none"/>
              </w:rPr>
            </w:pPr>
            <w:r>
              <w:rPr>
                <w:rFonts w:hint="eastAsia" w:ascii="宋体" w:hAnsi="宋体" w:eastAsia="宋体" w:cs="宋体"/>
                <w:sz w:val="24"/>
                <w:szCs w:val="20"/>
                <w:highlight w:val="none"/>
              </w:rPr>
              <w:t>投标保证金</w:t>
            </w:r>
          </w:p>
        </w:tc>
        <w:tc>
          <w:tcPr>
            <w:tcW w:w="5928" w:type="dxa"/>
            <w:noWrap w:val="0"/>
            <w:vAlign w:val="center"/>
          </w:tcPr>
          <w:p w14:paraId="18D284C3">
            <w:pPr>
              <w:ind w:left="0" w:leftChars="0" w:firstLine="0" w:firstLineChars="0"/>
              <w:jc w:val="left"/>
              <w:rPr>
                <w:rFonts w:hint="eastAsia" w:ascii="宋体" w:hAnsi="宋体" w:eastAsia="宋体" w:cs="宋体"/>
                <w:sz w:val="24"/>
                <w:szCs w:val="20"/>
                <w:highlight w:val="none"/>
              </w:rPr>
            </w:pPr>
            <w:r>
              <w:rPr>
                <w:rFonts w:hint="eastAsia" w:ascii="宋体" w:hAnsi="宋体" w:eastAsia="宋体" w:cs="宋体"/>
                <w:sz w:val="24"/>
                <w:szCs w:val="20"/>
                <w:highlight w:val="none"/>
              </w:rPr>
              <w:t>是否按照竞争性</w:t>
            </w:r>
            <w:r>
              <w:rPr>
                <w:rFonts w:hint="eastAsia" w:ascii="宋体" w:hAnsi="宋体" w:eastAsia="宋体" w:cs="宋体"/>
                <w:sz w:val="24"/>
                <w:szCs w:val="20"/>
                <w:highlight w:val="none"/>
                <w:lang w:val="en-US" w:eastAsia="zh-CN"/>
              </w:rPr>
              <w:t>磋商</w:t>
            </w:r>
            <w:r>
              <w:rPr>
                <w:rFonts w:hint="eastAsia" w:ascii="宋体" w:hAnsi="宋体" w:eastAsia="宋体" w:cs="宋体"/>
                <w:sz w:val="24"/>
                <w:szCs w:val="20"/>
                <w:highlight w:val="none"/>
              </w:rPr>
              <w:t>文件要求缴纳投标保证金</w:t>
            </w:r>
            <w:r>
              <w:rPr>
                <w:rFonts w:hint="eastAsia" w:ascii="宋体" w:hAnsi="宋体" w:eastAsia="宋体" w:cs="宋体"/>
                <w:sz w:val="24"/>
                <w:szCs w:val="20"/>
                <w:highlight w:val="none"/>
                <w:lang w:eastAsia="zh-CN"/>
              </w:rPr>
              <w:t>。</w:t>
            </w:r>
            <w:r>
              <w:rPr>
                <w:rFonts w:hint="eastAsia" w:ascii="宋体" w:hAnsi="宋体" w:eastAsia="宋体" w:cs="宋体"/>
                <w:sz w:val="24"/>
                <w:szCs w:val="20"/>
                <w:highlight w:val="none"/>
              </w:rPr>
              <w:t>谈判保证金的缴纳主体与供应商一致的。</w:t>
            </w:r>
          </w:p>
        </w:tc>
        <w:tc>
          <w:tcPr>
            <w:tcW w:w="1001" w:type="dxa"/>
            <w:noWrap w:val="0"/>
            <w:vAlign w:val="center"/>
          </w:tcPr>
          <w:p w14:paraId="6BB68839">
            <w:pPr>
              <w:spacing w:line="440" w:lineRule="exact"/>
              <w:jc w:val="left"/>
              <w:rPr>
                <w:rFonts w:hint="eastAsia" w:ascii="宋体" w:hAnsi="宋体" w:eastAsia="宋体" w:cs="宋体"/>
                <w:sz w:val="16"/>
                <w:szCs w:val="16"/>
                <w:highlight w:val="none"/>
              </w:rPr>
            </w:pPr>
          </w:p>
        </w:tc>
      </w:tr>
      <w:tr w14:paraId="40D19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532" w:type="dxa"/>
            <w:noWrap w:val="0"/>
            <w:vAlign w:val="center"/>
          </w:tcPr>
          <w:p w14:paraId="0DCC7330">
            <w:pPr>
              <w:ind w:left="0" w:leftChars="0" w:firstLine="0" w:firstLineChars="0"/>
              <w:jc w:val="center"/>
              <w:rPr>
                <w:rFonts w:hint="default"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12</w:t>
            </w:r>
          </w:p>
        </w:tc>
        <w:tc>
          <w:tcPr>
            <w:tcW w:w="2039" w:type="dxa"/>
            <w:noWrap w:val="0"/>
            <w:vAlign w:val="center"/>
          </w:tcPr>
          <w:p w14:paraId="6FDFF180">
            <w:pPr>
              <w:ind w:left="0" w:leftChars="0" w:firstLine="0" w:firstLineChars="0"/>
              <w:jc w:val="left"/>
              <w:rPr>
                <w:rFonts w:hint="eastAsia" w:ascii="宋体" w:hAnsi="宋体" w:eastAsia="宋体" w:cs="宋体"/>
                <w:sz w:val="24"/>
                <w:szCs w:val="20"/>
                <w:highlight w:val="none"/>
              </w:rPr>
            </w:pPr>
            <w:r>
              <w:rPr>
                <w:rFonts w:hint="eastAsia" w:ascii="宋体" w:hAnsi="宋体" w:eastAsia="宋体" w:cs="宋体"/>
                <w:sz w:val="24"/>
                <w:szCs w:val="20"/>
                <w:highlight w:val="none"/>
              </w:rPr>
              <w:t>法律、行政法规规定的其他条件</w:t>
            </w:r>
          </w:p>
        </w:tc>
        <w:tc>
          <w:tcPr>
            <w:tcW w:w="5928" w:type="dxa"/>
            <w:noWrap w:val="0"/>
            <w:vAlign w:val="center"/>
          </w:tcPr>
          <w:p w14:paraId="3DB79662">
            <w:pPr>
              <w:ind w:left="0" w:leftChars="0" w:firstLine="0" w:firstLineChars="0"/>
              <w:jc w:val="left"/>
              <w:rPr>
                <w:rFonts w:hint="eastAsia" w:ascii="宋体" w:hAnsi="宋体" w:eastAsia="宋体" w:cs="宋体"/>
                <w:sz w:val="24"/>
                <w:szCs w:val="20"/>
                <w:highlight w:val="none"/>
              </w:rPr>
            </w:pPr>
            <w:r>
              <w:rPr>
                <w:rFonts w:hint="eastAsia" w:ascii="宋体" w:hAnsi="宋体" w:eastAsia="宋体" w:cs="宋体"/>
                <w:sz w:val="24"/>
                <w:szCs w:val="20"/>
                <w:highlight w:val="none"/>
              </w:rPr>
              <w:t>响应文件是否附有“信用中国”网站、中国政府采购网站网查询企业信用信息截图或打印件的扫描件，且未被列入“失信被执行人”、“重大税收违法案件当事人名单。</w:t>
            </w:r>
          </w:p>
        </w:tc>
        <w:tc>
          <w:tcPr>
            <w:tcW w:w="1001" w:type="dxa"/>
            <w:noWrap w:val="0"/>
            <w:vAlign w:val="center"/>
          </w:tcPr>
          <w:p w14:paraId="1185F4C2">
            <w:pPr>
              <w:spacing w:line="440" w:lineRule="exact"/>
              <w:jc w:val="left"/>
              <w:rPr>
                <w:rFonts w:hint="eastAsia" w:ascii="宋体" w:hAnsi="宋体" w:eastAsia="宋体" w:cs="宋体"/>
                <w:sz w:val="16"/>
                <w:szCs w:val="16"/>
                <w:highlight w:val="none"/>
              </w:rPr>
            </w:pPr>
          </w:p>
        </w:tc>
      </w:tr>
      <w:tr w14:paraId="6E68E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532" w:type="dxa"/>
            <w:noWrap w:val="0"/>
            <w:vAlign w:val="center"/>
          </w:tcPr>
          <w:p w14:paraId="7A76ED3F">
            <w:pPr>
              <w:ind w:left="0" w:leftChars="0" w:firstLine="0" w:firstLineChars="0"/>
              <w:jc w:val="center"/>
              <w:rPr>
                <w:rFonts w:hint="default"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13</w:t>
            </w:r>
          </w:p>
        </w:tc>
        <w:tc>
          <w:tcPr>
            <w:tcW w:w="2039" w:type="dxa"/>
            <w:noWrap w:val="0"/>
            <w:vAlign w:val="center"/>
          </w:tcPr>
          <w:p w14:paraId="3329CBF1">
            <w:pPr>
              <w:ind w:left="0" w:leftChars="0" w:firstLine="0" w:firstLineChars="0"/>
              <w:jc w:val="center"/>
              <w:rPr>
                <w:rFonts w:hint="eastAsia" w:ascii="宋体" w:hAnsi="宋体" w:eastAsia="宋体" w:cs="宋体"/>
                <w:sz w:val="24"/>
                <w:szCs w:val="20"/>
                <w:highlight w:val="none"/>
              </w:rPr>
            </w:pPr>
            <w:r>
              <w:rPr>
                <w:rFonts w:hint="eastAsia" w:ascii="宋体" w:hAnsi="宋体" w:eastAsia="宋体" w:cs="宋体"/>
                <w:sz w:val="24"/>
                <w:szCs w:val="20"/>
                <w:highlight w:val="none"/>
              </w:rPr>
              <w:t>不参与围标串标承诺书</w:t>
            </w:r>
          </w:p>
        </w:tc>
        <w:tc>
          <w:tcPr>
            <w:tcW w:w="5928" w:type="dxa"/>
            <w:noWrap w:val="0"/>
            <w:vAlign w:val="center"/>
          </w:tcPr>
          <w:p w14:paraId="54BB55A2">
            <w:pPr>
              <w:ind w:left="0" w:leftChars="0" w:firstLine="0" w:firstLineChars="0"/>
              <w:jc w:val="left"/>
              <w:rPr>
                <w:rFonts w:hint="eastAsia" w:ascii="宋体" w:hAnsi="宋体" w:eastAsia="宋体" w:cs="宋体"/>
                <w:sz w:val="24"/>
                <w:szCs w:val="20"/>
                <w:highlight w:val="none"/>
              </w:rPr>
            </w:pPr>
            <w:r>
              <w:rPr>
                <w:rFonts w:hint="eastAsia" w:ascii="宋体" w:hAnsi="宋体" w:eastAsia="宋体" w:cs="宋体"/>
                <w:sz w:val="24"/>
                <w:szCs w:val="20"/>
                <w:highlight w:val="none"/>
              </w:rPr>
              <w:t>提供承诺书</w:t>
            </w:r>
          </w:p>
        </w:tc>
        <w:tc>
          <w:tcPr>
            <w:tcW w:w="1001" w:type="dxa"/>
            <w:noWrap w:val="0"/>
            <w:vAlign w:val="center"/>
          </w:tcPr>
          <w:p w14:paraId="5E3EF264">
            <w:pPr>
              <w:spacing w:line="440" w:lineRule="exact"/>
              <w:jc w:val="left"/>
              <w:rPr>
                <w:rFonts w:hint="eastAsia" w:ascii="仿宋_GB2312" w:hAnsi="仿宋_GB2312" w:eastAsia="仿宋_GB2312" w:cs="仿宋_GB2312"/>
                <w:sz w:val="18"/>
                <w:szCs w:val="18"/>
                <w:highlight w:val="none"/>
              </w:rPr>
            </w:pPr>
          </w:p>
        </w:tc>
      </w:tr>
      <w:tr w14:paraId="47DD0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532" w:type="dxa"/>
            <w:noWrap w:val="0"/>
            <w:vAlign w:val="center"/>
          </w:tcPr>
          <w:p w14:paraId="6875328B">
            <w:pPr>
              <w:ind w:left="0" w:leftChars="0" w:firstLine="0" w:firstLineChars="0"/>
              <w:jc w:val="center"/>
              <w:rPr>
                <w:rFonts w:hint="default"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14</w:t>
            </w:r>
          </w:p>
        </w:tc>
        <w:tc>
          <w:tcPr>
            <w:tcW w:w="2039" w:type="dxa"/>
            <w:noWrap w:val="0"/>
            <w:vAlign w:val="center"/>
          </w:tcPr>
          <w:p w14:paraId="0824325A">
            <w:pPr>
              <w:ind w:left="0" w:leftChars="0" w:firstLine="0" w:firstLineChars="0"/>
              <w:jc w:val="center"/>
              <w:rPr>
                <w:rFonts w:hint="eastAsia"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承诺书</w:t>
            </w:r>
          </w:p>
        </w:tc>
        <w:tc>
          <w:tcPr>
            <w:tcW w:w="5928" w:type="dxa"/>
            <w:noWrap w:val="0"/>
            <w:vAlign w:val="center"/>
          </w:tcPr>
          <w:p w14:paraId="772254F8">
            <w:pPr>
              <w:ind w:left="0" w:leftChars="0" w:firstLine="0" w:firstLineChars="0"/>
              <w:jc w:val="left"/>
              <w:rPr>
                <w:rFonts w:hint="eastAsia" w:ascii="宋体" w:hAnsi="宋体" w:eastAsia="宋体" w:cs="宋体"/>
                <w:sz w:val="24"/>
                <w:szCs w:val="20"/>
                <w:highlight w:val="none"/>
              </w:rPr>
            </w:pPr>
            <w:r>
              <w:rPr>
                <w:rFonts w:hint="eastAsia" w:ascii="宋体" w:hAnsi="宋体" w:eastAsia="宋体" w:cs="宋体"/>
                <w:sz w:val="24"/>
                <w:szCs w:val="20"/>
                <w:highlight w:val="none"/>
              </w:rPr>
              <w:t>提供针对本次项目《反商业贿赂承诺书》</w:t>
            </w:r>
          </w:p>
        </w:tc>
        <w:tc>
          <w:tcPr>
            <w:tcW w:w="1001" w:type="dxa"/>
            <w:noWrap w:val="0"/>
            <w:vAlign w:val="center"/>
          </w:tcPr>
          <w:p w14:paraId="08CE7474">
            <w:pPr>
              <w:spacing w:line="440" w:lineRule="exact"/>
              <w:jc w:val="left"/>
              <w:rPr>
                <w:rFonts w:hint="eastAsia" w:ascii="仿宋_GB2312" w:hAnsi="仿宋_GB2312" w:eastAsia="仿宋_GB2312" w:cs="仿宋_GB2312"/>
                <w:sz w:val="18"/>
                <w:szCs w:val="18"/>
                <w:highlight w:val="none"/>
              </w:rPr>
            </w:pPr>
          </w:p>
        </w:tc>
      </w:tr>
      <w:tr w14:paraId="28B07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532" w:type="dxa"/>
            <w:noWrap w:val="0"/>
            <w:vAlign w:val="center"/>
          </w:tcPr>
          <w:p w14:paraId="2E66F17D">
            <w:pPr>
              <w:ind w:left="0" w:leftChars="0" w:firstLine="0" w:firstLineChars="0"/>
              <w:jc w:val="center"/>
              <w:rPr>
                <w:rFonts w:hint="default"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15</w:t>
            </w:r>
          </w:p>
        </w:tc>
        <w:tc>
          <w:tcPr>
            <w:tcW w:w="2039" w:type="dxa"/>
            <w:noWrap w:val="0"/>
            <w:vAlign w:val="center"/>
          </w:tcPr>
          <w:p w14:paraId="21509FDA">
            <w:pPr>
              <w:ind w:left="0" w:leftChars="0" w:firstLine="0" w:firstLineChars="0"/>
              <w:jc w:val="center"/>
              <w:rPr>
                <w:rFonts w:hint="default"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联合体投标</w:t>
            </w:r>
          </w:p>
        </w:tc>
        <w:tc>
          <w:tcPr>
            <w:tcW w:w="5928" w:type="dxa"/>
            <w:noWrap w:val="0"/>
            <w:vAlign w:val="center"/>
          </w:tcPr>
          <w:p w14:paraId="3B658D68">
            <w:pPr>
              <w:ind w:left="0" w:leftChars="0" w:firstLine="0" w:firstLineChars="0"/>
              <w:jc w:val="left"/>
              <w:rPr>
                <w:rFonts w:hint="default"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是否提供联合体协议书</w:t>
            </w:r>
          </w:p>
        </w:tc>
        <w:tc>
          <w:tcPr>
            <w:tcW w:w="1001" w:type="dxa"/>
            <w:noWrap w:val="0"/>
            <w:vAlign w:val="center"/>
          </w:tcPr>
          <w:p w14:paraId="6A8E943E">
            <w:pPr>
              <w:spacing w:line="440" w:lineRule="exact"/>
              <w:jc w:val="left"/>
              <w:rPr>
                <w:rFonts w:hint="eastAsia" w:ascii="仿宋_GB2312" w:hAnsi="仿宋_GB2312" w:eastAsia="仿宋_GB2312" w:cs="仿宋_GB2312"/>
                <w:sz w:val="18"/>
                <w:szCs w:val="18"/>
                <w:highlight w:val="none"/>
              </w:rPr>
            </w:pPr>
          </w:p>
        </w:tc>
      </w:tr>
    </w:tbl>
    <w:p w14:paraId="6C3DD870">
      <w:pPr>
        <w:numPr>
          <w:ilvl w:val="0"/>
          <w:numId w:val="0"/>
        </w:numPr>
        <w:jc w:val="left"/>
        <w:rPr>
          <w:rFonts w:hint="eastAsia" w:cs="宋体"/>
          <w:szCs w:val="28"/>
          <w:highlight w:val="none"/>
        </w:rPr>
      </w:pPr>
    </w:p>
    <w:p w14:paraId="31852D14">
      <w:pPr>
        <w:rPr>
          <w:rFonts w:hint="eastAsia" w:ascii="宋体" w:hAnsi="宋体" w:eastAsia="宋体" w:cs="宋体"/>
          <w:b/>
          <w:sz w:val="24"/>
          <w:highlight w:val="none"/>
        </w:rPr>
      </w:pPr>
      <w:r>
        <w:rPr>
          <w:rFonts w:hint="eastAsia" w:ascii="宋体" w:hAnsi="宋体" w:eastAsia="宋体" w:cs="宋体"/>
          <w:b/>
          <w:sz w:val="24"/>
          <w:highlight w:val="none"/>
        </w:rPr>
        <w:t>符合性审查</w:t>
      </w:r>
    </w:p>
    <w:tbl>
      <w:tblPr>
        <w:tblStyle w:val="16"/>
        <w:tblpPr w:leftFromText="180" w:rightFromText="180" w:vertAnchor="text" w:horzAnchor="page" w:tblpXSpec="center" w:tblpY="84"/>
        <w:tblOverlap w:val="never"/>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60"/>
        <w:gridCol w:w="508"/>
        <w:gridCol w:w="5716"/>
        <w:gridCol w:w="1185"/>
        <w:gridCol w:w="1075"/>
      </w:tblGrid>
      <w:tr w14:paraId="0F0AA0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860" w:type="dxa"/>
            <w:vMerge w:val="restart"/>
            <w:noWrap w:val="0"/>
            <w:vAlign w:val="center"/>
          </w:tcPr>
          <w:p w14:paraId="5621F8C8">
            <w:pPr>
              <w:ind w:left="0" w:leftChars="0" w:firstLine="0" w:firstLineChars="0"/>
              <w:jc w:val="both"/>
              <w:rPr>
                <w:rFonts w:hint="eastAsia" w:ascii="宋体" w:hAnsi="宋体" w:eastAsia="宋体" w:cs="宋体"/>
                <w:b/>
                <w:bCs/>
                <w:szCs w:val="21"/>
                <w:highlight w:val="none"/>
                <w:lang w:eastAsia="zh-CN"/>
              </w:rPr>
            </w:pPr>
          </w:p>
        </w:tc>
        <w:tc>
          <w:tcPr>
            <w:tcW w:w="6224" w:type="dxa"/>
            <w:gridSpan w:val="2"/>
            <w:vMerge w:val="restart"/>
            <w:noWrap w:val="0"/>
            <w:vAlign w:val="center"/>
          </w:tcPr>
          <w:p w14:paraId="7EBE8930">
            <w:pPr>
              <w:jc w:val="center"/>
              <w:rPr>
                <w:rFonts w:hint="eastAsia" w:ascii="宋体" w:hAnsi="宋体" w:eastAsia="宋体" w:cs="宋体"/>
                <w:b/>
                <w:bCs/>
                <w:szCs w:val="21"/>
                <w:highlight w:val="none"/>
                <w:lang w:eastAsia="zh-CN"/>
              </w:rPr>
            </w:pPr>
            <w:r>
              <w:rPr>
                <w:rFonts w:hint="eastAsia" w:ascii="宋体" w:hAnsi="宋体" w:eastAsia="宋体" w:cs="宋体"/>
                <w:b/>
                <w:bCs/>
                <w:szCs w:val="21"/>
                <w:highlight w:val="none"/>
                <w:lang w:eastAsia="zh-CN"/>
              </w:rPr>
              <w:t>评审内容</w:t>
            </w:r>
          </w:p>
        </w:tc>
        <w:tc>
          <w:tcPr>
            <w:tcW w:w="2260" w:type="dxa"/>
            <w:gridSpan w:val="2"/>
            <w:noWrap w:val="0"/>
            <w:vAlign w:val="center"/>
          </w:tcPr>
          <w:p w14:paraId="2AF178EE">
            <w:pPr>
              <w:ind w:left="0" w:leftChars="0" w:firstLine="0" w:firstLineChars="0"/>
              <w:jc w:val="center"/>
              <w:rPr>
                <w:rFonts w:hint="eastAsia" w:ascii="宋体" w:hAnsi="宋体" w:eastAsia="宋体" w:cs="宋体"/>
                <w:b/>
                <w:bCs/>
                <w:szCs w:val="21"/>
                <w:highlight w:val="none"/>
                <w:lang w:eastAsia="zh-CN"/>
              </w:rPr>
            </w:pPr>
            <w:r>
              <w:rPr>
                <w:rFonts w:hint="eastAsia" w:ascii="宋体" w:hAnsi="宋体" w:eastAsia="宋体" w:cs="宋体"/>
                <w:b/>
                <w:bCs/>
                <w:szCs w:val="21"/>
                <w:highlight w:val="none"/>
                <w:lang w:eastAsia="zh-CN"/>
              </w:rPr>
              <w:t>评审意见</w:t>
            </w:r>
          </w:p>
        </w:tc>
      </w:tr>
      <w:tr w14:paraId="30EAA8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5" w:hRule="atLeast"/>
          <w:jc w:val="center"/>
        </w:trPr>
        <w:tc>
          <w:tcPr>
            <w:tcW w:w="860" w:type="dxa"/>
            <w:vMerge w:val="continue"/>
            <w:noWrap w:val="0"/>
            <w:vAlign w:val="center"/>
          </w:tcPr>
          <w:p w14:paraId="6C99E82D">
            <w:pPr>
              <w:jc w:val="center"/>
              <w:rPr>
                <w:rFonts w:hint="eastAsia" w:ascii="宋体" w:hAnsi="宋体" w:eastAsia="宋体" w:cs="宋体"/>
                <w:b/>
                <w:bCs/>
                <w:szCs w:val="21"/>
                <w:highlight w:val="none"/>
                <w:lang w:eastAsia="zh-CN"/>
              </w:rPr>
            </w:pPr>
          </w:p>
        </w:tc>
        <w:tc>
          <w:tcPr>
            <w:tcW w:w="6224" w:type="dxa"/>
            <w:gridSpan w:val="2"/>
            <w:vMerge w:val="continue"/>
            <w:noWrap w:val="0"/>
            <w:vAlign w:val="center"/>
          </w:tcPr>
          <w:p w14:paraId="06576385">
            <w:pPr>
              <w:jc w:val="center"/>
              <w:rPr>
                <w:rFonts w:hint="eastAsia" w:ascii="宋体" w:hAnsi="宋体" w:eastAsia="宋体" w:cs="宋体"/>
                <w:b/>
                <w:bCs/>
                <w:szCs w:val="21"/>
                <w:highlight w:val="none"/>
                <w:lang w:eastAsia="zh-CN"/>
              </w:rPr>
            </w:pPr>
          </w:p>
        </w:tc>
        <w:tc>
          <w:tcPr>
            <w:tcW w:w="2260" w:type="dxa"/>
            <w:gridSpan w:val="2"/>
            <w:noWrap w:val="0"/>
            <w:vAlign w:val="center"/>
          </w:tcPr>
          <w:p w14:paraId="1B777836">
            <w:pPr>
              <w:ind w:left="0" w:leftChars="0" w:firstLine="0" w:firstLineChars="0"/>
              <w:jc w:val="center"/>
              <w:rPr>
                <w:rFonts w:hint="eastAsia" w:ascii="宋体" w:hAnsi="宋体" w:eastAsia="宋体" w:cs="宋体"/>
                <w:b/>
                <w:bCs/>
                <w:szCs w:val="21"/>
                <w:highlight w:val="none"/>
                <w:lang w:eastAsia="zh-CN"/>
              </w:rPr>
            </w:pPr>
            <w:r>
              <w:rPr>
                <w:rFonts w:hint="eastAsia" w:ascii="宋体" w:hAnsi="宋体" w:eastAsia="宋体" w:cs="宋体"/>
                <w:b/>
                <w:bCs/>
                <w:szCs w:val="21"/>
                <w:highlight w:val="none"/>
                <w:lang w:eastAsia="zh-CN"/>
              </w:rPr>
              <w:t>投标人A.</w:t>
            </w:r>
          </w:p>
        </w:tc>
      </w:tr>
      <w:tr w14:paraId="507181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2" w:hRule="atLeast"/>
          <w:jc w:val="center"/>
        </w:trPr>
        <w:tc>
          <w:tcPr>
            <w:tcW w:w="860" w:type="dxa"/>
            <w:vMerge w:val="continue"/>
            <w:noWrap w:val="0"/>
            <w:vAlign w:val="center"/>
          </w:tcPr>
          <w:p w14:paraId="3588D35A">
            <w:pPr>
              <w:jc w:val="center"/>
              <w:rPr>
                <w:rFonts w:hint="eastAsia" w:ascii="宋体" w:hAnsi="宋体" w:eastAsia="宋体" w:cs="宋体"/>
                <w:b/>
                <w:bCs/>
                <w:szCs w:val="21"/>
                <w:highlight w:val="none"/>
                <w:lang w:eastAsia="zh-CN"/>
              </w:rPr>
            </w:pPr>
          </w:p>
        </w:tc>
        <w:tc>
          <w:tcPr>
            <w:tcW w:w="6224" w:type="dxa"/>
            <w:gridSpan w:val="2"/>
            <w:vMerge w:val="continue"/>
            <w:noWrap w:val="0"/>
            <w:vAlign w:val="top"/>
          </w:tcPr>
          <w:p w14:paraId="5ECAD26C">
            <w:pPr>
              <w:jc w:val="center"/>
              <w:rPr>
                <w:rFonts w:hint="eastAsia" w:ascii="宋体" w:hAnsi="宋体" w:eastAsia="宋体" w:cs="宋体"/>
                <w:b/>
                <w:bCs/>
                <w:szCs w:val="21"/>
                <w:highlight w:val="none"/>
                <w:lang w:eastAsia="zh-CN"/>
              </w:rPr>
            </w:pPr>
          </w:p>
        </w:tc>
        <w:tc>
          <w:tcPr>
            <w:tcW w:w="1185" w:type="dxa"/>
            <w:noWrap w:val="0"/>
            <w:vAlign w:val="center"/>
          </w:tcPr>
          <w:p w14:paraId="3532F0A0">
            <w:pPr>
              <w:ind w:left="0" w:leftChars="0" w:firstLine="0" w:firstLineChars="0"/>
              <w:jc w:val="center"/>
              <w:rPr>
                <w:rFonts w:hint="eastAsia" w:ascii="宋体" w:hAnsi="宋体" w:eastAsia="宋体" w:cs="宋体"/>
                <w:b/>
                <w:bCs/>
                <w:szCs w:val="21"/>
                <w:highlight w:val="none"/>
                <w:lang w:eastAsia="zh-CN"/>
              </w:rPr>
            </w:pPr>
            <w:r>
              <w:rPr>
                <w:rFonts w:hint="eastAsia" w:ascii="宋体" w:hAnsi="宋体" w:eastAsia="宋体" w:cs="宋体"/>
                <w:b/>
                <w:bCs/>
                <w:szCs w:val="21"/>
                <w:highlight w:val="none"/>
                <w:lang w:eastAsia="zh-CN"/>
              </w:rPr>
              <w:t>是</w:t>
            </w:r>
          </w:p>
        </w:tc>
        <w:tc>
          <w:tcPr>
            <w:tcW w:w="1075" w:type="dxa"/>
            <w:noWrap w:val="0"/>
            <w:vAlign w:val="center"/>
          </w:tcPr>
          <w:p w14:paraId="0F2A0ED8">
            <w:pPr>
              <w:ind w:left="0" w:leftChars="0" w:firstLine="0" w:firstLineChars="0"/>
              <w:jc w:val="center"/>
              <w:rPr>
                <w:rFonts w:hint="eastAsia" w:ascii="宋体" w:hAnsi="宋体" w:eastAsia="宋体" w:cs="宋体"/>
                <w:b/>
                <w:bCs/>
                <w:szCs w:val="21"/>
                <w:highlight w:val="none"/>
                <w:lang w:eastAsia="zh-CN"/>
              </w:rPr>
            </w:pPr>
            <w:r>
              <w:rPr>
                <w:rFonts w:hint="eastAsia" w:ascii="宋体" w:hAnsi="宋体" w:eastAsia="宋体" w:cs="宋体"/>
                <w:b/>
                <w:bCs/>
                <w:szCs w:val="21"/>
                <w:highlight w:val="none"/>
                <w:lang w:eastAsia="zh-CN"/>
              </w:rPr>
              <w:t>否</w:t>
            </w:r>
          </w:p>
        </w:tc>
      </w:tr>
      <w:tr w14:paraId="6087CE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860" w:type="dxa"/>
            <w:vMerge w:val="continue"/>
            <w:noWrap w:val="0"/>
            <w:textDirection w:val="tbRlV"/>
            <w:vAlign w:val="center"/>
          </w:tcPr>
          <w:p w14:paraId="1BE1A978">
            <w:pPr>
              <w:ind w:left="0" w:leftChars="0" w:firstLine="0" w:firstLineChars="0"/>
              <w:jc w:val="left"/>
              <w:rPr>
                <w:rFonts w:hint="eastAsia" w:ascii="宋体" w:hAnsi="宋体" w:eastAsia="宋体" w:cs="宋体"/>
                <w:sz w:val="24"/>
                <w:szCs w:val="20"/>
                <w:highlight w:val="none"/>
                <w:lang w:eastAsia="zh-CN"/>
              </w:rPr>
            </w:pPr>
          </w:p>
        </w:tc>
        <w:tc>
          <w:tcPr>
            <w:tcW w:w="508" w:type="dxa"/>
            <w:noWrap w:val="0"/>
            <w:vAlign w:val="center"/>
          </w:tcPr>
          <w:p w14:paraId="5DE7D349">
            <w:pPr>
              <w:ind w:left="0" w:leftChars="0" w:firstLine="0" w:firstLineChars="0"/>
              <w:jc w:val="left"/>
              <w:rPr>
                <w:rFonts w:hint="default"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1</w:t>
            </w:r>
          </w:p>
        </w:tc>
        <w:tc>
          <w:tcPr>
            <w:tcW w:w="5716" w:type="dxa"/>
            <w:noWrap w:val="0"/>
            <w:vAlign w:val="center"/>
          </w:tcPr>
          <w:p w14:paraId="271E14AA">
            <w:pPr>
              <w:ind w:left="0" w:leftChars="0" w:firstLine="0" w:firstLineChars="0"/>
              <w:jc w:val="left"/>
              <w:rPr>
                <w:rFonts w:hint="eastAsia" w:ascii="宋体" w:hAnsi="宋体" w:eastAsia="宋体" w:cs="宋体"/>
                <w:sz w:val="24"/>
                <w:szCs w:val="20"/>
                <w:highlight w:val="none"/>
                <w:lang w:eastAsia="zh-CN"/>
              </w:rPr>
            </w:pPr>
            <w:r>
              <w:rPr>
                <w:rFonts w:hint="eastAsia" w:ascii="宋体" w:hAnsi="宋体" w:eastAsia="宋体" w:cs="宋体"/>
                <w:sz w:val="24"/>
                <w:szCs w:val="20"/>
                <w:highlight w:val="none"/>
                <w:lang w:eastAsia="zh-CN"/>
              </w:rPr>
              <w:t>响应文件是否具有单位法定代表人或其授权代表签字（章）和加盖投标单位公章的；</w:t>
            </w:r>
          </w:p>
        </w:tc>
        <w:tc>
          <w:tcPr>
            <w:tcW w:w="1185" w:type="dxa"/>
            <w:noWrap w:val="0"/>
            <w:vAlign w:val="center"/>
          </w:tcPr>
          <w:p w14:paraId="04703F44">
            <w:pPr>
              <w:ind w:left="0" w:leftChars="0" w:firstLine="0" w:firstLineChars="0"/>
              <w:jc w:val="left"/>
              <w:rPr>
                <w:rFonts w:hint="eastAsia" w:ascii="宋体" w:hAnsi="宋体" w:eastAsia="宋体" w:cs="宋体"/>
                <w:sz w:val="24"/>
                <w:szCs w:val="20"/>
                <w:highlight w:val="none"/>
                <w:lang w:eastAsia="zh-CN"/>
              </w:rPr>
            </w:pPr>
          </w:p>
        </w:tc>
        <w:tc>
          <w:tcPr>
            <w:tcW w:w="1075" w:type="dxa"/>
            <w:noWrap w:val="0"/>
            <w:vAlign w:val="center"/>
          </w:tcPr>
          <w:p w14:paraId="4F76B1FC">
            <w:pPr>
              <w:ind w:left="0" w:leftChars="0" w:firstLine="0" w:firstLineChars="0"/>
              <w:jc w:val="left"/>
              <w:rPr>
                <w:rFonts w:hint="eastAsia" w:ascii="宋体" w:hAnsi="宋体" w:eastAsia="宋体" w:cs="宋体"/>
                <w:sz w:val="24"/>
                <w:szCs w:val="20"/>
                <w:highlight w:val="none"/>
                <w:lang w:eastAsia="zh-CN"/>
              </w:rPr>
            </w:pPr>
          </w:p>
        </w:tc>
      </w:tr>
      <w:tr w14:paraId="0BE6A3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860" w:type="dxa"/>
            <w:vMerge w:val="continue"/>
            <w:noWrap w:val="0"/>
            <w:textDirection w:val="tbRlV"/>
            <w:vAlign w:val="center"/>
          </w:tcPr>
          <w:p w14:paraId="5E4AC294">
            <w:pPr>
              <w:ind w:left="0" w:leftChars="0" w:firstLine="0" w:firstLineChars="0"/>
              <w:jc w:val="left"/>
              <w:rPr>
                <w:rFonts w:hint="eastAsia" w:ascii="宋体" w:hAnsi="宋体" w:eastAsia="宋体" w:cs="宋体"/>
                <w:sz w:val="24"/>
                <w:szCs w:val="20"/>
                <w:highlight w:val="none"/>
                <w:lang w:eastAsia="zh-CN"/>
              </w:rPr>
            </w:pPr>
          </w:p>
        </w:tc>
        <w:tc>
          <w:tcPr>
            <w:tcW w:w="508" w:type="dxa"/>
            <w:noWrap w:val="0"/>
            <w:vAlign w:val="center"/>
          </w:tcPr>
          <w:p w14:paraId="0CD8EAC0">
            <w:pPr>
              <w:ind w:left="0" w:leftChars="0" w:firstLine="0" w:firstLineChars="0"/>
              <w:jc w:val="left"/>
              <w:rPr>
                <w:rFonts w:hint="default"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2</w:t>
            </w:r>
          </w:p>
        </w:tc>
        <w:tc>
          <w:tcPr>
            <w:tcW w:w="5716" w:type="dxa"/>
            <w:noWrap w:val="0"/>
            <w:vAlign w:val="center"/>
          </w:tcPr>
          <w:p w14:paraId="5B37F4B7">
            <w:pPr>
              <w:ind w:left="0" w:leftChars="0" w:firstLine="0" w:firstLineChars="0"/>
              <w:jc w:val="left"/>
              <w:rPr>
                <w:rFonts w:hint="eastAsia" w:ascii="宋体" w:hAnsi="宋体" w:eastAsia="宋体" w:cs="宋体"/>
                <w:sz w:val="24"/>
                <w:szCs w:val="20"/>
                <w:highlight w:val="none"/>
                <w:lang w:eastAsia="zh-CN"/>
              </w:rPr>
            </w:pPr>
            <w:r>
              <w:rPr>
                <w:rFonts w:hint="eastAsia" w:ascii="宋体" w:hAnsi="宋体" w:eastAsia="宋体" w:cs="宋体"/>
                <w:sz w:val="24"/>
                <w:szCs w:val="20"/>
                <w:highlight w:val="none"/>
                <w:lang w:eastAsia="zh-CN"/>
              </w:rPr>
              <w:t>投标的工期没有超过采购文件规定的期限</w:t>
            </w:r>
          </w:p>
        </w:tc>
        <w:tc>
          <w:tcPr>
            <w:tcW w:w="1185" w:type="dxa"/>
            <w:noWrap w:val="0"/>
            <w:vAlign w:val="center"/>
          </w:tcPr>
          <w:p w14:paraId="14FBF1AE">
            <w:pPr>
              <w:ind w:left="0" w:leftChars="0" w:firstLine="0" w:firstLineChars="0"/>
              <w:jc w:val="left"/>
              <w:rPr>
                <w:rFonts w:hint="eastAsia" w:ascii="宋体" w:hAnsi="宋体" w:eastAsia="宋体" w:cs="宋体"/>
                <w:sz w:val="24"/>
                <w:szCs w:val="20"/>
                <w:highlight w:val="none"/>
                <w:lang w:eastAsia="zh-CN"/>
              </w:rPr>
            </w:pPr>
          </w:p>
        </w:tc>
        <w:tc>
          <w:tcPr>
            <w:tcW w:w="1075" w:type="dxa"/>
            <w:noWrap w:val="0"/>
            <w:vAlign w:val="center"/>
          </w:tcPr>
          <w:p w14:paraId="129B7862">
            <w:pPr>
              <w:ind w:left="0" w:leftChars="0" w:firstLine="0" w:firstLineChars="0"/>
              <w:jc w:val="left"/>
              <w:rPr>
                <w:rFonts w:hint="eastAsia" w:ascii="宋体" w:hAnsi="宋体" w:eastAsia="宋体" w:cs="宋体"/>
                <w:sz w:val="24"/>
                <w:szCs w:val="20"/>
                <w:highlight w:val="none"/>
                <w:lang w:eastAsia="zh-CN"/>
              </w:rPr>
            </w:pPr>
          </w:p>
        </w:tc>
      </w:tr>
      <w:tr w14:paraId="6DE4AC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5" w:hRule="atLeast"/>
          <w:jc w:val="center"/>
        </w:trPr>
        <w:tc>
          <w:tcPr>
            <w:tcW w:w="860" w:type="dxa"/>
            <w:vMerge w:val="continue"/>
            <w:noWrap w:val="0"/>
            <w:vAlign w:val="center"/>
          </w:tcPr>
          <w:p w14:paraId="31F94C71">
            <w:pPr>
              <w:ind w:left="0" w:leftChars="0" w:firstLine="0" w:firstLineChars="0"/>
              <w:jc w:val="left"/>
              <w:rPr>
                <w:rFonts w:hint="eastAsia" w:ascii="宋体" w:hAnsi="宋体" w:eastAsia="宋体" w:cs="宋体"/>
                <w:sz w:val="24"/>
                <w:szCs w:val="20"/>
                <w:highlight w:val="none"/>
                <w:lang w:eastAsia="zh-CN"/>
              </w:rPr>
            </w:pPr>
          </w:p>
        </w:tc>
        <w:tc>
          <w:tcPr>
            <w:tcW w:w="508" w:type="dxa"/>
            <w:tcBorders>
              <w:bottom w:val="single" w:color="auto" w:sz="4" w:space="0"/>
            </w:tcBorders>
            <w:noWrap w:val="0"/>
            <w:vAlign w:val="center"/>
          </w:tcPr>
          <w:p w14:paraId="00A86A04">
            <w:pPr>
              <w:ind w:left="0" w:leftChars="0" w:firstLine="0" w:firstLineChars="0"/>
              <w:jc w:val="left"/>
              <w:rPr>
                <w:rFonts w:hint="default"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3</w:t>
            </w:r>
          </w:p>
        </w:tc>
        <w:tc>
          <w:tcPr>
            <w:tcW w:w="5716" w:type="dxa"/>
            <w:tcBorders>
              <w:bottom w:val="single" w:color="auto" w:sz="4" w:space="0"/>
            </w:tcBorders>
            <w:noWrap w:val="0"/>
            <w:vAlign w:val="center"/>
          </w:tcPr>
          <w:p w14:paraId="0776B239">
            <w:pPr>
              <w:ind w:left="0" w:leftChars="0" w:firstLine="0" w:firstLineChars="0"/>
              <w:jc w:val="left"/>
              <w:rPr>
                <w:rFonts w:hint="eastAsia" w:ascii="宋体" w:hAnsi="宋体" w:eastAsia="宋体" w:cs="宋体"/>
                <w:sz w:val="24"/>
                <w:szCs w:val="20"/>
                <w:highlight w:val="none"/>
                <w:lang w:eastAsia="zh-CN"/>
              </w:rPr>
            </w:pPr>
            <w:r>
              <w:rPr>
                <w:rFonts w:hint="eastAsia" w:ascii="宋体" w:hAnsi="宋体" w:eastAsia="宋体" w:cs="宋体"/>
                <w:sz w:val="24"/>
                <w:szCs w:val="20"/>
                <w:highlight w:val="none"/>
                <w:lang w:eastAsia="zh-CN"/>
              </w:rPr>
              <w:t>是否按采购文件规定的格式填写，内容全或关键字迹清晰且可辨认；</w:t>
            </w:r>
          </w:p>
        </w:tc>
        <w:tc>
          <w:tcPr>
            <w:tcW w:w="1185" w:type="dxa"/>
            <w:tcBorders>
              <w:bottom w:val="single" w:color="auto" w:sz="4" w:space="0"/>
            </w:tcBorders>
            <w:noWrap w:val="0"/>
            <w:vAlign w:val="center"/>
          </w:tcPr>
          <w:p w14:paraId="1D9402DF">
            <w:pPr>
              <w:ind w:left="0" w:leftChars="0" w:firstLine="0" w:firstLineChars="0"/>
              <w:jc w:val="left"/>
              <w:rPr>
                <w:rFonts w:hint="eastAsia" w:ascii="宋体" w:hAnsi="宋体" w:eastAsia="宋体" w:cs="宋体"/>
                <w:sz w:val="24"/>
                <w:szCs w:val="20"/>
                <w:highlight w:val="none"/>
                <w:lang w:eastAsia="zh-CN"/>
              </w:rPr>
            </w:pPr>
          </w:p>
        </w:tc>
        <w:tc>
          <w:tcPr>
            <w:tcW w:w="1075" w:type="dxa"/>
            <w:tcBorders>
              <w:bottom w:val="single" w:color="auto" w:sz="4" w:space="0"/>
            </w:tcBorders>
            <w:noWrap w:val="0"/>
            <w:vAlign w:val="center"/>
          </w:tcPr>
          <w:p w14:paraId="4A6D4047">
            <w:pPr>
              <w:ind w:left="0" w:leftChars="0" w:firstLine="0" w:firstLineChars="0"/>
              <w:jc w:val="left"/>
              <w:rPr>
                <w:rFonts w:hint="eastAsia" w:ascii="宋体" w:hAnsi="宋体" w:eastAsia="宋体" w:cs="宋体"/>
                <w:sz w:val="24"/>
                <w:szCs w:val="20"/>
                <w:highlight w:val="none"/>
                <w:lang w:eastAsia="zh-CN"/>
              </w:rPr>
            </w:pPr>
          </w:p>
        </w:tc>
      </w:tr>
      <w:tr w14:paraId="457746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5" w:hRule="atLeast"/>
          <w:jc w:val="center"/>
        </w:trPr>
        <w:tc>
          <w:tcPr>
            <w:tcW w:w="860" w:type="dxa"/>
            <w:vMerge w:val="continue"/>
            <w:noWrap w:val="0"/>
            <w:vAlign w:val="center"/>
          </w:tcPr>
          <w:p w14:paraId="7EF6E7A7">
            <w:pPr>
              <w:ind w:left="0" w:leftChars="0" w:firstLine="0" w:firstLineChars="0"/>
              <w:jc w:val="left"/>
              <w:rPr>
                <w:rFonts w:hint="eastAsia" w:ascii="宋体" w:hAnsi="宋体" w:eastAsia="宋体" w:cs="宋体"/>
                <w:sz w:val="24"/>
                <w:szCs w:val="20"/>
                <w:highlight w:val="none"/>
                <w:lang w:eastAsia="zh-CN"/>
              </w:rPr>
            </w:pPr>
          </w:p>
        </w:tc>
        <w:tc>
          <w:tcPr>
            <w:tcW w:w="508" w:type="dxa"/>
            <w:tcBorders>
              <w:bottom w:val="single" w:color="auto" w:sz="4" w:space="0"/>
            </w:tcBorders>
            <w:noWrap w:val="0"/>
            <w:vAlign w:val="center"/>
          </w:tcPr>
          <w:p w14:paraId="2A1A429D">
            <w:pPr>
              <w:ind w:left="0" w:leftChars="0" w:firstLine="0" w:firstLineChars="0"/>
              <w:jc w:val="left"/>
              <w:rPr>
                <w:rFonts w:hint="default"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4</w:t>
            </w:r>
          </w:p>
        </w:tc>
        <w:tc>
          <w:tcPr>
            <w:tcW w:w="5716" w:type="dxa"/>
            <w:tcBorders>
              <w:bottom w:val="single" w:color="auto" w:sz="4" w:space="0"/>
            </w:tcBorders>
            <w:noWrap w:val="0"/>
            <w:vAlign w:val="center"/>
          </w:tcPr>
          <w:p w14:paraId="534D32A2">
            <w:pPr>
              <w:ind w:left="0" w:leftChars="0" w:firstLine="0" w:firstLineChars="0"/>
              <w:jc w:val="left"/>
              <w:rPr>
                <w:rFonts w:hint="eastAsia" w:ascii="宋体" w:hAnsi="宋体" w:eastAsia="宋体" w:cs="宋体"/>
                <w:sz w:val="24"/>
                <w:szCs w:val="20"/>
                <w:highlight w:val="none"/>
                <w:lang w:eastAsia="zh-CN"/>
              </w:rPr>
            </w:pPr>
            <w:r>
              <w:rPr>
                <w:rFonts w:hint="eastAsia" w:ascii="宋体" w:hAnsi="宋体" w:eastAsia="宋体" w:cs="宋体"/>
                <w:sz w:val="24"/>
                <w:szCs w:val="20"/>
                <w:highlight w:val="none"/>
                <w:lang w:eastAsia="zh-CN"/>
              </w:rPr>
              <w:t>投标报价没有高于设定的招标控制价；</w:t>
            </w:r>
          </w:p>
        </w:tc>
        <w:tc>
          <w:tcPr>
            <w:tcW w:w="1185" w:type="dxa"/>
            <w:tcBorders>
              <w:bottom w:val="single" w:color="auto" w:sz="4" w:space="0"/>
            </w:tcBorders>
            <w:noWrap w:val="0"/>
            <w:vAlign w:val="center"/>
          </w:tcPr>
          <w:p w14:paraId="663B5231">
            <w:pPr>
              <w:ind w:left="0" w:leftChars="0" w:firstLine="0" w:firstLineChars="0"/>
              <w:jc w:val="left"/>
              <w:rPr>
                <w:rFonts w:hint="eastAsia" w:ascii="宋体" w:hAnsi="宋体" w:eastAsia="宋体" w:cs="宋体"/>
                <w:sz w:val="24"/>
                <w:szCs w:val="20"/>
                <w:highlight w:val="none"/>
                <w:lang w:eastAsia="zh-CN"/>
              </w:rPr>
            </w:pPr>
          </w:p>
        </w:tc>
        <w:tc>
          <w:tcPr>
            <w:tcW w:w="1075" w:type="dxa"/>
            <w:tcBorders>
              <w:bottom w:val="single" w:color="auto" w:sz="4" w:space="0"/>
            </w:tcBorders>
            <w:noWrap w:val="0"/>
            <w:vAlign w:val="center"/>
          </w:tcPr>
          <w:p w14:paraId="487F28F9">
            <w:pPr>
              <w:ind w:left="0" w:leftChars="0" w:firstLine="0" w:firstLineChars="0"/>
              <w:jc w:val="left"/>
              <w:rPr>
                <w:rFonts w:hint="eastAsia" w:ascii="宋体" w:hAnsi="宋体" w:eastAsia="宋体" w:cs="宋体"/>
                <w:sz w:val="24"/>
                <w:szCs w:val="20"/>
                <w:highlight w:val="none"/>
                <w:lang w:eastAsia="zh-CN"/>
              </w:rPr>
            </w:pPr>
          </w:p>
        </w:tc>
      </w:tr>
      <w:tr w14:paraId="22700A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860" w:type="dxa"/>
            <w:vMerge w:val="continue"/>
            <w:noWrap w:val="0"/>
            <w:vAlign w:val="center"/>
          </w:tcPr>
          <w:p w14:paraId="4821DB9B">
            <w:pPr>
              <w:ind w:left="0" w:leftChars="0" w:firstLine="0" w:firstLineChars="0"/>
              <w:jc w:val="left"/>
              <w:rPr>
                <w:rFonts w:hint="eastAsia" w:ascii="宋体" w:hAnsi="宋体" w:eastAsia="宋体" w:cs="宋体"/>
                <w:sz w:val="24"/>
                <w:szCs w:val="20"/>
                <w:highlight w:val="none"/>
                <w:lang w:eastAsia="zh-CN"/>
              </w:rPr>
            </w:pPr>
          </w:p>
        </w:tc>
        <w:tc>
          <w:tcPr>
            <w:tcW w:w="508" w:type="dxa"/>
            <w:tcBorders>
              <w:bottom w:val="single" w:color="auto" w:sz="4" w:space="0"/>
            </w:tcBorders>
            <w:noWrap w:val="0"/>
            <w:vAlign w:val="center"/>
          </w:tcPr>
          <w:p w14:paraId="05387AFB">
            <w:pPr>
              <w:ind w:left="0" w:leftChars="0" w:firstLine="0" w:firstLineChars="0"/>
              <w:jc w:val="left"/>
              <w:rPr>
                <w:rFonts w:hint="default"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5</w:t>
            </w:r>
          </w:p>
        </w:tc>
        <w:tc>
          <w:tcPr>
            <w:tcW w:w="5716" w:type="dxa"/>
            <w:tcBorders>
              <w:bottom w:val="single" w:color="auto" w:sz="4" w:space="0"/>
            </w:tcBorders>
            <w:noWrap w:val="0"/>
            <w:vAlign w:val="center"/>
          </w:tcPr>
          <w:p w14:paraId="556CCE67">
            <w:pPr>
              <w:ind w:left="0" w:leftChars="0" w:firstLine="0" w:firstLineChars="0"/>
              <w:jc w:val="left"/>
              <w:rPr>
                <w:rFonts w:hint="eastAsia" w:ascii="宋体" w:hAnsi="宋体" w:eastAsia="宋体" w:cs="宋体"/>
                <w:sz w:val="24"/>
                <w:szCs w:val="20"/>
                <w:highlight w:val="none"/>
                <w:lang w:eastAsia="zh-CN"/>
              </w:rPr>
            </w:pPr>
            <w:r>
              <w:rPr>
                <w:rFonts w:hint="eastAsia" w:ascii="宋体" w:hAnsi="宋体" w:eastAsia="宋体" w:cs="宋体"/>
                <w:sz w:val="24"/>
                <w:szCs w:val="20"/>
                <w:highlight w:val="none"/>
                <w:lang w:eastAsia="zh-CN"/>
              </w:rPr>
              <w:t>供应商对同一采购项目没有作出两个以上报价未明确效力；</w:t>
            </w:r>
          </w:p>
        </w:tc>
        <w:tc>
          <w:tcPr>
            <w:tcW w:w="1185" w:type="dxa"/>
            <w:tcBorders>
              <w:bottom w:val="single" w:color="auto" w:sz="4" w:space="0"/>
            </w:tcBorders>
            <w:noWrap w:val="0"/>
            <w:vAlign w:val="center"/>
          </w:tcPr>
          <w:p w14:paraId="505A8DBE">
            <w:pPr>
              <w:ind w:left="0" w:leftChars="0" w:firstLine="0" w:firstLineChars="0"/>
              <w:jc w:val="left"/>
              <w:rPr>
                <w:rFonts w:hint="eastAsia" w:ascii="宋体" w:hAnsi="宋体" w:eastAsia="宋体" w:cs="宋体"/>
                <w:sz w:val="24"/>
                <w:szCs w:val="20"/>
                <w:highlight w:val="none"/>
                <w:lang w:eastAsia="zh-CN"/>
              </w:rPr>
            </w:pPr>
          </w:p>
        </w:tc>
        <w:tc>
          <w:tcPr>
            <w:tcW w:w="1075" w:type="dxa"/>
            <w:tcBorders>
              <w:bottom w:val="single" w:color="auto" w:sz="4" w:space="0"/>
            </w:tcBorders>
            <w:noWrap w:val="0"/>
            <w:vAlign w:val="center"/>
          </w:tcPr>
          <w:p w14:paraId="4BC20352">
            <w:pPr>
              <w:ind w:left="0" w:leftChars="0" w:firstLine="0" w:firstLineChars="0"/>
              <w:jc w:val="left"/>
              <w:rPr>
                <w:rFonts w:hint="eastAsia" w:ascii="宋体" w:hAnsi="宋体" w:eastAsia="宋体" w:cs="宋体"/>
                <w:sz w:val="24"/>
                <w:szCs w:val="20"/>
                <w:highlight w:val="none"/>
                <w:lang w:eastAsia="zh-CN"/>
              </w:rPr>
            </w:pPr>
          </w:p>
        </w:tc>
      </w:tr>
      <w:tr w14:paraId="3A5A78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860" w:type="dxa"/>
            <w:vMerge w:val="continue"/>
            <w:noWrap w:val="0"/>
            <w:vAlign w:val="center"/>
          </w:tcPr>
          <w:p w14:paraId="65B8E009">
            <w:pPr>
              <w:ind w:left="0" w:leftChars="0" w:firstLine="0" w:firstLineChars="0"/>
              <w:jc w:val="left"/>
              <w:rPr>
                <w:rFonts w:hint="eastAsia" w:ascii="宋体" w:hAnsi="宋体" w:eastAsia="宋体" w:cs="宋体"/>
                <w:sz w:val="24"/>
                <w:szCs w:val="20"/>
                <w:highlight w:val="none"/>
                <w:lang w:eastAsia="zh-CN"/>
              </w:rPr>
            </w:pPr>
          </w:p>
        </w:tc>
        <w:tc>
          <w:tcPr>
            <w:tcW w:w="508" w:type="dxa"/>
            <w:tcBorders>
              <w:bottom w:val="single" w:color="auto" w:sz="4" w:space="0"/>
            </w:tcBorders>
            <w:noWrap w:val="0"/>
            <w:vAlign w:val="center"/>
          </w:tcPr>
          <w:p w14:paraId="2501C12F">
            <w:pPr>
              <w:ind w:left="0" w:leftChars="0" w:firstLine="0" w:firstLineChars="0"/>
              <w:jc w:val="left"/>
              <w:rPr>
                <w:rFonts w:hint="default"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6</w:t>
            </w:r>
          </w:p>
        </w:tc>
        <w:tc>
          <w:tcPr>
            <w:tcW w:w="5716" w:type="dxa"/>
            <w:tcBorders>
              <w:bottom w:val="single" w:color="auto" w:sz="4" w:space="0"/>
            </w:tcBorders>
            <w:noWrap w:val="0"/>
            <w:vAlign w:val="center"/>
          </w:tcPr>
          <w:p w14:paraId="7619BC93">
            <w:pPr>
              <w:ind w:left="0" w:leftChars="0" w:firstLine="0" w:firstLineChars="0"/>
              <w:jc w:val="left"/>
              <w:rPr>
                <w:rFonts w:hint="eastAsia" w:ascii="宋体" w:hAnsi="宋体" w:eastAsia="宋体" w:cs="宋体"/>
                <w:sz w:val="24"/>
                <w:szCs w:val="20"/>
                <w:highlight w:val="none"/>
                <w:lang w:eastAsia="zh-CN"/>
              </w:rPr>
            </w:pPr>
            <w:r>
              <w:rPr>
                <w:rFonts w:hint="eastAsia" w:ascii="宋体" w:hAnsi="宋体" w:eastAsia="宋体" w:cs="宋体"/>
                <w:sz w:val="24"/>
                <w:szCs w:val="20"/>
                <w:highlight w:val="none"/>
                <w:lang w:eastAsia="zh-CN"/>
              </w:rPr>
              <w:t>技术性能、技术参数满足招标文件要求；</w:t>
            </w:r>
          </w:p>
        </w:tc>
        <w:tc>
          <w:tcPr>
            <w:tcW w:w="1185" w:type="dxa"/>
            <w:tcBorders>
              <w:bottom w:val="single" w:color="auto" w:sz="4" w:space="0"/>
            </w:tcBorders>
            <w:noWrap w:val="0"/>
            <w:vAlign w:val="center"/>
          </w:tcPr>
          <w:p w14:paraId="5E61C012">
            <w:pPr>
              <w:ind w:left="0" w:leftChars="0" w:firstLine="0" w:firstLineChars="0"/>
              <w:jc w:val="left"/>
              <w:rPr>
                <w:rFonts w:hint="eastAsia" w:ascii="宋体" w:hAnsi="宋体" w:eastAsia="宋体" w:cs="宋体"/>
                <w:sz w:val="24"/>
                <w:szCs w:val="20"/>
                <w:highlight w:val="none"/>
                <w:lang w:eastAsia="zh-CN"/>
              </w:rPr>
            </w:pPr>
          </w:p>
        </w:tc>
        <w:tc>
          <w:tcPr>
            <w:tcW w:w="1075" w:type="dxa"/>
            <w:tcBorders>
              <w:bottom w:val="single" w:color="auto" w:sz="4" w:space="0"/>
            </w:tcBorders>
            <w:noWrap w:val="0"/>
            <w:vAlign w:val="center"/>
          </w:tcPr>
          <w:p w14:paraId="2EFD32DF">
            <w:pPr>
              <w:ind w:left="0" w:leftChars="0" w:firstLine="0" w:firstLineChars="0"/>
              <w:jc w:val="left"/>
              <w:rPr>
                <w:rFonts w:hint="eastAsia" w:ascii="宋体" w:hAnsi="宋体" w:eastAsia="宋体" w:cs="宋体"/>
                <w:sz w:val="24"/>
                <w:szCs w:val="20"/>
                <w:highlight w:val="none"/>
                <w:lang w:eastAsia="zh-CN"/>
              </w:rPr>
            </w:pPr>
          </w:p>
        </w:tc>
      </w:tr>
      <w:tr w14:paraId="2725E1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860" w:type="dxa"/>
            <w:vMerge w:val="continue"/>
            <w:noWrap w:val="0"/>
            <w:vAlign w:val="center"/>
          </w:tcPr>
          <w:p w14:paraId="6EA63CAC">
            <w:pPr>
              <w:ind w:left="0" w:leftChars="0" w:firstLine="0" w:firstLineChars="0"/>
              <w:jc w:val="left"/>
              <w:rPr>
                <w:rFonts w:hint="eastAsia" w:ascii="宋体" w:hAnsi="宋体" w:eastAsia="宋体" w:cs="宋体"/>
                <w:sz w:val="24"/>
                <w:szCs w:val="20"/>
                <w:highlight w:val="none"/>
                <w:lang w:eastAsia="zh-CN"/>
              </w:rPr>
            </w:pPr>
          </w:p>
        </w:tc>
        <w:tc>
          <w:tcPr>
            <w:tcW w:w="508" w:type="dxa"/>
            <w:tcBorders>
              <w:bottom w:val="single" w:color="auto" w:sz="4" w:space="0"/>
            </w:tcBorders>
            <w:noWrap w:val="0"/>
            <w:vAlign w:val="center"/>
          </w:tcPr>
          <w:p w14:paraId="420166B8">
            <w:pPr>
              <w:ind w:left="0" w:leftChars="0" w:firstLine="0" w:firstLineChars="0"/>
              <w:jc w:val="left"/>
              <w:rPr>
                <w:rFonts w:hint="default"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7</w:t>
            </w:r>
          </w:p>
        </w:tc>
        <w:tc>
          <w:tcPr>
            <w:tcW w:w="5716" w:type="dxa"/>
            <w:tcBorders>
              <w:bottom w:val="single" w:color="auto" w:sz="4" w:space="0"/>
            </w:tcBorders>
            <w:noWrap w:val="0"/>
            <w:vAlign w:val="center"/>
          </w:tcPr>
          <w:p w14:paraId="4B5CE656">
            <w:pPr>
              <w:ind w:left="0" w:leftChars="0" w:firstLine="0" w:firstLineChars="0"/>
              <w:jc w:val="left"/>
              <w:rPr>
                <w:rFonts w:hint="eastAsia" w:ascii="宋体" w:hAnsi="宋体" w:eastAsia="宋体" w:cs="宋体"/>
                <w:sz w:val="24"/>
                <w:szCs w:val="20"/>
                <w:highlight w:val="none"/>
                <w:lang w:eastAsia="zh-CN"/>
              </w:rPr>
            </w:pPr>
            <w:r>
              <w:rPr>
                <w:rFonts w:hint="eastAsia" w:ascii="宋体" w:hAnsi="宋体" w:eastAsia="宋体" w:cs="宋体"/>
                <w:sz w:val="24"/>
                <w:szCs w:val="20"/>
                <w:highlight w:val="none"/>
                <w:lang w:eastAsia="zh-CN"/>
              </w:rPr>
              <w:t>响应文件没有附有采购人不能接受条件的；</w:t>
            </w:r>
          </w:p>
        </w:tc>
        <w:tc>
          <w:tcPr>
            <w:tcW w:w="1185" w:type="dxa"/>
            <w:tcBorders>
              <w:bottom w:val="single" w:color="auto" w:sz="4" w:space="0"/>
            </w:tcBorders>
            <w:noWrap w:val="0"/>
            <w:vAlign w:val="center"/>
          </w:tcPr>
          <w:p w14:paraId="5D9FDDA8">
            <w:pPr>
              <w:ind w:left="0" w:leftChars="0" w:firstLine="0" w:firstLineChars="0"/>
              <w:jc w:val="left"/>
              <w:rPr>
                <w:rFonts w:hint="eastAsia" w:ascii="宋体" w:hAnsi="宋体" w:eastAsia="宋体" w:cs="宋体"/>
                <w:sz w:val="24"/>
                <w:szCs w:val="20"/>
                <w:highlight w:val="none"/>
                <w:lang w:eastAsia="zh-CN"/>
              </w:rPr>
            </w:pPr>
          </w:p>
        </w:tc>
        <w:tc>
          <w:tcPr>
            <w:tcW w:w="1075" w:type="dxa"/>
            <w:tcBorders>
              <w:bottom w:val="single" w:color="auto" w:sz="4" w:space="0"/>
            </w:tcBorders>
            <w:noWrap w:val="0"/>
            <w:vAlign w:val="center"/>
          </w:tcPr>
          <w:p w14:paraId="0D553935">
            <w:pPr>
              <w:ind w:left="0" w:leftChars="0" w:firstLine="0" w:firstLineChars="0"/>
              <w:jc w:val="left"/>
              <w:rPr>
                <w:rFonts w:hint="eastAsia" w:ascii="宋体" w:hAnsi="宋体" w:eastAsia="宋体" w:cs="宋体"/>
                <w:sz w:val="24"/>
                <w:szCs w:val="20"/>
                <w:highlight w:val="none"/>
                <w:lang w:eastAsia="zh-CN"/>
              </w:rPr>
            </w:pPr>
          </w:p>
        </w:tc>
      </w:tr>
      <w:tr w14:paraId="3EF7BD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860" w:type="dxa"/>
            <w:vMerge w:val="continue"/>
            <w:noWrap w:val="0"/>
            <w:vAlign w:val="center"/>
          </w:tcPr>
          <w:p w14:paraId="7F35D01A">
            <w:pPr>
              <w:ind w:left="0" w:leftChars="0" w:firstLine="0" w:firstLineChars="0"/>
              <w:jc w:val="left"/>
              <w:rPr>
                <w:rFonts w:hint="eastAsia" w:ascii="宋体" w:hAnsi="宋体" w:eastAsia="宋体" w:cs="宋体"/>
                <w:sz w:val="24"/>
                <w:szCs w:val="20"/>
                <w:highlight w:val="none"/>
                <w:lang w:eastAsia="zh-CN"/>
              </w:rPr>
            </w:pPr>
          </w:p>
        </w:tc>
        <w:tc>
          <w:tcPr>
            <w:tcW w:w="508" w:type="dxa"/>
            <w:tcBorders>
              <w:bottom w:val="single" w:color="auto" w:sz="4" w:space="0"/>
            </w:tcBorders>
            <w:noWrap w:val="0"/>
            <w:vAlign w:val="center"/>
          </w:tcPr>
          <w:p w14:paraId="0B8AFA4A">
            <w:pPr>
              <w:ind w:left="0" w:leftChars="0" w:firstLine="0" w:firstLineChars="0"/>
              <w:jc w:val="left"/>
              <w:rPr>
                <w:rFonts w:hint="default" w:ascii="宋体" w:hAnsi="宋体" w:eastAsia="宋体" w:cs="宋体"/>
                <w:sz w:val="24"/>
                <w:szCs w:val="20"/>
                <w:highlight w:val="none"/>
                <w:lang w:val="en-US" w:eastAsia="zh-CN"/>
              </w:rPr>
            </w:pPr>
            <w:r>
              <w:rPr>
                <w:rFonts w:hint="eastAsia" w:ascii="宋体" w:hAnsi="宋体" w:eastAsia="宋体" w:cs="宋体"/>
                <w:sz w:val="24"/>
                <w:szCs w:val="20"/>
                <w:highlight w:val="none"/>
                <w:lang w:val="en-US" w:eastAsia="zh-CN"/>
              </w:rPr>
              <w:t>8</w:t>
            </w:r>
          </w:p>
        </w:tc>
        <w:tc>
          <w:tcPr>
            <w:tcW w:w="5716" w:type="dxa"/>
            <w:tcBorders>
              <w:bottom w:val="single" w:color="auto" w:sz="4" w:space="0"/>
            </w:tcBorders>
            <w:noWrap w:val="0"/>
            <w:vAlign w:val="center"/>
          </w:tcPr>
          <w:p w14:paraId="56B4981F">
            <w:pPr>
              <w:ind w:left="0" w:leftChars="0" w:firstLine="0" w:firstLineChars="0"/>
              <w:jc w:val="left"/>
              <w:rPr>
                <w:rFonts w:hint="eastAsia" w:ascii="宋体" w:hAnsi="宋体" w:eastAsia="宋体" w:cs="宋体"/>
                <w:sz w:val="24"/>
                <w:szCs w:val="20"/>
                <w:highlight w:val="none"/>
                <w:lang w:eastAsia="zh-CN"/>
              </w:rPr>
            </w:pPr>
            <w:r>
              <w:rPr>
                <w:rFonts w:hint="eastAsia" w:ascii="宋体" w:hAnsi="宋体" w:eastAsia="宋体" w:cs="宋体"/>
                <w:sz w:val="24"/>
                <w:szCs w:val="20"/>
                <w:highlight w:val="none"/>
                <w:lang w:eastAsia="zh-CN"/>
              </w:rPr>
              <w:t>是否满足采购文件实质性要求的其他情形</w:t>
            </w:r>
          </w:p>
        </w:tc>
        <w:tc>
          <w:tcPr>
            <w:tcW w:w="1185" w:type="dxa"/>
            <w:tcBorders>
              <w:bottom w:val="single" w:color="auto" w:sz="4" w:space="0"/>
            </w:tcBorders>
            <w:noWrap w:val="0"/>
            <w:vAlign w:val="center"/>
          </w:tcPr>
          <w:p w14:paraId="02AFCC2D">
            <w:pPr>
              <w:ind w:left="0" w:leftChars="0" w:firstLine="0" w:firstLineChars="0"/>
              <w:jc w:val="left"/>
              <w:rPr>
                <w:rFonts w:hint="eastAsia" w:ascii="宋体" w:hAnsi="宋体" w:eastAsia="宋体" w:cs="宋体"/>
                <w:sz w:val="24"/>
                <w:szCs w:val="20"/>
                <w:highlight w:val="none"/>
                <w:lang w:eastAsia="zh-CN"/>
              </w:rPr>
            </w:pPr>
          </w:p>
        </w:tc>
        <w:tc>
          <w:tcPr>
            <w:tcW w:w="1075" w:type="dxa"/>
            <w:tcBorders>
              <w:bottom w:val="single" w:color="auto" w:sz="4" w:space="0"/>
            </w:tcBorders>
            <w:noWrap w:val="0"/>
            <w:vAlign w:val="center"/>
          </w:tcPr>
          <w:p w14:paraId="0F55DCFC">
            <w:pPr>
              <w:ind w:left="0" w:leftChars="0" w:firstLine="0" w:firstLineChars="0"/>
              <w:jc w:val="left"/>
              <w:rPr>
                <w:rFonts w:hint="eastAsia" w:ascii="宋体" w:hAnsi="宋体" w:eastAsia="宋体" w:cs="宋体"/>
                <w:sz w:val="24"/>
                <w:szCs w:val="20"/>
                <w:highlight w:val="none"/>
                <w:lang w:eastAsia="zh-CN"/>
              </w:rPr>
            </w:pPr>
          </w:p>
        </w:tc>
      </w:tr>
      <w:tr w14:paraId="09F4E0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860" w:type="dxa"/>
            <w:vMerge w:val="continue"/>
            <w:noWrap w:val="0"/>
            <w:vAlign w:val="center"/>
          </w:tcPr>
          <w:p w14:paraId="39AE5D64">
            <w:pPr>
              <w:ind w:left="0" w:leftChars="0" w:firstLine="0" w:firstLineChars="0"/>
              <w:jc w:val="left"/>
              <w:rPr>
                <w:rFonts w:hint="eastAsia" w:ascii="宋体" w:hAnsi="宋体" w:eastAsia="宋体" w:cs="宋体"/>
                <w:sz w:val="24"/>
                <w:szCs w:val="20"/>
                <w:highlight w:val="none"/>
                <w:lang w:eastAsia="zh-CN"/>
              </w:rPr>
            </w:pPr>
          </w:p>
        </w:tc>
        <w:tc>
          <w:tcPr>
            <w:tcW w:w="6224" w:type="dxa"/>
            <w:gridSpan w:val="2"/>
            <w:noWrap w:val="0"/>
            <w:vAlign w:val="center"/>
          </w:tcPr>
          <w:p w14:paraId="50A46ECC">
            <w:pPr>
              <w:ind w:left="0" w:leftChars="0" w:firstLine="0" w:firstLineChars="0"/>
              <w:jc w:val="left"/>
              <w:rPr>
                <w:rFonts w:hint="eastAsia" w:ascii="宋体" w:hAnsi="宋体" w:eastAsia="宋体" w:cs="宋体"/>
                <w:sz w:val="24"/>
                <w:szCs w:val="20"/>
                <w:highlight w:val="none"/>
                <w:lang w:eastAsia="zh-CN"/>
              </w:rPr>
            </w:pPr>
            <w:r>
              <w:rPr>
                <w:rFonts w:hint="eastAsia" w:ascii="宋体" w:hAnsi="宋体" w:eastAsia="宋体" w:cs="宋体"/>
                <w:sz w:val="24"/>
                <w:szCs w:val="20"/>
                <w:highlight w:val="none"/>
                <w:lang w:eastAsia="zh-CN"/>
              </w:rPr>
              <w:t>结论：是否通过评审</w:t>
            </w:r>
          </w:p>
        </w:tc>
        <w:tc>
          <w:tcPr>
            <w:tcW w:w="1185" w:type="dxa"/>
            <w:noWrap w:val="0"/>
            <w:vAlign w:val="top"/>
          </w:tcPr>
          <w:p w14:paraId="5DB5750D">
            <w:pPr>
              <w:ind w:left="0" w:leftChars="0" w:firstLine="0" w:firstLineChars="0"/>
              <w:jc w:val="left"/>
              <w:rPr>
                <w:rFonts w:hint="eastAsia" w:ascii="宋体" w:hAnsi="宋体" w:eastAsia="宋体" w:cs="宋体"/>
                <w:sz w:val="24"/>
                <w:szCs w:val="20"/>
                <w:highlight w:val="none"/>
                <w:lang w:eastAsia="zh-CN"/>
              </w:rPr>
            </w:pPr>
          </w:p>
        </w:tc>
        <w:tc>
          <w:tcPr>
            <w:tcW w:w="1075" w:type="dxa"/>
            <w:noWrap w:val="0"/>
            <w:vAlign w:val="top"/>
          </w:tcPr>
          <w:p w14:paraId="4CE28DAC">
            <w:pPr>
              <w:ind w:left="0" w:leftChars="0" w:firstLine="0" w:firstLineChars="0"/>
              <w:jc w:val="left"/>
              <w:rPr>
                <w:rFonts w:hint="eastAsia" w:ascii="宋体" w:hAnsi="宋体" w:eastAsia="宋体" w:cs="宋体"/>
                <w:sz w:val="24"/>
                <w:szCs w:val="20"/>
                <w:highlight w:val="none"/>
                <w:lang w:eastAsia="zh-CN"/>
              </w:rPr>
            </w:pPr>
          </w:p>
        </w:tc>
      </w:tr>
    </w:tbl>
    <w:p w14:paraId="0E8F2E2C">
      <w:pPr>
        <w:spacing w:line="300" w:lineRule="exact"/>
        <w:ind w:firstLine="420"/>
        <w:rPr>
          <w:rFonts w:hint="eastAsia" w:ascii="宋体" w:hAnsi="宋体" w:cs="宋体"/>
          <w:szCs w:val="21"/>
          <w:highlight w:val="none"/>
        </w:rPr>
      </w:pPr>
    </w:p>
    <w:p w14:paraId="54B555B6">
      <w:pPr>
        <w:jc w:val="left"/>
        <w:rPr>
          <w:rFonts w:hint="eastAsia" w:ascii="宋体" w:hAnsi="宋体" w:cs="宋体"/>
          <w:b/>
          <w:bCs/>
          <w:szCs w:val="28"/>
          <w:highlight w:val="none"/>
        </w:rPr>
      </w:pPr>
    </w:p>
    <w:p w14:paraId="499C11CC">
      <w:pPr>
        <w:numPr>
          <w:ilvl w:val="0"/>
          <w:numId w:val="4"/>
        </w:numPr>
        <w:ind w:firstLine="560"/>
        <w:jc w:val="left"/>
        <w:rPr>
          <w:rFonts w:hint="eastAsia" w:cs="宋体"/>
          <w:szCs w:val="28"/>
          <w:highlight w:val="none"/>
        </w:rPr>
      </w:pPr>
      <w:r>
        <w:rPr>
          <w:rFonts w:hint="eastAsia" w:ascii="仿宋_GB2312" w:hAnsi="仿宋_GB2312" w:eastAsia="仿宋_GB2312" w:cs="仿宋_GB2312"/>
          <w:sz w:val="28"/>
          <w:szCs w:val="21"/>
          <w:highlight w:val="none"/>
        </w:rPr>
        <w:br w:type="page"/>
      </w:r>
      <w:r>
        <w:rPr>
          <w:rFonts w:hint="eastAsia" w:ascii="宋体" w:hAnsi="宋体" w:eastAsia="宋体" w:cs="宋体"/>
          <w:sz w:val="24"/>
          <w:szCs w:val="20"/>
          <w:highlight w:val="none"/>
        </w:rPr>
        <w:t>详细评审阶段</w:t>
      </w:r>
    </w:p>
    <w:p w14:paraId="7A0DA51C">
      <w:pPr>
        <w:ind w:firstLine="48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评分标准</w:t>
      </w:r>
    </w:p>
    <w:tbl>
      <w:tblPr>
        <w:tblStyle w:val="20"/>
        <w:tblW w:w="1037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0"/>
        <w:gridCol w:w="1232"/>
        <w:gridCol w:w="599"/>
        <w:gridCol w:w="6399"/>
        <w:gridCol w:w="1290"/>
      </w:tblGrid>
      <w:tr w14:paraId="3CF82A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850" w:type="dxa"/>
            <w:vAlign w:val="top"/>
          </w:tcPr>
          <w:p w14:paraId="4E72282F">
            <w:pPr>
              <w:pStyle w:val="21"/>
              <w:spacing w:before="237" w:line="183" w:lineRule="auto"/>
              <w:ind w:left="0" w:leftChars="0" w:firstLine="0" w:firstLineChars="0"/>
              <w:rPr>
                <w:sz w:val="18"/>
                <w:szCs w:val="18"/>
              </w:rPr>
            </w:pPr>
            <w:r>
              <w:rPr>
                <w:b/>
                <w:bCs/>
                <w:spacing w:val="-1"/>
                <w:sz w:val="18"/>
                <w:szCs w:val="18"/>
              </w:rPr>
              <w:t>序号</w:t>
            </w:r>
          </w:p>
        </w:tc>
        <w:tc>
          <w:tcPr>
            <w:tcW w:w="1232" w:type="dxa"/>
            <w:vAlign w:val="top"/>
          </w:tcPr>
          <w:p w14:paraId="135AEE1A">
            <w:pPr>
              <w:pStyle w:val="21"/>
              <w:spacing w:before="86" w:line="197" w:lineRule="auto"/>
              <w:ind w:left="0" w:leftChars="0" w:right="254" w:firstLine="0" w:firstLineChars="0"/>
              <w:rPr>
                <w:sz w:val="18"/>
                <w:szCs w:val="18"/>
              </w:rPr>
            </w:pPr>
            <w:r>
              <w:rPr>
                <w:b/>
                <w:bCs/>
                <w:spacing w:val="-1"/>
                <w:sz w:val="18"/>
                <w:szCs w:val="18"/>
              </w:rPr>
              <w:t>评分因素</w:t>
            </w:r>
            <w:r>
              <w:rPr>
                <w:b/>
                <w:bCs/>
                <w:sz w:val="18"/>
                <w:szCs w:val="18"/>
              </w:rPr>
              <w:t xml:space="preserve"> </w:t>
            </w:r>
            <w:r>
              <w:rPr>
                <w:b/>
                <w:bCs/>
                <w:spacing w:val="-1"/>
                <w:sz w:val="18"/>
                <w:szCs w:val="18"/>
              </w:rPr>
              <w:t>及权重</w:t>
            </w:r>
          </w:p>
        </w:tc>
        <w:tc>
          <w:tcPr>
            <w:tcW w:w="599" w:type="dxa"/>
            <w:vAlign w:val="top"/>
          </w:tcPr>
          <w:p w14:paraId="178A4CB4">
            <w:pPr>
              <w:pStyle w:val="21"/>
              <w:spacing w:before="237" w:line="183" w:lineRule="auto"/>
              <w:ind w:left="0" w:leftChars="0" w:firstLine="0" w:firstLineChars="0"/>
              <w:rPr>
                <w:sz w:val="18"/>
                <w:szCs w:val="18"/>
              </w:rPr>
            </w:pPr>
            <w:r>
              <w:rPr>
                <w:b/>
                <w:bCs/>
                <w:spacing w:val="-1"/>
                <w:sz w:val="18"/>
                <w:szCs w:val="18"/>
              </w:rPr>
              <w:t>分值</w:t>
            </w:r>
          </w:p>
        </w:tc>
        <w:tc>
          <w:tcPr>
            <w:tcW w:w="6399" w:type="dxa"/>
            <w:vAlign w:val="top"/>
          </w:tcPr>
          <w:p w14:paraId="661F513A">
            <w:pPr>
              <w:pStyle w:val="21"/>
              <w:spacing w:before="85" w:line="184" w:lineRule="auto"/>
              <w:ind w:left="2838"/>
              <w:rPr>
                <w:sz w:val="18"/>
                <w:szCs w:val="18"/>
              </w:rPr>
            </w:pPr>
            <w:r>
              <w:rPr>
                <w:b/>
                <w:bCs/>
                <w:spacing w:val="-1"/>
                <w:sz w:val="18"/>
                <w:szCs w:val="18"/>
              </w:rPr>
              <w:t>评分标准</w:t>
            </w:r>
          </w:p>
          <w:p w14:paraId="388E51EA">
            <w:pPr>
              <w:pStyle w:val="21"/>
              <w:spacing w:before="64" w:line="161" w:lineRule="auto"/>
              <w:ind w:left="1625"/>
              <w:rPr>
                <w:sz w:val="18"/>
                <w:szCs w:val="18"/>
              </w:rPr>
            </w:pPr>
            <w:r>
              <w:rPr>
                <w:b/>
                <w:bCs/>
                <w:spacing w:val="-1"/>
                <w:sz w:val="18"/>
                <w:szCs w:val="18"/>
              </w:rPr>
              <w:t>价     格：10 分</w:t>
            </w:r>
            <w:r>
              <w:rPr>
                <w:b/>
                <w:bCs/>
                <w:spacing w:val="7"/>
                <w:sz w:val="18"/>
                <w:szCs w:val="18"/>
              </w:rPr>
              <w:t xml:space="preserve">      </w:t>
            </w:r>
            <w:r>
              <w:rPr>
                <w:b/>
                <w:bCs/>
                <w:spacing w:val="-1"/>
                <w:sz w:val="18"/>
                <w:szCs w:val="18"/>
              </w:rPr>
              <w:t>商务及技术：90</w:t>
            </w:r>
            <w:r>
              <w:rPr>
                <w:b/>
                <w:bCs/>
                <w:spacing w:val="-2"/>
                <w:sz w:val="18"/>
                <w:szCs w:val="18"/>
              </w:rPr>
              <w:t xml:space="preserve"> 分</w:t>
            </w:r>
          </w:p>
        </w:tc>
        <w:tc>
          <w:tcPr>
            <w:tcW w:w="1290" w:type="dxa"/>
            <w:vAlign w:val="top"/>
          </w:tcPr>
          <w:p w14:paraId="338FEB23">
            <w:pPr>
              <w:pStyle w:val="21"/>
              <w:spacing w:before="237" w:line="183" w:lineRule="auto"/>
              <w:rPr>
                <w:sz w:val="18"/>
                <w:szCs w:val="18"/>
              </w:rPr>
            </w:pPr>
            <w:r>
              <w:rPr>
                <w:b/>
                <w:bCs/>
                <w:spacing w:val="-1"/>
                <w:sz w:val="18"/>
                <w:szCs w:val="18"/>
              </w:rPr>
              <w:t>说明</w:t>
            </w:r>
          </w:p>
        </w:tc>
      </w:tr>
      <w:tr w14:paraId="36F152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6" w:hRule="atLeast"/>
        </w:trPr>
        <w:tc>
          <w:tcPr>
            <w:tcW w:w="850" w:type="dxa"/>
            <w:tcBorders>
              <w:bottom w:val="single" w:color="auto" w:sz="4" w:space="0"/>
            </w:tcBorders>
            <w:vAlign w:val="top"/>
          </w:tcPr>
          <w:p w14:paraId="4240059A">
            <w:pPr>
              <w:spacing w:line="303" w:lineRule="auto"/>
              <w:rPr>
                <w:rFonts w:ascii="Arial"/>
                <w:sz w:val="21"/>
                <w:szCs w:val="21"/>
              </w:rPr>
            </w:pPr>
          </w:p>
          <w:p w14:paraId="2ABC0D54">
            <w:pPr>
              <w:pStyle w:val="21"/>
              <w:spacing w:before="78" w:line="183" w:lineRule="auto"/>
              <w:ind w:left="0" w:leftChars="0" w:firstLine="0" w:firstLineChars="0"/>
              <w:rPr>
                <w:sz w:val="21"/>
                <w:szCs w:val="21"/>
              </w:rPr>
            </w:pPr>
            <w:r>
              <w:rPr>
                <w:b/>
                <w:bCs/>
                <w:spacing w:val="-1"/>
                <w:sz w:val="21"/>
                <w:szCs w:val="21"/>
              </w:rPr>
              <w:t>价格评分标准</w:t>
            </w:r>
          </w:p>
        </w:tc>
        <w:tc>
          <w:tcPr>
            <w:tcW w:w="1232" w:type="dxa"/>
            <w:tcBorders>
              <w:bottom w:val="single" w:color="auto" w:sz="4" w:space="0"/>
            </w:tcBorders>
            <w:vAlign w:val="top"/>
          </w:tcPr>
          <w:p w14:paraId="7FF91C55">
            <w:pPr>
              <w:spacing w:line="454" w:lineRule="auto"/>
              <w:rPr>
                <w:rFonts w:ascii="Arial"/>
                <w:sz w:val="21"/>
                <w:szCs w:val="21"/>
              </w:rPr>
            </w:pPr>
          </w:p>
          <w:p w14:paraId="67A5C3C5">
            <w:pPr>
              <w:pStyle w:val="21"/>
              <w:spacing w:before="233" w:line="242" w:lineRule="auto"/>
              <w:ind w:left="101" w:right="99"/>
              <w:jc w:val="both"/>
              <w:rPr>
                <w:sz w:val="21"/>
                <w:szCs w:val="21"/>
              </w:rPr>
            </w:pPr>
            <w:r>
              <w:rPr>
                <w:rFonts w:hint="eastAsia" w:ascii="宋体" w:hAnsi="宋体" w:eastAsia="宋体" w:cs="宋体"/>
                <w:snapToGrid w:val="0"/>
                <w:color w:val="000000"/>
                <w:kern w:val="0"/>
                <w:sz w:val="24"/>
                <w:szCs w:val="20"/>
                <w:highlight w:val="none"/>
                <w:lang w:val="en-US" w:eastAsia="en-US" w:bidi="ar-SA"/>
              </w:rPr>
              <w:t>投标报价</w:t>
            </w:r>
          </w:p>
        </w:tc>
        <w:tc>
          <w:tcPr>
            <w:tcW w:w="599" w:type="dxa"/>
            <w:tcBorders>
              <w:bottom w:val="single" w:color="auto" w:sz="4" w:space="0"/>
            </w:tcBorders>
            <w:vAlign w:val="top"/>
          </w:tcPr>
          <w:p w14:paraId="06667084">
            <w:pPr>
              <w:spacing w:line="419" w:lineRule="auto"/>
              <w:rPr>
                <w:rFonts w:ascii="Arial"/>
                <w:sz w:val="21"/>
                <w:szCs w:val="21"/>
              </w:rPr>
            </w:pPr>
          </w:p>
          <w:p w14:paraId="5F2B423C">
            <w:pPr>
              <w:pStyle w:val="21"/>
              <w:spacing w:before="77" w:line="313" w:lineRule="exact"/>
              <w:ind w:left="0" w:leftChars="0" w:firstLine="0" w:firstLineChars="0"/>
              <w:rPr>
                <w:sz w:val="21"/>
                <w:szCs w:val="21"/>
              </w:rPr>
            </w:pPr>
            <w:r>
              <w:rPr>
                <w:spacing w:val="-5"/>
                <w:position w:val="3"/>
                <w:sz w:val="21"/>
                <w:szCs w:val="21"/>
              </w:rPr>
              <w:t>10</w:t>
            </w:r>
          </w:p>
        </w:tc>
        <w:tc>
          <w:tcPr>
            <w:tcW w:w="6399" w:type="dxa"/>
            <w:tcBorders>
              <w:bottom w:val="single" w:color="auto" w:sz="4" w:space="0"/>
            </w:tcBorders>
            <w:vAlign w:val="top"/>
          </w:tcPr>
          <w:p w14:paraId="476CB6CD">
            <w:pPr>
              <w:pStyle w:val="21"/>
              <w:spacing w:before="233" w:line="242" w:lineRule="auto"/>
              <w:ind w:left="101" w:right="99"/>
              <w:jc w:val="both"/>
              <w:rPr>
                <w:sz w:val="21"/>
                <w:szCs w:val="21"/>
              </w:rPr>
            </w:pPr>
            <w:r>
              <w:rPr>
                <w:rFonts w:hint="eastAsia" w:ascii="宋体" w:hAnsi="宋体" w:eastAsia="宋体" w:cs="宋体"/>
                <w:snapToGrid w:val="0"/>
                <w:color w:val="000000"/>
                <w:kern w:val="0"/>
                <w:sz w:val="24"/>
                <w:szCs w:val="20"/>
                <w:highlight w:val="none"/>
                <w:lang w:val="en-US" w:eastAsia="en-US" w:bidi="ar-SA"/>
              </w:rPr>
              <w:t>满足招标文件要求且投标报价最低的为评标基准价，其价格分为满分。 其他供 应商的价格分统一按照下列公式计算：投标报价得分＝（基准价/投标报价）×价 格权重×100。</w:t>
            </w:r>
          </w:p>
        </w:tc>
        <w:tc>
          <w:tcPr>
            <w:tcW w:w="1290" w:type="dxa"/>
            <w:tcBorders>
              <w:bottom w:val="single" w:color="auto" w:sz="4" w:space="0"/>
            </w:tcBorders>
            <w:vAlign w:val="top"/>
          </w:tcPr>
          <w:p w14:paraId="43B3D303">
            <w:pPr>
              <w:pStyle w:val="21"/>
              <w:spacing w:before="233" w:line="242" w:lineRule="auto"/>
              <w:ind w:left="101" w:right="99"/>
              <w:jc w:val="both"/>
              <w:rPr>
                <w:sz w:val="21"/>
                <w:szCs w:val="21"/>
              </w:rPr>
            </w:pPr>
            <w:r>
              <w:rPr>
                <w:rFonts w:hint="eastAsia" w:ascii="宋体" w:hAnsi="宋体" w:eastAsia="宋体" w:cs="宋体"/>
                <w:snapToGrid w:val="0"/>
                <w:color w:val="000000"/>
                <w:kern w:val="0"/>
                <w:sz w:val="24"/>
                <w:szCs w:val="20"/>
                <w:highlight w:val="none"/>
                <w:lang w:val="en-US" w:eastAsia="en-US" w:bidi="ar-SA"/>
              </w:rPr>
              <w:t>投标报价超过采购预算价的按废标 处理</w:t>
            </w:r>
          </w:p>
        </w:tc>
      </w:tr>
      <w:tr w14:paraId="17FB93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4" w:hRule="atLeast"/>
        </w:trPr>
        <w:tc>
          <w:tcPr>
            <w:tcW w:w="850" w:type="dxa"/>
            <w:vMerge w:val="restart"/>
            <w:tcBorders>
              <w:top w:val="single" w:color="auto" w:sz="4" w:space="0"/>
              <w:left w:val="single" w:color="auto" w:sz="4" w:space="0"/>
              <w:bottom w:val="single" w:color="auto" w:sz="4" w:space="0"/>
              <w:right w:val="single" w:color="auto" w:sz="4" w:space="0"/>
            </w:tcBorders>
            <w:vAlign w:val="top"/>
          </w:tcPr>
          <w:p w14:paraId="1A34C469">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1B19D7DC">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1B25A7A4">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27D33A05">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72268ED8">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584A2993">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1F197343">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01236035">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0B225088">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7BF201E8">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4D9D5A50">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3828A892">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13B70BE0">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27983B11">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45445DD7">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770C4755">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74A9F389">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1F1EEBCF">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675AEBD3">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64346CE2">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r>
              <w:rPr>
                <w:rFonts w:hint="eastAsia" w:ascii="宋体" w:hAnsi="宋体" w:eastAsia="宋体" w:cs="宋体"/>
                <w:snapToGrid w:val="0"/>
                <w:color w:val="000000"/>
                <w:kern w:val="0"/>
                <w:sz w:val="24"/>
                <w:szCs w:val="20"/>
                <w:highlight w:val="none"/>
                <w:lang w:val="en-US" w:eastAsia="en-US" w:bidi="ar-SA"/>
              </w:rPr>
              <w:t>商务及技术评分标准</w:t>
            </w:r>
          </w:p>
        </w:tc>
        <w:tc>
          <w:tcPr>
            <w:tcW w:w="1232" w:type="dxa"/>
            <w:vMerge w:val="restart"/>
            <w:tcBorders>
              <w:top w:val="single" w:color="auto" w:sz="4" w:space="0"/>
              <w:left w:val="single" w:color="auto" w:sz="4" w:space="0"/>
              <w:bottom w:val="single" w:color="auto" w:sz="4" w:space="0"/>
              <w:right w:val="single" w:color="auto" w:sz="4" w:space="0"/>
            </w:tcBorders>
            <w:vAlign w:val="top"/>
          </w:tcPr>
          <w:p w14:paraId="72742FFE">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32B23E9C">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76A9DC21">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0D126E83">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4ECD5E2B">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r>
              <w:rPr>
                <w:rFonts w:hint="eastAsia" w:ascii="宋体" w:hAnsi="宋体" w:eastAsia="宋体" w:cs="宋体"/>
                <w:snapToGrid w:val="0"/>
                <w:color w:val="000000"/>
                <w:kern w:val="0"/>
                <w:sz w:val="24"/>
                <w:szCs w:val="20"/>
                <w:highlight w:val="none"/>
                <w:lang w:val="en-US" w:eastAsia="en-US" w:bidi="ar-SA"/>
              </w:rPr>
              <w:t>类似业绩</w:t>
            </w:r>
          </w:p>
          <w:p w14:paraId="7C61C2D5">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17C9B5D6">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18A9FB71">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tc>
        <w:tc>
          <w:tcPr>
            <w:tcW w:w="599" w:type="dxa"/>
            <w:tcBorders>
              <w:top w:val="single" w:color="auto" w:sz="4" w:space="0"/>
              <w:left w:val="single" w:color="auto" w:sz="4" w:space="0"/>
              <w:bottom w:val="single" w:color="auto" w:sz="4" w:space="0"/>
              <w:right w:val="single" w:color="auto" w:sz="4" w:space="0"/>
            </w:tcBorders>
            <w:vAlign w:val="top"/>
          </w:tcPr>
          <w:p w14:paraId="077694CE">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zh-CN" w:bidi="ar-SA"/>
              </w:rPr>
            </w:pPr>
          </w:p>
          <w:p w14:paraId="7B84E924">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r>
              <w:rPr>
                <w:rFonts w:hint="eastAsia" w:ascii="宋体" w:hAnsi="宋体" w:eastAsia="宋体" w:cs="宋体"/>
                <w:snapToGrid w:val="0"/>
                <w:color w:val="000000"/>
                <w:kern w:val="0"/>
                <w:sz w:val="24"/>
                <w:szCs w:val="20"/>
                <w:highlight w:val="none"/>
                <w:lang w:val="en-US" w:eastAsia="zh-CN" w:bidi="ar-SA"/>
              </w:rPr>
              <w:tab/>
            </w:r>
            <w:r>
              <w:rPr>
                <w:rFonts w:hint="eastAsia" w:ascii="宋体" w:hAnsi="宋体" w:eastAsia="宋体" w:cs="宋体"/>
                <w:snapToGrid w:val="0"/>
                <w:color w:val="000000"/>
                <w:kern w:val="0"/>
                <w:sz w:val="24"/>
                <w:szCs w:val="20"/>
                <w:highlight w:val="none"/>
                <w:lang w:val="en-US" w:eastAsia="zh-CN" w:bidi="ar-SA"/>
              </w:rPr>
              <w:t>4</w:t>
            </w:r>
          </w:p>
        </w:tc>
        <w:tc>
          <w:tcPr>
            <w:tcW w:w="6399" w:type="dxa"/>
            <w:tcBorders>
              <w:top w:val="single" w:color="auto" w:sz="4" w:space="0"/>
              <w:left w:val="single" w:color="auto" w:sz="4" w:space="0"/>
              <w:bottom w:val="single" w:color="auto" w:sz="4" w:space="0"/>
              <w:right w:val="single" w:color="auto" w:sz="4" w:space="0"/>
            </w:tcBorders>
            <w:vAlign w:val="top"/>
          </w:tcPr>
          <w:p w14:paraId="7369483F">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r>
              <w:rPr>
                <w:rFonts w:hint="eastAsia" w:ascii="宋体" w:hAnsi="宋体" w:eastAsia="宋体" w:cs="宋体"/>
                <w:snapToGrid w:val="0"/>
                <w:color w:val="000000"/>
                <w:kern w:val="0"/>
                <w:sz w:val="24"/>
                <w:szCs w:val="20"/>
                <w:highlight w:val="none"/>
                <w:lang w:val="en-US" w:eastAsia="en-US" w:bidi="ar-SA"/>
              </w:rPr>
              <w:t>投标人(202</w:t>
            </w:r>
            <w:r>
              <w:rPr>
                <w:rFonts w:hint="eastAsia" w:ascii="宋体" w:hAnsi="宋体" w:eastAsia="宋体" w:cs="宋体"/>
                <w:snapToGrid w:val="0"/>
                <w:color w:val="000000"/>
                <w:kern w:val="0"/>
                <w:sz w:val="24"/>
                <w:szCs w:val="20"/>
                <w:highlight w:val="none"/>
                <w:lang w:val="en-US" w:eastAsia="zh-CN" w:bidi="ar-SA"/>
              </w:rPr>
              <w:t>3</w:t>
            </w:r>
            <w:r>
              <w:rPr>
                <w:rFonts w:hint="eastAsia" w:ascii="宋体" w:hAnsi="宋体" w:eastAsia="宋体" w:cs="宋体"/>
                <w:snapToGrid w:val="0"/>
                <w:color w:val="000000"/>
                <w:kern w:val="0"/>
                <w:sz w:val="24"/>
                <w:szCs w:val="20"/>
                <w:highlight w:val="none"/>
                <w:lang w:val="en-US" w:eastAsia="en-US" w:bidi="ar-SA"/>
              </w:rPr>
              <w:t xml:space="preserve"> 年</w:t>
            </w:r>
            <w:r>
              <w:rPr>
                <w:rFonts w:hint="eastAsia" w:ascii="宋体" w:hAnsi="宋体" w:eastAsia="宋体" w:cs="宋体"/>
                <w:snapToGrid w:val="0"/>
                <w:color w:val="000000"/>
                <w:kern w:val="0"/>
                <w:sz w:val="24"/>
                <w:szCs w:val="20"/>
                <w:highlight w:val="none"/>
                <w:lang w:val="en-US" w:eastAsia="zh-CN" w:bidi="ar-SA"/>
              </w:rPr>
              <w:t>6</w:t>
            </w:r>
            <w:r>
              <w:rPr>
                <w:rFonts w:hint="eastAsia" w:ascii="宋体" w:hAnsi="宋体" w:eastAsia="宋体" w:cs="宋体"/>
                <w:snapToGrid w:val="0"/>
                <w:color w:val="000000"/>
                <w:kern w:val="0"/>
                <w:sz w:val="24"/>
                <w:szCs w:val="20"/>
                <w:highlight w:val="none"/>
                <w:lang w:val="en-US" w:eastAsia="en-US" w:bidi="ar-SA"/>
              </w:rPr>
              <w:t>月至今)类似项目业绩，附合同或委托协议(须体现项目名称、项目时间、项目内容、签订双方单位名称及公章);证明材料应符合要求清晰可辨，否则将不予认定为有效业绩。每满足一项得 2 分，最高得 4 分。</w:t>
            </w:r>
          </w:p>
          <w:p w14:paraId="63F2A59B">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r>
              <w:rPr>
                <w:rFonts w:hint="eastAsia" w:ascii="宋体" w:hAnsi="宋体" w:eastAsia="宋体" w:cs="宋体"/>
                <w:snapToGrid w:val="0"/>
                <w:color w:val="000000"/>
                <w:kern w:val="0"/>
                <w:sz w:val="24"/>
                <w:szCs w:val="20"/>
                <w:highlight w:val="none"/>
                <w:lang w:val="en-US" w:eastAsia="en-US" w:bidi="ar-SA"/>
              </w:rPr>
              <w:t>未提供证明材料或证明材料不满足要求的不得分。</w:t>
            </w:r>
          </w:p>
        </w:tc>
        <w:tc>
          <w:tcPr>
            <w:tcW w:w="1290" w:type="dxa"/>
            <w:tcBorders>
              <w:top w:val="single" w:color="auto" w:sz="4" w:space="0"/>
              <w:left w:val="single" w:color="auto" w:sz="4" w:space="0"/>
              <w:bottom w:val="single" w:color="auto" w:sz="4" w:space="0"/>
              <w:right w:val="single" w:color="auto" w:sz="4" w:space="0"/>
            </w:tcBorders>
            <w:vAlign w:val="top"/>
          </w:tcPr>
          <w:p w14:paraId="2EDE0BD1">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tc>
      </w:tr>
      <w:tr w14:paraId="0125CD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9" w:hRule="atLeast"/>
        </w:trPr>
        <w:tc>
          <w:tcPr>
            <w:tcW w:w="850" w:type="dxa"/>
            <w:vMerge w:val="continue"/>
            <w:tcBorders>
              <w:top w:val="single" w:color="auto" w:sz="4" w:space="0"/>
              <w:left w:val="single" w:color="auto" w:sz="4" w:space="0"/>
              <w:bottom w:val="single" w:color="auto" w:sz="4" w:space="0"/>
              <w:right w:val="single" w:color="auto" w:sz="4" w:space="0"/>
            </w:tcBorders>
            <w:vAlign w:val="top"/>
          </w:tcPr>
          <w:p w14:paraId="7C6E50DA">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tc>
        <w:tc>
          <w:tcPr>
            <w:tcW w:w="1232" w:type="dxa"/>
            <w:vMerge w:val="continue"/>
            <w:tcBorders>
              <w:top w:val="single" w:color="auto" w:sz="4" w:space="0"/>
              <w:left w:val="single" w:color="auto" w:sz="4" w:space="0"/>
              <w:bottom w:val="single" w:color="auto" w:sz="4" w:space="0"/>
              <w:right w:val="single" w:color="auto" w:sz="4" w:space="0"/>
            </w:tcBorders>
            <w:vAlign w:val="top"/>
          </w:tcPr>
          <w:p w14:paraId="383CBB0A">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tc>
        <w:tc>
          <w:tcPr>
            <w:tcW w:w="599" w:type="dxa"/>
            <w:tcBorders>
              <w:top w:val="single" w:color="auto" w:sz="4" w:space="0"/>
              <w:left w:val="single" w:color="auto" w:sz="4" w:space="0"/>
              <w:bottom w:val="single" w:color="auto" w:sz="4" w:space="0"/>
              <w:right w:val="single" w:color="auto" w:sz="4" w:space="0"/>
            </w:tcBorders>
            <w:vAlign w:val="top"/>
          </w:tcPr>
          <w:p w14:paraId="49366A08">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211E6FBE">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r>
              <w:rPr>
                <w:rFonts w:hint="eastAsia" w:ascii="宋体" w:hAnsi="宋体" w:eastAsia="宋体" w:cs="宋体"/>
                <w:snapToGrid w:val="0"/>
                <w:color w:val="000000"/>
                <w:kern w:val="0"/>
                <w:sz w:val="24"/>
                <w:szCs w:val="20"/>
                <w:highlight w:val="none"/>
                <w:lang w:val="en-US" w:eastAsia="zh-CN" w:bidi="ar-SA"/>
              </w:rPr>
              <w:t>4</w:t>
            </w:r>
          </w:p>
        </w:tc>
        <w:tc>
          <w:tcPr>
            <w:tcW w:w="6399" w:type="dxa"/>
            <w:tcBorders>
              <w:top w:val="single" w:color="auto" w:sz="4" w:space="0"/>
              <w:left w:val="single" w:color="auto" w:sz="4" w:space="0"/>
              <w:bottom w:val="single" w:color="auto" w:sz="4" w:space="0"/>
              <w:right w:val="single" w:color="auto" w:sz="4" w:space="0"/>
            </w:tcBorders>
            <w:vAlign w:val="top"/>
          </w:tcPr>
          <w:p w14:paraId="423F23EC">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r>
              <w:rPr>
                <w:rFonts w:hint="eastAsia" w:ascii="宋体" w:hAnsi="宋体" w:eastAsia="宋体" w:cs="宋体"/>
                <w:snapToGrid w:val="0"/>
                <w:color w:val="000000"/>
                <w:kern w:val="0"/>
                <w:sz w:val="24"/>
                <w:szCs w:val="20"/>
                <w:highlight w:val="none"/>
                <w:lang w:val="en-US" w:eastAsia="en-US" w:bidi="ar-SA"/>
              </w:rPr>
              <w:t>提供项目负责人(202</w:t>
            </w:r>
            <w:r>
              <w:rPr>
                <w:rFonts w:hint="eastAsia" w:ascii="宋体" w:hAnsi="宋体" w:eastAsia="宋体" w:cs="宋体"/>
                <w:snapToGrid w:val="0"/>
                <w:color w:val="000000"/>
                <w:kern w:val="0"/>
                <w:sz w:val="24"/>
                <w:szCs w:val="20"/>
                <w:highlight w:val="none"/>
                <w:lang w:val="en-US" w:eastAsia="zh-CN" w:bidi="ar-SA"/>
              </w:rPr>
              <w:t>3</w:t>
            </w:r>
            <w:r>
              <w:rPr>
                <w:rFonts w:hint="eastAsia" w:ascii="宋体" w:hAnsi="宋体" w:eastAsia="宋体" w:cs="宋体"/>
                <w:snapToGrid w:val="0"/>
                <w:color w:val="000000"/>
                <w:kern w:val="0"/>
                <w:sz w:val="24"/>
                <w:szCs w:val="20"/>
                <w:highlight w:val="none"/>
                <w:lang w:val="en-US" w:eastAsia="en-US" w:bidi="ar-SA"/>
              </w:rPr>
              <w:t>年</w:t>
            </w:r>
            <w:r>
              <w:rPr>
                <w:rFonts w:hint="eastAsia" w:ascii="宋体" w:hAnsi="宋体" w:eastAsia="宋体" w:cs="宋体"/>
                <w:snapToGrid w:val="0"/>
                <w:color w:val="000000"/>
                <w:kern w:val="0"/>
                <w:sz w:val="24"/>
                <w:szCs w:val="20"/>
                <w:highlight w:val="none"/>
                <w:lang w:val="en-US" w:eastAsia="zh-CN" w:bidi="ar-SA"/>
              </w:rPr>
              <w:t>6</w:t>
            </w:r>
            <w:r>
              <w:rPr>
                <w:rFonts w:hint="eastAsia" w:ascii="宋体" w:hAnsi="宋体" w:eastAsia="宋体" w:cs="宋体"/>
                <w:snapToGrid w:val="0"/>
                <w:color w:val="000000"/>
                <w:kern w:val="0"/>
                <w:sz w:val="24"/>
                <w:szCs w:val="20"/>
                <w:highlight w:val="none"/>
                <w:lang w:val="en-US" w:eastAsia="en-US" w:bidi="ar-SA"/>
              </w:rPr>
              <w:t>月至今)类似项目业绩，合同或委托协议或中标（成交）通知书，</w:t>
            </w:r>
            <w:r>
              <w:rPr>
                <w:rFonts w:hint="eastAsia" w:ascii="宋体" w:hAnsi="宋体" w:eastAsia="宋体" w:cs="宋体"/>
                <w:snapToGrid w:val="0"/>
                <w:color w:val="000000"/>
                <w:kern w:val="0"/>
                <w:sz w:val="24"/>
                <w:szCs w:val="20"/>
                <w:highlight w:val="none"/>
                <w:lang w:val="en-US" w:eastAsia="zh-CN" w:bidi="ar-SA"/>
              </w:rPr>
              <w:t>每</w:t>
            </w:r>
            <w:r>
              <w:rPr>
                <w:rFonts w:hint="eastAsia" w:ascii="宋体" w:hAnsi="宋体" w:eastAsia="宋体" w:cs="宋体"/>
                <w:snapToGrid w:val="0"/>
                <w:color w:val="000000"/>
                <w:kern w:val="0"/>
                <w:sz w:val="24"/>
                <w:szCs w:val="20"/>
                <w:highlight w:val="none"/>
                <w:lang w:val="en-US" w:eastAsia="en-US" w:bidi="ar-SA"/>
              </w:rPr>
              <w:t>提供一个得 2 分，最高可得 4 分。</w:t>
            </w:r>
          </w:p>
          <w:p w14:paraId="6E8D39F6">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r>
              <w:rPr>
                <w:rFonts w:hint="eastAsia" w:ascii="宋体" w:hAnsi="宋体" w:eastAsia="宋体" w:cs="宋体"/>
                <w:snapToGrid w:val="0"/>
                <w:color w:val="000000"/>
                <w:kern w:val="0"/>
                <w:sz w:val="24"/>
                <w:szCs w:val="20"/>
                <w:highlight w:val="none"/>
                <w:lang w:val="en-US" w:eastAsia="en-US" w:bidi="ar-SA"/>
              </w:rPr>
              <w:t>注：合同或协议须体现项目名称、项目时间、项目内容、签订双方单位名称及 公章、项目负责人姓名及联系方式);证明材料应符合要求且清晰可辨，否则将不予认定为有效业绩。</w:t>
            </w:r>
          </w:p>
        </w:tc>
        <w:tc>
          <w:tcPr>
            <w:tcW w:w="1290" w:type="dxa"/>
            <w:tcBorders>
              <w:top w:val="single" w:color="auto" w:sz="4" w:space="0"/>
              <w:left w:val="single" w:color="auto" w:sz="4" w:space="0"/>
              <w:bottom w:val="single" w:color="auto" w:sz="4" w:space="0"/>
              <w:right w:val="single" w:color="auto" w:sz="4" w:space="0"/>
            </w:tcBorders>
            <w:vAlign w:val="top"/>
          </w:tcPr>
          <w:p w14:paraId="254D13DD">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tc>
      </w:tr>
      <w:tr w14:paraId="665A9C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8" w:hRule="atLeast"/>
        </w:trPr>
        <w:tc>
          <w:tcPr>
            <w:tcW w:w="850" w:type="dxa"/>
            <w:vMerge w:val="continue"/>
            <w:tcBorders>
              <w:top w:val="single" w:color="auto" w:sz="4" w:space="0"/>
              <w:left w:val="single" w:color="auto" w:sz="4" w:space="0"/>
              <w:bottom w:val="single" w:color="auto" w:sz="4" w:space="0"/>
              <w:right w:val="single" w:color="auto" w:sz="4" w:space="0"/>
            </w:tcBorders>
            <w:vAlign w:val="top"/>
          </w:tcPr>
          <w:p w14:paraId="034BD1CB">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tc>
        <w:tc>
          <w:tcPr>
            <w:tcW w:w="1232" w:type="dxa"/>
            <w:tcBorders>
              <w:top w:val="single" w:color="auto" w:sz="4" w:space="0"/>
              <w:left w:val="single" w:color="auto" w:sz="4" w:space="0"/>
              <w:bottom w:val="single" w:color="auto" w:sz="4" w:space="0"/>
              <w:right w:val="single" w:color="auto" w:sz="4" w:space="0"/>
            </w:tcBorders>
            <w:vAlign w:val="top"/>
          </w:tcPr>
          <w:p w14:paraId="7892B1F4">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30BFB5D5">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2FC0B0DB">
            <w:pPr>
              <w:pStyle w:val="21"/>
              <w:spacing w:before="233" w:line="242" w:lineRule="auto"/>
              <w:ind w:right="99"/>
              <w:jc w:val="both"/>
              <w:rPr>
                <w:rFonts w:hint="eastAsia" w:ascii="宋体" w:hAnsi="宋体" w:eastAsia="宋体" w:cs="宋体"/>
                <w:snapToGrid w:val="0"/>
                <w:color w:val="000000"/>
                <w:kern w:val="0"/>
                <w:sz w:val="24"/>
                <w:szCs w:val="20"/>
                <w:highlight w:val="none"/>
                <w:lang w:val="en-US" w:eastAsia="en-US" w:bidi="ar-SA"/>
              </w:rPr>
            </w:pPr>
            <w:r>
              <w:rPr>
                <w:rFonts w:hint="eastAsia" w:ascii="宋体" w:hAnsi="宋体" w:eastAsia="宋体" w:cs="宋体"/>
                <w:snapToGrid w:val="0"/>
                <w:color w:val="000000"/>
                <w:kern w:val="0"/>
                <w:sz w:val="24"/>
                <w:szCs w:val="20"/>
                <w:highlight w:val="none"/>
                <w:lang w:val="en-US" w:eastAsia="en-US" w:bidi="ar-SA"/>
              </w:rPr>
              <w:t>项目团队人员配备</w:t>
            </w:r>
          </w:p>
        </w:tc>
        <w:tc>
          <w:tcPr>
            <w:tcW w:w="599" w:type="dxa"/>
            <w:tcBorders>
              <w:top w:val="single" w:color="auto" w:sz="4" w:space="0"/>
              <w:left w:val="single" w:color="auto" w:sz="4" w:space="0"/>
              <w:bottom w:val="single" w:color="auto" w:sz="4" w:space="0"/>
              <w:right w:val="single" w:color="auto" w:sz="4" w:space="0"/>
            </w:tcBorders>
            <w:vAlign w:val="top"/>
          </w:tcPr>
          <w:p w14:paraId="3EF4A2C8">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2C306AFD">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1282E173">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6A8B5DE2">
            <w:pPr>
              <w:pStyle w:val="21"/>
              <w:spacing w:before="233" w:line="242" w:lineRule="auto"/>
              <w:ind w:left="101" w:right="99"/>
              <w:jc w:val="both"/>
              <w:rPr>
                <w:rFonts w:hint="default" w:ascii="宋体" w:hAnsi="宋体" w:eastAsia="宋体" w:cs="宋体"/>
                <w:snapToGrid w:val="0"/>
                <w:color w:val="000000"/>
                <w:kern w:val="0"/>
                <w:sz w:val="24"/>
                <w:szCs w:val="20"/>
                <w:highlight w:val="none"/>
                <w:lang w:val="en-US" w:eastAsia="zh-CN" w:bidi="ar-SA"/>
              </w:rPr>
            </w:pPr>
            <w:r>
              <w:rPr>
                <w:rFonts w:hint="eastAsia" w:ascii="宋体" w:hAnsi="宋体" w:eastAsia="宋体" w:cs="宋体"/>
                <w:snapToGrid w:val="0"/>
                <w:color w:val="000000"/>
                <w:kern w:val="0"/>
                <w:sz w:val="24"/>
                <w:szCs w:val="20"/>
                <w:highlight w:val="none"/>
                <w:lang w:val="en-US" w:eastAsia="zh-CN" w:bidi="ar-SA"/>
              </w:rPr>
              <w:t>10</w:t>
            </w:r>
          </w:p>
        </w:tc>
        <w:tc>
          <w:tcPr>
            <w:tcW w:w="6399" w:type="dxa"/>
            <w:tcBorders>
              <w:top w:val="single" w:color="auto" w:sz="4" w:space="0"/>
              <w:left w:val="single" w:color="auto" w:sz="4" w:space="0"/>
              <w:bottom w:val="single" w:color="auto" w:sz="4" w:space="0"/>
              <w:right w:val="single" w:color="auto" w:sz="4" w:space="0"/>
            </w:tcBorders>
            <w:vAlign w:val="top"/>
          </w:tcPr>
          <w:p w14:paraId="0E0F39C7">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r>
              <w:rPr>
                <w:rFonts w:hint="eastAsia" w:ascii="宋体" w:hAnsi="宋体" w:eastAsia="宋体" w:cs="宋体"/>
                <w:snapToGrid w:val="0"/>
                <w:color w:val="000000"/>
                <w:kern w:val="0"/>
                <w:sz w:val="24"/>
                <w:szCs w:val="20"/>
                <w:highlight w:val="none"/>
                <w:lang w:val="en-US" w:eastAsia="en-US" w:bidi="ar-SA"/>
              </w:rPr>
              <w:t>投标人提供的拟投入的本项目团队人员(不含项目负责人)中具有建筑专业或结构专业高级技术职称或具有一级注册结构工程师的，每提供一个证书得 3 分； 具有建筑专业或结构专业中级技术职称及具有二级注册结构工程师的，每提供  一个证书得 2 分；本项最高得 10 分。</w:t>
            </w:r>
          </w:p>
          <w:p w14:paraId="6151D2B2">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r>
              <w:rPr>
                <w:rFonts w:hint="eastAsia" w:ascii="宋体" w:hAnsi="宋体" w:eastAsia="宋体" w:cs="宋体"/>
                <w:snapToGrid w:val="0"/>
                <w:color w:val="000000"/>
                <w:kern w:val="0"/>
                <w:sz w:val="24"/>
                <w:szCs w:val="20"/>
                <w:highlight w:val="none"/>
                <w:lang w:val="en-US" w:eastAsia="en-US" w:bidi="ar-SA"/>
              </w:rPr>
              <w:t>同一人具有两个以上证书的，仅计算一次(以得分高的有效证书为准),须提供证书扫描件及投标截止时间前 6 个月内任意1 个月在投标单位缴纳社会保险证明材料扫描件，二者缺一不可，未提供或被评标委员会认定无效的，不得分。</w:t>
            </w:r>
          </w:p>
        </w:tc>
        <w:tc>
          <w:tcPr>
            <w:tcW w:w="1290" w:type="dxa"/>
            <w:tcBorders>
              <w:top w:val="single" w:color="auto" w:sz="4" w:space="0"/>
              <w:left w:val="single" w:color="auto" w:sz="4" w:space="0"/>
              <w:bottom w:val="single" w:color="auto" w:sz="4" w:space="0"/>
              <w:right w:val="single" w:color="auto" w:sz="4" w:space="0"/>
            </w:tcBorders>
            <w:vAlign w:val="top"/>
          </w:tcPr>
          <w:p w14:paraId="45524760">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tc>
      </w:tr>
      <w:tr w14:paraId="2C2F2B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850" w:type="dxa"/>
            <w:vMerge w:val="continue"/>
            <w:tcBorders>
              <w:top w:val="single" w:color="auto" w:sz="4" w:space="0"/>
              <w:left w:val="single" w:color="auto" w:sz="4" w:space="0"/>
              <w:bottom w:val="single" w:color="auto" w:sz="4" w:space="0"/>
              <w:right w:val="single" w:color="auto" w:sz="4" w:space="0"/>
            </w:tcBorders>
            <w:vAlign w:val="top"/>
          </w:tcPr>
          <w:p w14:paraId="5D560A98">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tc>
        <w:tc>
          <w:tcPr>
            <w:tcW w:w="1232" w:type="dxa"/>
            <w:tcBorders>
              <w:top w:val="single" w:color="auto" w:sz="4" w:space="0"/>
              <w:left w:val="single" w:color="auto" w:sz="4" w:space="0"/>
              <w:bottom w:val="single" w:color="auto" w:sz="4" w:space="0"/>
              <w:right w:val="single" w:color="auto" w:sz="4" w:space="0"/>
            </w:tcBorders>
            <w:vAlign w:val="top"/>
          </w:tcPr>
          <w:p w14:paraId="16789EC3">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6A69A538">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r>
              <w:rPr>
                <w:rFonts w:hint="eastAsia" w:ascii="宋体" w:hAnsi="宋体" w:eastAsia="宋体" w:cs="宋体"/>
                <w:snapToGrid w:val="0"/>
                <w:color w:val="000000"/>
                <w:kern w:val="0"/>
                <w:sz w:val="24"/>
                <w:szCs w:val="20"/>
                <w:highlight w:val="none"/>
                <w:lang w:val="en-US" w:eastAsia="en-US" w:bidi="ar-SA"/>
              </w:rPr>
              <w:t>项目理解</w:t>
            </w:r>
          </w:p>
        </w:tc>
        <w:tc>
          <w:tcPr>
            <w:tcW w:w="599" w:type="dxa"/>
            <w:tcBorders>
              <w:top w:val="single" w:color="auto" w:sz="4" w:space="0"/>
              <w:left w:val="single" w:color="auto" w:sz="4" w:space="0"/>
              <w:bottom w:val="single" w:color="auto" w:sz="4" w:space="0"/>
              <w:right w:val="single" w:color="auto" w:sz="4" w:space="0"/>
            </w:tcBorders>
            <w:vAlign w:val="top"/>
          </w:tcPr>
          <w:p w14:paraId="27189EA2">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zh-CN" w:bidi="ar-SA"/>
              </w:rPr>
            </w:pPr>
          </w:p>
          <w:p w14:paraId="26BFB5CE">
            <w:pPr>
              <w:pStyle w:val="21"/>
              <w:spacing w:before="233" w:line="242" w:lineRule="auto"/>
              <w:ind w:left="101" w:right="99"/>
              <w:jc w:val="both"/>
              <w:rPr>
                <w:rFonts w:hint="default" w:ascii="宋体" w:hAnsi="宋体" w:eastAsia="宋体" w:cs="宋体"/>
                <w:snapToGrid w:val="0"/>
                <w:color w:val="000000"/>
                <w:kern w:val="0"/>
                <w:sz w:val="24"/>
                <w:szCs w:val="20"/>
                <w:highlight w:val="none"/>
                <w:lang w:val="en-US" w:eastAsia="zh-CN" w:bidi="ar-SA"/>
              </w:rPr>
            </w:pPr>
            <w:r>
              <w:rPr>
                <w:rFonts w:hint="eastAsia" w:ascii="宋体" w:hAnsi="宋体" w:eastAsia="宋体" w:cs="宋体"/>
                <w:snapToGrid w:val="0"/>
                <w:color w:val="000000"/>
                <w:kern w:val="0"/>
                <w:sz w:val="24"/>
                <w:szCs w:val="20"/>
                <w:highlight w:val="none"/>
                <w:lang w:val="en-US" w:eastAsia="zh-CN" w:bidi="ar-SA"/>
              </w:rPr>
              <w:t>15</w:t>
            </w:r>
          </w:p>
        </w:tc>
        <w:tc>
          <w:tcPr>
            <w:tcW w:w="6399" w:type="dxa"/>
            <w:tcBorders>
              <w:top w:val="single" w:color="auto" w:sz="4" w:space="0"/>
              <w:left w:val="single" w:color="auto" w:sz="4" w:space="0"/>
              <w:bottom w:val="single" w:color="auto" w:sz="4" w:space="0"/>
              <w:right w:val="single" w:color="auto" w:sz="4" w:space="0"/>
            </w:tcBorders>
            <w:vAlign w:val="top"/>
          </w:tcPr>
          <w:p w14:paraId="6571755A">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r>
              <w:rPr>
                <w:rFonts w:hint="eastAsia" w:ascii="宋体" w:hAnsi="宋体" w:eastAsia="宋体" w:cs="宋体"/>
                <w:snapToGrid w:val="0"/>
                <w:color w:val="000000"/>
                <w:kern w:val="0"/>
                <w:sz w:val="24"/>
                <w:szCs w:val="20"/>
                <w:highlight w:val="none"/>
                <w:lang w:val="en-US" w:eastAsia="en-US" w:bidi="ar-SA"/>
              </w:rPr>
              <w:t>根据供应商针对本项目提供的需求理解进行评审，包括①项目背景</w:t>
            </w:r>
            <w:r>
              <w:rPr>
                <w:rFonts w:hint="eastAsia" w:ascii="宋体" w:hAnsi="宋体" w:eastAsia="宋体" w:cs="宋体"/>
                <w:snapToGrid w:val="0"/>
                <w:color w:val="000000"/>
                <w:kern w:val="0"/>
                <w:sz w:val="24"/>
                <w:szCs w:val="20"/>
                <w:highlight w:val="none"/>
                <w:lang w:val="en-US" w:eastAsia="zh-CN" w:bidi="ar-SA"/>
              </w:rPr>
              <w:t>；</w:t>
            </w:r>
            <w:r>
              <w:rPr>
                <w:rFonts w:hint="eastAsia" w:ascii="宋体" w:hAnsi="宋体" w:eastAsia="宋体" w:cs="宋体"/>
                <w:snapToGrid w:val="0"/>
                <w:color w:val="000000"/>
                <w:kern w:val="0"/>
                <w:sz w:val="24"/>
                <w:szCs w:val="20"/>
                <w:highlight w:val="none"/>
                <w:lang w:val="en-US" w:eastAsia="en-US" w:bidi="ar-SA"/>
              </w:rPr>
              <w:t>②项目现状</w:t>
            </w:r>
            <w:r>
              <w:rPr>
                <w:rFonts w:hint="eastAsia" w:ascii="宋体" w:hAnsi="宋体" w:eastAsia="宋体" w:cs="宋体"/>
                <w:snapToGrid w:val="0"/>
                <w:color w:val="000000"/>
                <w:kern w:val="0"/>
                <w:sz w:val="24"/>
                <w:szCs w:val="20"/>
                <w:highlight w:val="none"/>
                <w:lang w:val="en-US" w:eastAsia="zh-CN" w:bidi="ar-SA"/>
              </w:rPr>
              <w:t>；</w:t>
            </w:r>
            <w:r>
              <w:rPr>
                <w:rFonts w:hint="eastAsia" w:ascii="宋体" w:hAnsi="宋体" w:eastAsia="宋体" w:cs="宋体"/>
                <w:snapToGrid w:val="0"/>
                <w:color w:val="000000"/>
                <w:kern w:val="0"/>
                <w:sz w:val="24"/>
                <w:szCs w:val="20"/>
                <w:highlight w:val="none"/>
                <w:lang w:val="en-US" w:eastAsia="en-US" w:bidi="ar-SA"/>
              </w:rPr>
              <w:t>③需求分析</w:t>
            </w:r>
            <w:r>
              <w:rPr>
                <w:rFonts w:hint="eastAsia" w:ascii="宋体" w:hAnsi="宋体" w:eastAsia="宋体" w:cs="宋体"/>
                <w:snapToGrid w:val="0"/>
                <w:color w:val="000000"/>
                <w:kern w:val="0"/>
                <w:sz w:val="24"/>
                <w:szCs w:val="20"/>
                <w:highlight w:val="none"/>
                <w:lang w:val="en-US" w:eastAsia="zh-CN" w:bidi="ar-SA"/>
              </w:rPr>
              <w:t>；</w:t>
            </w:r>
            <w:r>
              <w:rPr>
                <w:rFonts w:hint="eastAsia" w:ascii="宋体" w:hAnsi="宋体" w:eastAsia="宋体" w:cs="宋体"/>
                <w:snapToGrid w:val="0"/>
                <w:color w:val="000000"/>
                <w:kern w:val="0"/>
                <w:sz w:val="24"/>
                <w:szCs w:val="20"/>
                <w:highlight w:val="none"/>
                <w:lang w:val="en-US" w:eastAsia="en-US" w:bidi="ar-SA"/>
              </w:rPr>
              <w:t>④整体工作流程</w:t>
            </w:r>
            <w:r>
              <w:rPr>
                <w:rFonts w:hint="eastAsia" w:ascii="宋体" w:hAnsi="宋体" w:eastAsia="宋体" w:cs="宋体"/>
                <w:snapToGrid w:val="0"/>
                <w:color w:val="000000"/>
                <w:kern w:val="0"/>
                <w:sz w:val="24"/>
                <w:szCs w:val="20"/>
                <w:highlight w:val="none"/>
                <w:lang w:val="en-US" w:eastAsia="zh-CN" w:bidi="ar-SA"/>
              </w:rPr>
              <w:t>；</w:t>
            </w:r>
            <w:r>
              <w:rPr>
                <w:rFonts w:hint="eastAsia" w:ascii="宋体" w:hAnsi="宋体" w:eastAsia="宋体" w:cs="宋体"/>
                <w:snapToGrid w:val="0"/>
                <w:color w:val="000000"/>
                <w:kern w:val="0"/>
                <w:sz w:val="24"/>
                <w:szCs w:val="20"/>
                <w:highlight w:val="none"/>
                <w:lang w:val="en-US" w:eastAsia="en-US" w:bidi="ar-SA"/>
              </w:rPr>
              <w:t>⑤工作依据等。以上</w:t>
            </w:r>
            <w:r>
              <w:rPr>
                <w:rFonts w:hint="eastAsia" w:ascii="宋体" w:hAnsi="宋体" w:eastAsia="宋体" w:cs="宋体"/>
                <w:snapToGrid w:val="0"/>
                <w:color w:val="000000"/>
                <w:kern w:val="0"/>
                <w:sz w:val="24"/>
                <w:szCs w:val="20"/>
                <w:highlight w:val="none"/>
                <w:lang w:val="en-US" w:eastAsia="zh-CN" w:bidi="ar-SA"/>
              </w:rPr>
              <w:t>内容</w:t>
            </w:r>
            <w:r>
              <w:rPr>
                <w:rFonts w:hint="eastAsia" w:ascii="宋体" w:hAnsi="宋体" w:eastAsia="宋体" w:cs="宋体"/>
                <w:snapToGrid w:val="0"/>
                <w:color w:val="000000"/>
                <w:kern w:val="0"/>
                <w:sz w:val="24"/>
                <w:szCs w:val="20"/>
                <w:highlight w:val="none"/>
                <w:lang w:val="en-US" w:eastAsia="en-US" w:bidi="ar-SA"/>
              </w:rPr>
              <w:t>贴合本项目实际情况、方案内容全面、逻辑清晰，完全满足项目采购需求的得 15 分，每有</w:t>
            </w:r>
            <w:r>
              <w:rPr>
                <w:rFonts w:hint="eastAsia" w:ascii="宋体" w:hAnsi="宋体" w:eastAsia="宋体" w:cs="宋体"/>
                <w:snapToGrid w:val="0"/>
                <w:color w:val="000000"/>
                <w:kern w:val="0"/>
                <w:sz w:val="24"/>
                <w:szCs w:val="20"/>
                <w:highlight w:val="none"/>
                <w:lang w:val="en-US" w:eastAsia="zh-CN" w:bidi="ar-SA"/>
              </w:rPr>
              <w:t xml:space="preserve"> </w:t>
            </w:r>
            <w:r>
              <w:rPr>
                <w:rFonts w:hint="eastAsia" w:ascii="宋体" w:hAnsi="宋体" w:eastAsia="宋体" w:cs="宋体"/>
                <w:snapToGrid w:val="0"/>
                <w:color w:val="000000"/>
                <w:kern w:val="0"/>
                <w:sz w:val="24"/>
                <w:szCs w:val="20"/>
                <w:highlight w:val="none"/>
                <w:lang w:val="en-US" w:eastAsia="en-US" w:bidi="ar-SA"/>
              </w:rPr>
              <w:t>1</w:t>
            </w:r>
            <w:r>
              <w:rPr>
                <w:rFonts w:hint="eastAsia" w:ascii="宋体" w:hAnsi="宋体" w:eastAsia="宋体" w:cs="宋体"/>
                <w:snapToGrid w:val="0"/>
                <w:color w:val="000000"/>
                <w:kern w:val="0"/>
                <w:sz w:val="24"/>
                <w:szCs w:val="20"/>
                <w:highlight w:val="none"/>
                <w:lang w:val="en-US" w:eastAsia="zh-CN" w:bidi="ar-SA"/>
              </w:rPr>
              <w:t xml:space="preserve"> </w:t>
            </w:r>
            <w:r>
              <w:rPr>
                <w:rFonts w:hint="eastAsia" w:ascii="宋体" w:hAnsi="宋体" w:eastAsia="宋体" w:cs="宋体"/>
                <w:snapToGrid w:val="0"/>
                <w:color w:val="000000"/>
                <w:kern w:val="0"/>
                <w:sz w:val="24"/>
                <w:szCs w:val="20"/>
                <w:highlight w:val="none"/>
                <w:lang w:val="en-US" w:eastAsia="en-US" w:bidi="ar-SA"/>
              </w:rPr>
              <w:t>处 瑕疵的扣 3 分，扣完为止。</w:t>
            </w:r>
          </w:p>
        </w:tc>
        <w:tc>
          <w:tcPr>
            <w:tcW w:w="1290" w:type="dxa"/>
            <w:vMerge w:val="restart"/>
            <w:tcBorders>
              <w:top w:val="single" w:color="auto" w:sz="4" w:space="0"/>
              <w:left w:val="single" w:color="auto" w:sz="4" w:space="0"/>
              <w:bottom w:val="single" w:color="auto" w:sz="4" w:space="0"/>
              <w:right w:val="single" w:color="auto" w:sz="4" w:space="0"/>
            </w:tcBorders>
            <w:vAlign w:val="top"/>
          </w:tcPr>
          <w:p w14:paraId="1D09F62D">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tc>
      </w:tr>
      <w:tr w14:paraId="3B80B1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850" w:type="dxa"/>
            <w:vMerge w:val="continue"/>
            <w:tcBorders>
              <w:top w:val="single" w:color="auto" w:sz="4" w:space="0"/>
              <w:left w:val="single" w:color="auto" w:sz="4" w:space="0"/>
              <w:bottom w:val="single" w:color="auto" w:sz="4" w:space="0"/>
              <w:right w:val="single" w:color="auto" w:sz="4" w:space="0"/>
            </w:tcBorders>
            <w:vAlign w:val="top"/>
          </w:tcPr>
          <w:p w14:paraId="4687783E">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tc>
        <w:tc>
          <w:tcPr>
            <w:tcW w:w="1232" w:type="dxa"/>
            <w:tcBorders>
              <w:top w:val="single" w:color="auto" w:sz="4" w:space="0"/>
              <w:left w:val="single" w:color="auto" w:sz="4" w:space="0"/>
              <w:bottom w:val="single" w:color="auto" w:sz="4" w:space="0"/>
              <w:right w:val="single" w:color="auto" w:sz="4" w:space="0"/>
            </w:tcBorders>
            <w:vAlign w:val="top"/>
          </w:tcPr>
          <w:p w14:paraId="6F17AA71">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r>
              <w:rPr>
                <w:rFonts w:hint="eastAsia" w:ascii="宋体" w:hAnsi="宋体" w:eastAsia="宋体" w:cs="宋体"/>
                <w:snapToGrid w:val="0"/>
                <w:color w:val="000000"/>
                <w:kern w:val="0"/>
                <w:sz w:val="24"/>
                <w:szCs w:val="20"/>
                <w:highlight w:val="none"/>
                <w:lang w:val="en-US" w:eastAsia="en-US" w:bidi="ar-SA"/>
              </w:rPr>
              <w:t>重点难点分析</w:t>
            </w:r>
          </w:p>
        </w:tc>
        <w:tc>
          <w:tcPr>
            <w:tcW w:w="599" w:type="dxa"/>
            <w:tcBorders>
              <w:top w:val="single" w:color="auto" w:sz="4" w:space="0"/>
              <w:left w:val="single" w:color="auto" w:sz="4" w:space="0"/>
              <w:bottom w:val="single" w:color="auto" w:sz="4" w:space="0"/>
              <w:right w:val="single" w:color="auto" w:sz="4" w:space="0"/>
            </w:tcBorders>
            <w:vAlign w:val="top"/>
          </w:tcPr>
          <w:p w14:paraId="720F4618">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r>
              <w:rPr>
                <w:rFonts w:hint="eastAsia" w:ascii="宋体" w:hAnsi="宋体" w:eastAsia="宋体" w:cs="宋体"/>
                <w:snapToGrid w:val="0"/>
                <w:color w:val="000000"/>
                <w:kern w:val="0"/>
                <w:sz w:val="24"/>
                <w:szCs w:val="20"/>
                <w:highlight w:val="none"/>
                <w:lang w:val="en-US" w:eastAsia="en-US" w:bidi="ar-SA"/>
              </w:rPr>
              <w:t>10</w:t>
            </w:r>
          </w:p>
        </w:tc>
        <w:tc>
          <w:tcPr>
            <w:tcW w:w="6399" w:type="dxa"/>
            <w:tcBorders>
              <w:top w:val="single" w:color="auto" w:sz="4" w:space="0"/>
              <w:left w:val="single" w:color="auto" w:sz="4" w:space="0"/>
              <w:bottom w:val="single" w:color="auto" w:sz="4" w:space="0"/>
              <w:right w:val="single" w:color="auto" w:sz="4" w:space="0"/>
            </w:tcBorders>
            <w:vAlign w:val="top"/>
          </w:tcPr>
          <w:p w14:paraId="1CAE9C36">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r>
              <w:rPr>
                <w:rFonts w:hint="eastAsia" w:ascii="宋体" w:hAnsi="宋体" w:eastAsia="宋体" w:cs="宋体"/>
                <w:snapToGrid w:val="0"/>
                <w:color w:val="000000"/>
                <w:kern w:val="0"/>
                <w:sz w:val="24"/>
                <w:szCs w:val="20"/>
                <w:highlight w:val="none"/>
                <w:lang w:val="en-US" w:eastAsia="en-US" w:bidi="ar-SA"/>
              </w:rPr>
              <w:t>根据本项目特点及实际情况，提供完善、细致的重点难点分析方案，方案先进、 规范、科学合理、可行性强，得 10 分。每有</w:t>
            </w:r>
            <w:r>
              <w:rPr>
                <w:rFonts w:hint="eastAsia" w:ascii="宋体" w:hAnsi="宋体" w:eastAsia="宋体" w:cs="宋体"/>
                <w:snapToGrid w:val="0"/>
                <w:color w:val="000000"/>
                <w:kern w:val="0"/>
                <w:sz w:val="24"/>
                <w:szCs w:val="20"/>
                <w:highlight w:val="none"/>
                <w:lang w:val="en-US" w:eastAsia="zh-CN" w:bidi="ar-SA"/>
              </w:rPr>
              <w:t xml:space="preserve"> </w:t>
            </w:r>
            <w:r>
              <w:rPr>
                <w:rFonts w:hint="eastAsia" w:ascii="宋体" w:hAnsi="宋体" w:eastAsia="宋体" w:cs="宋体"/>
                <w:snapToGrid w:val="0"/>
                <w:color w:val="000000"/>
                <w:kern w:val="0"/>
                <w:sz w:val="24"/>
                <w:szCs w:val="20"/>
                <w:highlight w:val="none"/>
                <w:lang w:val="en-US" w:eastAsia="en-US" w:bidi="ar-SA"/>
              </w:rPr>
              <w:t>1 处瑕疵的扣 1 分，扣完为止。</w:t>
            </w:r>
          </w:p>
        </w:tc>
        <w:tc>
          <w:tcPr>
            <w:tcW w:w="1290" w:type="dxa"/>
            <w:vMerge w:val="continue"/>
            <w:tcBorders>
              <w:top w:val="single" w:color="auto" w:sz="4" w:space="0"/>
              <w:left w:val="single" w:color="auto" w:sz="4" w:space="0"/>
              <w:bottom w:val="single" w:color="auto" w:sz="4" w:space="0"/>
              <w:right w:val="single" w:color="auto" w:sz="4" w:space="0"/>
            </w:tcBorders>
            <w:vAlign w:val="top"/>
          </w:tcPr>
          <w:p w14:paraId="7DFE2AEC">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tc>
      </w:tr>
      <w:tr w14:paraId="62C661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2" w:hRule="atLeast"/>
        </w:trPr>
        <w:tc>
          <w:tcPr>
            <w:tcW w:w="850" w:type="dxa"/>
            <w:vMerge w:val="continue"/>
            <w:tcBorders>
              <w:top w:val="single" w:color="auto" w:sz="4" w:space="0"/>
              <w:left w:val="single" w:color="auto" w:sz="4" w:space="0"/>
              <w:bottom w:val="single" w:color="auto" w:sz="4" w:space="0"/>
              <w:right w:val="single" w:color="auto" w:sz="4" w:space="0"/>
            </w:tcBorders>
            <w:vAlign w:val="top"/>
          </w:tcPr>
          <w:p w14:paraId="3D9B7E60">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tc>
        <w:tc>
          <w:tcPr>
            <w:tcW w:w="1232" w:type="dxa"/>
            <w:tcBorders>
              <w:top w:val="single" w:color="auto" w:sz="4" w:space="0"/>
              <w:left w:val="single" w:color="auto" w:sz="4" w:space="0"/>
              <w:bottom w:val="single" w:color="auto" w:sz="4" w:space="0"/>
              <w:right w:val="single" w:color="auto" w:sz="4" w:space="0"/>
            </w:tcBorders>
            <w:vAlign w:val="top"/>
          </w:tcPr>
          <w:p w14:paraId="4D6B1AE1">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47D2E7AB">
            <w:pPr>
              <w:pStyle w:val="21"/>
              <w:spacing w:before="233" w:line="242" w:lineRule="auto"/>
              <w:ind w:right="99"/>
              <w:jc w:val="both"/>
              <w:rPr>
                <w:rFonts w:hint="eastAsia" w:ascii="宋体" w:hAnsi="宋体" w:eastAsia="宋体" w:cs="宋体"/>
                <w:snapToGrid w:val="0"/>
                <w:color w:val="000000"/>
                <w:kern w:val="0"/>
                <w:sz w:val="24"/>
                <w:szCs w:val="20"/>
                <w:highlight w:val="none"/>
                <w:lang w:val="en-US" w:eastAsia="en-US" w:bidi="ar-SA"/>
              </w:rPr>
            </w:pPr>
            <w:r>
              <w:rPr>
                <w:rFonts w:hint="eastAsia" w:ascii="宋体" w:hAnsi="宋体" w:eastAsia="宋体" w:cs="宋体"/>
                <w:snapToGrid w:val="0"/>
                <w:color w:val="000000"/>
                <w:kern w:val="0"/>
                <w:sz w:val="24"/>
                <w:szCs w:val="20"/>
                <w:highlight w:val="none"/>
                <w:lang w:val="en-US" w:eastAsia="en-US" w:bidi="ar-SA"/>
              </w:rPr>
              <w:t>具体鉴定评估实施方案</w:t>
            </w:r>
          </w:p>
        </w:tc>
        <w:tc>
          <w:tcPr>
            <w:tcW w:w="599" w:type="dxa"/>
            <w:tcBorders>
              <w:top w:val="single" w:color="auto" w:sz="4" w:space="0"/>
              <w:left w:val="single" w:color="auto" w:sz="4" w:space="0"/>
              <w:bottom w:val="single" w:color="auto" w:sz="4" w:space="0"/>
              <w:right w:val="single" w:color="auto" w:sz="4" w:space="0"/>
            </w:tcBorders>
            <w:vAlign w:val="top"/>
          </w:tcPr>
          <w:p w14:paraId="25784361">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5893294B">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08C65A80">
            <w:pPr>
              <w:pStyle w:val="21"/>
              <w:spacing w:before="233" w:line="242" w:lineRule="auto"/>
              <w:ind w:left="101" w:right="99"/>
              <w:jc w:val="both"/>
              <w:rPr>
                <w:rFonts w:hint="default" w:ascii="宋体" w:hAnsi="宋体" w:eastAsia="宋体" w:cs="宋体"/>
                <w:snapToGrid w:val="0"/>
                <w:color w:val="000000"/>
                <w:kern w:val="0"/>
                <w:sz w:val="24"/>
                <w:szCs w:val="20"/>
                <w:highlight w:val="none"/>
                <w:lang w:val="en-US" w:eastAsia="zh-CN" w:bidi="ar-SA"/>
              </w:rPr>
            </w:pPr>
            <w:r>
              <w:rPr>
                <w:rFonts w:hint="eastAsia" w:ascii="宋体" w:hAnsi="宋体" w:eastAsia="宋体" w:cs="宋体"/>
                <w:snapToGrid w:val="0"/>
                <w:color w:val="000000"/>
                <w:kern w:val="0"/>
                <w:sz w:val="24"/>
                <w:szCs w:val="20"/>
                <w:highlight w:val="none"/>
                <w:lang w:val="en-US" w:eastAsia="zh-CN" w:bidi="ar-SA"/>
              </w:rPr>
              <w:t>24</w:t>
            </w:r>
          </w:p>
        </w:tc>
        <w:tc>
          <w:tcPr>
            <w:tcW w:w="6399" w:type="dxa"/>
            <w:tcBorders>
              <w:top w:val="single" w:color="auto" w:sz="4" w:space="0"/>
              <w:left w:val="single" w:color="auto" w:sz="4" w:space="0"/>
              <w:bottom w:val="single" w:color="auto" w:sz="4" w:space="0"/>
              <w:right w:val="single" w:color="auto" w:sz="4" w:space="0"/>
            </w:tcBorders>
            <w:vAlign w:val="top"/>
          </w:tcPr>
          <w:p w14:paraId="77CB87CB">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r>
              <w:rPr>
                <w:rFonts w:hint="eastAsia" w:ascii="宋体" w:hAnsi="宋体" w:eastAsia="宋体" w:cs="宋体"/>
                <w:snapToGrid w:val="0"/>
                <w:color w:val="000000"/>
                <w:kern w:val="0"/>
                <w:sz w:val="24"/>
                <w:szCs w:val="20"/>
                <w:highlight w:val="none"/>
                <w:lang w:val="en-US" w:eastAsia="en-US" w:bidi="ar-SA"/>
              </w:rPr>
              <w:t>根据供应商针对本项目提供的具体鉴定评估方案进行评审，包括①场地情况鉴定评估实施方案；②地基基础鉴定评估实施方案； ③上部结构鉴定评估实施方案；④隔震与消能减震设施鉴定评估施方案；⑤建筑非结构构件及附属设施鉴定 评估实施方案；⑥以上方案贴合本项目实际情况、方案内容全面、逻辑清晰， 完全满足项目采购需求的得 24 分，每有</w:t>
            </w:r>
            <w:r>
              <w:rPr>
                <w:rFonts w:hint="eastAsia" w:ascii="宋体" w:hAnsi="宋体" w:eastAsia="宋体" w:cs="宋体"/>
                <w:snapToGrid w:val="0"/>
                <w:color w:val="000000"/>
                <w:kern w:val="0"/>
                <w:sz w:val="24"/>
                <w:szCs w:val="20"/>
                <w:highlight w:val="none"/>
                <w:lang w:val="en-US" w:eastAsia="zh-CN" w:bidi="ar-SA"/>
              </w:rPr>
              <w:t xml:space="preserve"> </w:t>
            </w:r>
            <w:r>
              <w:rPr>
                <w:rFonts w:hint="eastAsia" w:ascii="宋体" w:hAnsi="宋体" w:eastAsia="宋体" w:cs="宋体"/>
                <w:snapToGrid w:val="0"/>
                <w:color w:val="000000"/>
                <w:kern w:val="0"/>
                <w:sz w:val="24"/>
                <w:szCs w:val="20"/>
                <w:highlight w:val="none"/>
                <w:lang w:val="en-US" w:eastAsia="en-US" w:bidi="ar-SA"/>
              </w:rPr>
              <w:t>1 处瑕疵的扣 4 分，扣完为止。</w:t>
            </w:r>
          </w:p>
        </w:tc>
        <w:tc>
          <w:tcPr>
            <w:tcW w:w="1290" w:type="dxa"/>
            <w:vMerge w:val="continue"/>
            <w:tcBorders>
              <w:top w:val="single" w:color="auto" w:sz="4" w:space="0"/>
              <w:left w:val="single" w:color="auto" w:sz="4" w:space="0"/>
              <w:bottom w:val="single" w:color="auto" w:sz="4" w:space="0"/>
              <w:right w:val="single" w:color="auto" w:sz="4" w:space="0"/>
            </w:tcBorders>
            <w:vAlign w:val="top"/>
          </w:tcPr>
          <w:p w14:paraId="75CE4B2A">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tc>
      </w:tr>
      <w:tr w14:paraId="0D92CB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4" w:hRule="atLeast"/>
        </w:trPr>
        <w:tc>
          <w:tcPr>
            <w:tcW w:w="850" w:type="dxa"/>
            <w:vMerge w:val="continue"/>
            <w:tcBorders>
              <w:top w:val="single" w:color="auto" w:sz="4" w:space="0"/>
              <w:left w:val="single" w:color="auto" w:sz="4" w:space="0"/>
              <w:bottom w:val="single" w:color="auto" w:sz="4" w:space="0"/>
              <w:right w:val="single" w:color="auto" w:sz="4" w:space="0"/>
            </w:tcBorders>
            <w:vAlign w:val="top"/>
          </w:tcPr>
          <w:p w14:paraId="1B5A9F31">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tc>
        <w:tc>
          <w:tcPr>
            <w:tcW w:w="1232" w:type="dxa"/>
            <w:tcBorders>
              <w:top w:val="single" w:color="auto" w:sz="4" w:space="0"/>
              <w:left w:val="single" w:color="auto" w:sz="4" w:space="0"/>
              <w:bottom w:val="single" w:color="auto" w:sz="4" w:space="0"/>
              <w:right w:val="single" w:color="auto" w:sz="4" w:space="0"/>
            </w:tcBorders>
            <w:vAlign w:val="top"/>
          </w:tcPr>
          <w:p w14:paraId="5870CCA9">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6649B11A">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6D8E63A9">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r>
              <w:rPr>
                <w:rFonts w:hint="eastAsia" w:ascii="宋体" w:hAnsi="宋体" w:eastAsia="宋体" w:cs="宋体"/>
                <w:snapToGrid w:val="0"/>
                <w:color w:val="000000"/>
                <w:kern w:val="0"/>
                <w:sz w:val="24"/>
                <w:szCs w:val="20"/>
                <w:highlight w:val="none"/>
                <w:lang w:val="en-US" w:eastAsia="en-US" w:bidi="ar-SA"/>
              </w:rPr>
              <w:t>服务方案</w:t>
            </w:r>
          </w:p>
        </w:tc>
        <w:tc>
          <w:tcPr>
            <w:tcW w:w="599" w:type="dxa"/>
            <w:tcBorders>
              <w:top w:val="single" w:color="auto" w:sz="4" w:space="0"/>
              <w:left w:val="single" w:color="auto" w:sz="4" w:space="0"/>
              <w:bottom w:val="single" w:color="auto" w:sz="4" w:space="0"/>
              <w:right w:val="single" w:color="auto" w:sz="4" w:space="0"/>
            </w:tcBorders>
            <w:vAlign w:val="top"/>
          </w:tcPr>
          <w:p w14:paraId="39AD2264">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79F57F40">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6FF6B003">
            <w:pPr>
              <w:pStyle w:val="21"/>
              <w:spacing w:before="233" w:line="242" w:lineRule="auto"/>
              <w:ind w:left="101" w:right="99"/>
              <w:jc w:val="both"/>
              <w:rPr>
                <w:rFonts w:hint="default" w:ascii="宋体" w:hAnsi="宋体" w:eastAsia="宋体" w:cs="宋体"/>
                <w:snapToGrid w:val="0"/>
                <w:color w:val="000000"/>
                <w:kern w:val="0"/>
                <w:sz w:val="24"/>
                <w:szCs w:val="20"/>
                <w:highlight w:val="none"/>
                <w:lang w:val="en-US" w:eastAsia="zh-CN" w:bidi="ar-SA"/>
              </w:rPr>
            </w:pPr>
            <w:r>
              <w:rPr>
                <w:rFonts w:hint="eastAsia" w:ascii="宋体" w:hAnsi="宋体" w:eastAsia="宋体" w:cs="宋体"/>
                <w:snapToGrid w:val="0"/>
                <w:color w:val="000000"/>
                <w:kern w:val="0"/>
                <w:sz w:val="24"/>
                <w:szCs w:val="20"/>
                <w:highlight w:val="none"/>
                <w:lang w:val="en-US" w:eastAsia="zh-CN" w:bidi="ar-SA"/>
              </w:rPr>
              <w:t>10</w:t>
            </w:r>
          </w:p>
        </w:tc>
        <w:tc>
          <w:tcPr>
            <w:tcW w:w="6399" w:type="dxa"/>
            <w:tcBorders>
              <w:top w:val="single" w:color="auto" w:sz="4" w:space="0"/>
              <w:left w:val="single" w:color="auto" w:sz="4" w:space="0"/>
              <w:bottom w:val="single" w:color="auto" w:sz="4" w:space="0"/>
              <w:right w:val="single" w:color="auto" w:sz="4" w:space="0"/>
            </w:tcBorders>
            <w:vAlign w:val="top"/>
          </w:tcPr>
          <w:p w14:paraId="2B5A779E">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r>
              <w:rPr>
                <w:rFonts w:hint="eastAsia" w:ascii="宋体" w:hAnsi="宋体" w:eastAsia="宋体" w:cs="宋体"/>
                <w:snapToGrid w:val="0"/>
                <w:color w:val="000000"/>
                <w:kern w:val="0"/>
                <w:sz w:val="24"/>
                <w:szCs w:val="20"/>
                <w:highlight w:val="none"/>
                <w:lang w:val="en-US" w:eastAsia="en-US" w:bidi="ar-SA"/>
              </w:rPr>
              <w:t>根据项目情况提供①项目质量保障方案、②项目进度保障方案、③项目组织管理 方案，④鉴定报告管理方案，⑤根据鉴定结果对安全性或抗震性存在问题的房屋 提供初步加固方案，以及大概所需加固资金预算等；以上方案贴合本项目实际 情况、方案内容全面、逻辑清晰，  完全满足项目采购需求的得 10 分，每有1 处 瑕疵的扣 2 分，扣完为止</w:t>
            </w:r>
          </w:p>
        </w:tc>
        <w:tc>
          <w:tcPr>
            <w:tcW w:w="1290" w:type="dxa"/>
            <w:vMerge w:val="continue"/>
            <w:tcBorders>
              <w:top w:val="single" w:color="auto" w:sz="4" w:space="0"/>
              <w:left w:val="single" w:color="auto" w:sz="4" w:space="0"/>
              <w:bottom w:val="single" w:color="auto" w:sz="4" w:space="0"/>
              <w:right w:val="single" w:color="auto" w:sz="4" w:space="0"/>
            </w:tcBorders>
            <w:vAlign w:val="top"/>
          </w:tcPr>
          <w:p w14:paraId="2697BCA1">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tc>
      </w:tr>
    </w:tbl>
    <w:tbl>
      <w:tblPr>
        <w:tblStyle w:val="20"/>
        <w:tblpPr w:leftFromText="180" w:rightFromText="180" w:vertAnchor="text" w:horzAnchor="page" w:tblpX="898" w:tblpY="5"/>
        <w:tblOverlap w:val="never"/>
        <w:tblW w:w="1035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5"/>
        <w:gridCol w:w="1216"/>
        <w:gridCol w:w="628"/>
        <w:gridCol w:w="6395"/>
        <w:gridCol w:w="1266"/>
      </w:tblGrid>
      <w:tr w14:paraId="4DE075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2" w:hRule="atLeast"/>
        </w:trPr>
        <w:tc>
          <w:tcPr>
            <w:tcW w:w="845" w:type="dxa"/>
            <w:vMerge w:val="restart"/>
            <w:tcBorders>
              <w:bottom w:val="single" w:color="auto" w:sz="4" w:space="0"/>
              <w:right w:val="single" w:color="auto" w:sz="4" w:space="0"/>
            </w:tcBorders>
            <w:vAlign w:val="top"/>
          </w:tcPr>
          <w:p w14:paraId="57D9D002">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tc>
        <w:tc>
          <w:tcPr>
            <w:tcW w:w="1216" w:type="dxa"/>
            <w:tcBorders>
              <w:left w:val="single" w:color="auto" w:sz="4" w:space="0"/>
              <w:bottom w:val="single" w:color="auto" w:sz="4" w:space="0"/>
              <w:right w:val="single" w:color="auto" w:sz="4" w:space="0"/>
            </w:tcBorders>
            <w:vAlign w:val="top"/>
          </w:tcPr>
          <w:p w14:paraId="38FC82FF">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1E64491E">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r>
              <w:rPr>
                <w:rFonts w:hint="eastAsia" w:ascii="宋体" w:hAnsi="宋体" w:eastAsia="宋体" w:cs="宋体"/>
                <w:snapToGrid w:val="0"/>
                <w:color w:val="000000"/>
                <w:kern w:val="0"/>
                <w:sz w:val="24"/>
                <w:szCs w:val="20"/>
                <w:highlight w:val="none"/>
                <w:lang w:val="en-US" w:eastAsia="en-US" w:bidi="ar-SA"/>
              </w:rPr>
              <w:t>合理化建议与措施</w:t>
            </w:r>
          </w:p>
        </w:tc>
        <w:tc>
          <w:tcPr>
            <w:tcW w:w="628" w:type="dxa"/>
            <w:tcBorders>
              <w:left w:val="single" w:color="auto" w:sz="4" w:space="0"/>
              <w:bottom w:val="single" w:color="auto" w:sz="4" w:space="0"/>
              <w:right w:val="single" w:color="auto" w:sz="4" w:space="0"/>
            </w:tcBorders>
            <w:vAlign w:val="top"/>
          </w:tcPr>
          <w:p w14:paraId="684DA454">
            <w:pPr>
              <w:pStyle w:val="21"/>
              <w:spacing w:before="233" w:line="242" w:lineRule="auto"/>
              <w:ind w:right="99"/>
              <w:jc w:val="both"/>
              <w:rPr>
                <w:rFonts w:hint="eastAsia" w:ascii="宋体" w:hAnsi="宋体" w:eastAsia="宋体" w:cs="宋体"/>
                <w:snapToGrid w:val="0"/>
                <w:color w:val="000000"/>
                <w:kern w:val="0"/>
                <w:sz w:val="24"/>
                <w:szCs w:val="20"/>
                <w:highlight w:val="none"/>
                <w:lang w:val="en-US" w:eastAsia="zh-CN" w:bidi="ar-SA"/>
              </w:rPr>
            </w:pPr>
          </w:p>
          <w:p w14:paraId="7AD2DDB2">
            <w:pPr>
              <w:pStyle w:val="21"/>
              <w:spacing w:before="233" w:line="242" w:lineRule="auto"/>
              <w:ind w:right="99"/>
              <w:jc w:val="center"/>
              <w:rPr>
                <w:rFonts w:hint="eastAsia" w:ascii="宋体" w:hAnsi="宋体" w:eastAsia="宋体" w:cs="宋体"/>
                <w:snapToGrid w:val="0"/>
                <w:color w:val="000000"/>
                <w:kern w:val="0"/>
                <w:sz w:val="24"/>
                <w:szCs w:val="20"/>
                <w:highlight w:val="none"/>
                <w:lang w:val="en-US" w:eastAsia="en-US" w:bidi="ar-SA"/>
              </w:rPr>
            </w:pPr>
            <w:r>
              <w:rPr>
                <w:rFonts w:hint="eastAsia" w:ascii="宋体" w:hAnsi="宋体" w:eastAsia="宋体" w:cs="宋体"/>
                <w:snapToGrid w:val="0"/>
                <w:color w:val="000000"/>
                <w:kern w:val="0"/>
                <w:sz w:val="24"/>
                <w:szCs w:val="20"/>
                <w:highlight w:val="none"/>
                <w:lang w:val="en-US" w:eastAsia="zh-CN" w:bidi="ar-SA"/>
              </w:rPr>
              <w:t>5</w:t>
            </w:r>
          </w:p>
        </w:tc>
        <w:tc>
          <w:tcPr>
            <w:tcW w:w="6395" w:type="dxa"/>
            <w:tcBorders>
              <w:left w:val="single" w:color="auto" w:sz="4" w:space="0"/>
              <w:bottom w:val="single" w:color="auto" w:sz="4" w:space="0"/>
              <w:right w:val="single" w:color="auto" w:sz="4" w:space="0"/>
            </w:tcBorders>
            <w:vAlign w:val="top"/>
          </w:tcPr>
          <w:p w14:paraId="36717544">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r>
              <w:rPr>
                <w:rFonts w:hint="eastAsia" w:ascii="宋体" w:hAnsi="宋体" w:eastAsia="宋体" w:cs="宋体"/>
                <w:snapToGrid w:val="0"/>
                <w:color w:val="000000"/>
                <w:kern w:val="0"/>
                <w:sz w:val="24"/>
                <w:szCs w:val="20"/>
                <w:highlight w:val="none"/>
                <w:lang w:val="en-US" w:eastAsia="en-US" w:bidi="ar-SA"/>
              </w:rPr>
              <w:t>是否有招标文件中未提及的，但有益于本项目实施的合理化建议与措施，提供详细的建议事项以及相对应建议事项的解决措施得 5 分，提供了合理化建议但未提供相对应的建议事项的解决措施或提供解决措施与建议事项无关的得 2 分， 未提供此项不得分。</w:t>
            </w:r>
          </w:p>
        </w:tc>
        <w:tc>
          <w:tcPr>
            <w:tcW w:w="1266" w:type="dxa"/>
            <w:tcBorders>
              <w:left w:val="single" w:color="auto" w:sz="4" w:space="0"/>
              <w:bottom w:val="single" w:color="auto" w:sz="4" w:space="0"/>
            </w:tcBorders>
            <w:vAlign w:val="top"/>
          </w:tcPr>
          <w:p w14:paraId="05734869">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tc>
      </w:tr>
      <w:tr w14:paraId="739F9E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95" w:hRule="atLeast"/>
        </w:trPr>
        <w:tc>
          <w:tcPr>
            <w:tcW w:w="845" w:type="dxa"/>
            <w:vMerge w:val="continue"/>
            <w:tcBorders>
              <w:top w:val="single" w:color="auto" w:sz="4" w:space="0"/>
              <w:right w:val="single" w:color="auto" w:sz="4" w:space="0"/>
            </w:tcBorders>
            <w:vAlign w:val="top"/>
          </w:tcPr>
          <w:p w14:paraId="14DCCF18">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tc>
        <w:tc>
          <w:tcPr>
            <w:tcW w:w="1216" w:type="dxa"/>
            <w:tcBorders>
              <w:top w:val="single" w:color="auto" w:sz="4" w:space="0"/>
              <w:left w:val="single" w:color="auto" w:sz="4" w:space="0"/>
              <w:right w:val="single" w:color="auto" w:sz="4" w:space="0"/>
            </w:tcBorders>
            <w:vAlign w:val="top"/>
          </w:tcPr>
          <w:p w14:paraId="05EE8112">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313A1FE0">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7D9CE4DA">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6E13B139">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r>
              <w:rPr>
                <w:rFonts w:hint="eastAsia" w:ascii="宋体" w:hAnsi="宋体" w:eastAsia="宋体" w:cs="宋体"/>
                <w:snapToGrid w:val="0"/>
                <w:color w:val="000000"/>
                <w:kern w:val="0"/>
                <w:sz w:val="24"/>
                <w:szCs w:val="20"/>
                <w:highlight w:val="none"/>
                <w:lang w:val="en-US" w:eastAsia="en-US" w:bidi="ar-SA"/>
              </w:rPr>
              <w:t>服务承诺</w:t>
            </w:r>
          </w:p>
        </w:tc>
        <w:tc>
          <w:tcPr>
            <w:tcW w:w="628" w:type="dxa"/>
            <w:tcBorders>
              <w:top w:val="single" w:color="auto" w:sz="4" w:space="0"/>
              <w:left w:val="single" w:color="auto" w:sz="4" w:space="0"/>
              <w:right w:val="single" w:color="auto" w:sz="4" w:space="0"/>
            </w:tcBorders>
            <w:vAlign w:val="top"/>
          </w:tcPr>
          <w:p w14:paraId="6CD9B978">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7117E366">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p w14:paraId="10ABEAD0">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zh-CN" w:bidi="ar-SA"/>
              </w:rPr>
            </w:pPr>
          </w:p>
          <w:p w14:paraId="17026C40">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r>
              <w:rPr>
                <w:rFonts w:hint="eastAsia" w:ascii="宋体" w:hAnsi="宋体" w:eastAsia="宋体" w:cs="宋体"/>
                <w:snapToGrid w:val="0"/>
                <w:color w:val="000000"/>
                <w:kern w:val="0"/>
                <w:sz w:val="24"/>
                <w:szCs w:val="20"/>
                <w:highlight w:val="none"/>
                <w:lang w:val="en-US" w:eastAsia="zh-CN" w:bidi="ar-SA"/>
              </w:rPr>
              <w:t>8</w:t>
            </w:r>
          </w:p>
        </w:tc>
        <w:tc>
          <w:tcPr>
            <w:tcW w:w="6395" w:type="dxa"/>
            <w:tcBorders>
              <w:top w:val="single" w:color="auto" w:sz="4" w:space="0"/>
              <w:left w:val="single" w:color="auto" w:sz="4" w:space="0"/>
              <w:right w:val="single" w:color="auto" w:sz="4" w:space="0"/>
            </w:tcBorders>
            <w:vAlign w:val="top"/>
          </w:tcPr>
          <w:p w14:paraId="2AD2C16C">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bookmarkStart w:id="80" w:name="_GoBack"/>
            <w:r>
              <w:rPr>
                <w:rFonts w:hint="eastAsia" w:ascii="宋体" w:hAnsi="宋体" w:eastAsia="宋体" w:cs="宋体"/>
                <w:snapToGrid w:val="0"/>
                <w:color w:val="000000"/>
                <w:kern w:val="0"/>
                <w:sz w:val="24"/>
                <w:szCs w:val="20"/>
                <w:highlight w:val="none"/>
                <w:lang w:val="en-US" w:eastAsia="en-US" w:bidi="ar-SA"/>
              </w:rPr>
              <w:t>为保证项实施，供应商须提供服务承诺书，承诺内容须包含：①后期参与本项目实施人员须为投标标书内提供得人员，②项目进度与采购单位实时汇报、跟进， ③项目实施期间不消极怠工，④未能完成任务及违反相关规定的相应处罚。供应商承诺内容全面，有明确的违约处罚规定，文字表述清晰、详细的，得 8 分；其中承诺的内容不全、无明确的违约处罚规定、文字表述不清晰、不详细，缺项漏项或不能满足采购方需求的，每有一项扣 2 分，扣完为止，未提供的此项不得分。（注：承诺函书格式自拟）</w:t>
            </w:r>
            <w:bookmarkEnd w:id="80"/>
          </w:p>
        </w:tc>
        <w:tc>
          <w:tcPr>
            <w:tcW w:w="1266" w:type="dxa"/>
            <w:tcBorders>
              <w:top w:val="single" w:color="auto" w:sz="4" w:space="0"/>
              <w:left w:val="single" w:color="auto" w:sz="4" w:space="0"/>
            </w:tcBorders>
            <w:vAlign w:val="top"/>
          </w:tcPr>
          <w:p w14:paraId="4ED82CE2">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p>
        </w:tc>
      </w:tr>
      <w:tr w14:paraId="7C95C4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2" w:hRule="atLeast"/>
        </w:trPr>
        <w:tc>
          <w:tcPr>
            <w:tcW w:w="10350" w:type="dxa"/>
            <w:gridSpan w:val="5"/>
            <w:vAlign w:val="top"/>
          </w:tcPr>
          <w:p w14:paraId="7068D6D7">
            <w:pPr>
              <w:pStyle w:val="21"/>
              <w:spacing w:before="233" w:line="242" w:lineRule="auto"/>
              <w:ind w:left="101" w:right="99"/>
              <w:jc w:val="both"/>
              <w:rPr>
                <w:rFonts w:hint="eastAsia" w:ascii="宋体" w:hAnsi="宋体" w:eastAsia="宋体" w:cs="宋体"/>
                <w:snapToGrid w:val="0"/>
                <w:color w:val="000000"/>
                <w:kern w:val="0"/>
                <w:sz w:val="24"/>
                <w:szCs w:val="20"/>
                <w:highlight w:val="none"/>
                <w:lang w:val="en-US" w:eastAsia="en-US" w:bidi="ar-SA"/>
              </w:rPr>
            </w:pPr>
            <w:r>
              <w:rPr>
                <w:rFonts w:hint="eastAsia" w:ascii="宋体" w:hAnsi="宋体" w:eastAsia="宋体" w:cs="宋体"/>
                <w:snapToGrid w:val="0"/>
                <w:color w:val="000000"/>
                <w:kern w:val="0"/>
                <w:sz w:val="24"/>
                <w:szCs w:val="20"/>
                <w:highlight w:val="none"/>
                <w:lang w:val="en-US" w:eastAsia="en-US" w:bidi="ar-SA"/>
              </w:rPr>
              <w:t>注：本评分表所称“瑕疵”是指方案非专门针对本项目或不适用本项目特性、套用其他项目内容、对同一问题前后表述矛盾、存 在逻辑漏洞、标准引用错误、科学原理或常识错误、不利于本项目目标的实现、现有技术条件下不可能出现的情形等任意一种情形。</w:t>
            </w:r>
          </w:p>
        </w:tc>
      </w:tr>
    </w:tbl>
    <w:p w14:paraId="49F11FD9">
      <w:pPr>
        <w:pStyle w:val="7"/>
        <w:rPr>
          <w:sz w:val="21"/>
          <w:szCs w:val="21"/>
        </w:rPr>
      </w:pPr>
    </w:p>
    <w:p w14:paraId="56B64DC4">
      <w:pPr>
        <w:rPr>
          <w:sz w:val="21"/>
          <w:szCs w:val="21"/>
        </w:rPr>
        <w:sectPr>
          <w:footerReference r:id="rId13" w:type="default"/>
          <w:pgSz w:w="11905" w:h="16839"/>
          <w:pgMar w:top="400" w:right="645" w:bottom="1197" w:left="879" w:header="0" w:footer="963" w:gutter="0"/>
          <w:pgNumType w:fmt="decimal"/>
          <w:cols w:space="720" w:num="1"/>
        </w:sectPr>
      </w:pPr>
    </w:p>
    <w:p w14:paraId="3FE2322A">
      <w:pPr>
        <w:spacing w:before="18"/>
        <w:rPr>
          <w:sz w:val="21"/>
          <w:szCs w:val="21"/>
        </w:rPr>
      </w:pPr>
    </w:p>
    <w:p w14:paraId="4250F5E2">
      <w:pPr>
        <w:pStyle w:val="5"/>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一、评标原则</w:t>
      </w:r>
    </w:p>
    <w:p w14:paraId="67D25F62">
      <w:pPr>
        <w:pStyle w:val="14"/>
        <w:tabs>
          <w:tab w:val="right" w:leader="dot" w:pos="9185"/>
        </w:tabs>
        <w:spacing w:line="360" w:lineRule="auto"/>
        <w:ind w:left="0" w:firstLine="480" w:firstLineChars="20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评标依据：评委将以竞争性磋商文件和竞争性磋商响应文件为评标依据，对供应商的报价、技术、商务等内容打分。其中价格分10分；技术、商务90分。</w:t>
      </w:r>
    </w:p>
    <w:p w14:paraId="3767B110">
      <w:pPr>
        <w:pStyle w:val="5"/>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二、评标方法</w:t>
      </w:r>
    </w:p>
    <w:p w14:paraId="21B22DDF">
      <w:pPr>
        <w:pStyle w:val="14"/>
        <w:tabs>
          <w:tab w:val="right" w:leader="dot" w:pos="9185"/>
        </w:tabs>
        <w:spacing w:line="360" w:lineRule="auto"/>
        <w:ind w:left="0" w:firstLine="480" w:firstLineChars="20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（一）对进入详评的，采用百分制综合评分法。</w:t>
      </w:r>
    </w:p>
    <w:p w14:paraId="491A0048">
      <w:pPr>
        <w:pStyle w:val="14"/>
        <w:tabs>
          <w:tab w:val="right" w:leader="dot" w:pos="9185"/>
        </w:tabs>
        <w:spacing w:line="360" w:lineRule="auto"/>
        <w:ind w:left="0" w:firstLine="480" w:firstLineChars="20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（二）计分办法（按四舍五入取至百分位）：</w:t>
      </w:r>
    </w:p>
    <w:p w14:paraId="162E8AEB">
      <w:pPr>
        <w:ind w:firstLine="480"/>
        <w:rPr>
          <w:rFonts w:hint="eastAsia" w:cs="宋体"/>
          <w:color w:val="auto"/>
          <w:sz w:val="24"/>
          <w:szCs w:val="24"/>
          <w:highlight w:val="none"/>
        </w:rPr>
      </w:pPr>
      <w:r>
        <w:rPr>
          <w:rFonts w:hint="eastAsia" w:cs="宋体"/>
          <w:color w:val="auto"/>
          <w:sz w:val="24"/>
          <w:szCs w:val="24"/>
          <w:highlight w:val="none"/>
        </w:rPr>
        <w:t>1、根据《政府采购促进中小企业发展管理办法》（财库〔2020〕46号）的规定，投标人为小型或微型企业且所投产品为小型或微型企业生产的，其磋商报价扣除</w:t>
      </w:r>
      <w:r>
        <w:rPr>
          <w:rFonts w:hint="eastAsia" w:cs="宋体"/>
          <w:color w:val="auto"/>
          <w:sz w:val="24"/>
          <w:szCs w:val="24"/>
          <w:highlight w:val="none"/>
          <w:lang w:val="en-US" w:eastAsia="zh-CN"/>
        </w:rPr>
        <w:t>10</w:t>
      </w:r>
      <w:r>
        <w:rPr>
          <w:rFonts w:hint="eastAsia" w:cs="宋体"/>
          <w:color w:val="auto"/>
          <w:sz w:val="24"/>
          <w:szCs w:val="24"/>
          <w:highlight w:val="none"/>
        </w:rPr>
        <w:t>%后参与评审。响应文件中须同时提供：投标人、投标产品制造商的小微企业证明（中小企业资格确认意见书或者磋商截止时间前7日内“国家企业信用信息公示系统——小微企业名录”页面查询结果），未提供完整证明材料的，磋商报价不予扣减。</w:t>
      </w:r>
    </w:p>
    <w:p w14:paraId="7F2E0A30">
      <w:pPr>
        <w:ind w:firstLine="480"/>
        <w:rPr>
          <w:rFonts w:hint="eastAsia" w:cs="宋体"/>
          <w:color w:val="auto"/>
          <w:sz w:val="24"/>
          <w:szCs w:val="24"/>
          <w:highlight w:val="none"/>
        </w:rPr>
      </w:pPr>
      <w:r>
        <w:rPr>
          <w:rFonts w:hint="eastAsia" w:cs="宋体"/>
          <w:color w:val="auto"/>
          <w:sz w:val="24"/>
          <w:szCs w:val="24"/>
          <w:highlight w:val="none"/>
        </w:rPr>
        <w:t>2、根据《关于政府采购支持监狱企业发展有关问题的通知》（财库[2014]68号）的规定，投标人如为监狱企业且所投产品为小型或微型企业生产的，其磋商报价扣除</w:t>
      </w:r>
      <w:r>
        <w:rPr>
          <w:rFonts w:hint="eastAsia" w:cs="宋体"/>
          <w:color w:val="auto"/>
          <w:sz w:val="24"/>
          <w:szCs w:val="24"/>
          <w:highlight w:val="none"/>
          <w:lang w:val="en-US" w:eastAsia="zh-CN"/>
        </w:rPr>
        <w:t>10</w:t>
      </w:r>
      <w:r>
        <w:rPr>
          <w:rFonts w:hint="eastAsia" w:cs="宋体"/>
          <w:color w:val="auto"/>
          <w:sz w:val="24"/>
          <w:szCs w:val="24"/>
          <w:highlight w:val="none"/>
        </w:rPr>
        <w:t>%后参与评审。响应文件中须同时提供：投标人的省级以上监狱管理局、戒毒管理局(含新疆生产建设兵团)出具的属于监狱企业的证明文件，投标产品制造商的小微企业证明（中小企业资格确认意见书或者磋商截止时间前7日内“国家企业信用信息公示系统——小微企业名录”页面查询结果），未提供完整证明材料的，磋商报价不予扣减。</w:t>
      </w:r>
    </w:p>
    <w:p w14:paraId="53629B07">
      <w:pPr>
        <w:ind w:firstLine="480"/>
        <w:rPr>
          <w:rFonts w:hint="eastAsia" w:cs="宋体"/>
          <w:color w:val="auto"/>
          <w:sz w:val="24"/>
          <w:szCs w:val="24"/>
          <w:highlight w:val="none"/>
        </w:rPr>
      </w:pPr>
      <w:r>
        <w:rPr>
          <w:rFonts w:hint="eastAsia" w:cs="宋体"/>
          <w:color w:val="auto"/>
          <w:sz w:val="24"/>
          <w:szCs w:val="24"/>
          <w:highlight w:val="none"/>
        </w:rPr>
        <w:t>3、残疾人福利性单位视同小型、微型企业，享受预留份额、评审中价格扣除等促进中小企业发展的政府采购政策。符合条件的残疾人福利性单位在参加政采购活动时，应当提供《残疾人福利性单位声明函》，并对声明的真实性负责。享受政府采购支持政策的残疾人福利性单位应当同时满足以下条件：</w:t>
      </w:r>
    </w:p>
    <w:p w14:paraId="0A4D081A">
      <w:pPr>
        <w:ind w:firstLine="480"/>
        <w:rPr>
          <w:rFonts w:hint="eastAsia" w:cs="宋体"/>
          <w:color w:val="auto"/>
          <w:sz w:val="24"/>
          <w:szCs w:val="24"/>
          <w:highlight w:val="none"/>
        </w:rPr>
      </w:pPr>
      <w:r>
        <w:rPr>
          <w:rFonts w:hint="eastAsia" w:cs="宋体"/>
          <w:color w:val="auto"/>
          <w:sz w:val="24"/>
          <w:szCs w:val="24"/>
          <w:highlight w:val="none"/>
        </w:rPr>
        <w:t>（1）安置的残疾人占本单位在职职工人数的比例不低于25%（含25%），并且安置的残疾人人数不少于10人（含10人）；</w:t>
      </w:r>
    </w:p>
    <w:p w14:paraId="44F3C096">
      <w:pPr>
        <w:pStyle w:val="26"/>
        <w:ind w:firstLine="357" w:firstLineChars="149"/>
        <w:rPr>
          <w:rFonts w:hint="eastAsia" w:cs="宋体"/>
          <w:color w:val="auto"/>
          <w:sz w:val="24"/>
          <w:szCs w:val="24"/>
          <w:highlight w:val="none"/>
        </w:rPr>
      </w:pPr>
      <w:r>
        <w:rPr>
          <w:rFonts w:hint="eastAsia" w:cs="宋体"/>
          <w:color w:val="auto"/>
          <w:sz w:val="24"/>
          <w:szCs w:val="24"/>
          <w:highlight w:val="none"/>
        </w:rPr>
        <w:t>（2）依法与安置的每位残疾人签订了一年以上（含一年）的劳动合同或服务协议；</w:t>
      </w:r>
    </w:p>
    <w:p w14:paraId="65873744">
      <w:pPr>
        <w:pStyle w:val="26"/>
        <w:ind w:firstLine="357" w:firstLineChars="149"/>
        <w:rPr>
          <w:rFonts w:hint="eastAsia" w:cs="宋体"/>
          <w:color w:val="auto"/>
          <w:sz w:val="24"/>
          <w:szCs w:val="24"/>
          <w:highlight w:val="none"/>
        </w:rPr>
      </w:pPr>
      <w:r>
        <w:rPr>
          <w:rFonts w:hint="eastAsia" w:cs="宋体"/>
          <w:color w:val="auto"/>
          <w:sz w:val="24"/>
          <w:szCs w:val="24"/>
          <w:highlight w:val="none"/>
        </w:rPr>
        <w:t>（3）为安置的每位残疾人按月足额缴纳了基本养老保险、基本医疗保险、失业保险、工伤保险和生育保险等社会保险费；</w:t>
      </w:r>
    </w:p>
    <w:p w14:paraId="2DC5B748">
      <w:pPr>
        <w:pStyle w:val="26"/>
        <w:ind w:firstLine="357" w:firstLineChars="149"/>
        <w:rPr>
          <w:rFonts w:hint="eastAsia" w:cs="宋体"/>
          <w:color w:val="auto"/>
          <w:sz w:val="24"/>
          <w:szCs w:val="24"/>
          <w:highlight w:val="none"/>
        </w:rPr>
      </w:pPr>
      <w:r>
        <w:rPr>
          <w:rFonts w:hint="eastAsia" w:cs="宋体"/>
          <w:color w:val="auto"/>
          <w:sz w:val="24"/>
          <w:szCs w:val="24"/>
          <w:highlight w:val="none"/>
        </w:rPr>
        <w:t>（4）通过银行等金融机构向安置的每位残疾人，按月支付了不低于单位所在区县适用的经省级人民政府批准的月最低工资标准的工资；</w:t>
      </w:r>
    </w:p>
    <w:p w14:paraId="4A1BA4EE">
      <w:pPr>
        <w:pStyle w:val="26"/>
        <w:ind w:firstLine="357" w:firstLineChars="149"/>
        <w:rPr>
          <w:rFonts w:hint="eastAsia" w:cs="宋体"/>
          <w:color w:val="auto"/>
          <w:sz w:val="24"/>
          <w:szCs w:val="24"/>
          <w:highlight w:val="none"/>
        </w:rPr>
      </w:pPr>
      <w:r>
        <w:rPr>
          <w:rFonts w:hint="eastAsia" w:cs="宋体"/>
          <w:color w:val="auto"/>
          <w:sz w:val="24"/>
          <w:szCs w:val="24"/>
          <w:highlight w:val="none"/>
        </w:rPr>
        <w:t>（5）提供本单位制造的货物、承担的工程或者服务（以下简称产品），或者提供其他残疾人福利性单位制造的货物（不包括使用非残疾人福利性单位注册商标的货物）。</w:t>
      </w:r>
    </w:p>
    <w:p w14:paraId="724F5E33">
      <w:pPr>
        <w:pStyle w:val="26"/>
        <w:ind w:firstLine="480"/>
        <w:rPr>
          <w:rFonts w:hint="eastAsia" w:cs="宋体"/>
          <w:color w:val="auto"/>
          <w:sz w:val="24"/>
          <w:szCs w:val="24"/>
          <w:highlight w:val="none"/>
        </w:rPr>
      </w:pPr>
      <w:r>
        <w:rPr>
          <w:rFonts w:hint="eastAsia" w:cs="宋体"/>
          <w:color w:val="auto"/>
          <w:sz w:val="24"/>
          <w:szCs w:val="24"/>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20841583">
      <w:pPr>
        <w:rPr>
          <w:rFonts w:hint="eastAsia" w:eastAsia="宋体"/>
          <w:highlight w:val="none"/>
          <w:lang w:eastAsia="zh-CN"/>
        </w:rPr>
      </w:pPr>
      <w:r>
        <w:rPr>
          <w:rFonts w:hint="eastAsia" w:cs="宋体"/>
          <w:color w:val="auto"/>
          <w:sz w:val="24"/>
          <w:szCs w:val="24"/>
          <w:highlight w:val="none"/>
          <w:lang w:eastAsia="zh-CN"/>
        </w:rPr>
        <w:t>（三）</w:t>
      </w:r>
      <w:r>
        <w:rPr>
          <w:rFonts w:hint="eastAsia" w:cs="宋体"/>
          <w:color w:val="auto"/>
          <w:sz w:val="24"/>
          <w:szCs w:val="24"/>
          <w:highlight w:val="none"/>
          <w:lang w:val="en-US" w:eastAsia="zh-CN"/>
        </w:rPr>
        <w:t>价格不作为评分的主要因素。</w:t>
      </w:r>
    </w:p>
    <w:p w14:paraId="74F2A5FE">
      <w:pPr>
        <w:ind w:firstLine="480"/>
        <w:rPr>
          <w:rFonts w:hint="eastAsia" w:cs="宋体"/>
          <w:sz w:val="24"/>
          <w:szCs w:val="24"/>
          <w:highlight w:val="none"/>
        </w:rPr>
      </w:pPr>
      <w:r>
        <w:rPr>
          <w:rFonts w:hint="eastAsia" w:cs="宋体"/>
          <w:sz w:val="24"/>
          <w:szCs w:val="24"/>
          <w:highlight w:val="none"/>
        </w:rPr>
        <w:t>（四）、投标人最终得分（100分）</w:t>
      </w:r>
    </w:p>
    <w:p w14:paraId="0FCE5D57">
      <w:pPr>
        <w:ind w:firstLine="480"/>
        <w:rPr>
          <w:rFonts w:hint="eastAsia" w:cs="宋体"/>
          <w:sz w:val="24"/>
          <w:szCs w:val="24"/>
          <w:highlight w:val="none"/>
        </w:rPr>
      </w:pPr>
      <w:r>
        <w:rPr>
          <w:rFonts w:hint="eastAsia" w:cs="宋体"/>
          <w:sz w:val="24"/>
          <w:szCs w:val="24"/>
          <w:highlight w:val="none"/>
        </w:rPr>
        <w:t>投标人最终得分＝商务、技术部分评分最终得分+磋商报价部分评分最终得分。</w:t>
      </w:r>
      <w:bookmarkEnd w:id="52"/>
      <w:bookmarkEnd w:id="53"/>
      <w:bookmarkEnd w:id="54"/>
      <w:bookmarkEnd w:id="55"/>
      <w:bookmarkEnd w:id="56"/>
    </w:p>
    <w:p w14:paraId="336E2694">
      <w:pPr>
        <w:ind w:firstLine="560"/>
        <w:rPr>
          <w:rFonts w:hint="eastAsia" w:cs="宋体"/>
          <w:szCs w:val="28"/>
          <w:highlight w:val="none"/>
        </w:rPr>
        <w:sectPr>
          <w:headerReference r:id="rId14" w:type="default"/>
          <w:footerReference r:id="rId15" w:type="default"/>
          <w:pgSz w:w="11906" w:h="16838"/>
          <w:pgMar w:top="1134" w:right="1134" w:bottom="1134" w:left="1134" w:header="851" w:footer="992" w:gutter="0"/>
          <w:pgNumType w:fmt="decimal"/>
          <w:cols w:space="720" w:num="1"/>
          <w:docGrid w:type="lines" w:linePitch="312" w:charSpace="0"/>
        </w:sectPr>
      </w:pPr>
    </w:p>
    <w:p w14:paraId="50D47946">
      <w:pPr>
        <w:pStyle w:val="2"/>
        <w:numPr>
          <w:ilvl w:val="0"/>
          <w:numId w:val="0"/>
        </w:numPr>
        <w:bidi w:val="0"/>
        <w:ind w:leftChars="0"/>
        <w:jc w:val="center"/>
      </w:pPr>
      <w:bookmarkStart w:id="61" w:name="bookmark9"/>
      <w:bookmarkEnd w:id="61"/>
      <w:bookmarkStart w:id="62" w:name="bookmark8"/>
      <w:bookmarkEnd w:id="62"/>
      <w:r>
        <w:rPr>
          <w:rFonts w:hint="eastAsia" w:eastAsia="宋体"/>
          <w:lang w:val="en-US" w:eastAsia="zh-CN"/>
        </w:rPr>
        <w:t>第七章</w:t>
      </w:r>
      <w:r>
        <w:t xml:space="preserve"> 投标文件格式</w:t>
      </w:r>
    </w:p>
    <w:p w14:paraId="2565EE4E">
      <w:pPr>
        <w:spacing w:before="93" w:line="184" w:lineRule="auto"/>
        <w:ind w:left="3162"/>
        <w:outlineLvl w:val="1"/>
        <w:rPr>
          <w:rFonts w:hint="eastAsia" w:ascii="仿宋" w:hAnsi="仿宋" w:eastAsia="仿宋" w:cs="仿宋"/>
          <w:snapToGrid w:val="0"/>
          <w:color w:val="000000"/>
          <w:kern w:val="0"/>
          <w:sz w:val="28"/>
          <w:szCs w:val="28"/>
          <w:highlight w:val="none"/>
          <w:lang w:val="en-US" w:eastAsia="zh-CN" w:bidi="ar-SA"/>
        </w:rPr>
      </w:pPr>
      <w:bookmarkStart w:id="63" w:name="bookmark37"/>
      <w:bookmarkEnd w:id="63"/>
      <w:r>
        <w:rPr>
          <w:rFonts w:hint="eastAsia" w:ascii="仿宋" w:hAnsi="仿宋" w:eastAsia="仿宋" w:cs="仿宋"/>
          <w:b/>
          <w:bCs/>
          <w:snapToGrid w:val="0"/>
          <w:color w:val="000000"/>
          <w:kern w:val="0"/>
          <w:sz w:val="28"/>
          <w:szCs w:val="28"/>
          <w:highlight w:val="none"/>
          <w:lang w:val="en-US" w:eastAsia="zh-CN" w:bidi="ar-SA"/>
        </w:rPr>
        <w:t>第一部分 开标一览表及资格证明文件</w:t>
      </w:r>
    </w:p>
    <w:p w14:paraId="2A44439F">
      <w:pPr>
        <w:spacing w:before="171" w:line="183" w:lineRule="auto"/>
        <w:ind w:left="503"/>
        <w:rPr>
          <w:rFonts w:hint="eastAsia" w:ascii="仿宋" w:hAnsi="仿宋" w:eastAsia="仿宋" w:cs="仿宋"/>
          <w:snapToGrid w:val="0"/>
          <w:color w:val="000000"/>
          <w:kern w:val="0"/>
          <w:sz w:val="28"/>
          <w:szCs w:val="28"/>
          <w:highlight w:val="none"/>
          <w:lang w:val="en-US" w:eastAsia="en-US" w:bidi="ar-SA"/>
        </w:rPr>
      </w:pPr>
      <w:r>
        <w:rPr>
          <w:rFonts w:hint="eastAsia" w:ascii="仿宋" w:hAnsi="仿宋" w:eastAsia="仿宋" w:cs="仿宋"/>
          <w:snapToGrid w:val="0"/>
          <w:color w:val="000000"/>
          <w:kern w:val="0"/>
          <w:sz w:val="28"/>
          <w:szCs w:val="28"/>
          <w:highlight w:val="none"/>
          <w:lang w:val="en-US" w:eastAsia="en-US" w:bidi="ar-SA"/>
        </w:rPr>
        <w:t>1、开标一览表；</w:t>
      </w:r>
    </w:p>
    <w:p w14:paraId="46B80B96">
      <w:pPr>
        <w:spacing w:before="94" w:line="182" w:lineRule="auto"/>
        <w:ind w:left="491"/>
        <w:rPr>
          <w:rFonts w:hint="eastAsia" w:ascii="仿宋" w:hAnsi="仿宋" w:eastAsia="仿宋" w:cs="仿宋"/>
          <w:snapToGrid w:val="0"/>
          <w:color w:val="000000"/>
          <w:kern w:val="0"/>
          <w:sz w:val="28"/>
          <w:szCs w:val="28"/>
          <w:highlight w:val="none"/>
          <w:lang w:val="en-US" w:eastAsia="en-US" w:bidi="ar-SA"/>
        </w:rPr>
      </w:pPr>
      <w:r>
        <w:rPr>
          <w:rFonts w:hint="eastAsia" w:ascii="仿宋" w:hAnsi="仿宋" w:eastAsia="仿宋" w:cs="仿宋"/>
          <w:snapToGrid w:val="0"/>
          <w:color w:val="000000"/>
          <w:kern w:val="0"/>
          <w:sz w:val="28"/>
          <w:szCs w:val="28"/>
          <w:highlight w:val="none"/>
          <w:lang w:val="en-US" w:eastAsia="en-US" w:bidi="ar-SA"/>
        </w:rPr>
        <w:t>2、联合体协议；</w:t>
      </w:r>
    </w:p>
    <w:p w14:paraId="62121063">
      <w:pPr>
        <w:spacing w:before="171" w:line="183" w:lineRule="auto"/>
        <w:ind w:left="494"/>
        <w:rPr>
          <w:rFonts w:hint="eastAsia" w:ascii="仿宋" w:hAnsi="仿宋" w:eastAsia="仿宋" w:cs="仿宋"/>
          <w:snapToGrid w:val="0"/>
          <w:color w:val="000000"/>
          <w:kern w:val="0"/>
          <w:sz w:val="28"/>
          <w:szCs w:val="28"/>
          <w:highlight w:val="none"/>
          <w:lang w:val="en-US" w:eastAsia="en-US" w:bidi="ar-SA"/>
        </w:rPr>
      </w:pPr>
      <w:r>
        <w:rPr>
          <w:rFonts w:hint="eastAsia" w:ascii="仿宋" w:hAnsi="仿宋" w:eastAsia="仿宋" w:cs="仿宋"/>
          <w:snapToGrid w:val="0"/>
          <w:color w:val="000000"/>
          <w:kern w:val="0"/>
          <w:sz w:val="28"/>
          <w:szCs w:val="28"/>
          <w:highlight w:val="none"/>
          <w:lang w:val="en-US" w:eastAsia="en-US" w:bidi="ar-SA"/>
        </w:rPr>
        <w:t>3、符合《中华人民共和国政府采购法》第二十二条的规定；</w:t>
      </w:r>
    </w:p>
    <w:p w14:paraId="48769BE6">
      <w:pPr>
        <w:spacing w:before="150" w:line="200" w:lineRule="auto"/>
        <w:ind w:right="240" w:firstLine="487"/>
        <w:rPr>
          <w:rFonts w:hint="eastAsia" w:ascii="仿宋" w:hAnsi="仿宋" w:eastAsia="仿宋" w:cs="仿宋"/>
          <w:snapToGrid w:val="0"/>
          <w:color w:val="000000"/>
          <w:kern w:val="0"/>
          <w:sz w:val="28"/>
          <w:szCs w:val="28"/>
          <w:highlight w:val="none"/>
          <w:lang w:val="en-US" w:eastAsia="en-US" w:bidi="ar-SA"/>
        </w:rPr>
      </w:pPr>
      <w:r>
        <w:rPr>
          <w:rFonts w:hint="eastAsia" w:ascii="仿宋" w:hAnsi="仿宋" w:eastAsia="仿宋" w:cs="仿宋"/>
          <w:snapToGrid w:val="0"/>
          <w:color w:val="000000"/>
          <w:kern w:val="0"/>
          <w:sz w:val="28"/>
          <w:szCs w:val="28"/>
          <w:highlight w:val="none"/>
          <w:lang w:val="en-US" w:eastAsia="en-US" w:bidi="ar-SA"/>
        </w:rPr>
        <w:t>①具有独立承担民事责任的能力；（投标时，提供在中华人民共和国境内注册的法人或其 他组织的营业执照或事业单位法人证书或社会团体法人登记证书）；</w:t>
      </w:r>
    </w:p>
    <w:p w14:paraId="13E18249">
      <w:pPr>
        <w:spacing w:before="128" w:line="200" w:lineRule="auto"/>
        <w:ind w:left="1" w:right="243" w:firstLine="485"/>
        <w:rPr>
          <w:rFonts w:hint="eastAsia" w:ascii="仿宋" w:hAnsi="仿宋" w:eastAsia="仿宋" w:cs="仿宋"/>
          <w:snapToGrid w:val="0"/>
          <w:color w:val="000000"/>
          <w:kern w:val="0"/>
          <w:sz w:val="28"/>
          <w:szCs w:val="28"/>
          <w:highlight w:val="none"/>
          <w:lang w:val="en-US" w:eastAsia="en-US" w:bidi="ar-SA"/>
        </w:rPr>
      </w:pPr>
      <w:r>
        <w:rPr>
          <w:rFonts w:hint="eastAsia" w:ascii="仿宋" w:hAnsi="仿宋" w:eastAsia="仿宋" w:cs="仿宋"/>
          <w:snapToGrid w:val="0"/>
          <w:color w:val="000000"/>
          <w:kern w:val="0"/>
          <w:sz w:val="28"/>
          <w:szCs w:val="28"/>
          <w:highlight w:val="none"/>
          <w:lang w:val="en-US" w:eastAsia="en-US" w:bidi="ar-SA"/>
        </w:rPr>
        <w:t>②提供法定代表人资格证明及授权书、被授权人身份证；（法定代表人投标需提供法定代 表人身份证）；</w:t>
      </w:r>
    </w:p>
    <w:p w14:paraId="7912467F">
      <w:pPr>
        <w:spacing w:before="87" w:line="212" w:lineRule="auto"/>
        <w:ind w:left="1" w:right="244" w:firstLine="485"/>
        <w:rPr>
          <w:rFonts w:hint="eastAsia" w:ascii="仿宋" w:hAnsi="仿宋" w:eastAsia="仿宋" w:cs="仿宋"/>
          <w:snapToGrid w:val="0"/>
          <w:color w:val="000000"/>
          <w:kern w:val="0"/>
          <w:sz w:val="28"/>
          <w:szCs w:val="28"/>
          <w:highlight w:val="none"/>
          <w:lang w:val="en-US" w:eastAsia="zh-CN" w:bidi="ar-SA"/>
        </w:rPr>
      </w:pPr>
      <w:r>
        <w:rPr>
          <w:rFonts w:hint="eastAsia" w:ascii="仿宋" w:hAnsi="仿宋" w:eastAsia="仿宋" w:cs="仿宋"/>
          <w:snapToGrid w:val="0"/>
          <w:color w:val="000000"/>
          <w:kern w:val="0"/>
          <w:sz w:val="28"/>
          <w:szCs w:val="28"/>
          <w:highlight w:val="none"/>
          <w:lang w:val="en-US" w:eastAsia="en-US" w:bidi="ar-SA"/>
        </w:rPr>
        <w:t xml:space="preserve">③提供本单位依法缴纳连续近 </w:t>
      </w:r>
      <w:r>
        <w:rPr>
          <w:rFonts w:hint="eastAsia" w:ascii="仿宋" w:hAnsi="仿宋" w:eastAsia="仿宋" w:cs="仿宋"/>
          <w:snapToGrid w:val="0"/>
          <w:color w:val="000000"/>
          <w:kern w:val="0"/>
          <w:sz w:val="28"/>
          <w:szCs w:val="28"/>
          <w:highlight w:val="none"/>
          <w:lang w:val="en-US" w:eastAsia="zh-CN" w:bidi="ar-SA"/>
        </w:rPr>
        <w:t>6</w:t>
      </w:r>
      <w:r>
        <w:rPr>
          <w:rFonts w:hint="eastAsia" w:ascii="仿宋" w:hAnsi="仿宋" w:eastAsia="仿宋" w:cs="仿宋"/>
          <w:snapToGrid w:val="0"/>
          <w:color w:val="000000"/>
          <w:kern w:val="0"/>
          <w:sz w:val="28"/>
          <w:szCs w:val="28"/>
          <w:highlight w:val="none"/>
          <w:lang w:val="en-US" w:eastAsia="en-US" w:bidi="ar-SA"/>
        </w:rPr>
        <w:t xml:space="preserve"> 个月内任意一个月的</w:t>
      </w:r>
      <w:r>
        <w:rPr>
          <w:rFonts w:hint="eastAsia" w:ascii="仿宋" w:hAnsi="仿宋" w:eastAsia="仿宋" w:cs="仿宋"/>
          <w:snapToGrid w:val="0"/>
          <w:color w:val="000000"/>
          <w:kern w:val="0"/>
          <w:sz w:val="28"/>
          <w:szCs w:val="28"/>
          <w:highlight w:val="none"/>
          <w:lang w:val="en-US" w:eastAsia="zh-CN" w:bidi="ar-SA"/>
        </w:rPr>
        <w:t>社会保险证明（新成立公司提供相关证明文件）；</w:t>
      </w:r>
    </w:p>
    <w:p w14:paraId="64DA1073">
      <w:pPr>
        <w:spacing w:before="88" w:line="212" w:lineRule="auto"/>
        <w:ind w:left="1" w:right="244" w:firstLine="485"/>
        <w:rPr>
          <w:rFonts w:hint="eastAsia" w:ascii="仿宋" w:hAnsi="仿宋" w:eastAsia="仿宋" w:cs="仿宋"/>
          <w:snapToGrid w:val="0"/>
          <w:color w:val="000000"/>
          <w:kern w:val="0"/>
          <w:sz w:val="28"/>
          <w:szCs w:val="28"/>
          <w:highlight w:val="none"/>
          <w:lang w:val="en-US" w:eastAsia="zh-CN" w:bidi="ar-SA"/>
        </w:rPr>
      </w:pPr>
      <w:r>
        <w:rPr>
          <w:rFonts w:hint="eastAsia" w:ascii="仿宋" w:hAnsi="仿宋" w:eastAsia="仿宋" w:cs="仿宋"/>
          <w:snapToGrid w:val="0"/>
          <w:color w:val="000000"/>
          <w:kern w:val="0"/>
          <w:sz w:val="28"/>
          <w:szCs w:val="28"/>
          <w:highlight w:val="none"/>
          <w:lang w:val="en-US" w:eastAsia="zh-CN" w:bidi="ar-SA"/>
        </w:rPr>
        <w:t>④税务部门出具的近 6 个月内任意一个月的完税证明（依法免缴的应提供依法免缴的相关 证明文件或零申报报表）；</w:t>
      </w:r>
    </w:p>
    <w:p w14:paraId="0CC3A5E0">
      <w:pPr>
        <w:spacing w:before="86" w:line="218" w:lineRule="auto"/>
        <w:ind w:left="487"/>
        <w:rPr>
          <w:rFonts w:hint="eastAsia" w:ascii="仿宋" w:hAnsi="仿宋" w:eastAsia="仿宋" w:cs="仿宋"/>
          <w:snapToGrid w:val="0"/>
          <w:color w:val="000000"/>
          <w:kern w:val="0"/>
          <w:sz w:val="28"/>
          <w:szCs w:val="28"/>
          <w:highlight w:val="none"/>
          <w:lang w:val="en-US" w:eastAsia="zh-CN" w:bidi="ar-SA"/>
        </w:rPr>
      </w:pPr>
      <w:r>
        <w:rPr>
          <w:rFonts w:hint="eastAsia" w:ascii="仿宋" w:hAnsi="仿宋" w:eastAsia="仿宋" w:cs="仿宋"/>
          <w:snapToGrid w:val="0"/>
          <w:color w:val="000000"/>
          <w:kern w:val="0"/>
          <w:sz w:val="28"/>
          <w:szCs w:val="28"/>
          <w:highlight w:val="none"/>
          <w:lang w:val="en-US" w:eastAsia="zh-CN" w:bidi="ar-SA"/>
        </w:rPr>
        <w:t>⑤提供近两年任意一年完整的财务审计报告或近 3 个月内任意一个月的银行资信证明；</w:t>
      </w:r>
    </w:p>
    <w:p w14:paraId="158947A9">
      <w:pPr>
        <w:spacing w:before="72" w:line="212" w:lineRule="auto"/>
        <w:ind w:left="1" w:right="240" w:firstLine="486"/>
        <w:rPr>
          <w:rFonts w:hint="eastAsia" w:ascii="仿宋" w:hAnsi="仿宋" w:eastAsia="仿宋" w:cs="仿宋"/>
          <w:snapToGrid w:val="0"/>
          <w:color w:val="000000"/>
          <w:kern w:val="0"/>
          <w:sz w:val="28"/>
          <w:szCs w:val="28"/>
          <w:highlight w:val="none"/>
          <w:lang w:val="en-US" w:eastAsia="zh-CN" w:bidi="ar-SA"/>
        </w:rPr>
      </w:pPr>
      <w:r>
        <w:rPr>
          <w:rFonts w:hint="eastAsia" w:ascii="仿宋" w:hAnsi="仿宋" w:eastAsia="仿宋" w:cs="仿宋"/>
          <w:snapToGrid w:val="0"/>
          <w:color w:val="000000"/>
          <w:kern w:val="0"/>
          <w:sz w:val="28"/>
          <w:szCs w:val="28"/>
          <w:highlight w:val="none"/>
          <w:lang w:val="en-US" w:eastAsia="zh-CN" w:bidi="ar-SA"/>
        </w:rPr>
        <w:t>⑥参与政府采购活动前 3 年内未被列入失信、重大税收违法案件、财政部门禁止参加政府 采购活动的承诺书；</w:t>
      </w:r>
    </w:p>
    <w:p w14:paraId="6500DC03">
      <w:pPr>
        <w:spacing w:before="131" w:line="183" w:lineRule="auto"/>
        <w:ind w:left="487"/>
        <w:rPr>
          <w:rFonts w:hint="eastAsia" w:ascii="仿宋" w:hAnsi="仿宋" w:eastAsia="仿宋" w:cs="仿宋"/>
          <w:snapToGrid w:val="0"/>
          <w:color w:val="000000"/>
          <w:kern w:val="0"/>
          <w:sz w:val="28"/>
          <w:szCs w:val="28"/>
          <w:highlight w:val="none"/>
          <w:lang w:val="en-US" w:eastAsia="zh-CN" w:bidi="ar-SA"/>
        </w:rPr>
      </w:pPr>
      <w:r>
        <w:rPr>
          <w:rFonts w:hint="eastAsia" w:ascii="仿宋" w:hAnsi="仿宋" w:eastAsia="仿宋" w:cs="仿宋"/>
          <w:snapToGrid w:val="0"/>
          <w:color w:val="000000"/>
          <w:kern w:val="0"/>
          <w:sz w:val="28"/>
          <w:szCs w:val="28"/>
          <w:highlight w:val="none"/>
          <w:lang w:val="en-US" w:eastAsia="zh-CN" w:bidi="ar-SA"/>
        </w:rPr>
        <w:t>⑦提供针对本次项目的反商业贿赂承诺书；</w:t>
      </w:r>
    </w:p>
    <w:p w14:paraId="1934F22D">
      <w:pPr>
        <w:spacing w:before="218" w:line="184" w:lineRule="auto"/>
        <w:ind w:left="487"/>
        <w:rPr>
          <w:rFonts w:hint="eastAsia" w:ascii="仿宋" w:hAnsi="仿宋" w:eastAsia="仿宋" w:cs="仿宋"/>
          <w:snapToGrid w:val="0"/>
          <w:color w:val="000000"/>
          <w:kern w:val="0"/>
          <w:sz w:val="28"/>
          <w:szCs w:val="28"/>
          <w:highlight w:val="none"/>
          <w:lang w:val="en-US" w:eastAsia="zh-CN" w:bidi="ar-SA"/>
        </w:rPr>
      </w:pPr>
      <w:r>
        <w:rPr>
          <w:rFonts w:hint="eastAsia" w:ascii="仿宋" w:hAnsi="仿宋" w:eastAsia="仿宋" w:cs="仿宋"/>
          <w:snapToGrid w:val="0"/>
          <w:color w:val="000000"/>
          <w:kern w:val="0"/>
          <w:sz w:val="28"/>
          <w:szCs w:val="28"/>
          <w:highlight w:val="none"/>
          <w:lang w:val="en-US" w:eastAsia="zh-CN" w:bidi="ar-SA"/>
        </w:rPr>
        <w:t>⑧凡拟参加本次采购项目的供应商，必须为未被列入“信用中国” 网站(</w:t>
      </w:r>
      <w:r>
        <w:rPr>
          <w:rFonts w:hint="eastAsia" w:ascii="仿宋" w:hAnsi="仿宋" w:eastAsia="仿宋" w:cs="仿宋"/>
          <w:snapToGrid w:val="0"/>
          <w:color w:val="000000"/>
          <w:kern w:val="0"/>
          <w:sz w:val="28"/>
          <w:szCs w:val="28"/>
          <w:highlight w:val="none"/>
          <w:lang w:val="en-US" w:eastAsia="zh-CN" w:bidi="ar-SA"/>
        </w:rPr>
        <w:fldChar w:fldCharType="begin"/>
      </w:r>
      <w:r>
        <w:rPr>
          <w:rFonts w:hint="eastAsia" w:ascii="仿宋" w:hAnsi="仿宋" w:eastAsia="仿宋" w:cs="仿宋"/>
          <w:snapToGrid w:val="0"/>
          <w:color w:val="000000"/>
          <w:kern w:val="0"/>
          <w:sz w:val="28"/>
          <w:szCs w:val="28"/>
          <w:highlight w:val="none"/>
          <w:lang w:val="en-US" w:eastAsia="zh-CN" w:bidi="ar-SA"/>
        </w:rPr>
        <w:instrText xml:space="preserve"> HYPERLINK "https://www.creditchina.gov.cn" </w:instrText>
      </w:r>
      <w:r>
        <w:rPr>
          <w:rFonts w:hint="eastAsia" w:ascii="仿宋" w:hAnsi="仿宋" w:eastAsia="仿宋" w:cs="仿宋"/>
          <w:snapToGrid w:val="0"/>
          <w:color w:val="000000"/>
          <w:kern w:val="0"/>
          <w:sz w:val="28"/>
          <w:szCs w:val="28"/>
          <w:highlight w:val="none"/>
          <w:lang w:val="en-US" w:eastAsia="zh-CN" w:bidi="ar-SA"/>
        </w:rPr>
        <w:fldChar w:fldCharType="separate"/>
      </w:r>
      <w:r>
        <w:rPr>
          <w:rFonts w:hint="eastAsia" w:ascii="仿宋" w:hAnsi="仿宋" w:eastAsia="仿宋" w:cs="仿宋"/>
          <w:snapToGrid w:val="0"/>
          <w:color w:val="000000"/>
          <w:kern w:val="0"/>
          <w:sz w:val="28"/>
          <w:szCs w:val="28"/>
          <w:highlight w:val="none"/>
          <w:lang w:val="en-US" w:eastAsia="zh-CN" w:bidi="ar-SA"/>
        </w:rPr>
        <w:t>www.creditchina.gov.cn</w:t>
      </w:r>
      <w:r>
        <w:rPr>
          <w:rFonts w:hint="eastAsia" w:ascii="仿宋" w:hAnsi="仿宋" w:eastAsia="仿宋" w:cs="仿宋"/>
          <w:snapToGrid w:val="0"/>
          <w:color w:val="000000"/>
          <w:kern w:val="0"/>
          <w:sz w:val="28"/>
          <w:szCs w:val="28"/>
          <w:highlight w:val="none"/>
          <w:lang w:val="en-US" w:eastAsia="zh-CN" w:bidi="ar-SA"/>
        </w:rPr>
        <w:fldChar w:fldCharType="end"/>
      </w:r>
      <w:r>
        <w:rPr>
          <w:rFonts w:hint="eastAsia" w:ascii="仿宋" w:hAnsi="仿宋" w:eastAsia="仿宋" w:cs="仿宋"/>
          <w:snapToGrid w:val="0"/>
          <w:color w:val="000000"/>
          <w:kern w:val="0"/>
          <w:sz w:val="28"/>
          <w:szCs w:val="28"/>
          <w:highlight w:val="none"/>
          <w:lang w:val="en-US" w:eastAsia="zh-CN" w:bidi="ar-SA"/>
        </w:rPr>
        <w:t>)（失信被执行人名单、重大税收违法案件当事人名单） 、中国    政府采购网(</w:t>
      </w:r>
      <w:r>
        <w:rPr>
          <w:rFonts w:hint="eastAsia" w:ascii="仿宋" w:hAnsi="仿宋" w:eastAsia="仿宋" w:cs="仿宋"/>
          <w:snapToGrid w:val="0"/>
          <w:color w:val="000000"/>
          <w:kern w:val="0"/>
          <w:sz w:val="28"/>
          <w:szCs w:val="28"/>
          <w:highlight w:val="none"/>
          <w:lang w:val="en-US" w:eastAsia="zh-CN" w:bidi="ar-SA"/>
        </w:rPr>
        <w:fldChar w:fldCharType="begin"/>
      </w:r>
      <w:r>
        <w:rPr>
          <w:rFonts w:hint="eastAsia" w:ascii="仿宋" w:hAnsi="仿宋" w:eastAsia="仿宋" w:cs="仿宋"/>
          <w:snapToGrid w:val="0"/>
          <w:color w:val="000000"/>
          <w:kern w:val="0"/>
          <w:sz w:val="28"/>
          <w:szCs w:val="28"/>
          <w:highlight w:val="none"/>
          <w:lang w:val="en-US" w:eastAsia="zh-CN" w:bidi="ar-SA"/>
        </w:rPr>
        <w:instrText xml:space="preserve"> HYPERLINK "https://www.ccgp.gov.cn" </w:instrText>
      </w:r>
      <w:r>
        <w:rPr>
          <w:rFonts w:hint="eastAsia" w:ascii="仿宋" w:hAnsi="仿宋" w:eastAsia="仿宋" w:cs="仿宋"/>
          <w:snapToGrid w:val="0"/>
          <w:color w:val="000000"/>
          <w:kern w:val="0"/>
          <w:sz w:val="28"/>
          <w:szCs w:val="28"/>
          <w:highlight w:val="none"/>
          <w:lang w:val="en-US" w:eastAsia="zh-CN" w:bidi="ar-SA"/>
        </w:rPr>
        <w:fldChar w:fldCharType="separate"/>
      </w:r>
      <w:r>
        <w:rPr>
          <w:rFonts w:hint="eastAsia" w:ascii="仿宋" w:hAnsi="仿宋" w:eastAsia="仿宋" w:cs="仿宋"/>
          <w:snapToGrid w:val="0"/>
          <w:color w:val="000000"/>
          <w:kern w:val="0"/>
          <w:sz w:val="28"/>
          <w:szCs w:val="28"/>
          <w:highlight w:val="none"/>
          <w:lang w:val="en-US" w:eastAsia="zh-CN" w:bidi="ar-SA"/>
        </w:rPr>
        <w:t>www.ccgp.gov.cn</w:t>
      </w:r>
      <w:r>
        <w:rPr>
          <w:rFonts w:hint="eastAsia" w:ascii="仿宋" w:hAnsi="仿宋" w:eastAsia="仿宋" w:cs="仿宋"/>
          <w:snapToGrid w:val="0"/>
          <w:color w:val="000000"/>
          <w:kern w:val="0"/>
          <w:sz w:val="28"/>
          <w:szCs w:val="28"/>
          <w:highlight w:val="none"/>
          <w:lang w:val="en-US" w:eastAsia="zh-CN" w:bidi="ar-SA"/>
        </w:rPr>
        <w:fldChar w:fldCharType="end"/>
      </w:r>
      <w:r>
        <w:rPr>
          <w:rFonts w:hint="eastAsia" w:ascii="仿宋" w:hAnsi="仿宋" w:eastAsia="仿宋" w:cs="仿宋"/>
          <w:snapToGrid w:val="0"/>
          <w:color w:val="000000"/>
          <w:kern w:val="0"/>
          <w:sz w:val="28"/>
          <w:szCs w:val="28"/>
          <w:highlight w:val="none"/>
          <w:lang w:val="en-US" w:eastAsia="zh-CN" w:bidi="ar-SA"/>
        </w:rPr>
        <w:t>)（政府采购严重违法失信行为记录名单），国家企业公示信息    系统（</w:t>
      </w:r>
      <w:r>
        <w:rPr>
          <w:rFonts w:hint="eastAsia" w:ascii="仿宋" w:hAnsi="仿宋" w:eastAsia="仿宋" w:cs="仿宋"/>
          <w:snapToGrid w:val="0"/>
          <w:color w:val="000000"/>
          <w:kern w:val="0"/>
          <w:sz w:val="28"/>
          <w:szCs w:val="28"/>
          <w:highlight w:val="none"/>
          <w:lang w:val="en-US" w:eastAsia="zh-CN" w:bidi="ar-SA"/>
        </w:rPr>
        <w:fldChar w:fldCharType="begin"/>
      </w:r>
      <w:r>
        <w:rPr>
          <w:rFonts w:hint="eastAsia" w:ascii="仿宋" w:hAnsi="仿宋" w:eastAsia="仿宋" w:cs="仿宋"/>
          <w:snapToGrid w:val="0"/>
          <w:color w:val="000000"/>
          <w:kern w:val="0"/>
          <w:sz w:val="28"/>
          <w:szCs w:val="28"/>
          <w:highlight w:val="none"/>
          <w:lang w:val="en-US" w:eastAsia="zh-CN" w:bidi="ar-SA"/>
        </w:rPr>
        <w:instrText xml:space="preserve"> HYPERLINK "https://www.gsxt.gov.cn" </w:instrText>
      </w:r>
      <w:r>
        <w:rPr>
          <w:rFonts w:hint="eastAsia" w:ascii="仿宋" w:hAnsi="仿宋" w:eastAsia="仿宋" w:cs="仿宋"/>
          <w:snapToGrid w:val="0"/>
          <w:color w:val="000000"/>
          <w:kern w:val="0"/>
          <w:sz w:val="28"/>
          <w:szCs w:val="28"/>
          <w:highlight w:val="none"/>
          <w:lang w:val="en-US" w:eastAsia="zh-CN" w:bidi="ar-SA"/>
        </w:rPr>
        <w:fldChar w:fldCharType="separate"/>
      </w:r>
      <w:r>
        <w:rPr>
          <w:rFonts w:hint="eastAsia" w:ascii="仿宋" w:hAnsi="仿宋" w:eastAsia="仿宋" w:cs="仿宋"/>
          <w:snapToGrid w:val="0"/>
          <w:color w:val="000000"/>
          <w:kern w:val="0"/>
          <w:sz w:val="28"/>
          <w:szCs w:val="28"/>
          <w:highlight w:val="none"/>
          <w:lang w:val="en-US" w:eastAsia="zh-CN" w:bidi="ar-SA"/>
        </w:rPr>
        <w:t>www.gsxt.gov.cn</w:t>
      </w:r>
      <w:r>
        <w:rPr>
          <w:rFonts w:hint="eastAsia" w:ascii="仿宋" w:hAnsi="仿宋" w:eastAsia="仿宋" w:cs="仿宋"/>
          <w:snapToGrid w:val="0"/>
          <w:color w:val="000000"/>
          <w:kern w:val="0"/>
          <w:sz w:val="28"/>
          <w:szCs w:val="28"/>
          <w:highlight w:val="none"/>
          <w:lang w:val="en-US" w:eastAsia="zh-CN" w:bidi="ar-SA"/>
        </w:rPr>
        <w:fldChar w:fldCharType="end"/>
      </w:r>
      <w:r>
        <w:rPr>
          <w:rFonts w:hint="eastAsia" w:ascii="仿宋" w:hAnsi="仿宋" w:eastAsia="仿宋" w:cs="仿宋"/>
          <w:snapToGrid w:val="0"/>
          <w:color w:val="000000"/>
          <w:kern w:val="0"/>
          <w:sz w:val="28"/>
          <w:szCs w:val="28"/>
          <w:highlight w:val="none"/>
          <w:lang w:val="en-US" w:eastAsia="zh-CN" w:bidi="ar-SA"/>
        </w:rPr>
        <w:t>）（经营异常名录、严重违法失信名单）。（须提供查询记录并加盖    公章）；</w:t>
      </w:r>
    </w:p>
    <w:p w14:paraId="43E5C4EA">
      <w:pPr>
        <w:spacing w:before="166" w:line="183" w:lineRule="auto"/>
        <w:ind w:left="487"/>
        <w:rPr>
          <w:rFonts w:hint="eastAsia" w:ascii="仿宋" w:hAnsi="仿宋" w:eastAsia="仿宋" w:cs="仿宋"/>
          <w:snapToGrid w:val="0"/>
          <w:color w:val="000000"/>
          <w:kern w:val="0"/>
          <w:sz w:val="28"/>
          <w:szCs w:val="28"/>
          <w:highlight w:val="none"/>
          <w:lang w:val="en-US" w:eastAsia="zh-CN" w:bidi="ar-SA"/>
        </w:rPr>
      </w:pPr>
      <w:r>
        <w:rPr>
          <w:rFonts w:hint="eastAsia" w:ascii="仿宋" w:hAnsi="仿宋" w:eastAsia="仿宋" w:cs="仿宋"/>
          <w:snapToGrid w:val="0"/>
          <w:color w:val="000000"/>
          <w:kern w:val="0"/>
          <w:sz w:val="28"/>
          <w:szCs w:val="28"/>
          <w:highlight w:val="none"/>
          <w:lang w:val="en-US" w:eastAsia="zh-CN" w:bidi="ar-SA"/>
        </w:rPr>
        <w:t>⑨中小企业声明函（根据招标文件中法定格式提供）；</w:t>
      </w:r>
    </w:p>
    <w:p w14:paraId="7A47B341">
      <w:pPr>
        <w:spacing w:before="88" w:line="229" w:lineRule="auto"/>
        <w:ind w:left="1" w:right="239" w:firstLine="478"/>
        <w:rPr>
          <w:rFonts w:hint="eastAsia" w:ascii="仿宋" w:hAnsi="仿宋" w:eastAsia="仿宋" w:cs="仿宋"/>
          <w:snapToGrid w:val="0"/>
          <w:color w:val="000000"/>
          <w:kern w:val="0"/>
          <w:sz w:val="28"/>
          <w:szCs w:val="28"/>
          <w:highlight w:val="none"/>
          <w:lang w:val="en-US" w:eastAsia="zh-CN" w:bidi="ar-SA"/>
        </w:rPr>
      </w:pPr>
      <w:r>
        <w:rPr>
          <w:rFonts w:hint="eastAsia" w:ascii="仿宋" w:hAnsi="仿宋" w:eastAsia="仿宋" w:cs="仿宋"/>
          <w:snapToGrid w:val="0"/>
          <w:color w:val="000000"/>
          <w:kern w:val="0"/>
          <w:sz w:val="28"/>
          <w:szCs w:val="28"/>
          <w:highlight w:val="none"/>
          <w:lang w:val="en-US" w:eastAsia="zh-CN" w:bidi="ar-SA"/>
        </w:rPr>
        <w:t>4、本项目特定资格要求①供应商须具备建设主管部门颁发的建设工程质量检测机构资质 证书(检测范围须包含：建筑材料及构配件、主体结构及装饰装修、钢结构、地基基础)，并同时具备工程设计建筑行业（建筑工程）专业乙级或乙级以上资质及工程勘察 专业类（岩土工程（勘察））乙级或乙级以上资质。②拟派项目负责人具备一级注册结构工程师执业证书；</w:t>
      </w:r>
    </w:p>
    <w:p w14:paraId="63CF5B1F">
      <w:pPr>
        <w:spacing w:before="172" w:line="183" w:lineRule="auto"/>
        <w:ind w:left="498"/>
        <w:rPr>
          <w:rFonts w:hint="eastAsia" w:ascii="仿宋" w:hAnsi="仿宋" w:eastAsia="仿宋" w:cs="仿宋"/>
          <w:snapToGrid w:val="0"/>
          <w:color w:val="000000"/>
          <w:kern w:val="0"/>
          <w:sz w:val="28"/>
          <w:szCs w:val="28"/>
          <w:highlight w:val="none"/>
          <w:lang w:val="en-US" w:eastAsia="zh-CN" w:bidi="ar-SA"/>
        </w:rPr>
      </w:pPr>
      <w:r>
        <w:rPr>
          <w:rFonts w:hint="eastAsia" w:ascii="仿宋" w:hAnsi="仿宋" w:eastAsia="仿宋" w:cs="仿宋"/>
          <w:snapToGrid w:val="0"/>
          <w:color w:val="000000"/>
          <w:kern w:val="0"/>
          <w:sz w:val="28"/>
          <w:szCs w:val="28"/>
          <w:highlight w:val="none"/>
          <w:lang w:val="en-US" w:eastAsia="zh-CN" w:bidi="ar-SA"/>
        </w:rPr>
        <w:t>5、投标保证金有效凭证；</w:t>
      </w:r>
    </w:p>
    <w:p w14:paraId="1023B835">
      <w:pPr>
        <w:spacing w:line="183" w:lineRule="auto"/>
        <w:rPr>
          <w:rFonts w:hint="eastAsia" w:ascii="仿宋" w:hAnsi="仿宋" w:eastAsia="仿宋" w:cs="仿宋"/>
          <w:snapToGrid w:val="0"/>
          <w:color w:val="000000"/>
          <w:kern w:val="0"/>
          <w:sz w:val="28"/>
          <w:szCs w:val="28"/>
          <w:highlight w:val="none"/>
          <w:lang w:val="en-US" w:eastAsia="zh-CN" w:bidi="ar-SA"/>
        </w:rPr>
        <w:sectPr>
          <w:footerReference r:id="rId16" w:type="default"/>
          <w:pgSz w:w="11906" w:h="16840"/>
          <w:pgMar w:top="1431" w:right="840" w:bottom="1113" w:left="1081" w:header="0" w:footer="879" w:gutter="0"/>
          <w:pgNumType w:fmt="decimal"/>
          <w:cols w:space="720" w:num="1"/>
        </w:sectPr>
      </w:pPr>
    </w:p>
    <w:p w14:paraId="1A1C1434">
      <w:pPr>
        <w:pStyle w:val="7"/>
        <w:spacing w:line="339" w:lineRule="auto"/>
      </w:pPr>
    </w:p>
    <w:p w14:paraId="08A0E3F4">
      <w:pPr>
        <w:pStyle w:val="7"/>
        <w:spacing w:line="339" w:lineRule="auto"/>
      </w:pPr>
    </w:p>
    <w:p w14:paraId="74163454">
      <w:pPr>
        <w:spacing w:before="103" w:line="230" w:lineRule="auto"/>
        <w:ind w:left="3390"/>
        <w:outlineLvl w:val="1"/>
        <w:rPr>
          <w:rFonts w:ascii="微软雅黑" w:hAnsi="微软雅黑" w:eastAsia="微软雅黑" w:cs="微软雅黑"/>
          <w:sz w:val="24"/>
          <w:szCs w:val="24"/>
        </w:rPr>
      </w:pPr>
      <w:bookmarkStart w:id="64" w:name="bookmark10"/>
      <w:bookmarkEnd w:id="64"/>
      <w:r>
        <w:rPr>
          <w:rFonts w:ascii="微软雅黑" w:hAnsi="微软雅黑" w:eastAsia="微软雅黑" w:cs="微软雅黑"/>
          <w:b/>
          <w:bCs/>
          <w:spacing w:val="-5"/>
          <w:sz w:val="24"/>
          <w:szCs w:val="24"/>
        </w:rPr>
        <w:t>1</w:t>
      </w:r>
      <w:r>
        <w:rPr>
          <w:rFonts w:ascii="微软雅黑" w:hAnsi="微软雅黑" w:eastAsia="微软雅黑" w:cs="微软雅黑"/>
          <w:b/>
          <w:bCs/>
          <w:spacing w:val="10"/>
          <w:sz w:val="24"/>
          <w:szCs w:val="24"/>
        </w:rPr>
        <w:t xml:space="preserve">   </w:t>
      </w:r>
      <w:r>
        <w:rPr>
          <w:rFonts w:ascii="微软雅黑" w:hAnsi="微软雅黑" w:eastAsia="微软雅黑" w:cs="微软雅黑"/>
          <w:b/>
          <w:bCs/>
          <w:spacing w:val="-5"/>
          <w:sz w:val="24"/>
          <w:szCs w:val="24"/>
        </w:rPr>
        <w:t>开标一览表</w:t>
      </w:r>
    </w:p>
    <w:p w14:paraId="1C7FA0FD">
      <w:pPr>
        <w:pStyle w:val="7"/>
        <w:spacing w:line="374" w:lineRule="auto"/>
      </w:pPr>
    </w:p>
    <w:p w14:paraId="6F4A85F7">
      <w:pPr>
        <w:spacing w:before="103" w:line="183" w:lineRule="auto"/>
        <w:ind w:left="9"/>
        <w:rPr>
          <w:rFonts w:ascii="微软雅黑" w:hAnsi="微软雅黑" w:eastAsia="微软雅黑" w:cs="微软雅黑"/>
          <w:sz w:val="24"/>
          <w:szCs w:val="24"/>
        </w:rPr>
      </w:pPr>
      <w:r>
        <w:rPr>
          <w:rFonts w:ascii="微软雅黑" w:hAnsi="微软雅黑" w:eastAsia="微软雅黑" w:cs="微软雅黑"/>
          <w:spacing w:val="-1"/>
          <w:sz w:val="24"/>
          <w:szCs w:val="24"/>
        </w:rPr>
        <w:t xml:space="preserve">项目名称：                        </w:t>
      </w:r>
      <w:r>
        <w:rPr>
          <w:rFonts w:ascii="微软雅黑" w:hAnsi="微软雅黑" w:eastAsia="微软雅黑" w:cs="微软雅黑"/>
          <w:spacing w:val="-2"/>
          <w:sz w:val="24"/>
          <w:szCs w:val="24"/>
        </w:rPr>
        <w:t xml:space="preserve">                        项目编号：</w:t>
      </w:r>
    </w:p>
    <w:p w14:paraId="12D0E0A9">
      <w:pPr>
        <w:pStyle w:val="7"/>
        <w:spacing w:line="403" w:lineRule="auto"/>
      </w:pPr>
    </w:p>
    <w:p w14:paraId="2D40962C">
      <w:pPr>
        <w:spacing w:before="103" w:line="178" w:lineRule="auto"/>
        <w:ind w:left="11"/>
        <w:rPr>
          <w:rFonts w:ascii="微软雅黑" w:hAnsi="微软雅黑" w:eastAsia="微软雅黑" w:cs="微软雅黑"/>
          <w:sz w:val="24"/>
          <w:szCs w:val="24"/>
        </w:rPr>
      </w:pPr>
      <w:r>
        <w:rPr>
          <w:rFonts w:ascii="微软雅黑" w:hAnsi="微软雅黑" w:eastAsia="微软雅黑" w:cs="微软雅黑"/>
          <w:spacing w:val="-4"/>
          <w:sz w:val="24"/>
          <w:szCs w:val="24"/>
        </w:rPr>
        <w:t>报价单位：人民币</w:t>
      </w:r>
      <w:r>
        <w:rPr>
          <w:rFonts w:ascii="微软雅黑" w:hAnsi="微软雅黑" w:eastAsia="微软雅黑" w:cs="微软雅黑"/>
          <w:spacing w:val="12"/>
          <w:sz w:val="24"/>
          <w:szCs w:val="24"/>
        </w:rPr>
        <w:t xml:space="preserve">   </w:t>
      </w:r>
      <w:r>
        <w:rPr>
          <w:rFonts w:ascii="微软雅黑" w:hAnsi="微软雅黑" w:eastAsia="微软雅黑" w:cs="微软雅黑"/>
          <w:b/>
          <w:bCs/>
          <w:spacing w:val="-4"/>
          <w:sz w:val="24"/>
          <w:szCs w:val="24"/>
        </w:rPr>
        <w:t>元</w:t>
      </w:r>
      <w:r>
        <w:rPr>
          <w:rFonts w:ascii="微软雅黑" w:hAnsi="微软雅黑" w:eastAsia="微软雅黑" w:cs="微软雅黑"/>
          <w:b/>
          <w:bCs/>
          <w:spacing w:val="1"/>
          <w:sz w:val="24"/>
          <w:szCs w:val="24"/>
        </w:rPr>
        <w:t xml:space="preserve">                            </w:t>
      </w:r>
    </w:p>
    <w:tbl>
      <w:tblPr>
        <w:tblStyle w:val="20"/>
        <w:tblW w:w="935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7"/>
        <w:gridCol w:w="2212"/>
        <w:gridCol w:w="1673"/>
        <w:gridCol w:w="2125"/>
        <w:gridCol w:w="2130"/>
      </w:tblGrid>
      <w:tr w14:paraId="3BA094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1217" w:type="dxa"/>
            <w:tcBorders>
              <w:bottom w:val="single" w:color="000000" w:sz="8" w:space="0"/>
              <w:right w:val="single" w:color="000000" w:sz="8" w:space="0"/>
            </w:tcBorders>
            <w:vAlign w:val="top"/>
          </w:tcPr>
          <w:p w14:paraId="6FD52E48">
            <w:pPr>
              <w:spacing w:before="214" w:line="184" w:lineRule="auto"/>
              <w:ind w:right="19"/>
              <w:jc w:val="right"/>
              <w:rPr>
                <w:rFonts w:ascii="微软雅黑" w:hAnsi="微软雅黑" w:eastAsia="微软雅黑" w:cs="微软雅黑"/>
                <w:sz w:val="24"/>
                <w:szCs w:val="24"/>
              </w:rPr>
            </w:pPr>
            <w:r>
              <w:rPr>
                <w:rFonts w:ascii="微软雅黑" w:hAnsi="微软雅黑" w:eastAsia="微软雅黑" w:cs="微软雅黑"/>
                <w:spacing w:val="-1"/>
                <w:sz w:val="24"/>
                <w:szCs w:val="24"/>
              </w:rPr>
              <w:t>服务名称</w:t>
            </w:r>
          </w:p>
        </w:tc>
        <w:tc>
          <w:tcPr>
            <w:tcW w:w="2212" w:type="dxa"/>
            <w:tcBorders>
              <w:left w:val="single" w:color="000000" w:sz="8" w:space="0"/>
              <w:bottom w:val="single" w:color="000000" w:sz="8" w:space="0"/>
            </w:tcBorders>
            <w:vAlign w:val="top"/>
          </w:tcPr>
          <w:p w14:paraId="0769E13C">
            <w:pPr>
              <w:spacing w:before="216" w:line="183" w:lineRule="auto"/>
              <w:ind w:left="500"/>
              <w:rPr>
                <w:rFonts w:hint="default" w:ascii="微软雅黑" w:hAnsi="微软雅黑" w:eastAsia="微软雅黑" w:cs="微软雅黑"/>
                <w:sz w:val="24"/>
                <w:szCs w:val="24"/>
                <w:lang w:val="en-US" w:eastAsia="zh-CN"/>
              </w:rPr>
            </w:pPr>
            <w:r>
              <w:rPr>
                <w:rFonts w:ascii="微软雅黑" w:hAnsi="微软雅黑" w:eastAsia="微软雅黑" w:cs="微软雅黑"/>
                <w:spacing w:val="-1"/>
                <w:sz w:val="24"/>
                <w:szCs w:val="24"/>
              </w:rPr>
              <w:t>投标</w:t>
            </w:r>
            <w:r>
              <w:rPr>
                <w:rFonts w:hint="eastAsia" w:ascii="微软雅黑" w:hAnsi="微软雅黑" w:eastAsia="微软雅黑" w:cs="微软雅黑"/>
                <w:spacing w:val="-1"/>
                <w:sz w:val="24"/>
                <w:szCs w:val="24"/>
                <w:lang w:val="en-US" w:eastAsia="zh-CN"/>
              </w:rPr>
              <w:t>报价（元/每平方米）</w:t>
            </w:r>
          </w:p>
        </w:tc>
        <w:tc>
          <w:tcPr>
            <w:tcW w:w="1673" w:type="dxa"/>
            <w:tcBorders>
              <w:top w:val="single" w:color="000000" w:sz="8" w:space="0"/>
              <w:bottom w:val="single" w:color="000000" w:sz="8" w:space="0"/>
            </w:tcBorders>
            <w:vAlign w:val="top"/>
          </w:tcPr>
          <w:p w14:paraId="2360ADAB">
            <w:pPr>
              <w:spacing w:before="217" w:line="182" w:lineRule="auto"/>
              <w:ind w:left="233"/>
              <w:rPr>
                <w:rFonts w:ascii="微软雅黑" w:hAnsi="微软雅黑" w:eastAsia="微软雅黑" w:cs="微软雅黑"/>
                <w:sz w:val="24"/>
                <w:szCs w:val="24"/>
              </w:rPr>
            </w:pPr>
            <w:r>
              <w:rPr>
                <w:rFonts w:ascii="微软雅黑" w:hAnsi="微软雅黑" w:eastAsia="微软雅黑" w:cs="微软雅黑"/>
                <w:spacing w:val="-1"/>
                <w:sz w:val="24"/>
                <w:szCs w:val="24"/>
              </w:rPr>
              <w:t>投标保证金</w:t>
            </w:r>
          </w:p>
        </w:tc>
        <w:tc>
          <w:tcPr>
            <w:tcW w:w="2125" w:type="dxa"/>
            <w:tcBorders>
              <w:top w:val="single" w:color="000000" w:sz="8" w:space="0"/>
              <w:bottom w:val="single" w:color="000000" w:sz="8" w:space="0"/>
            </w:tcBorders>
            <w:vAlign w:val="top"/>
          </w:tcPr>
          <w:p w14:paraId="6B4B2988">
            <w:pPr>
              <w:spacing w:before="214" w:line="184" w:lineRule="auto"/>
              <w:ind w:left="582"/>
              <w:rPr>
                <w:rFonts w:ascii="微软雅黑" w:hAnsi="微软雅黑" w:eastAsia="微软雅黑" w:cs="微软雅黑"/>
                <w:sz w:val="24"/>
                <w:szCs w:val="24"/>
              </w:rPr>
            </w:pPr>
            <w:r>
              <w:rPr>
                <w:rFonts w:ascii="微软雅黑" w:hAnsi="微软雅黑" w:eastAsia="微软雅黑" w:cs="微软雅黑"/>
                <w:spacing w:val="-1"/>
                <w:sz w:val="24"/>
                <w:szCs w:val="24"/>
              </w:rPr>
              <w:t>服务期限</w:t>
            </w:r>
          </w:p>
        </w:tc>
        <w:tc>
          <w:tcPr>
            <w:tcW w:w="2130" w:type="dxa"/>
            <w:tcBorders>
              <w:top w:val="single" w:color="000000" w:sz="8" w:space="0"/>
              <w:bottom w:val="single" w:color="000000" w:sz="8" w:space="0"/>
            </w:tcBorders>
            <w:vAlign w:val="top"/>
          </w:tcPr>
          <w:p w14:paraId="2B846290">
            <w:pPr>
              <w:spacing w:before="214" w:line="184" w:lineRule="auto"/>
              <w:ind w:left="820"/>
              <w:rPr>
                <w:rFonts w:ascii="微软雅黑" w:hAnsi="微软雅黑" w:eastAsia="微软雅黑" w:cs="微软雅黑"/>
                <w:sz w:val="24"/>
                <w:szCs w:val="24"/>
              </w:rPr>
            </w:pPr>
            <w:r>
              <w:rPr>
                <w:rFonts w:ascii="微软雅黑" w:hAnsi="微软雅黑" w:eastAsia="微软雅黑" w:cs="微软雅黑"/>
                <w:spacing w:val="-1"/>
                <w:sz w:val="24"/>
                <w:szCs w:val="24"/>
              </w:rPr>
              <w:t>备注</w:t>
            </w:r>
          </w:p>
        </w:tc>
      </w:tr>
      <w:tr w14:paraId="4CD5D3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7" w:hRule="atLeast"/>
        </w:trPr>
        <w:tc>
          <w:tcPr>
            <w:tcW w:w="1217" w:type="dxa"/>
            <w:tcBorders>
              <w:top w:val="single" w:color="000000" w:sz="8" w:space="0"/>
              <w:right w:val="single" w:color="000000" w:sz="8" w:space="0"/>
            </w:tcBorders>
            <w:vAlign w:val="top"/>
          </w:tcPr>
          <w:p w14:paraId="384F3B88">
            <w:pPr>
              <w:rPr>
                <w:rFonts w:ascii="Arial"/>
                <w:sz w:val="21"/>
              </w:rPr>
            </w:pPr>
          </w:p>
        </w:tc>
        <w:tc>
          <w:tcPr>
            <w:tcW w:w="2212" w:type="dxa"/>
            <w:tcBorders>
              <w:top w:val="single" w:color="000000" w:sz="8" w:space="0"/>
              <w:left w:val="single" w:color="000000" w:sz="8" w:space="0"/>
            </w:tcBorders>
            <w:vAlign w:val="top"/>
          </w:tcPr>
          <w:p w14:paraId="3C1D17AB">
            <w:pPr>
              <w:spacing w:line="358" w:lineRule="auto"/>
              <w:rPr>
                <w:rFonts w:ascii="Arial"/>
                <w:sz w:val="21"/>
              </w:rPr>
            </w:pPr>
          </w:p>
          <w:p w14:paraId="34CA709A">
            <w:pPr>
              <w:spacing w:before="103" w:line="181" w:lineRule="auto"/>
              <w:rPr>
                <w:rFonts w:ascii="微软雅黑" w:hAnsi="微软雅黑" w:eastAsia="微软雅黑" w:cs="微软雅黑"/>
                <w:sz w:val="24"/>
                <w:szCs w:val="24"/>
              </w:rPr>
            </w:pPr>
            <w:r>
              <w:rPr>
                <w:rFonts w:ascii="微软雅黑" w:hAnsi="微软雅黑" w:eastAsia="微软雅黑" w:cs="微软雅黑"/>
                <w:spacing w:val="-11"/>
                <w:sz w:val="24"/>
                <w:szCs w:val="24"/>
              </w:rPr>
              <w:t>大写：</w:t>
            </w:r>
          </w:p>
          <w:p w14:paraId="0B4B0C1E">
            <w:pPr>
              <w:spacing w:before="101" w:line="181" w:lineRule="auto"/>
              <w:ind w:left="1"/>
              <w:rPr>
                <w:rFonts w:ascii="微软雅黑" w:hAnsi="微软雅黑" w:eastAsia="微软雅黑" w:cs="微软雅黑"/>
                <w:sz w:val="24"/>
                <w:szCs w:val="24"/>
              </w:rPr>
            </w:pPr>
            <w:r>
              <w:rPr>
                <w:rFonts w:ascii="微软雅黑" w:hAnsi="微软雅黑" w:eastAsia="微软雅黑" w:cs="微软雅黑"/>
                <w:spacing w:val="-11"/>
                <w:sz w:val="24"/>
                <w:szCs w:val="24"/>
              </w:rPr>
              <w:t>小写：</w:t>
            </w:r>
          </w:p>
        </w:tc>
        <w:tc>
          <w:tcPr>
            <w:tcW w:w="1673" w:type="dxa"/>
            <w:tcBorders>
              <w:top w:val="single" w:color="000000" w:sz="8" w:space="0"/>
            </w:tcBorders>
            <w:vAlign w:val="top"/>
          </w:tcPr>
          <w:p w14:paraId="3593EBE8">
            <w:pPr>
              <w:rPr>
                <w:rFonts w:ascii="Arial"/>
                <w:sz w:val="21"/>
              </w:rPr>
            </w:pPr>
          </w:p>
        </w:tc>
        <w:tc>
          <w:tcPr>
            <w:tcW w:w="2125" w:type="dxa"/>
            <w:tcBorders>
              <w:top w:val="single" w:color="000000" w:sz="8" w:space="0"/>
            </w:tcBorders>
            <w:vAlign w:val="top"/>
          </w:tcPr>
          <w:p w14:paraId="555FA093">
            <w:pPr>
              <w:rPr>
                <w:rFonts w:ascii="Arial"/>
                <w:sz w:val="21"/>
              </w:rPr>
            </w:pPr>
          </w:p>
        </w:tc>
        <w:tc>
          <w:tcPr>
            <w:tcW w:w="2130" w:type="dxa"/>
            <w:tcBorders>
              <w:top w:val="single" w:color="000000" w:sz="8" w:space="0"/>
            </w:tcBorders>
            <w:vAlign w:val="top"/>
          </w:tcPr>
          <w:p w14:paraId="43DF4388">
            <w:pPr>
              <w:rPr>
                <w:rFonts w:ascii="Arial"/>
                <w:sz w:val="21"/>
              </w:rPr>
            </w:pPr>
          </w:p>
        </w:tc>
      </w:tr>
    </w:tbl>
    <w:p w14:paraId="3071D4D1">
      <w:pPr>
        <w:pStyle w:val="7"/>
        <w:spacing w:line="273" w:lineRule="auto"/>
      </w:pPr>
    </w:p>
    <w:p w14:paraId="3D8B9DAF">
      <w:pPr>
        <w:pStyle w:val="7"/>
        <w:spacing w:line="273" w:lineRule="auto"/>
      </w:pPr>
    </w:p>
    <w:p w14:paraId="5389C476">
      <w:pPr>
        <w:pStyle w:val="7"/>
        <w:spacing w:line="274" w:lineRule="auto"/>
      </w:pPr>
    </w:p>
    <w:p w14:paraId="1955F515">
      <w:pPr>
        <w:spacing w:before="103" w:line="184" w:lineRule="auto"/>
        <w:ind w:left="548"/>
        <w:rPr>
          <w:rFonts w:ascii="微软雅黑" w:hAnsi="微软雅黑" w:eastAsia="微软雅黑" w:cs="微软雅黑"/>
          <w:sz w:val="24"/>
          <w:szCs w:val="24"/>
        </w:rPr>
      </w:pPr>
      <w:r>
        <w:rPr>
          <w:rFonts w:ascii="微软雅黑" w:hAnsi="微软雅黑" w:eastAsia="微软雅黑" w:cs="微软雅黑"/>
          <w:spacing w:val="-5"/>
          <w:sz w:val="24"/>
          <w:szCs w:val="24"/>
        </w:rPr>
        <w:t>供应商名称（公章</w:t>
      </w:r>
      <w:r>
        <w:rPr>
          <w:rFonts w:ascii="微软雅黑" w:hAnsi="微软雅黑" w:eastAsia="微软雅黑" w:cs="微软雅黑"/>
          <w:spacing w:val="-2"/>
          <w:sz w:val="24"/>
          <w:szCs w:val="24"/>
        </w:rPr>
        <w:t>）：</w:t>
      </w:r>
    </w:p>
    <w:p w14:paraId="4EC13665">
      <w:pPr>
        <w:spacing w:before="95" w:line="184" w:lineRule="auto"/>
        <w:ind w:left="551"/>
        <w:rPr>
          <w:rFonts w:ascii="微软雅黑" w:hAnsi="微软雅黑" w:eastAsia="微软雅黑" w:cs="微软雅黑"/>
          <w:sz w:val="24"/>
          <w:szCs w:val="24"/>
        </w:rPr>
      </w:pPr>
      <w:r>
        <w:rPr>
          <w:rFonts w:ascii="微软雅黑" w:hAnsi="微软雅黑" w:eastAsia="微软雅黑" w:cs="微软雅黑"/>
          <w:spacing w:val="-1"/>
          <w:sz w:val="24"/>
          <w:szCs w:val="24"/>
        </w:rPr>
        <w:t>法定代表人或委托代理人（签字或盖章）:</w:t>
      </w:r>
    </w:p>
    <w:p w14:paraId="783500F7">
      <w:pPr>
        <w:pStyle w:val="7"/>
        <w:spacing w:line="244" w:lineRule="auto"/>
      </w:pPr>
    </w:p>
    <w:p w14:paraId="43301B9A">
      <w:pPr>
        <w:pStyle w:val="7"/>
        <w:spacing w:line="244" w:lineRule="auto"/>
      </w:pPr>
    </w:p>
    <w:p w14:paraId="4AC42C03">
      <w:pPr>
        <w:pStyle w:val="7"/>
        <w:spacing w:line="244" w:lineRule="auto"/>
      </w:pPr>
    </w:p>
    <w:p w14:paraId="076B3106">
      <w:pPr>
        <w:pStyle w:val="7"/>
        <w:spacing w:line="245" w:lineRule="auto"/>
      </w:pPr>
    </w:p>
    <w:p w14:paraId="3B442DF4">
      <w:pPr>
        <w:pStyle w:val="7"/>
        <w:spacing w:line="245" w:lineRule="auto"/>
      </w:pPr>
    </w:p>
    <w:p w14:paraId="52997D15">
      <w:pPr>
        <w:spacing w:before="103" w:line="183" w:lineRule="auto"/>
        <w:ind w:left="550"/>
        <w:rPr>
          <w:rFonts w:ascii="微软雅黑" w:hAnsi="微软雅黑" w:eastAsia="微软雅黑" w:cs="微软雅黑"/>
          <w:sz w:val="24"/>
          <w:szCs w:val="24"/>
        </w:rPr>
      </w:pPr>
      <w:r>
        <w:rPr>
          <w:rFonts w:ascii="微软雅黑" w:hAnsi="微软雅黑" w:eastAsia="微软雅黑" w:cs="微软雅黑"/>
          <w:spacing w:val="-1"/>
          <w:sz w:val="24"/>
          <w:szCs w:val="24"/>
        </w:rPr>
        <w:t>注:1、此表中，投标总价应和投标分项报价表的总价相一致。</w:t>
      </w:r>
    </w:p>
    <w:p w14:paraId="5B37E2D5">
      <w:pPr>
        <w:spacing w:before="98" w:line="183" w:lineRule="auto"/>
        <w:ind w:left="981"/>
        <w:rPr>
          <w:rFonts w:ascii="微软雅黑" w:hAnsi="微软雅黑" w:eastAsia="微软雅黑" w:cs="微软雅黑"/>
          <w:sz w:val="24"/>
          <w:szCs w:val="24"/>
        </w:rPr>
      </w:pPr>
      <w:r>
        <w:rPr>
          <w:rFonts w:ascii="微软雅黑" w:hAnsi="微软雅黑" w:eastAsia="微软雅黑" w:cs="微软雅黑"/>
          <w:spacing w:val="-3"/>
          <w:sz w:val="24"/>
          <w:szCs w:val="24"/>
        </w:rPr>
        <w:t>2、此报价中包含一切与本项目相关的费用。</w:t>
      </w:r>
    </w:p>
    <w:p w14:paraId="5D3C7D69">
      <w:pPr>
        <w:spacing w:before="56"/>
        <w:ind w:left="5" w:firstLine="6"/>
        <w:jc w:val="both"/>
        <w:rPr>
          <w:rFonts w:ascii="微软雅黑" w:hAnsi="微软雅黑" w:eastAsia="微软雅黑" w:cs="微软雅黑"/>
          <w:sz w:val="24"/>
          <w:szCs w:val="24"/>
        </w:rPr>
      </w:pPr>
      <w:r>
        <w:rPr>
          <w:rFonts w:ascii="微软雅黑" w:hAnsi="微软雅黑" w:eastAsia="微软雅黑" w:cs="微软雅黑"/>
          <w:spacing w:val="1"/>
          <w:sz w:val="24"/>
          <w:szCs w:val="24"/>
        </w:rPr>
        <w:t>根据《政府采购促进中小企业发展管理办法》（财库[2</w:t>
      </w:r>
      <w:r>
        <w:rPr>
          <w:rFonts w:ascii="微软雅黑" w:hAnsi="微软雅黑" w:eastAsia="微软雅黑" w:cs="微软雅黑"/>
          <w:sz w:val="24"/>
          <w:szCs w:val="24"/>
        </w:rPr>
        <w:t>020]46 号）、《关于落实好政府采购  支持中小企业发展的通知》（新财购 〔2022〕22</w:t>
      </w:r>
      <w:r>
        <w:rPr>
          <w:rFonts w:ascii="微软雅黑" w:hAnsi="微软雅黑" w:eastAsia="微软雅黑" w:cs="微软雅黑"/>
          <w:spacing w:val="63"/>
          <w:w w:val="101"/>
          <w:sz w:val="24"/>
          <w:szCs w:val="24"/>
        </w:rPr>
        <w:t xml:space="preserve"> </w:t>
      </w:r>
      <w:r>
        <w:rPr>
          <w:rFonts w:ascii="微软雅黑" w:hAnsi="微软雅黑" w:eastAsia="微软雅黑" w:cs="微软雅黑"/>
          <w:sz w:val="24"/>
          <w:szCs w:val="24"/>
        </w:rPr>
        <w:t>号）、《财政部关于政府采购支持</w:t>
      </w:r>
      <w:r>
        <w:rPr>
          <w:rFonts w:ascii="微软雅黑" w:hAnsi="微软雅黑" w:eastAsia="微软雅黑" w:cs="微软雅黑"/>
          <w:spacing w:val="-35"/>
          <w:sz w:val="24"/>
          <w:szCs w:val="24"/>
        </w:rPr>
        <w:t xml:space="preserve"> </w:t>
      </w:r>
      <w:r>
        <w:rPr>
          <w:rFonts w:ascii="微软雅黑" w:hAnsi="微软雅黑" w:eastAsia="微软雅黑" w:cs="微软雅黑"/>
          <w:sz w:val="24"/>
          <w:szCs w:val="24"/>
        </w:rPr>
        <w:t xml:space="preserve">jian yu  </w:t>
      </w:r>
      <w:r>
        <w:rPr>
          <w:rFonts w:ascii="微软雅黑" w:hAnsi="微软雅黑" w:eastAsia="微软雅黑" w:cs="微软雅黑"/>
          <w:spacing w:val="-1"/>
          <w:sz w:val="24"/>
          <w:szCs w:val="24"/>
        </w:rPr>
        <w:t>企业发展有关问题的通知》（财库〔2014〕68 号）和《三部门联合发布关于促进残</w:t>
      </w:r>
      <w:r>
        <w:rPr>
          <w:rFonts w:ascii="微软雅黑" w:hAnsi="微软雅黑" w:eastAsia="微软雅黑" w:cs="微软雅黑"/>
          <w:spacing w:val="-2"/>
          <w:sz w:val="24"/>
          <w:szCs w:val="24"/>
        </w:rPr>
        <w:t>疾人就业</w:t>
      </w:r>
      <w:r>
        <w:rPr>
          <w:rFonts w:ascii="微软雅黑" w:hAnsi="微软雅黑" w:eastAsia="微软雅黑" w:cs="微软雅黑"/>
          <w:sz w:val="24"/>
          <w:szCs w:val="24"/>
        </w:rPr>
        <w:t xml:space="preserve">  </w:t>
      </w:r>
      <w:r>
        <w:rPr>
          <w:rFonts w:ascii="微软雅黑" w:hAnsi="微软雅黑" w:eastAsia="微软雅黑" w:cs="微软雅黑"/>
          <w:spacing w:val="1"/>
          <w:sz w:val="24"/>
          <w:szCs w:val="24"/>
        </w:rPr>
        <w:t>政府采购政策的通知》（财库〔2017〕</w:t>
      </w:r>
      <w:r>
        <w:rPr>
          <w:rFonts w:ascii="微软雅黑" w:hAnsi="微软雅黑" w:eastAsia="微软雅黑" w:cs="微软雅黑"/>
          <w:spacing w:val="-43"/>
          <w:sz w:val="24"/>
          <w:szCs w:val="24"/>
        </w:rPr>
        <w:t xml:space="preserve"> </w:t>
      </w:r>
      <w:r>
        <w:rPr>
          <w:rFonts w:ascii="微软雅黑" w:hAnsi="微软雅黑" w:eastAsia="微软雅黑" w:cs="微软雅黑"/>
          <w:spacing w:val="1"/>
          <w:sz w:val="24"/>
          <w:szCs w:val="24"/>
        </w:rPr>
        <w:t xml:space="preserve">141 </w:t>
      </w:r>
      <w:r>
        <w:rPr>
          <w:rFonts w:ascii="微软雅黑" w:hAnsi="微软雅黑" w:eastAsia="微软雅黑" w:cs="微软雅黑"/>
          <w:sz w:val="24"/>
          <w:szCs w:val="24"/>
        </w:rPr>
        <w:t xml:space="preserve">号）、《关于进一步加大政府采购支持中小企业  </w:t>
      </w:r>
      <w:r>
        <w:rPr>
          <w:rFonts w:ascii="微软雅黑" w:hAnsi="微软雅黑" w:eastAsia="微软雅黑" w:cs="微软雅黑"/>
          <w:spacing w:val="3"/>
          <w:sz w:val="24"/>
          <w:szCs w:val="24"/>
        </w:rPr>
        <w:t>力度的通知》（财库〔2022〕</w:t>
      </w:r>
      <w:r>
        <w:rPr>
          <w:rFonts w:ascii="微软雅黑" w:hAnsi="微软雅黑" w:eastAsia="微软雅黑" w:cs="微软雅黑"/>
          <w:spacing w:val="-33"/>
          <w:sz w:val="24"/>
          <w:szCs w:val="24"/>
        </w:rPr>
        <w:t xml:space="preserve"> </w:t>
      </w:r>
      <w:r>
        <w:rPr>
          <w:rFonts w:ascii="微软雅黑" w:hAnsi="微软雅黑" w:eastAsia="微软雅黑" w:cs="微软雅黑"/>
          <w:spacing w:val="3"/>
          <w:sz w:val="24"/>
          <w:szCs w:val="24"/>
        </w:rPr>
        <w:t>19 号）</w:t>
      </w:r>
      <w:r>
        <w:rPr>
          <w:rFonts w:ascii="微软雅黑" w:hAnsi="微软雅黑" w:eastAsia="微软雅黑" w:cs="微软雅黑"/>
          <w:spacing w:val="-46"/>
          <w:sz w:val="24"/>
          <w:szCs w:val="24"/>
        </w:rPr>
        <w:t xml:space="preserve"> </w:t>
      </w:r>
      <w:r>
        <w:rPr>
          <w:rFonts w:ascii="微软雅黑" w:hAnsi="微软雅黑" w:eastAsia="微软雅黑" w:cs="微软雅黑"/>
          <w:spacing w:val="3"/>
          <w:sz w:val="24"/>
          <w:szCs w:val="24"/>
        </w:rPr>
        <w:t>的规定，对满足价格扣除条件且在响应文件中提交了</w:t>
      </w:r>
      <w:r>
        <w:rPr>
          <w:rFonts w:ascii="微软雅黑" w:hAnsi="微软雅黑" w:eastAsia="微软雅黑" w:cs="微软雅黑"/>
          <w:sz w:val="24"/>
          <w:szCs w:val="24"/>
        </w:rPr>
        <w:t xml:space="preserve">  《中小企业声明函》或省级以上</w:t>
      </w:r>
      <w:r>
        <w:rPr>
          <w:rFonts w:ascii="微软雅黑" w:hAnsi="微软雅黑" w:eastAsia="微软雅黑" w:cs="微软雅黑"/>
          <w:spacing w:val="-21"/>
          <w:sz w:val="24"/>
          <w:szCs w:val="24"/>
        </w:rPr>
        <w:t xml:space="preserve"> </w:t>
      </w:r>
      <w:r>
        <w:rPr>
          <w:rFonts w:ascii="微软雅黑" w:hAnsi="微软雅黑" w:eastAsia="微软雅黑" w:cs="微软雅黑"/>
          <w:sz w:val="24"/>
          <w:szCs w:val="24"/>
        </w:rPr>
        <w:t xml:space="preserve">jian yu 管理局、戒毒管理局（含新疆生产建设兵团）出具的  </w:t>
      </w:r>
      <w:r>
        <w:rPr>
          <w:rFonts w:ascii="微软雅黑" w:hAnsi="微软雅黑" w:eastAsia="微软雅黑" w:cs="微软雅黑"/>
          <w:spacing w:val="1"/>
          <w:sz w:val="24"/>
          <w:szCs w:val="24"/>
        </w:rPr>
        <w:t>属于</w:t>
      </w:r>
      <w:r>
        <w:rPr>
          <w:rFonts w:ascii="微软雅黑" w:hAnsi="微软雅黑" w:eastAsia="微软雅黑" w:cs="微软雅黑"/>
          <w:spacing w:val="-35"/>
          <w:sz w:val="24"/>
          <w:szCs w:val="24"/>
        </w:rPr>
        <w:t xml:space="preserve"> </w:t>
      </w:r>
      <w:r>
        <w:rPr>
          <w:rFonts w:ascii="微软雅黑" w:hAnsi="微软雅黑" w:eastAsia="微软雅黑" w:cs="微软雅黑"/>
          <w:sz w:val="24"/>
          <w:szCs w:val="24"/>
        </w:rPr>
        <w:t>jian</w:t>
      </w:r>
      <w:r>
        <w:rPr>
          <w:rFonts w:ascii="微软雅黑" w:hAnsi="微软雅黑" w:eastAsia="微软雅黑" w:cs="微软雅黑"/>
          <w:spacing w:val="1"/>
          <w:sz w:val="24"/>
          <w:szCs w:val="24"/>
        </w:rPr>
        <w:t xml:space="preserve"> </w:t>
      </w:r>
      <w:r>
        <w:rPr>
          <w:rFonts w:ascii="微软雅黑" w:hAnsi="微软雅黑" w:eastAsia="微软雅黑" w:cs="微软雅黑"/>
          <w:sz w:val="24"/>
          <w:szCs w:val="24"/>
        </w:rPr>
        <w:t>yu</w:t>
      </w:r>
      <w:r>
        <w:rPr>
          <w:rFonts w:ascii="微软雅黑" w:hAnsi="微软雅黑" w:eastAsia="微软雅黑" w:cs="微软雅黑"/>
          <w:spacing w:val="1"/>
          <w:sz w:val="24"/>
          <w:szCs w:val="24"/>
        </w:rPr>
        <w:t xml:space="preserve"> 企业的证明文件的供应商，其投标报价扣除</w:t>
      </w:r>
      <w:r>
        <w:rPr>
          <w:rFonts w:ascii="微软雅黑" w:hAnsi="微软雅黑" w:eastAsia="微软雅黑" w:cs="微软雅黑"/>
          <w:spacing w:val="1"/>
          <w:sz w:val="24"/>
          <w:szCs w:val="24"/>
          <w:u w:val="single" w:color="auto"/>
        </w:rPr>
        <w:t xml:space="preserve">        </w:t>
      </w:r>
      <w:r>
        <w:rPr>
          <w:rFonts w:ascii="微软雅黑" w:hAnsi="微软雅黑" w:eastAsia="微软雅黑" w:cs="微软雅黑"/>
          <w:spacing w:val="-61"/>
          <w:sz w:val="24"/>
          <w:szCs w:val="24"/>
        </w:rPr>
        <w:t xml:space="preserve"> </w:t>
      </w:r>
      <w:r>
        <w:rPr>
          <w:rFonts w:ascii="微软雅黑" w:hAnsi="微软雅黑" w:eastAsia="微软雅黑" w:cs="微软雅黑"/>
          <w:spacing w:val="1"/>
          <w:sz w:val="24"/>
          <w:szCs w:val="24"/>
        </w:rPr>
        <w:t>%后参与评</w:t>
      </w:r>
      <w:r>
        <w:rPr>
          <w:rFonts w:ascii="微软雅黑" w:hAnsi="微软雅黑" w:eastAsia="微软雅黑" w:cs="微软雅黑"/>
          <w:sz w:val="24"/>
          <w:szCs w:val="24"/>
        </w:rPr>
        <w:t xml:space="preserve">标。对于同时属于小 </w:t>
      </w:r>
      <w:r>
        <w:rPr>
          <w:rFonts w:ascii="微软雅黑" w:hAnsi="微软雅黑" w:eastAsia="微软雅黑" w:cs="微软雅黑"/>
          <w:spacing w:val="-1"/>
          <w:sz w:val="24"/>
          <w:szCs w:val="24"/>
        </w:rPr>
        <w:t>微企业、jian yu 企业或残疾人福利性</w:t>
      </w:r>
      <w:r>
        <w:rPr>
          <w:rFonts w:ascii="微软雅黑" w:hAnsi="微软雅黑" w:eastAsia="微软雅黑" w:cs="微软雅黑"/>
          <w:spacing w:val="-2"/>
          <w:sz w:val="24"/>
          <w:szCs w:val="24"/>
        </w:rPr>
        <w:t>单位的，不重复进行投标报价扣除。</w:t>
      </w:r>
    </w:p>
    <w:p w14:paraId="704D331A">
      <w:pPr>
        <w:rPr>
          <w:rFonts w:ascii="微软雅黑" w:hAnsi="微软雅黑" w:eastAsia="微软雅黑" w:cs="微软雅黑"/>
          <w:sz w:val="24"/>
          <w:szCs w:val="24"/>
        </w:rPr>
        <w:sectPr>
          <w:footerReference r:id="rId17" w:type="default"/>
          <w:pgSz w:w="11906" w:h="16840"/>
          <w:pgMar w:top="1431" w:right="978" w:bottom="1113" w:left="1071" w:header="0" w:footer="879" w:gutter="0"/>
          <w:pgNumType w:fmt="decimal"/>
          <w:cols w:space="720" w:num="1"/>
        </w:sectPr>
      </w:pPr>
    </w:p>
    <w:p w14:paraId="06471C4C">
      <w:pPr>
        <w:pStyle w:val="7"/>
        <w:spacing w:line="441" w:lineRule="auto"/>
      </w:pPr>
    </w:p>
    <w:p w14:paraId="086D69D2">
      <w:pPr>
        <w:spacing w:before="103" w:line="230" w:lineRule="auto"/>
        <w:ind w:left="10"/>
        <w:outlineLvl w:val="1"/>
        <w:rPr>
          <w:rFonts w:ascii="微软雅黑" w:hAnsi="微软雅黑" w:eastAsia="微软雅黑" w:cs="微软雅黑"/>
          <w:sz w:val="24"/>
          <w:szCs w:val="24"/>
        </w:rPr>
      </w:pPr>
      <w:bookmarkStart w:id="65" w:name="bookmark11"/>
      <w:bookmarkEnd w:id="65"/>
      <w:r>
        <w:rPr>
          <w:rFonts w:ascii="微软雅黑" w:hAnsi="微软雅黑" w:eastAsia="微软雅黑" w:cs="微软雅黑"/>
          <w:b/>
          <w:bCs/>
          <w:spacing w:val="-7"/>
          <w:sz w:val="24"/>
          <w:szCs w:val="24"/>
        </w:rPr>
        <w:t>2</w:t>
      </w:r>
      <w:r>
        <w:rPr>
          <w:rFonts w:ascii="微软雅黑" w:hAnsi="微软雅黑" w:eastAsia="微软雅黑" w:cs="微软雅黑"/>
          <w:b/>
          <w:bCs/>
          <w:spacing w:val="26"/>
          <w:sz w:val="24"/>
          <w:szCs w:val="24"/>
        </w:rPr>
        <w:t xml:space="preserve">  </w:t>
      </w:r>
      <w:r>
        <w:rPr>
          <w:rFonts w:ascii="微软雅黑" w:hAnsi="微软雅黑" w:eastAsia="微软雅黑" w:cs="微软雅黑"/>
          <w:b/>
          <w:bCs/>
          <w:spacing w:val="-7"/>
          <w:sz w:val="24"/>
          <w:szCs w:val="24"/>
        </w:rPr>
        <w:t>联合体协议；</w:t>
      </w:r>
    </w:p>
    <w:p w14:paraId="0F8B5F03">
      <w:pPr>
        <w:spacing w:before="303" w:line="243" w:lineRule="auto"/>
        <w:ind w:firstLine="1"/>
        <w:jc w:val="both"/>
        <w:rPr>
          <w:rFonts w:ascii="微软雅黑" w:hAnsi="微软雅黑" w:eastAsia="微软雅黑" w:cs="微软雅黑"/>
          <w:sz w:val="24"/>
          <w:szCs w:val="24"/>
        </w:rPr>
      </w:pPr>
      <w:r>
        <w:rPr>
          <w:rFonts w:ascii="微软雅黑" w:hAnsi="微软雅黑" w:eastAsia="微软雅黑" w:cs="微软雅黑"/>
          <w:spacing w:val="-4"/>
          <w:sz w:val="24"/>
          <w:szCs w:val="24"/>
        </w:rPr>
        <w:t>说明：①协议书中应指定联合体牵头单位，并明确联合体牵头单位及各方的权利义务。 ②联合</w:t>
      </w:r>
      <w:r>
        <w:rPr>
          <w:rFonts w:ascii="微软雅黑" w:hAnsi="微软雅黑" w:eastAsia="微软雅黑" w:cs="微软雅黑"/>
          <w:spacing w:val="9"/>
          <w:sz w:val="24"/>
          <w:szCs w:val="24"/>
        </w:rPr>
        <w:t xml:space="preserve"> </w:t>
      </w:r>
      <w:r>
        <w:rPr>
          <w:rFonts w:ascii="微软雅黑" w:hAnsi="微软雅黑" w:eastAsia="微软雅黑" w:cs="微软雅黑"/>
          <w:spacing w:val="-2"/>
          <w:sz w:val="24"/>
          <w:szCs w:val="24"/>
        </w:rPr>
        <w:t>体各方应当具备与联合体协议中约定的分工相适应的资质</w:t>
      </w:r>
      <w:r>
        <w:rPr>
          <w:rFonts w:ascii="微软雅黑" w:hAnsi="微软雅黑" w:eastAsia="微软雅黑" w:cs="微软雅黑"/>
          <w:spacing w:val="-3"/>
          <w:sz w:val="24"/>
          <w:szCs w:val="24"/>
        </w:rPr>
        <w:t>和能力；③联合体各方不得再以自己</w:t>
      </w:r>
      <w:r>
        <w:rPr>
          <w:rFonts w:ascii="微软雅黑" w:hAnsi="微软雅黑" w:eastAsia="微软雅黑" w:cs="微软雅黑"/>
          <w:sz w:val="24"/>
          <w:szCs w:val="24"/>
        </w:rPr>
        <w:t xml:space="preserve"> </w:t>
      </w:r>
      <w:r>
        <w:rPr>
          <w:rFonts w:ascii="微软雅黑" w:hAnsi="微软雅黑" w:eastAsia="微软雅黑" w:cs="微软雅黑"/>
          <w:spacing w:val="-2"/>
          <w:sz w:val="24"/>
          <w:szCs w:val="24"/>
        </w:rPr>
        <w:t>名义单独或参加其他联合体在同项目中投标；④投标保证</w:t>
      </w:r>
      <w:r>
        <w:rPr>
          <w:rFonts w:ascii="微软雅黑" w:hAnsi="微软雅黑" w:eastAsia="微软雅黑" w:cs="微软雅黑"/>
          <w:spacing w:val="-3"/>
          <w:sz w:val="24"/>
          <w:szCs w:val="24"/>
        </w:rPr>
        <w:t>金须由联合体牵头单位缴纳。对联合</w:t>
      </w:r>
      <w:r>
        <w:rPr>
          <w:rFonts w:ascii="微软雅黑" w:hAnsi="微软雅黑" w:eastAsia="微软雅黑" w:cs="微软雅黑"/>
          <w:sz w:val="24"/>
          <w:szCs w:val="24"/>
        </w:rPr>
        <w:t xml:space="preserve"> </w:t>
      </w:r>
      <w:r>
        <w:rPr>
          <w:rFonts w:ascii="微软雅黑" w:hAnsi="微软雅黑" w:eastAsia="微软雅黑" w:cs="微软雅黑"/>
          <w:spacing w:val="-4"/>
          <w:sz w:val="24"/>
          <w:szCs w:val="24"/>
        </w:rPr>
        <w:t>体各方均具有约束力。⑤本次投标盖章由联合体牵头单位盖章， 签署由联合体牵头单位法定代</w:t>
      </w:r>
      <w:r>
        <w:rPr>
          <w:rFonts w:ascii="微软雅黑" w:hAnsi="微软雅黑" w:eastAsia="微软雅黑" w:cs="微软雅黑"/>
          <w:sz w:val="24"/>
          <w:szCs w:val="24"/>
        </w:rPr>
        <w:t xml:space="preserve"> </w:t>
      </w:r>
      <w:r>
        <w:rPr>
          <w:rFonts w:ascii="微软雅黑" w:hAnsi="微软雅黑" w:eastAsia="微软雅黑" w:cs="微软雅黑"/>
          <w:spacing w:val="-2"/>
          <w:sz w:val="24"/>
          <w:szCs w:val="24"/>
        </w:rPr>
        <w:t>表人或其授权的授权代表负责签署本次投标文件；⑥联合体协议格式自拟。</w:t>
      </w:r>
    </w:p>
    <w:p w14:paraId="1E89AAC2">
      <w:pPr>
        <w:pStyle w:val="7"/>
        <w:spacing w:line="244" w:lineRule="auto"/>
      </w:pPr>
    </w:p>
    <w:p w14:paraId="6BC9CC57">
      <w:pPr>
        <w:pStyle w:val="7"/>
        <w:spacing w:line="244" w:lineRule="auto"/>
      </w:pPr>
    </w:p>
    <w:p w14:paraId="6B1B15CD">
      <w:pPr>
        <w:pStyle w:val="7"/>
        <w:spacing w:line="244" w:lineRule="auto"/>
      </w:pPr>
    </w:p>
    <w:p w14:paraId="45E77D6C">
      <w:pPr>
        <w:pStyle w:val="7"/>
        <w:spacing w:line="244" w:lineRule="auto"/>
      </w:pPr>
    </w:p>
    <w:p w14:paraId="73186B0E">
      <w:pPr>
        <w:pStyle w:val="7"/>
        <w:spacing w:line="244" w:lineRule="auto"/>
      </w:pPr>
    </w:p>
    <w:p w14:paraId="0D6C8541">
      <w:pPr>
        <w:pStyle w:val="7"/>
        <w:spacing w:line="244" w:lineRule="auto"/>
      </w:pPr>
    </w:p>
    <w:p w14:paraId="35DF1853">
      <w:pPr>
        <w:pStyle w:val="7"/>
        <w:spacing w:line="244" w:lineRule="auto"/>
      </w:pPr>
    </w:p>
    <w:p w14:paraId="47CC2CCF">
      <w:pPr>
        <w:pStyle w:val="7"/>
        <w:spacing w:line="244" w:lineRule="auto"/>
      </w:pPr>
    </w:p>
    <w:p w14:paraId="1677D48A">
      <w:pPr>
        <w:pStyle w:val="7"/>
        <w:spacing w:line="245" w:lineRule="auto"/>
      </w:pPr>
    </w:p>
    <w:p w14:paraId="080C915E">
      <w:pPr>
        <w:pStyle w:val="7"/>
        <w:spacing w:line="245" w:lineRule="auto"/>
      </w:pPr>
    </w:p>
    <w:p w14:paraId="5DA0DB17">
      <w:pPr>
        <w:pStyle w:val="7"/>
        <w:spacing w:line="245" w:lineRule="auto"/>
      </w:pPr>
    </w:p>
    <w:p w14:paraId="2AE24F04">
      <w:pPr>
        <w:pStyle w:val="7"/>
        <w:spacing w:line="245" w:lineRule="auto"/>
      </w:pPr>
    </w:p>
    <w:p w14:paraId="0A6416CF">
      <w:pPr>
        <w:pStyle w:val="7"/>
        <w:spacing w:line="245" w:lineRule="auto"/>
      </w:pPr>
    </w:p>
    <w:p w14:paraId="5ADE5241">
      <w:pPr>
        <w:pStyle w:val="7"/>
        <w:spacing w:line="245" w:lineRule="auto"/>
      </w:pPr>
    </w:p>
    <w:p w14:paraId="3019E9E7">
      <w:pPr>
        <w:pStyle w:val="7"/>
        <w:spacing w:line="245" w:lineRule="auto"/>
      </w:pPr>
    </w:p>
    <w:p w14:paraId="34F4FB70">
      <w:pPr>
        <w:spacing w:before="103" w:line="229" w:lineRule="auto"/>
        <w:ind w:left="436"/>
        <w:outlineLvl w:val="1"/>
        <w:rPr>
          <w:rFonts w:ascii="微软雅黑" w:hAnsi="微软雅黑" w:eastAsia="微软雅黑" w:cs="微软雅黑"/>
          <w:sz w:val="24"/>
          <w:szCs w:val="24"/>
        </w:rPr>
      </w:pPr>
      <w:bookmarkStart w:id="66" w:name="bookmark12"/>
      <w:bookmarkEnd w:id="66"/>
      <w:r>
        <w:rPr>
          <w:rFonts w:ascii="微软雅黑" w:hAnsi="微软雅黑" w:eastAsia="微软雅黑" w:cs="微软雅黑"/>
          <w:b/>
          <w:bCs/>
          <w:sz w:val="24"/>
          <w:szCs w:val="24"/>
        </w:rPr>
        <w:t>3   符合《中华人民共和国政府采购法》第二十二条的规定</w:t>
      </w:r>
    </w:p>
    <w:p w14:paraId="5FD87311">
      <w:pPr>
        <w:pStyle w:val="7"/>
        <w:spacing w:line="373" w:lineRule="auto"/>
      </w:pPr>
    </w:p>
    <w:p w14:paraId="241C588B">
      <w:pPr>
        <w:spacing w:before="303" w:line="243" w:lineRule="auto"/>
        <w:ind w:firstLine="1"/>
        <w:jc w:val="both"/>
        <w:rPr>
          <w:rFonts w:ascii="微软雅黑" w:hAnsi="微软雅黑" w:eastAsia="微软雅黑" w:cs="微软雅黑"/>
          <w:spacing w:val="-2"/>
          <w:sz w:val="24"/>
          <w:szCs w:val="24"/>
        </w:rPr>
      </w:pPr>
      <w:r>
        <w:rPr>
          <w:rFonts w:ascii="微软雅黑" w:hAnsi="微软雅黑" w:eastAsia="微软雅黑" w:cs="微软雅黑"/>
          <w:spacing w:val="-2"/>
          <w:sz w:val="24"/>
          <w:szCs w:val="24"/>
        </w:rPr>
        <w:t>①具有独立承担民事责任的能力；（投标时，提供在中华人民共和国境内注册的法人或其 他组织的营业执照或事业单位法人证书或社会团体法人登记证书）</w:t>
      </w:r>
    </w:p>
    <w:p w14:paraId="70176C16">
      <w:pPr>
        <w:spacing w:before="303" w:line="243" w:lineRule="auto"/>
        <w:ind w:firstLine="1"/>
        <w:jc w:val="both"/>
        <w:rPr>
          <w:rFonts w:ascii="微软雅黑" w:hAnsi="微软雅黑" w:eastAsia="微软雅黑" w:cs="微软雅黑"/>
          <w:spacing w:val="-2"/>
          <w:sz w:val="24"/>
          <w:szCs w:val="24"/>
        </w:rPr>
      </w:pPr>
      <w:r>
        <w:rPr>
          <w:rFonts w:ascii="微软雅黑" w:hAnsi="微软雅黑" w:eastAsia="微软雅黑" w:cs="微软雅黑"/>
          <w:spacing w:val="-2"/>
          <w:sz w:val="24"/>
          <w:szCs w:val="24"/>
        </w:rPr>
        <w:t>说明：1、营业执照正本或副本，须上传扫描件并加盖本单位公章。</w:t>
      </w:r>
    </w:p>
    <w:p w14:paraId="03D36D05">
      <w:pPr>
        <w:spacing w:before="303" w:line="243" w:lineRule="auto"/>
        <w:ind w:firstLine="708" w:firstLineChars="300"/>
        <w:jc w:val="both"/>
        <w:rPr>
          <w:rFonts w:ascii="微软雅黑" w:hAnsi="微软雅黑" w:eastAsia="微软雅黑" w:cs="微软雅黑"/>
          <w:spacing w:val="-2"/>
          <w:sz w:val="24"/>
          <w:szCs w:val="24"/>
        </w:rPr>
      </w:pPr>
      <w:r>
        <w:rPr>
          <w:rFonts w:ascii="微软雅黑" w:hAnsi="微软雅黑" w:eastAsia="微软雅黑" w:cs="微软雅黑"/>
          <w:spacing w:val="-2"/>
          <w:sz w:val="24"/>
          <w:szCs w:val="24"/>
        </w:rPr>
        <w:t>2、联合体投标的，双方均需提供相关证明。</w:t>
      </w:r>
    </w:p>
    <w:p w14:paraId="214AA647">
      <w:pPr>
        <w:spacing w:line="183" w:lineRule="auto"/>
        <w:rPr>
          <w:rFonts w:ascii="微软雅黑" w:hAnsi="微软雅黑" w:eastAsia="微软雅黑" w:cs="微软雅黑"/>
          <w:sz w:val="24"/>
          <w:szCs w:val="24"/>
        </w:rPr>
        <w:sectPr>
          <w:footerReference r:id="rId18" w:type="default"/>
          <w:pgSz w:w="11906" w:h="16840"/>
          <w:pgMar w:top="1431" w:right="1069" w:bottom="1113" w:left="1082" w:header="0" w:footer="879" w:gutter="0"/>
          <w:pgNumType w:fmt="decimal"/>
          <w:cols w:space="720" w:num="1"/>
        </w:sectPr>
      </w:pPr>
    </w:p>
    <w:p w14:paraId="42ED74B3">
      <w:pPr>
        <w:spacing w:before="113" w:line="272" w:lineRule="auto"/>
        <w:ind w:firstLine="482"/>
        <w:rPr>
          <w:rFonts w:ascii="微软雅黑" w:hAnsi="微软雅黑" w:eastAsia="微软雅黑" w:cs="微软雅黑"/>
          <w:sz w:val="24"/>
          <w:szCs w:val="24"/>
        </w:rPr>
      </w:pPr>
      <w:r>
        <w:rPr>
          <w:rFonts w:ascii="微软雅黑" w:hAnsi="微软雅黑" w:eastAsia="微软雅黑" w:cs="微软雅黑"/>
          <w:b/>
          <w:bCs/>
          <w:spacing w:val="-3"/>
          <w:sz w:val="24"/>
          <w:szCs w:val="24"/>
        </w:rPr>
        <w:t>②法人投标须提供法人身份证明及法人身份证，被授权委托人须提供法人身份证明、授权</w:t>
      </w:r>
      <w:r>
        <w:rPr>
          <w:rFonts w:ascii="微软雅黑" w:hAnsi="微软雅黑" w:eastAsia="微软雅黑" w:cs="微软雅黑"/>
          <w:b/>
          <w:bCs/>
          <w:spacing w:val="16"/>
          <w:sz w:val="24"/>
          <w:szCs w:val="24"/>
        </w:rPr>
        <w:t xml:space="preserve"> </w:t>
      </w:r>
      <w:r>
        <w:rPr>
          <w:rFonts w:ascii="微软雅黑" w:hAnsi="微软雅黑" w:eastAsia="微软雅黑" w:cs="微软雅黑"/>
          <w:b/>
          <w:bCs/>
          <w:spacing w:val="-4"/>
          <w:sz w:val="24"/>
          <w:szCs w:val="24"/>
        </w:rPr>
        <w:t>委托书及身份证复印件；</w:t>
      </w:r>
    </w:p>
    <w:p w14:paraId="11A5117D">
      <w:pPr>
        <w:pStyle w:val="7"/>
        <w:spacing w:line="392" w:lineRule="auto"/>
      </w:pPr>
    </w:p>
    <w:p w14:paraId="578928DE">
      <w:pPr>
        <w:spacing w:before="94" w:line="225" w:lineRule="auto"/>
        <w:ind w:left="26"/>
        <w:rPr>
          <w:rFonts w:ascii="微软雅黑" w:hAnsi="微软雅黑" w:eastAsia="微软雅黑" w:cs="微软雅黑"/>
          <w:sz w:val="22"/>
          <w:szCs w:val="22"/>
        </w:rPr>
      </w:pPr>
      <w:r>
        <w:rPr>
          <w:rFonts w:ascii="微软雅黑" w:hAnsi="微软雅黑" w:eastAsia="微软雅黑" w:cs="微软雅黑"/>
          <w:b/>
          <w:bCs/>
          <w:spacing w:val="-4"/>
          <w:sz w:val="22"/>
          <w:szCs w:val="22"/>
        </w:rPr>
        <w:t>（一）法定代表人身份证明</w:t>
      </w:r>
    </w:p>
    <w:p w14:paraId="7D00758D">
      <w:pPr>
        <w:pStyle w:val="7"/>
        <w:spacing w:line="399" w:lineRule="auto"/>
      </w:pPr>
    </w:p>
    <w:p w14:paraId="0D5CA79E">
      <w:pPr>
        <w:tabs>
          <w:tab w:val="left" w:pos="1646"/>
        </w:tabs>
        <w:spacing w:before="94" w:line="184" w:lineRule="auto"/>
        <w:ind w:left="546"/>
        <w:rPr>
          <w:rFonts w:ascii="微软雅黑" w:hAnsi="微软雅黑" w:eastAsia="微软雅黑" w:cs="微软雅黑"/>
          <w:sz w:val="22"/>
          <w:szCs w:val="22"/>
        </w:rPr>
      </w:pPr>
      <w:r>
        <w:rPr>
          <w:rFonts w:ascii="微软雅黑" w:hAnsi="微软雅黑" w:eastAsia="微软雅黑" w:cs="微软雅黑"/>
          <w:sz w:val="22"/>
          <w:szCs w:val="22"/>
          <w:u w:val="single" w:color="auto"/>
        </w:rPr>
        <w:tab/>
      </w:r>
      <w:r>
        <w:rPr>
          <w:rFonts w:ascii="微软雅黑" w:hAnsi="微软雅黑" w:eastAsia="微软雅黑" w:cs="微软雅黑"/>
          <w:spacing w:val="-35"/>
          <w:sz w:val="22"/>
          <w:szCs w:val="22"/>
        </w:rPr>
        <w:t xml:space="preserve"> </w:t>
      </w:r>
      <w:r>
        <w:rPr>
          <w:rFonts w:ascii="微软雅黑" w:hAnsi="微软雅黑" w:eastAsia="微软雅黑" w:cs="微软雅黑"/>
          <w:spacing w:val="-2"/>
          <w:sz w:val="22"/>
          <w:szCs w:val="22"/>
        </w:rPr>
        <w:t>同志，现任我单位</w:t>
      </w:r>
      <w:r>
        <w:rPr>
          <w:rFonts w:ascii="微软雅黑" w:hAnsi="微软雅黑" w:eastAsia="微软雅黑" w:cs="微软雅黑"/>
          <w:spacing w:val="-2"/>
          <w:sz w:val="22"/>
          <w:szCs w:val="22"/>
          <w:u w:val="single" w:color="auto"/>
        </w:rPr>
        <w:t xml:space="preserve">                 </w:t>
      </w:r>
      <w:r>
        <w:rPr>
          <w:rFonts w:ascii="微软雅黑" w:hAnsi="微软雅黑" w:eastAsia="微软雅黑" w:cs="微软雅黑"/>
          <w:spacing w:val="-61"/>
          <w:sz w:val="22"/>
          <w:szCs w:val="22"/>
        </w:rPr>
        <w:t xml:space="preserve"> </w:t>
      </w:r>
      <w:r>
        <w:rPr>
          <w:rFonts w:ascii="微软雅黑" w:hAnsi="微软雅黑" w:eastAsia="微软雅黑" w:cs="微软雅黑"/>
          <w:spacing w:val="-2"/>
          <w:sz w:val="22"/>
          <w:szCs w:val="22"/>
        </w:rPr>
        <w:t>职务，为法定代表人，特此证明。</w:t>
      </w:r>
    </w:p>
    <w:p w14:paraId="6F69D8F3">
      <w:pPr>
        <w:spacing w:before="278" w:line="183" w:lineRule="auto"/>
        <w:ind w:left="219"/>
        <w:rPr>
          <w:rFonts w:ascii="微软雅黑" w:hAnsi="微软雅黑" w:eastAsia="微软雅黑" w:cs="微软雅黑"/>
          <w:sz w:val="22"/>
          <w:szCs w:val="22"/>
        </w:rPr>
      </w:pPr>
      <w:r>
        <w:rPr>
          <w:rFonts w:ascii="微软雅黑" w:hAnsi="微软雅黑" w:eastAsia="微软雅黑" w:cs="微软雅黑"/>
          <w:spacing w:val="-2"/>
          <w:sz w:val="22"/>
          <w:szCs w:val="22"/>
        </w:rPr>
        <w:t>签发日期：                               单位：</w:t>
      </w:r>
    </w:p>
    <w:p w14:paraId="2C238805">
      <w:pPr>
        <w:spacing w:before="278" w:line="183" w:lineRule="auto"/>
        <w:ind w:left="230"/>
        <w:rPr>
          <w:rFonts w:ascii="微软雅黑" w:hAnsi="微软雅黑" w:eastAsia="微软雅黑" w:cs="微软雅黑"/>
          <w:sz w:val="22"/>
          <w:szCs w:val="22"/>
        </w:rPr>
      </w:pPr>
      <w:r>
        <w:rPr>
          <w:rFonts w:ascii="微软雅黑" w:hAnsi="微软雅黑" w:eastAsia="微软雅黑" w:cs="微软雅黑"/>
          <w:spacing w:val="-1"/>
          <w:sz w:val="22"/>
          <w:szCs w:val="22"/>
        </w:rPr>
        <w:t>附：代表人性别：                    年龄：                   身份证号码：</w:t>
      </w:r>
    </w:p>
    <w:p w14:paraId="3673ED8A">
      <w:pPr>
        <w:spacing w:before="279" w:line="182" w:lineRule="auto"/>
        <w:ind w:left="219"/>
        <w:rPr>
          <w:rFonts w:ascii="微软雅黑" w:hAnsi="微软雅黑" w:eastAsia="微软雅黑" w:cs="微软雅黑"/>
          <w:sz w:val="22"/>
          <w:szCs w:val="22"/>
        </w:rPr>
      </w:pPr>
      <w:r>
        <w:rPr>
          <w:rFonts w:ascii="微软雅黑" w:hAnsi="微软雅黑" w:eastAsia="微软雅黑" w:cs="微软雅黑"/>
          <w:spacing w:val="-8"/>
          <w:sz w:val="22"/>
          <w:szCs w:val="22"/>
        </w:rPr>
        <w:t>联系电话：</w:t>
      </w:r>
    </w:p>
    <w:p w14:paraId="5A90A598">
      <w:pPr>
        <w:spacing w:before="279" w:line="183" w:lineRule="auto"/>
        <w:ind w:left="221"/>
        <w:rPr>
          <w:rFonts w:ascii="微软雅黑" w:hAnsi="微软雅黑" w:eastAsia="微软雅黑" w:cs="微软雅黑"/>
          <w:sz w:val="22"/>
          <w:szCs w:val="22"/>
        </w:rPr>
      </w:pPr>
      <w:r>
        <w:rPr>
          <w:rFonts w:ascii="微软雅黑" w:hAnsi="微软雅黑" w:eastAsia="微软雅黑" w:cs="微软雅黑"/>
          <w:spacing w:val="-2"/>
          <w:sz w:val="22"/>
          <w:szCs w:val="22"/>
        </w:rPr>
        <w:t>营业执照号码：                        经济性质：</w:t>
      </w:r>
    </w:p>
    <w:p w14:paraId="3024E89C">
      <w:pPr>
        <w:spacing w:before="279" w:line="182" w:lineRule="auto"/>
        <w:rPr>
          <w:rFonts w:ascii="微软雅黑" w:hAnsi="微软雅黑" w:eastAsia="微软雅黑" w:cs="微软雅黑"/>
          <w:sz w:val="22"/>
          <w:szCs w:val="22"/>
        </w:rPr>
      </w:pPr>
      <w:r>
        <w:rPr>
          <w:rFonts w:ascii="微软雅黑" w:hAnsi="微软雅黑" w:eastAsia="微软雅黑" w:cs="微软雅黑"/>
          <w:spacing w:val="-10"/>
          <w:sz w:val="22"/>
          <w:szCs w:val="22"/>
        </w:rPr>
        <w:t>说明：</w:t>
      </w:r>
    </w:p>
    <w:p w14:paraId="53C41739">
      <w:pPr>
        <w:spacing w:before="277" w:line="184" w:lineRule="auto"/>
        <w:ind w:left="239"/>
        <w:rPr>
          <w:rFonts w:ascii="微软雅黑" w:hAnsi="微软雅黑" w:eastAsia="微软雅黑" w:cs="微软雅黑"/>
          <w:sz w:val="22"/>
          <w:szCs w:val="22"/>
        </w:rPr>
      </w:pPr>
      <w:r>
        <w:rPr>
          <w:rFonts w:ascii="微软雅黑" w:hAnsi="微软雅黑" w:eastAsia="微软雅黑" w:cs="微软雅黑"/>
          <w:spacing w:val="-2"/>
          <w:sz w:val="22"/>
          <w:szCs w:val="22"/>
        </w:rPr>
        <w:t>1、法定代表人为企业事业单位、国家机关、社会团体的主要行政负责人。</w:t>
      </w:r>
    </w:p>
    <w:p w14:paraId="7547DBC2">
      <w:pPr>
        <w:spacing w:before="278" w:line="183" w:lineRule="auto"/>
        <w:ind w:left="229"/>
        <w:rPr>
          <w:rFonts w:ascii="微软雅黑" w:hAnsi="微软雅黑" w:eastAsia="微软雅黑" w:cs="微软雅黑"/>
          <w:sz w:val="22"/>
          <w:szCs w:val="22"/>
        </w:rPr>
      </w:pPr>
      <w:r>
        <w:rPr>
          <w:rFonts w:ascii="微软雅黑" w:hAnsi="微软雅黑" w:eastAsia="微软雅黑" w:cs="微软雅黑"/>
          <w:spacing w:val="-3"/>
          <w:sz w:val="22"/>
          <w:szCs w:val="22"/>
        </w:rPr>
        <w:t>2、内容必须填写真实、清楚、涂改无效，不得转让。</w:t>
      </w:r>
    </w:p>
    <w:p w14:paraId="2269A4FB">
      <w:pPr>
        <w:pStyle w:val="7"/>
        <w:spacing w:line="258" w:lineRule="auto"/>
      </w:pPr>
    </w:p>
    <w:p w14:paraId="29F6E2C7">
      <w:pPr>
        <w:pStyle w:val="7"/>
        <w:spacing w:line="258" w:lineRule="auto"/>
      </w:pPr>
    </w:p>
    <w:p w14:paraId="1346D985">
      <w:pPr>
        <w:pStyle w:val="7"/>
        <w:spacing w:line="258" w:lineRule="auto"/>
      </w:pPr>
      <w:r>
        <w:pict>
          <v:group id="_x0000_s1028" o:spid="_x0000_s1028" o:spt="203" style="position:absolute;left:0pt;margin-left:11.6pt;margin-top:11.8pt;height:125.5pt;width:184.5pt;z-index:251660288;mso-width-relative:page;mso-height-relative:page;" coordsize="3690,2510">
            <o:lock v:ext="edit"/>
            <v:shape id="_x0000_s1029" o:spid="_x0000_s1029" style="position:absolute;left:0;top:0;height:2510;width:3690;" filled="f" stroked="t" coordsize="3690,2510" path="m7,423c7,313,51,207,129,129c207,51,313,7,423,7l423,7,3266,7c3376,7,3482,51,3560,129c3638,207,3682,313,3682,423l3682,423,3682,2086c3682,2196,3638,2302,3560,2380c3482,2458,3376,2502,3266,2502l3266,2502,423,2502c313,2502,207,2458,129,2380c51,2302,7,2196,7,2086l7,423xe">
              <v:fill on="f" focussize="0,0"/>
              <v:stroke color="#000000" miterlimit="10" joinstyle="miter"/>
              <v:imagedata o:title=""/>
              <o:lock v:ext="edit"/>
            </v:shape>
            <v:shape id="_x0000_s1030" o:spid="_x0000_s1030" o:spt="202" type="#_x0000_t202" style="position:absolute;left:-20;top:-20;height:2590;width:3730;" filled="f" stroked="f" coordsize="21600,21600">
              <v:path/>
              <v:fill on="f" focussize="0,0"/>
              <v:stroke on="f"/>
              <v:imagedata o:title=""/>
              <o:lock v:ext="edit" aspectratio="f"/>
              <v:textbox inset="0mm,0mm,0mm,0mm">
                <w:txbxContent>
                  <w:p w14:paraId="6B6BEA56">
                    <w:pPr>
                      <w:pStyle w:val="7"/>
                      <w:spacing w:line="303" w:lineRule="auto"/>
                    </w:pPr>
                  </w:p>
                  <w:p w14:paraId="4690A1A9">
                    <w:pPr>
                      <w:pStyle w:val="7"/>
                      <w:spacing w:line="303" w:lineRule="auto"/>
                    </w:pPr>
                  </w:p>
                  <w:p w14:paraId="548C8B8C">
                    <w:pPr>
                      <w:pStyle w:val="7"/>
                      <w:spacing w:line="303" w:lineRule="auto"/>
                    </w:pPr>
                  </w:p>
                  <w:p w14:paraId="2FB8FF5B">
                    <w:pPr>
                      <w:spacing w:before="69" w:line="220" w:lineRule="auto"/>
                      <w:ind w:left="718"/>
                      <w:rPr>
                        <w:rFonts w:ascii="宋体" w:hAnsi="宋体" w:eastAsia="宋体" w:cs="宋体"/>
                        <w:sz w:val="21"/>
                        <w:szCs w:val="21"/>
                      </w:rPr>
                    </w:pPr>
                    <w:r>
                      <w:rPr>
                        <w:rFonts w:ascii="宋体" w:hAnsi="宋体" w:eastAsia="宋体" w:cs="宋体"/>
                        <w:spacing w:val="-1"/>
                        <w:sz w:val="21"/>
                        <w:szCs w:val="21"/>
                      </w:rPr>
                      <w:t>法定代表人身份证复印件</w:t>
                    </w:r>
                  </w:p>
                </w:txbxContent>
              </v:textbox>
            </v:shape>
          </v:group>
        </w:pict>
      </w:r>
    </w:p>
    <w:p w14:paraId="3EF49293">
      <w:pPr>
        <w:pStyle w:val="7"/>
        <w:spacing w:before="1" w:line="2477" w:lineRule="exact"/>
        <w:ind w:firstLine="4580"/>
      </w:pPr>
      <w:r>
        <w:rPr>
          <w:position w:val="-49"/>
        </w:rPr>
        <w:pict>
          <v:group id="_x0000_s1031" o:spid="_x0000_s1031" o:spt="203" style="height:123.9pt;width:206.75pt;" coordsize="4135,2478">
            <o:lock v:ext="edit"/>
            <v:shape id="_x0000_s1032" o:spid="_x0000_s1032" style="position:absolute;left:0;top:0;height:2478;width:4135;" filled="f" stroked="t" coordsize="4135,2478" path="m12,421c12,312,55,208,132,132c208,55,312,12,421,12l421,12,3713,12c3822,12,3926,55,4002,132c4079,208,4122,312,4122,421l4122,421,4122,2055c4122,2164,4079,2268,4002,2344c3926,2421,3822,2464,3713,2464l3713,2464,421,2464c312,2464,208,2421,132,2344c55,2268,12,2164,12,2055l12,421xe">
              <v:fill on="f" focussize="0,0"/>
              <v:stroke weight="1.25pt" color="#808080" miterlimit="10"/>
              <v:imagedata o:title=""/>
              <o:lock v:ext="edit"/>
            </v:shape>
            <v:shape id="_x0000_s1033" o:spid="_x0000_s1033" o:spt="202" type="#_x0000_t202" style="position:absolute;left:-20;top:-20;height:2518;width:4175;" filled="f" stroked="f" coordsize="21600,21600">
              <v:path/>
              <v:fill on="f" focussize="0,0"/>
              <v:stroke on="f"/>
              <v:imagedata o:title=""/>
              <o:lock v:ext="edit" aspectratio="f"/>
              <v:textbox inset="0mm,0mm,0mm,0mm">
                <w:txbxContent>
                  <w:p w14:paraId="7DB368FB">
                    <w:pPr>
                      <w:spacing w:line="305" w:lineRule="auto"/>
                      <w:rPr>
                        <w:rFonts w:ascii="Arial"/>
                        <w:sz w:val="21"/>
                      </w:rPr>
                    </w:pPr>
                  </w:p>
                  <w:p w14:paraId="24F34535">
                    <w:pPr>
                      <w:spacing w:line="305" w:lineRule="auto"/>
                      <w:rPr>
                        <w:rFonts w:ascii="Arial"/>
                        <w:sz w:val="21"/>
                      </w:rPr>
                    </w:pPr>
                  </w:p>
                  <w:p w14:paraId="67D4B190">
                    <w:pPr>
                      <w:spacing w:line="306" w:lineRule="auto"/>
                      <w:rPr>
                        <w:rFonts w:ascii="Arial"/>
                        <w:sz w:val="21"/>
                      </w:rPr>
                    </w:pPr>
                  </w:p>
                  <w:p w14:paraId="6A813343">
                    <w:pPr>
                      <w:spacing w:before="68" w:line="220" w:lineRule="auto"/>
                      <w:ind w:left="940"/>
                      <w:rPr>
                        <w:rFonts w:ascii="宋体" w:hAnsi="宋体" w:eastAsia="宋体" w:cs="宋体"/>
                        <w:sz w:val="21"/>
                        <w:szCs w:val="21"/>
                      </w:rPr>
                    </w:pPr>
                    <w:r>
                      <w:rPr>
                        <w:rFonts w:ascii="宋体" w:hAnsi="宋体" w:eastAsia="宋体" w:cs="宋体"/>
                        <w:spacing w:val="-1"/>
                        <w:sz w:val="21"/>
                        <w:szCs w:val="21"/>
                      </w:rPr>
                      <w:t>法定代表人身份证复印件</w:t>
                    </w:r>
                  </w:p>
                </w:txbxContent>
              </v:textbox>
            </v:shape>
            <w10:wrap type="none"/>
            <w10:anchorlock/>
          </v:group>
        </w:pict>
      </w:r>
    </w:p>
    <w:p w14:paraId="067527F6">
      <w:pPr>
        <w:pStyle w:val="7"/>
        <w:spacing w:line="320" w:lineRule="auto"/>
      </w:pPr>
    </w:p>
    <w:p w14:paraId="78AB005E">
      <w:pPr>
        <w:spacing w:before="95" w:line="184" w:lineRule="auto"/>
        <w:ind w:left="717"/>
        <w:rPr>
          <w:rFonts w:ascii="微软雅黑" w:hAnsi="微软雅黑" w:eastAsia="微软雅黑" w:cs="微软雅黑"/>
          <w:sz w:val="22"/>
          <w:szCs w:val="22"/>
        </w:rPr>
      </w:pPr>
      <w:r>
        <w:rPr>
          <w:rFonts w:ascii="微软雅黑" w:hAnsi="微软雅黑" w:eastAsia="微软雅黑" w:cs="微软雅黑"/>
          <w:spacing w:val="-6"/>
          <w:sz w:val="22"/>
          <w:szCs w:val="22"/>
        </w:rPr>
        <w:t>供应商（公章</w:t>
      </w:r>
      <w:r>
        <w:rPr>
          <w:rFonts w:ascii="微软雅黑" w:hAnsi="微软雅黑" w:eastAsia="微软雅黑" w:cs="微软雅黑"/>
          <w:spacing w:val="-1"/>
          <w:sz w:val="22"/>
          <w:szCs w:val="22"/>
        </w:rPr>
        <w:t>）：</w:t>
      </w:r>
    </w:p>
    <w:p w14:paraId="0731FE25">
      <w:pPr>
        <w:spacing w:before="276" w:line="184" w:lineRule="auto"/>
        <w:ind w:left="719"/>
        <w:rPr>
          <w:rFonts w:ascii="微软雅黑" w:hAnsi="微软雅黑" w:eastAsia="微软雅黑" w:cs="微软雅黑"/>
          <w:sz w:val="22"/>
          <w:szCs w:val="22"/>
        </w:rPr>
      </w:pPr>
      <w:r>
        <w:rPr>
          <w:rFonts w:ascii="微软雅黑" w:hAnsi="微软雅黑" w:eastAsia="微软雅黑" w:cs="微软雅黑"/>
          <w:spacing w:val="-4"/>
          <w:sz w:val="22"/>
          <w:szCs w:val="22"/>
        </w:rPr>
        <w:t>法定代表人（签字或盖章</w:t>
      </w:r>
      <w:r>
        <w:rPr>
          <w:rFonts w:ascii="微软雅黑" w:hAnsi="微软雅黑" w:eastAsia="微软雅黑" w:cs="微软雅黑"/>
          <w:spacing w:val="1"/>
          <w:sz w:val="22"/>
          <w:szCs w:val="22"/>
        </w:rPr>
        <w:t>）：</w:t>
      </w:r>
    </w:p>
    <w:p w14:paraId="49C84B2A">
      <w:pPr>
        <w:spacing w:before="283" w:line="180" w:lineRule="auto"/>
        <w:ind w:left="749"/>
        <w:rPr>
          <w:rFonts w:ascii="微软雅黑" w:hAnsi="微软雅黑" w:eastAsia="微软雅黑" w:cs="微软雅黑"/>
          <w:sz w:val="22"/>
          <w:szCs w:val="22"/>
        </w:rPr>
      </w:pPr>
      <w:r>
        <w:rPr>
          <w:rFonts w:ascii="微软雅黑" w:hAnsi="微软雅黑" w:eastAsia="微软雅黑" w:cs="微软雅黑"/>
          <w:spacing w:val="-17"/>
          <w:sz w:val="22"/>
          <w:szCs w:val="22"/>
        </w:rPr>
        <w:t>日期：</w:t>
      </w:r>
    </w:p>
    <w:p w14:paraId="76838530">
      <w:pPr>
        <w:pStyle w:val="7"/>
        <w:spacing w:line="277" w:lineRule="auto"/>
      </w:pPr>
    </w:p>
    <w:p w14:paraId="70B008D5">
      <w:pPr>
        <w:pStyle w:val="7"/>
        <w:spacing w:line="277" w:lineRule="auto"/>
      </w:pPr>
    </w:p>
    <w:p w14:paraId="75F6BDDF">
      <w:pPr>
        <w:pStyle w:val="7"/>
        <w:spacing w:line="278" w:lineRule="auto"/>
      </w:pPr>
    </w:p>
    <w:p w14:paraId="2B00CFA7">
      <w:pPr>
        <w:spacing w:before="103" w:line="183" w:lineRule="auto"/>
        <w:rPr>
          <w:rFonts w:ascii="微软雅黑" w:hAnsi="微软雅黑" w:eastAsia="微软雅黑" w:cs="微软雅黑"/>
          <w:sz w:val="24"/>
          <w:szCs w:val="24"/>
        </w:rPr>
      </w:pPr>
      <w:r>
        <w:rPr>
          <w:rFonts w:ascii="微软雅黑" w:hAnsi="微软雅黑" w:eastAsia="微软雅黑" w:cs="微软雅黑"/>
          <w:b/>
          <w:bCs/>
          <w:spacing w:val="-3"/>
          <w:sz w:val="24"/>
          <w:szCs w:val="24"/>
        </w:rPr>
        <w:t>注：联合体投标，联合体单位均需提供。</w:t>
      </w:r>
    </w:p>
    <w:p w14:paraId="1F6D207F">
      <w:pPr>
        <w:spacing w:line="183" w:lineRule="auto"/>
        <w:rPr>
          <w:rFonts w:ascii="微软雅黑" w:hAnsi="微软雅黑" w:eastAsia="微软雅黑" w:cs="微软雅黑"/>
          <w:sz w:val="24"/>
          <w:szCs w:val="24"/>
        </w:rPr>
        <w:sectPr>
          <w:footerReference r:id="rId19" w:type="default"/>
          <w:pgSz w:w="11906" w:h="16840"/>
          <w:pgMar w:top="1431" w:right="1080" w:bottom="1113" w:left="1083" w:header="0" w:footer="879" w:gutter="0"/>
          <w:pgNumType w:fmt="decimal"/>
          <w:cols w:space="720" w:num="1"/>
        </w:sectPr>
      </w:pPr>
    </w:p>
    <w:p w14:paraId="6D890D06">
      <w:pPr>
        <w:spacing w:before="132" w:line="183" w:lineRule="auto"/>
        <w:ind w:left="36"/>
        <w:rPr>
          <w:rFonts w:ascii="微软雅黑" w:hAnsi="微软雅黑" w:eastAsia="微软雅黑" w:cs="微软雅黑"/>
          <w:sz w:val="28"/>
          <w:szCs w:val="28"/>
        </w:rPr>
      </w:pPr>
      <w:r>
        <w:rPr>
          <w:rFonts w:ascii="微软雅黑" w:hAnsi="微软雅黑" w:eastAsia="微软雅黑" w:cs="微软雅黑"/>
          <w:b/>
          <w:bCs/>
          <w:spacing w:val="-4"/>
          <w:sz w:val="28"/>
          <w:szCs w:val="28"/>
        </w:rPr>
        <w:t>（二）法定代表人授权委托书</w:t>
      </w:r>
    </w:p>
    <w:p w14:paraId="0E63D0C9">
      <w:pPr>
        <w:pStyle w:val="7"/>
        <w:spacing w:line="295" w:lineRule="auto"/>
      </w:pPr>
    </w:p>
    <w:p w14:paraId="3671460A">
      <w:pPr>
        <w:spacing w:before="103" w:line="183" w:lineRule="auto"/>
        <w:ind w:left="4163"/>
        <w:rPr>
          <w:rFonts w:ascii="微软雅黑" w:hAnsi="微软雅黑" w:eastAsia="微软雅黑" w:cs="微软雅黑"/>
          <w:sz w:val="24"/>
          <w:szCs w:val="24"/>
        </w:rPr>
      </w:pPr>
      <w:r>
        <w:rPr>
          <w:rFonts w:ascii="微软雅黑" w:hAnsi="微软雅黑" w:eastAsia="微软雅黑" w:cs="微软雅黑"/>
          <w:spacing w:val="-2"/>
          <w:sz w:val="24"/>
          <w:szCs w:val="24"/>
        </w:rPr>
        <w:t>法定代表人授权书</w:t>
      </w:r>
    </w:p>
    <w:p w14:paraId="71E7C90E">
      <w:pPr>
        <w:pStyle w:val="7"/>
        <w:spacing w:line="264" w:lineRule="auto"/>
      </w:pPr>
    </w:p>
    <w:p w14:paraId="6D9D7A7B">
      <w:pPr>
        <w:pStyle w:val="7"/>
        <w:spacing w:line="265" w:lineRule="auto"/>
      </w:pPr>
    </w:p>
    <w:p w14:paraId="2F6A0AC8">
      <w:pPr>
        <w:spacing w:before="103" w:line="221" w:lineRule="auto"/>
        <w:ind w:left="491"/>
        <w:rPr>
          <w:rFonts w:ascii="微软雅黑" w:hAnsi="微软雅黑" w:eastAsia="微软雅黑" w:cs="微软雅黑"/>
          <w:sz w:val="24"/>
          <w:szCs w:val="24"/>
        </w:rPr>
      </w:pPr>
      <w:r>
        <w:rPr>
          <w:rFonts w:ascii="微软雅黑" w:hAnsi="微软雅黑" w:eastAsia="微软雅黑" w:cs="微软雅黑"/>
          <w:spacing w:val="-3"/>
          <w:sz w:val="24"/>
          <w:szCs w:val="24"/>
        </w:rPr>
        <w:t>本授权委托书声明：我</w:t>
      </w:r>
      <w:r>
        <w:rPr>
          <w:rFonts w:ascii="微软雅黑" w:hAnsi="微软雅黑" w:eastAsia="微软雅黑" w:cs="微软雅黑"/>
          <w:spacing w:val="-3"/>
          <w:sz w:val="24"/>
          <w:szCs w:val="24"/>
          <w:u w:val="single" w:color="auto"/>
        </w:rPr>
        <w:t xml:space="preserve">   ( 姓   名  )</w:t>
      </w:r>
      <w:r>
        <w:rPr>
          <w:rFonts w:ascii="微软雅黑" w:hAnsi="微软雅黑" w:eastAsia="微软雅黑" w:cs="微软雅黑"/>
          <w:spacing w:val="-3"/>
          <w:sz w:val="24"/>
          <w:szCs w:val="24"/>
        </w:rPr>
        <w:t>系</w:t>
      </w:r>
      <w:r>
        <w:rPr>
          <w:rFonts w:ascii="微软雅黑" w:hAnsi="微软雅黑" w:eastAsia="微软雅黑" w:cs="微软雅黑"/>
          <w:spacing w:val="46"/>
          <w:w w:val="101"/>
          <w:sz w:val="24"/>
          <w:szCs w:val="24"/>
        </w:rPr>
        <w:t xml:space="preserve"> </w:t>
      </w:r>
      <w:r>
        <w:rPr>
          <w:rFonts w:ascii="微软雅黑" w:hAnsi="微软雅黑" w:eastAsia="微软雅黑" w:cs="微软雅黑"/>
          <w:spacing w:val="-3"/>
          <w:sz w:val="24"/>
          <w:szCs w:val="24"/>
          <w:u w:val="single" w:color="auto"/>
        </w:rPr>
        <w:t xml:space="preserve">   (供应商牵头人名称)</w:t>
      </w:r>
      <w:r>
        <w:rPr>
          <w:rFonts w:ascii="微软雅黑" w:hAnsi="微软雅黑" w:eastAsia="微软雅黑" w:cs="微软雅黑"/>
          <w:spacing w:val="-3"/>
          <w:sz w:val="24"/>
          <w:szCs w:val="24"/>
        </w:rPr>
        <w:t xml:space="preserve">的法定代表人，我  </w:t>
      </w:r>
      <w:r>
        <w:rPr>
          <w:rFonts w:ascii="微软雅黑" w:hAnsi="微软雅黑" w:eastAsia="微软雅黑" w:cs="微软雅黑"/>
          <w:spacing w:val="-3"/>
          <w:sz w:val="24"/>
          <w:szCs w:val="24"/>
          <w:u w:val="single" w:color="auto"/>
        </w:rPr>
        <w:t xml:space="preserve">( 姓 名  </w:t>
      </w:r>
      <w:r>
        <w:rPr>
          <w:rFonts w:ascii="微软雅黑" w:hAnsi="微软雅黑" w:eastAsia="微软雅黑" w:cs="微软雅黑"/>
          <w:spacing w:val="-4"/>
          <w:sz w:val="24"/>
          <w:szCs w:val="24"/>
          <w:u w:val="single" w:color="auto"/>
        </w:rPr>
        <w:t xml:space="preserve"> )</w:t>
      </w:r>
    </w:p>
    <w:p w14:paraId="79BF87CC">
      <w:pPr>
        <w:spacing w:before="227" w:line="354" w:lineRule="auto"/>
        <w:ind w:left="1"/>
        <w:rPr>
          <w:rFonts w:ascii="微软雅黑" w:hAnsi="微软雅黑" w:eastAsia="微软雅黑" w:cs="微软雅黑"/>
          <w:sz w:val="24"/>
          <w:szCs w:val="24"/>
        </w:rPr>
      </w:pPr>
      <w:r>
        <w:rPr>
          <w:rFonts w:ascii="微软雅黑" w:hAnsi="微软雅黑" w:eastAsia="微软雅黑" w:cs="微软雅黑"/>
          <w:spacing w:val="-5"/>
          <w:sz w:val="24"/>
          <w:szCs w:val="24"/>
        </w:rPr>
        <w:t>系</w:t>
      </w:r>
      <w:r>
        <w:rPr>
          <w:rFonts w:ascii="微软雅黑" w:hAnsi="微软雅黑" w:eastAsia="微软雅黑" w:cs="微软雅黑"/>
          <w:spacing w:val="-5"/>
          <w:sz w:val="24"/>
          <w:szCs w:val="24"/>
          <w:u w:val="single" w:color="auto"/>
        </w:rPr>
        <w:t xml:space="preserve">     (供应商另 一  成员单位名称)</w:t>
      </w:r>
      <w:r>
        <w:rPr>
          <w:rFonts w:ascii="微软雅黑" w:hAnsi="微软雅黑" w:eastAsia="微软雅黑" w:cs="微软雅黑"/>
          <w:spacing w:val="-5"/>
          <w:sz w:val="24"/>
          <w:szCs w:val="24"/>
        </w:rPr>
        <w:t>的法定代表人，现共同授权委托</w:t>
      </w:r>
      <w:r>
        <w:rPr>
          <w:rFonts w:ascii="微软雅黑" w:hAnsi="微软雅黑" w:eastAsia="微软雅黑" w:cs="微软雅黑"/>
          <w:spacing w:val="-5"/>
          <w:sz w:val="24"/>
          <w:szCs w:val="24"/>
          <w:u w:val="single" w:color="auto"/>
        </w:rPr>
        <w:t xml:space="preserve">    (</w:t>
      </w:r>
      <w:r>
        <w:rPr>
          <w:rFonts w:ascii="微软雅黑" w:hAnsi="微软雅黑" w:eastAsia="微软雅黑" w:cs="微软雅黑"/>
          <w:spacing w:val="54"/>
          <w:sz w:val="24"/>
          <w:szCs w:val="24"/>
          <w:u w:val="single" w:color="auto"/>
        </w:rPr>
        <w:t xml:space="preserve"> </w:t>
      </w:r>
      <w:r>
        <w:rPr>
          <w:rFonts w:ascii="微软雅黑" w:hAnsi="微软雅黑" w:eastAsia="微软雅黑" w:cs="微软雅黑"/>
          <w:spacing w:val="-5"/>
          <w:sz w:val="24"/>
          <w:szCs w:val="24"/>
          <w:u w:val="single" w:color="auto"/>
        </w:rPr>
        <w:t>供应商牵头人名称)</w:t>
      </w:r>
      <w:r>
        <w:rPr>
          <w:rFonts w:ascii="微软雅黑" w:hAnsi="微软雅黑" w:eastAsia="微软雅黑" w:cs="微软雅黑"/>
          <w:spacing w:val="-5"/>
          <w:sz w:val="24"/>
          <w:szCs w:val="24"/>
        </w:rPr>
        <w:t>的</w:t>
      </w:r>
      <w:r>
        <w:rPr>
          <w:rFonts w:ascii="微软雅黑" w:hAnsi="微软雅黑" w:eastAsia="微软雅黑" w:cs="微软雅黑"/>
          <w:spacing w:val="59"/>
          <w:sz w:val="24"/>
          <w:szCs w:val="24"/>
        </w:rPr>
        <w:t xml:space="preserve"> </w:t>
      </w:r>
      <w:r>
        <w:rPr>
          <w:rFonts w:ascii="微软雅黑" w:hAnsi="微软雅黑" w:eastAsia="微软雅黑" w:cs="微软雅黑"/>
          <w:spacing w:val="-5"/>
          <w:sz w:val="24"/>
          <w:szCs w:val="24"/>
          <w:u w:val="single" w:color="auto"/>
        </w:rPr>
        <w:t>( 姓</w:t>
      </w:r>
      <w:r>
        <w:rPr>
          <w:rFonts w:ascii="微软雅黑" w:hAnsi="微软雅黑" w:eastAsia="微软雅黑" w:cs="微软雅黑"/>
          <w:sz w:val="24"/>
          <w:szCs w:val="24"/>
        </w:rPr>
        <w:t xml:space="preserve"> </w:t>
      </w:r>
      <w:r>
        <w:rPr>
          <w:rFonts w:ascii="微软雅黑" w:hAnsi="微软雅黑" w:eastAsia="微软雅黑" w:cs="微软雅黑"/>
          <w:spacing w:val="-1"/>
          <w:sz w:val="24"/>
          <w:szCs w:val="24"/>
          <w:u w:val="single" w:color="auto"/>
        </w:rPr>
        <w:t>名</w:t>
      </w:r>
      <w:r>
        <w:rPr>
          <w:rFonts w:ascii="微软雅黑" w:hAnsi="微软雅黑" w:eastAsia="微软雅黑" w:cs="微软雅黑"/>
          <w:spacing w:val="47"/>
          <w:sz w:val="24"/>
          <w:szCs w:val="24"/>
          <w:u w:val="single" w:color="auto"/>
        </w:rPr>
        <w:t xml:space="preserve"> </w:t>
      </w:r>
      <w:r>
        <w:rPr>
          <w:rFonts w:ascii="微软雅黑" w:hAnsi="微软雅黑" w:eastAsia="微软雅黑" w:cs="微软雅黑"/>
          <w:spacing w:val="-1"/>
          <w:sz w:val="24"/>
          <w:szCs w:val="24"/>
          <w:u w:val="single" w:color="auto"/>
        </w:rPr>
        <w:t>)</w:t>
      </w:r>
      <w:r>
        <w:rPr>
          <w:rFonts w:ascii="微软雅黑" w:hAnsi="微软雅黑" w:eastAsia="微软雅黑" w:cs="微软雅黑"/>
          <w:spacing w:val="-1"/>
          <w:sz w:val="24"/>
          <w:szCs w:val="24"/>
        </w:rPr>
        <w:t>为我联合体的法定代表人授权委托代理人。</w:t>
      </w:r>
      <w:r>
        <w:rPr>
          <w:rFonts w:ascii="微软雅黑" w:hAnsi="微软雅黑" w:eastAsia="微软雅黑" w:cs="微软雅黑"/>
          <w:spacing w:val="47"/>
          <w:w w:val="101"/>
          <w:sz w:val="24"/>
          <w:szCs w:val="24"/>
        </w:rPr>
        <w:t xml:space="preserve"> </w:t>
      </w:r>
      <w:r>
        <w:rPr>
          <w:rFonts w:ascii="微软雅黑" w:hAnsi="微软雅黑" w:eastAsia="微软雅黑" w:cs="微软雅黑"/>
          <w:spacing w:val="-1"/>
          <w:sz w:val="24"/>
          <w:szCs w:val="24"/>
        </w:rPr>
        <w:t>代理人根据授权</w:t>
      </w:r>
      <w:r>
        <w:rPr>
          <w:rFonts w:ascii="微软雅黑" w:hAnsi="微软雅黑" w:eastAsia="微软雅黑" w:cs="微软雅黑"/>
          <w:spacing w:val="-2"/>
          <w:sz w:val="24"/>
          <w:szCs w:val="24"/>
        </w:rPr>
        <w:t>，以联合体名义获取招标文</w:t>
      </w:r>
    </w:p>
    <w:p w14:paraId="35FB7DAC">
      <w:pPr>
        <w:spacing w:before="4" w:line="361" w:lineRule="auto"/>
        <w:ind w:right="323"/>
        <w:rPr>
          <w:rFonts w:ascii="微软雅黑" w:hAnsi="微软雅黑" w:eastAsia="微软雅黑" w:cs="微软雅黑"/>
          <w:sz w:val="24"/>
          <w:szCs w:val="24"/>
        </w:rPr>
      </w:pPr>
      <w:r>
        <w:rPr>
          <w:rFonts w:ascii="微软雅黑" w:hAnsi="微软雅黑" w:eastAsia="微软雅黑" w:cs="微软雅黑"/>
          <w:spacing w:val="1"/>
          <w:sz w:val="24"/>
          <w:szCs w:val="24"/>
        </w:rPr>
        <w:t>件，签署、澄清、</w:t>
      </w:r>
      <w:r>
        <w:rPr>
          <w:rFonts w:ascii="微软雅黑" w:hAnsi="微软雅黑" w:eastAsia="微软雅黑" w:cs="微软雅黑"/>
          <w:spacing w:val="75"/>
          <w:sz w:val="24"/>
          <w:szCs w:val="24"/>
        </w:rPr>
        <w:t xml:space="preserve"> </w:t>
      </w:r>
      <w:r>
        <w:rPr>
          <w:rFonts w:ascii="微软雅黑" w:hAnsi="微软雅黑" w:eastAsia="微软雅黑" w:cs="微软雅黑"/>
          <w:spacing w:val="1"/>
          <w:sz w:val="24"/>
          <w:szCs w:val="24"/>
        </w:rPr>
        <w:t>说明、补正、递</w:t>
      </w:r>
      <w:r>
        <w:rPr>
          <w:rFonts w:ascii="微软雅黑" w:hAnsi="微软雅黑" w:eastAsia="微软雅黑" w:cs="微软雅黑"/>
          <w:spacing w:val="60"/>
          <w:sz w:val="24"/>
          <w:szCs w:val="24"/>
        </w:rPr>
        <w:t xml:space="preserve"> </w:t>
      </w:r>
      <w:r>
        <w:rPr>
          <w:rFonts w:ascii="微软雅黑" w:hAnsi="微软雅黑" w:eastAsia="微软雅黑" w:cs="微软雅黑"/>
          <w:spacing w:val="1"/>
          <w:sz w:val="24"/>
          <w:szCs w:val="24"/>
        </w:rPr>
        <w:t>交、撤回、修改(项目名称及包号)投标文件，</w:t>
      </w:r>
      <w:r>
        <w:rPr>
          <w:rFonts w:ascii="微软雅黑" w:hAnsi="微软雅黑" w:eastAsia="微软雅黑" w:cs="微软雅黑"/>
          <w:spacing w:val="-44"/>
          <w:sz w:val="24"/>
          <w:szCs w:val="24"/>
        </w:rPr>
        <w:t xml:space="preserve"> </w:t>
      </w:r>
      <w:r>
        <w:rPr>
          <w:rFonts w:ascii="微软雅黑" w:hAnsi="微软雅黑" w:eastAsia="微软雅黑" w:cs="微软雅黑"/>
          <w:spacing w:val="1"/>
          <w:sz w:val="24"/>
          <w:szCs w:val="24"/>
        </w:rPr>
        <w:t>出席开标</w:t>
      </w:r>
      <w:r>
        <w:rPr>
          <w:rFonts w:ascii="微软雅黑" w:hAnsi="微软雅黑" w:eastAsia="微软雅黑" w:cs="微软雅黑"/>
          <w:sz w:val="24"/>
          <w:szCs w:val="24"/>
        </w:rPr>
        <w:t xml:space="preserve"> </w:t>
      </w:r>
      <w:r>
        <w:rPr>
          <w:rFonts w:ascii="微软雅黑" w:hAnsi="微软雅黑" w:eastAsia="微软雅黑" w:cs="微软雅黑"/>
          <w:spacing w:val="1"/>
          <w:sz w:val="24"/>
          <w:szCs w:val="24"/>
        </w:rPr>
        <w:t>会、签订合同和处理有关事宜，其签名真迹和印章如本授</w:t>
      </w:r>
      <w:r>
        <w:rPr>
          <w:rFonts w:ascii="微软雅黑" w:hAnsi="微软雅黑" w:eastAsia="微软雅黑" w:cs="微软雅黑"/>
          <w:sz w:val="24"/>
          <w:szCs w:val="24"/>
        </w:rPr>
        <w:t xml:space="preserve">权委托书末尾所示，其法律后果由 </w:t>
      </w:r>
      <w:r>
        <w:rPr>
          <w:rFonts w:ascii="微软雅黑" w:hAnsi="微软雅黑" w:eastAsia="微软雅黑" w:cs="微软雅黑"/>
          <w:spacing w:val="-5"/>
          <w:sz w:val="24"/>
          <w:szCs w:val="24"/>
        </w:rPr>
        <w:t>我联合体共同承担。</w:t>
      </w:r>
    </w:p>
    <w:p w14:paraId="62A81C81">
      <w:pPr>
        <w:spacing w:before="30" w:line="182" w:lineRule="auto"/>
        <w:ind w:left="12"/>
        <w:rPr>
          <w:rFonts w:ascii="微软雅黑" w:hAnsi="微软雅黑" w:eastAsia="微软雅黑" w:cs="微软雅黑"/>
          <w:sz w:val="24"/>
          <w:szCs w:val="24"/>
        </w:rPr>
      </w:pPr>
      <w:r>
        <w:rPr>
          <w:rFonts w:ascii="微软雅黑" w:hAnsi="微软雅黑" w:eastAsia="微软雅黑" w:cs="微软雅黑"/>
          <w:spacing w:val="-4"/>
          <w:sz w:val="24"/>
          <w:szCs w:val="24"/>
        </w:rPr>
        <w:t>委托期限：</w:t>
      </w:r>
    </w:p>
    <w:p w14:paraId="0975153C">
      <w:pPr>
        <w:spacing w:before="250" w:line="183" w:lineRule="auto"/>
        <w:ind w:left="12"/>
        <w:rPr>
          <w:rFonts w:ascii="微软雅黑" w:hAnsi="微软雅黑" w:eastAsia="微软雅黑" w:cs="微软雅黑"/>
          <w:sz w:val="24"/>
          <w:szCs w:val="24"/>
        </w:rPr>
      </w:pPr>
      <w:r>
        <w:rPr>
          <w:rFonts w:ascii="微软雅黑" w:hAnsi="微软雅黑" w:eastAsia="微软雅黑" w:cs="微软雅黑"/>
          <w:spacing w:val="-4"/>
          <w:sz w:val="24"/>
          <w:szCs w:val="24"/>
        </w:rPr>
        <w:t>代理人无转委托。</w:t>
      </w:r>
    </w:p>
    <w:p w14:paraId="53EA4E02">
      <w:pPr>
        <w:pStyle w:val="7"/>
        <w:spacing w:line="407" w:lineRule="auto"/>
      </w:pPr>
    </w:p>
    <w:p w14:paraId="0C364EC3">
      <w:pPr>
        <w:spacing w:before="104" w:line="222" w:lineRule="auto"/>
        <w:rPr>
          <w:rFonts w:ascii="微软雅黑" w:hAnsi="微软雅黑" w:eastAsia="微软雅黑" w:cs="微软雅黑"/>
          <w:sz w:val="24"/>
          <w:szCs w:val="24"/>
        </w:rPr>
      </w:pPr>
      <w:r>
        <w:rPr>
          <w:rFonts w:ascii="微软雅黑" w:hAnsi="微软雅黑" w:eastAsia="微软雅黑" w:cs="微软雅黑"/>
          <w:spacing w:val="-2"/>
          <w:sz w:val="24"/>
          <w:szCs w:val="24"/>
        </w:rPr>
        <w:t>供应商(牵头单位):</w:t>
      </w:r>
      <w:r>
        <w:rPr>
          <w:rFonts w:ascii="微软雅黑" w:hAnsi="微软雅黑" w:eastAsia="微软雅黑" w:cs="微软雅黑"/>
          <w:spacing w:val="-2"/>
          <w:sz w:val="24"/>
          <w:szCs w:val="24"/>
          <w:u w:val="single" w:color="auto"/>
        </w:rPr>
        <w:t xml:space="preserve">                  </w:t>
      </w:r>
      <w:r>
        <w:rPr>
          <w:rFonts w:ascii="微软雅黑" w:hAnsi="微软雅黑" w:eastAsia="微软雅黑" w:cs="微软雅黑"/>
          <w:spacing w:val="-2"/>
          <w:sz w:val="24"/>
          <w:szCs w:val="24"/>
        </w:rPr>
        <w:t>（盖单位公章)            供应商(成员):</w:t>
      </w:r>
      <w:r>
        <w:rPr>
          <w:rFonts w:ascii="微软雅黑" w:hAnsi="微软雅黑" w:eastAsia="微软雅黑" w:cs="微软雅黑"/>
          <w:spacing w:val="-2"/>
          <w:sz w:val="24"/>
          <w:szCs w:val="24"/>
          <w:u w:val="single" w:color="auto"/>
        </w:rPr>
        <w:t xml:space="preserve">  </w:t>
      </w:r>
      <w:r>
        <w:rPr>
          <w:rFonts w:ascii="微软雅黑" w:hAnsi="微软雅黑" w:eastAsia="微软雅黑" w:cs="微软雅黑"/>
          <w:spacing w:val="-3"/>
          <w:sz w:val="24"/>
          <w:szCs w:val="24"/>
          <w:u w:val="single" w:color="auto"/>
        </w:rPr>
        <w:t xml:space="preserve">                     </w:t>
      </w:r>
      <w:r>
        <w:rPr>
          <w:rFonts w:ascii="微软雅黑" w:hAnsi="微软雅黑" w:eastAsia="微软雅黑" w:cs="微软雅黑"/>
          <w:spacing w:val="-67"/>
          <w:sz w:val="24"/>
          <w:szCs w:val="24"/>
        </w:rPr>
        <w:t xml:space="preserve"> </w:t>
      </w:r>
      <w:r>
        <w:rPr>
          <w:rFonts w:ascii="微软雅黑" w:hAnsi="微软雅黑" w:eastAsia="微软雅黑" w:cs="微软雅黑"/>
          <w:spacing w:val="-3"/>
          <w:sz w:val="24"/>
          <w:szCs w:val="24"/>
        </w:rPr>
        <w:t>单位公章)</w:t>
      </w:r>
    </w:p>
    <w:p w14:paraId="6C634399">
      <w:pPr>
        <w:pStyle w:val="7"/>
        <w:spacing w:line="251" w:lineRule="auto"/>
      </w:pPr>
    </w:p>
    <w:p w14:paraId="076315A1">
      <w:pPr>
        <w:pStyle w:val="7"/>
        <w:spacing w:line="251" w:lineRule="auto"/>
      </w:pPr>
    </w:p>
    <w:p w14:paraId="17A5705B">
      <w:pPr>
        <w:spacing w:before="103" w:line="221" w:lineRule="auto"/>
        <w:ind w:left="29"/>
        <w:rPr>
          <w:rFonts w:ascii="微软雅黑" w:hAnsi="微软雅黑" w:eastAsia="微软雅黑" w:cs="微软雅黑"/>
          <w:sz w:val="24"/>
          <w:szCs w:val="24"/>
        </w:rPr>
      </w:pPr>
      <w:r>
        <w:rPr>
          <w:rFonts w:ascii="微软雅黑" w:hAnsi="微软雅黑" w:eastAsia="微软雅黑" w:cs="微软雅黑"/>
          <w:spacing w:val="-5"/>
          <w:sz w:val="24"/>
          <w:szCs w:val="24"/>
        </w:rPr>
        <w:t>法定代表人</w:t>
      </w:r>
      <w:r>
        <w:rPr>
          <w:rFonts w:ascii="微软雅黑" w:hAnsi="微软雅黑" w:eastAsia="微软雅黑" w:cs="微软雅黑"/>
          <w:spacing w:val="-28"/>
          <w:sz w:val="24"/>
          <w:szCs w:val="24"/>
          <w:u w:val="single" w:color="auto"/>
        </w:rPr>
        <w:t>：</w:t>
      </w:r>
      <w:r>
        <w:rPr>
          <w:rFonts w:ascii="微软雅黑" w:hAnsi="微软雅黑" w:eastAsia="微软雅黑" w:cs="微软雅黑"/>
          <w:spacing w:val="4"/>
          <w:sz w:val="24"/>
          <w:szCs w:val="24"/>
          <w:u w:val="single" w:color="auto"/>
        </w:rPr>
        <w:t xml:space="preserve">                 </w:t>
      </w:r>
      <w:r>
        <w:rPr>
          <w:rFonts w:ascii="微软雅黑" w:hAnsi="微软雅黑" w:eastAsia="微软雅黑" w:cs="微软雅黑"/>
          <w:spacing w:val="-28"/>
          <w:sz w:val="24"/>
          <w:szCs w:val="24"/>
        </w:rPr>
        <w:t>（</w:t>
      </w:r>
      <w:r>
        <w:rPr>
          <w:rFonts w:ascii="微软雅黑" w:hAnsi="微软雅黑" w:eastAsia="微软雅黑" w:cs="微软雅黑"/>
          <w:spacing w:val="-5"/>
          <w:sz w:val="24"/>
          <w:szCs w:val="24"/>
        </w:rPr>
        <w:t>签章）                           法定代表人</w:t>
      </w:r>
      <w:r>
        <w:rPr>
          <w:rFonts w:ascii="微软雅黑" w:hAnsi="微软雅黑" w:eastAsia="微软雅黑" w:cs="微软雅黑"/>
          <w:spacing w:val="-28"/>
          <w:sz w:val="24"/>
          <w:szCs w:val="24"/>
        </w:rPr>
        <w:t>：</w:t>
      </w:r>
      <w:r>
        <w:rPr>
          <w:rFonts w:ascii="微软雅黑" w:hAnsi="微软雅黑" w:eastAsia="微软雅黑" w:cs="微软雅黑"/>
          <w:spacing w:val="2"/>
          <w:sz w:val="24"/>
          <w:szCs w:val="24"/>
          <w:u w:val="single" w:color="auto"/>
        </w:rPr>
        <w:t xml:space="preserve">                 </w:t>
      </w:r>
      <w:r>
        <w:rPr>
          <w:rFonts w:ascii="微软雅黑" w:hAnsi="微软雅黑" w:eastAsia="微软雅黑" w:cs="微软雅黑"/>
          <w:spacing w:val="-28"/>
          <w:sz w:val="24"/>
          <w:szCs w:val="24"/>
        </w:rPr>
        <w:t>（</w:t>
      </w:r>
      <w:r>
        <w:rPr>
          <w:rFonts w:ascii="微软雅黑" w:hAnsi="微软雅黑" w:eastAsia="微软雅黑" w:cs="微软雅黑"/>
          <w:spacing w:val="-5"/>
          <w:sz w:val="24"/>
          <w:szCs w:val="24"/>
        </w:rPr>
        <w:t>签章）</w:t>
      </w:r>
    </w:p>
    <w:p w14:paraId="49560AB7">
      <w:pPr>
        <w:spacing w:before="108" w:line="183" w:lineRule="auto"/>
        <w:ind w:left="26"/>
        <w:rPr>
          <w:rFonts w:ascii="微软雅黑" w:hAnsi="微软雅黑" w:eastAsia="微软雅黑" w:cs="微软雅黑"/>
          <w:sz w:val="24"/>
          <w:szCs w:val="24"/>
        </w:rPr>
      </w:pPr>
      <w:r>
        <w:rPr>
          <w:rFonts w:ascii="微软雅黑" w:hAnsi="微软雅黑" w:eastAsia="微软雅黑" w:cs="微软雅黑"/>
          <w:spacing w:val="-3"/>
          <w:sz w:val="24"/>
          <w:szCs w:val="24"/>
        </w:rPr>
        <w:t>身份证号码：</w:t>
      </w:r>
      <w:r>
        <w:rPr>
          <w:rFonts w:ascii="微软雅黑" w:hAnsi="微软雅黑" w:eastAsia="微软雅黑" w:cs="微软雅黑"/>
          <w:spacing w:val="-3"/>
          <w:sz w:val="24"/>
          <w:szCs w:val="24"/>
          <w:u w:val="single" w:color="auto"/>
        </w:rPr>
        <w:t xml:space="preserve">                          </w:t>
      </w:r>
      <w:r>
        <w:rPr>
          <w:rFonts w:ascii="微软雅黑" w:hAnsi="微软雅黑" w:eastAsia="微软雅黑" w:cs="微软雅黑"/>
          <w:spacing w:val="-4"/>
          <w:sz w:val="24"/>
          <w:szCs w:val="24"/>
          <w:u w:val="single" w:color="auto"/>
        </w:rPr>
        <w:t xml:space="preserve">       </w:t>
      </w:r>
      <w:r>
        <w:rPr>
          <w:rFonts w:ascii="微软雅黑" w:hAnsi="微软雅黑" w:eastAsia="微软雅黑" w:cs="微软雅黑"/>
          <w:spacing w:val="-4"/>
          <w:sz w:val="24"/>
          <w:szCs w:val="24"/>
        </w:rPr>
        <w:t xml:space="preserve">                           身份证号码：</w:t>
      </w:r>
      <w:r>
        <w:rPr>
          <w:rFonts w:ascii="微软雅黑" w:hAnsi="微软雅黑" w:eastAsia="微软雅黑" w:cs="微软雅黑"/>
          <w:spacing w:val="-4"/>
          <w:sz w:val="24"/>
          <w:szCs w:val="24"/>
          <w:u w:val="single" w:color="auto"/>
        </w:rPr>
        <w:t xml:space="preserve">                           </w:t>
      </w:r>
    </w:p>
    <w:p w14:paraId="6F160AB5">
      <w:pPr>
        <w:pStyle w:val="7"/>
        <w:spacing w:line="259" w:lineRule="auto"/>
      </w:pPr>
    </w:p>
    <w:p w14:paraId="08965C14">
      <w:pPr>
        <w:pStyle w:val="7"/>
        <w:spacing w:line="259" w:lineRule="auto"/>
      </w:pPr>
    </w:p>
    <w:p w14:paraId="792DC477">
      <w:pPr>
        <w:spacing w:before="103" w:line="221" w:lineRule="auto"/>
        <w:ind w:left="12"/>
        <w:rPr>
          <w:rFonts w:ascii="微软雅黑" w:hAnsi="微软雅黑" w:eastAsia="微软雅黑" w:cs="微软雅黑"/>
          <w:sz w:val="24"/>
          <w:szCs w:val="24"/>
        </w:rPr>
      </w:pPr>
      <w:r>
        <w:rPr>
          <w:rFonts w:ascii="微软雅黑" w:hAnsi="微软雅黑" w:eastAsia="微软雅黑" w:cs="微软雅黑"/>
          <w:spacing w:val="-4"/>
          <w:sz w:val="24"/>
          <w:szCs w:val="24"/>
        </w:rPr>
        <w:t>委托代理人</w:t>
      </w:r>
      <w:r>
        <w:rPr>
          <w:rFonts w:ascii="微软雅黑" w:hAnsi="微软雅黑" w:eastAsia="微软雅黑" w:cs="微软雅黑"/>
          <w:spacing w:val="-23"/>
          <w:sz w:val="24"/>
          <w:szCs w:val="24"/>
        </w:rPr>
        <w:t>：</w:t>
      </w:r>
      <w:r>
        <w:rPr>
          <w:rFonts w:ascii="微软雅黑" w:hAnsi="微软雅黑" w:eastAsia="微软雅黑" w:cs="微软雅黑"/>
          <w:sz w:val="24"/>
          <w:szCs w:val="24"/>
          <w:u w:val="single" w:color="auto"/>
        </w:rPr>
        <w:t xml:space="preserve">                    </w:t>
      </w:r>
      <w:r>
        <w:rPr>
          <w:rFonts w:ascii="微软雅黑" w:hAnsi="微软雅黑" w:eastAsia="微软雅黑" w:cs="微软雅黑"/>
          <w:spacing w:val="-23"/>
          <w:sz w:val="24"/>
          <w:szCs w:val="24"/>
        </w:rPr>
        <w:t>（</w:t>
      </w:r>
      <w:r>
        <w:rPr>
          <w:rFonts w:ascii="微软雅黑" w:hAnsi="微软雅黑" w:eastAsia="微软雅黑" w:cs="微软雅黑"/>
          <w:spacing w:val="-4"/>
          <w:sz w:val="24"/>
          <w:szCs w:val="24"/>
        </w:rPr>
        <w:t>签字）</w:t>
      </w:r>
    </w:p>
    <w:p w14:paraId="3173F1DE">
      <w:pPr>
        <w:spacing w:before="335" w:line="183" w:lineRule="auto"/>
        <w:ind w:left="13"/>
        <w:rPr>
          <w:rFonts w:ascii="微软雅黑" w:hAnsi="微软雅黑" w:eastAsia="微软雅黑" w:cs="微软雅黑"/>
          <w:sz w:val="24"/>
          <w:szCs w:val="24"/>
        </w:rPr>
      </w:pPr>
      <w:r>
        <w:rPr>
          <w:rFonts w:ascii="微软雅黑" w:hAnsi="微软雅黑" w:eastAsia="微软雅黑" w:cs="微软雅黑"/>
          <w:spacing w:val="-9"/>
          <w:sz w:val="24"/>
          <w:szCs w:val="24"/>
        </w:rPr>
        <w:t>身份证号码：</w:t>
      </w:r>
      <w:r>
        <w:rPr>
          <w:rFonts w:ascii="微软雅黑" w:hAnsi="微软雅黑" w:eastAsia="微软雅黑" w:cs="微软雅黑"/>
          <w:sz w:val="24"/>
          <w:szCs w:val="24"/>
          <w:u w:val="single" w:color="auto"/>
        </w:rPr>
        <w:t xml:space="preserve">                            </w:t>
      </w:r>
    </w:p>
    <w:p w14:paraId="5A040D14">
      <w:pPr>
        <w:spacing w:before="314" w:line="182" w:lineRule="auto"/>
        <w:ind w:left="45"/>
        <w:rPr>
          <w:rFonts w:ascii="微软雅黑" w:hAnsi="微软雅黑" w:eastAsia="微软雅黑" w:cs="微软雅黑"/>
          <w:sz w:val="24"/>
          <w:szCs w:val="24"/>
        </w:rPr>
      </w:pPr>
      <w:r>
        <w:rPr>
          <w:rFonts w:ascii="微软雅黑" w:hAnsi="微软雅黑" w:eastAsia="微软雅黑" w:cs="微软雅黑"/>
          <w:spacing w:val="-12"/>
          <w:sz w:val="24"/>
          <w:szCs w:val="24"/>
        </w:rPr>
        <w:t>电           话：</w:t>
      </w:r>
      <w:r>
        <w:rPr>
          <w:rFonts w:ascii="微软雅黑" w:hAnsi="微软雅黑" w:eastAsia="微软雅黑" w:cs="微软雅黑"/>
          <w:sz w:val="24"/>
          <w:szCs w:val="24"/>
          <w:u w:val="single" w:color="auto"/>
        </w:rPr>
        <w:t xml:space="preserve">                               </w:t>
      </w:r>
    </w:p>
    <w:p w14:paraId="21E535B0">
      <w:pPr>
        <w:pStyle w:val="7"/>
        <w:spacing w:line="464" w:lineRule="auto"/>
      </w:pPr>
    </w:p>
    <w:p w14:paraId="16DC6A50">
      <w:pPr>
        <w:spacing w:before="103" w:line="183" w:lineRule="auto"/>
        <w:ind w:left="8058"/>
        <w:rPr>
          <w:rFonts w:ascii="微软雅黑" w:hAnsi="微软雅黑" w:eastAsia="微软雅黑" w:cs="微软雅黑"/>
          <w:sz w:val="24"/>
          <w:szCs w:val="24"/>
        </w:rPr>
      </w:pPr>
      <w:r>
        <w:rPr>
          <w:rFonts w:ascii="微软雅黑" w:hAnsi="微软雅黑" w:eastAsia="微软雅黑" w:cs="微软雅黑"/>
          <w:spacing w:val="-5"/>
          <w:sz w:val="24"/>
          <w:szCs w:val="24"/>
        </w:rPr>
        <w:t>年</w:t>
      </w:r>
      <w:r>
        <w:rPr>
          <w:rFonts w:ascii="微软雅黑" w:hAnsi="微软雅黑" w:eastAsia="微软雅黑" w:cs="微软雅黑"/>
          <w:spacing w:val="6"/>
          <w:sz w:val="24"/>
          <w:szCs w:val="24"/>
        </w:rPr>
        <w:t xml:space="preserve">     </w:t>
      </w:r>
      <w:r>
        <w:rPr>
          <w:rFonts w:ascii="微软雅黑" w:hAnsi="微软雅黑" w:eastAsia="微软雅黑" w:cs="微软雅黑"/>
          <w:spacing w:val="-5"/>
          <w:sz w:val="24"/>
          <w:szCs w:val="24"/>
        </w:rPr>
        <w:t>月</w:t>
      </w:r>
      <w:r>
        <w:rPr>
          <w:rFonts w:ascii="微软雅黑" w:hAnsi="微软雅黑" w:eastAsia="微软雅黑" w:cs="微软雅黑"/>
          <w:spacing w:val="6"/>
          <w:sz w:val="24"/>
          <w:szCs w:val="24"/>
        </w:rPr>
        <w:t xml:space="preserve">        </w:t>
      </w:r>
      <w:r>
        <w:rPr>
          <w:rFonts w:ascii="微软雅黑" w:hAnsi="微软雅黑" w:eastAsia="微软雅黑" w:cs="微软雅黑"/>
          <w:spacing w:val="-5"/>
          <w:sz w:val="24"/>
          <w:szCs w:val="24"/>
        </w:rPr>
        <w:t>日</w:t>
      </w:r>
    </w:p>
    <w:p w14:paraId="6C2E7646">
      <w:pPr>
        <w:spacing w:before="157" w:line="184" w:lineRule="auto"/>
        <w:ind w:left="7"/>
        <w:rPr>
          <w:rFonts w:ascii="微软雅黑" w:hAnsi="微软雅黑" w:eastAsia="微软雅黑" w:cs="微软雅黑"/>
          <w:sz w:val="24"/>
          <w:szCs w:val="24"/>
        </w:rPr>
      </w:pPr>
      <w:r>
        <w:rPr>
          <w:rFonts w:ascii="微软雅黑" w:hAnsi="微软雅黑" w:eastAsia="微软雅黑" w:cs="微软雅黑"/>
          <w:spacing w:val="-3"/>
          <w:sz w:val="24"/>
          <w:szCs w:val="24"/>
        </w:rPr>
        <w:t>说明：</w:t>
      </w:r>
      <w:r>
        <w:rPr>
          <w:rFonts w:ascii="微软雅黑" w:hAnsi="微软雅黑" w:eastAsia="微软雅黑" w:cs="微软雅黑"/>
          <w:spacing w:val="-48"/>
          <w:sz w:val="24"/>
          <w:szCs w:val="24"/>
        </w:rPr>
        <w:t xml:space="preserve"> </w:t>
      </w:r>
      <w:r>
        <w:rPr>
          <w:rFonts w:ascii="微软雅黑" w:hAnsi="微软雅黑" w:eastAsia="微软雅黑" w:cs="微软雅黑"/>
          <w:spacing w:val="-3"/>
          <w:sz w:val="24"/>
          <w:szCs w:val="24"/>
        </w:rPr>
        <w:t>1.本招标项目只能委托供应商牵头单位正式员工或项目负责人作为委托代</w:t>
      </w:r>
      <w:r>
        <w:rPr>
          <w:rFonts w:ascii="微软雅黑" w:hAnsi="微软雅黑" w:eastAsia="微软雅黑" w:cs="微软雅黑"/>
          <w:spacing w:val="-4"/>
          <w:sz w:val="24"/>
          <w:szCs w:val="24"/>
        </w:rPr>
        <w:t>理人。</w:t>
      </w:r>
    </w:p>
    <w:p w14:paraId="3202C985">
      <w:pPr>
        <w:spacing w:before="92" w:line="226" w:lineRule="auto"/>
        <w:ind w:left="732"/>
        <w:rPr>
          <w:rFonts w:ascii="微软雅黑" w:hAnsi="微软雅黑" w:eastAsia="微软雅黑" w:cs="微软雅黑"/>
          <w:sz w:val="24"/>
          <w:szCs w:val="24"/>
        </w:rPr>
      </w:pPr>
      <w:r>
        <w:rPr>
          <w:rFonts w:ascii="微软雅黑" w:hAnsi="微软雅黑" w:eastAsia="微软雅黑" w:cs="微软雅黑"/>
          <w:spacing w:val="-1"/>
          <w:sz w:val="24"/>
          <w:szCs w:val="24"/>
        </w:rPr>
        <w:t>2.附委托代理人身份证复印件</w:t>
      </w:r>
    </w:p>
    <w:p w14:paraId="10EE35F6">
      <w:pPr>
        <w:spacing w:line="226" w:lineRule="auto"/>
        <w:rPr>
          <w:rFonts w:ascii="微软雅黑" w:hAnsi="微软雅黑" w:eastAsia="微软雅黑" w:cs="微软雅黑"/>
          <w:sz w:val="24"/>
          <w:szCs w:val="24"/>
        </w:rPr>
        <w:sectPr>
          <w:footerReference r:id="rId20" w:type="default"/>
          <w:pgSz w:w="11906" w:h="16840"/>
          <w:pgMar w:top="1431" w:right="873" w:bottom="1113" w:left="1080" w:header="0" w:footer="878" w:gutter="0"/>
          <w:pgNumType w:fmt="decimal"/>
          <w:cols w:space="720" w:num="1"/>
        </w:sectPr>
      </w:pPr>
    </w:p>
    <w:p w14:paraId="54BA6FE6">
      <w:pPr>
        <w:pStyle w:val="7"/>
        <w:spacing w:line="450" w:lineRule="auto"/>
      </w:pPr>
    </w:p>
    <w:p w14:paraId="2FDE2607">
      <w:pPr>
        <w:spacing w:before="103" w:line="232" w:lineRule="auto"/>
        <w:ind w:right="116" w:firstLine="481"/>
        <w:rPr>
          <w:rFonts w:ascii="微软雅黑" w:hAnsi="微软雅黑" w:eastAsia="微软雅黑" w:cs="微软雅黑"/>
          <w:sz w:val="24"/>
          <w:szCs w:val="24"/>
        </w:rPr>
      </w:pPr>
      <w:r>
        <w:rPr>
          <w:rFonts w:ascii="微软雅黑" w:hAnsi="微软雅黑" w:eastAsia="微软雅黑" w:cs="微软雅黑"/>
          <w:b/>
          <w:bCs/>
          <w:spacing w:val="-1"/>
          <w:sz w:val="24"/>
          <w:szCs w:val="24"/>
        </w:rPr>
        <w:t xml:space="preserve">③提供本单位依法缴纳连续近 </w:t>
      </w:r>
      <w:r>
        <w:rPr>
          <w:rFonts w:hint="eastAsia" w:ascii="微软雅黑" w:hAnsi="微软雅黑" w:eastAsia="微软雅黑" w:cs="微软雅黑"/>
          <w:b/>
          <w:bCs/>
          <w:spacing w:val="-1"/>
          <w:sz w:val="24"/>
          <w:szCs w:val="24"/>
          <w:lang w:val="en-US" w:eastAsia="zh-CN"/>
        </w:rPr>
        <w:t>6</w:t>
      </w:r>
      <w:r>
        <w:rPr>
          <w:rFonts w:ascii="微软雅黑" w:hAnsi="微软雅黑" w:eastAsia="微软雅黑" w:cs="微软雅黑"/>
          <w:b/>
          <w:bCs/>
          <w:spacing w:val="-1"/>
          <w:sz w:val="24"/>
          <w:szCs w:val="24"/>
        </w:rPr>
        <w:t xml:space="preserve"> 个月内任意一个月的社会保险证明（新成立公司提供相</w:t>
      </w:r>
      <w:r>
        <w:rPr>
          <w:rFonts w:ascii="微软雅黑" w:hAnsi="微软雅黑" w:eastAsia="微软雅黑" w:cs="微软雅黑"/>
          <w:b/>
          <w:bCs/>
          <w:spacing w:val="10"/>
          <w:sz w:val="24"/>
          <w:szCs w:val="24"/>
        </w:rPr>
        <w:t xml:space="preserve"> </w:t>
      </w:r>
      <w:r>
        <w:rPr>
          <w:rFonts w:ascii="微软雅黑" w:hAnsi="微软雅黑" w:eastAsia="微软雅黑" w:cs="微软雅黑"/>
          <w:b/>
          <w:bCs/>
          <w:spacing w:val="-6"/>
          <w:sz w:val="24"/>
          <w:szCs w:val="24"/>
        </w:rPr>
        <w:t>关证明文件</w:t>
      </w:r>
      <w:r>
        <w:rPr>
          <w:rFonts w:ascii="微软雅黑" w:hAnsi="微软雅黑" w:eastAsia="微软雅黑" w:cs="微软雅黑"/>
          <w:b/>
          <w:bCs/>
          <w:spacing w:val="-3"/>
          <w:sz w:val="24"/>
          <w:szCs w:val="24"/>
        </w:rPr>
        <w:t>）；</w:t>
      </w:r>
    </w:p>
    <w:p w14:paraId="6EF7B552">
      <w:pPr>
        <w:spacing w:before="84" w:line="227" w:lineRule="auto"/>
        <w:ind w:left="10" w:firstLine="469"/>
        <w:rPr>
          <w:rFonts w:ascii="微软雅黑" w:hAnsi="微软雅黑" w:eastAsia="微软雅黑" w:cs="微软雅黑"/>
          <w:sz w:val="24"/>
          <w:szCs w:val="24"/>
        </w:rPr>
      </w:pPr>
      <w:r>
        <w:rPr>
          <w:rFonts w:ascii="微软雅黑" w:hAnsi="微软雅黑" w:eastAsia="微软雅黑" w:cs="微软雅黑"/>
          <w:spacing w:val="-1"/>
          <w:sz w:val="24"/>
          <w:szCs w:val="24"/>
        </w:rPr>
        <w:t>说明：1.社保证明可含：社保缴费凭证或社保缴</w:t>
      </w:r>
      <w:r>
        <w:rPr>
          <w:rFonts w:ascii="微软雅黑" w:hAnsi="微软雅黑" w:eastAsia="微软雅黑" w:cs="微软雅黑"/>
          <w:spacing w:val="-2"/>
          <w:sz w:val="24"/>
          <w:szCs w:val="24"/>
        </w:rPr>
        <w:t>费证明或社保缴费汇总单或依法缴纳社保</w:t>
      </w:r>
      <w:r>
        <w:rPr>
          <w:rFonts w:ascii="微软雅黑" w:hAnsi="微软雅黑" w:eastAsia="微软雅黑" w:cs="微软雅黑"/>
          <w:sz w:val="24"/>
          <w:szCs w:val="24"/>
        </w:rPr>
        <w:t xml:space="preserve"> </w:t>
      </w:r>
      <w:r>
        <w:rPr>
          <w:rFonts w:ascii="微软雅黑" w:hAnsi="微软雅黑" w:eastAsia="微软雅黑" w:cs="微软雅黑"/>
          <w:spacing w:val="-9"/>
          <w:sz w:val="24"/>
          <w:szCs w:val="24"/>
        </w:rPr>
        <w:t>的完税证明。</w:t>
      </w:r>
    </w:p>
    <w:p w14:paraId="3B5723EA">
      <w:pPr>
        <w:spacing w:before="1" w:line="224" w:lineRule="auto"/>
        <w:ind w:left="490"/>
        <w:rPr>
          <w:rFonts w:ascii="微软雅黑" w:hAnsi="微软雅黑" w:eastAsia="微软雅黑" w:cs="微软雅黑"/>
          <w:sz w:val="24"/>
          <w:szCs w:val="24"/>
        </w:rPr>
      </w:pPr>
      <w:r>
        <w:rPr>
          <w:rFonts w:ascii="微软雅黑" w:hAnsi="微软雅黑" w:eastAsia="微软雅黑" w:cs="微软雅黑"/>
          <w:spacing w:val="-4"/>
          <w:sz w:val="24"/>
          <w:szCs w:val="24"/>
        </w:rPr>
        <w:t xml:space="preserve">2、近 </w:t>
      </w:r>
      <w:r>
        <w:rPr>
          <w:rFonts w:hint="eastAsia" w:ascii="微软雅黑" w:hAnsi="微软雅黑" w:eastAsia="微软雅黑" w:cs="微软雅黑"/>
          <w:spacing w:val="-4"/>
          <w:sz w:val="24"/>
          <w:szCs w:val="24"/>
          <w:lang w:val="en-US" w:eastAsia="zh-CN"/>
        </w:rPr>
        <w:t>6</w:t>
      </w:r>
      <w:r>
        <w:rPr>
          <w:rFonts w:ascii="微软雅黑" w:hAnsi="微软雅黑" w:eastAsia="微软雅黑" w:cs="微软雅黑"/>
          <w:spacing w:val="-4"/>
          <w:sz w:val="24"/>
          <w:szCs w:val="24"/>
        </w:rPr>
        <w:t xml:space="preserve"> 个月是指项目开标截止日期前的 </w:t>
      </w:r>
      <w:r>
        <w:rPr>
          <w:rFonts w:hint="eastAsia" w:ascii="微软雅黑" w:hAnsi="微软雅黑" w:eastAsia="微软雅黑" w:cs="微软雅黑"/>
          <w:spacing w:val="-4"/>
          <w:sz w:val="24"/>
          <w:szCs w:val="24"/>
          <w:lang w:val="en-US" w:eastAsia="zh-CN"/>
        </w:rPr>
        <w:t>6</w:t>
      </w:r>
      <w:r>
        <w:rPr>
          <w:rFonts w:ascii="微软雅黑" w:hAnsi="微软雅黑" w:eastAsia="微软雅黑" w:cs="微软雅黑"/>
          <w:spacing w:val="-4"/>
          <w:sz w:val="24"/>
          <w:szCs w:val="24"/>
        </w:rPr>
        <w:t>个月。</w:t>
      </w:r>
    </w:p>
    <w:p w14:paraId="67DD2C76">
      <w:pPr>
        <w:spacing w:before="70" w:line="183" w:lineRule="auto"/>
        <w:ind w:left="495"/>
        <w:rPr>
          <w:rFonts w:ascii="微软雅黑" w:hAnsi="微软雅黑" w:eastAsia="微软雅黑" w:cs="微软雅黑"/>
          <w:sz w:val="24"/>
          <w:szCs w:val="24"/>
        </w:rPr>
      </w:pPr>
      <w:r>
        <w:rPr>
          <w:rFonts w:ascii="微软雅黑" w:hAnsi="微软雅黑" w:eastAsia="微软雅黑" w:cs="微软雅黑"/>
          <w:b/>
          <w:bCs/>
          <w:spacing w:val="-3"/>
          <w:sz w:val="24"/>
          <w:szCs w:val="24"/>
        </w:rPr>
        <w:t>3、联合体投标的，联合体双方均需提供相关证明。</w:t>
      </w:r>
    </w:p>
    <w:p w14:paraId="705B17E4">
      <w:pPr>
        <w:pStyle w:val="7"/>
      </w:pPr>
    </w:p>
    <w:p w14:paraId="0D926BDF">
      <w:pPr>
        <w:pStyle w:val="7"/>
      </w:pPr>
    </w:p>
    <w:p w14:paraId="13C3EE69">
      <w:pPr>
        <w:pStyle w:val="7"/>
        <w:spacing w:line="241" w:lineRule="auto"/>
      </w:pPr>
    </w:p>
    <w:p w14:paraId="3B5E7740">
      <w:pPr>
        <w:pStyle w:val="7"/>
        <w:spacing w:line="241" w:lineRule="auto"/>
      </w:pPr>
    </w:p>
    <w:p w14:paraId="1145BB5E">
      <w:pPr>
        <w:pStyle w:val="7"/>
        <w:spacing w:line="241" w:lineRule="auto"/>
      </w:pPr>
    </w:p>
    <w:p w14:paraId="27442698">
      <w:pPr>
        <w:spacing w:before="103" w:line="232" w:lineRule="auto"/>
        <w:ind w:right="116" w:firstLine="481"/>
        <w:rPr>
          <w:rFonts w:ascii="微软雅黑" w:hAnsi="微软雅黑" w:eastAsia="微软雅黑" w:cs="微软雅黑"/>
          <w:sz w:val="24"/>
          <w:szCs w:val="24"/>
        </w:rPr>
      </w:pPr>
      <w:r>
        <w:rPr>
          <w:rFonts w:ascii="微软雅黑" w:hAnsi="微软雅黑" w:eastAsia="微软雅黑" w:cs="微软雅黑"/>
          <w:b/>
          <w:bCs/>
          <w:spacing w:val="-1"/>
          <w:sz w:val="24"/>
          <w:szCs w:val="24"/>
        </w:rPr>
        <w:t>④税务部门出具的近 6 个月内任意一个月的完税证明（依法免缴的应提供依法免缴的相</w:t>
      </w:r>
      <w:r>
        <w:rPr>
          <w:rFonts w:ascii="微软雅黑" w:hAnsi="微软雅黑" w:eastAsia="微软雅黑" w:cs="微软雅黑"/>
          <w:b/>
          <w:bCs/>
          <w:spacing w:val="10"/>
          <w:sz w:val="24"/>
          <w:szCs w:val="24"/>
        </w:rPr>
        <w:t xml:space="preserve"> </w:t>
      </w:r>
      <w:r>
        <w:rPr>
          <w:rFonts w:ascii="微软雅黑" w:hAnsi="微软雅黑" w:eastAsia="微软雅黑" w:cs="微软雅黑"/>
          <w:b/>
          <w:bCs/>
          <w:spacing w:val="-4"/>
          <w:sz w:val="24"/>
          <w:szCs w:val="24"/>
        </w:rPr>
        <w:t>关证明文件或零申报报表</w:t>
      </w:r>
      <w:r>
        <w:rPr>
          <w:rFonts w:ascii="微软雅黑" w:hAnsi="微软雅黑" w:eastAsia="微软雅黑" w:cs="微软雅黑"/>
          <w:b/>
          <w:bCs/>
          <w:spacing w:val="2"/>
          <w:sz w:val="24"/>
          <w:szCs w:val="24"/>
        </w:rPr>
        <w:t>）；</w:t>
      </w:r>
    </w:p>
    <w:p w14:paraId="1F98C1F7">
      <w:pPr>
        <w:spacing w:before="83" w:line="184" w:lineRule="auto"/>
        <w:ind w:left="480"/>
        <w:rPr>
          <w:rFonts w:ascii="微软雅黑" w:hAnsi="微软雅黑" w:eastAsia="微软雅黑" w:cs="微软雅黑"/>
          <w:sz w:val="24"/>
          <w:szCs w:val="24"/>
        </w:rPr>
      </w:pPr>
      <w:r>
        <w:rPr>
          <w:rFonts w:ascii="微软雅黑" w:hAnsi="微软雅黑" w:eastAsia="微软雅黑" w:cs="微软雅黑"/>
          <w:spacing w:val="-2"/>
          <w:sz w:val="24"/>
          <w:szCs w:val="24"/>
        </w:rPr>
        <w:t>说明：1、新成立公司若无纳税记录，可开具无欠税证明或零申报报表。</w:t>
      </w:r>
    </w:p>
    <w:p w14:paraId="083E70A9">
      <w:pPr>
        <w:spacing w:before="98" w:line="183" w:lineRule="auto"/>
        <w:ind w:left="490"/>
        <w:rPr>
          <w:rFonts w:ascii="微软雅黑" w:hAnsi="微软雅黑" w:eastAsia="微软雅黑" w:cs="微软雅黑"/>
          <w:sz w:val="24"/>
          <w:szCs w:val="24"/>
        </w:rPr>
      </w:pPr>
      <w:r>
        <w:rPr>
          <w:rFonts w:ascii="微软雅黑" w:hAnsi="微软雅黑" w:eastAsia="微软雅黑" w:cs="微软雅黑"/>
          <w:spacing w:val="-2"/>
          <w:sz w:val="24"/>
          <w:szCs w:val="24"/>
        </w:rPr>
        <w:t>2、完税证明中“税种”非养老保险、医疗保险、失业保险、工伤保险和生育保险。</w:t>
      </w:r>
    </w:p>
    <w:p w14:paraId="3669D1BF">
      <w:pPr>
        <w:spacing w:before="83" w:line="184" w:lineRule="auto"/>
        <w:ind w:left="480"/>
        <w:rPr>
          <w:rFonts w:ascii="微软雅黑" w:hAnsi="微软雅黑" w:eastAsia="微软雅黑" w:cs="微软雅黑"/>
          <w:spacing w:val="-2"/>
          <w:sz w:val="24"/>
          <w:szCs w:val="24"/>
        </w:rPr>
      </w:pPr>
      <w:r>
        <w:rPr>
          <w:rFonts w:ascii="微软雅黑" w:hAnsi="微软雅黑" w:eastAsia="微软雅黑" w:cs="微软雅黑"/>
          <w:spacing w:val="-2"/>
          <w:sz w:val="24"/>
          <w:szCs w:val="24"/>
        </w:rPr>
        <w:t>3、近 6 个月是指开标截止日期前的 6 个月。</w:t>
      </w:r>
    </w:p>
    <w:p w14:paraId="514C83AC">
      <w:pPr>
        <w:spacing w:before="83" w:line="184" w:lineRule="auto"/>
        <w:ind w:left="480"/>
        <w:rPr>
          <w:rFonts w:ascii="微软雅黑" w:hAnsi="微软雅黑" w:eastAsia="微软雅黑" w:cs="微软雅黑"/>
          <w:spacing w:val="-2"/>
          <w:sz w:val="24"/>
          <w:szCs w:val="24"/>
        </w:rPr>
      </w:pPr>
      <w:r>
        <w:rPr>
          <w:rFonts w:ascii="微软雅黑" w:hAnsi="微软雅黑" w:eastAsia="微软雅黑" w:cs="微软雅黑"/>
          <w:spacing w:val="-2"/>
          <w:sz w:val="24"/>
          <w:szCs w:val="24"/>
        </w:rPr>
        <w:t>4、联合体投标的，双方均需提供相关证明。</w:t>
      </w:r>
    </w:p>
    <w:p w14:paraId="21013559">
      <w:pPr>
        <w:pStyle w:val="7"/>
        <w:spacing w:line="269" w:lineRule="auto"/>
      </w:pPr>
    </w:p>
    <w:p w14:paraId="5601FE1D">
      <w:pPr>
        <w:pStyle w:val="7"/>
        <w:spacing w:line="270" w:lineRule="auto"/>
      </w:pPr>
    </w:p>
    <w:p w14:paraId="391150EC">
      <w:pPr>
        <w:pStyle w:val="7"/>
        <w:spacing w:line="270" w:lineRule="auto"/>
      </w:pPr>
    </w:p>
    <w:p w14:paraId="1D8F64DC">
      <w:pPr>
        <w:pStyle w:val="7"/>
        <w:spacing w:line="270" w:lineRule="auto"/>
      </w:pPr>
    </w:p>
    <w:p w14:paraId="1FFE9AC1">
      <w:pPr>
        <w:spacing w:before="103"/>
        <w:ind w:left="539" w:right="154" w:hanging="57"/>
        <w:rPr>
          <w:rFonts w:ascii="微软雅黑" w:hAnsi="微软雅黑" w:eastAsia="微软雅黑" w:cs="微软雅黑"/>
          <w:sz w:val="24"/>
          <w:szCs w:val="24"/>
        </w:rPr>
      </w:pPr>
      <w:r>
        <w:rPr>
          <w:rFonts w:ascii="微软雅黑" w:hAnsi="微软雅黑" w:eastAsia="微软雅黑" w:cs="微软雅黑"/>
          <w:b/>
          <w:bCs/>
          <w:spacing w:val="-2"/>
          <w:sz w:val="24"/>
          <w:szCs w:val="24"/>
        </w:rPr>
        <w:t>⑤提供近两年任意一年完整的财务审计报告或近 3 个月内任意一个月的银行资信证明；</w:t>
      </w:r>
      <w:r>
        <w:rPr>
          <w:rFonts w:ascii="微软雅黑" w:hAnsi="微软雅黑" w:eastAsia="微软雅黑" w:cs="微软雅黑"/>
          <w:b/>
          <w:bCs/>
          <w:spacing w:val="12"/>
          <w:sz w:val="24"/>
          <w:szCs w:val="24"/>
        </w:rPr>
        <w:t xml:space="preserve"> </w:t>
      </w:r>
      <w:r>
        <w:rPr>
          <w:rFonts w:ascii="微软雅黑" w:hAnsi="微软雅黑" w:eastAsia="微软雅黑" w:cs="微软雅黑"/>
          <w:spacing w:val="-11"/>
          <w:sz w:val="24"/>
          <w:szCs w:val="24"/>
        </w:rPr>
        <w:t>说明：</w:t>
      </w:r>
    </w:p>
    <w:p w14:paraId="0C13BAA7">
      <w:pPr>
        <w:spacing w:before="96" w:line="184" w:lineRule="auto"/>
        <w:ind w:left="561"/>
        <w:rPr>
          <w:rFonts w:ascii="微软雅黑" w:hAnsi="微软雅黑" w:eastAsia="微软雅黑" w:cs="微软雅黑"/>
          <w:sz w:val="24"/>
          <w:szCs w:val="24"/>
        </w:rPr>
      </w:pPr>
      <w:r>
        <w:rPr>
          <w:rFonts w:ascii="微软雅黑" w:hAnsi="微软雅黑" w:eastAsia="微软雅黑" w:cs="微软雅黑"/>
          <w:spacing w:val="-2"/>
          <w:sz w:val="24"/>
          <w:szCs w:val="24"/>
        </w:rPr>
        <w:t>1、如提供本单位上年度经会计师事务所出具的完整审计报告复印件须加盖本单位章。</w:t>
      </w:r>
    </w:p>
    <w:p w14:paraId="3F922E6B">
      <w:pPr>
        <w:spacing w:before="97" w:line="183" w:lineRule="auto"/>
        <w:ind w:left="430"/>
        <w:rPr>
          <w:rFonts w:ascii="微软雅黑" w:hAnsi="微软雅黑" w:eastAsia="微软雅黑" w:cs="微软雅黑"/>
          <w:sz w:val="24"/>
          <w:szCs w:val="24"/>
        </w:rPr>
      </w:pPr>
      <w:r>
        <w:rPr>
          <w:rFonts w:ascii="微软雅黑" w:hAnsi="微软雅黑" w:eastAsia="微软雅黑" w:cs="微软雅黑"/>
          <w:spacing w:val="-3"/>
          <w:sz w:val="24"/>
          <w:szCs w:val="24"/>
        </w:rPr>
        <w:t>2、如果是联合体投标，联合体各方均需提供上述证明。</w:t>
      </w:r>
    </w:p>
    <w:p w14:paraId="39DBFFE3">
      <w:pPr>
        <w:spacing w:before="96" w:line="184" w:lineRule="auto"/>
        <w:ind w:left="561"/>
        <w:rPr>
          <w:rFonts w:ascii="微软雅黑" w:hAnsi="微软雅黑" w:eastAsia="微软雅黑" w:cs="微软雅黑"/>
          <w:spacing w:val="-2"/>
          <w:sz w:val="24"/>
          <w:szCs w:val="24"/>
        </w:rPr>
      </w:pPr>
      <w:r>
        <w:rPr>
          <w:rFonts w:ascii="微软雅黑" w:hAnsi="微软雅黑" w:eastAsia="微软雅黑" w:cs="微软雅黑"/>
          <w:spacing w:val="-2"/>
          <w:sz w:val="24"/>
          <w:szCs w:val="24"/>
        </w:rPr>
        <w:t>3、近两年任意一年指 20</w:t>
      </w:r>
      <w:r>
        <w:rPr>
          <w:rFonts w:hint="eastAsia" w:ascii="微软雅黑" w:hAnsi="微软雅黑" w:eastAsia="微软雅黑" w:cs="微软雅黑"/>
          <w:spacing w:val="-2"/>
          <w:sz w:val="24"/>
          <w:szCs w:val="24"/>
          <w:lang w:val="en-US" w:eastAsia="zh-CN"/>
        </w:rPr>
        <w:t>23</w:t>
      </w:r>
      <w:r>
        <w:rPr>
          <w:rFonts w:ascii="微软雅黑" w:hAnsi="微软雅黑" w:eastAsia="微软雅黑" w:cs="微软雅黑"/>
          <w:spacing w:val="-2"/>
          <w:sz w:val="24"/>
          <w:szCs w:val="24"/>
        </w:rPr>
        <w:t xml:space="preserve"> 年或 20</w:t>
      </w:r>
      <w:r>
        <w:rPr>
          <w:rFonts w:hint="eastAsia" w:ascii="微软雅黑" w:hAnsi="微软雅黑" w:eastAsia="微软雅黑" w:cs="微软雅黑"/>
          <w:spacing w:val="-2"/>
          <w:sz w:val="24"/>
          <w:szCs w:val="24"/>
          <w:lang w:val="en-US" w:eastAsia="zh-CN"/>
        </w:rPr>
        <w:t>24</w:t>
      </w:r>
      <w:r>
        <w:rPr>
          <w:rFonts w:ascii="微软雅黑" w:hAnsi="微软雅黑" w:eastAsia="微软雅黑" w:cs="微软雅黑"/>
          <w:spacing w:val="-2"/>
          <w:sz w:val="24"/>
          <w:szCs w:val="24"/>
        </w:rPr>
        <w:t xml:space="preserve"> 年，近 3 个月是指开标截止日期前 3 个月。</w:t>
      </w:r>
    </w:p>
    <w:p w14:paraId="2F1B12BC">
      <w:pPr>
        <w:spacing w:before="96" w:line="184" w:lineRule="auto"/>
        <w:ind w:left="561"/>
        <w:rPr>
          <w:rFonts w:ascii="微软雅黑" w:hAnsi="微软雅黑" w:eastAsia="微软雅黑" w:cs="微软雅黑"/>
          <w:spacing w:val="-2"/>
          <w:sz w:val="24"/>
          <w:szCs w:val="24"/>
        </w:rPr>
      </w:pPr>
      <w:r>
        <w:rPr>
          <w:rFonts w:ascii="微软雅黑" w:hAnsi="微软雅黑" w:eastAsia="微软雅黑" w:cs="微软雅黑"/>
          <w:spacing w:val="-2"/>
          <w:sz w:val="24"/>
          <w:szCs w:val="24"/>
        </w:rPr>
        <w:t>4、联合体投标的，双方均需提供相关证明。</w:t>
      </w:r>
    </w:p>
    <w:p w14:paraId="0747A710">
      <w:pPr>
        <w:pStyle w:val="7"/>
        <w:spacing w:line="269" w:lineRule="auto"/>
      </w:pPr>
    </w:p>
    <w:p w14:paraId="729C3CDA">
      <w:pPr>
        <w:pStyle w:val="7"/>
        <w:spacing w:line="269" w:lineRule="auto"/>
      </w:pPr>
    </w:p>
    <w:p w14:paraId="71C82968">
      <w:pPr>
        <w:pStyle w:val="7"/>
        <w:spacing w:line="269" w:lineRule="auto"/>
      </w:pPr>
    </w:p>
    <w:p w14:paraId="1F844F01">
      <w:pPr>
        <w:pStyle w:val="7"/>
        <w:spacing w:line="270" w:lineRule="auto"/>
      </w:pPr>
    </w:p>
    <w:p w14:paraId="15E807E5">
      <w:pPr>
        <w:spacing w:before="103" w:line="232" w:lineRule="auto"/>
        <w:ind w:right="116" w:firstLine="482"/>
        <w:rPr>
          <w:rFonts w:ascii="微软雅黑" w:hAnsi="微软雅黑" w:eastAsia="微软雅黑" w:cs="微软雅黑"/>
          <w:sz w:val="24"/>
          <w:szCs w:val="24"/>
        </w:rPr>
      </w:pPr>
      <w:r>
        <w:rPr>
          <w:rFonts w:ascii="微软雅黑" w:hAnsi="微软雅黑" w:eastAsia="微软雅黑" w:cs="微软雅黑"/>
          <w:b/>
          <w:bCs/>
          <w:spacing w:val="-1"/>
          <w:sz w:val="24"/>
          <w:szCs w:val="24"/>
        </w:rPr>
        <w:t>⑥参与政府采购活动前 3 年内未被列入失信、重大税收违法案件、财政部门禁止参加政</w:t>
      </w:r>
      <w:r>
        <w:rPr>
          <w:rFonts w:ascii="微软雅黑" w:hAnsi="微软雅黑" w:eastAsia="微软雅黑" w:cs="微软雅黑"/>
          <w:b/>
          <w:bCs/>
          <w:spacing w:val="10"/>
          <w:sz w:val="24"/>
          <w:szCs w:val="24"/>
        </w:rPr>
        <w:t xml:space="preserve"> </w:t>
      </w:r>
      <w:r>
        <w:rPr>
          <w:rFonts w:ascii="微软雅黑" w:hAnsi="微软雅黑" w:eastAsia="微软雅黑" w:cs="微软雅黑"/>
          <w:b/>
          <w:bCs/>
          <w:spacing w:val="-4"/>
          <w:sz w:val="24"/>
          <w:szCs w:val="24"/>
        </w:rPr>
        <w:t>府采购活动的承诺书；</w:t>
      </w:r>
    </w:p>
    <w:p w14:paraId="132299E4">
      <w:pPr>
        <w:spacing w:before="85" w:line="183" w:lineRule="auto"/>
        <w:ind w:left="720"/>
        <w:rPr>
          <w:rFonts w:ascii="微软雅黑" w:hAnsi="微软雅黑" w:eastAsia="微软雅黑" w:cs="微软雅黑"/>
          <w:spacing w:val="-2"/>
          <w:sz w:val="24"/>
          <w:szCs w:val="24"/>
        </w:rPr>
      </w:pPr>
      <w:r>
        <w:rPr>
          <w:rFonts w:ascii="微软雅黑" w:hAnsi="微软雅黑" w:eastAsia="微软雅黑" w:cs="微软雅黑"/>
          <w:spacing w:val="-2"/>
          <w:sz w:val="24"/>
          <w:szCs w:val="24"/>
        </w:rPr>
        <w:t>说明：1.供应商应按照相关法规规定如实作出承诺，格式自拟。</w:t>
      </w:r>
    </w:p>
    <w:p w14:paraId="21B1B804">
      <w:pPr>
        <w:spacing w:before="85" w:line="183" w:lineRule="auto"/>
        <w:ind w:left="720" w:firstLine="708" w:firstLineChars="300"/>
        <w:rPr>
          <w:rFonts w:ascii="微软雅黑" w:hAnsi="微软雅黑" w:eastAsia="微软雅黑" w:cs="微软雅黑"/>
          <w:spacing w:val="-2"/>
          <w:sz w:val="24"/>
          <w:szCs w:val="24"/>
        </w:rPr>
      </w:pPr>
      <w:r>
        <w:rPr>
          <w:rFonts w:ascii="微软雅黑" w:hAnsi="微软雅黑" w:eastAsia="微软雅黑" w:cs="微软雅黑"/>
          <w:spacing w:val="-2"/>
          <w:sz w:val="24"/>
          <w:szCs w:val="24"/>
        </w:rPr>
        <w:t>2、联合体投标的，双方均需提供相关证明。</w:t>
      </w:r>
    </w:p>
    <w:p w14:paraId="2906399C">
      <w:pPr>
        <w:spacing w:line="183" w:lineRule="auto"/>
        <w:rPr>
          <w:rFonts w:ascii="微软雅黑" w:hAnsi="微软雅黑" w:eastAsia="微软雅黑" w:cs="微软雅黑"/>
          <w:sz w:val="24"/>
          <w:szCs w:val="24"/>
        </w:rPr>
        <w:sectPr>
          <w:footerReference r:id="rId21" w:type="default"/>
          <w:pgSz w:w="11905" w:h="16839"/>
          <w:pgMar w:top="1431" w:right="1080" w:bottom="1197" w:left="1083" w:header="0" w:footer="962" w:gutter="0"/>
          <w:pgNumType w:fmt="decimal"/>
          <w:cols w:space="720" w:num="1"/>
        </w:sectPr>
      </w:pPr>
    </w:p>
    <w:p w14:paraId="40E0E28C">
      <w:pPr>
        <w:pStyle w:val="7"/>
        <w:spacing w:line="430" w:lineRule="auto"/>
      </w:pPr>
    </w:p>
    <w:p w14:paraId="5F5C9A98">
      <w:pPr>
        <w:spacing w:before="103" w:line="183" w:lineRule="auto"/>
        <w:ind w:left="482"/>
        <w:rPr>
          <w:rFonts w:ascii="微软雅黑" w:hAnsi="微软雅黑" w:eastAsia="微软雅黑" w:cs="微软雅黑"/>
          <w:sz w:val="24"/>
          <w:szCs w:val="24"/>
        </w:rPr>
      </w:pPr>
      <w:r>
        <w:rPr>
          <w:rFonts w:ascii="微软雅黑" w:hAnsi="微软雅黑" w:eastAsia="微软雅黑" w:cs="微软雅黑"/>
          <w:b/>
          <w:bCs/>
          <w:spacing w:val="-3"/>
          <w:sz w:val="24"/>
          <w:szCs w:val="24"/>
        </w:rPr>
        <w:t>⑦提供针对本次项目的反商业贿赂承诺书。</w:t>
      </w:r>
    </w:p>
    <w:p w14:paraId="705E255F">
      <w:pPr>
        <w:spacing w:before="145" w:line="183" w:lineRule="auto"/>
        <w:ind w:left="720"/>
        <w:rPr>
          <w:rFonts w:ascii="微软雅黑" w:hAnsi="微软雅黑" w:eastAsia="微软雅黑" w:cs="微软雅黑"/>
          <w:spacing w:val="-2"/>
          <w:sz w:val="24"/>
          <w:szCs w:val="24"/>
        </w:rPr>
      </w:pPr>
      <w:r>
        <w:rPr>
          <w:rFonts w:ascii="微软雅黑" w:hAnsi="微软雅黑" w:eastAsia="微软雅黑" w:cs="微软雅黑"/>
          <w:spacing w:val="-2"/>
          <w:sz w:val="24"/>
          <w:szCs w:val="24"/>
        </w:rPr>
        <w:t>说明：1.供应商应按照相关法规规定如实作出承诺，格式自拟。</w:t>
      </w:r>
    </w:p>
    <w:p w14:paraId="30E5E70C">
      <w:pPr>
        <w:spacing w:before="145" w:line="183" w:lineRule="auto"/>
        <w:ind w:left="720" w:firstLine="708" w:firstLineChars="300"/>
        <w:rPr>
          <w:rFonts w:ascii="微软雅黑" w:hAnsi="微软雅黑" w:eastAsia="微软雅黑" w:cs="微软雅黑"/>
          <w:spacing w:val="-2"/>
          <w:sz w:val="24"/>
          <w:szCs w:val="24"/>
        </w:rPr>
      </w:pPr>
      <w:r>
        <w:rPr>
          <w:rFonts w:ascii="微软雅黑" w:hAnsi="微软雅黑" w:eastAsia="微软雅黑" w:cs="微软雅黑"/>
          <w:spacing w:val="-2"/>
          <w:sz w:val="24"/>
          <w:szCs w:val="24"/>
        </w:rPr>
        <w:t>2、联合体投标的，双方均需提供相关证明。</w:t>
      </w:r>
    </w:p>
    <w:p w14:paraId="4324E6C8">
      <w:pPr>
        <w:pStyle w:val="7"/>
        <w:spacing w:line="253" w:lineRule="auto"/>
      </w:pPr>
    </w:p>
    <w:p w14:paraId="4AC8D684">
      <w:pPr>
        <w:pStyle w:val="7"/>
        <w:spacing w:line="253" w:lineRule="auto"/>
      </w:pPr>
    </w:p>
    <w:p w14:paraId="71B2D13C">
      <w:pPr>
        <w:pStyle w:val="7"/>
        <w:spacing w:line="253" w:lineRule="auto"/>
      </w:pPr>
    </w:p>
    <w:p w14:paraId="32D0391F">
      <w:pPr>
        <w:pStyle w:val="7"/>
        <w:spacing w:line="253" w:lineRule="auto"/>
      </w:pPr>
    </w:p>
    <w:p w14:paraId="15675D34">
      <w:pPr>
        <w:spacing w:before="103" w:line="205" w:lineRule="auto"/>
        <w:ind w:left="10" w:right="78" w:firstLine="472"/>
        <w:rPr>
          <w:rFonts w:ascii="微软雅黑" w:hAnsi="微软雅黑" w:eastAsia="微软雅黑" w:cs="微软雅黑"/>
          <w:sz w:val="24"/>
          <w:szCs w:val="24"/>
        </w:rPr>
      </w:pPr>
      <w:r>
        <w:rPr>
          <w:rFonts w:ascii="微软雅黑" w:hAnsi="微软雅黑" w:eastAsia="微软雅黑" w:cs="微软雅黑"/>
          <w:b/>
          <w:bCs/>
          <w:sz w:val="24"/>
          <w:szCs w:val="24"/>
        </w:rPr>
        <w:t>⑧根据《政府采购领域“整顿市场秩序、建设法规体系、促进产业发展</w:t>
      </w:r>
      <w:r>
        <w:rPr>
          <w:rFonts w:ascii="微软雅黑" w:hAnsi="微软雅黑" w:eastAsia="微软雅黑" w:cs="微软雅黑"/>
          <w:b/>
          <w:bCs/>
          <w:spacing w:val="-1"/>
          <w:sz w:val="24"/>
          <w:szCs w:val="24"/>
        </w:rPr>
        <w:t>”三年行动方案</w:t>
      </w:r>
      <w:r>
        <w:rPr>
          <w:rFonts w:ascii="微软雅黑" w:hAnsi="微软雅黑" w:eastAsia="微软雅黑" w:cs="微软雅黑"/>
          <w:b/>
          <w:bCs/>
          <w:sz w:val="24"/>
          <w:szCs w:val="24"/>
        </w:rPr>
        <w:t xml:space="preserve">  </w:t>
      </w:r>
      <w:r>
        <w:rPr>
          <w:rFonts w:ascii="微软雅黑" w:hAnsi="微软雅黑" w:eastAsia="微软雅黑" w:cs="微软雅黑"/>
          <w:b/>
          <w:bCs/>
          <w:spacing w:val="-1"/>
          <w:sz w:val="24"/>
          <w:szCs w:val="24"/>
        </w:rPr>
        <w:t>（2024—2026 年）》的通知，凡拟参加本次采购项目的供应商，必须为未被列入“信用中</w:t>
      </w:r>
      <w:r>
        <w:rPr>
          <w:rFonts w:ascii="微软雅黑" w:hAnsi="微软雅黑" w:eastAsia="微软雅黑" w:cs="微软雅黑"/>
          <w:b/>
          <w:bCs/>
          <w:spacing w:val="18"/>
          <w:sz w:val="24"/>
          <w:szCs w:val="24"/>
        </w:rPr>
        <w:t xml:space="preserve"> </w:t>
      </w:r>
      <w:r>
        <w:rPr>
          <w:rFonts w:ascii="微软雅黑" w:hAnsi="微软雅黑" w:eastAsia="微软雅黑" w:cs="微软雅黑"/>
          <w:b/>
          <w:bCs/>
          <w:sz w:val="24"/>
          <w:szCs w:val="24"/>
        </w:rPr>
        <w:t>国”网站(</w:t>
      </w:r>
      <w:r>
        <w:fldChar w:fldCharType="begin"/>
      </w:r>
      <w:r>
        <w:instrText xml:space="preserve"> HYPERLINK "https://www.creditchina.gov.cn" </w:instrText>
      </w:r>
      <w:r>
        <w:fldChar w:fldCharType="separate"/>
      </w:r>
      <w:r>
        <w:rPr>
          <w:rFonts w:ascii="微软雅黑" w:hAnsi="微软雅黑" w:eastAsia="微软雅黑" w:cs="微软雅黑"/>
          <w:b/>
          <w:bCs/>
          <w:sz w:val="24"/>
          <w:szCs w:val="24"/>
        </w:rPr>
        <w:t>www.creditchina.gov.cn</w:t>
      </w:r>
      <w:r>
        <w:rPr>
          <w:rFonts w:ascii="微软雅黑" w:hAnsi="微软雅黑" w:eastAsia="微软雅黑" w:cs="微软雅黑"/>
          <w:b/>
          <w:bCs/>
          <w:sz w:val="24"/>
          <w:szCs w:val="24"/>
        </w:rPr>
        <w:fldChar w:fldCharType="end"/>
      </w:r>
      <w:r>
        <w:rPr>
          <w:rFonts w:ascii="微软雅黑" w:hAnsi="微软雅黑" w:eastAsia="微软雅黑" w:cs="微软雅黑"/>
          <w:b/>
          <w:bCs/>
          <w:sz w:val="24"/>
          <w:szCs w:val="24"/>
        </w:rPr>
        <w:t>)（失信被执行人</w:t>
      </w:r>
      <w:r>
        <w:rPr>
          <w:rFonts w:ascii="微软雅黑" w:hAnsi="微软雅黑" w:eastAsia="微软雅黑" w:cs="微软雅黑"/>
          <w:b/>
          <w:bCs/>
          <w:spacing w:val="-1"/>
          <w:sz w:val="24"/>
          <w:szCs w:val="24"/>
        </w:rPr>
        <w:t>名单、重大税收违法案件当事人名</w:t>
      </w:r>
    </w:p>
    <w:p w14:paraId="0E0F4896">
      <w:pPr>
        <w:spacing w:before="51" w:line="217" w:lineRule="auto"/>
        <w:rPr>
          <w:rFonts w:ascii="微软雅黑" w:hAnsi="微软雅黑" w:eastAsia="微软雅黑" w:cs="微软雅黑"/>
          <w:sz w:val="24"/>
          <w:szCs w:val="24"/>
        </w:rPr>
      </w:pPr>
      <w:r>
        <w:rPr>
          <w:rFonts w:ascii="微软雅黑" w:hAnsi="微软雅黑" w:eastAsia="微软雅黑" w:cs="微软雅黑"/>
          <w:b/>
          <w:bCs/>
          <w:spacing w:val="-1"/>
          <w:sz w:val="24"/>
          <w:szCs w:val="24"/>
        </w:rPr>
        <w:t>单）、中国政府采购网(</w:t>
      </w:r>
      <w:r>
        <w:fldChar w:fldCharType="begin"/>
      </w:r>
      <w:r>
        <w:instrText xml:space="preserve"> HYPERLINK "https://www.ccgp.gov.cn" </w:instrText>
      </w:r>
      <w:r>
        <w:fldChar w:fldCharType="separate"/>
      </w:r>
      <w:r>
        <w:rPr>
          <w:rFonts w:ascii="微软雅黑" w:hAnsi="微软雅黑" w:eastAsia="微软雅黑" w:cs="微软雅黑"/>
          <w:b/>
          <w:bCs/>
          <w:spacing w:val="-1"/>
          <w:sz w:val="24"/>
          <w:szCs w:val="24"/>
        </w:rPr>
        <w:t>www.ccgp.gov.cn</w:t>
      </w:r>
      <w:r>
        <w:rPr>
          <w:rFonts w:ascii="微软雅黑" w:hAnsi="微软雅黑" w:eastAsia="微软雅黑" w:cs="微软雅黑"/>
          <w:b/>
          <w:bCs/>
          <w:spacing w:val="-1"/>
          <w:sz w:val="24"/>
          <w:szCs w:val="24"/>
        </w:rPr>
        <w:fldChar w:fldCharType="end"/>
      </w:r>
      <w:r>
        <w:rPr>
          <w:rFonts w:ascii="微软雅黑" w:hAnsi="微软雅黑" w:eastAsia="微软雅黑" w:cs="微软雅黑"/>
          <w:b/>
          <w:bCs/>
          <w:spacing w:val="-1"/>
          <w:sz w:val="24"/>
          <w:szCs w:val="24"/>
        </w:rPr>
        <w:t>)（政府采购严重违法失信行为记录名单</w:t>
      </w:r>
      <w:r>
        <w:rPr>
          <w:rFonts w:ascii="微软雅黑" w:hAnsi="微软雅黑" w:eastAsia="微软雅黑" w:cs="微软雅黑"/>
          <w:b/>
          <w:bCs/>
          <w:spacing w:val="2"/>
          <w:sz w:val="24"/>
          <w:szCs w:val="24"/>
        </w:rPr>
        <w:t>）</w:t>
      </w:r>
      <w:r>
        <w:rPr>
          <w:rFonts w:ascii="微软雅黑" w:hAnsi="微软雅黑" w:eastAsia="微软雅黑" w:cs="微软雅黑"/>
          <w:b/>
          <w:bCs/>
          <w:spacing w:val="-42"/>
          <w:sz w:val="24"/>
          <w:szCs w:val="24"/>
        </w:rPr>
        <w:t xml:space="preserve"> </w:t>
      </w:r>
      <w:r>
        <w:rPr>
          <w:rFonts w:ascii="微软雅黑" w:hAnsi="微软雅黑" w:eastAsia="微软雅黑" w:cs="微软雅黑"/>
          <w:b/>
          <w:bCs/>
          <w:spacing w:val="2"/>
          <w:sz w:val="24"/>
          <w:szCs w:val="24"/>
        </w:rPr>
        <w:t>，</w:t>
      </w:r>
      <w:r>
        <w:rPr>
          <w:rFonts w:ascii="微软雅黑" w:hAnsi="微软雅黑" w:eastAsia="微软雅黑" w:cs="微软雅黑"/>
          <w:b/>
          <w:bCs/>
          <w:spacing w:val="-1"/>
          <w:sz w:val="24"/>
          <w:szCs w:val="24"/>
        </w:rPr>
        <w:t>国家</w:t>
      </w:r>
      <w:r>
        <w:rPr>
          <w:rFonts w:ascii="微软雅黑" w:hAnsi="微软雅黑" w:eastAsia="微软雅黑" w:cs="微软雅黑"/>
          <w:b/>
          <w:bCs/>
          <w:sz w:val="24"/>
          <w:szCs w:val="24"/>
        </w:rPr>
        <w:t xml:space="preserve"> 企业公示信息系统（</w:t>
      </w:r>
      <w:r>
        <w:fldChar w:fldCharType="begin"/>
      </w:r>
      <w:r>
        <w:instrText xml:space="preserve"> HYPERLINK "https://www.gsxt.gov.cn" </w:instrText>
      </w:r>
      <w:r>
        <w:fldChar w:fldCharType="separate"/>
      </w:r>
      <w:r>
        <w:rPr>
          <w:rFonts w:ascii="微软雅黑" w:hAnsi="微软雅黑" w:eastAsia="微软雅黑" w:cs="微软雅黑"/>
          <w:b/>
          <w:bCs/>
          <w:sz w:val="24"/>
          <w:szCs w:val="24"/>
        </w:rPr>
        <w:t>www.gsxt.gov.cn</w:t>
      </w:r>
      <w:r>
        <w:rPr>
          <w:rFonts w:ascii="微软雅黑" w:hAnsi="微软雅黑" w:eastAsia="微软雅黑" w:cs="微软雅黑"/>
          <w:b/>
          <w:bCs/>
          <w:sz w:val="24"/>
          <w:szCs w:val="24"/>
        </w:rPr>
        <w:fldChar w:fldCharType="end"/>
      </w:r>
      <w:r>
        <w:rPr>
          <w:rFonts w:ascii="微软雅黑" w:hAnsi="微软雅黑" w:eastAsia="微软雅黑" w:cs="微软雅黑"/>
          <w:b/>
          <w:bCs/>
          <w:sz w:val="24"/>
          <w:szCs w:val="24"/>
        </w:rPr>
        <w:t>）（经营异常名录</w:t>
      </w:r>
      <w:r>
        <w:rPr>
          <w:rFonts w:ascii="微软雅黑" w:hAnsi="微软雅黑" w:eastAsia="微软雅黑" w:cs="微软雅黑"/>
          <w:b/>
          <w:bCs/>
          <w:spacing w:val="-1"/>
          <w:sz w:val="24"/>
          <w:szCs w:val="24"/>
        </w:rPr>
        <w:t>、严重违法失信名单）。（须提供</w:t>
      </w:r>
      <w:r>
        <w:rPr>
          <w:rFonts w:ascii="微软雅黑" w:hAnsi="微软雅黑" w:eastAsia="微软雅黑" w:cs="微软雅黑"/>
          <w:b/>
          <w:bCs/>
          <w:sz w:val="24"/>
          <w:szCs w:val="24"/>
        </w:rPr>
        <w:t xml:space="preserve"> </w:t>
      </w:r>
      <w:r>
        <w:rPr>
          <w:rFonts w:ascii="微软雅黑" w:hAnsi="微软雅黑" w:eastAsia="微软雅黑" w:cs="微软雅黑"/>
          <w:b/>
          <w:bCs/>
          <w:spacing w:val="-4"/>
          <w:sz w:val="24"/>
          <w:szCs w:val="24"/>
        </w:rPr>
        <w:t>查询记录并加盖公章</w:t>
      </w:r>
      <w:r>
        <w:rPr>
          <w:rFonts w:ascii="微软雅黑" w:hAnsi="微软雅黑" w:eastAsia="微软雅黑" w:cs="微软雅黑"/>
          <w:b/>
          <w:bCs/>
          <w:spacing w:val="-2"/>
          <w:sz w:val="24"/>
          <w:szCs w:val="24"/>
        </w:rPr>
        <w:t>）；</w:t>
      </w:r>
    </w:p>
    <w:p w14:paraId="2C96BF2B">
      <w:pPr>
        <w:pStyle w:val="7"/>
        <w:spacing w:line="423" w:lineRule="auto"/>
      </w:pPr>
    </w:p>
    <w:p w14:paraId="60AD97A0">
      <w:pPr>
        <w:spacing w:before="104" w:line="183" w:lineRule="auto"/>
        <w:ind w:left="480"/>
        <w:rPr>
          <w:rFonts w:ascii="微软雅黑" w:hAnsi="微软雅黑" w:eastAsia="微软雅黑" w:cs="微软雅黑"/>
          <w:sz w:val="24"/>
          <w:szCs w:val="24"/>
        </w:rPr>
      </w:pPr>
      <w:r>
        <w:rPr>
          <w:rFonts w:ascii="微软雅黑" w:hAnsi="微软雅黑" w:eastAsia="微软雅黑" w:cs="微软雅黑"/>
          <w:spacing w:val="-3"/>
          <w:sz w:val="24"/>
          <w:szCs w:val="24"/>
        </w:rPr>
        <w:t>说明：联合体投标的，双方均需提供相关证明。</w:t>
      </w:r>
    </w:p>
    <w:p w14:paraId="25AEDAFC">
      <w:pPr>
        <w:spacing w:line="183" w:lineRule="auto"/>
        <w:rPr>
          <w:rFonts w:ascii="微软雅黑" w:hAnsi="微软雅黑" w:eastAsia="微软雅黑" w:cs="微软雅黑"/>
          <w:sz w:val="24"/>
          <w:szCs w:val="24"/>
        </w:rPr>
        <w:sectPr>
          <w:footerReference r:id="rId22" w:type="default"/>
          <w:pgSz w:w="11905" w:h="16839"/>
          <w:pgMar w:top="1431" w:right="1083" w:bottom="1197" w:left="1083" w:header="0" w:footer="963" w:gutter="0"/>
          <w:pgNumType w:fmt="decimal"/>
          <w:cols w:space="720" w:num="1"/>
        </w:sectPr>
      </w:pPr>
    </w:p>
    <w:p w14:paraId="064D972E">
      <w:pPr>
        <w:pStyle w:val="7"/>
        <w:spacing w:line="312" w:lineRule="auto"/>
      </w:pPr>
    </w:p>
    <w:p w14:paraId="15F6C007">
      <w:pPr>
        <w:spacing w:before="103" w:line="183" w:lineRule="auto"/>
        <w:ind w:left="484"/>
        <w:rPr>
          <w:rFonts w:ascii="微软雅黑" w:hAnsi="微软雅黑" w:eastAsia="微软雅黑" w:cs="微软雅黑"/>
          <w:sz w:val="24"/>
          <w:szCs w:val="24"/>
        </w:rPr>
      </w:pPr>
      <w:r>
        <w:rPr>
          <w:rFonts w:ascii="微软雅黑" w:hAnsi="微软雅黑" w:eastAsia="微软雅黑" w:cs="微软雅黑"/>
          <w:b/>
          <w:bCs/>
          <w:spacing w:val="-1"/>
          <w:sz w:val="24"/>
          <w:szCs w:val="24"/>
        </w:rPr>
        <w:t>⑨中小企业声明函</w:t>
      </w:r>
    </w:p>
    <w:p w14:paraId="1C4254A9">
      <w:pPr>
        <w:spacing w:before="136" w:line="183" w:lineRule="auto"/>
        <w:ind w:left="3674"/>
        <w:rPr>
          <w:rFonts w:ascii="微软雅黑" w:hAnsi="微软雅黑" w:eastAsia="微软雅黑" w:cs="微软雅黑"/>
          <w:sz w:val="22"/>
          <w:szCs w:val="22"/>
        </w:rPr>
      </w:pPr>
      <w:r>
        <w:rPr>
          <w:rFonts w:ascii="微软雅黑" w:hAnsi="微软雅黑" w:eastAsia="微软雅黑" w:cs="微软雅黑"/>
          <w:b/>
          <w:bCs/>
          <w:spacing w:val="-4"/>
          <w:sz w:val="22"/>
          <w:szCs w:val="22"/>
        </w:rPr>
        <w:t>中小企业声明函（服务）</w:t>
      </w:r>
    </w:p>
    <w:p w14:paraId="5BF63990">
      <w:pPr>
        <w:pStyle w:val="7"/>
        <w:spacing w:line="398" w:lineRule="auto"/>
      </w:pPr>
    </w:p>
    <w:p w14:paraId="77501B4C">
      <w:pPr>
        <w:spacing w:before="103" w:line="221" w:lineRule="auto"/>
        <w:ind w:left="478"/>
        <w:rPr>
          <w:rFonts w:ascii="微软雅黑" w:hAnsi="微软雅黑" w:eastAsia="微软雅黑" w:cs="微软雅黑"/>
          <w:sz w:val="24"/>
          <w:szCs w:val="24"/>
        </w:rPr>
      </w:pPr>
      <w:r>
        <w:rPr>
          <w:rFonts w:ascii="微软雅黑" w:hAnsi="微软雅黑" w:eastAsia="微软雅黑" w:cs="微软雅黑"/>
          <w:spacing w:val="-4"/>
          <w:sz w:val="24"/>
          <w:szCs w:val="24"/>
        </w:rPr>
        <w:t>本公司（联合体）郑重声明</w:t>
      </w:r>
      <w:r>
        <w:rPr>
          <w:rFonts w:ascii="微软雅黑" w:hAnsi="微软雅黑" w:eastAsia="微软雅黑" w:cs="微软雅黑"/>
          <w:spacing w:val="-12"/>
          <w:sz w:val="24"/>
          <w:szCs w:val="24"/>
        </w:rPr>
        <w:t xml:space="preserve"> </w:t>
      </w:r>
      <w:r>
        <w:rPr>
          <w:rFonts w:ascii="微软雅黑" w:hAnsi="微软雅黑" w:eastAsia="微软雅黑" w:cs="微软雅黑"/>
          <w:spacing w:val="-4"/>
          <w:sz w:val="24"/>
          <w:szCs w:val="24"/>
        </w:rPr>
        <w:t>，根据《政府采购促进中小企业发展管理办法》（财库</w:t>
      </w:r>
    </w:p>
    <w:p w14:paraId="711A0E67">
      <w:pPr>
        <w:spacing w:before="99" w:line="280" w:lineRule="auto"/>
        <w:ind w:right="187" w:firstLine="92"/>
        <w:rPr>
          <w:rFonts w:ascii="微软雅黑" w:hAnsi="微软雅黑" w:eastAsia="微软雅黑" w:cs="微软雅黑"/>
          <w:sz w:val="24"/>
          <w:szCs w:val="24"/>
        </w:rPr>
      </w:pPr>
      <w:r>
        <w:rPr>
          <w:rFonts w:ascii="微软雅黑" w:hAnsi="微软雅黑" w:eastAsia="微软雅黑" w:cs="微软雅黑"/>
          <w:spacing w:val="-6"/>
          <w:sz w:val="24"/>
          <w:szCs w:val="24"/>
        </w:rPr>
        <w:t>﹝2020﹞46 号）</w:t>
      </w:r>
      <w:r>
        <w:rPr>
          <w:rFonts w:ascii="微软雅黑" w:hAnsi="微软雅黑" w:eastAsia="微软雅黑" w:cs="微软雅黑"/>
          <w:spacing w:val="-50"/>
          <w:sz w:val="24"/>
          <w:szCs w:val="24"/>
        </w:rPr>
        <w:t xml:space="preserve"> </w:t>
      </w:r>
      <w:r>
        <w:rPr>
          <w:rFonts w:ascii="微软雅黑" w:hAnsi="微软雅黑" w:eastAsia="微软雅黑" w:cs="微软雅黑"/>
          <w:spacing w:val="-6"/>
          <w:sz w:val="24"/>
          <w:szCs w:val="24"/>
        </w:rPr>
        <w:t>的规定</w:t>
      </w:r>
      <w:r>
        <w:rPr>
          <w:rFonts w:ascii="微软雅黑" w:hAnsi="微软雅黑" w:eastAsia="微软雅黑" w:cs="微软雅黑"/>
          <w:spacing w:val="-27"/>
          <w:sz w:val="24"/>
          <w:szCs w:val="24"/>
        </w:rPr>
        <w:t xml:space="preserve"> </w:t>
      </w:r>
      <w:r>
        <w:rPr>
          <w:rFonts w:ascii="微软雅黑" w:hAnsi="微软雅黑" w:eastAsia="微软雅黑" w:cs="微软雅黑"/>
          <w:spacing w:val="-6"/>
          <w:sz w:val="24"/>
          <w:szCs w:val="24"/>
        </w:rPr>
        <w:t>，本公司（联合体</w:t>
      </w:r>
      <w:r>
        <w:rPr>
          <w:rFonts w:ascii="微软雅黑" w:hAnsi="微软雅黑" w:eastAsia="微软雅黑" w:cs="微软雅黑"/>
          <w:spacing w:val="-7"/>
          <w:sz w:val="24"/>
          <w:szCs w:val="24"/>
        </w:rPr>
        <w:t>）参加</w:t>
      </w:r>
      <w:r>
        <w:rPr>
          <w:rFonts w:ascii="微软雅黑" w:hAnsi="微软雅黑" w:eastAsia="微软雅黑" w:cs="微软雅黑"/>
          <w:spacing w:val="-7"/>
          <w:sz w:val="24"/>
          <w:szCs w:val="24"/>
          <w:u w:val="single" w:color="auto"/>
        </w:rPr>
        <w:t>（单位名称）</w:t>
      </w:r>
      <w:r>
        <w:rPr>
          <w:rFonts w:ascii="微软雅黑" w:hAnsi="微软雅黑" w:eastAsia="微软雅黑" w:cs="微软雅黑"/>
          <w:spacing w:val="-50"/>
          <w:sz w:val="24"/>
          <w:szCs w:val="24"/>
          <w:u w:val="single" w:color="auto"/>
        </w:rPr>
        <w:t xml:space="preserve"> </w:t>
      </w:r>
      <w:r>
        <w:rPr>
          <w:rFonts w:ascii="微软雅黑" w:hAnsi="微软雅黑" w:eastAsia="微软雅黑" w:cs="微软雅黑"/>
          <w:spacing w:val="-7"/>
          <w:sz w:val="24"/>
          <w:szCs w:val="24"/>
        </w:rPr>
        <w:t>的</w:t>
      </w:r>
      <w:r>
        <w:rPr>
          <w:rFonts w:ascii="微软雅黑" w:hAnsi="微软雅黑" w:eastAsia="微软雅黑" w:cs="微软雅黑"/>
          <w:spacing w:val="-7"/>
          <w:sz w:val="24"/>
          <w:szCs w:val="24"/>
          <w:u w:val="single" w:color="auto"/>
        </w:rPr>
        <w:t>（项目名称）</w:t>
      </w:r>
      <w:r>
        <w:rPr>
          <w:rFonts w:ascii="微软雅黑" w:hAnsi="微软雅黑" w:eastAsia="微软雅黑" w:cs="微软雅黑"/>
          <w:spacing w:val="-7"/>
          <w:sz w:val="24"/>
          <w:szCs w:val="24"/>
        </w:rPr>
        <w:t>采购活动，服</w:t>
      </w:r>
      <w:r>
        <w:rPr>
          <w:rFonts w:ascii="微软雅黑" w:hAnsi="微软雅黑" w:eastAsia="微软雅黑" w:cs="微软雅黑"/>
          <w:sz w:val="24"/>
          <w:szCs w:val="24"/>
        </w:rPr>
        <w:t xml:space="preserve"> </w:t>
      </w:r>
      <w:r>
        <w:rPr>
          <w:rFonts w:ascii="微软雅黑" w:hAnsi="微软雅黑" w:eastAsia="微软雅黑" w:cs="微软雅黑"/>
          <w:spacing w:val="-3"/>
          <w:sz w:val="24"/>
          <w:szCs w:val="24"/>
        </w:rPr>
        <w:t>务全部由符合政策要求的中小企业承接。相关企业（含联合体中的中小企业、签订分包意向协</w:t>
      </w:r>
      <w:r>
        <w:rPr>
          <w:rFonts w:ascii="微软雅黑" w:hAnsi="微软雅黑" w:eastAsia="微软雅黑" w:cs="微软雅黑"/>
          <w:spacing w:val="15"/>
          <w:sz w:val="24"/>
          <w:szCs w:val="24"/>
        </w:rPr>
        <w:t xml:space="preserve"> </w:t>
      </w:r>
      <w:r>
        <w:rPr>
          <w:rFonts w:ascii="微软雅黑" w:hAnsi="微软雅黑" w:eastAsia="微软雅黑" w:cs="微软雅黑"/>
          <w:spacing w:val="-4"/>
          <w:sz w:val="24"/>
          <w:szCs w:val="24"/>
        </w:rPr>
        <w:t>议的中小企业）</w:t>
      </w:r>
      <w:r>
        <w:rPr>
          <w:rFonts w:ascii="微软雅黑" w:hAnsi="微软雅黑" w:eastAsia="微软雅黑" w:cs="微软雅黑"/>
          <w:spacing w:val="-51"/>
          <w:sz w:val="24"/>
          <w:szCs w:val="24"/>
        </w:rPr>
        <w:t xml:space="preserve"> </w:t>
      </w:r>
      <w:r>
        <w:rPr>
          <w:rFonts w:ascii="微软雅黑" w:hAnsi="微软雅黑" w:eastAsia="微软雅黑" w:cs="微软雅黑"/>
          <w:spacing w:val="-4"/>
          <w:sz w:val="24"/>
          <w:szCs w:val="24"/>
        </w:rPr>
        <w:t>的具体情况如下：</w:t>
      </w:r>
    </w:p>
    <w:p w14:paraId="0B4D0854">
      <w:pPr>
        <w:spacing w:before="1" w:line="260" w:lineRule="auto"/>
        <w:ind w:right="123" w:firstLine="497"/>
        <w:rPr>
          <w:rFonts w:ascii="微软雅黑" w:hAnsi="微软雅黑" w:eastAsia="微软雅黑" w:cs="微软雅黑"/>
          <w:sz w:val="24"/>
          <w:szCs w:val="24"/>
        </w:rPr>
      </w:pPr>
      <w:r>
        <w:rPr>
          <w:rFonts w:ascii="微软雅黑" w:hAnsi="微软雅黑" w:eastAsia="微软雅黑" w:cs="微软雅黑"/>
          <w:spacing w:val="-2"/>
          <w:sz w:val="24"/>
          <w:szCs w:val="24"/>
        </w:rPr>
        <w:t>1.</w:t>
      </w:r>
      <w:r>
        <w:rPr>
          <w:rFonts w:ascii="微软雅黑" w:hAnsi="微软雅黑" w:eastAsia="微软雅黑" w:cs="微软雅黑"/>
          <w:spacing w:val="-2"/>
          <w:sz w:val="24"/>
          <w:szCs w:val="24"/>
          <w:u w:val="single" w:color="auto"/>
        </w:rPr>
        <w:t>（标的名称</w:t>
      </w:r>
      <w:r>
        <w:rPr>
          <w:rFonts w:ascii="微软雅黑" w:hAnsi="微软雅黑" w:eastAsia="微软雅黑" w:cs="微软雅黑"/>
          <w:spacing w:val="-22"/>
          <w:sz w:val="24"/>
          <w:szCs w:val="24"/>
          <w:u w:val="single" w:color="auto"/>
        </w:rPr>
        <w:t>）</w:t>
      </w:r>
      <w:r>
        <w:rPr>
          <w:rFonts w:ascii="微软雅黑" w:hAnsi="微软雅黑" w:eastAsia="微软雅黑" w:cs="微软雅黑"/>
          <w:spacing w:val="52"/>
          <w:sz w:val="24"/>
          <w:szCs w:val="24"/>
        </w:rPr>
        <w:t xml:space="preserve"> </w:t>
      </w:r>
      <w:r>
        <w:rPr>
          <w:rFonts w:ascii="微软雅黑" w:hAnsi="微软雅黑" w:eastAsia="微软雅黑" w:cs="微软雅黑"/>
          <w:spacing w:val="-22"/>
          <w:sz w:val="24"/>
          <w:szCs w:val="24"/>
        </w:rPr>
        <w:t>，</w:t>
      </w:r>
      <w:r>
        <w:rPr>
          <w:rFonts w:ascii="微软雅黑" w:hAnsi="微软雅黑" w:eastAsia="微软雅黑" w:cs="微软雅黑"/>
          <w:spacing w:val="-2"/>
          <w:sz w:val="24"/>
          <w:szCs w:val="24"/>
        </w:rPr>
        <w:t>属于</w:t>
      </w:r>
      <w:r>
        <w:rPr>
          <w:rFonts w:ascii="微软雅黑" w:hAnsi="微软雅黑" w:eastAsia="微软雅黑" w:cs="微软雅黑"/>
          <w:spacing w:val="-2"/>
          <w:sz w:val="24"/>
          <w:szCs w:val="24"/>
          <w:u w:val="single" w:color="auto"/>
        </w:rPr>
        <w:t>（采购文件中明确的所属行业）行业</w:t>
      </w:r>
      <w:r>
        <w:rPr>
          <w:rFonts w:ascii="微软雅黑" w:hAnsi="微软雅黑" w:eastAsia="微软雅黑" w:cs="微软雅黑"/>
          <w:spacing w:val="-2"/>
          <w:sz w:val="24"/>
          <w:szCs w:val="24"/>
        </w:rPr>
        <w:t>；</w:t>
      </w:r>
      <w:r>
        <w:rPr>
          <w:rFonts w:ascii="微软雅黑" w:hAnsi="微软雅黑" w:eastAsia="微软雅黑" w:cs="微软雅黑"/>
          <w:spacing w:val="-47"/>
          <w:sz w:val="24"/>
          <w:szCs w:val="24"/>
        </w:rPr>
        <w:t xml:space="preserve"> </w:t>
      </w:r>
      <w:r>
        <w:rPr>
          <w:rFonts w:ascii="微软雅黑" w:hAnsi="微软雅黑" w:eastAsia="微软雅黑" w:cs="微软雅黑"/>
          <w:spacing w:val="-2"/>
          <w:sz w:val="24"/>
          <w:szCs w:val="24"/>
        </w:rPr>
        <w:t>承</w:t>
      </w:r>
      <w:r>
        <w:rPr>
          <w:rFonts w:ascii="微软雅黑" w:hAnsi="微软雅黑" w:eastAsia="微软雅黑" w:cs="微软雅黑"/>
          <w:spacing w:val="-3"/>
          <w:sz w:val="24"/>
          <w:szCs w:val="24"/>
        </w:rPr>
        <w:t>接企业为</w:t>
      </w:r>
      <w:r>
        <w:rPr>
          <w:rFonts w:ascii="微软雅黑" w:hAnsi="微软雅黑" w:eastAsia="微软雅黑" w:cs="微软雅黑"/>
          <w:spacing w:val="-3"/>
          <w:sz w:val="24"/>
          <w:szCs w:val="24"/>
          <w:u w:val="single" w:color="auto"/>
        </w:rPr>
        <w:t>（企业名称</w:t>
      </w:r>
      <w:r>
        <w:rPr>
          <w:rFonts w:ascii="微软雅黑" w:hAnsi="微软雅黑" w:eastAsia="微软雅黑" w:cs="微软雅黑"/>
          <w:spacing w:val="-22"/>
          <w:sz w:val="24"/>
          <w:szCs w:val="24"/>
          <w:u w:val="single" w:color="auto"/>
        </w:rPr>
        <w:t>）</w:t>
      </w:r>
      <w:r>
        <w:rPr>
          <w:rFonts w:ascii="微软雅黑" w:hAnsi="微软雅黑" w:eastAsia="微软雅黑" w:cs="微软雅黑"/>
          <w:spacing w:val="-22"/>
          <w:sz w:val="24"/>
          <w:szCs w:val="24"/>
        </w:rPr>
        <w:t>，</w:t>
      </w:r>
      <w:r>
        <w:rPr>
          <w:rFonts w:ascii="微软雅黑" w:hAnsi="微软雅黑" w:eastAsia="微软雅黑" w:cs="微软雅黑"/>
          <w:sz w:val="24"/>
          <w:szCs w:val="24"/>
        </w:rPr>
        <w:t xml:space="preserve"> </w:t>
      </w:r>
      <w:r>
        <w:rPr>
          <w:rFonts w:ascii="微软雅黑" w:hAnsi="微软雅黑" w:eastAsia="微软雅黑" w:cs="微软雅黑"/>
          <w:spacing w:val="-2"/>
          <w:sz w:val="24"/>
          <w:szCs w:val="24"/>
        </w:rPr>
        <w:t>从业人员</w:t>
      </w:r>
      <w:r>
        <w:rPr>
          <w:rFonts w:ascii="微软雅黑" w:hAnsi="微软雅黑" w:eastAsia="微软雅黑" w:cs="微软雅黑"/>
          <w:spacing w:val="-45"/>
          <w:sz w:val="24"/>
          <w:szCs w:val="24"/>
        </w:rPr>
        <w:t xml:space="preserve"> </w:t>
      </w:r>
      <w:r>
        <w:rPr>
          <w:rFonts w:ascii="微软雅黑" w:hAnsi="微软雅黑" w:eastAsia="微软雅黑" w:cs="微软雅黑"/>
          <w:spacing w:val="5"/>
          <w:sz w:val="24"/>
          <w:szCs w:val="24"/>
          <w:u w:val="single" w:color="auto"/>
        </w:rPr>
        <w:t xml:space="preserve">          </w:t>
      </w:r>
      <w:r>
        <w:rPr>
          <w:rFonts w:ascii="微软雅黑" w:hAnsi="微软雅黑" w:eastAsia="微软雅黑" w:cs="微软雅黑"/>
          <w:spacing w:val="-67"/>
          <w:sz w:val="24"/>
          <w:szCs w:val="24"/>
        </w:rPr>
        <w:t xml:space="preserve"> </w:t>
      </w:r>
      <w:r>
        <w:rPr>
          <w:rFonts w:ascii="微软雅黑" w:hAnsi="微软雅黑" w:eastAsia="微软雅黑" w:cs="微软雅黑"/>
          <w:spacing w:val="-2"/>
          <w:sz w:val="24"/>
          <w:szCs w:val="24"/>
        </w:rPr>
        <w:t>人</w:t>
      </w:r>
      <w:r>
        <w:rPr>
          <w:rFonts w:ascii="微软雅黑" w:hAnsi="微软雅黑" w:eastAsia="微软雅黑" w:cs="微软雅黑"/>
          <w:spacing w:val="-21"/>
          <w:sz w:val="24"/>
          <w:szCs w:val="24"/>
        </w:rPr>
        <w:t xml:space="preserve"> </w:t>
      </w:r>
      <w:r>
        <w:rPr>
          <w:rFonts w:ascii="微软雅黑" w:hAnsi="微软雅黑" w:eastAsia="微软雅黑" w:cs="微软雅黑"/>
          <w:spacing w:val="-2"/>
          <w:sz w:val="24"/>
          <w:szCs w:val="24"/>
        </w:rPr>
        <w:t>，营业收入为</w:t>
      </w:r>
      <w:r>
        <w:rPr>
          <w:rFonts w:ascii="微软雅黑" w:hAnsi="微软雅黑" w:eastAsia="微软雅黑" w:cs="微软雅黑"/>
          <w:spacing w:val="-57"/>
          <w:sz w:val="24"/>
          <w:szCs w:val="24"/>
        </w:rPr>
        <w:t xml:space="preserve"> </w:t>
      </w:r>
      <w:r>
        <w:rPr>
          <w:rFonts w:ascii="微软雅黑" w:hAnsi="微软雅黑" w:eastAsia="微软雅黑" w:cs="微软雅黑"/>
          <w:spacing w:val="5"/>
          <w:sz w:val="24"/>
          <w:szCs w:val="24"/>
          <w:u w:val="single" w:color="auto"/>
        </w:rPr>
        <w:t xml:space="preserve">          </w:t>
      </w:r>
      <w:r>
        <w:rPr>
          <w:rFonts w:ascii="微软雅黑" w:hAnsi="微软雅黑" w:eastAsia="微软雅黑" w:cs="微软雅黑"/>
          <w:spacing w:val="-66"/>
          <w:sz w:val="24"/>
          <w:szCs w:val="24"/>
        </w:rPr>
        <w:t xml:space="preserve"> </w:t>
      </w:r>
      <w:r>
        <w:rPr>
          <w:rFonts w:ascii="微软雅黑" w:hAnsi="微软雅黑" w:eastAsia="微软雅黑" w:cs="微软雅黑"/>
          <w:spacing w:val="-2"/>
          <w:sz w:val="24"/>
          <w:szCs w:val="24"/>
        </w:rPr>
        <w:t>万元，资产总额为</w:t>
      </w:r>
      <w:r>
        <w:rPr>
          <w:rFonts w:ascii="微软雅黑" w:hAnsi="微软雅黑" w:eastAsia="微软雅黑" w:cs="微软雅黑"/>
          <w:spacing w:val="-2"/>
          <w:sz w:val="24"/>
          <w:szCs w:val="24"/>
          <w:u w:val="single" w:color="auto"/>
        </w:rPr>
        <w:t xml:space="preserve">          </w:t>
      </w:r>
      <w:r>
        <w:rPr>
          <w:rFonts w:ascii="微软雅黑" w:hAnsi="微软雅黑" w:eastAsia="微软雅黑" w:cs="微软雅黑"/>
          <w:spacing w:val="-67"/>
          <w:sz w:val="24"/>
          <w:szCs w:val="24"/>
        </w:rPr>
        <w:t xml:space="preserve"> </w:t>
      </w:r>
      <w:r>
        <w:rPr>
          <w:rFonts w:ascii="微软雅黑" w:hAnsi="微软雅黑" w:eastAsia="微软雅黑" w:cs="微软雅黑"/>
          <w:spacing w:val="-2"/>
          <w:sz w:val="24"/>
          <w:szCs w:val="24"/>
        </w:rPr>
        <w:t>万元，属于</w:t>
      </w:r>
      <w:r>
        <w:rPr>
          <w:rFonts w:ascii="微软雅黑" w:hAnsi="微软雅黑" w:eastAsia="微软雅黑" w:cs="微软雅黑"/>
          <w:spacing w:val="-2"/>
          <w:sz w:val="24"/>
          <w:szCs w:val="24"/>
          <w:u w:val="single" w:color="auto"/>
        </w:rPr>
        <w:t>（中型企业、小</w:t>
      </w:r>
      <w:r>
        <w:rPr>
          <w:rFonts w:ascii="微软雅黑" w:hAnsi="微软雅黑" w:eastAsia="微软雅黑" w:cs="微软雅黑"/>
          <w:sz w:val="24"/>
          <w:szCs w:val="24"/>
        </w:rPr>
        <w:t xml:space="preserve">  </w:t>
      </w:r>
      <w:r>
        <w:rPr>
          <w:rFonts w:ascii="微软雅黑" w:hAnsi="微软雅黑" w:eastAsia="微软雅黑" w:cs="微软雅黑"/>
          <w:spacing w:val="-4"/>
          <w:sz w:val="24"/>
          <w:szCs w:val="24"/>
          <w:u w:val="single" w:color="auto"/>
        </w:rPr>
        <w:t>型企业、微型企业</w:t>
      </w:r>
      <w:r>
        <w:rPr>
          <w:rFonts w:ascii="微软雅黑" w:hAnsi="微软雅黑" w:eastAsia="微软雅黑" w:cs="微软雅黑"/>
          <w:spacing w:val="1"/>
          <w:sz w:val="24"/>
          <w:szCs w:val="24"/>
          <w:u w:val="single" w:color="auto"/>
        </w:rPr>
        <w:t>）</w:t>
      </w:r>
      <w:r>
        <w:rPr>
          <w:rFonts w:ascii="微软雅黑" w:hAnsi="微软雅黑" w:eastAsia="微软雅黑" w:cs="微软雅黑"/>
          <w:spacing w:val="1"/>
          <w:sz w:val="24"/>
          <w:szCs w:val="24"/>
        </w:rPr>
        <w:t>；</w:t>
      </w:r>
    </w:p>
    <w:p w14:paraId="7638285E">
      <w:pPr>
        <w:spacing w:before="102" w:line="260" w:lineRule="auto"/>
        <w:ind w:firstLine="487"/>
        <w:rPr>
          <w:rFonts w:ascii="微软雅黑" w:hAnsi="微软雅黑" w:eastAsia="微软雅黑" w:cs="微软雅黑"/>
          <w:sz w:val="24"/>
          <w:szCs w:val="24"/>
        </w:rPr>
      </w:pPr>
      <w:r>
        <w:rPr>
          <w:rFonts w:ascii="微软雅黑" w:hAnsi="微软雅黑" w:eastAsia="微软雅黑" w:cs="微软雅黑"/>
          <w:spacing w:val="-2"/>
          <w:sz w:val="24"/>
          <w:szCs w:val="24"/>
        </w:rPr>
        <w:t>2.</w:t>
      </w:r>
      <w:r>
        <w:rPr>
          <w:rFonts w:ascii="微软雅黑" w:hAnsi="微软雅黑" w:eastAsia="微软雅黑" w:cs="微软雅黑"/>
          <w:spacing w:val="61"/>
          <w:w w:val="101"/>
          <w:sz w:val="24"/>
          <w:szCs w:val="24"/>
        </w:rPr>
        <w:t xml:space="preserve"> </w:t>
      </w:r>
      <w:r>
        <w:rPr>
          <w:rFonts w:ascii="微软雅黑" w:hAnsi="微软雅黑" w:eastAsia="微软雅黑" w:cs="微软雅黑"/>
          <w:spacing w:val="-2"/>
          <w:sz w:val="24"/>
          <w:szCs w:val="24"/>
          <w:u w:val="single" w:color="auto"/>
        </w:rPr>
        <w:t>（标的名称</w:t>
      </w:r>
      <w:r>
        <w:rPr>
          <w:rFonts w:ascii="微软雅黑" w:hAnsi="微软雅黑" w:eastAsia="微软雅黑" w:cs="微软雅黑"/>
          <w:spacing w:val="-22"/>
          <w:sz w:val="24"/>
          <w:szCs w:val="24"/>
          <w:u w:val="single" w:color="auto"/>
        </w:rPr>
        <w:t>）</w:t>
      </w:r>
      <w:r>
        <w:rPr>
          <w:rFonts w:ascii="微软雅黑" w:hAnsi="微软雅黑" w:eastAsia="微软雅黑" w:cs="微软雅黑"/>
          <w:spacing w:val="49"/>
          <w:sz w:val="24"/>
          <w:szCs w:val="24"/>
        </w:rPr>
        <w:t xml:space="preserve"> </w:t>
      </w:r>
      <w:r>
        <w:rPr>
          <w:rFonts w:ascii="微软雅黑" w:hAnsi="微软雅黑" w:eastAsia="微软雅黑" w:cs="微软雅黑"/>
          <w:spacing w:val="-22"/>
          <w:sz w:val="24"/>
          <w:szCs w:val="24"/>
        </w:rPr>
        <w:t>，</w:t>
      </w:r>
      <w:r>
        <w:rPr>
          <w:rFonts w:ascii="微软雅黑" w:hAnsi="微软雅黑" w:eastAsia="微软雅黑" w:cs="微软雅黑"/>
          <w:spacing w:val="-2"/>
          <w:sz w:val="24"/>
          <w:szCs w:val="24"/>
        </w:rPr>
        <w:t>属于</w:t>
      </w:r>
      <w:r>
        <w:rPr>
          <w:rFonts w:ascii="微软雅黑" w:hAnsi="微软雅黑" w:eastAsia="微软雅黑" w:cs="微软雅黑"/>
          <w:spacing w:val="-2"/>
          <w:sz w:val="24"/>
          <w:szCs w:val="24"/>
          <w:u w:val="single" w:color="auto"/>
        </w:rPr>
        <w:t>（采购文件中明确的所属行业）行业</w:t>
      </w:r>
      <w:r>
        <w:rPr>
          <w:rFonts w:ascii="微软雅黑" w:hAnsi="微软雅黑" w:eastAsia="微软雅黑" w:cs="微软雅黑"/>
          <w:spacing w:val="-2"/>
          <w:sz w:val="24"/>
          <w:szCs w:val="24"/>
        </w:rPr>
        <w:t>；</w:t>
      </w:r>
      <w:r>
        <w:rPr>
          <w:rFonts w:ascii="微软雅黑" w:hAnsi="微软雅黑" w:eastAsia="微软雅黑" w:cs="微软雅黑"/>
          <w:spacing w:val="-47"/>
          <w:sz w:val="24"/>
          <w:szCs w:val="24"/>
        </w:rPr>
        <w:t xml:space="preserve"> </w:t>
      </w:r>
      <w:r>
        <w:rPr>
          <w:rFonts w:ascii="微软雅黑" w:hAnsi="微软雅黑" w:eastAsia="微软雅黑" w:cs="微软雅黑"/>
          <w:spacing w:val="-2"/>
          <w:sz w:val="24"/>
          <w:szCs w:val="24"/>
        </w:rPr>
        <w:t>承接企业为</w:t>
      </w:r>
      <w:r>
        <w:rPr>
          <w:rFonts w:ascii="微软雅黑" w:hAnsi="微软雅黑" w:eastAsia="微软雅黑" w:cs="微软雅黑"/>
          <w:spacing w:val="-2"/>
          <w:sz w:val="24"/>
          <w:szCs w:val="24"/>
          <w:u w:val="single" w:color="auto"/>
        </w:rPr>
        <w:t>（</w:t>
      </w:r>
      <w:r>
        <w:rPr>
          <w:rFonts w:ascii="微软雅黑" w:hAnsi="微软雅黑" w:eastAsia="微软雅黑" w:cs="微软雅黑"/>
          <w:spacing w:val="-3"/>
          <w:sz w:val="24"/>
          <w:szCs w:val="24"/>
          <w:u w:val="single" w:color="auto"/>
        </w:rPr>
        <w:t>企业名称</w:t>
      </w:r>
      <w:r>
        <w:rPr>
          <w:rFonts w:ascii="微软雅黑" w:hAnsi="微软雅黑" w:eastAsia="微软雅黑" w:cs="微软雅黑"/>
          <w:spacing w:val="-22"/>
          <w:sz w:val="24"/>
          <w:szCs w:val="24"/>
          <w:u w:val="single" w:color="auto"/>
        </w:rPr>
        <w:t>）</w:t>
      </w:r>
      <w:r>
        <w:rPr>
          <w:rFonts w:ascii="微软雅黑" w:hAnsi="微软雅黑" w:eastAsia="微软雅黑" w:cs="微软雅黑"/>
          <w:spacing w:val="-22"/>
          <w:sz w:val="24"/>
          <w:szCs w:val="24"/>
        </w:rPr>
        <w:t>，</w:t>
      </w:r>
      <w:r>
        <w:rPr>
          <w:rFonts w:ascii="微软雅黑" w:hAnsi="微软雅黑" w:eastAsia="微软雅黑" w:cs="微软雅黑"/>
          <w:sz w:val="24"/>
          <w:szCs w:val="24"/>
        </w:rPr>
        <w:t xml:space="preserve"> </w:t>
      </w:r>
      <w:r>
        <w:rPr>
          <w:rFonts w:ascii="微软雅黑" w:hAnsi="微软雅黑" w:eastAsia="微软雅黑" w:cs="微软雅黑"/>
          <w:spacing w:val="-2"/>
          <w:sz w:val="24"/>
          <w:szCs w:val="24"/>
        </w:rPr>
        <w:t>从业人员</w:t>
      </w:r>
      <w:r>
        <w:rPr>
          <w:rFonts w:ascii="微软雅黑" w:hAnsi="微软雅黑" w:eastAsia="微软雅黑" w:cs="微软雅黑"/>
          <w:spacing w:val="-45"/>
          <w:sz w:val="24"/>
          <w:szCs w:val="24"/>
        </w:rPr>
        <w:t xml:space="preserve"> </w:t>
      </w:r>
      <w:r>
        <w:rPr>
          <w:rFonts w:ascii="微软雅黑" w:hAnsi="微软雅黑" w:eastAsia="微软雅黑" w:cs="微软雅黑"/>
          <w:spacing w:val="5"/>
          <w:sz w:val="24"/>
          <w:szCs w:val="24"/>
          <w:u w:val="single" w:color="auto"/>
        </w:rPr>
        <w:t xml:space="preserve">          </w:t>
      </w:r>
      <w:r>
        <w:rPr>
          <w:rFonts w:ascii="微软雅黑" w:hAnsi="微软雅黑" w:eastAsia="微软雅黑" w:cs="微软雅黑"/>
          <w:spacing w:val="-67"/>
          <w:sz w:val="24"/>
          <w:szCs w:val="24"/>
        </w:rPr>
        <w:t xml:space="preserve"> </w:t>
      </w:r>
      <w:r>
        <w:rPr>
          <w:rFonts w:ascii="微软雅黑" w:hAnsi="微软雅黑" w:eastAsia="微软雅黑" w:cs="微软雅黑"/>
          <w:spacing w:val="-2"/>
          <w:sz w:val="24"/>
          <w:szCs w:val="24"/>
        </w:rPr>
        <w:t>人</w:t>
      </w:r>
      <w:r>
        <w:rPr>
          <w:rFonts w:ascii="微软雅黑" w:hAnsi="微软雅黑" w:eastAsia="微软雅黑" w:cs="微软雅黑"/>
          <w:spacing w:val="-21"/>
          <w:sz w:val="24"/>
          <w:szCs w:val="24"/>
        </w:rPr>
        <w:t xml:space="preserve"> </w:t>
      </w:r>
      <w:r>
        <w:rPr>
          <w:rFonts w:ascii="微软雅黑" w:hAnsi="微软雅黑" w:eastAsia="微软雅黑" w:cs="微软雅黑"/>
          <w:spacing w:val="-2"/>
          <w:sz w:val="24"/>
          <w:szCs w:val="24"/>
        </w:rPr>
        <w:t>，营业收入为</w:t>
      </w:r>
      <w:r>
        <w:rPr>
          <w:rFonts w:ascii="微软雅黑" w:hAnsi="微软雅黑" w:eastAsia="微软雅黑" w:cs="微软雅黑"/>
          <w:spacing w:val="-57"/>
          <w:sz w:val="24"/>
          <w:szCs w:val="24"/>
        </w:rPr>
        <w:t xml:space="preserve"> </w:t>
      </w:r>
      <w:r>
        <w:rPr>
          <w:rFonts w:ascii="微软雅黑" w:hAnsi="微软雅黑" w:eastAsia="微软雅黑" w:cs="微软雅黑"/>
          <w:spacing w:val="5"/>
          <w:sz w:val="24"/>
          <w:szCs w:val="24"/>
          <w:u w:val="single" w:color="auto"/>
        </w:rPr>
        <w:t xml:space="preserve">          </w:t>
      </w:r>
      <w:r>
        <w:rPr>
          <w:rFonts w:ascii="微软雅黑" w:hAnsi="微软雅黑" w:eastAsia="微软雅黑" w:cs="微软雅黑"/>
          <w:spacing w:val="-66"/>
          <w:sz w:val="24"/>
          <w:szCs w:val="24"/>
        </w:rPr>
        <w:t xml:space="preserve"> </w:t>
      </w:r>
      <w:r>
        <w:rPr>
          <w:rFonts w:ascii="微软雅黑" w:hAnsi="微软雅黑" w:eastAsia="微软雅黑" w:cs="微软雅黑"/>
          <w:spacing w:val="-2"/>
          <w:sz w:val="24"/>
          <w:szCs w:val="24"/>
        </w:rPr>
        <w:t>万元，资产总额为</w:t>
      </w:r>
      <w:r>
        <w:rPr>
          <w:rFonts w:ascii="微软雅黑" w:hAnsi="微软雅黑" w:eastAsia="微软雅黑" w:cs="微软雅黑"/>
          <w:spacing w:val="-2"/>
          <w:sz w:val="24"/>
          <w:szCs w:val="24"/>
          <w:u w:val="single" w:color="auto"/>
        </w:rPr>
        <w:t xml:space="preserve">          </w:t>
      </w:r>
      <w:r>
        <w:rPr>
          <w:rFonts w:ascii="微软雅黑" w:hAnsi="微软雅黑" w:eastAsia="微软雅黑" w:cs="微软雅黑"/>
          <w:spacing w:val="-67"/>
          <w:sz w:val="24"/>
          <w:szCs w:val="24"/>
        </w:rPr>
        <w:t xml:space="preserve"> </w:t>
      </w:r>
      <w:r>
        <w:rPr>
          <w:rFonts w:ascii="微软雅黑" w:hAnsi="微软雅黑" w:eastAsia="微软雅黑" w:cs="微软雅黑"/>
          <w:spacing w:val="-2"/>
          <w:sz w:val="24"/>
          <w:szCs w:val="24"/>
        </w:rPr>
        <w:t>万元，属于</w:t>
      </w:r>
      <w:r>
        <w:rPr>
          <w:rFonts w:ascii="微软雅黑" w:hAnsi="微软雅黑" w:eastAsia="微软雅黑" w:cs="微软雅黑"/>
          <w:spacing w:val="-2"/>
          <w:sz w:val="24"/>
          <w:szCs w:val="24"/>
          <w:u w:val="single" w:color="auto"/>
        </w:rPr>
        <w:t>（中型企业、小</w:t>
      </w:r>
      <w:r>
        <w:rPr>
          <w:rFonts w:ascii="微软雅黑" w:hAnsi="微软雅黑" w:eastAsia="微软雅黑" w:cs="微软雅黑"/>
          <w:sz w:val="24"/>
          <w:szCs w:val="24"/>
        </w:rPr>
        <w:t xml:space="preserve">    </w:t>
      </w:r>
      <w:r>
        <w:rPr>
          <w:rFonts w:ascii="微软雅黑" w:hAnsi="微软雅黑" w:eastAsia="微软雅黑" w:cs="微软雅黑"/>
          <w:spacing w:val="-4"/>
          <w:sz w:val="24"/>
          <w:szCs w:val="24"/>
          <w:u w:val="single" w:color="auto"/>
        </w:rPr>
        <w:t>型企业、微型企业</w:t>
      </w:r>
      <w:r>
        <w:rPr>
          <w:rFonts w:ascii="微软雅黑" w:hAnsi="微软雅黑" w:eastAsia="微软雅黑" w:cs="微软雅黑"/>
          <w:spacing w:val="1"/>
          <w:sz w:val="24"/>
          <w:szCs w:val="24"/>
          <w:u w:val="single" w:color="auto"/>
        </w:rPr>
        <w:t>）</w:t>
      </w:r>
      <w:r>
        <w:rPr>
          <w:rFonts w:ascii="微软雅黑" w:hAnsi="微软雅黑" w:eastAsia="微软雅黑" w:cs="微软雅黑"/>
          <w:spacing w:val="1"/>
          <w:sz w:val="24"/>
          <w:szCs w:val="24"/>
        </w:rPr>
        <w:t>；</w:t>
      </w:r>
    </w:p>
    <w:p w14:paraId="342F8E3F">
      <w:pPr>
        <w:spacing w:before="322" w:line="137" w:lineRule="exact"/>
        <w:ind w:left="491"/>
        <w:rPr>
          <w:rFonts w:ascii="微软雅黑" w:hAnsi="微软雅黑" w:eastAsia="微软雅黑" w:cs="微软雅黑"/>
          <w:sz w:val="24"/>
          <w:szCs w:val="24"/>
        </w:rPr>
      </w:pPr>
      <w:r>
        <w:rPr>
          <w:rFonts w:ascii="微软雅黑" w:hAnsi="微软雅黑" w:eastAsia="微软雅黑" w:cs="微软雅黑"/>
          <w:position w:val="-3"/>
          <w:sz w:val="24"/>
          <w:szCs w:val="24"/>
        </w:rPr>
        <w:t>……</w:t>
      </w:r>
    </w:p>
    <w:p w14:paraId="610DD878">
      <w:pPr>
        <w:spacing w:before="165" w:line="280" w:lineRule="auto"/>
        <w:ind w:left="3" w:right="187" w:firstLine="482"/>
        <w:rPr>
          <w:rFonts w:ascii="微软雅黑" w:hAnsi="微软雅黑" w:eastAsia="微软雅黑" w:cs="微软雅黑"/>
          <w:sz w:val="24"/>
          <w:szCs w:val="24"/>
        </w:rPr>
      </w:pPr>
      <w:r>
        <w:rPr>
          <w:rFonts w:ascii="微软雅黑" w:hAnsi="微软雅黑" w:eastAsia="微软雅黑" w:cs="微软雅黑"/>
          <w:spacing w:val="-3"/>
          <w:sz w:val="24"/>
          <w:szCs w:val="24"/>
        </w:rPr>
        <w:t>以上企业，不属于大企业的分支机构，不存在控股股东为大企业的情形，也不存在与大企</w:t>
      </w:r>
      <w:r>
        <w:rPr>
          <w:rFonts w:ascii="微软雅黑" w:hAnsi="微软雅黑" w:eastAsia="微软雅黑" w:cs="微软雅黑"/>
          <w:spacing w:val="3"/>
          <w:sz w:val="24"/>
          <w:szCs w:val="24"/>
        </w:rPr>
        <w:t xml:space="preserve"> </w:t>
      </w:r>
      <w:r>
        <w:rPr>
          <w:rFonts w:ascii="微软雅黑" w:hAnsi="微软雅黑" w:eastAsia="微软雅黑" w:cs="微软雅黑"/>
          <w:spacing w:val="-3"/>
          <w:sz w:val="24"/>
          <w:szCs w:val="24"/>
        </w:rPr>
        <w:t>业的负责人为同一人的情形。</w:t>
      </w:r>
    </w:p>
    <w:p w14:paraId="7EE0A46A">
      <w:pPr>
        <w:spacing w:before="1" w:line="183" w:lineRule="auto"/>
        <w:ind w:left="478"/>
        <w:rPr>
          <w:rFonts w:ascii="微软雅黑" w:hAnsi="微软雅黑" w:eastAsia="微软雅黑" w:cs="微软雅黑"/>
          <w:sz w:val="24"/>
          <w:szCs w:val="24"/>
        </w:rPr>
      </w:pPr>
      <w:r>
        <w:rPr>
          <w:rFonts w:ascii="微软雅黑" w:hAnsi="微软雅黑" w:eastAsia="微软雅黑" w:cs="微软雅黑"/>
          <w:spacing w:val="-4"/>
          <w:sz w:val="24"/>
          <w:szCs w:val="24"/>
        </w:rPr>
        <w:t>本企业对上述声明内容的真实性负责。如有虚假</w:t>
      </w:r>
      <w:r>
        <w:rPr>
          <w:rFonts w:ascii="微软雅黑" w:hAnsi="微软雅黑" w:eastAsia="微软雅黑" w:cs="微软雅黑"/>
          <w:spacing w:val="-20"/>
          <w:sz w:val="24"/>
          <w:szCs w:val="24"/>
        </w:rPr>
        <w:t xml:space="preserve"> </w:t>
      </w:r>
      <w:r>
        <w:rPr>
          <w:rFonts w:ascii="微软雅黑" w:hAnsi="微软雅黑" w:eastAsia="微软雅黑" w:cs="微软雅黑"/>
          <w:spacing w:val="-4"/>
          <w:sz w:val="24"/>
          <w:szCs w:val="24"/>
        </w:rPr>
        <w:t>，将依法承担相应责任。</w:t>
      </w:r>
    </w:p>
    <w:p w14:paraId="128A5506">
      <w:pPr>
        <w:pStyle w:val="7"/>
        <w:spacing w:line="243" w:lineRule="auto"/>
      </w:pPr>
    </w:p>
    <w:p w14:paraId="099F9EFB">
      <w:pPr>
        <w:pStyle w:val="7"/>
        <w:spacing w:line="243" w:lineRule="auto"/>
      </w:pPr>
    </w:p>
    <w:p w14:paraId="563E6308">
      <w:pPr>
        <w:pStyle w:val="7"/>
        <w:spacing w:line="243" w:lineRule="auto"/>
      </w:pPr>
    </w:p>
    <w:p w14:paraId="6C80BF5F">
      <w:pPr>
        <w:pStyle w:val="7"/>
        <w:spacing w:line="243" w:lineRule="auto"/>
      </w:pPr>
    </w:p>
    <w:p w14:paraId="69AADF70">
      <w:pPr>
        <w:spacing w:before="103" w:line="221" w:lineRule="auto"/>
        <w:ind w:left="6611"/>
        <w:rPr>
          <w:rFonts w:ascii="微软雅黑" w:hAnsi="微软雅黑" w:eastAsia="微软雅黑" w:cs="微软雅黑"/>
          <w:sz w:val="24"/>
          <w:szCs w:val="24"/>
        </w:rPr>
      </w:pPr>
      <w:r>
        <w:rPr>
          <w:rFonts w:ascii="微软雅黑" w:hAnsi="微软雅黑" w:eastAsia="微软雅黑" w:cs="微软雅黑"/>
          <w:spacing w:val="-4"/>
          <w:sz w:val="24"/>
          <w:szCs w:val="24"/>
        </w:rPr>
        <w:t>企业名称（盖章</w:t>
      </w:r>
      <w:r>
        <w:rPr>
          <w:rFonts w:ascii="微软雅黑" w:hAnsi="微软雅黑" w:eastAsia="微软雅黑" w:cs="微软雅黑"/>
          <w:sz w:val="24"/>
          <w:szCs w:val="24"/>
        </w:rPr>
        <w:t>）：</w:t>
      </w:r>
    </w:p>
    <w:p w14:paraId="645EA556">
      <w:pPr>
        <w:spacing w:before="167" w:line="180" w:lineRule="auto"/>
        <w:ind w:left="5913"/>
        <w:rPr>
          <w:rFonts w:ascii="微软雅黑" w:hAnsi="微软雅黑" w:eastAsia="微软雅黑" w:cs="微软雅黑"/>
          <w:sz w:val="24"/>
          <w:szCs w:val="24"/>
        </w:rPr>
      </w:pPr>
      <w:r>
        <w:rPr>
          <w:rFonts w:ascii="微软雅黑" w:hAnsi="微软雅黑" w:eastAsia="微软雅黑" w:cs="微软雅黑"/>
          <w:spacing w:val="-17"/>
          <w:sz w:val="24"/>
          <w:szCs w:val="24"/>
        </w:rPr>
        <w:t>日期：</w:t>
      </w:r>
    </w:p>
    <w:p w14:paraId="0D7ED3D2">
      <w:pPr>
        <w:pStyle w:val="7"/>
        <w:spacing w:line="261" w:lineRule="auto"/>
      </w:pPr>
    </w:p>
    <w:p w14:paraId="439CFE72">
      <w:pPr>
        <w:pStyle w:val="7"/>
        <w:spacing w:line="261" w:lineRule="auto"/>
      </w:pPr>
    </w:p>
    <w:p w14:paraId="7D9BAF8C">
      <w:pPr>
        <w:pStyle w:val="7"/>
        <w:spacing w:line="261" w:lineRule="auto"/>
      </w:pPr>
    </w:p>
    <w:p w14:paraId="68AC20BE">
      <w:pPr>
        <w:pStyle w:val="7"/>
        <w:spacing w:line="262" w:lineRule="auto"/>
      </w:pPr>
    </w:p>
    <w:p w14:paraId="784B5B5E">
      <w:pPr>
        <w:spacing w:before="90" w:line="184" w:lineRule="auto"/>
        <w:ind w:left="1"/>
        <w:rPr>
          <w:rFonts w:ascii="微软雅黑" w:hAnsi="微软雅黑" w:eastAsia="微软雅黑" w:cs="微软雅黑"/>
          <w:sz w:val="21"/>
          <w:szCs w:val="21"/>
        </w:rPr>
      </w:pPr>
      <w:r>
        <w:rPr>
          <w:rFonts w:ascii="微软雅黑" w:hAnsi="微软雅黑" w:eastAsia="微软雅黑" w:cs="微软雅黑"/>
          <w:b/>
          <w:bCs/>
          <w:spacing w:val="-1"/>
          <w:sz w:val="21"/>
          <w:szCs w:val="21"/>
        </w:rPr>
        <w:t>注：1、须附从业人员、营业收入、资产总额填报上一年度数据，无上一年度数据的新成立企业可不填报。</w:t>
      </w:r>
    </w:p>
    <w:p w14:paraId="0F23B4D8">
      <w:pPr>
        <w:spacing w:before="42" w:line="226" w:lineRule="auto"/>
        <w:ind w:left="5" w:right="177" w:firstLine="319"/>
        <w:rPr>
          <w:rFonts w:ascii="微软雅黑" w:hAnsi="微软雅黑" w:eastAsia="微软雅黑" w:cs="微软雅黑"/>
          <w:sz w:val="21"/>
          <w:szCs w:val="21"/>
        </w:rPr>
      </w:pPr>
      <w:r>
        <w:rPr>
          <w:rFonts w:ascii="微软雅黑" w:hAnsi="微软雅黑" w:eastAsia="微软雅黑" w:cs="微软雅黑"/>
          <w:b/>
          <w:bCs/>
          <w:spacing w:val="1"/>
          <w:sz w:val="21"/>
          <w:szCs w:val="21"/>
        </w:rPr>
        <w:t>2、潜在投标企业属于中小微企业的，应在投标文件中提供‘’中小企业声明函“如果未提供或提供的</w:t>
      </w:r>
      <w:r>
        <w:rPr>
          <w:rFonts w:ascii="微软雅黑" w:hAnsi="微软雅黑" w:eastAsia="微软雅黑" w:cs="微软雅黑"/>
          <w:b/>
          <w:bCs/>
          <w:spacing w:val="2"/>
          <w:sz w:val="21"/>
          <w:szCs w:val="21"/>
        </w:rPr>
        <w:t xml:space="preserve"> </w:t>
      </w:r>
      <w:r>
        <w:rPr>
          <w:rFonts w:ascii="微软雅黑" w:hAnsi="微软雅黑" w:eastAsia="微软雅黑" w:cs="微软雅黑"/>
          <w:b/>
          <w:bCs/>
          <w:spacing w:val="-1"/>
          <w:sz w:val="21"/>
          <w:szCs w:val="21"/>
        </w:rPr>
        <w:t>“中小企业声明函”存在虚假情况的，承接商将不享受中小</w:t>
      </w:r>
      <w:r>
        <w:rPr>
          <w:rFonts w:ascii="微软雅黑" w:hAnsi="微软雅黑" w:eastAsia="微软雅黑" w:cs="微软雅黑"/>
          <w:b/>
          <w:bCs/>
          <w:spacing w:val="-2"/>
          <w:sz w:val="21"/>
          <w:szCs w:val="21"/>
        </w:rPr>
        <w:t>企业相关优惠政策。</w:t>
      </w:r>
    </w:p>
    <w:p w14:paraId="09274519">
      <w:pPr>
        <w:spacing w:before="85" w:line="183" w:lineRule="auto"/>
        <w:ind w:left="15"/>
        <w:rPr>
          <w:rFonts w:ascii="微软雅黑" w:hAnsi="微软雅黑" w:eastAsia="微软雅黑" w:cs="微软雅黑"/>
          <w:sz w:val="21"/>
          <w:szCs w:val="21"/>
        </w:rPr>
      </w:pPr>
      <w:r>
        <w:rPr>
          <w:rFonts w:ascii="微软雅黑" w:hAnsi="微软雅黑" w:eastAsia="微软雅黑" w:cs="微软雅黑"/>
          <w:b/>
          <w:bCs/>
          <w:spacing w:val="-2"/>
          <w:sz w:val="21"/>
          <w:szCs w:val="21"/>
        </w:rPr>
        <w:t>3、本项目所属行业：</w:t>
      </w:r>
      <w:r>
        <w:rPr>
          <w:rFonts w:ascii="微软雅黑" w:hAnsi="微软雅黑" w:eastAsia="微软雅黑" w:cs="微软雅黑"/>
          <w:b/>
          <w:bCs/>
          <w:spacing w:val="-2"/>
          <w:sz w:val="21"/>
          <w:szCs w:val="21"/>
          <w:u w:val="single" w:color="auto"/>
        </w:rPr>
        <w:t xml:space="preserve"> 其他未列明行业      </w:t>
      </w:r>
    </w:p>
    <w:p w14:paraId="7618E17E">
      <w:pPr>
        <w:spacing w:before="84" w:line="212" w:lineRule="auto"/>
        <w:ind w:left="2" w:right="177"/>
        <w:rPr>
          <w:rFonts w:ascii="微软雅黑" w:hAnsi="微软雅黑" w:eastAsia="微软雅黑" w:cs="微软雅黑"/>
          <w:sz w:val="21"/>
          <w:szCs w:val="21"/>
        </w:rPr>
      </w:pPr>
      <w:r>
        <w:rPr>
          <w:rFonts w:ascii="微软雅黑" w:hAnsi="微软雅黑" w:eastAsia="微软雅黑" w:cs="微软雅黑"/>
          <w:b/>
          <w:bCs/>
          <w:spacing w:val="-1"/>
          <w:sz w:val="21"/>
          <w:szCs w:val="21"/>
        </w:rPr>
        <w:t>4、联合体投标的，联合体双方均需提供“中小企业声明函”如有一方未提供的将被视为实质性不响应</w:t>
      </w:r>
      <w:r>
        <w:rPr>
          <w:rFonts w:ascii="微软雅黑" w:hAnsi="微软雅黑" w:eastAsia="微软雅黑" w:cs="微软雅黑"/>
          <w:b/>
          <w:bCs/>
          <w:spacing w:val="-2"/>
          <w:sz w:val="21"/>
          <w:szCs w:val="21"/>
        </w:rPr>
        <w:t>招标</w:t>
      </w:r>
      <w:r>
        <w:rPr>
          <w:rFonts w:ascii="微软雅黑" w:hAnsi="微软雅黑" w:eastAsia="微软雅黑" w:cs="微软雅黑"/>
          <w:b/>
          <w:bCs/>
          <w:sz w:val="21"/>
          <w:szCs w:val="21"/>
        </w:rPr>
        <w:t xml:space="preserve"> </w:t>
      </w:r>
      <w:r>
        <w:rPr>
          <w:rFonts w:ascii="微软雅黑" w:hAnsi="微软雅黑" w:eastAsia="微软雅黑" w:cs="微软雅黑"/>
          <w:b/>
          <w:bCs/>
          <w:spacing w:val="-7"/>
          <w:sz w:val="21"/>
          <w:szCs w:val="21"/>
        </w:rPr>
        <w:t>文件要求。</w:t>
      </w:r>
    </w:p>
    <w:p w14:paraId="732749D6">
      <w:pPr>
        <w:spacing w:line="212" w:lineRule="auto"/>
        <w:rPr>
          <w:rFonts w:ascii="微软雅黑" w:hAnsi="微软雅黑" w:eastAsia="微软雅黑" w:cs="微软雅黑"/>
          <w:sz w:val="21"/>
          <w:szCs w:val="21"/>
        </w:rPr>
        <w:sectPr>
          <w:footerReference r:id="rId23" w:type="default"/>
          <w:pgSz w:w="11905" w:h="16839"/>
          <w:pgMar w:top="1431" w:right="902" w:bottom="1197" w:left="1081" w:header="0" w:footer="962" w:gutter="0"/>
          <w:pgNumType w:fmt="decimal"/>
          <w:cols w:space="720" w:num="1"/>
        </w:sectPr>
      </w:pPr>
    </w:p>
    <w:p w14:paraId="71177915">
      <w:pPr>
        <w:pStyle w:val="7"/>
        <w:spacing w:line="276" w:lineRule="auto"/>
      </w:pPr>
    </w:p>
    <w:p w14:paraId="5C0ABFBA">
      <w:pPr>
        <w:pStyle w:val="7"/>
        <w:spacing w:line="276" w:lineRule="auto"/>
      </w:pPr>
    </w:p>
    <w:p w14:paraId="00343EDB">
      <w:pPr>
        <w:pStyle w:val="7"/>
        <w:spacing w:line="276" w:lineRule="auto"/>
      </w:pPr>
    </w:p>
    <w:p w14:paraId="0FE1B504">
      <w:pPr>
        <w:spacing w:before="103" w:line="184" w:lineRule="auto"/>
        <w:ind w:left="3836"/>
        <w:rPr>
          <w:rFonts w:ascii="微软雅黑" w:hAnsi="微软雅黑" w:eastAsia="微软雅黑" w:cs="微软雅黑"/>
          <w:sz w:val="24"/>
          <w:szCs w:val="24"/>
        </w:rPr>
      </w:pPr>
      <w:r>
        <w:rPr>
          <w:rFonts w:ascii="微软雅黑" w:hAnsi="微软雅黑" w:eastAsia="微软雅黑" w:cs="微软雅黑"/>
          <w:b/>
          <w:bCs/>
          <w:spacing w:val="-2"/>
          <w:sz w:val="24"/>
          <w:szCs w:val="24"/>
        </w:rPr>
        <w:t>中小微企业划分标准</w:t>
      </w:r>
    </w:p>
    <w:p w14:paraId="02CAB567">
      <w:pPr>
        <w:spacing w:before="121" w:line="184" w:lineRule="auto"/>
        <w:ind w:left="515"/>
        <w:rPr>
          <w:rFonts w:ascii="微软雅黑" w:hAnsi="微软雅黑" w:eastAsia="微软雅黑" w:cs="微软雅黑"/>
          <w:sz w:val="24"/>
          <w:szCs w:val="24"/>
        </w:rPr>
      </w:pPr>
      <w:r>
        <w:rPr>
          <w:rFonts w:ascii="微软雅黑" w:hAnsi="微软雅黑" w:eastAsia="微软雅黑" w:cs="微软雅黑"/>
          <w:sz w:val="24"/>
          <w:szCs w:val="24"/>
        </w:rPr>
        <w:t>工业和信息化部、国家统计局、发展改革委、财政部等四部门《关于印发</w:t>
      </w:r>
      <w:r>
        <w:rPr>
          <w:rFonts w:ascii="微软雅黑" w:hAnsi="微软雅黑" w:eastAsia="微软雅黑" w:cs="微软雅黑"/>
          <w:spacing w:val="-1"/>
          <w:sz w:val="24"/>
          <w:szCs w:val="24"/>
        </w:rPr>
        <w:t>中 小企业划型</w:t>
      </w:r>
    </w:p>
    <w:p w14:paraId="22864A5A">
      <w:pPr>
        <w:spacing w:before="105" w:line="168" w:lineRule="auto"/>
        <w:ind w:left="31"/>
        <w:rPr>
          <w:rFonts w:ascii="微软雅黑" w:hAnsi="微软雅黑" w:eastAsia="微软雅黑" w:cs="微软雅黑"/>
          <w:sz w:val="24"/>
          <w:szCs w:val="24"/>
        </w:rPr>
      </w:pPr>
      <w:r>
        <w:rPr>
          <w:rFonts w:ascii="微软雅黑" w:hAnsi="微软雅黑" w:eastAsia="微软雅黑" w:cs="微软雅黑"/>
          <w:spacing w:val="-1"/>
          <w:sz w:val="24"/>
          <w:szCs w:val="24"/>
        </w:rPr>
        <w:t>标准规定的通知》（工信部联企业〔2011〕300 号）</w:t>
      </w:r>
      <w:r>
        <w:rPr>
          <w:rFonts w:ascii="微软雅黑" w:hAnsi="微软雅黑" w:eastAsia="微软雅黑" w:cs="微软雅黑"/>
          <w:spacing w:val="-2"/>
          <w:sz w:val="24"/>
          <w:szCs w:val="24"/>
        </w:rPr>
        <w:t>规定中小企业划型标准如表所示：</w:t>
      </w:r>
    </w:p>
    <w:tbl>
      <w:tblPr>
        <w:tblStyle w:val="20"/>
        <w:tblW w:w="979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94"/>
        <w:gridCol w:w="848"/>
        <w:gridCol w:w="6551"/>
      </w:tblGrid>
      <w:tr w14:paraId="2DA242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394" w:type="dxa"/>
            <w:vMerge w:val="restart"/>
            <w:tcBorders>
              <w:bottom w:val="nil"/>
            </w:tcBorders>
            <w:vAlign w:val="top"/>
          </w:tcPr>
          <w:p w14:paraId="3774EDE7">
            <w:pPr>
              <w:spacing w:line="335" w:lineRule="auto"/>
              <w:rPr>
                <w:rFonts w:ascii="Arial"/>
                <w:sz w:val="21"/>
              </w:rPr>
            </w:pPr>
          </w:p>
          <w:p w14:paraId="6D621C04">
            <w:pPr>
              <w:spacing w:line="335" w:lineRule="auto"/>
              <w:rPr>
                <w:rFonts w:ascii="Arial"/>
                <w:sz w:val="21"/>
              </w:rPr>
            </w:pPr>
          </w:p>
          <w:p w14:paraId="485B9381">
            <w:pPr>
              <w:pStyle w:val="21"/>
              <w:spacing w:before="90" w:line="183" w:lineRule="auto"/>
              <w:ind w:left="351"/>
            </w:pPr>
            <w:r>
              <w:rPr>
                <w:spacing w:val="-1"/>
              </w:rPr>
              <w:t>农、林、牧、渔业</w:t>
            </w:r>
          </w:p>
        </w:tc>
        <w:tc>
          <w:tcPr>
            <w:tcW w:w="7399" w:type="dxa"/>
            <w:gridSpan w:val="2"/>
            <w:vAlign w:val="top"/>
          </w:tcPr>
          <w:p w14:paraId="58CE8591">
            <w:pPr>
              <w:pStyle w:val="21"/>
              <w:spacing w:before="76" w:line="225" w:lineRule="auto"/>
              <w:ind w:left="1552"/>
            </w:pPr>
            <w:r>
              <w:rPr>
                <w:spacing w:val="-3"/>
              </w:rPr>
              <w:t>营业收入 20000 万元以下的为中小微型企业。</w:t>
            </w:r>
          </w:p>
        </w:tc>
      </w:tr>
      <w:tr w14:paraId="2940F6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2394" w:type="dxa"/>
            <w:vMerge w:val="continue"/>
            <w:tcBorders>
              <w:top w:val="nil"/>
              <w:bottom w:val="nil"/>
            </w:tcBorders>
            <w:vAlign w:val="top"/>
          </w:tcPr>
          <w:p w14:paraId="7BFBF4F6">
            <w:pPr>
              <w:rPr>
                <w:rFonts w:ascii="Arial"/>
                <w:sz w:val="21"/>
              </w:rPr>
            </w:pPr>
          </w:p>
        </w:tc>
        <w:tc>
          <w:tcPr>
            <w:tcW w:w="848" w:type="dxa"/>
            <w:vAlign w:val="top"/>
          </w:tcPr>
          <w:p w14:paraId="5A7310B1">
            <w:pPr>
              <w:pStyle w:val="21"/>
              <w:spacing w:before="111" w:line="182" w:lineRule="auto"/>
              <w:ind w:left="223"/>
            </w:pPr>
            <w:r>
              <w:rPr>
                <w:spacing w:val="-5"/>
              </w:rPr>
              <w:t>中型</w:t>
            </w:r>
          </w:p>
        </w:tc>
        <w:tc>
          <w:tcPr>
            <w:tcW w:w="6551" w:type="dxa"/>
            <w:vAlign w:val="top"/>
          </w:tcPr>
          <w:p w14:paraId="78F1D156">
            <w:pPr>
              <w:pStyle w:val="21"/>
              <w:spacing w:before="70" w:line="226" w:lineRule="auto"/>
              <w:ind w:left="118"/>
            </w:pPr>
            <w:r>
              <w:rPr>
                <w:spacing w:val="-3"/>
              </w:rPr>
              <w:t>500 万元-20000 万元</w:t>
            </w:r>
          </w:p>
        </w:tc>
      </w:tr>
      <w:tr w14:paraId="30DB32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2394" w:type="dxa"/>
            <w:vMerge w:val="continue"/>
            <w:tcBorders>
              <w:top w:val="nil"/>
              <w:bottom w:val="nil"/>
            </w:tcBorders>
            <w:vAlign w:val="top"/>
          </w:tcPr>
          <w:p w14:paraId="0E9C62A1">
            <w:pPr>
              <w:rPr>
                <w:rFonts w:ascii="Arial"/>
                <w:sz w:val="21"/>
              </w:rPr>
            </w:pPr>
          </w:p>
        </w:tc>
        <w:tc>
          <w:tcPr>
            <w:tcW w:w="848" w:type="dxa"/>
            <w:vAlign w:val="top"/>
          </w:tcPr>
          <w:p w14:paraId="4236EE61">
            <w:pPr>
              <w:pStyle w:val="21"/>
              <w:spacing w:before="113" w:line="181" w:lineRule="auto"/>
              <w:ind w:left="210"/>
            </w:pPr>
            <w:r>
              <w:rPr>
                <w:spacing w:val="-1"/>
              </w:rPr>
              <w:t>小型</w:t>
            </w:r>
          </w:p>
        </w:tc>
        <w:tc>
          <w:tcPr>
            <w:tcW w:w="6551" w:type="dxa"/>
            <w:vAlign w:val="top"/>
          </w:tcPr>
          <w:p w14:paraId="20C6746D">
            <w:pPr>
              <w:pStyle w:val="21"/>
              <w:spacing w:before="70" w:line="226" w:lineRule="auto"/>
              <w:ind w:left="118"/>
            </w:pPr>
            <w:r>
              <w:rPr>
                <w:spacing w:val="-3"/>
              </w:rPr>
              <w:t>50 万元-500 万元</w:t>
            </w:r>
          </w:p>
        </w:tc>
      </w:tr>
      <w:tr w14:paraId="58053F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2394" w:type="dxa"/>
            <w:vMerge w:val="continue"/>
            <w:tcBorders>
              <w:top w:val="nil"/>
            </w:tcBorders>
            <w:vAlign w:val="top"/>
          </w:tcPr>
          <w:p w14:paraId="71A238B8">
            <w:pPr>
              <w:rPr>
                <w:rFonts w:ascii="Arial"/>
                <w:sz w:val="21"/>
              </w:rPr>
            </w:pPr>
          </w:p>
        </w:tc>
        <w:tc>
          <w:tcPr>
            <w:tcW w:w="848" w:type="dxa"/>
            <w:vAlign w:val="top"/>
          </w:tcPr>
          <w:p w14:paraId="0C997669">
            <w:pPr>
              <w:pStyle w:val="21"/>
              <w:spacing w:before="116" w:line="182" w:lineRule="auto"/>
              <w:ind w:left="209"/>
            </w:pPr>
            <w:r>
              <w:rPr>
                <w:spacing w:val="-1"/>
              </w:rPr>
              <w:t>微型</w:t>
            </w:r>
          </w:p>
        </w:tc>
        <w:tc>
          <w:tcPr>
            <w:tcW w:w="6551" w:type="dxa"/>
            <w:vAlign w:val="top"/>
          </w:tcPr>
          <w:p w14:paraId="66230FEC">
            <w:pPr>
              <w:pStyle w:val="21"/>
              <w:spacing w:before="75" w:line="226" w:lineRule="auto"/>
              <w:ind w:left="118"/>
            </w:pPr>
            <w:r>
              <w:rPr>
                <w:spacing w:val="-4"/>
              </w:rPr>
              <w:t>50 万元以下</w:t>
            </w:r>
          </w:p>
        </w:tc>
      </w:tr>
      <w:tr w14:paraId="0B1243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2394" w:type="dxa"/>
            <w:vMerge w:val="restart"/>
            <w:tcBorders>
              <w:bottom w:val="nil"/>
            </w:tcBorders>
            <w:vAlign w:val="top"/>
          </w:tcPr>
          <w:p w14:paraId="3FFE0F7B">
            <w:pPr>
              <w:pStyle w:val="21"/>
              <w:spacing w:before="114" w:line="180" w:lineRule="auto"/>
              <w:ind w:left="986"/>
            </w:pPr>
            <w:r>
              <w:rPr>
                <w:spacing w:val="-2"/>
              </w:rPr>
              <w:t>工业</w:t>
            </w:r>
          </w:p>
          <w:p w14:paraId="50609A10">
            <w:pPr>
              <w:pStyle w:val="21"/>
              <w:spacing w:before="145" w:line="183" w:lineRule="auto"/>
              <w:ind w:right="10"/>
              <w:jc w:val="right"/>
            </w:pPr>
            <w:r>
              <w:rPr>
                <w:spacing w:val="-12"/>
              </w:rPr>
              <w:t>（包括采矿业，制造 业，</w:t>
            </w:r>
          </w:p>
          <w:p w14:paraId="0063505A">
            <w:pPr>
              <w:pStyle w:val="21"/>
              <w:spacing w:before="145" w:line="183" w:lineRule="auto"/>
              <w:ind w:left="116"/>
            </w:pPr>
            <w:r>
              <w:rPr>
                <w:spacing w:val="-2"/>
              </w:rPr>
              <w:t>电力、热力、燃 气及水</w:t>
            </w:r>
          </w:p>
          <w:p w14:paraId="7C834296">
            <w:pPr>
              <w:pStyle w:val="21"/>
              <w:spacing w:before="145" w:line="183" w:lineRule="auto"/>
              <w:ind w:left="668"/>
            </w:pPr>
            <w:r>
              <w:rPr>
                <w:spacing w:val="-1"/>
              </w:rPr>
              <w:t>生产和供应</w:t>
            </w:r>
          </w:p>
          <w:p w14:paraId="00EDE0C7">
            <w:pPr>
              <w:pStyle w:val="21"/>
              <w:spacing w:before="149" w:line="180" w:lineRule="auto"/>
              <w:ind w:left="984"/>
            </w:pPr>
            <w:r>
              <w:rPr>
                <w:spacing w:val="-10"/>
              </w:rPr>
              <w:t>业）</w:t>
            </w:r>
          </w:p>
        </w:tc>
        <w:tc>
          <w:tcPr>
            <w:tcW w:w="7399" w:type="dxa"/>
            <w:gridSpan w:val="2"/>
            <w:vAlign w:val="top"/>
          </w:tcPr>
          <w:p w14:paraId="0F8830F6">
            <w:pPr>
              <w:pStyle w:val="21"/>
              <w:spacing w:before="81" w:line="225" w:lineRule="auto"/>
              <w:ind w:left="384"/>
            </w:pPr>
            <w:r>
              <w:rPr>
                <w:spacing w:val="-2"/>
              </w:rPr>
              <w:t>从业人员 1000 人以下或营业收入 40000</w:t>
            </w:r>
            <w:r>
              <w:rPr>
                <w:spacing w:val="48"/>
              </w:rPr>
              <w:t xml:space="preserve"> </w:t>
            </w:r>
            <w:r>
              <w:rPr>
                <w:spacing w:val="-2"/>
              </w:rPr>
              <w:t>万元以下的为中小微型企业。</w:t>
            </w:r>
          </w:p>
        </w:tc>
      </w:tr>
      <w:tr w14:paraId="46C93B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2394" w:type="dxa"/>
            <w:vMerge w:val="continue"/>
            <w:tcBorders>
              <w:top w:val="nil"/>
              <w:bottom w:val="nil"/>
            </w:tcBorders>
            <w:vAlign w:val="top"/>
          </w:tcPr>
          <w:p w14:paraId="3A87FB58">
            <w:pPr>
              <w:rPr>
                <w:rFonts w:ascii="Arial"/>
                <w:sz w:val="21"/>
              </w:rPr>
            </w:pPr>
          </w:p>
        </w:tc>
        <w:tc>
          <w:tcPr>
            <w:tcW w:w="848" w:type="dxa"/>
            <w:vAlign w:val="top"/>
          </w:tcPr>
          <w:p w14:paraId="6BE0B27D">
            <w:pPr>
              <w:pStyle w:val="21"/>
              <w:spacing w:before="116" w:line="182" w:lineRule="auto"/>
              <w:ind w:left="223"/>
            </w:pPr>
            <w:r>
              <w:rPr>
                <w:spacing w:val="-5"/>
              </w:rPr>
              <w:t>中型</w:t>
            </w:r>
          </w:p>
        </w:tc>
        <w:tc>
          <w:tcPr>
            <w:tcW w:w="6551" w:type="dxa"/>
            <w:vAlign w:val="top"/>
          </w:tcPr>
          <w:p w14:paraId="33CF959E">
            <w:pPr>
              <w:pStyle w:val="21"/>
              <w:spacing w:before="75" w:line="225" w:lineRule="auto"/>
              <w:ind w:left="102"/>
            </w:pPr>
            <w:r>
              <w:rPr>
                <w:spacing w:val="-1"/>
              </w:rPr>
              <w:t>从业人员 300</w:t>
            </w:r>
            <w:r>
              <w:rPr>
                <w:spacing w:val="36"/>
                <w:w w:val="101"/>
              </w:rPr>
              <w:t xml:space="preserve"> </w:t>
            </w:r>
            <w:r>
              <w:rPr>
                <w:spacing w:val="-1"/>
              </w:rPr>
              <w:t>人一 1000 人，且营业收入 2000</w:t>
            </w:r>
            <w:r>
              <w:rPr>
                <w:spacing w:val="37"/>
              </w:rPr>
              <w:t xml:space="preserve"> </w:t>
            </w:r>
            <w:r>
              <w:rPr>
                <w:spacing w:val="-1"/>
              </w:rPr>
              <w:t>万元一 4</w:t>
            </w:r>
            <w:r>
              <w:rPr>
                <w:spacing w:val="-2"/>
              </w:rPr>
              <w:t>0000 万元</w:t>
            </w:r>
          </w:p>
        </w:tc>
      </w:tr>
      <w:tr w14:paraId="652112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2394" w:type="dxa"/>
            <w:vMerge w:val="continue"/>
            <w:tcBorders>
              <w:top w:val="nil"/>
              <w:bottom w:val="nil"/>
            </w:tcBorders>
            <w:vAlign w:val="top"/>
          </w:tcPr>
          <w:p w14:paraId="31039FFA">
            <w:pPr>
              <w:rPr>
                <w:rFonts w:ascii="Arial"/>
                <w:sz w:val="21"/>
              </w:rPr>
            </w:pPr>
          </w:p>
        </w:tc>
        <w:tc>
          <w:tcPr>
            <w:tcW w:w="848" w:type="dxa"/>
            <w:vAlign w:val="top"/>
          </w:tcPr>
          <w:p w14:paraId="6E74C001">
            <w:pPr>
              <w:pStyle w:val="21"/>
              <w:spacing w:before="134" w:line="181" w:lineRule="auto"/>
              <w:ind w:left="210"/>
            </w:pPr>
            <w:r>
              <w:rPr>
                <w:spacing w:val="-1"/>
              </w:rPr>
              <w:t>小型</w:t>
            </w:r>
          </w:p>
        </w:tc>
        <w:tc>
          <w:tcPr>
            <w:tcW w:w="6551" w:type="dxa"/>
            <w:vAlign w:val="top"/>
          </w:tcPr>
          <w:p w14:paraId="7B4DC741">
            <w:pPr>
              <w:pStyle w:val="21"/>
              <w:spacing w:before="92" w:line="225" w:lineRule="auto"/>
              <w:ind w:left="102"/>
            </w:pPr>
            <w:r>
              <w:rPr>
                <w:spacing w:val="-2"/>
              </w:rPr>
              <w:t>从业人员 20 人一 300 人，且营业收入 300</w:t>
            </w:r>
            <w:r>
              <w:rPr>
                <w:spacing w:val="48"/>
              </w:rPr>
              <w:t xml:space="preserve"> </w:t>
            </w:r>
            <w:r>
              <w:rPr>
                <w:spacing w:val="-2"/>
              </w:rPr>
              <w:t>万元一 2000 万元</w:t>
            </w:r>
          </w:p>
        </w:tc>
      </w:tr>
      <w:tr w14:paraId="33A988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2394" w:type="dxa"/>
            <w:vMerge w:val="continue"/>
            <w:tcBorders>
              <w:top w:val="nil"/>
            </w:tcBorders>
            <w:vAlign w:val="top"/>
          </w:tcPr>
          <w:p w14:paraId="3921E0A6">
            <w:pPr>
              <w:rPr>
                <w:rFonts w:ascii="Arial"/>
                <w:sz w:val="21"/>
              </w:rPr>
            </w:pPr>
          </w:p>
        </w:tc>
        <w:tc>
          <w:tcPr>
            <w:tcW w:w="848" w:type="dxa"/>
            <w:vAlign w:val="top"/>
          </w:tcPr>
          <w:p w14:paraId="33D55BAA">
            <w:pPr>
              <w:pStyle w:val="21"/>
              <w:spacing w:before="271" w:line="182" w:lineRule="auto"/>
              <w:ind w:left="209"/>
            </w:pPr>
            <w:r>
              <w:rPr>
                <w:spacing w:val="-1"/>
              </w:rPr>
              <w:t>微型</w:t>
            </w:r>
          </w:p>
        </w:tc>
        <w:tc>
          <w:tcPr>
            <w:tcW w:w="6551" w:type="dxa"/>
            <w:vAlign w:val="top"/>
          </w:tcPr>
          <w:p w14:paraId="37463083">
            <w:pPr>
              <w:pStyle w:val="21"/>
              <w:spacing w:before="230" w:line="225" w:lineRule="auto"/>
              <w:ind w:left="102"/>
            </w:pPr>
            <w:r>
              <w:rPr>
                <w:spacing w:val="-1"/>
              </w:rPr>
              <w:t>从业人员 20 人以下或营业收入 300</w:t>
            </w:r>
            <w:r>
              <w:rPr>
                <w:spacing w:val="37"/>
                <w:w w:val="101"/>
              </w:rPr>
              <w:t xml:space="preserve"> </w:t>
            </w:r>
            <w:r>
              <w:rPr>
                <w:spacing w:val="-1"/>
              </w:rPr>
              <w:t>万元</w:t>
            </w:r>
            <w:r>
              <w:rPr>
                <w:spacing w:val="-2"/>
              </w:rPr>
              <w:t>以下</w:t>
            </w:r>
          </w:p>
        </w:tc>
      </w:tr>
      <w:tr w14:paraId="0F89B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394" w:type="dxa"/>
            <w:vMerge w:val="restart"/>
            <w:tcBorders>
              <w:bottom w:val="nil"/>
            </w:tcBorders>
            <w:vAlign w:val="top"/>
          </w:tcPr>
          <w:p w14:paraId="56F8C3CE">
            <w:pPr>
              <w:spacing w:line="277" w:lineRule="auto"/>
              <w:rPr>
                <w:rFonts w:ascii="Arial"/>
                <w:sz w:val="21"/>
              </w:rPr>
            </w:pPr>
          </w:p>
          <w:p w14:paraId="77A724CB">
            <w:pPr>
              <w:spacing w:line="277" w:lineRule="auto"/>
              <w:rPr>
                <w:rFonts w:ascii="Arial"/>
                <w:sz w:val="21"/>
              </w:rPr>
            </w:pPr>
          </w:p>
          <w:p w14:paraId="4A029668">
            <w:pPr>
              <w:spacing w:line="278" w:lineRule="auto"/>
              <w:rPr>
                <w:rFonts w:ascii="Arial"/>
                <w:sz w:val="21"/>
              </w:rPr>
            </w:pPr>
          </w:p>
          <w:p w14:paraId="60D9C83B">
            <w:pPr>
              <w:spacing w:line="278" w:lineRule="auto"/>
              <w:rPr>
                <w:rFonts w:ascii="Arial"/>
                <w:sz w:val="21"/>
              </w:rPr>
            </w:pPr>
          </w:p>
          <w:p w14:paraId="3B970FFA">
            <w:pPr>
              <w:pStyle w:val="21"/>
              <w:spacing w:before="90" w:line="182" w:lineRule="auto"/>
              <w:ind w:left="878"/>
            </w:pPr>
            <w:r>
              <w:rPr>
                <w:spacing w:val="-1"/>
              </w:rPr>
              <w:t>建筑业</w:t>
            </w:r>
          </w:p>
        </w:tc>
        <w:tc>
          <w:tcPr>
            <w:tcW w:w="7399" w:type="dxa"/>
            <w:gridSpan w:val="2"/>
            <w:vAlign w:val="top"/>
          </w:tcPr>
          <w:p w14:paraId="4DB0F4CC">
            <w:pPr>
              <w:pStyle w:val="21"/>
              <w:spacing w:before="151" w:line="225" w:lineRule="auto"/>
              <w:ind w:left="220"/>
            </w:pPr>
            <w:r>
              <w:rPr>
                <w:spacing w:val="-2"/>
              </w:rPr>
              <w:t>营业收入 80000 万元以下或资产总额 80000</w:t>
            </w:r>
            <w:r>
              <w:rPr>
                <w:spacing w:val="49"/>
              </w:rPr>
              <w:t xml:space="preserve"> </w:t>
            </w:r>
            <w:r>
              <w:rPr>
                <w:spacing w:val="-2"/>
              </w:rPr>
              <w:t>万元以下的为中小微型企业。</w:t>
            </w:r>
          </w:p>
        </w:tc>
      </w:tr>
      <w:tr w14:paraId="2BB8D7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2394" w:type="dxa"/>
            <w:vMerge w:val="continue"/>
            <w:tcBorders>
              <w:top w:val="nil"/>
              <w:bottom w:val="nil"/>
            </w:tcBorders>
            <w:vAlign w:val="top"/>
          </w:tcPr>
          <w:p w14:paraId="49C9087A">
            <w:pPr>
              <w:rPr>
                <w:rFonts w:ascii="Arial"/>
                <w:sz w:val="21"/>
              </w:rPr>
            </w:pPr>
          </w:p>
        </w:tc>
        <w:tc>
          <w:tcPr>
            <w:tcW w:w="848" w:type="dxa"/>
            <w:vAlign w:val="top"/>
          </w:tcPr>
          <w:p w14:paraId="772BF4BF">
            <w:pPr>
              <w:pStyle w:val="21"/>
              <w:spacing w:before="323" w:line="182" w:lineRule="auto"/>
              <w:ind w:left="223"/>
            </w:pPr>
            <w:r>
              <w:rPr>
                <w:spacing w:val="-5"/>
              </w:rPr>
              <w:t>中型</w:t>
            </w:r>
          </w:p>
        </w:tc>
        <w:tc>
          <w:tcPr>
            <w:tcW w:w="6551" w:type="dxa"/>
            <w:vAlign w:val="top"/>
          </w:tcPr>
          <w:p w14:paraId="5BFCE329">
            <w:pPr>
              <w:pStyle w:val="21"/>
              <w:spacing w:before="72" w:line="252" w:lineRule="auto"/>
              <w:ind w:left="104" w:right="50" w:firstLine="1"/>
            </w:pPr>
            <w:r>
              <w:rPr>
                <w:spacing w:val="-2"/>
              </w:rPr>
              <w:t xml:space="preserve">营业收入 6000 万元一 80000 </w:t>
            </w:r>
            <w:r>
              <w:rPr>
                <w:spacing w:val="-3"/>
              </w:rPr>
              <w:t>万元，且资产总额</w:t>
            </w:r>
            <w:r>
              <w:rPr>
                <w:spacing w:val="17"/>
                <w:w w:val="101"/>
              </w:rPr>
              <w:t xml:space="preserve"> </w:t>
            </w:r>
            <w:r>
              <w:rPr>
                <w:spacing w:val="-3"/>
              </w:rPr>
              <w:t>5000</w:t>
            </w:r>
            <w:r>
              <w:rPr>
                <w:spacing w:val="37"/>
              </w:rPr>
              <w:t xml:space="preserve"> </w:t>
            </w:r>
            <w:r>
              <w:rPr>
                <w:spacing w:val="-3"/>
              </w:rPr>
              <w:t>万元一 80000</w:t>
            </w:r>
            <w:r>
              <w:t xml:space="preserve"> </w:t>
            </w:r>
            <w:r>
              <w:rPr>
                <w:spacing w:val="-1"/>
              </w:rPr>
              <w:t>万元</w:t>
            </w:r>
          </w:p>
        </w:tc>
      </w:tr>
      <w:tr w14:paraId="7B972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394" w:type="dxa"/>
            <w:vMerge w:val="continue"/>
            <w:tcBorders>
              <w:top w:val="nil"/>
              <w:bottom w:val="nil"/>
            </w:tcBorders>
            <w:vAlign w:val="top"/>
          </w:tcPr>
          <w:p w14:paraId="78CAD403">
            <w:pPr>
              <w:rPr>
                <w:rFonts w:ascii="Arial"/>
                <w:sz w:val="21"/>
              </w:rPr>
            </w:pPr>
          </w:p>
        </w:tc>
        <w:tc>
          <w:tcPr>
            <w:tcW w:w="848" w:type="dxa"/>
            <w:vAlign w:val="top"/>
          </w:tcPr>
          <w:p w14:paraId="0C23383C">
            <w:pPr>
              <w:pStyle w:val="21"/>
              <w:spacing w:before="196" w:line="181" w:lineRule="auto"/>
              <w:ind w:left="210"/>
            </w:pPr>
            <w:r>
              <w:rPr>
                <w:spacing w:val="-1"/>
              </w:rPr>
              <w:t>小型</w:t>
            </w:r>
          </w:p>
        </w:tc>
        <w:tc>
          <w:tcPr>
            <w:tcW w:w="6551" w:type="dxa"/>
            <w:vAlign w:val="top"/>
          </w:tcPr>
          <w:p w14:paraId="37558F94">
            <w:pPr>
              <w:pStyle w:val="21"/>
              <w:spacing w:before="153" w:line="225" w:lineRule="auto"/>
              <w:ind w:left="105"/>
            </w:pPr>
            <w:r>
              <w:rPr>
                <w:spacing w:val="-2"/>
              </w:rPr>
              <w:t>营业收入</w:t>
            </w:r>
            <w:r>
              <w:rPr>
                <w:spacing w:val="15"/>
              </w:rPr>
              <w:t xml:space="preserve"> </w:t>
            </w:r>
            <w:r>
              <w:rPr>
                <w:spacing w:val="-2"/>
              </w:rPr>
              <w:t>300</w:t>
            </w:r>
            <w:r>
              <w:rPr>
                <w:spacing w:val="37"/>
              </w:rPr>
              <w:t xml:space="preserve"> </w:t>
            </w:r>
            <w:r>
              <w:rPr>
                <w:spacing w:val="-2"/>
              </w:rPr>
              <w:t>万元一 6000 万元，且资产总额</w:t>
            </w:r>
            <w:r>
              <w:rPr>
                <w:spacing w:val="14"/>
              </w:rPr>
              <w:t xml:space="preserve"> </w:t>
            </w:r>
            <w:r>
              <w:rPr>
                <w:spacing w:val="-2"/>
              </w:rPr>
              <w:t>300</w:t>
            </w:r>
            <w:r>
              <w:rPr>
                <w:spacing w:val="37"/>
                <w:w w:val="101"/>
              </w:rPr>
              <w:t xml:space="preserve"> </w:t>
            </w:r>
            <w:r>
              <w:rPr>
                <w:spacing w:val="-2"/>
              </w:rPr>
              <w:t>万一 5</w:t>
            </w:r>
            <w:r>
              <w:rPr>
                <w:spacing w:val="-3"/>
              </w:rPr>
              <w:t>000 万元</w:t>
            </w:r>
          </w:p>
        </w:tc>
      </w:tr>
      <w:tr w14:paraId="39E0FA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394" w:type="dxa"/>
            <w:vMerge w:val="continue"/>
            <w:tcBorders>
              <w:top w:val="nil"/>
            </w:tcBorders>
            <w:vAlign w:val="top"/>
          </w:tcPr>
          <w:p w14:paraId="6C771A02">
            <w:pPr>
              <w:rPr>
                <w:rFonts w:ascii="Arial"/>
                <w:sz w:val="21"/>
              </w:rPr>
            </w:pPr>
          </w:p>
        </w:tc>
        <w:tc>
          <w:tcPr>
            <w:tcW w:w="848" w:type="dxa"/>
            <w:vAlign w:val="top"/>
          </w:tcPr>
          <w:p w14:paraId="3599912B">
            <w:pPr>
              <w:pStyle w:val="21"/>
              <w:spacing w:before="195" w:line="182" w:lineRule="auto"/>
              <w:ind w:left="209"/>
            </w:pPr>
            <w:r>
              <w:rPr>
                <w:spacing w:val="-1"/>
              </w:rPr>
              <w:t>微型</w:t>
            </w:r>
          </w:p>
        </w:tc>
        <w:tc>
          <w:tcPr>
            <w:tcW w:w="6551" w:type="dxa"/>
            <w:vAlign w:val="top"/>
          </w:tcPr>
          <w:p w14:paraId="7A8207CF">
            <w:pPr>
              <w:pStyle w:val="21"/>
              <w:spacing w:before="154" w:line="225" w:lineRule="auto"/>
              <w:ind w:left="105"/>
            </w:pPr>
            <w:r>
              <w:rPr>
                <w:spacing w:val="-1"/>
              </w:rPr>
              <w:t>营业收入 300 万元以下或资产总额 300</w:t>
            </w:r>
            <w:r>
              <w:rPr>
                <w:spacing w:val="37"/>
                <w:w w:val="101"/>
              </w:rPr>
              <w:t xml:space="preserve"> </w:t>
            </w:r>
            <w:r>
              <w:rPr>
                <w:spacing w:val="-1"/>
              </w:rPr>
              <w:t>万</w:t>
            </w:r>
            <w:r>
              <w:rPr>
                <w:spacing w:val="-2"/>
              </w:rPr>
              <w:t>元以下</w:t>
            </w:r>
          </w:p>
        </w:tc>
      </w:tr>
      <w:tr w14:paraId="6BD031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394" w:type="dxa"/>
            <w:vMerge w:val="restart"/>
            <w:tcBorders>
              <w:bottom w:val="nil"/>
            </w:tcBorders>
            <w:vAlign w:val="top"/>
          </w:tcPr>
          <w:p w14:paraId="545146F8">
            <w:pPr>
              <w:spacing w:line="246" w:lineRule="auto"/>
              <w:rPr>
                <w:rFonts w:ascii="Arial"/>
                <w:sz w:val="21"/>
              </w:rPr>
            </w:pPr>
          </w:p>
          <w:p w14:paraId="1A837259">
            <w:pPr>
              <w:spacing w:line="246" w:lineRule="auto"/>
              <w:rPr>
                <w:rFonts w:ascii="Arial"/>
                <w:sz w:val="21"/>
              </w:rPr>
            </w:pPr>
          </w:p>
          <w:p w14:paraId="053CA6E3">
            <w:pPr>
              <w:spacing w:line="246" w:lineRule="auto"/>
              <w:rPr>
                <w:rFonts w:ascii="Arial"/>
                <w:sz w:val="21"/>
              </w:rPr>
            </w:pPr>
          </w:p>
          <w:p w14:paraId="200B28B5">
            <w:pPr>
              <w:spacing w:line="247" w:lineRule="auto"/>
              <w:rPr>
                <w:rFonts w:ascii="Arial"/>
                <w:sz w:val="21"/>
              </w:rPr>
            </w:pPr>
          </w:p>
          <w:p w14:paraId="137E13EC">
            <w:pPr>
              <w:pStyle w:val="21"/>
              <w:spacing w:before="90" w:line="182" w:lineRule="auto"/>
              <w:ind w:left="878"/>
            </w:pPr>
            <w:r>
              <w:rPr>
                <w:spacing w:val="-1"/>
              </w:rPr>
              <w:t>批发业</w:t>
            </w:r>
          </w:p>
        </w:tc>
        <w:tc>
          <w:tcPr>
            <w:tcW w:w="7399" w:type="dxa"/>
            <w:gridSpan w:val="2"/>
            <w:vAlign w:val="top"/>
          </w:tcPr>
          <w:p w14:paraId="682A55A2">
            <w:pPr>
              <w:pStyle w:val="21"/>
              <w:spacing w:before="156" w:line="225" w:lineRule="auto"/>
              <w:ind w:left="472"/>
            </w:pPr>
            <w:r>
              <w:rPr>
                <w:spacing w:val="-2"/>
              </w:rPr>
              <w:t>从业人员 200 人以下或营业收入 40000 万元以下的为中小</w:t>
            </w:r>
            <w:r>
              <w:rPr>
                <w:spacing w:val="-3"/>
              </w:rPr>
              <w:t>微型企业。</w:t>
            </w:r>
          </w:p>
        </w:tc>
      </w:tr>
      <w:tr w14:paraId="6D34B6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394" w:type="dxa"/>
            <w:vMerge w:val="continue"/>
            <w:tcBorders>
              <w:top w:val="nil"/>
              <w:bottom w:val="nil"/>
            </w:tcBorders>
            <w:vAlign w:val="top"/>
          </w:tcPr>
          <w:p w14:paraId="35BBF976">
            <w:pPr>
              <w:rPr>
                <w:rFonts w:ascii="Arial"/>
                <w:sz w:val="21"/>
              </w:rPr>
            </w:pPr>
          </w:p>
        </w:tc>
        <w:tc>
          <w:tcPr>
            <w:tcW w:w="848" w:type="dxa"/>
            <w:vAlign w:val="top"/>
          </w:tcPr>
          <w:p w14:paraId="3C31549C">
            <w:pPr>
              <w:pStyle w:val="21"/>
              <w:spacing w:before="197" w:line="182" w:lineRule="auto"/>
              <w:ind w:left="223"/>
            </w:pPr>
            <w:r>
              <w:rPr>
                <w:spacing w:val="-5"/>
              </w:rPr>
              <w:t>中型</w:t>
            </w:r>
          </w:p>
        </w:tc>
        <w:tc>
          <w:tcPr>
            <w:tcW w:w="6551" w:type="dxa"/>
            <w:vAlign w:val="top"/>
          </w:tcPr>
          <w:p w14:paraId="314B2E58">
            <w:pPr>
              <w:pStyle w:val="21"/>
              <w:spacing w:before="157" w:line="225" w:lineRule="auto"/>
              <w:ind w:left="102"/>
            </w:pPr>
            <w:r>
              <w:rPr>
                <w:spacing w:val="-2"/>
              </w:rPr>
              <w:t>从业人员 20 人一 200 人，且营业收入 5000 万元一 40000 万元</w:t>
            </w:r>
          </w:p>
        </w:tc>
      </w:tr>
      <w:tr w14:paraId="0A9764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394" w:type="dxa"/>
            <w:vMerge w:val="continue"/>
            <w:tcBorders>
              <w:top w:val="nil"/>
              <w:bottom w:val="nil"/>
            </w:tcBorders>
            <w:vAlign w:val="top"/>
          </w:tcPr>
          <w:p w14:paraId="2A3143B6">
            <w:pPr>
              <w:rPr>
                <w:rFonts w:ascii="Arial"/>
                <w:sz w:val="21"/>
              </w:rPr>
            </w:pPr>
          </w:p>
        </w:tc>
        <w:tc>
          <w:tcPr>
            <w:tcW w:w="848" w:type="dxa"/>
            <w:vAlign w:val="top"/>
          </w:tcPr>
          <w:p w14:paraId="71FF3BB5">
            <w:pPr>
              <w:pStyle w:val="21"/>
              <w:spacing w:before="200" w:line="181" w:lineRule="auto"/>
              <w:ind w:left="210"/>
            </w:pPr>
            <w:r>
              <w:rPr>
                <w:spacing w:val="-1"/>
              </w:rPr>
              <w:t>小型</w:t>
            </w:r>
          </w:p>
        </w:tc>
        <w:tc>
          <w:tcPr>
            <w:tcW w:w="6551" w:type="dxa"/>
            <w:vAlign w:val="top"/>
          </w:tcPr>
          <w:p w14:paraId="2369F7A5">
            <w:pPr>
              <w:pStyle w:val="21"/>
              <w:spacing w:before="158" w:line="225" w:lineRule="auto"/>
              <w:ind w:left="102"/>
            </w:pPr>
            <w:r>
              <w:rPr>
                <w:spacing w:val="-2"/>
              </w:rPr>
              <w:t>从业人员 5 人一 20 人，且营业收入 1000 万元一 50</w:t>
            </w:r>
            <w:r>
              <w:rPr>
                <w:spacing w:val="-3"/>
              </w:rPr>
              <w:t>00 万元</w:t>
            </w:r>
          </w:p>
        </w:tc>
      </w:tr>
      <w:tr w14:paraId="3D4E6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394" w:type="dxa"/>
            <w:vMerge w:val="continue"/>
            <w:tcBorders>
              <w:top w:val="nil"/>
            </w:tcBorders>
            <w:vAlign w:val="top"/>
          </w:tcPr>
          <w:p w14:paraId="5CF74A02">
            <w:pPr>
              <w:rPr>
                <w:rFonts w:ascii="Arial"/>
                <w:sz w:val="21"/>
              </w:rPr>
            </w:pPr>
          </w:p>
        </w:tc>
        <w:tc>
          <w:tcPr>
            <w:tcW w:w="848" w:type="dxa"/>
            <w:vAlign w:val="top"/>
          </w:tcPr>
          <w:p w14:paraId="1A5247C1">
            <w:pPr>
              <w:pStyle w:val="21"/>
              <w:spacing w:before="199" w:line="182" w:lineRule="auto"/>
              <w:ind w:left="209"/>
            </w:pPr>
            <w:r>
              <w:rPr>
                <w:spacing w:val="-1"/>
              </w:rPr>
              <w:t>微型</w:t>
            </w:r>
          </w:p>
        </w:tc>
        <w:tc>
          <w:tcPr>
            <w:tcW w:w="6551" w:type="dxa"/>
            <w:vAlign w:val="top"/>
          </w:tcPr>
          <w:p w14:paraId="4531E719">
            <w:pPr>
              <w:pStyle w:val="21"/>
              <w:spacing w:before="159" w:line="225" w:lineRule="auto"/>
              <w:ind w:left="102"/>
            </w:pPr>
            <w:r>
              <w:rPr>
                <w:spacing w:val="1"/>
              </w:rPr>
              <w:t>从业人员 5 人以下或营业收入1000 万</w:t>
            </w:r>
            <w:r>
              <w:t>元以下</w:t>
            </w:r>
          </w:p>
        </w:tc>
      </w:tr>
      <w:tr w14:paraId="695A85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394" w:type="dxa"/>
            <w:vMerge w:val="restart"/>
            <w:tcBorders>
              <w:bottom w:val="nil"/>
            </w:tcBorders>
            <w:vAlign w:val="top"/>
          </w:tcPr>
          <w:p w14:paraId="0396909D">
            <w:pPr>
              <w:spacing w:line="246" w:lineRule="auto"/>
              <w:rPr>
                <w:rFonts w:ascii="Arial"/>
                <w:sz w:val="21"/>
              </w:rPr>
            </w:pPr>
          </w:p>
          <w:p w14:paraId="4FDA642B">
            <w:pPr>
              <w:spacing w:line="246" w:lineRule="auto"/>
              <w:rPr>
                <w:rFonts w:ascii="Arial"/>
                <w:sz w:val="21"/>
              </w:rPr>
            </w:pPr>
          </w:p>
          <w:p w14:paraId="634EF2B8">
            <w:pPr>
              <w:spacing w:line="247" w:lineRule="auto"/>
              <w:rPr>
                <w:rFonts w:ascii="Arial"/>
                <w:sz w:val="21"/>
              </w:rPr>
            </w:pPr>
          </w:p>
          <w:p w14:paraId="2EB35333">
            <w:pPr>
              <w:spacing w:line="247" w:lineRule="auto"/>
              <w:rPr>
                <w:rFonts w:ascii="Arial"/>
                <w:sz w:val="21"/>
              </w:rPr>
            </w:pPr>
          </w:p>
          <w:p w14:paraId="1587E8A6">
            <w:pPr>
              <w:pStyle w:val="21"/>
              <w:spacing w:before="90" w:line="184" w:lineRule="auto"/>
              <w:ind w:left="877"/>
            </w:pPr>
            <w:r>
              <w:rPr>
                <w:spacing w:val="-1"/>
              </w:rPr>
              <w:t>零售业</w:t>
            </w:r>
          </w:p>
        </w:tc>
        <w:tc>
          <w:tcPr>
            <w:tcW w:w="7399" w:type="dxa"/>
            <w:gridSpan w:val="2"/>
            <w:vAlign w:val="top"/>
          </w:tcPr>
          <w:p w14:paraId="32A55297">
            <w:pPr>
              <w:pStyle w:val="21"/>
              <w:spacing w:before="160" w:line="225" w:lineRule="auto"/>
              <w:ind w:left="446"/>
            </w:pPr>
            <w:r>
              <w:rPr>
                <w:spacing w:val="-2"/>
              </w:rPr>
              <w:t>从业人员 300 人以下或营业收入 20000</w:t>
            </w:r>
            <w:r>
              <w:rPr>
                <w:spacing w:val="46"/>
              </w:rPr>
              <w:t xml:space="preserve"> </w:t>
            </w:r>
            <w:r>
              <w:rPr>
                <w:spacing w:val="-2"/>
              </w:rPr>
              <w:t>万元以下的为中小微型企业。</w:t>
            </w:r>
          </w:p>
        </w:tc>
      </w:tr>
      <w:tr w14:paraId="306FC4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2394" w:type="dxa"/>
            <w:vMerge w:val="continue"/>
            <w:tcBorders>
              <w:top w:val="nil"/>
              <w:bottom w:val="nil"/>
            </w:tcBorders>
            <w:vAlign w:val="top"/>
          </w:tcPr>
          <w:p w14:paraId="3F19D963">
            <w:pPr>
              <w:rPr>
                <w:rFonts w:ascii="Arial"/>
                <w:sz w:val="21"/>
              </w:rPr>
            </w:pPr>
          </w:p>
        </w:tc>
        <w:tc>
          <w:tcPr>
            <w:tcW w:w="848" w:type="dxa"/>
            <w:vAlign w:val="top"/>
          </w:tcPr>
          <w:p w14:paraId="45EA1B18">
            <w:pPr>
              <w:pStyle w:val="21"/>
              <w:spacing w:before="201" w:line="182" w:lineRule="auto"/>
              <w:ind w:left="223"/>
            </w:pPr>
            <w:r>
              <w:rPr>
                <w:spacing w:val="-5"/>
              </w:rPr>
              <w:t>中型</w:t>
            </w:r>
          </w:p>
        </w:tc>
        <w:tc>
          <w:tcPr>
            <w:tcW w:w="6551" w:type="dxa"/>
            <w:vAlign w:val="top"/>
          </w:tcPr>
          <w:p w14:paraId="65D457F7">
            <w:pPr>
              <w:pStyle w:val="21"/>
              <w:spacing w:before="161" w:line="225" w:lineRule="auto"/>
              <w:ind w:left="102"/>
            </w:pPr>
            <w:r>
              <w:rPr>
                <w:spacing w:val="-2"/>
              </w:rPr>
              <w:t>从业人员</w:t>
            </w:r>
            <w:r>
              <w:rPr>
                <w:spacing w:val="18"/>
              </w:rPr>
              <w:t xml:space="preserve"> </w:t>
            </w:r>
            <w:r>
              <w:rPr>
                <w:spacing w:val="-2"/>
              </w:rPr>
              <w:t>50</w:t>
            </w:r>
            <w:r>
              <w:rPr>
                <w:spacing w:val="37"/>
              </w:rPr>
              <w:t xml:space="preserve"> </w:t>
            </w:r>
            <w:r>
              <w:rPr>
                <w:spacing w:val="-2"/>
              </w:rPr>
              <w:t>人一 300 人，且营业收入 500 万元一 2</w:t>
            </w:r>
            <w:r>
              <w:rPr>
                <w:spacing w:val="-3"/>
              </w:rPr>
              <w:t>0000 万元</w:t>
            </w:r>
          </w:p>
        </w:tc>
      </w:tr>
      <w:tr w14:paraId="4E8714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2394" w:type="dxa"/>
            <w:vMerge w:val="continue"/>
            <w:tcBorders>
              <w:top w:val="nil"/>
              <w:bottom w:val="nil"/>
            </w:tcBorders>
            <w:vAlign w:val="top"/>
          </w:tcPr>
          <w:p w14:paraId="6D9C447F">
            <w:pPr>
              <w:rPr>
                <w:rFonts w:ascii="Arial"/>
                <w:sz w:val="21"/>
              </w:rPr>
            </w:pPr>
          </w:p>
        </w:tc>
        <w:tc>
          <w:tcPr>
            <w:tcW w:w="848" w:type="dxa"/>
            <w:vAlign w:val="top"/>
          </w:tcPr>
          <w:p w14:paraId="1921044A">
            <w:pPr>
              <w:pStyle w:val="21"/>
              <w:spacing w:before="203" w:line="181" w:lineRule="auto"/>
              <w:ind w:left="210"/>
            </w:pPr>
            <w:r>
              <w:rPr>
                <w:spacing w:val="-1"/>
              </w:rPr>
              <w:t>小型</w:t>
            </w:r>
          </w:p>
        </w:tc>
        <w:tc>
          <w:tcPr>
            <w:tcW w:w="6551" w:type="dxa"/>
            <w:vAlign w:val="top"/>
          </w:tcPr>
          <w:p w14:paraId="05196166">
            <w:pPr>
              <w:pStyle w:val="21"/>
              <w:spacing w:before="161" w:line="225" w:lineRule="auto"/>
              <w:ind w:left="102"/>
            </w:pPr>
            <w:r>
              <w:rPr>
                <w:spacing w:val="-2"/>
              </w:rPr>
              <w:t>从业人员 10 人一 50 人，且营业收入 100 万元一</w:t>
            </w:r>
            <w:r>
              <w:rPr>
                <w:spacing w:val="-3"/>
              </w:rPr>
              <w:t xml:space="preserve"> 500 万元</w:t>
            </w:r>
          </w:p>
        </w:tc>
      </w:tr>
      <w:tr w14:paraId="63FE81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2394" w:type="dxa"/>
            <w:vMerge w:val="continue"/>
            <w:tcBorders>
              <w:top w:val="nil"/>
            </w:tcBorders>
            <w:vAlign w:val="top"/>
          </w:tcPr>
          <w:p w14:paraId="75902770">
            <w:pPr>
              <w:rPr>
                <w:rFonts w:ascii="Arial"/>
                <w:sz w:val="21"/>
              </w:rPr>
            </w:pPr>
          </w:p>
        </w:tc>
        <w:tc>
          <w:tcPr>
            <w:tcW w:w="848" w:type="dxa"/>
            <w:vAlign w:val="top"/>
          </w:tcPr>
          <w:p w14:paraId="08F233C6">
            <w:pPr>
              <w:pStyle w:val="21"/>
              <w:spacing w:before="201" w:line="182" w:lineRule="auto"/>
              <w:ind w:left="209"/>
            </w:pPr>
            <w:r>
              <w:rPr>
                <w:spacing w:val="-1"/>
              </w:rPr>
              <w:t>微型</w:t>
            </w:r>
          </w:p>
        </w:tc>
        <w:tc>
          <w:tcPr>
            <w:tcW w:w="6551" w:type="dxa"/>
            <w:vAlign w:val="top"/>
          </w:tcPr>
          <w:p w14:paraId="0D0B64EC">
            <w:pPr>
              <w:pStyle w:val="21"/>
              <w:spacing w:before="161" w:line="225" w:lineRule="auto"/>
              <w:ind w:left="102"/>
            </w:pPr>
            <w:r>
              <w:rPr>
                <w:spacing w:val="1"/>
              </w:rPr>
              <w:t>从业人员 10 人以下或营业收入100 万</w:t>
            </w:r>
            <w:r>
              <w:t>元以下</w:t>
            </w:r>
          </w:p>
        </w:tc>
      </w:tr>
      <w:tr w14:paraId="5B2FE5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2394" w:type="dxa"/>
            <w:vAlign w:val="top"/>
          </w:tcPr>
          <w:p w14:paraId="2A606F94">
            <w:pPr>
              <w:pStyle w:val="21"/>
              <w:spacing w:before="200" w:line="183" w:lineRule="auto"/>
              <w:ind w:left="107"/>
            </w:pPr>
            <w:r>
              <w:rPr>
                <w:spacing w:val="-1"/>
              </w:rPr>
              <w:t>交通运输业 （不含铁路</w:t>
            </w:r>
          </w:p>
        </w:tc>
        <w:tc>
          <w:tcPr>
            <w:tcW w:w="7399" w:type="dxa"/>
            <w:gridSpan w:val="2"/>
            <w:vAlign w:val="top"/>
          </w:tcPr>
          <w:p w14:paraId="65AF3CA0">
            <w:pPr>
              <w:pStyle w:val="21"/>
              <w:spacing w:before="161" w:line="225" w:lineRule="auto"/>
              <w:ind w:left="384"/>
            </w:pPr>
            <w:r>
              <w:rPr>
                <w:spacing w:val="-2"/>
              </w:rPr>
              <w:t>从业人员 1000 人以下或营业收入 30000</w:t>
            </w:r>
            <w:r>
              <w:rPr>
                <w:spacing w:val="48"/>
              </w:rPr>
              <w:t xml:space="preserve"> </w:t>
            </w:r>
            <w:r>
              <w:rPr>
                <w:spacing w:val="-2"/>
              </w:rPr>
              <w:t>万元以下的为中小微型企业。</w:t>
            </w:r>
          </w:p>
        </w:tc>
      </w:tr>
    </w:tbl>
    <w:p w14:paraId="7E4D6D24">
      <w:pPr>
        <w:pStyle w:val="7"/>
      </w:pPr>
    </w:p>
    <w:p w14:paraId="57D942A7">
      <w:pPr>
        <w:sectPr>
          <w:footerReference r:id="rId24" w:type="default"/>
          <w:pgSz w:w="11905" w:h="16839"/>
          <w:pgMar w:top="1431" w:right="1050" w:bottom="1197" w:left="1050" w:header="0" w:footer="963" w:gutter="0"/>
          <w:pgNumType w:fmt="decimal"/>
          <w:cols w:space="720" w:num="1"/>
        </w:sectPr>
      </w:pPr>
    </w:p>
    <w:p w14:paraId="442EC244">
      <w:pPr>
        <w:spacing w:line="91" w:lineRule="auto"/>
        <w:rPr>
          <w:rFonts w:ascii="Arial"/>
          <w:sz w:val="2"/>
        </w:rPr>
      </w:pPr>
    </w:p>
    <w:tbl>
      <w:tblPr>
        <w:tblStyle w:val="20"/>
        <w:tblW w:w="979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94"/>
        <w:gridCol w:w="848"/>
        <w:gridCol w:w="6551"/>
      </w:tblGrid>
      <w:tr w14:paraId="1913C9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2394" w:type="dxa"/>
            <w:vMerge w:val="restart"/>
            <w:tcBorders>
              <w:bottom w:val="nil"/>
            </w:tcBorders>
            <w:vAlign w:val="top"/>
          </w:tcPr>
          <w:p w14:paraId="37313B89">
            <w:pPr>
              <w:pStyle w:val="21"/>
              <w:spacing w:before="116" w:line="182" w:lineRule="auto"/>
              <w:ind w:left="773"/>
            </w:pPr>
            <w:r>
              <w:rPr>
                <w:spacing w:val="-7"/>
              </w:rPr>
              <w:t>运输业）</w:t>
            </w:r>
          </w:p>
        </w:tc>
        <w:tc>
          <w:tcPr>
            <w:tcW w:w="848" w:type="dxa"/>
            <w:vAlign w:val="top"/>
          </w:tcPr>
          <w:p w14:paraId="7BDEB038">
            <w:pPr>
              <w:pStyle w:val="21"/>
              <w:spacing w:before="196" w:line="182" w:lineRule="auto"/>
              <w:ind w:left="223"/>
            </w:pPr>
            <w:r>
              <w:rPr>
                <w:spacing w:val="-5"/>
              </w:rPr>
              <w:t>中型</w:t>
            </w:r>
          </w:p>
        </w:tc>
        <w:tc>
          <w:tcPr>
            <w:tcW w:w="6551" w:type="dxa"/>
            <w:vAlign w:val="top"/>
          </w:tcPr>
          <w:p w14:paraId="1B80DBEC">
            <w:pPr>
              <w:pStyle w:val="21"/>
              <w:spacing w:before="156" w:line="225" w:lineRule="auto"/>
              <w:ind w:left="102"/>
            </w:pPr>
            <w:r>
              <w:rPr>
                <w:spacing w:val="-2"/>
              </w:rPr>
              <w:t>从业人员</w:t>
            </w:r>
            <w:r>
              <w:rPr>
                <w:spacing w:val="31"/>
              </w:rPr>
              <w:t xml:space="preserve"> </w:t>
            </w:r>
            <w:r>
              <w:rPr>
                <w:spacing w:val="-2"/>
              </w:rPr>
              <w:t>300</w:t>
            </w:r>
            <w:r>
              <w:rPr>
                <w:spacing w:val="36"/>
                <w:w w:val="101"/>
              </w:rPr>
              <w:t xml:space="preserve"> </w:t>
            </w:r>
            <w:r>
              <w:rPr>
                <w:spacing w:val="-2"/>
              </w:rPr>
              <w:t>人一 1000 人，且营业收入 3000</w:t>
            </w:r>
            <w:r>
              <w:rPr>
                <w:spacing w:val="37"/>
              </w:rPr>
              <w:t xml:space="preserve"> </w:t>
            </w:r>
            <w:r>
              <w:rPr>
                <w:spacing w:val="-2"/>
              </w:rPr>
              <w:t>万元一 30000 万元</w:t>
            </w:r>
          </w:p>
        </w:tc>
      </w:tr>
      <w:tr w14:paraId="2BFC32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394" w:type="dxa"/>
            <w:vMerge w:val="continue"/>
            <w:tcBorders>
              <w:top w:val="nil"/>
              <w:bottom w:val="nil"/>
            </w:tcBorders>
            <w:vAlign w:val="top"/>
          </w:tcPr>
          <w:p w14:paraId="7B50F4AF">
            <w:pPr>
              <w:rPr>
                <w:rFonts w:ascii="Arial"/>
                <w:sz w:val="21"/>
              </w:rPr>
            </w:pPr>
          </w:p>
        </w:tc>
        <w:tc>
          <w:tcPr>
            <w:tcW w:w="848" w:type="dxa"/>
            <w:vAlign w:val="top"/>
          </w:tcPr>
          <w:p w14:paraId="62E3DE3A">
            <w:pPr>
              <w:pStyle w:val="21"/>
              <w:spacing w:before="194" w:line="181" w:lineRule="auto"/>
              <w:ind w:left="210"/>
            </w:pPr>
            <w:r>
              <w:rPr>
                <w:spacing w:val="-1"/>
              </w:rPr>
              <w:t>小型</w:t>
            </w:r>
          </w:p>
        </w:tc>
        <w:tc>
          <w:tcPr>
            <w:tcW w:w="6551" w:type="dxa"/>
            <w:vAlign w:val="top"/>
          </w:tcPr>
          <w:p w14:paraId="10182BAD">
            <w:pPr>
              <w:pStyle w:val="21"/>
              <w:spacing w:before="152" w:line="225" w:lineRule="auto"/>
              <w:ind w:left="102"/>
            </w:pPr>
            <w:r>
              <w:rPr>
                <w:spacing w:val="-2"/>
              </w:rPr>
              <w:t>从业人员 20 人一 300 人，且营业收入 200</w:t>
            </w:r>
            <w:r>
              <w:rPr>
                <w:spacing w:val="48"/>
              </w:rPr>
              <w:t xml:space="preserve"> </w:t>
            </w:r>
            <w:r>
              <w:rPr>
                <w:spacing w:val="-2"/>
              </w:rPr>
              <w:t>万元一 3000 万元</w:t>
            </w:r>
          </w:p>
        </w:tc>
      </w:tr>
      <w:tr w14:paraId="3C2741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394" w:type="dxa"/>
            <w:vMerge w:val="continue"/>
            <w:tcBorders>
              <w:top w:val="nil"/>
            </w:tcBorders>
            <w:vAlign w:val="top"/>
          </w:tcPr>
          <w:p w14:paraId="4A7E5AA1">
            <w:pPr>
              <w:rPr>
                <w:rFonts w:ascii="Arial"/>
                <w:sz w:val="21"/>
              </w:rPr>
            </w:pPr>
          </w:p>
        </w:tc>
        <w:tc>
          <w:tcPr>
            <w:tcW w:w="848" w:type="dxa"/>
            <w:vAlign w:val="top"/>
          </w:tcPr>
          <w:p w14:paraId="2FB0B2A1">
            <w:pPr>
              <w:pStyle w:val="21"/>
              <w:spacing w:before="193" w:line="182" w:lineRule="auto"/>
              <w:ind w:left="209"/>
            </w:pPr>
            <w:r>
              <w:rPr>
                <w:spacing w:val="-1"/>
              </w:rPr>
              <w:t>微型</w:t>
            </w:r>
          </w:p>
        </w:tc>
        <w:tc>
          <w:tcPr>
            <w:tcW w:w="6551" w:type="dxa"/>
            <w:vAlign w:val="top"/>
          </w:tcPr>
          <w:p w14:paraId="5769B692">
            <w:pPr>
              <w:pStyle w:val="21"/>
              <w:spacing w:before="153" w:line="225" w:lineRule="auto"/>
              <w:ind w:left="102"/>
            </w:pPr>
            <w:r>
              <w:rPr>
                <w:spacing w:val="-2"/>
              </w:rPr>
              <w:t>从业人员 20 人以下或营业收入 200 万元以下</w:t>
            </w:r>
          </w:p>
        </w:tc>
      </w:tr>
      <w:tr w14:paraId="7B53B4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394" w:type="dxa"/>
            <w:vMerge w:val="restart"/>
            <w:tcBorders>
              <w:bottom w:val="nil"/>
            </w:tcBorders>
            <w:vAlign w:val="top"/>
          </w:tcPr>
          <w:p w14:paraId="697C519A">
            <w:pPr>
              <w:spacing w:line="245" w:lineRule="auto"/>
              <w:rPr>
                <w:rFonts w:ascii="Arial"/>
                <w:sz w:val="21"/>
              </w:rPr>
            </w:pPr>
          </w:p>
          <w:p w14:paraId="39C0EAD2">
            <w:pPr>
              <w:spacing w:line="246" w:lineRule="auto"/>
              <w:rPr>
                <w:rFonts w:ascii="Arial"/>
                <w:sz w:val="21"/>
              </w:rPr>
            </w:pPr>
          </w:p>
          <w:p w14:paraId="4458C070">
            <w:pPr>
              <w:spacing w:line="246" w:lineRule="auto"/>
              <w:rPr>
                <w:rFonts w:ascii="Arial"/>
                <w:sz w:val="21"/>
              </w:rPr>
            </w:pPr>
          </w:p>
          <w:p w14:paraId="73F9398A">
            <w:pPr>
              <w:spacing w:line="246" w:lineRule="auto"/>
              <w:rPr>
                <w:rFonts w:ascii="Arial"/>
                <w:sz w:val="21"/>
              </w:rPr>
            </w:pPr>
          </w:p>
          <w:p w14:paraId="01494922">
            <w:pPr>
              <w:pStyle w:val="21"/>
              <w:spacing w:before="90" w:line="182" w:lineRule="auto"/>
              <w:ind w:left="877"/>
            </w:pPr>
            <w:r>
              <w:rPr>
                <w:spacing w:val="-1"/>
              </w:rPr>
              <w:t>仓储业</w:t>
            </w:r>
          </w:p>
        </w:tc>
        <w:tc>
          <w:tcPr>
            <w:tcW w:w="7399" w:type="dxa"/>
            <w:gridSpan w:val="2"/>
            <w:vAlign w:val="top"/>
          </w:tcPr>
          <w:p w14:paraId="648F5BC9">
            <w:pPr>
              <w:pStyle w:val="21"/>
              <w:spacing w:before="154" w:line="225" w:lineRule="auto"/>
              <w:ind w:left="446"/>
            </w:pPr>
            <w:r>
              <w:rPr>
                <w:spacing w:val="-2"/>
              </w:rPr>
              <w:t>从业人员 200 人以下或营业收入 30000</w:t>
            </w:r>
            <w:r>
              <w:rPr>
                <w:spacing w:val="46"/>
              </w:rPr>
              <w:t xml:space="preserve"> </w:t>
            </w:r>
            <w:r>
              <w:rPr>
                <w:spacing w:val="-2"/>
              </w:rPr>
              <w:t>万元以下的为中小微型企业。</w:t>
            </w:r>
          </w:p>
        </w:tc>
      </w:tr>
      <w:tr w14:paraId="342C6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394" w:type="dxa"/>
            <w:vMerge w:val="continue"/>
            <w:tcBorders>
              <w:top w:val="nil"/>
              <w:bottom w:val="nil"/>
            </w:tcBorders>
            <w:vAlign w:val="top"/>
          </w:tcPr>
          <w:p w14:paraId="3319C854">
            <w:pPr>
              <w:rPr>
                <w:rFonts w:ascii="Arial"/>
                <w:sz w:val="21"/>
              </w:rPr>
            </w:pPr>
          </w:p>
        </w:tc>
        <w:tc>
          <w:tcPr>
            <w:tcW w:w="848" w:type="dxa"/>
            <w:vAlign w:val="top"/>
          </w:tcPr>
          <w:p w14:paraId="699CCC21">
            <w:pPr>
              <w:pStyle w:val="21"/>
              <w:spacing w:before="195" w:line="182" w:lineRule="auto"/>
              <w:ind w:left="223"/>
            </w:pPr>
            <w:r>
              <w:rPr>
                <w:spacing w:val="-5"/>
              </w:rPr>
              <w:t>中型</w:t>
            </w:r>
          </w:p>
        </w:tc>
        <w:tc>
          <w:tcPr>
            <w:tcW w:w="6551" w:type="dxa"/>
            <w:vAlign w:val="top"/>
          </w:tcPr>
          <w:p w14:paraId="1D21ABE6">
            <w:pPr>
              <w:pStyle w:val="21"/>
              <w:spacing w:before="155" w:line="225" w:lineRule="auto"/>
              <w:ind w:left="102"/>
            </w:pPr>
            <w:r>
              <w:rPr>
                <w:spacing w:val="-2"/>
              </w:rPr>
              <w:t>从业人员 100 人一 200 人，且营业收入</w:t>
            </w:r>
            <w:r>
              <w:rPr>
                <w:spacing w:val="22"/>
              </w:rPr>
              <w:t xml:space="preserve"> </w:t>
            </w:r>
            <w:r>
              <w:rPr>
                <w:spacing w:val="-2"/>
              </w:rPr>
              <w:t>1000</w:t>
            </w:r>
            <w:r>
              <w:rPr>
                <w:spacing w:val="37"/>
              </w:rPr>
              <w:t xml:space="preserve"> </w:t>
            </w:r>
            <w:r>
              <w:rPr>
                <w:spacing w:val="-2"/>
              </w:rPr>
              <w:t>万元一 3</w:t>
            </w:r>
            <w:r>
              <w:rPr>
                <w:spacing w:val="-3"/>
              </w:rPr>
              <w:t>0000 万元</w:t>
            </w:r>
          </w:p>
        </w:tc>
      </w:tr>
      <w:tr w14:paraId="753EE1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394" w:type="dxa"/>
            <w:vMerge w:val="continue"/>
            <w:tcBorders>
              <w:top w:val="nil"/>
              <w:bottom w:val="nil"/>
            </w:tcBorders>
            <w:vAlign w:val="top"/>
          </w:tcPr>
          <w:p w14:paraId="613629A3">
            <w:pPr>
              <w:rPr>
                <w:rFonts w:ascii="Arial"/>
                <w:sz w:val="21"/>
              </w:rPr>
            </w:pPr>
          </w:p>
        </w:tc>
        <w:tc>
          <w:tcPr>
            <w:tcW w:w="848" w:type="dxa"/>
            <w:vAlign w:val="top"/>
          </w:tcPr>
          <w:p w14:paraId="5C033219">
            <w:pPr>
              <w:pStyle w:val="21"/>
              <w:spacing w:before="198" w:line="181" w:lineRule="auto"/>
              <w:ind w:left="210"/>
            </w:pPr>
            <w:r>
              <w:rPr>
                <w:spacing w:val="-1"/>
              </w:rPr>
              <w:t>小型</w:t>
            </w:r>
          </w:p>
        </w:tc>
        <w:tc>
          <w:tcPr>
            <w:tcW w:w="6551" w:type="dxa"/>
            <w:vAlign w:val="top"/>
          </w:tcPr>
          <w:p w14:paraId="1F2FA978">
            <w:pPr>
              <w:pStyle w:val="21"/>
              <w:spacing w:before="156" w:line="225" w:lineRule="auto"/>
              <w:ind w:left="102"/>
            </w:pPr>
            <w:r>
              <w:rPr>
                <w:spacing w:val="-2"/>
              </w:rPr>
              <w:t>从业人员 20 人一 100 人，且营业收入</w:t>
            </w:r>
            <w:r>
              <w:rPr>
                <w:spacing w:val="22"/>
              </w:rPr>
              <w:t xml:space="preserve"> </w:t>
            </w:r>
            <w:r>
              <w:rPr>
                <w:spacing w:val="-2"/>
              </w:rPr>
              <w:t>1</w:t>
            </w:r>
            <w:r>
              <w:rPr>
                <w:spacing w:val="-3"/>
              </w:rPr>
              <w:t>00</w:t>
            </w:r>
            <w:r>
              <w:rPr>
                <w:spacing w:val="37"/>
              </w:rPr>
              <w:t xml:space="preserve"> </w:t>
            </w:r>
            <w:r>
              <w:rPr>
                <w:spacing w:val="-3"/>
              </w:rPr>
              <w:t>万元一 1000 万元</w:t>
            </w:r>
          </w:p>
        </w:tc>
      </w:tr>
      <w:tr w14:paraId="2C39FC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394" w:type="dxa"/>
            <w:vMerge w:val="continue"/>
            <w:tcBorders>
              <w:top w:val="nil"/>
            </w:tcBorders>
            <w:vAlign w:val="top"/>
          </w:tcPr>
          <w:p w14:paraId="6790AB37">
            <w:pPr>
              <w:rPr>
                <w:rFonts w:ascii="Arial"/>
                <w:sz w:val="21"/>
              </w:rPr>
            </w:pPr>
          </w:p>
        </w:tc>
        <w:tc>
          <w:tcPr>
            <w:tcW w:w="848" w:type="dxa"/>
            <w:vAlign w:val="top"/>
          </w:tcPr>
          <w:p w14:paraId="6B637154">
            <w:pPr>
              <w:pStyle w:val="21"/>
              <w:spacing w:before="197" w:line="182" w:lineRule="auto"/>
              <w:ind w:left="209"/>
            </w:pPr>
            <w:r>
              <w:rPr>
                <w:spacing w:val="-1"/>
              </w:rPr>
              <w:t>微型</w:t>
            </w:r>
          </w:p>
        </w:tc>
        <w:tc>
          <w:tcPr>
            <w:tcW w:w="6551" w:type="dxa"/>
            <w:vAlign w:val="top"/>
          </w:tcPr>
          <w:p w14:paraId="4753AA12">
            <w:pPr>
              <w:pStyle w:val="21"/>
              <w:spacing w:before="157" w:line="225" w:lineRule="auto"/>
              <w:ind w:left="102"/>
            </w:pPr>
            <w:r>
              <w:rPr>
                <w:spacing w:val="-2"/>
              </w:rPr>
              <w:t>从业人员 20 人以下或营业收入</w:t>
            </w:r>
            <w:r>
              <w:rPr>
                <w:spacing w:val="21"/>
                <w:w w:val="101"/>
              </w:rPr>
              <w:t xml:space="preserve"> </w:t>
            </w:r>
            <w:r>
              <w:rPr>
                <w:spacing w:val="-2"/>
              </w:rPr>
              <w:t>100</w:t>
            </w:r>
            <w:r>
              <w:rPr>
                <w:spacing w:val="36"/>
                <w:w w:val="101"/>
              </w:rPr>
              <w:t xml:space="preserve"> </w:t>
            </w:r>
            <w:r>
              <w:rPr>
                <w:spacing w:val="-2"/>
              </w:rPr>
              <w:t>万元以下</w:t>
            </w:r>
          </w:p>
        </w:tc>
      </w:tr>
      <w:tr w14:paraId="6710F6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394" w:type="dxa"/>
            <w:vMerge w:val="restart"/>
            <w:tcBorders>
              <w:bottom w:val="nil"/>
            </w:tcBorders>
            <w:vAlign w:val="top"/>
          </w:tcPr>
          <w:p w14:paraId="1EFB7722">
            <w:pPr>
              <w:spacing w:line="246" w:lineRule="auto"/>
              <w:rPr>
                <w:rFonts w:ascii="Arial"/>
                <w:sz w:val="21"/>
              </w:rPr>
            </w:pPr>
          </w:p>
          <w:p w14:paraId="75D3528A">
            <w:pPr>
              <w:spacing w:line="247" w:lineRule="auto"/>
              <w:rPr>
                <w:rFonts w:ascii="Arial"/>
                <w:sz w:val="21"/>
              </w:rPr>
            </w:pPr>
          </w:p>
          <w:p w14:paraId="7B7229FB">
            <w:pPr>
              <w:spacing w:line="247" w:lineRule="auto"/>
              <w:rPr>
                <w:rFonts w:ascii="Arial"/>
                <w:sz w:val="21"/>
              </w:rPr>
            </w:pPr>
          </w:p>
          <w:p w14:paraId="2160A67E">
            <w:pPr>
              <w:spacing w:line="247" w:lineRule="auto"/>
              <w:rPr>
                <w:rFonts w:ascii="Arial"/>
                <w:sz w:val="21"/>
              </w:rPr>
            </w:pPr>
          </w:p>
          <w:p w14:paraId="1E548A2D">
            <w:pPr>
              <w:pStyle w:val="21"/>
              <w:spacing w:before="90" w:line="182" w:lineRule="auto"/>
              <w:ind w:left="890"/>
            </w:pPr>
            <w:r>
              <w:rPr>
                <w:spacing w:val="-4"/>
              </w:rPr>
              <w:t>邮政业</w:t>
            </w:r>
          </w:p>
        </w:tc>
        <w:tc>
          <w:tcPr>
            <w:tcW w:w="7399" w:type="dxa"/>
            <w:gridSpan w:val="2"/>
            <w:vAlign w:val="top"/>
          </w:tcPr>
          <w:p w14:paraId="0C433683">
            <w:pPr>
              <w:pStyle w:val="21"/>
              <w:spacing w:before="158" w:line="225" w:lineRule="auto"/>
              <w:ind w:left="384"/>
            </w:pPr>
            <w:r>
              <w:rPr>
                <w:spacing w:val="-2"/>
              </w:rPr>
              <w:t>从业人员 1000 人以下或营业收入 30000</w:t>
            </w:r>
            <w:r>
              <w:rPr>
                <w:spacing w:val="48"/>
              </w:rPr>
              <w:t xml:space="preserve"> </w:t>
            </w:r>
            <w:r>
              <w:rPr>
                <w:spacing w:val="-2"/>
              </w:rPr>
              <w:t>万元以下的为中小微型企业。</w:t>
            </w:r>
          </w:p>
        </w:tc>
      </w:tr>
      <w:tr w14:paraId="79E6D0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394" w:type="dxa"/>
            <w:vMerge w:val="continue"/>
            <w:tcBorders>
              <w:top w:val="nil"/>
              <w:bottom w:val="nil"/>
            </w:tcBorders>
            <w:vAlign w:val="top"/>
          </w:tcPr>
          <w:p w14:paraId="2EA41D7E">
            <w:pPr>
              <w:rPr>
                <w:rFonts w:ascii="Arial"/>
                <w:sz w:val="21"/>
              </w:rPr>
            </w:pPr>
          </w:p>
        </w:tc>
        <w:tc>
          <w:tcPr>
            <w:tcW w:w="848" w:type="dxa"/>
            <w:vAlign w:val="top"/>
          </w:tcPr>
          <w:p w14:paraId="02075B56">
            <w:pPr>
              <w:pStyle w:val="21"/>
              <w:spacing w:before="199" w:line="182" w:lineRule="auto"/>
              <w:ind w:left="223"/>
            </w:pPr>
            <w:r>
              <w:rPr>
                <w:spacing w:val="-5"/>
              </w:rPr>
              <w:t>中型</w:t>
            </w:r>
          </w:p>
        </w:tc>
        <w:tc>
          <w:tcPr>
            <w:tcW w:w="6551" w:type="dxa"/>
            <w:vAlign w:val="top"/>
          </w:tcPr>
          <w:p w14:paraId="7819D706">
            <w:pPr>
              <w:pStyle w:val="21"/>
              <w:spacing w:before="159" w:line="225" w:lineRule="auto"/>
              <w:ind w:left="102"/>
            </w:pPr>
            <w:r>
              <w:rPr>
                <w:spacing w:val="-2"/>
              </w:rPr>
              <w:t>从业人员</w:t>
            </w:r>
            <w:r>
              <w:rPr>
                <w:spacing w:val="31"/>
              </w:rPr>
              <w:t xml:space="preserve"> </w:t>
            </w:r>
            <w:r>
              <w:rPr>
                <w:spacing w:val="-2"/>
              </w:rPr>
              <w:t>300</w:t>
            </w:r>
            <w:r>
              <w:rPr>
                <w:spacing w:val="36"/>
                <w:w w:val="101"/>
              </w:rPr>
              <w:t xml:space="preserve"> </w:t>
            </w:r>
            <w:r>
              <w:rPr>
                <w:spacing w:val="-2"/>
              </w:rPr>
              <w:t>人一 1000 人，且营业收入 2000</w:t>
            </w:r>
            <w:r>
              <w:rPr>
                <w:spacing w:val="37"/>
              </w:rPr>
              <w:t xml:space="preserve"> </w:t>
            </w:r>
            <w:r>
              <w:rPr>
                <w:spacing w:val="-2"/>
              </w:rPr>
              <w:t>万元一 30000 万元</w:t>
            </w:r>
          </w:p>
        </w:tc>
      </w:tr>
      <w:tr w14:paraId="3B6218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394" w:type="dxa"/>
            <w:vMerge w:val="continue"/>
            <w:tcBorders>
              <w:top w:val="nil"/>
              <w:bottom w:val="nil"/>
            </w:tcBorders>
            <w:vAlign w:val="top"/>
          </w:tcPr>
          <w:p w14:paraId="5E3EDEF2">
            <w:pPr>
              <w:rPr>
                <w:rFonts w:ascii="Arial"/>
                <w:sz w:val="21"/>
              </w:rPr>
            </w:pPr>
          </w:p>
        </w:tc>
        <w:tc>
          <w:tcPr>
            <w:tcW w:w="848" w:type="dxa"/>
            <w:vAlign w:val="top"/>
          </w:tcPr>
          <w:p w14:paraId="41784F4F">
            <w:pPr>
              <w:pStyle w:val="21"/>
              <w:spacing w:before="202" w:line="181" w:lineRule="auto"/>
              <w:ind w:left="210"/>
            </w:pPr>
            <w:r>
              <w:rPr>
                <w:spacing w:val="-1"/>
              </w:rPr>
              <w:t>小型</w:t>
            </w:r>
          </w:p>
        </w:tc>
        <w:tc>
          <w:tcPr>
            <w:tcW w:w="6551" w:type="dxa"/>
            <w:vAlign w:val="top"/>
          </w:tcPr>
          <w:p w14:paraId="183BD997">
            <w:pPr>
              <w:pStyle w:val="21"/>
              <w:spacing w:before="160" w:line="225" w:lineRule="auto"/>
              <w:ind w:left="102"/>
            </w:pPr>
            <w:r>
              <w:rPr>
                <w:spacing w:val="-2"/>
              </w:rPr>
              <w:t>从业人员 20 人一 300 人，且营业收入</w:t>
            </w:r>
            <w:r>
              <w:rPr>
                <w:spacing w:val="22"/>
              </w:rPr>
              <w:t xml:space="preserve"> </w:t>
            </w:r>
            <w:r>
              <w:rPr>
                <w:spacing w:val="-2"/>
              </w:rPr>
              <w:t>1</w:t>
            </w:r>
            <w:r>
              <w:rPr>
                <w:spacing w:val="-3"/>
              </w:rPr>
              <w:t>00</w:t>
            </w:r>
            <w:r>
              <w:rPr>
                <w:spacing w:val="37"/>
              </w:rPr>
              <w:t xml:space="preserve"> </w:t>
            </w:r>
            <w:r>
              <w:rPr>
                <w:spacing w:val="-3"/>
              </w:rPr>
              <w:t>万元一 2000 万元</w:t>
            </w:r>
          </w:p>
        </w:tc>
      </w:tr>
      <w:tr w14:paraId="008B90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2394" w:type="dxa"/>
            <w:vMerge w:val="continue"/>
            <w:tcBorders>
              <w:top w:val="nil"/>
            </w:tcBorders>
            <w:vAlign w:val="top"/>
          </w:tcPr>
          <w:p w14:paraId="5A577693">
            <w:pPr>
              <w:rPr>
                <w:rFonts w:ascii="Arial"/>
                <w:sz w:val="21"/>
              </w:rPr>
            </w:pPr>
          </w:p>
        </w:tc>
        <w:tc>
          <w:tcPr>
            <w:tcW w:w="848" w:type="dxa"/>
            <w:vAlign w:val="top"/>
          </w:tcPr>
          <w:p w14:paraId="71536FE0">
            <w:pPr>
              <w:pStyle w:val="21"/>
              <w:spacing w:before="201" w:line="182" w:lineRule="auto"/>
              <w:ind w:left="209"/>
            </w:pPr>
            <w:r>
              <w:rPr>
                <w:spacing w:val="-1"/>
              </w:rPr>
              <w:t>微型</w:t>
            </w:r>
          </w:p>
        </w:tc>
        <w:tc>
          <w:tcPr>
            <w:tcW w:w="6551" w:type="dxa"/>
            <w:vAlign w:val="top"/>
          </w:tcPr>
          <w:p w14:paraId="74EB3EB4">
            <w:pPr>
              <w:pStyle w:val="21"/>
              <w:spacing w:before="161" w:line="225" w:lineRule="auto"/>
              <w:ind w:left="102"/>
            </w:pPr>
            <w:r>
              <w:rPr>
                <w:spacing w:val="-2"/>
              </w:rPr>
              <w:t>从业人员 20 人以下或营业收入</w:t>
            </w:r>
            <w:r>
              <w:rPr>
                <w:spacing w:val="21"/>
                <w:w w:val="101"/>
              </w:rPr>
              <w:t xml:space="preserve"> </w:t>
            </w:r>
            <w:r>
              <w:rPr>
                <w:spacing w:val="-2"/>
              </w:rPr>
              <w:t>100</w:t>
            </w:r>
            <w:r>
              <w:rPr>
                <w:spacing w:val="36"/>
                <w:w w:val="101"/>
              </w:rPr>
              <w:t xml:space="preserve"> </w:t>
            </w:r>
            <w:r>
              <w:rPr>
                <w:spacing w:val="-2"/>
              </w:rPr>
              <w:t>万元以下</w:t>
            </w:r>
          </w:p>
        </w:tc>
      </w:tr>
      <w:tr w14:paraId="3B77FD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2394" w:type="dxa"/>
            <w:vMerge w:val="restart"/>
            <w:tcBorders>
              <w:bottom w:val="nil"/>
            </w:tcBorders>
            <w:vAlign w:val="top"/>
          </w:tcPr>
          <w:p w14:paraId="41590DF4">
            <w:pPr>
              <w:spacing w:line="247" w:lineRule="auto"/>
              <w:rPr>
                <w:rFonts w:ascii="Arial"/>
                <w:sz w:val="21"/>
              </w:rPr>
            </w:pPr>
          </w:p>
          <w:p w14:paraId="519F5069">
            <w:pPr>
              <w:spacing w:line="247" w:lineRule="auto"/>
              <w:rPr>
                <w:rFonts w:ascii="Arial"/>
                <w:sz w:val="21"/>
              </w:rPr>
            </w:pPr>
          </w:p>
          <w:p w14:paraId="3B4CED68">
            <w:pPr>
              <w:spacing w:line="247" w:lineRule="auto"/>
              <w:rPr>
                <w:rFonts w:ascii="Arial"/>
                <w:sz w:val="21"/>
              </w:rPr>
            </w:pPr>
          </w:p>
          <w:p w14:paraId="2F6E7D6A">
            <w:pPr>
              <w:spacing w:line="247" w:lineRule="auto"/>
              <w:rPr>
                <w:rFonts w:ascii="Arial"/>
                <w:sz w:val="21"/>
              </w:rPr>
            </w:pPr>
          </w:p>
          <w:p w14:paraId="18EF5CB6">
            <w:pPr>
              <w:pStyle w:val="21"/>
              <w:spacing w:before="91" w:line="183" w:lineRule="auto"/>
              <w:ind w:left="878"/>
            </w:pPr>
            <w:r>
              <w:rPr>
                <w:spacing w:val="-1"/>
              </w:rPr>
              <w:t>住宿业</w:t>
            </w:r>
          </w:p>
        </w:tc>
        <w:tc>
          <w:tcPr>
            <w:tcW w:w="7399" w:type="dxa"/>
            <w:gridSpan w:val="2"/>
            <w:vAlign w:val="top"/>
          </w:tcPr>
          <w:p w14:paraId="28D3BEAA">
            <w:pPr>
              <w:pStyle w:val="21"/>
              <w:spacing w:before="161" w:line="225" w:lineRule="auto"/>
              <w:ind w:left="446"/>
            </w:pPr>
            <w:r>
              <w:rPr>
                <w:spacing w:val="-2"/>
              </w:rPr>
              <w:t>从业人员 300 人以下或营业收入</w:t>
            </w:r>
            <w:r>
              <w:rPr>
                <w:spacing w:val="22"/>
              </w:rPr>
              <w:t xml:space="preserve"> </w:t>
            </w:r>
            <w:r>
              <w:rPr>
                <w:spacing w:val="-2"/>
              </w:rPr>
              <w:t>100</w:t>
            </w:r>
            <w:r>
              <w:rPr>
                <w:spacing w:val="-3"/>
              </w:rPr>
              <w:t>00</w:t>
            </w:r>
            <w:r>
              <w:rPr>
                <w:spacing w:val="37"/>
              </w:rPr>
              <w:t xml:space="preserve"> </w:t>
            </w:r>
            <w:r>
              <w:rPr>
                <w:spacing w:val="-3"/>
              </w:rPr>
              <w:t>万元以下的为中小微型企业。</w:t>
            </w:r>
          </w:p>
        </w:tc>
      </w:tr>
      <w:tr w14:paraId="646493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2394" w:type="dxa"/>
            <w:vMerge w:val="continue"/>
            <w:tcBorders>
              <w:top w:val="nil"/>
              <w:bottom w:val="nil"/>
            </w:tcBorders>
            <w:vAlign w:val="top"/>
          </w:tcPr>
          <w:p w14:paraId="670AD483">
            <w:pPr>
              <w:rPr>
                <w:rFonts w:ascii="Arial"/>
                <w:sz w:val="21"/>
              </w:rPr>
            </w:pPr>
          </w:p>
        </w:tc>
        <w:tc>
          <w:tcPr>
            <w:tcW w:w="848" w:type="dxa"/>
            <w:vAlign w:val="top"/>
          </w:tcPr>
          <w:p w14:paraId="3BE9C7E8">
            <w:pPr>
              <w:pStyle w:val="21"/>
              <w:spacing w:before="201" w:line="182" w:lineRule="auto"/>
              <w:ind w:left="223"/>
            </w:pPr>
            <w:r>
              <w:rPr>
                <w:spacing w:val="-5"/>
              </w:rPr>
              <w:t>中型</w:t>
            </w:r>
          </w:p>
        </w:tc>
        <w:tc>
          <w:tcPr>
            <w:tcW w:w="6551" w:type="dxa"/>
            <w:vAlign w:val="top"/>
          </w:tcPr>
          <w:p w14:paraId="2D61A847">
            <w:pPr>
              <w:pStyle w:val="21"/>
              <w:spacing w:before="161" w:line="225" w:lineRule="auto"/>
              <w:ind w:left="102"/>
            </w:pPr>
            <w:r>
              <w:rPr>
                <w:spacing w:val="-2"/>
              </w:rPr>
              <w:t>从业人员 100 人一 300 人，且营业收入 2000</w:t>
            </w:r>
            <w:r>
              <w:rPr>
                <w:spacing w:val="54"/>
              </w:rPr>
              <w:t xml:space="preserve"> </w:t>
            </w:r>
            <w:r>
              <w:rPr>
                <w:spacing w:val="-2"/>
              </w:rPr>
              <w:t>万元一 10000 万元</w:t>
            </w:r>
          </w:p>
        </w:tc>
      </w:tr>
      <w:tr w14:paraId="150809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0" w:hRule="atLeast"/>
        </w:trPr>
        <w:tc>
          <w:tcPr>
            <w:tcW w:w="2394" w:type="dxa"/>
            <w:vMerge w:val="continue"/>
            <w:tcBorders>
              <w:top w:val="nil"/>
              <w:bottom w:val="nil"/>
            </w:tcBorders>
            <w:vAlign w:val="top"/>
          </w:tcPr>
          <w:p w14:paraId="71CAC0AF">
            <w:pPr>
              <w:rPr>
                <w:rFonts w:ascii="Arial"/>
                <w:sz w:val="21"/>
              </w:rPr>
            </w:pPr>
          </w:p>
        </w:tc>
        <w:tc>
          <w:tcPr>
            <w:tcW w:w="848" w:type="dxa"/>
            <w:vAlign w:val="top"/>
          </w:tcPr>
          <w:p w14:paraId="7B9D00DE">
            <w:pPr>
              <w:pStyle w:val="21"/>
              <w:spacing w:before="203" w:line="181" w:lineRule="auto"/>
              <w:ind w:left="210"/>
            </w:pPr>
            <w:r>
              <w:rPr>
                <w:spacing w:val="-1"/>
              </w:rPr>
              <w:t>小型</w:t>
            </w:r>
          </w:p>
        </w:tc>
        <w:tc>
          <w:tcPr>
            <w:tcW w:w="6551" w:type="dxa"/>
            <w:vAlign w:val="top"/>
          </w:tcPr>
          <w:p w14:paraId="75CA8BA5">
            <w:pPr>
              <w:pStyle w:val="21"/>
              <w:spacing w:before="161" w:line="225" w:lineRule="auto"/>
              <w:ind w:left="102"/>
            </w:pPr>
            <w:r>
              <w:rPr>
                <w:spacing w:val="-2"/>
              </w:rPr>
              <w:t>从业人员 10 人一 100 人，且营业收入</w:t>
            </w:r>
            <w:r>
              <w:rPr>
                <w:spacing w:val="22"/>
              </w:rPr>
              <w:t xml:space="preserve"> </w:t>
            </w:r>
            <w:r>
              <w:rPr>
                <w:spacing w:val="-2"/>
              </w:rPr>
              <w:t>1</w:t>
            </w:r>
            <w:r>
              <w:rPr>
                <w:spacing w:val="-3"/>
              </w:rPr>
              <w:t>00</w:t>
            </w:r>
            <w:r>
              <w:rPr>
                <w:spacing w:val="37"/>
              </w:rPr>
              <w:t xml:space="preserve"> </w:t>
            </w:r>
            <w:r>
              <w:rPr>
                <w:spacing w:val="-3"/>
              </w:rPr>
              <w:t>万元一 2000 万元</w:t>
            </w:r>
          </w:p>
        </w:tc>
      </w:tr>
      <w:tr w14:paraId="06C41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2394" w:type="dxa"/>
            <w:vMerge w:val="continue"/>
            <w:tcBorders>
              <w:top w:val="nil"/>
            </w:tcBorders>
            <w:vAlign w:val="top"/>
          </w:tcPr>
          <w:p w14:paraId="4D5CA923">
            <w:pPr>
              <w:rPr>
                <w:rFonts w:ascii="Arial"/>
                <w:sz w:val="21"/>
              </w:rPr>
            </w:pPr>
          </w:p>
        </w:tc>
        <w:tc>
          <w:tcPr>
            <w:tcW w:w="848" w:type="dxa"/>
            <w:vAlign w:val="top"/>
          </w:tcPr>
          <w:p w14:paraId="466D354D">
            <w:pPr>
              <w:pStyle w:val="21"/>
              <w:spacing w:before="201" w:line="182" w:lineRule="auto"/>
              <w:ind w:left="209"/>
            </w:pPr>
            <w:r>
              <w:rPr>
                <w:spacing w:val="-1"/>
              </w:rPr>
              <w:t>微型</w:t>
            </w:r>
          </w:p>
        </w:tc>
        <w:tc>
          <w:tcPr>
            <w:tcW w:w="6551" w:type="dxa"/>
            <w:vAlign w:val="top"/>
          </w:tcPr>
          <w:p w14:paraId="650995EE">
            <w:pPr>
              <w:pStyle w:val="21"/>
              <w:spacing w:before="161" w:line="225" w:lineRule="auto"/>
              <w:ind w:left="102"/>
            </w:pPr>
            <w:r>
              <w:rPr>
                <w:spacing w:val="-2"/>
              </w:rPr>
              <w:t>从业人员 10 人以下或营业收入</w:t>
            </w:r>
            <w:r>
              <w:rPr>
                <w:spacing w:val="21"/>
                <w:w w:val="101"/>
              </w:rPr>
              <w:t xml:space="preserve"> </w:t>
            </w:r>
            <w:r>
              <w:rPr>
                <w:spacing w:val="-2"/>
              </w:rPr>
              <w:t>100</w:t>
            </w:r>
            <w:r>
              <w:rPr>
                <w:spacing w:val="36"/>
                <w:w w:val="101"/>
              </w:rPr>
              <w:t xml:space="preserve"> </w:t>
            </w:r>
            <w:r>
              <w:rPr>
                <w:spacing w:val="-2"/>
              </w:rPr>
              <w:t>万元以下</w:t>
            </w:r>
          </w:p>
        </w:tc>
      </w:tr>
      <w:tr w14:paraId="0F3753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2394" w:type="dxa"/>
            <w:vMerge w:val="restart"/>
            <w:tcBorders>
              <w:bottom w:val="nil"/>
            </w:tcBorders>
            <w:vAlign w:val="top"/>
          </w:tcPr>
          <w:p w14:paraId="7FF6D671">
            <w:pPr>
              <w:spacing w:line="247" w:lineRule="auto"/>
              <w:rPr>
                <w:rFonts w:ascii="Arial"/>
                <w:sz w:val="21"/>
              </w:rPr>
            </w:pPr>
          </w:p>
          <w:p w14:paraId="2E887399">
            <w:pPr>
              <w:spacing w:line="247" w:lineRule="auto"/>
              <w:rPr>
                <w:rFonts w:ascii="Arial"/>
                <w:sz w:val="21"/>
              </w:rPr>
            </w:pPr>
          </w:p>
          <w:p w14:paraId="13C9115C">
            <w:pPr>
              <w:spacing w:line="248" w:lineRule="auto"/>
              <w:rPr>
                <w:rFonts w:ascii="Arial"/>
                <w:sz w:val="21"/>
              </w:rPr>
            </w:pPr>
          </w:p>
          <w:p w14:paraId="0AAF56C1">
            <w:pPr>
              <w:spacing w:line="248" w:lineRule="auto"/>
              <w:rPr>
                <w:rFonts w:ascii="Arial"/>
                <w:sz w:val="21"/>
              </w:rPr>
            </w:pPr>
          </w:p>
          <w:p w14:paraId="596D4F38">
            <w:pPr>
              <w:pStyle w:val="21"/>
              <w:spacing w:before="90" w:line="182" w:lineRule="auto"/>
              <w:ind w:left="877"/>
            </w:pPr>
            <w:r>
              <w:rPr>
                <w:spacing w:val="-1"/>
              </w:rPr>
              <w:t>餐饮业</w:t>
            </w:r>
          </w:p>
        </w:tc>
        <w:tc>
          <w:tcPr>
            <w:tcW w:w="7399" w:type="dxa"/>
            <w:gridSpan w:val="2"/>
            <w:vAlign w:val="top"/>
          </w:tcPr>
          <w:p w14:paraId="07BE0B5F">
            <w:pPr>
              <w:pStyle w:val="21"/>
              <w:spacing w:before="161" w:line="225" w:lineRule="auto"/>
              <w:ind w:left="446"/>
            </w:pPr>
            <w:r>
              <w:rPr>
                <w:spacing w:val="-2"/>
              </w:rPr>
              <w:t>从业人员 300 人以下或营业收入</w:t>
            </w:r>
            <w:r>
              <w:rPr>
                <w:spacing w:val="22"/>
              </w:rPr>
              <w:t xml:space="preserve"> </w:t>
            </w:r>
            <w:r>
              <w:rPr>
                <w:spacing w:val="-2"/>
              </w:rPr>
              <w:t>100</w:t>
            </w:r>
            <w:r>
              <w:rPr>
                <w:spacing w:val="-3"/>
              </w:rPr>
              <w:t>00</w:t>
            </w:r>
            <w:r>
              <w:rPr>
                <w:spacing w:val="37"/>
              </w:rPr>
              <w:t xml:space="preserve"> </w:t>
            </w:r>
            <w:r>
              <w:rPr>
                <w:spacing w:val="-3"/>
              </w:rPr>
              <w:t>万元以下的为中小微型企业。</w:t>
            </w:r>
          </w:p>
        </w:tc>
      </w:tr>
      <w:tr w14:paraId="4CB784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2394" w:type="dxa"/>
            <w:vMerge w:val="continue"/>
            <w:tcBorders>
              <w:top w:val="nil"/>
              <w:bottom w:val="nil"/>
            </w:tcBorders>
            <w:vAlign w:val="top"/>
          </w:tcPr>
          <w:p w14:paraId="4F7DEAEF">
            <w:pPr>
              <w:rPr>
                <w:rFonts w:ascii="Arial"/>
                <w:sz w:val="21"/>
              </w:rPr>
            </w:pPr>
          </w:p>
        </w:tc>
        <w:tc>
          <w:tcPr>
            <w:tcW w:w="848" w:type="dxa"/>
            <w:vAlign w:val="top"/>
          </w:tcPr>
          <w:p w14:paraId="21058F36">
            <w:pPr>
              <w:pStyle w:val="21"/>
              <w:spacing w:before="201" w:line="182" w:lineRule="auto"/>
              <w:ind w:left="223"/>
            </w:pPr>
            <w:r>
              <w:rPr>
                <w:spacing w:val="-5"/>
              </w:rPr>
              <w:t>中型</w:t>
            </w:r>
          </w:p>
        </w:tc>
        <w:tc>
          <w:tcPr>
            <w:tcW w:w="6551" w:type="dxa"/>
            <w:vAlign w:val="top"/>
          </w:tcPr>
          <w:p w14:paraId="663CCD9F">
            <w:pPr>
              <w:pStyle w:val="21"/>
              <w:spacing w:before="161" w:line="225" w:lineRule="auto"/>
              <w:ind w:left="102"/>
            </w:pPr>
            <w:r>
              <w:rPr>
                <w:spacing w:val="-1"/>
              </w:rPr>
              <w:t>从业人员 100— 300 人，且营业收入 2000</w:t>
            </w:r>
            <w:r>
              <w:rPr>
                <w:spacing w:val="37"/>
              </w:rPr>
              <w:t xml:space="preserve"> </w:t>
            </w:r>
            <w:r>
              <w:rPr>
                <w:spacing w:val="-1"/>
              </w:rPr>
              <w:t>万元一 10</w:t>
            </w:r>
            <w:r>
              <w:rPr>
                <w:spacing w:val="-2"/>
              </w:rPr>
              <w:t>000 万元</w:t>
            </w:r>
          </w:p>
        </w:tc>
      </w:tr>
      <w:tr w14:paraId="679533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2394" w:type="dxa"/>
            <w:vMerge w:val="continue"/>
            <w:tcBorders>
              <w:top w:val="nil"/>
              <w:bottom w:val="nil"/>
            </w:tcBorders>
            <w:vAlign w:val="top"/>
          </w:tcPr>
          <w:p w14:paraId="23DF8082">
            <w:pPr>
              <w:rPr>
                <w:rFonts w:ascii="Arial"/>
                <w:sz w:val="21"/>
              </w:rPr>
            </w:pPr>
          </w:p>
        </w:tc>
        <w:tc>
          <w:tcPr>
            <w:tcW w:w="848" w:type="dxa"/>
            <w:vAlign w:val="top"/>
          </w:tcPr>
          <w:p w14:paraId="6A04D6D5">
            <w:pPr>
              <w:pStyle w:val="21"/>
              <w:spacing w:before="203" w:line="181" w:lineRule="auto"/>
              <w:ind w:left="210"/>
            </w:pPr>
            <w:r>
              <w:rPr>
                <w:spacing w:val="-1"/>
              </w:rPr>
              <w:t>小型</w:t>
            </w:r>
          </w:p>
        </w:tc>
        <w:tc>
          <w:tcPr>
            <w:tcW w:w="6551" w:type="dxa"/>
            <w:vAlign w:val="top"/>
          </w:tcPr>
          <w:p w14:paraId="328AB652">
            <w:pPr>
              <w:pStyle w:val="21"/>
              <w:spacing w:before="161" w:line="225" w:lineRule="auto"/>
              <w:ind w:left="102"/>
            </w:pPr>
            <w:r>
              <w:rPr>
                <w:spacing w:val="-2"/>
              </w:rPr>
              <w:t>从业人员 10 人一 100 人，且营业收入</w:t>
            </w:r>
            <w:r>
              <w:rPr>
                <w:spacing w:val="22"/>
              </w:rPr>
              <w:t xml:space="preserve"> </w:t>
            </w:r>
            <w:r>
              <w:rPr>
                <w:spacing w:val="-2"/>
              </w:rPr>
              <w:t>1</w:t>
            </w:r>
            <w:r>
              <w:rPr>
                <w:spacing w:val="-3"/>
              </w:rPr>
              <w:t>00</w:t>
            </w:r>
            <w:r>
              <w:rPr>
                <w:spacing w:val="37"/>
              </w:rPr>
              <w:t xml:space="preserve"> </w:t>
            </w:r>
            <w:r>
              <w:rPr>
                <w:spacing w:val="-3"/>
              </w:rPr>
              <w:t>万元一 2000 万元</w:t>
            </w:r>
          </w:p>
        </w:tc>
      </w:tr>
      <w:tr w14:paraId="5E5341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2394" w:type="dxa"/>
            <w:vMerge w:val="continue"/>
            <w:tcBorders>
              <w:top w:val="nil"/>
            </w:tcBorders>
            <w:vAlign w:val="top"/>
          </w:tcPr>
          <w:p w14:paraId="2AA9EC14">
            <w:pPr>
              <w:rPr>
                <w:rFonts w:ascii="Arial"/>
                <w:sz w:val="21"/>
              </w:rPr>
            </w:pPr>
          </w:p>
        </w:tc>
        <w:tc>
          <w:tcPr>
            <w:tcW w:w="848" w:type="dxa"/>
            <w:vAlign w:val="top"/>
          </w:tcPr>
          <w:p w14:paraId="3714642D">
            <w:pPr>
              <w:pStyle w:val="21"/>
              <w:spacing w:before="201" w:line="182" w:lineRule="auto"/>
              <w:ind w:left="209"/>
            </w:pPr>
            <w:r>
              <w:rPr>
                <w:spacing w:val="-1"/>
              </w:rPr>
              <w:t>微型</w:t>
            </w:r>
          </w:p>
        </w:tc>
        <w:tc>
          <w:tcPr>
            <w:tcW w:w="6551" w:type="dxa"/>
            <w:vAlign w:val="top"/>
          </w:tcPr>
          <w:p w14:paraId="6742E6DD">
            <w:pPr>
              <w:pStyle w:val="21"/>
              <w:spacing w:before="161" w:line="225" w:lineRule="auto"/>
              <w:ind w:left="102"/>
            </w:pPr>
            <w:r>
              <w:rPr>
                <w:spacing w:val="-2"/>
              </w:rPr>
              <w:t>从业人员 10 人以下或营业收入</w:t>
            </w:r>
            <w:r>
              <w:rPr>
                <w:spacing w:val="21"/>
                <w:w w:val="101"/>
              </w:rPr>
              <w:t xml:space="preserve"> </w:t>
            </w:r>
            <w:r>
              <w:rPr>
                <w:spacing w:val="-2"/>
              </w:rPr>
              <w:t>100</w:t>
            </w:r>
            <w:r>
              <w:rPr>
                <w:spacing w:val="36"/>
                <w:w w:val="101"/>
              </w:rPr>
              <w:t xml:space="preserve"> </w:t>
            </w:r>
            <w:r>
              <w:rPr>
                <w:spacing w:val="-2"/>
              </w:rPr>
              <w:t>万元以下</w:t>
            </w:r>
          </w:p>
        </w:tc>
      </w:tr>
      <w:tr w14:paraId="5EC0E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2394" w:type="dxa"/>
            <w:vMerge w:val="restart"/>
            <w:tcBorders>
              <w:bottom w:val="nil"/>
            </w:tcBorders>
            <w:vAlign w:val="top"/>
          </w:tcPr>
          <w:p w14:paraId="0A138D76">
            <w:pPr>
              <w:spacing w:line="259" w:lineRule="auto"/>
              <w:rPr>
                <w:rFonts w:ascii="Arial"/>
                <w:sz w:val="21"/>
              </w:rPr>
            </w:pPr>
          </w:p>
          <w:p w14:paraId="1A585AF6">
            <w:pPr>
              <w:spacing w:line="260" w:lineRule="auto"/>
              <w:rPr>
                <w:rFonts w:ascii="Arial"/>
                <w:sz w:val="21"/>
              </w:rPr>
            </w:pPr>
          </w:p>
          <w:p w14:paraId="52F4355D">
            <w:pPr>
              <w:spacing w:line="260" w:lineRule="auto"/>
              <w:rPr>
                <w:rFonts w:ascii="Arial"/>
                <w:sz w:val="21"/>
              </w:rPr>
            </w:pPr>
          </w:p>
          <w:p w14:paraId="59E47F3E">
            <w:pPr>
              <w:pStyle w:val="21"/>
              <w:spacing w:before="90" w:line="288" w:lineRule="auto"/>
              <w:ind w:left="198" w:hanging="93"/>
            </w:pPr>
            <w:r>
              <w:rPr>
                <w:spacing w:val="-8"/>
              </w:rPr>
              <w:t>信息传输业 （包括电信、</w:t>
            </w:r>
            <w:r>
              <w:rPr>
                <w:spacing w:val="1"/>
              </w:rPr>
              <w:t xml:space="preserve"> </w:t>
            </w:r>
            <w:r>
              <w:rPr>
                <w:spacing w:val="-7"/>
              </w:rPr>
              <w:t>互联网 和相关服务）</w:t>
            </w:r>
          </w:p>
        </w:tc>
        <w:tc>
          <w:tcPr>
            <w:tcW w:w="7399" w:type="dxa"/>
            <w:gridSpan w:val="2"/>
            <w:vAlign w:val="top"/>
          </w:tcPr>
          <w:p w14:paraId="0DD61854">
            <w:pPr>
              <w:pStyle w:val="21"/>
              <w:spacing w:before="161" w:line="225" w:lineRule="auto"/>
              <w:ind w:left="322"/>
            </w:pPr>
            <w:r>
              <w:rPr>
                <w:spacing w:val="-2"/>
              </w:rPr>
              <w:t>从业人员 2000 人以下或营业收入</w:t>
            </w:r>
            <w:r>
              <w:rPr>
                <w:spacing w:val="22"/>
              </w:rPr>
              <w:t xml:space="preserve"> </w:t>
            </w:r>
            <w:r>
              <w:rPr>
                <w:spacing w:val="-2"/>
              </w:rPr>
              <w:t>100000</w:t>
            </w:r>
            <w:r>
              <w:rPr>
                <w:spacing w:val="37"/>
              </w:rPr>
              <w:t xml:space="preserve"> </w:t>
            </w:r>
            <w:r>
              <w:rPr>
                <w:spacing w:val="-2"/>
              </w:rPr>
              <w:t>万元</w:t>
            </w:r>
            <w:r>
              <w:rPr>
                <w:spacing w:val="-3"/>
              </w:rPr>
              <w:t>以下的为中小微型企业。</w:t>
            </w:r>
          </w:p>
        </w:tc>
      </w:tr>
      <w:tr w14:paraId="182763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2394" w:type="dxa"/>
            <w:vMerge w:val="continue"/>
            <w:tcBorders>
              <w:top w:val="nil"/>
              <w:bottom w:val="nil"/>
            </w:tcBorders>
            <w:vAlign w:val="top"/>
          </w:tcPr>
          <w:p w14:paraId="0BAC0F8B">
            <w:pPr>
              <w:rPr>
                <w:rFonts w:ascii="Arial"/>
                <w:sz w:val="21"/>
              </w:rPr>
            </w:pPr>
          </w:p>
        </w:tc>
        <w:tc>
          <w:tcPr>
            <w:tcW w:w="848" w:type="dxa"/>
            <w:vAlign w:val="top"/>
          </w:tcPr>
          <w:p w14:paraId="29E3FD45">
            <w:pPr>
              <w:pStyle w:val="21"/>
              <w:spacing w:before="201" w:line="182" w:lineRule="auto"/>
              <w:ind w:left="223"/>
            </w:pPr>
            <w:r>
              <w:rPr>
                <w:spacing w:val="-5"/>
              </w:rPr>
              <w:t>中型</w:t>
            </w:r>
          </w:p>
        </w:tc>
        <w:tc>
          <w:tcPr>
            <w:tcW w:w="6551" w:type="dxa"/>
            <w:vAlign w:val="top"/>
          </w:tcPr>
          <w:p w14:paraId="30F1DAB5">
            <w:pPr>
              <w:pStyle w:val="21"/>
              <w:spacing w:before="161" w:line="225" w:lineRule="auto"/>
              <w:ind w:left="102"/>
            </w:pPr>
            <w:r>
              <w:rPr>
                <w:spacing w:val="-2"/>
              </w:rPr>
              <w:t>从业人员 100 人一 2000 人，且营业收入</w:t>
            </w:r>
            <w:r>
              <w:rPr>
                <w:spacing w:val="22"/>
              </w:rPr>
              <w:t xml:space="preserve"> </w:t>
            </w:r>
            <w:r>
              <w:rPr>
                <w:spacing w:val="-2"/>
              </w:rPr>
              <w:t>1000</w:t>
            </w:r>
            <w:r>
              <w:rPr>
                <w:spacing w:val="37"/>
              </w:rPr>
              <w:t xml:space="preserve"> </w:t>
            </w:r>
            <w:r>
              <w:rPr>
                <w:spacing w:val="-2"/>
              </w:rPr>
              <w:t>万元一 100</w:t>
            </w:r>
            <w:r>
              <w:rPr>
                <w:spacing w:val="-3"/>
              </w:rPr>
              <w:t>00 万元</w:t>
            </w:r>
          </w:p>
        </w:tc>
      </w:tr>
      <w:tr w14:paraId="6378AF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2394" w:type="dxa"/>
            <w:vMerge w:val="continue"/>
            <w:tcBorders>
              <w:top w:val="nil"/>
              <w:bottom w:val="nil"/>
            </w:tcBorders>
            <w:vAlign w:val="top"/>
          </w:tcPr>
          <w:p w14:paraId="7D9E5710">
            <w:pPr>
              <w:rPr>
                <w:rFonts w:ascii="Arial"/>
                <w:sz w:val="21"/>
              </w:rPr>
            </w:pPr>
          </w:p>
        </w:tc>
        <w:tc>
          <w:tcPr>
            <w:tcW w:w="848" w:type="dxa"/>
            <w:vAlign w:val="top"/>
          </w:tcPr>
          <w:p w14:paraId="335C52D8">
            <w:pPr>
              <w:pStyle w:val="21"/>
              <w:spacing w:before="203" w:line="181" w:lineRule="auto"/>
              <w:ind w:left="210"/>
            </w:pPr>
            <w:r>
              <w:rPr>
                <w:spacing w:val="-1"/>
              </w:rPr>
              <w:t>小型</w:t>
            </w:r>
          </w:p>
        </w:tc>
        <w:tc>
          <w:tcPr>
            <w:tcW w:w="6551" w:type="dxa"/>
            <w:vAlign w:val="top"/>
          </w:tcPr>
          <w:p w14:paraId="6A8C71BA">
            <w:pPr>
              <w:pStyle w:val="21"/>
              <w:spacing w:before="161" w:line="225" w:lineRule="auto"/>
              <w:ind w:left="102"/>
            </w:pPr>
            <w:r>
              <w:rPr>
                <w:spacing w:val="-2"/>
              </w:rPr>
              <w:t>从业人员 10 人一 100 人，且营业收入</w:t>
            </w:r>
            <w:r>
              <w:rPr>
                <w:spacing w:val="22"/>
              </w:rPr>
              <w:t xml:space="preserve"> </w:t>
            </w:r>
            <w:r>
              <w:rPr>
                <w:spacing w:val="-2"/>
              </w:rPr>
              <w:t>1</w:t>
            </w:r>
            <w:r>
              <w:rPr>
                <w:spacing w:val="-3"/>
              </w:rPr>
              <w:t>00</w:t>
            </w:r>
            <w:r>
              <w:rPr>
                <w:spacing w:val="37"/>
              </w:rPr>
              <w:t xml:space="preserve"> </w:t>
            </w:r>
            <w:r>
              <w:rPr>
                <w:spacing w:val="-3"/>
              </w:rPr>
              <w:t>万元一 1000 万元</w:t>
            </w:r>
          </w:p>
        </w:tc>
      </w:tr>
      <w:tr w14:paraId="22ED8D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2394" w:type="dxa"/>
            <w:vMerge w:val="continue"/>
            <w:tcBorders>
              <w:top w:val="nil"/>
            </w:tcBorders>
            <w:vAlign w:val="top"/>
          </w:tcPr>
          <w:p w14:paraId="146D1B4A">
            <w:pPr>
              <w:rPr>
                <w:rFonts w:ascii="Arial"/>
                <w:sz w:val="21"/>
              </w:rPr>
            </w:pPr>
          </w:p>
        </w:tc>
        <w:tc>
          <w:tcPr>
            <w:tcW w:w="848" w:type="dxa"/>
            <w:vAlign w:val="top"/>
          </w:tcPr>
          <w:p w14:paraId="4F8AB448">
            <w:pPr>
              <w:pStyle w:val="21"/>
              <w:spacing w:before="201" w:line="182" w:lineRule="auto"/>
              <w:ind w:left="209"/>
            </w:pPr>
            <w:r>
              <w:rPr>
                <w:spacing w:val="-1"/>
              </w:rPr>
              <w:t>微型</w:t>
            </w:r>
          </w:p>
        </w:tc>
        <w:tc>
          <w:tcPr>
            <w:tcW w:w="6551" w:type="dxa"/>
            <w:vAlign w:val="top"/>
          </w:tcPr>
          <w:p w14:paraId="7CCE9977">
            <w:pPr>
              <w:pStyle w:val="21"/>
              <w:spacing w:before="161" w:line="225" w:lineRule="auto"/>
              <w:ind w:left="102"/>
            </w:pPr>
            <w:r>
              <w:rPr>
                <w:spacing w:val="-2"/>
              </w:rPr>
              <w:t>从业人员 10 人以下或营业收入</w:t>
            </w:r>
            <w:r>
              <w:rPr>
                <w:spacing w:val="21"/>
                <w:w w:val="101"/>
              </w:rPr>
              <w:t xml:space="preserve"> </w:t>
            </w:r>
            <w:r>
              <w:rPr>
                <w:spacing w:val="-2"/>
              </w:rPr>
              <w:t>100</w:t>
            </w:r>
            <w:r>
              <w:rPr>
                <w:spacing w:val="36"/>
                <w:w w:val="101"/>
              </w:rPr>
              <w:t xml:space="preserve"> </w:t>
            </w:r>
            <w:r>
              <w:rPr>
                <w:spacing w:val="-2"/>
              </w:rPr>
              <w:t>万元以下</w:t>
            </w:r>
          </w:p>
        </w:tc>
      </w:tr>
    </w:tbl>
    <w:p w14:paraId="123AB063">
      <w:pPr>
        <w:pStyle w:val="7"/>
      </w:pPr>
    </w:p>
    <w:p w14:paraId="6AF3F863">
      <w:pPr>
        <w:sectPr>
          <w:footerReference r:id="rId25" w:type="default"/>
          <w:pgSz w:w="11905" w:h="16839"/>
          <w:pgMar w:top="1431" w:right="1050" w:bottom="1197" w:left="1050" w:header="0" w:footer="963" w:gutter="0"/>
          <w:pgNumType w:fmt="decimal"/>
          <w:cols w:space="720" w:num="1"/>
        </w:sectPr>
      </w:pPr>
    </w:p>
    <w:p w14:paraId="778960F5">
      <w:pPr>
        <w:spacing w:line="91" w:lineRule="auto"/>
        <w:rPr>
          <w:rFonts w:ascii="Arial"/>
          <w:sz w:val="2"/>
        </w:rPr>
      </w:pPr>
    </w:p>
    <w:tbl>
      <w:tblPr>
        <w:tblStyle w:val="20"/>
        <w:tblW w:w="979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94"/>
        <w:gridCol w:w="848"/>
        <w:gridCol w:w="6551"/>
      </w:tblGrid>
      <w:tr w14:paraId="7C0460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2394" w:type="dxa"/>
            <w:vMerge w:val="restart"/>
            <w:tcBorders>
              <w:bottom w:val="nil"/>
            </w:tcBorders>
            <w:vAlign w:val="top"/>
          </w:tcPr>
          <w:p w14:paraId="128A906C">
            <w:pPr>
              <w:spacing w:line="245" w:lineRule="auto"/>
              <w:rPr>
                <w:rFonts w:ascii="Arial"/>
                <w:sz w:val="21"/>
              </w:rPr>
            </w:pPr>
          </w:p>
          <w:p w14:paraId="714B8AAE">
            <w:pPr>
              <w:spacing w:line="245" w:lineRule="auto"/>
              <w:rPr>
                <w:rFonts w:ascii="Arial"/>
                <w:sz w:val="21"/>
              </w:rPr>
            </w:pPr>
          </w:p>
          <w:p w14:paraId="12B30575">
            <w:pPr>
              <w:spacing w:line="246" w:lineRule="auto"/>
              <w:rPr>
                <w:rFonts w:ascii="Arial"/>
                <w:sz w:val="21"/>
              </w:rPr>
            </w:pPr>
          </w:p>
          <w:p w14:paraId="04960089">
            <w:pPr>
              <w:spacing w:line="246" w:lineRule="auto"/>
              <w:rPr>
                <w:rFonts w:ascii="Arial"/>
                <w:sz w:val="21"/>
              </w:rPr>
            </w:pPr>
          </w:p>
          <w:p w14:paraId="78704A85">
            <w:pPr>
              <w:pStyle w:val="21"/>
              <w:spacing w:before="90" w:line="184" w:lineRule="auto"/>
              <w:ind w:left="144"/>
            </w:pPr>
            <w:r>
              <w:rPr>
                <w:spacing w:val="-1"/>
              </w:rPr>
              <w:t>软件和信息技术服务业</w:t>
            </w:r>
          </w:p>
        </w:tc>
        <w:tc>
          <w:tcPr>
            <w:tcW w:w="7399" w:type="dxa"/>
            <w:gridSpan w:val="2"/>
            <w:vAlign w:val="top"/>
          </w:tcPr>
          <w:p w14:paraId="68B21B79">
            <w:pPr>
              <w:pStyle w:val="21"/>
              <w:spacing w:before="156" w:line="225" w:lineRule="auto"/>
              <w:ind w:left="446"/>
            </w:pPr>
            <w:r>
              <w:rPr>
                <w:spacing w:val="-2"/>
              </w:rPr>
              <w:t>从业人员 300 人以下或营业收入</w:t>
            </w:r>
            <w:r>
              <w:rPr>
                <w:spacing w:val="22"/>
              </w:rPr>
              <w:t xml:space="preserve"> </w:t>
            </w:r>
            <w:r>
              <w:rPr>
                <w:spacing w:val="-2"/>
              </w:rPr>
              <w:t>100</w:t>
            </w:r>
            <w:r>
              <w:rPr>
                <w:spacing w:val="-3"/>
              </w:rPr>
              <w:t>00</w:t>
            </w:r>
            <w:r>
              <w:rPr>
                <w:spacing w:val="37"/>
              </w:rPr>
              <w:t xml:space="preserve"> </w:t>
            </w:r>
            <w:r>
              <w:rPr>
                <w:spacing w:val="-3"/>
              </w:rPr>
              <w:t>万元以下的为中小微型企业。</w:t>
            </w:r>
          </w:p>
        </w:tc>
      </w:tr>
      <w:tr w14:paraId="5CFF1A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394" w:type="dxa"/>
            <w:vMerge w:val="continue"/>
            <w:tcBorders>
              <w:top w:val="nil"/>
              <w:bottom w:val="nil"/>
            </w:tcBorders>
            <w:vAlign w:val="top"/>
          </w:tcPr>
          <w:p w14:paraId="555505F0">
            <w:pPr>
              <w:rPr>
                <w:rFonts w:ascii="Arial"/>
                <w:sz w:val="21"/>
              </w:rPr>
            </w:pPr>
          </w:p>
        </w:tc>
        <w:tc>
          <w:tcPr>
            <w:tcW w:w="848" w:type="dxa"/>
            <w:vAlign w:val="top"/>
          </w:tcPr>
          <w:p w14:paraId="2CA8D21F">
            <w:pPr>
              <w:pStyle w:val="21"/>
              <w:spacing w:before="192" w:line="182" w:lineRule="auto"/>
              <w:ind w:left="223"/>
            </w:pPr>
            <w:r>
              <w:rPr>
                <w:spacing w:val="-5"/>
              </w:rPr>
              <w:t>中型</w:t>
            </w:r>
          </w:p>
        </w:tc>
        <w:tc>
          <w:tcPr>
            <w:tcW w:w="6551" w:type="dxa"/>
            <w:vAlign w:val="top"/>
          </w:tcPr>
          <w:p w14:paraId="40480887">
            <w:pPr>
              <w:pStyle w:val="21"/>
              <w:spacing w:before="152" w:line="225" w:lineRule="auto"/>
              <w:ind w:left="102"/>
            </w:pPr>
            <w:r>
              <w:rPr>
                <w:spacing w:val="-2"/>
              </w:rPr>
              <w:t>从业人员 100—</w:t>
            </w:r>
            <w:r>
              <w:rPr>
                <w:spacing w:val="14"/>
              </w:rPr>
              <w:t xml:space="preserve"> </w:t>
            </w:r>
            <w:r>
              <w:rPr>
                <w:spacing w:val="-2"/>
              </w:rPr>
              <w:t>300 人，且营业收入</w:t>
            </w:r>
            <w:r>
              <w:rPr>
                <w:spacing w:val="22"/>
              </w:rPr>
              <w:t xml:space="preserve"> </w:t>
            </w:r>
            <w:r>
              <w:rPr>
                <w:spacing w:val="-2"/>
              </w:rPr>
              <w:t>1000</w:t>
            </w:r>
            <w:r>
              <w:rPr>
                <w:spacing w:val="37"/>
              </w:rPr>
              <w:t xml:space="preserve"> </w:t>
            </w:r>
            <w:r>
              <w:rPr>
                <w:spacing w:val="-2"/>
              </w:rPr>
              <w:t xml:space="preserve">万元一 </w:t>
            </w:r>
            <w:r>
              <w:rPr>
                <w:spacing w:val="-3"/>
              </w:rPr>
              <w:t>10000 万元</w:t>
            </w:r>
          </w:p>
        </w:tc>
      </w:tr>
      <w:tr w14:paraId="65A39E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394" w:type="dxa"/>
            <w:vMerge w:val="continue"/>
            <w:tcBorders>
              <w:top w:val="nil"/>
              <w:bottom w:val="nil"/>
            </w:tcBorders>
            <w:vAlign w:val="top"/>
          </w:tcPr>
          <w:p w14:paraId="423C8872">
            <w:pPr>
              <w:rPr>
                <w:rFonts w:ascii="Arial"/>
                <w:sz w:val="21"/>
              </w:rPr>
            </w:pPr>
          </w:p>
        </w:tc>
        <w:tc>
          <w:tcPr>
            <w:tcW w:w="848" w:type="dxa"/>
            <w:vAlign w:val="top"/>
          </w:tcPr>
          <w:p w14:paraId="59691A24">
            <w:pPr>
              <w:pStyle w:val="21"/>
              <w:spacing w:before="195" w:line="181" w:lineRule="auto"/>
              <w:ind w:left="210"/>
            </w:pPr>
            <w:r>
              <w:rPr>
                <w:spacing w:val="-1"/>
              </w:rPr>
              <w:t>小型</w:t>
            </w:r>
          </w:p>
        </w:tc>
        <w:tc>
          <w:tcPr>
            <w:tcW w:w="6551" w:type="dxa"/>
            <w:vAlign w:val="top"/>
          </w:tcPr>
          <w:p w14:paraId="482B2985">
            <w:pPr>
              <w:pStyle w:val="21"/>
              <w:spacing w:before="153" w:line="225" w:lineRule="auto"/>
              <w:ind w:left="102"/>
            </w:pPr>
            <w:r>
              <w:rPr>
                <w:spacing w:val="-2"/>
              </w:rPr>
              <w:t>从业人员 10 人一 100 人，且营业收入</w:t>
            </w:r>
            <w:r>
              <w:rPr>
                <w:spacing w:val="18"/>
              </w:rPr>
              <w:t xml:space="preserve"> </w:t>
            </w:r>
            <w:r>
              <w:rPr>
                <w:spacing w:val="-2"/>
              </w:rPr>
              <w:t>50</w:t>
            </w:r>
            <w:r>
              <w:rPr>
                <w:spacing w:val="37"/>
              </w:rPr>
              <w:t xml:space="preserve"> </w:t>
            </w:r>
            <w:r>
              <w:rPr>
                <w:spacing w:val="-3"/>
              </w:rPr>
              <w:t>万元一 1000 万元</w:t>
            </w:r>
          </w:p>
        </w:tc>
      </w:tr>
      <w:tr w14:paraId="06022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394" w:type="dxa"/>
            <w:vMerge w:val="continue"/>
            <w:tcBorders>
              <w:top w:val="nil"/>
            </w:tcBorders>
            <w:vAlign w:val="top"/>
          </w:tcPr>
          <w:p w14:paraId="37B15168">
            <w:pPr>
              <w:rPr>
                <w:rFonts w:ascii="Arial"/>
                <w:sz w:val="21"/>
              </w:rPr>
            </w:pPr>
          </w:p>
        </w:tc>
        <w:tc>
          <w:tcPr>
            <w:tcW w:w="848" w:type="dxa"/>
            <w:vAlign w:val="top"/>
          </w:tcPr>
          <w:p w14:paraId="29026926">
            <w:pPr>
              <w:pStyle w:val="21"/>
              <w:spacing w:before="194" w:line="182" w:lineRule="auto"/>
              <w:ind w:left="209"/>
            </w:pPr>
            <w:r>
              <w:rPr>
                <w:spacing w:val="-1"/>
              </w:rPr>
              <w:t>微型</w:t>
            </w:r>
          </w:p>
        </w:tc>
        <w:tc>
          <w:tcPr>
            <w:tcW w:w="6551" w:type="dxa"/>
            <w:vAlign w:val="top"/>
          </w:tcPr>
          <w:p w14:paraId="16DB722C">
            <w:pPr>
              <w:pStyle w:val="21"/>
              <w:spacing w:before="154" w:line="225" w:lineRule="auto"/>
              <w:ind w:left="102"/>
            </w:pPr>
            <w:r>
              <w:rPr>
                <w:spacing w:val="-2"/>
              </w:rPr>
              <w:t>从业人员 10 人以下或营业收入</w:t>
            </w:r>
            <w:r>
              <w:rPr>
                <w:spacing w:val="18"/>
                <w:w w:val="101"/>
              </w:rPr>
              <w:t xml:space="preserve"> </w:t>
            </w:r>
            <w:r>
              <w:rPr>
                <w:spacing w:val="-2"/>
              </w:rPr>
              <w:t>50</w:t>
            </w:r>
            <w:r>
              <w:rPr>
                <w:spacing w:val="37"/>
              </w:rPr>
              <w:t xml:space="preserve"> </w:t>
            </w:r>
            <w:r>
              <w:rPr>
                <w:spacing w:val="-2"/>
              </w:rPr>
              <w:t>万元以下</w:t>
            </w:r>
          </w:p>
        </w:tc>
      </w:tr>
      <w:tr w14:paraId="382233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394" w:type="dxa"/>
            <w:vMerge w:val="restart"/>
            <w:tcBorders>
              <w:bottom w:val="nil"/>
            </w:tcBorders>
            <w:vAlign w:val="top"/>
          </w:tcPr>
          <w:p w14:paraId="3841E21A">
            <w:pPr>
              <w:spacing w:line="248" w:lineRule="auto"/>
              <w:rPr>
                <w:rFonts w:ascii="Arial"/>
                <w:sz w:val="21"/>
              </w:rPr>
            </w:pPr>
          </w:p>
          <w:p w14:paraId="0C596762">
            <w:pPr>
              <w:spacing w:line="248" w:lineRule="auto"/>
              <w:rPr>
                <w:rFonts w:ascii="Arial"/>
                <w:sz w:val="21"/>
              </w:rPr>
            </w:pPr>
          </w:p>
          <w:p w14:paraId="0AA1FE29">
            <w:pPr>
              <w:spacing w:line="248" w:lineRule="auto"/>
              <w:rPr>
                <w:rFonts w:ascii="Arial"/>
                <w:sz w:val="21"/>
              </w:rPr>
            </w:pPr>
          </w:p>
          <w:p w14:paraId="0DF43D57">
            <w:pPr>
              <w:spacing w:line="248" w:lineRule="auto"/>
              <w:rPr>
                <w:rFonts w:ascii="Arial"/>
                <w:sz w:val="21"/>
              </w:rPr>
            </w:pPr>
          </w:p>
          <w:p w14:paraId="0E8E3C7D">
            <w:pPr>
              <w:spacing w:line="249" w:lineRule="auto"/>
              <w:rPr>
                <w:rFonts w:ascii="Arial"/>
                <w:sz w:val="21"/>
              </w:rPr>
            </w:pPr>
          </w:p>
          <w:p w14:paraId="7A7A564B">
            <w:pPr>
              <w:pStyle w:val="21"/>
              <w:spacing w:before="90" w:line="183" w:lineRule="auto"/>
              <w:ind w:left="457"/>
            </w:pPr>
            <w:r>
              <w:rPr>
                <w:spacing w:val="-1"/>
              </w:rPr>
              <w:t>房地产开发经营</w:t>
            </w:r>
          </w:p>
        </w:tc>
        <w:tc>
          <w:tcPr>
            <w:tcW w:w="7399" w:type="dxa"/>
            <w:gridSpan w:val="2"/>
            <w:vAlign w:val="top"/>
          </w:tcPr>
          <w:p w14:paraId="23654E65">
            <w:pPr>
              <w:pStyle w:val="21"/>
              <w:spacing w:before="154" w:line="225" w:lineRule="auto"/>
              <w:ind w:left="159"/>
            </w:pPr>
            <w:r>
              <w:rPr>
                <w:spacing w:val="-2"/>
              </w:rPr>
              <w:t>营业收入 200000 万元以下或资产总额</w:t>
            </w:r>
            <w:r>
              <w:rPr>
                <w:spacing w:val="22"/>
              </w:rPr>
              <w:t xml:space="preserve"> </w:t>
            </w:r>
            <w:r>
              <w:rPr>
                <w:spacing w:val="-2"/>
              </w:rPr>
              <w:t>10000</w:t>
            </w:r>
            <w:r>
              <w:rPr>
                <w:spacing w:val="37"/>
              </w:rPr>
              <w:t xml:space="preserve"> </w:t>
            </w:r>
            <w:r>
              <w:rPr>
                <w:spacing w:val="-2"/>
              </w:rPr>
              <w:t>万元以</w:t>
            </w:r>
            <w:r>
              <w:rPr>
                <w:spacing w:val="-3"/>
              </w:rPr>
              <w:t>下的为中小微型企业。</w:t>
            </w:r>
          </w:p>
        </w:tc>
      </w:tr>
      <w:tr w14:paraId="4F44E2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2394" w:type="dxa"/>
            <w:vMerge w:val="continue"/>
            <w:tcBorders>
              <w:top w:val="nil"/>
              <w:bottom w:val="nil"/>
            </w:tcBorders>
            <w:vAlign w:val="top"/>
          </w:tcPr>
          <w:p w14:paraId="003ADF4F">
            <w:pPr>
              <w:rPr>
                <w:rFonts w:ascii="Arial"/>
                <w:sz w:val="21"/>
              </w:rPr>
            </w:pPr>
          </w:p>
        </w:tc>
        <w:tc>
          <w:tcPr>
            <w:tcW w:w="848" w:type="dxa"/>
            <w:vAlign w:val="top"/>
          </w:tcPr>
          <w:p w14:paraId="1F166611">
            <w:pPr>
              <w:pStyle w:val="21"/>
              <w:spacing w:before="326" w:line="182" w:lineRule="auto"/>
              <w:ind w:left="223"/>
            </w:pPr>
            <w:r>
              <w:rPr>
                <w:spacing w:val="-5"/>
              </w:rPr>
              <w:t>中型</w:t>
            </w:r>
          </w:p>
        </w:tc>
        <w:tc>
          <w:tcPr>
            <w:tcW w:w="6551" w:type="dxa"/>
            <w:vAlign w:val="top"/>
          </w:tcPr>
          <w:p w14:paraId="7AEB6C57">
            <w:pPr>
              <w:pStyle w:val="21"/>
              <w:spacing w:before="75" w:line="251" w:lineRule="auto"/>
              <w:ind w:left="122" w:right="568" w:hanging="17"/>
            </w:pPr>
            <w:r>
              <w:rPr>
                <w:spacing w:val="-2"/>
              </w:rPr>
              <w:t>营业收入 1000 万元一 200000 万元，且资产总额</w:t>
            </w:r>
            <w:r>
              <w:rPr>
                <w:spacing w:val="23"/>
                <w:w w:val="101"/>
              </w:rPr>
              <w:t xml:space="preserve"> </w:t>
            </w:r>
            <w:r>
              <w:rPr>
                <w:spacing w:val="-2"/>
              </w:rPr>
              <w:t>5000</w:t>
            </w:r>
            <w:r>
              <w:rPr>
                <w:spacing w:val="37"/>
              </w:rPr>
              <w:t xml:space="preserve"> </w:t>
            </w:r>
            <w:r>
              <w:rPr>
                <w:spacing w:val="-2"/>
              </w:rPr>
              <w:t>万元一</w:t>
            </w:r>
            <w:r>
              <w:t xml:space="preserve"> </w:t>
            </w:r>
            <w:r>
              <w:rPr>
                <w:spacing w:val="-4"/>
              </w:rPr>
              <w:t>10000 万元</w:t>
            </w:r>
          </w:p>
        </w:tc>
      </w:tr>
      <w:tr w14:paraId="20D32C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2394" w:type="dxa"/>
            <w:vMerge w:val="continue"/>
            <w:tcBorders>
              <w:top w:val="nil"/>
              <w:bottom w:val="nil"/>
            </w:tcBorders>
            <w:vAlign w:val="top"/>
          </w:tcPr>
          <w:p w14:paraId="09C4E3D0">
            <w:pPr>
              <w:rPr>
                <w:rFonts w:ascii="Arial"/>
                <w:sz w:val="21"/>
              </w:rPr>
            </w:pPr>
          </w:p>
        </w:tc>
        <w:tc>
          <w:tcPr>
            <w:tcW w:w="848" w:type="dxa"/>
            <w:vAlign w:val="top"/>
          </w:tcPr>
          <w:p w14:paraId="35AABE08">
            <w:pPr>
              <w:pStyle w:val="21"/>
              <w:spacing w:before="329" w:line="181" w:lineRule="auto"/>
              <w:ind w:left="210"/>
            </w:pPr>
            <w:r>
              <w:rPr>
                <w:spacing w:val="-1"/>
              </w:rPr>
              <w:t>小型</w:t>
            </w:r>
          </w:p>
        </w:tc>
        <w:tc>
          <w:tcPr>
            <w:tcW w:w="6551" w:type="dxa"/>
            <w:vAlign w:val="top"/>
          </w:tcPr>
          <w:p w14:paraId="782ABC94">
            <w:pPr>
              <w:pStyle w:val="21"/>
              <w:spacing w:before="78" w:line="250" w:lineRule="auto"/>
              <w:ind w:left="104" w:right="58" w:firstLine="1"/>
            </w:pPr>
            <w:r>
              <w:rPr>
                <w:spacing w:val="-1"/>
              </w:rPr>
              <w:t>营业收入 100 万元一 1000 万元，且资产总额</w:t>
            </w:r>
            <w:r>
              <w:rPr>
                <w:spacing w:val="-2"/>
              </w:rPr>
              <w:t xml:space="preserve"> 2 000</w:t>
            </w:r>
            <w:r>
              <w:rPr>
                <w:spacing w:val="37"/>
              </w:rPr>
              <w:t xml:space="preserve"> </w:t>
            </w:r>
            <w:r>
              <w:rPr>
                <w:spacing w:val="-2"/>
              </w:rPr>
              <w:t>万元一 5000 万</w:t>
            </w:r>
            <w:r>
              <w:t xml:space="preserve"> 元</w:t>
            </w:r>
          </w:p>
        </w:tc>
      </w:tr>
      <w:tr w14:paraId="32CD99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394" w:type="dxa"/>
            <w:vMerge w:val="continue"/>
            <w:tcBorders>
              <w:top w:val="nil"/>
            </w:tcBorders>
            <w:vAlign w:val="top"/>
          </w:tcPr>
          <w:p w14:paraId="56878DB8">
            <w:pPr>
              <w:rPr>
                <w:rFonts w:ascii="Arial"/>
                <w:sz w:val="21"/>
              </w:rPr>
            </w:pPr>
          </w:p>
        </w:tc>
        <w:tc>
          <w:tcPr>
            <w:tcW w:w="848" w:type="dxa"/>
            <w:vAlign w:val="top"/>
          </w:tcPr>
          <w:p w14:paraId="24EC0676">
            <w:pPr>
              <w:pStyle w:val="21"/>
              <w:spacing w:before="198" w:line="182" w:lineRule="auto"/>
              <w:ind w:left="209"/>
            </w:pPr>
            <w:r>
              <w:rPr>
                <w:spacing w:val="-1"/>
              </w:rPr>
              <w:t>微型</w:t>
            </w:r>
          </w:p>
        </w:tc>
        <w:tc>
          <w:tcPr>
            <w:tcW w:w="6551" w:type="dxa"/>
            <w:vAlign w:val="top"/>
          </w:tcPr>
          <w:p w14:paraId="58F2EAEC">
            <w:pPr>
              <w:pStyle w:val="21"/>
              <w:spacing w:before="157" w:line="225" w:lineRule="auto"/>
              <w:ind w:left="105"/>
            </w:pPr>
            <w:r>
              <w:rPr>
                <w:spacing w:val="-1"/>
              </w:rPr>
              <w:t>营业收入 100 万元以下或资产总额 2000</w:t>
            </w:r>
            <w:r>
              <w:rPr>
                <w:spacing w:val="41"/>
              </w:rPr>
              <w:t xml:space="preserve"> </w:t>
            </w:r>
            <w:r>
              <w:rPr>
                <w:spacing w:val="-1"/>
              </w:rPr>
              <w:t>万元以下的为微型企业</w:t>
            </w:r>
          </w:p>
        </w:tc>
      </w:tr>
      <w:tr w14:paraId="460637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394" w:type="dxa"/>
            <w:vMerge w:val="restart"/>
            <w:tcBorders>
              <w:bottom w:val="nil"/>
            </w:tcBorders>
            <w:vAlign w:val="top"/>
          </w:tcPr>
          <w:p w14:paraId="606548D5">
            <w:pPr>
              <w:spacing w:line="246" w:lineRule="auto"/>
              <w:rPr>
                <w:rFonts w:ascii="Arial"/>
                <w:sz w:val="21"/>
              </w:rPr>
            </w:pPr>
          </w:p>
          <w:p w14:paraId="6EC9DD49">
            <w:pPr>
              <w:spacing w:line="246" w:lineRule="auto"/>
              <w:rPr>
                <w:rFonts w:ascii="Arial"/>
                <w:sz w:val="21"/>
              </w:rPr>
            </w:pPr>
          </w:p>
          <w:p w14:paraId="06F0C489">
            <w:pPr>
              <w:spacing w:line="247" w:lineRule="auto"/>
              <w:rPr>
                <w:rFonts w:ascii="Arial"/>
                <w:sz w:val="21"/>
              </w:rPr>
            </w:pPr>
          </w:p>
          <w:p w14:paraId="3A1E6F77">
            <w:pPr>
              <w:spacing w:line="247" w:lineRule="auto"/>
              <w:rPr>
                <w:rFonts w:ascii="Arial"/>
                <w:sz w:val="21"/>
              </w:rPr>
            </w:pPr>
          </w:p>
          <w:p w14:paraId="3851C37F">
            <w:pPr>
              <w:pStyle w:val="21"/>
              <w:spacing w:before="91" w:line="183" w:lineRule="auto"/>
              <w:ind w:left="770"/>
            </w:pPr>
            <w:r>
              <w:rPr>
                <w:spacing w:val="-1"/>
              </w:rPr>
              <w:t>物业管理</w:t>
            </w:r>
          </w:p>
        </w:tc>
        <w:tc>
          <w:tcPr>
            <w:tcW w:w="7399" w:type="dxa"/>
            <w:gridSpan w:val="2"/>
            <w:vAlign w:val="top"/>
          </w:tcPr>
          <w:p w14:paraId="46153398">
            <w:pPr>
              <w:pStyle w:val="21"/>
              <w:spacing w:before="159" w:line="225" w:lineRule="auto"/>
              <w:ind w:left="446"/>
            </w:pPr>
            <w:r>
              <w:rPr>
                <w:spacing w:val="-2"/>
              </w:rPr>
              <w:t>从业人员 1000 人以下或营业收入</w:t>
            </w:r>
            <w:r>
              <w:rPr>
                <w:spacing w:val="18"/>
              </w:rPr>
              <w:t xml:space="preserve"> </w:t>
            </w:r>
            <w:r>
              <w:rPr>
                <w:spacing w:val="-2"/>
              </w:rPr>
              <w:t>5000</w:t>
            </w:r>
            <w:r>
              <w:rPr>
                <w:spacing w:val="37"/>
              </w:rPr>
              <w:t xml:space="preserve"> </w:t>
            </w:r>
            <w:r>
              <w:rPr>
                <w:spacing w:val="-2"/>
              </w:rPr>
              <w:t>万元</w:t>
            </w:r>
            <w:r>
              <w:rPr>
                <w:spacing w:val="-3"/>
              </w:rPr>
              <w:t>以下的为中小微型企业。</w:t>
            </w:r>
          </w:p>
        </w:tc>
      </w:tr>
      <w:tr w14:paraId="5DA209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2394" w:type="dxa"/>
            <w:vMerge w:val="continue"/>
            <w:tcBorders>
              <w:top w:val="nil"/>
              <w:bottom w:val="nil"/>
            </w:tcBorders>
            <w:vAlign w:val="top"/>
          </w:tcPr>
          <w:p w14:paraId="5B024BD5">
            <w:pPr>
              <w:rPr>
                <w:rFonts w:ascii="Arial"/>
                <w:sz w:val="21"/>
              </w:rPr>
            </w:pPr>
          </w:p>
        </w:tc>
        <w:tc>
          <w:tcPr>
            <w:tcW w:w="848" w:type="dxa"/>
            <w:vAlign w:val="top"/>
          </w:tcPr>
          <w:p w14:paraId="7565AE31">
            <w:pPr>
              <w:pStyle w:val="21"/>
              <w:spacing w:before="200" w:line="182" w:lineRule="auto"/>
              <w:ind w:left="223"/>
            </w:pPr>
            <w:r>
              <w:rPr>
                <w:spacing w:val="-5"/>
              </w:rPr>
              <w:t>中型</w:t>
            </w:r>
          </w:p>
        </w:tc>
        <w:tc>
          <w:tcPr>
            <w:tcW w:w="6551" w:type="dxa"/>
            <w:vAlign w:val="top"/>
          </w:tcPr>
          <w:p w14:paraId="470924CA">
            <w:pPr>
              <w:pStyle w:val="21"/>
              <w:spacing w:before="160" w:line="225" w:lineRule="auto"/>
              <w:ind w:left="102"/>
            </w:pPr>
            <w:r>
              <w:rPr>
                <w:spacing w:val="-2"/>
              </w:rPr>
              <w:t>从业人员</w:t>
            </w:r>
            <w:r>
              <w:rPr>
                <w:spacing w:val="15"/>
              </w:rPr>
              <w:t xml:space="preserve"> </w:t>
            </w:r>
            <w:r>
              <w:rPr>
                <w:spacing w:val="-2"/>
              </w:rPr>
              <w:t>300</w:t>
            </w:r>
            <w:r>
              <w:rPr>
                <w:spacing w:val="36"/>
                <w:w w:val="101"/>
              </w:rPr>
              <w:t xml:space="preserve"> </w:t>
            </w:r>
            <w:r>
              <w:rPr>
                <w:spacing w:val="-2"/>
              </w:rPr>
              <w:t>人一 1 000 人，且营业收入</w:t>
            </w:r>
            <w:r>
              <w:rPr>
                <w:spacing w:val="22"/>
              </w:rPr>
              <w:t xml:space="preserve"> </w:t>
            </w:r>
            <w:r>
              <w:rPr>
                <w:spacing w:val="-2"/>
              </w:rPr>
              <w:t>1000</w:t>
            </w:r>
            <w:r>
              <w:rPr>
                <w:spacing w:val="37"/>
              </w:rPr>
              <w:t xml:space="preserve"> </w:t>
            </w:r>
            <w:r>
              <w:rPr>
                <w:spacing w:val="-2"/>
              </w:rPr>
              <w:t>万元一</w:t>
            </w:r>
            <w:r>
              <w:rPr>
                <w:spacing w:val="-3"/>
              </w:rPr>
              <w:t xml:space="preserve"> 5000 万元</w:t>
            </w:r>
          </w:p>
        </w:tc>
      </w:tr>
      <w:tr w14:paraId="056A089D">
        <w:tblPrEx>
          <w:tblCellMar>
            <w:top w:w="0" w:type="dxa"/>
            <w:left w:w="0" w:type="dxa"/>
            <w:bottom w:w="0" w:type="dxa"/>
            <w:right w:w="0" w:type="dxa"/>
          </w:tblCellMar>
        </w:tblPrEx>
        <w:trPr>
          <w:trHeight w:val="580" w:hRule="atLeast"/>
        </w:trPr>
        <w:tc>
          <w:tcPr>
            <w:tcW w:w="2394" w:type="dxa"/>
            <w:vMerge w:val="continue"/>
            <w:tcBorders>
              <w:top w:val="nil"/>
              <w:bottom w:val="nil"/>
            </w:tcBorders>
            <w:vAlign w:val="top"/>
          </w:tcPr>
          <w:p w14:paraId="5F2945C4">
            <w:pPr>
              <w:rPr>
                <w:rFonts w:ascii="Arial"/>
                <w:sz w:val="21"/>
              </w:rPr>
            </w:pPr>
          </w:p>
        </w:tc>
        <w:tc>
          <w:tcPr>
            <w:tcW w:w="848" w:type="dxa"/>
            <w:vAlign w:val="top"/>
          </w:tcPr>
          <w:p w14:paraId="473AC1A7">
            <w:pPr>
              <w:pStyle w:val="21"/>
              <w:spacing w:before="202" w:line="181" w:lineRule="auto"/>
              <w:ind w:left="210"/>
            </w:pPr>
            <w:r>
              <w:rPr>
                <w:spacing w:val="-1"/>
              </w:rPr>
              <w:t>小型</w:t>
            </w:r>
          </w:p>
        </w:tc>
        <w:tc>
          <w:tcPr>
            <w:tcW w:w="6551" w:type="dxa"/>
            <w:vAlign w:val="top"/>
          </w:tcPr>
          <w:p w14:paraId="784C897B">
            <w:pPr>
              <w:pStyle w:val="21"/>
              <w:spacing w:before="160" w:line="225" w:lineRule="auto"/>
              <w:ind w:left="102"/>
            </w:pPr>
            <w:r>
              <w:rPr>
                <w:spacing w:val="-2"/>
              </w:rPr>
              <w:t>从业人员 100 人一 300 人，且营业收入</w:t>
            </w:r>
            <w:r>
              <w:rPr>
                <w:spacing w:val="18"/>
              </w:rPr>
              <w:t xml:space="preserve"> </w:t>
            </w:r>
            <w:r>
              <w:rPr>
                <w:spacing w:val="-2"/>
              </w:rPr>
              <w:t>500</w:t>
            </w:r>
            <w:r>
              <w:rPr>
                <w:spacing w:val="37"/>
              </w:rPr>
              <w:t xml:space="preserve"> </w:t>
            </w:r>
            <w:r>
              <w:rPr>
                <w:spacing w:val="-2"/>
              </w:rPr>
              <w:t xml:space="preserve">万元一 </w:t>
            </w:r>
            <w:r>
              <w:rPr>
                <w:spacing w:val="-3"/>
              </w:rPr>
              <w:t>1000 万元</w:t>
            </w:r>
          </w:p>
        </w:tc>
      </w:tr>
      <w:tr w14:paraId="764AF0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2394" w:type="dxa"/>
            <w:vMerge w:val="continue"/>
            <w:tcBorders>
              <w:top w:val="nil"/>
            </w:tcBorders>
            <w:vAlign w:val="top"/>
          </w:tcPr>
          <w:p w14:paraId="3E2FD774">
            <w:pPr>
              <w:rPr>
                <w:rFonts w:ascii="Arial"/>
                <w:sz w:val="21"/>
              </w:rPr>
            </w:pPr>
          </w:p>
        </w:tc>
        <w:tc>
          <w:tcPr>
            <w:tcW w:w="848" w:type="dxa"/>
            <w:vAlign w:val="top"/>
          </w:tcPr>
          <w:p w14:paraId="53AA8444">
            <w:pPr>
              <w:pStyle w:val="21"/>
              <w:spacing w:before="200" w:line="182" w:lineRule="auto"/>
              <w:ind w:left="209"/>
            </w:pPr>
            <w:r>
              <w:rPr>
                <w:spacing w:val="-1"/>
              </w:rPr>
              <w:t>微型</w:t>
            </w:r>
          </w:p>
        </w:tc>
        <w:tc>
          <w:tcPr>
            <w:tcW w:w="6551" w:type="dxa"/>
            <w:vAlign w:val="top"/>
          </w:tcPr>
          <w:p w14:paraId="1003FACC">
            <w:pPr>
              <w:pStyle w:val="21"/>
              <w:spacing w:before="160" w:line="225" w:lineRule="auto"/>
              <w:ind w:left="102"/>
            </w:pPr>
            <w:r>
              <w:rPr>
                <w:spacing w:val="-2"/>
              </w:rPr>
              <w:t>从业人员 100 人以下或营业收入</w:t>
            </w:r>
            <w:r>
              <w:rPr>
                <w:spacing w:val="22"/>
                <w:w w:val="101"/>
              </w:rPr>
              <w:t xml:space="preserve"> </w:t>
            </w:r>
            <w:r>
              <w:rPr>
                <w:spacing w:val="-2"/>
              </w:rPr>
              <w:t>500</w:t>
            </w:r>
            <w:r>
              <w:rPr>
                <w:spacing w:val="37"/>
              </w:rPr>
              <w:t xml:space="preserve"> </w:t>
            </w:r>
            <w:r>
              <w:rPr>
                <w:spacing w:val="-2"/>
              </w:rPr>
              <w:t>万元以下</w:t>
            </w:r>
          </w:p>
        </w:tc>
      </w:tr>
      <w:tr w14:paraId="0022DC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9" w:hRule="atLeast"/>
        </w:trPr>
        <w:tc>
          <w:tcPr>
            <w:tcW w:w="2394" w:type="dxa"/>
            <w:vMerge w:val="restart"/>
            <w:tcBorders>
              <w:bottom w:val="nil"/>
            </w:tcBorders>
            <w:vAlign w:val="top"/>
          </w:tcPr>
          <w:p w14:paraId="6C609008">
            <w:pPr>
              <w:spacing w:line="255" w:lineRule="auto"/>
              <w:rPr>
                <w:rFonts w:ascii="Arial"/>
                <w:sz w:val="21"/>
              </w:rPr>
            </w:pPr>
          </w:p>
          <w:p w14:paraId="4024F37C">
            <w:pPr>
              <w:spacing w:line="255" w:lineRule="auto"/>
              <w:rPr>
                <w:rFonts w:ascii="Arial"/>
                <w:sz w:val="21"/>
              </w:rPr>
            </w:pPr>
          </w:p>
          <w:p w14:paraId="60E79B10">
            <w:pPr>
              <w:spacing w:line="255" w:lineRule="auto"/>
              <w:rPr>
                <w:rFonts w:ascii="Arial"/>
                <w:sz w:val="21"/>
              </w:rPr>
            </w:pPr>
          </w:p>
          <w:p w14:paraId="390C92FE">
            <w:pPr>
              <w:spacing w:line="256" w:lineRule="auto"/>
              <w:rPr>
                <w:rFonts w:ascii="Arial"/>
                <w:sz w:val="21"/>
              </w:rPr>
            </w:pPr>
          </w:p>
          <w:p w14:paraId="000E082D">
            <w:pPr>
              <w:spacing w:line="256" w:lineRule="auto"/>
              <w:rPr>
                <w:rFonts w:ascii="Arial"/>
                <w:sz w:val="21"/>
              </w:rPr>
            </w:pPr>
          </w:p>
          <w:p w14:paraId="7AA3C9EC">
            <w:pPr>
              <w:spacing w:line="256" w:lineRule="auto"/>
              <w:rPr>
                <w:rFonts w:ascii="Arial"/>
                <w:sz w:val="21"/>
              </w:rPr>
            </w:pPr>
          </w:p>
          <w:p w14:paraId="60C67D57">
            <w:pPr>
              <w:pStyle w:val="21"/>
              <w:spacing w:before="90" w:line="184" w:lineRule="auto"/>
              <w:ind w:left="105"/>
            </w:pPr>
            <w:r>
              <w:rPr>
                <w:spacing w:val="-1"/>
              </w:rPr>
              <w:t>租赁和商务服务业</w:t>
            </w:r>
          </w:p>
        </w:tc>
        <w:tc>
          <w:tcPr>
            <w:tcW w:w="7399" w:type="dxa"/>
            <w:gridSpan w:val="2"/>
            <w:vAlign w:val="top"/>
          </w:tcPr>
          <w:p w14:paraId="0D5B0A6E">
            <w:pPr>
              <w:pStyle w:val="21"/>
              <w:spacing w:before="77" w:line="265" w:lineRule="auto"/>
              <w:ind w:left="101" w:right="17"/>
              <w:jc w:val="both"/>
            </w:pPr>
            <w:r>
              <w:rPr>
                <w:spacing w:val="-2"/>
              </w:rPr>
              <w:t>从业人员 300 人以下或资产总额</w:t>
            </w:r>
            <w:r>
              <w:rPr>
                <w:spacing w:val="22"/>
              </w:rPr>
              <w:t xml:space="preserve"> </w:t>
            </w:r>
            <w:r>
              <w:rPr>
                <w:spacing w:val="-2"/>
              </w:rPr>
              <w:t>120 000</w:t>
            </w:r>
            <w:r>
              <w:rPr>
                <w:spacing w:val="37"/>
              </w:rPr>
              <w:t xml:space="preserve"> </w:t>
            </w:r>
            <w:r>
              <w:rPr>
                <w:spacing w:val="-2"/>
              </w:rPr>
              <w:t>万元以下的为</w:t>
            </w:r>
            <w:r>
              <w:rPr>
                <w:spacing w:val="-3"/>
              </w:rPr>
              <w:t>中小微型企业。其中，</w:t>
            </w:r>
            <w:r>
              <w:t xml:space="preserve"> 从业人员 100 人及以上，且资产总额8 000</w:t>
            </w:r>
            <w:r>
              <w:rPr>
                <w:spacing w:val="44"/>
                <w:w w:val="101"/>
              </w:rPr>
              <w:t xml:space="preserve"> </w:t>
            </w:r>
            <w:r>
              <w:t xml:space="preserve">万元及以上的为中型企业；从业人 </w:t>
            </w:r>
            <w:r>
              <w:rPr>
                <w:spacing w:val="-2"/>
              </w:rPr>
              <w:t>员 10 人及以上，且资产总额</w:t>
            </w:r>
            <w:r>
              <w:rPr>
                <w:spacing w:val="22"/>
                <w:w w:val="101"/>
              </w:rPr>
              <w:t xml:space="preserve"> </w:t>
            </w:r>
            <w:r>
              <w:rPr>
                <w:spacing w:val="-2"/>
              </w:rPr>
              <w:t>100</w:t>
            </w:r>
            <w:r>
              <w:rPr>
                <w:spacing w:val="37"/>
              </w:rPr>
              <w:t xml:space="preserve"> </w:t>
            </w:r>
            <w:r>
              <w:rPr>
                <w:spacing w:val="-2"/>
              </w:rPr>
              <w:t>万元及以上的为小型企业；从业人员</w:t>
            </w:r>
            <w:r>
              <w:rPr>
                <w:spacing w:val="21"/>
                <w:w w:val="101"/>
              </w:rPr>
              <w:t xml:space="preserve"> </w:t>
            </w:r>
            <w:r>
              <w:rPr>
                <w:spacing w:val="-2"/>
              </w:rPr>
              <w:t>10</w:t>
            </w:r>
            <w:r>
              <w:rPr>
                <w:spacing w:val="37"/>
              </w:rPr>
              <w:t xml:space="preserve"> </w:t>
            </w:r>
            <w:r>
              <w:rPr>
                <w:spacing w:val="-2"/>
              </w:rPr>
              <w:t>人</w:t>
            </w:r>
            <w:r>
              <w:t xml:space="preserve">   </w:t>
            </w:r>
            <w:r>
              <w:rPr>
                <w:spacing w:val="-3"/>
              </w:rPr>
              <w:t>以下或资产总额</w:t>
            </w:r>
            <w:r>
              <w:rPr>
                <w:spacing w:val="22"/>
              </w:rPr>
              <w:t xml:space="preserve"> </w:t>
            </w:r>
            <w:r>
              <w:rPr>
                <w:spacing w:val="-3"/>
              </w:rPr>
              <w:t>100</w:t>
            </w:r>
            <w:r>
              <w:rPr>
                <w:spacing w:val="37"/>
              </w:rPr>
              <w:t xml:space="preserve"> </w:t>
            </w:r>
            <w:r>
              <w:rPr>
                <w:spacing w:val="-3"/>
              </w:rPr>
              <w:t>万元以下的为微型企</w:t>
            </w:r>
            <w:r>
              <w:rPr>
                <w:spacing w:val="-4"/>
              </w:rPr>
              <w:t>业。</w:t>
            </w:r>
          </w:p>
        </w:tc>
      </w:tr>
      <w:tr w14:paraId="7296BB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2394" w:type="dxa"/>
            <w:vMerge w:val="continue"/>
            <w:tcBorders>
              <w:top w:val="nil"/>
              <w:bottom w:val="nil"/>
            </w:tcBorders>
            <w:vAlign w:val="top"/>
          </w:tcPr>
          <w:p w14:paraId="3A61A23D">
            <w:pPr>
              <w:rPr>
                <w:rFonts w:ascii="Arial"/>
                <w:sz w:val="21"/>
              </w:rPr>
            </w:pPr>
          </w:p>
        </w:tc>
        <w:tc>
          <w:tcPr>
            <w:tcW w:w="848" w:type="dxa"/>
            <w:vAlign w:val="top"/>
          </w:tcPr>
          <w:p w14:paraId="534D2914">
            <w:pPr>
              <w:pStyle w:val="21"/>
              <w:spacing w:before="201" w:line="182" w:lineRule="auto"/>
              <w:ind w:left="223"/>
            </w:pPr>
            <w:r>
              <w:rPr>
                <w:spacing w:val="-5"/>
              </w:rPr>
              <w:t>中型</w:t>
            </w:r>
          </w:p>
        </w:tc>
        <w:tc>
          <w:tcPr>
            <w:tcW w:w="6551" w:type="dxa"/>
            <w:vAlign w:val="top"/>
          </w:tcPr>
          <w:p w14:paraId="47D40EE4">
            <w:pPr>
              <w:pStyle w:val="21"/>
              <w:spacing w:before="160" w:line="225" w:lineRule="auto"/>
              <w:ind w:left="102"/>
            </w:pPr>
            <w:r>
              <w:rPr>
                <w:spacing w:val="-1"/>
              </w:rPr>
              <w:t>从业人员 100 人一 300 人，且</w:t>
            </w:r>
            <w:r>
              <w:rPr>
                <w:spacing w:val="-2"/>
              </w:rPr>
              <w:t>资产总额 8000</w:t>
            </w:r>
            <w:r>
              <w:rPr>
                <w:spacing w:val="37"/>
              </w:rPr>
              <w:t xml:space="preserve"> </w:t>
            </w:r>
            <w:r>
              <w:rPr>
                <w:spacing w:val="-2"/>
              </w:rPr>
              <w:t>万元一 120000 万元</w:t>
            </w:r>
          </w:p>
        </w:tc>
      </w:tr>
      <w:tr w14:paraId="0D88E7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2394" w:type="dxa"/>
            <w:vMerge w:val="continue"/>
            <w:tcBorders>
              <w:top w:val="nil"/>
              <w:bottom w:val="nil"/>
            </w:tcBorders>
            <w:vAlign w:val="top"/>
          </w:tcPr>
          <w:p w14:paraId="444412A9">
            <w:pPr>
              <w:rPr>
                <w:rFonts w:ascii="Arial"/>
                <w:sz w:val="21"/>
              </w:rPr>
            </w:pPr>
          </w:p>
        </w:tc>
        <w:tc>
          <w:tcPr>
            <w:tcW w:w="848" w:type="dxa"/>
            <w:vAlign w:val="top"/>
          </w:tcPr>
          <w:p w14:paraId="05A8A6DD">
            <w:pPr>
              <w:pStyle w:val="21"/>
              <w:spacing w:before="203" w:line="181" w:lineRule="auto"/>
              <w:ind w:left="210"/>
            </w:pPr>
            <w:r>
              <w:rPr>
                <w:spacing w:val="-1"/>
              </w:rPr>
              <w:t>小型</w:t>
            </w:r>
          </w:p>
        </w:tc>
        <w:tc>
          <w:tcPr>
            <w:tcW w:w="6551" w:type="dxa"/>
            <w:vAlign w:val="top"/>
          </w:tcPr>
          <w:p w14:paraId="31B0702F">
            <w:pPr>
              <w:pStyle w:val="21"/>
              <w:spacing w:before="160" w:line="225" w:lineRule="auto"/>
              <w:ind w:left="102"/>
            </w:pPr>
            <w:r>
              <w:rPr>
                <w:spacing w:val="-2"/>
              </w:rPr>
              <w:t>从业人员 10 人一 100 人，且资产总额</w:t>
            </w:r>
            <w:r>
              <w:rPr>
                <w:spacing w:val="22"/>
              </w:rPr>
              <w:t xml:space="preserve"> </w:t>
            </w:r>
            <w:r>
              <w:rPr>
                <w:spacing w:val="-2"/>
              </w:rPr>
              <w:t>1</w:t>
            </w:r>
            <w:r>
              <w:rPr>
                <w:spacing w:val="-3"/>
              </w:rPr>
              <w:t>00</w:t>
            </w:r>
            <w:r>
              <w:rPr>
                <w:spacing w:val="37"/>
              </w:rPr>
              <w:t xml:space="preserve"> </w:t>
            </w:r>
            <w:r>
              <w:rPr>
                <w:spacing w:val="-3"/>
              </w:rPr>
              <w:t>万元一 8000 万元</w:t>
            </w:r>
          </w:p>
        </w:tc>
      </w:tr>
      <w:tr w14:paraId="22F8A7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2394" w:type="dxa"/>
            <w:vMerge w:val="continue"/>
            <w:tcBorders>
              <w:top w:val="nil"/>
            </w:tcBorders>
            <w:vAlign w:val="top"/>
          </w:tcPr>
          <w:p w14:paraId="6277412D">
            <w:pPr>
              <w:rPr>
                <w:rFonts w:ascii="Arial"/>
                <w:sz w:val="21"/>
              </w:rPr>
            </w:pPr>
          </w:p>
        </w:tc>
        <w:tc>
          <w:tcPr>
            <w:tcW w:w="848" w:type="dxa"/>
            <w:vAlign w:val="top"/>
          </w:tcPr>
          <w:p w14:paraId="79552A70">
            <w:pPr>
              <w:pStyle w:val="21"/>
              <w:spacing w:before="201" w:line="182" w:lineRule="auto"/>
              <w:ind w:left="209"/>
            </w:pPr>
            <w:r>
              <w:rPr>
                <w:spacing w:val="-1"/>
              </w:rPr>
              <w:t>微型</w:t>
            </w:r>
          </w:p>
        </w:tc>
        <w:tc>
          <w:tcPr>
            <w:tcW w:w="6551" w:type="dxa"/>
            <w:vAlign w:val="top"/>
          </w:tcPr>
          <w:p w14:paraId="7117AADF">
            <w:pPr>
              <w:pStyle w:val="21"/>
              <w:spacing w:before="160" w:line="225" w:lineRule="auto"/>
              <w:ind w:left="102"/>
            </w:pPr>
            <w:r>
              <w:rPr>
                <w:spacing w:val="-2"/>
              </w:rPr>
              <w:t>从业人员 10 人以下或资产总额</w:t>
            </w:r>
            <w:r>
              <w:rPr>
                <w:spacing w:val="21"/>
                <w:w w:val="101"/>
              </w:rPr>
              <w:t xml:space="preserve"> </w:t>
            </w:r>
            <w:r>
              <w:rPr>
                <w:spacing w:val="-2"/>
              </w:rPr>
              <w:t>100</w:t>
            </w:r>
            <w:r>
              <w:rPr>
                <w:spacing w:val="36"/>
                <w:w w:val="101"/>
              </w:rPr>
              <w:t xml:space="preserve"> </w:t>
            </w:r>
            <w:r>
              <w:rPr>
                <w:spacing w:val="-2"/>
              </w:rPr>
              <w:t>万元以下</w:t>
            </w:r>
          </w:p>
        </w:tc>
      </w:tr>
      <w:tr w14:paraId="05B46B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2394" w:type="dxa"/>
            <w:vMerge w:val="restart"/>
            <w:tcBorders>
              <w:bottom w:val="nil"/>
            </w:tcBorders>
            <w:vAlign w:val="top"/>
          </w:tcPr>
          <w:p w14:paraId="673695D5">
            <w:pPr>
              <w:spacing w:line="252" w:lineRule="auto"/>
              <w:rPr>
                <w:rFonts w:ascii="Arial"/>
                <w:sz w:val="21"/>
              </w:rPr>
            </w:pPr>
          </w:p>
          <w:p w14:paraId="01E1EC56">
            <w:pPr>
              <w:spacing w:line="252" w:lineRule="auto"/>
              <w:rPr>
                <w:rFonts w:ascii="Arial"/>
                <w:sz w:val="21"/>
              </w:rPr>
            </w:pPr>
          </w:p>
          <w:p w14:paraId="3ED19920">
            <w:pPr>
              <w:spacing w:line="252" w:lineRule="auto"/>
              <w:rPr>
                <w:rFonts w:ascii="Arial"/>
                <w:sz w:val="21"/>
              </w:rPr>
            </w:pPr>
          </w:p>
          <w:p w14:paraId="069BD200">
            <w:pPr>
              <w:spacing w:line="252" w:lineRule="auto"/>
              <w:rPr>
                <w:rFonts w:ascii="Arial"/>
                <w:sz w:val="21"/>
              </w:rPr>
            </w:pPr>
          </w:p>
          <w:p w14:paraId="10A0547A">
            <w:pPr>
              <w:pStyle w:val="21"/>
              <w:spacing w:before="90" w:line="183" w:lineRule="auto"/>
              <w:ind w:left="459"/>
            </w:pPr>
            <w:r>
              <w:rPr>
                <w:b/>
                <w:bCs/>
                <w:spacing w:val="-1"/>
              </w:rPr>
              <w:t>其他未列明行业</w:t>
            </w:r>
          </w:p>
        </w:tc>
        <w:tc>
          <w:tcPr>
            <w:tcW w:w="7399" w:type="dxa"/>
            <w:gridSpan w:val="2"/>
            <w:vAlign w:val="top"/>
          </w:tcPr>
          <w:p w14:paraId="4698E88B">
            <w:pPr>
              <w:pStyle w:val="21"/>
              <w:spacing w:before="156" w:line="230" w:lineRule="auto"/>
              <w:ind w:left="102"/>
            </w:pPr>
            <w:r>
              <w:rPr>
                <w:b/>
                <w:bCs/>
                <w:spacing w:val="-3"/>
              </w:rPr>
              <w:t>从业人员 300 人以下的为中小微型企业。</w:t>
            </w:r>
          </w:p>
        </w:tc>
      </w:tr>
      <w:tr w14:paraId="4B2900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2394" w:type="dxa"/>
            <w:vMerge w:val="continue"/>
            <w:tcBorders>
              <w:top w:val="nil"/>
              <w:bottom w:val="nil"/>
            </w:tcBorders>
            <w:vAlign w:val="top"/>
          </w:tcPr>
          <w:p w14:paraId="06323002">
            <w:pPr>
              <w:rPr>
                <w:rFonts w:ascii="Arial"/>
                <w:sz w:val="21"/>
              </w:rPr>
            </w:pPr>
          </w:p>
        </w:tc>
        <w:tc>
          <w:tcPr>
            <w:tcW w:w="848" w:type="dxa"/>
            <w:vAlign w:val="top"/>
          </w:tcPr>
          <w:p w14:paraId="2DB7FEA3">
            <w:pPr>
              <w:pStyle w:val="21"/>
              <w:spacing w:before="200" w:line="183" w:lineRule="auto"/>
              <w:ind w:left="219"/>
            </w:pPr>
            <w:r>
              <w:rPr>
                <w:b/>
                <w:bCs/>
                <w:spacing w:val="-4"/>
              </w:rPr>
              <w:t>中型</w:t>
            </w:r>
          </w:p>
        </w:tc>
        <w:tc>
          <w:tcPr>
            <w:tcW w:w="6551" w:type="dxa"/>
            <w:vAlign w:val="top"/>
          </w:tcPr>
          <w:p w14:paraId="0DF4923D">
            <w:pPr>
              <w:pStyle w:val="21"/>
              <w:spacing w:before="156" w:line="230" w:lineRule="auto"/>
              <w:ind w:left="103"/>
            </w:pPr>
            <w:r>
              <w:rPr>
                <w:b/>
                <w:bCs/>
                <w:spacing w:val="-3"/>
              </w:rPr>
              <w:t>从业人员 100—</w:t>
            </w:r>
            <w:r>
              <w:rPr>
                <w:b/>
                <w:bCs/>
                <w:spacing w:val="21"/>
              </w:rPr>
              <w:t xml:space="preserve"> </w:t>
            </w:r>
            <w:r>
              <w:rPr>
                <w:b/>
                <w:bCs/>
                <w:spacing w:val="-3"/>
              </w:rPr>
              <w:t>300 人</w:t>
            </w:r>
          </w:p>
        </w:tc>
      </w:tr>
      <w:tr w14:paraId="52C7C0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2394" w:type="dxa"/>
            <w:vMerge w:val="continue"/>
            <w:tcBorders>
              <w:top w:val="nil"/>
              <w:bottom w:val="nil"/>
            </w:tcBorders>
            <w:vAlign w:val="top"/>
          </w:tcPr>
          <w:p w14:paraId="29A6F417">
            <w:pPr>
              <w:rPr>
                <w:rFonts w:ascii="Arial"/>
                <w:sz w:val="21"/>
              </w:rPr>
            </w:pPr>
          </w:p>
        </w:tc>
        <w:tc>
          <w:tcPr>
            <w:tcW w:w="848" w:type="dxa"/>
            <w:vAlign w:val="top"/>
          </w:tcPr>
          <w:p w14:paraId="65296D8C">
            <w:pPr>
              <w:pStyle w:val="21"/>
              <w:spacing w:before="203" w:line="181" w:lineRule="auto"/>
              <w:ind w:left="210"/>
            </w:pPr>
            <w:r>
              <w:rPr>
                <w:b/>
                <w:bCs/>
                <w:spacing w:val="-1"/>
              </w:rPr>
              <w:t>小型</w:t>
            </w:r>
          </w:p>
        </w:tc>
        <w:tc>
          <w:tcPr>
            <w:tcW w:w="6551" w:type="dxa"/>
            <w:vAlign w:val="top"/>
          </w:tcPr>
          <w:p w14:paraId="1CCE90C1">
            <w:pPr>
              <w:pStyle w:val="21"/>
              <w:spacing w:before="156" w:line="230" w:lineRule="auto"/>
              <w:ind w:left="103"/>
            </w:pPr>
            <w:r>
              <w:rPr>
                <w:b/>
                <w:bCs/>
                <w:spacing w:val="-3"/>
              </w:rPr>
              <w:t>从业人员 10 人一 100 人</w:t>
            </w:r>
          </w:p>
        </w:tc>
      </w:tr>
      <w:tr w14:paraId="619238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394" w:type="dxa"/>
            <w:vMerge w:val="continue"/>
            <w:tcBorders>
              <w:top w:val="nil"/>
            </w:tcBorders>
            <w:vAlign w:val="top"/>
          </w:tcPr>
          <w:p w14:paraId="2D7404A0">
            <w:pPr>
              <w:rPr>
                <w:rFonts w:ascii="Arial"/>
                <w:sz w:val="21"/>
              </w:rPr>
            </w:pPr>
          </w:p>
        </w:tc>
        <w:tc>
          <w:tcPr>
            <w:tcW w:w="848" w:type="dxa"/>
            <w:vAlign w:val="top"/>
          </w:tcPr>
          <w:p w14:paraId="0340BB05">
            <w:pPr>
              <w:pStyle w:val="21"/>
              <w:spacing w:before="220" w:line="183" w:lineRule="auto"/>
              <w:ind w:left="207"/>
            </w:pPr>
            <w:r>
              <w:rPr>
                <w:b/>
                <w:bCs/>
                <w:spacing w:val="-1"/>
              </w:rPr>
              <w:t>微型</w:t>
            </w:r>
          </w:p>
        </w:tc>
        <w:tc>
          <w:tcPr>
            <w:tcW w:w="6551" w:type="dxa"/>
            <w:vAlign w:val="top"/>
          </w:tcPr>
          <w:p w14:paraId="68E4336D">
            <w:pPr>
              <w:pStyle w:val="21"/>
              <w:spacing w:before="176" w:line="230" w:lineRule="auto"/>
              <w:ind w:left="103"/>
            </w:pPr>
            <w:r>
              <w:rPr>
                <w:b/>
                <w:bCs/>
                <w:spacing w:val="-2"/>
              </w:rPr>
              <w:t>从业人员 10 人以下</w:t>
            </w:r>
          </w:p>
        </w:tc>
      </w:tr>
    </w:tbl>
    <w:p w14:paraId="49AEC616">
      <w:pPr>
        <w:pStyle w:val="7"/>
      </w:pPr>
    </w:p>
    <w:p w14:paraId="014479AE">
      <w:pPr>
        <w:sectPr>
          <w:footerReference r:id="rId26" w:type="default"/>
          <w:pgSz w:w="11905" w:h="16839"/>
          <w:pgMar w:top="1431" w:right="1050" w:bottom="1197" w:left="1050" w:header="0" w:footer="963" w:gutter="0"/>
          <w:pgNumType w:fmt="decimal"/>
          <w:cols w:space="720" w:num="1"/>
        </w:sectPr>
      </w:pPr>
    </w:p>
    <w:p w14:paraId="1F5A3F30">
      <w:pPr>
        <w:spacing w:before="138" w:line="245" w:lineRule="auto"/>
        <w:ind w:right="24" w:firstLine="242"/>
        <w:jc w:val="both"/>
        <w:rPr>
          <w:rFonts w:ascii="微软雅黑" w:hAnsi="微软雅黑" w:eastAsia="微软雅黑" w:cs="微软雅黑"/>
          <w:sz w:val="24"/>
          <w:szCs w:val="24"/>
        </w:rPr>
      </w:pPr>
      <w:r>
        <w:rPr>
          <w:rFonts w:ascii="微软雅黑" w:hAnsi="微软雅黑" w:eastAsia="微软雅黑" w:cs="微软雅黑"/>
          <w:b/>
          <w:bCs/>
          <w:spacing w:val="-2"/>
          <w:sz w:val="24"/>
          <w:szCs w:val="24"/>
        </w:rPr>
        <w:t>行业包括：</w:t>
      </w:r>
      <w:r>
        <w:rPr>
          <w:rFonts w:ascii="微软雅黑" w:hAnsi="微软雅黑" w:eastAsia="微软雅黑" w:cs="微软雅黑"/>
          <w:spacing w:val="-2"/>
          <w:sz w:val="24"/>
          <w:szCs w:val="24"/>
        </w:rPr>
        <w:t>农、林、牧、渔业，工业（包括采</w:t>
      </w:r>
      <w:r>
        <w:rPr>
          <w:rFonts w:ascii="微软雅黑" w:hAnsi="微软雅黑" w:eastAsia="微软雅黑" w:cs="微软雅黑"/>
          <w:spacing w:val="-3"/>
          <w:sz w:val="24"/>
          <w:szCs w:val="24"/>
        </w:rPr>
        <w:t>矿业，制造业，电力、热力、燃气及水生产和</w:t>
      </w:r>
      <w:r>
        <w:rPr>
          <w:rFonts w:ascii="微软雅黑" w:hAnsi="微软雅黑" w:eastAsia="微软雅黑" w:cs="微软雅黑"/>
          <w:sz w:val="24"/>
          <w:szCs w:val="24"/>
        </w:rPr>
        <w:t xml:space="preserve"> </w:t>
      </w:r>
      <w:r>
        <w:rPr>
          <w:rFonts w:ascii="微软雅黑" w:hAnsi="微软雅黑" w:eastAsia="微软雅黑" w:cs="微软雅黑"/>
          <w:spacing w:val="-2"/>
          <w:sz w:val="24"/>
          <w:szCs w:val="24"/>
        </w:rPr>
        <w:t>供应业</w:t>
      </w:r>
      <w:r>
        <w:rPr>
          <w:rFonts w:ascii="微软雅黑" w:hAnsi="微软雅黑" w:eastAsia="微软雅黑" w:cs="微软雅黑"/>
          <w:spacing w:val="-3"/>
          <w:sz w:val="24"/>
          <w:szCs w:val="24"/>
        </w:rPr>
        <w:t>），</w:t>
      </w:r>
      <w:r>
        <w:rPr>
          <w:rFonts w:ascii="微软雅黑" w:hAnsi="微软雅黑" w:eastAsia="微软雅黑" w:cs="微软雅黑"/>
          <w:spacing w:val="-2"/>
          <w:sz w:val="24"/>
          <w:szCs w:val="24"/>
        </w:rPr>
        <w:t>建筑业，批发业，零售业，交通运输业</w:t>
      </w:r>
      <w:r>
        <w:rPr>
          <w:rFonts w:ascii="微软雅黑" w:hAnsi="微软雅黑" w:eastAsia="微软雅黑" w:cs="微软雅黑"/>
          <w:spacing w:val="-3"/>
          <w:sz w:val="24"/>
          <w:szCs w:val="24"/>
        </w:rPr>
        <w:t>（不含铁路运输业），仓储业，邮政业，住</w:t>
      </w:r>
      <w:r>
        <w:rPr>
          <w:rFonts w:ascii="微软雅黑" w:hAnsi="微软雅黑" w:eastAsia="微软雅黑" w:cs="微软雅黑"/>
          <w:sz w:val="24"/>
          <w:szCs w:val="24"/>
        </w:rPr>
        <w:t xml:space="preserve">  </w:t>
      </w:r>
      <w:r>
        <w:rPr>
          <w:rFonts w:ascii="微软雅黑" w:hAnsi="微软雅黑" w:eastAsia="微软雅黑" w:cs="微软雅黑"/>
          <w:spacing w:val="-5"/>
          <w:sz w:val="24"/>
          <w:szCs w:val="24"/>
        </w:rPr>
        <w:t>宿业，餐饮业，信息传输业（包括电信、互联网和相关服务</w:t>
      </w:r>
      <w:r>
        <w:rPr>
          <w:rFonts w:ascii="微软雅黑" w:hAnsi="微软雅黑" w:eastAsia="微软雅黑" w:cs="微软雅黑"/>
          <w:sz w:val="24"/>
          <w:szCs w:val="24"/>
        </w:rPr>
        <w:t>）</w:t>
      </w:r>
      <w:r>
        <w:rPr>
          <w:rFonts w:ascii="微软雅黑" w:hAnsi="微软雅黑" w:eastAsia="微软雅黑" w:cs="微软雅黑"/>
          <w:spacing w:val="26"/>
          <w:w w:val="101"/>
          <w:sz w:val="24"/>
          <w:szCs w:val="24"/>
        </w:rPr>
        <w:t xml:space="preserve"> </w:t>
      </w:r>
      <w:r>
        <w:rPr>
          <w:rFonts w:ascii="微软雅黑" w:hAnsi="微软雅黑" w:eastAsia="微软雅黑" w:cs="微软雅黑"/>
          <w:sz w:val="24"/>
          <w:szCs w:val="24"/>
        </w:rPr>
        <w:t>，</w:t>
      </w:r>
      <w:r>
        <w:rPr>
          <w:rFonts w:ascii="微软雅黑" w:hAnsi="微软雅黑" w:eastAsia="微软雅黑" w:cs="微软雅黑"/>
          <w:spacing w:val="-5"/>
          <w:sz w:val="24"/>
          <w:szCs w:val="24"/>
        </w:rPr>
        <w:t>软件和信息技术服务业，房地</w:t>
      </w:r>
      <w:r>
        <w:rPr>
          <w:rFonts w:ascii="微软雅黑" w:hAnsi="微软雅黑" w:eastAsia="微软雅黑" w:cs="微软雅黑"/>
          <w:sz w:val="24"/>
          <w:szCs w:val="24"/>
        </w:rPr>
        <w:t xml:space="preserve"> </w:t>
      </w:r>
      <w:r>
        <w:rPr>
          <w:rFonts w:ascii="微软雅黑" w:hAnsi="微软雅黑" w:eastAsia="微软雅黑" w:cs="微软雅黑"/>
          <w:spacing w:val="-1"/>
          <w:sz w:val="24"/>
          <w:szCs w:val="24"/>
        </w:rPr>
        <w:t>产开发经营，物业管理，租赁和商务服务业，其他未列明行业（包括科学</w:t>
      </w:r>
      <w:r>
        <w:rPr>
          <w:rFonts w:ascii="微软雅黑" w:hAnsi="微软雅黑" w:eastAsia="微软雅黑" w:cs="微软雅黑"/>
          <w:spacing w:val="-2"/>
          <w:sz w:val="24"/>
          <w:szCs w:val="24"/>
        </w:rPr>
        <w:t>研究和技术服务业，</w:t>
      </w:r>
      <w:r>
        <w:rPr>
          <w:rFonts w:ascii="微软雅黑" w:hAnsi="微软雅黑" w:eastAsia="微软雅黑" w:cs="微软雅黑"/>
          <w:sz w:val="24"/>
          <w:szCs w:val="24"/>
        </w:rPr>
        <w:t xml:space="preserve"> </w:t>
      </w:r>
      <w:r>
        <w:rPr>
          <w:rFonts w:ascii="微软雅黑" w:hAnsi="微软雅黑" w:eastAsia="微软雅黑" w:cs="微软雅黑"/>
          <w:spacing w:val="-8"/>
          <w:sz w:val="24"/>
          <w:szCs w:val="24"/>
        </w:rPr>
        <w:t>水利、环境和公共设施管理业，  居民服务、修理</w:t>
      </w:r>
      <w:r>
        <w:rPr>
          <w:rFonts w:ascii="微软雅黑" w:hAnsi="微软雅黑" w:eastAsia="微软雅黑" w:cs="微软雅黑"/>
          <w:spacing w:val="-9"/>
          <w:sz w:val="24"/>
          <w:szCs w:val="24"/>
        </w:rPr>
        <w:t>和其他服务业，  社会工作，文化、体育和娱乐</w:t>
      </w:r>
      <w:r>
        <w:rPr>
          <w:rFonts w:ascii="微软雅黑" w:hAnsi="微软雅黑" w:eastAsia="微软雅黑" w:cs="微软雅黑"/>
          <w:sz w:val="24"/>
          <w:szCs w:val="24"/>
        </w:rPr>
        <w:t xml:space="preserve"> </w:t>
      </w:r>
      <w:r>
        <w:rPr>
          <w:rFonts w:ascii="微软雅黑" w:hAnsi="微软雅黑" w:eastAsia="微软雅黑" w:cs="微软雅黑"/>
          <w:spacing w:val="2"/>
          <w:sz w:val="24"/>
          <w:szCs w:val="24"/>
        </w:rPr>
        <w:t>业等）</w:t>
      </w:r>
      <w:r>
        <w:rPr>
          <w:rFonts w:ascii="微软雅黑" w:hAnsi="微软雅黑" w:eastAsia="微软雅黑" w:cs="微软雅黑"/>
          <w:b/>
          <w:bCs/>
          <w:spacing w:val="2"/>
          <w:sz w:val="24"/>
          <w:szCs w:val="24"/>
        </w:rPr>
        <w:t>。</w:t>
      </w:r>
    </w:p>
    <w:p w14:paraId="2146CF16">
      <w:pPr>
        <w:spacing w:before="1" w:line="182" w:lineRule="auto"/>
        <w:ind w:left="2"/>
        <w:rPr>
          <w:rFonts w:ascii="微软雅黑" w:hAnsi="微软雅黑" w:eastAsia="微软雅黑" w:cs="微软雅黑"/>
          <w:sz w:val="24"/>
          <w:szCs w:val="24"/>
        </w:rPr>
      </w:pPr>
      <w:r>
        <w:rPr>
          <w:rFonts w:ascii="微软雅黑" w:hAnsi="微软雅黑" w:eastAsia="微软雅黑" w:cs="微软雅黑"/>
          <w:b/>
          <w:bCs/>
          <w:spacing w:val="-10"/>
          <w:sz w:val="24"/>
          <w:szCs w:val="24"/>
        </w:rPr>
        <w:t>说明：</w:t>
      </w:r>
    </w:p>
    <w:p w14:paraId="2931C2B1">
      <w:pPr>
        <w:spacing w:before="103" w:line="239" w:lineRule="auto"/>
        <w:ind w:left="4" w:right="72"/>
        <w:jc w:val="both"/>
        <w:rPr>
          <w:rFonts w:ascii="微软雅黑" w:hAnsi="微软雅黑" w:eastAsia="微软雅黑" w:cs="微软雅黑"/>
          <w:sz w:val="24"/>
          <w:szCs w:val="24"/>
        </w:rPr>
      </w:pPr>
      <w:r>
        <w:rPr>
          <w:rFonts w:ascii="微软雅黑" w:hAnsi="微软雅黑" w:eastAsia="微软雅黑" w:cs="微软雅黑"/>
          <w:spacing w:val="-2"/>
          <w:sz w:val="24"/>
          <w:szCs w:val="24"/>
        </w:rPr>
        <w:t>上述标准参照《关于印发中小企业划型标准规定的通知》（工信部联企业[2011]3</w:t>
      </w:r>
      <w:r>
        <w:rPr>
          <w:rFonts w:ascii="微软雅黑" w:hAnsi="微软雅黑" w:eastAsia="微软雅黑" w:cs="微软雅黑"/>
          <w:spacing w:val="-3"/>
          <w:sz w:val="24"/>
          <w:szCs w:val="24"/>
        </w:rPr>
        <w:t>00 号</w:t>
      </w:r>
      <w:r>
        <w:rPr>
          <w:rFonts w:ascii="微软雅黑" w:hAnsi="微软雅黑" w:eastAsia="微软雅黑" w:cs="微软雅黑"/>
          <w:spacing w:val="-14"/>
          <w:sz w:val="24"/>
          <w:szCs w:val="24"/>
        </w:rPr>
        <w:t>），</w:t>
      </w:r>
      <w:r>
        <w:rPr>
          <w:rFonts w:ascii="微软雅黑" w:hAnsi="微软雅黑" w:eastAsia="微软雅黑" w:cs="微软雅黑"/>
          <w:spacing w:val="-3"/>
          <w:sz w:val="24"/>
          <w:szCs w:val="24"/>
        </w:rPr>
        <w:t>大</w:t>
      </w:r>
      <w:r>
        <w:rPr>
          <w:rFonts w:ascii="微软雅黑" w:hAnsi="微软雅黑" w:eastAsia="微软雅黑" w:cs="微软雅黑"/>
          <w:sz w:val="24"/>
          <w:szCs w:val="24"/>
        </w:rPr>
        <w:t xml:space="preserve"> </w:t>
      </w:r>
      <w:r>
        <w:rPr>
          <w:rFonts w:ascii="微软雅黑" w:hAnsi="微软雅黑" w:eastAsia="微软雅黑" w:cs="微软雅黑"/>
          <w:spacing w:val="-2"/>
          <w:sz w:val="24"/>
          <w:szCs w:val="24"/>
        </w:rPr>
        <w:t>型、中型和小型企业须同时满足所列指标的下限</w:t>
      </w:r>
      <w:r>
        <w:rPr>
          <w:rFonts w:ascii="微软雅黑" w:hAnsi="微软雅黑" w:eastAsia="微软雅黑" w:cs="微软雅黑"/>
          <w:spacing w:val="-3"/>
          <w:sz w:val="24"/>
          <w:szCs w:val="24"/>
        </w:rPr>
        <w:t>，否则下划一档；微型企业只需满足所列指标</w:t>
      </w:r>
      <w:r>
        <w:rPr>
          <w:rFonts w:ascii="微软雅黑" w:hAnsi="微软雅黑" w:eastAsia="微软雅黑" w:cs="微软雅黑"/>
          <w:sz w:val="24"/>
          <w:szCs w:val="24"/>
        </w:rPr>
        <w:t xml:space="preserve"> </w:t>
      </w:r>
      <w:r>
        <w:rPr>
          <w:rFonts w:ascii="微软雅黑" w:hAnsi="微软雅黑" w:eastAsia="微软雅黑" w:cs="微软雅黑"/>
          <w:spacing w:val="-6"/>
          <w:sz w:val="24"/>
          <w:szCs w:val="24"/>
        </w:rPr>
        <w:t>中的一项即可。</w:t>
      </w:r>
    </w:p>
    <w:p w14:paraId="76A077FF">
      <w:pPr>
        <w:spacing w:before="1" w:line="183" w:lineRule="auto"/>
        <w:ind w:left="482"/>
        <w:rPr>
          <w:rFonts w:ascii="微软雅黑" w:hAnsi="微软雅黑" w:eastAsia="微软雅黑" w:cs="微软雅黑"/>
          <w:sz w:val="24"/>
          <w:szCs w:val="24"/>
        </w:rPr>
      </w:pPr>
      <w:r>
        <w:rPr>
          <w:rFonts w:ascii="微软雅黑" w:hAnsi="微软雅黑" w:eastAsia="微软雅黑" w:cs="微软雅黑"/>
          <w:sz w:val="24"/>
          <w:szCs w:val="24"/>
        </w:rPr>
        <w:t>本磋商文件所称中小企业，是指在中华人民共和国境内依法设立，依据国</w:t>
      </w:r>
      <w:r>
        <w:rPr>
          <w:rFonts w:ascii="微软雅黑" w:hAnsi="微软雅黑" w:eastAsia="微软雅黑" w:cs="微软雅黑"/>
          <w:spacing w:val="-1"/>
          <w:sz w:val="24"/>
          <w:szCs w:val="24"/>
        </w:rPr>
        <w:t>务院批准的</w:t>
      </w:r>
    </w:p>
    <w:p w14:paraId="45766208">
      <w:pPr>
        <w:spacing w:before="107" w:line="249" w:lineRule="auto"/>
        <w:ind w:left="1" w:firstLine="496"/>
        <w:rPr>
          <w:rFonts w:ascii="微软雅黑" w:hAnsi="微软雅黑" w:eastAsia="微软雅黑" w:cs="微软雅黑"/>
          <w:sz w:val="24"/>
          <w:szCs w:val="24"/>
        </w:rPr>
      </w:pPr>
      <w:r>
        <w:rPr>
          <w:rFonts w:ascii="微软雅黑" w:hAnsi="微软雅黑" w:eastAsia="微软雅黑" w:cs="微软雅黑"/>
          <w:spacing w:val="-7"/>
          <w:sz w:val="24"/>
          <w:szCs w:val="24"/>
        </w:rPr>
        <w:t>中小企业划分标准确定的中型企业、小型企业和微型企业，但与大企业的负责人为</w:t>
      </w:r>
      <w:r>
        <w:rPr>
          <w:rFonts w:ascii="微软雅黑" w:hAnsi="微软雅黑" w:eastAsia="微软雅黑" w:cs="微软雅黑"/>
          <w:spacing w:val="-8"/>
          <w:sz w:val="24"/>
          <w:szCs w:val="24"/>
        </w:rPr>
        <w:t>同一人，</w:t>
      </w:r>
      <w:r>
        <w:rPr>
          <w:rFonts w:ascii="微软雅黑" w:hAnsi="微软雅黑" w:eastAsia="微软雅黑" w:cs="微软雅黑"/>
          <w:sz w:val="24"/>
          <w:szCs w:val="24"/>
        </w:rPr>
        <w:t xml:space="preserve"> </w:t>
      </w:r>
      <w:r>
        <w:rPr>
          <w:rFonts w:ascii="微软雅黑" w:hAnsi="微软雅黑" w:eastAsia="微软雅黑" w:cs="微软雅黑"/>
          <w:spacing w:val="-6"/>
          <w:sz w:val="24"/>
          <w:szCs w:val="24"/>
        </w:rPr>
        <w:t>或者与大企业存在直接控股、管理关系的除外。符合中小企业划分标准的个体工商户，  在政府</w:t>
      </w:r>
      <w:r>
        <w:rPr>
          <w:rFonts w:ascii="微软雅黑" w:hAnsi="微软雅黑" w:eastAsia="微软雅黑" w:cs="微软雅黑"/>
          <w:spacing w:val="8"/>
          <w:sz w:val="24"/>
          <w:szCs w:val="24"/>
        </w:rPr>
        <w:t xml:space="preserve">  </w:t>
      </w:r>
      <w:r>
        <w:rPr>
          <w:rFonts w:ascii="微软雅黑" w:hAnsi="微软雅黑" w:eastAsia="微软雅黑" w:cs="微软雅黑"/>
          <w:spacing w:val="-6"/>
          <w:sz w:val="24"/>
          <w:szCs w:val="24"/>
        </w:rPr>
        <w:t>采购活动中视同中小企业。在政府采购活动中，</w:t>
      </w:r>
      <w:r>
        <w:rPr>
          <w:rFonts w:ascii="微软雅黑" w:hAnsi="微软雅黑" w:eastAsia="微软雅黑" w:cs="微软雅黑"/>
          <w:spacing w:val="76"/>
          <w:sz w:val="24"/>
          <w:szCs w:val="24"/>
        </w:rPr>
        <w:t xml:space="preserve"> </w:t>
      </w:r>
      <w:r>
        <w:rPr>
          <w:rFonts w:ascii="微软雅黑" w:hAnsi="微软雅黑" w:eastAsia="微软雅黑" w:cs="微软雅黑"/>
          <w:spacing w:val="-6"/>
          <w:sz w:val="24"/>
          <w:szCs w:val="24"/>
        </w:rPr>
        <w:t>供应商提供的货物、工程或者服务符合下列情</w:t>
      </w:r>
      <w:r>
        <w:rPr>
          <w:rFonts w:ascii="微软雅黑" w:hAnsi="微软雅黑" w:eastAsia="微软雅黑" w:cs="微软雅黑"/>
          <w:sz w:val="24"/>
          <w:szCs w:val="24"/>
        </w:rPr>
        <w:t xml:space="preserve">  </w:t>
      </w:r>
      <w:r>
        <w:rPr>
          <w:rFonts w:ascii="微软雅黑" w:hAnsi="微软雅黑" w:eastAsia="微软雅黑" w:cs="微软雅黑"/>
          <w:spacing w:val="-2"/>
          <w:sz w:val="24"/>
          <w:szCs w:val="24"/>
        </w:rPr>
        <w:t>形的，享受本磋商文件规定的中小企业扶持</w:t>
      </w:r>
      <w:r>
        <w:rPr>
          <w:rFonts w:ascii="微软雅黑" w:hAnsi="微软雅黑" w:eastAsia="微软雅黑" w:cs="微软雅黑"/>
          <w:spacing w:val="-3"/>
          <w:sz w:val="24"/>
          <w:szCs w:val="24"/>
        </w:rPr>
        <w:t>政策：</w:t>
      </w:r>
    </w:p>
    <w:p w14:paraId="6FEF28C6">
      <w:pPr>
        <w:spacing w:line="214" w:lineRule="auto"/>
        <w:ind w:left="3" w:right="79" w:firstLine="511"/>
        <w:rPr>
          <w:rFonts w:ascii="微软雅黑" w:hAnsi="微软雅黑" w:eastAsia="微软雅黑" w:cs="微软雅黑"/>
          <w:sz w:val="24"/>
          <w:szCs w:val="24"/>
        </w:rPr>
      </w:pPr>
      <w:r>
        <w:rPr>
          <w:rFonts w:ascii="微软雅黑" w:hAnsi="微软雅黑" w:eastAsia="微软雅黑" w:cs="微软雅黑"/>
          <w:spacing w:val="-1"/>
          <w:sz w:val="24"/>
          <w:szCs w:val="24"/>
        </w:rPr>
        <w:t>（1）在货物采购项目中，货物由中小企业制造，即货物由中小企业生产且使用该中</w:t>
      </w:r>
      <w:r>
        <w:rPr>
          <w:rFonts w:ascii="微软雅黑" w:hAnsi="微软雅黑" w:eastAsia="微软雅黑" w:cs="微软雅黑"/>
          <w:spacing w:val="-2"/>
          <w:sz w:val="24"/>
          <w:szCs w:val="24"/>
        </w:rPr>
        <w:t>小企</w:t>
      </w:r>
      <w:r>
        <w:rPr>
          <w:rFonts w:ascii="微软雅黑" w:hAnsi="微软雅黑" w:eastAsia="微软雅黑" w:cs="微软雅黑"/>
          <w:sz w:val="24"/>
          <w:szCs w:val="24"/>
        </w:rPr>
        <w:t xml:space="preserve"> </w:t>
      </w:r>
      <w:r>
        <w:rPr>
          <w:rFonts w:ascii="微软雅黑" w:hAnsi="微软雅黑" w:eastAsia="微软雅黑" w:cs="微软雅黑"/>
          <w:spacing w:val="-1"/>
          <w:sz w:val="24"/>
          <w:szCs w:val="24"/>
        </w:rPr>
        <w:t>业商号或者注册商标，不对其中涉及的工程</w:t>
      </w:r>
      <w:r>
        <w:rPr>
          <w:rFonts w:ascii="微软雅黑" w:hAnsi="微软雅黑" w:eastAsia="微软雅黑" w:cs="微软雅黑"/>
          <w:spacing w:val="-2"/>
          <w:sz w:val="24"/>
          <w:szCs w:val="24"/>
        </w:rPr>
        <w:t>承建商和服务的承接商作出要求；</w:t>
      </w:r>
    </w:p>
    <w:p w14:paraId="6176BFE6">
      <w:pPr>
        <w:spacing w:before="106" w:line="214" w:lineRule="auto"/>
        <w:ind w:left="2" w:right="95" w:firstLine="512"/>
        <w:rPr>
          <w:rFonts w:ascii="微软雅黑" w:hAnsi="微软雅黑" w:eastAsia="微软雅黑" w:cs="微软雅黑"/>
          <w:sz w:val="24"/>
          <w:szCs w:val="24"/>
        </w:rPr>
      </w:pPr>
      <w:r>
        <w:rPr>
          <w:rFonts w:ascii="微软雅黑" w:hAnsi="微软雅黑" w:eastAsia="微软雅黑" w:cs="微软雅黑"/>
          <w:spacing w:val="-1"/>
          <w:sz w:val="24"/>
          <w:szCs w:val="24"/>
        </w:rPr>
        <w:t>（2）在工程采购项目中，工程由中小企业承建</w:t>
      </w:r>
      <w:r>
        <w:rPr>
          <w:rFonts w:ascii="微软雅黑" w:hAnsi="微软雅黑" w:eastAsia="微软雅黑" w:cs="微软雅黑"/>
          <w:spacing w:val="-2"/>
          <w:sz w:val="24"/>
          <w:szCs w:val="24"/>
        </w:rPr>
        <w:t>，即工程施工单位为中小企业，不对其中</w:t>
      </w:r>
      <w:r>
        <w:rPr>
          <w:rFonts w:ascii="微软雅黑" w:hAnsi="微软雅黑" w:eastAsia="微软雅黑" w:cs="微软雅黑"/>
          <w:sz w:val="24"/>
          <w:szCs w:val="24"/>
        </w:rPr>
        <w:t xml:space="preserve"> </w:t>
      </w:r>
      <w:r>
        <w:rPr>
          <w:rFonts w:ascii="微软雅黑" w:hAnsi="微软雅黑" w:eastAsia="微软雅黑" w:cs="微软雅黑"/>
          <w:spacing w:val="-3"/>
          <w:sz w:val="24"/>
          <w:szCs w:val="24"/>
        </w:rPr>
        <w:t>涉及的货物的制造商和服务的承接商作出要求；</w:t>
      </w:r>
    </w:p>
    <w:p w14:paraId="18813F71">
      <w:pPr>
        <w:spacing w:before="107" w:line="224" w:lineRule="auto"/>
        <w:ind w:left="2" w:right="72" w:firstLine="512"/>
        <w:rPr>
          <w:rFonts w:ascii="微软雅黑" w:hAnsi="微软雅黑" w:eastAsia="微软雅黑" w:cs="微软雅黑"/>
          <w:sz w:val="24"/>
          <w:szCs w:val="24"/>
        </w:rPr>
      </w:pPr>
      <w:r>
        <w:rPr>
          <w:rFonts w:ascii="微软雅黑" w:hAnsi="微软雅黑" w:eastAsia="微软雅黑" w:cs="微软雅黑"/>
          <w:spacing w:val="-1"/>
          <w:sz w:val="24"/>
          <w:szCs w:val="24"/>
        </w:rPr>
        <w:t>（3）在服务采购项目中，服务由中小企业承接</w:t>
      </w:r>
      <w:r>
        <w:rPr>
          <w:rFonts w:ascii="微软雅黑" w:hAnsi="微软雅黑" w:eastAsia="微软雅黑" w:cs="微软雅黑"/>
          <w:spacing w:val="-2"/>
          <w:sz w:val="24"/>
          <w:szCs w:val="24"/>
        </w:rPr>
        <w:t>，即提供服务的人员为中小企业依照《中</w:t>
      </w:r>
      <w:r>
        <w:rPr>
          <w:rFonts w:ascii="微软雅黑" w:hAnsi="微软雅黑" w:eastAsia="微软雅黑" w:cs="微软雅黑"/>
          <w:sz w:val="24"/>
          <w:szCs w:val="24"/>
        </w:rPr>
        <w:t xml:space="preserve"> </w:t>
      </w:r>
      <w:r>
        <w:rPr>
          <w:rFonts w:ascii="微软雅黑" w:hAnsi="微软雅黑" w:eastAsia="微软雅黑" w:cs="微软雅黑"/>
          <w:spacing w:val="-2"/>
          <w:sz w:val="24"/>
          <w:szCs w:val="24"/>
        </w:rPr>
        <w:t>华人民共和国劳动合同法》订立劳动合同的从业人员</w:t>
      </w:r>
      <w:r>
        <w:rPr>
          <w:rFonts w:ascii="微软雅黑" w:hAnsi="微软雅黑" w:eastAsia="微软雅黑" w:cs="微软雅黑"/>
          <w:spacing w:val="-3"/>
          <w:sz w:val="24"/>
          <w:szCs w:val="24"/>
        </w:rPr>
        <w:t>，不对其中涉及的货物的制造商和工程承</w:t>
      </w:r>
      <w:r>
        <w:rPr>
          <w:rFonts w:ascii="微软雅黑" w:hAnsi="微软雅黑" w:eastAsia="微软雅黑" w:cs="微软雅黑"/>
          <w:sz w:val="24"/>
          <w:szCs w:val="24"/>
        </w:rPr>
        <w:t xml:space="preserve"> </w:t>
      </w:r>
      <w:r>
        <w:rPr>
          <w:rFonts w:ascii="微软雅黑" w:hAnsi="微软雅黑" w:eastAsia="微软雅黑" w:cs="微软雅黑"/>
          <w:spacing w:val="-7"/>
          <w:sz w:val="24"/>
          <w:szCs w:val="24"/>
        </w:rPr>
        <w:t>建商作出要求。</w:t>
      </w:r>
    </w:p>
    <w:p w14:paraId="0208216B">
      <w:pPr>
        <w:spacing w:before="73" w:line="245" w:lineRule="auto"/>
        <w:ind w:firstLine="481"/>
        <w:jc w:val="both"/>
        <w:rPr>
          <w:rFonts w:ascii="微软雅黑" w:hAnsi="微软雅黑" w:eastAsia="微软雅黑" w:cs="微软雅黑"/>
          <w:sz w:val="24"/>
          <w:szCs w:val="24"/>
        </w:rPr>
      </w:pPr>
      <w:r>
        <w:rPr>
          <w:rFonts w:ascii="微软雅黑" w:hAnsi="微软雅黑" w:eastAsia="微软雅黑" w:cs="微软雅黑"/>
          <w:spacing w:val="-7"/>
          <w:sz w:val="24"/>
          <w:szCs w:val="24"/>
        </w:rPr>
        <w:t>在货物采购项目中，供应商提供的货物既有中小企业制造货物，也有大型企业制造货物的，</w:t>
      </w:r>
      <w:r>
        <w:rPr>
          <w:rFonts w:ascii="微软雅黑" w:hAnsi="微软雅黑" w:eastAsia="微软雅黑" w:cs="微软雅黑"/>
          <w:spacing w:val="13"/>
          <w:sz w:val="24"/>
          <w:szCs w:val="24"/>
        </w:rPr>
        <w:t xml:space="preserve"> </w:t>
      </w:r>
      <w:r>
        <w:rPr>
          <w:rFonts w:ascii="微软雅黑" w:hAnsi="微软雅黑" w:eastAsia="微软雅黑" w:cs="微软雅黑"/>
          <w:spacing w:val="-4"/>
          <w:sz w:val="24"/>
          <w:szCs w:val="24"/>
        </w:rPr>
        <w:t>不享受本磋商文件规定的中小企业扶持政策。以联合体形式参加政府采购活动， 联合体各方均</w:t>
      </w:r>
      <w:r>
        <w:rPr>
          <w:rFonts w:ascii="微软雅黑" w:hAnsi="微软雅黑" w:eastAsia="微软雅黑" w:cs="微软雅黑"/>
          <w:sz w:val="24"/>
          <w:szCs w:val="24"/>
        </w:rPr>
        <w:t xml:space="preserve">  </w:t>
      </w:r>
      <w:r>
        <w:rPr>
          <w:rFonts w:ascii="微软雅黑" w:hAnsi="微软雅黑" w:eastAsia="微软雅黑" w:cs="微软雅黑"/>
          <w:spacing w:val="-6"/>
          <w:sz w:val="24"/>
          <w:szCs w:val="24"/>
        </w:rPr>
        <w:t>为中小企业的，联合体视同中小企业。其中，  联合体各方均为小微企业的，联合体视同小微企</w:t>
      </w:r>
      <w:r>
        <w:rPr>
          <w:rFonts w:ascii="微软雅黑" w:hAnsi="微软雅黑" w:eastAsia="微软雅黑" w:cs="微软雅黑"/>
          <w:spacing w:val="9"/>
          <w:sz w:val="24"/>
          <w:szCs w:val="24"/>
        </w:rPr>
        <w:t xml:space="preserve">  </w:t>
      </w:r>
      <w:r>
        <w:rPr>
          <w:rFonts w:ascii="微软雅黑" w:hAnsi="微软雅黑" w:eastAsia="微软雅黑" w:cs="微软雅黑"/>
          <w:spacing w:val="-12"/>
          <w:sz w:val="24"/>
          <w:szCs w:val="24"/>
        </w:rPr>
        <w:t>业。</w:t>
      </w:r>
    </w:p>
    <w:p w14:paraId="355DE679">
      <w:pPr>
        <w:spacing w:before="3" w:line="255" w:lineRule="auto"/>
        <w:ind w:left="4" w:right="72" w:firstLine="477"/>
        <w:rPr>
          <w:rFonts w:ascii="微软雅黑" w:hAnsi="微软雅黑" w:eastAsia="微软雅黑" w:cs="微软雅黑"/>
          <w:sz w:val="24"/>
          <w:szCs w:val="24"/>
        </w:rPr>
      </w:pPr>
      <w:r>
        <w:rPr>
          <w:rFonts w:ascii="微软雅黑" w:hAnsi="微软雅黑" w:eastAsia="微软雅黑" w:cs="微软雅黑"/>
          <w:spacing w:val="-3"/>
          <w:sz w:val="24"/>
          <w:szCs w:val="24"/>
        </w:rPr>
        <w:t>依据本磋商文件规定享受扶持政策获得政府采购合同的，小微企业不得将合同分包给大中</w:t>
      </w:r>
      <w:r>
        <w:rPr>
          <w:rFonts w:ascii="微软雅黑" w:hAnsi="微软雅黑" w:eastAsia="微软雅黑" w:cs="微软雅黑"/>
          <w:spacing w:val="18"/>
          <w:sz w:val="24"/>
          <w:szCs w:val="24"/>
        </w:rPr>
        <w:t xml:space="preserve"> </w:t>
      </w:r>
      <w:r>
        <w:rPr>
          <w:rFonts w:ascii="微软雅黑" w:hAnsi="微软雅黑" w:eastAsia="微软雅黑" w:cs="微软雅黑"/>
          <w:spacing w:val="-3"/>
          <w:sz w:val="24"/>
          <w:szCs w:val="24"/>
        </w:rPr>
        <w:t>型企业，中型企业不得将合同分包给大型企业。</w:t>
      </w:r>
    </w:p>
    <w:p w14:paraId="7AA6F17D">
      <w:pPr>
        <w:spacing w:line="255" w:lineRule="auto"/>
        <w:rPr>
          <w:rFonts w:ascii="微软雅黑" w:hAnsi="微软雅黑" w:eastAsia="微软雅黑" w:cs="微软雅黑"/>
          <w:sz w:val="24"/>
          <w:szCs w:val="24"/>
        </w:rPr>
        <w:sectPr>
          <w:footerReference r:id="rId27" w:type="default"/>
          <w:pgSz w:w="11905" w:h="16839"/>
          <w:pgMar w:top="1431" w:right="1007" w:bottom="1197" w:left="1080" w:header="0" w:footer="963" w:gutter="0"/>
          <w:pgNumType w:fmt="decimal"/>
          <w:cols w:space="720" w:num="1"/>
        </w:sectPr>
      </w:pPr>
    </w:p>
    <w:p w14:paraId="4565AE55">
      <w:pPr>
        <w:spacing w:before="65" w:line="220" w:lineRule="auto"/>
        <w:jc w:val="right"/>
        <w:outlineLvl w:val="1"/>
        <w:rPr>
          <w:rFonts w:ascii="微软雅黑" w:hAnsi="微软雅黑" w:eastAsia="微软雅黑" w:cs="微软雅黑"/>
          <w:sz w:val="24"/>
          <w:szCs w:val="24"/>
        </w:rPr>
      </w:pPr>
      <w:bookmarkStart w:id="67" w:name="bookmark15"/>
      <w:bookmarkEnd w:id="67"/>
      <w:bookmarkStart w:id="68" w:name="bookmark16"/>
      <w:bookmarkEnd w:id="68"/>
      <w:bookmarkStart w:id="69" w:name="bookmark13"/>
      <w:bookmarkEnd w:id="69"/>
      <w:bookmarkStart w:id="70" w:name="bookmark14"/>
      <w:bookmarkEnd w:id="70"/>
      <w:r>
        <w:rPr>
          <w:rFonts w:ascii="微软雅黑" w:hAnsi="微软雅黑" w:eastAsia="微软雅黑" w:cs="微软雅黑"/>
          <w:b/>
          <w:bCs/>
          <w:spacing w:val="1"/>
          <w:sz w:val="24"/>
          <w:szCs w:val="24"/>
        </w:rPr>
        <w:t>4   本项目特定资格要求：①供应商须具</w:t>
      </w:r>
      <w:r>
        <w:rPr>
          <w:rFonts w:ascii="微软雅黑" w:hAnsi="微软雅黑" w:eastAsia="微软雅黑" w:cs="微软雅黑"/>
          <w:b/>
          <w:bCs/>
          <w:sz w:val="24"/>
          <w:szCs w:val="24"/>
        </w:rPr>
        <w:t>备建设主管部门颁发的建设工程质量检测机构资</w:t>
      </w:r>
    </w:p>
    <w:p w14:paraId="37EE01DB">
      <w:pPr>
        <w:spacing w:before="84" w:line="239" w:lineRule="auto"/>
        <w:ind w:right="3" w:firstLine="1"/>
        <w:jc w:val="both"/>
        <w:rPr>
          <w:rFonts w:ascii="微软雅黑" w:hAnsi="微软雅黑" w:eastAsia="微软雅黑" w:cs="微软雅黑"/>
          <w:sz w:val="24"/>
          <w:szCs w:val="24"/>
        </w:rPr>
      </w:pPr>
      <w:r>
        <w:rPr>
          <w:rFonts w:ascii="微软雅黑" w:hAnsi="微软雅黑" w:eastAsia="微软雅黑" w:cs="微软雅黑"/>
          <w:b/>
          <w:bCs/>
          <w:sz w:val="24"/>
          <w:szCs w:val="24"/>
        </w:rPr>
        <w:t>质证书(检测范围须包含：</w:t>
      </w:r>
      <w:r>
        <w:rPr>
          <w:rFonts w:hint="eastAsia" w:ascii="微软雅黑" w:hAnsi="微软雅黑" w:eastAsia="微软雅黑" w:cs="微软雅黑"/>
          <w:b/>
          <w:bCs/>
          <w:sz w:val="24"/>
          <w:szCs w:val="24"/>
          <w:lang w:val="en-US" w:eastAsia="zh-CN"/>
        </w:rPr>
        <w:t>建筑材料及构配件、主体结构及装饰装修、钢结构、地基基础</w:t>
      </w:r>
      <w:r>
        <w:rPr>
          <w:rFonts w:ascii="微软雅黑" w:hAnsi="微软雅黑" w:eastAsia="微软雅黑" w:cs="微软雅黑"/>
          <w:b/>
          <w:bCs/>
          <w:sz w:val="24"/>
          <w:szCs w:val="24"/>
        </w:rPr>
        <w:t>)，并同时具备工程设计建筑行业（建筑工程）专业乙级或乙级以上资质及</w:t>
      </w:r>
      <w:r>
        <w:rPr>
          <w:rFonts w:ascii="微软雅黑" w:hAnsi="微软雅黑" w:eastAsia="微软雅黑" w:cs="微软雅黑"/>
          <w:b/>
          <w:bCs/>
          <w:spacing w:val="-1"/>
          <w:sz w:val="24"/>
          <w:szCs w:val="24"/>
        </w:rPr>
        <w:t>工程勘</w:t>
      </w:r>
      <w:r>
        <w:rPr>
          <w:rFonts w:ascii="微软雅黑" w:hAnsi="微软雅黑" w:eastAsia="微软雅黑" w:cs="微软雅黑"/>
          <w:b/>
          <w:bCs/>
          <w:sz w:val="24"/>
          <w:szCs w:val="24"/>
        </w:rPr>
        <w:t xml:space="preserve"> </w:t>
      </w:r>
      <w:r>
        <w:rPr>
          <w:rFonts w:ascii="微软雅黑" w:hAnsi="微软雅黑" w:eastAsia="微软雅黑" w:cs="微软雅黑"/>
          <w:b/>
          <w:bCs/>
          <w:spacing w:val="-8"/>
          <w:sz w:val="24"/>
          <w:szCs w:val="24"/>
        </w:rPr>
        <w:t>察</w:t>
      </w:r>
      <w:r>
        <w:rPr>
          <w:rFonts w:ascii="微软雅黑" w:hAnsi="微软雅黑" w:eastAsia="微软雅黑" w:cs="微软雅黑"/>
          <w:b/>
          <w:bCs/>
          <w:spacing w:val="-7"/>
          <w:sz w:val="24"/>
          <w:szCs w:val="24"/>
        </w:rPr>
        <w:t>专业类（岩土工程（勘察</w:t>
      </w:r>
      <w:r>
        <w:rPr>
          <w:rFonts w:ascii="微软雅黑" w:hAnsi="微软雅黑" w:eastAsia="微软雅黑" w:cs="微软雅黑"/>
          <w:b/>
          <w:bCs/>
          <w:spacing w:val="-27"/>
          <w:sz w:val="24"/>
          <w:szCs w:val="24"/>
        </w:rPr>
        <w:t>））</w:t>
      </w:r>
      <w:r>
        <w:rPr>
          <w:rFonts w:ascii="微软雅黑" w:hAnsi="微软雅黑" w:eastAsia="微软雅黑" w:cs="微软雅黑"/>
          <w:b/>
          <w:bCs/>
          <w:spacing w:val="-7"/>
          <w:sz w:val="24"/>
          <w:szCs w:val="24"/>
        </w:rPr>
        <w:t>乙级或乙级以上资质。②拟派项目负责人具备一级注册</w:t>
      </w:r>
      <w:r>
        <w:rPr>
          <w:rFonts w:ascii="微软雅黑" w:hAnsi="微软雅黑" w:eastAsia="微软雅黑" w:cs="微软雅黑"/>
          <w:b/>
          <w:bCs/>
          <w:spacing w:val="-8"/>
          <w:sz w:val="24"/>
          <w:szCs w:val="24"/>
        </w:rPr>
        <w:t>结构工</w:t>
      </w:r>
      <w:r>
        <w:rPr>
          <w:rFonts w:ascii="微软雅黑" w:hAnsi="微软雅黑" w:eastAsia="微软雅黑" w:cs="微软雅黑"/>
          <w:b/>
          <w:bCs/>
          <w:spacing w:val="-7"/>
          <w:sz w:val="24"/>
          <w:szCs w:val="24"/>
        </w:rPr>
        <w:t>程</w:t>
      </w:r>
      <w:r>
        <w:rPr>
          <w:rFonts w:ascii="微软雅黑" w:hAnsi="微软雅黑" w:eastAsia="微软雅黑" w:cs="微软雅黑"/>
          <w:b/>
          <w:bCs/>
          <w:sz w:val="24"/>
          <w:szCs w:val="24"/>
        </w:rPr>
        <w:t xml:space="preserve"> </w:t>
      </w:r>
      <w:r>
        <w:rPr>
          <w:rFonts w:ascii="微软雅黑" w:hAnsi="微软雅黑" w:eastAsia="微软雅黑" w:cs="微软雅黑"/>
          <w:b/>
          <w:bCs/>
          <w:spacing w:val="-6"/>
          <w:sz w:val="24"/>
          <w:szCs w:val="24"/>
        </w:rPr>
        <w:t>师执业证书；</w:t>
      </w:r>
    </w:p>
    <w:p w14:paraId="680943E8">
      <w:pPr>
        <w:spacing w:before="1" w:line="183" w:lineRule="auto"/>
        <w:ind w:left="481"/>
        <w:rPr>
          <w:rFonts w:ascii="微软雅黑" w:hAnsi="微软雅黑" w:eastAsia="微软雅黑" w:cs="微软雅黑"/>
          <w:sz w:val="24"/>
          <w:szCs w:val="24"/>
        </w:rPr>
      </w:pPr>
      <w:r>
        <w:rPr>
          <w:rFonts w:ascii="微软雅黑" w:hAnsi="微软雅黑" w:eastAsia="微软雅黑" w:cs="微软雅黑"/>
          <w:spacing w:val="-2"/>
          <w:sz w:val="24"/>
          <w:szCs w:val="24"/>
        </w:rPr>
        <w:t>说明：1、按要求上传相关证明文件，联合体可组合满足以上资格条件。</w:t>
      </w:r>
    </w:p>
    <w:p w14:paraId="35477674">
      <w:pPr>
        <w:spacing w:before="104" w:line="184" w:lineRule="auto"/>
        <w:ind w:left="1212"/>
        <w:rPr>
          <w:rFonts w:ascii="微软雅黑" w:hAnsi="微软雅黑" w:eastAsia="微软雅黑" w:cs="微软雅黑"/>
          <w:sz w:val="24"/>
          <w:szCs w:val="24"/>
        </w:rPr>
      </w:pPr>
      <w:r>
        <w:rPr>
          <w:rFonts w:ascii="微软雅黑" w:hAnsi="微软雅黑" w:eastAsia="微软雅黑" w:cs="微软雅黑"/>
          <w:spacing w:val="-4"/>
          <w:sz w:val="24"/>
          <w:szCs w:val="24"/>
        </w:rPr>
        <w:t>2、联合体投标资质组合要求：</w:t>
      </w:r>
    </w:p>
    <w:p w14:paraId="5E98E7CC">
      <w:pPr>
        <w:spacing w:before="107" w:line="224" w:lineRule="auto"/>
        <w:ind w:left="1200" w:right="54" w:firstLine="3"/>
        <w:rPr>
          <w:rFonts w:ascii="微软雅黑" w:hAnsi="微软雅黑" w:eastAsia="微软雅黑" w:cs="微软雅黑"/>
          <w:b/>
          <w:bCs/>
          <w:sz w:val="24"/>
          <w:szCs w:val="24"/>
        </w:rPr>
      </w:pPr>
      <w:r>
        <w:rPr>
          <w:rFonts w:ascii="微软雅黑" w:hAnsi="微软雅黑" w:eastAsia="微软雅黑" w:cs="微软雅黑"/>
          <w:b/>
          <w:bCs/>
          <w:sz w:val="24"/>
          <w:szCs w:val="24"/>
        </w:rPr>
        <w:t>①联合体牵头单位或成员：具备建设主管部门颁发的建设工程质</w:t>
      </w:r>
      <w:r>
        <w:rPr>
          <w:rFonts w:ascii="微软雅黑" w:hAnsi="微软雅黑" w:eastAsia="微软雅黑" w:cs="微软雅黑"/>
          <w:b/>
          <w:bCs/>
          <w:spacing w:val="-1"/>
          <w:sz w:val="24"/>
          <w:szCs w:val="24"/>
        </w:rPr>
        <w:t>量检测机构资质</w:t>
      </w:r>
      <w:r>
        <w:rPr>
          <w:rFonts w:ascii="微软雅黑" w:hAnsi="微软雅黑" w:eastAsia="微软雅黑" w:cs="微软雅黑"/>
          <w:b/>
          <w:bCs/>
          <w:sz w:val="24"/>
          <w:szCs w:val="24"/>
        </w:rPr>
        <w:t xml:space="preserve">  证书(检测范围须包含：</w:t>
      </w:r>
      <w:r>
        <w:rPr>
          <w:rFonts w:hint="eastAsia" w:ascii="微软雅黑" w:hAnsi="微软雅黑" w:eastAsia="微软雅黑" w:cs="微软雅黑"/>
          <w:b/>
          <w:bCs/>
          <w:sz w:val="24"/>
          <w:szCs w:val="24"/>
          <w:lang w:val="en-US" w:eastAsia="zh-CN"/>
        </w:rPr>
        <w:t>建筑材料及构配件、主体结构及装饰装修、钢结构、地基基础</w:t>
      </w:r>
      <w:r>
        <w:rPr>
          <w:rFonts w:ascii="微软雅黑" w:hAnsi="微软雅黑" w:eastAsia="微软雅黑" w:cs="微软雅黑"/>
          <w:b/>
          <w:bCs/>
          <w:sz w:val="24"/>
          <w:szCs w:val="24"/>
        </w:rPr>
        <w:t>)，</w:t>
      </w:r>
    </w:p>
    <w:p w14:paraId="17B165D1">
      <w:pPr>
        <w:spacing w:before="105" w:line="214" w:lineRule="auto"/>
        <w:ind w:left="1205" w:right="3" w:hanging="1"/>
        <w:rPr>
          <w:rFonts w:ascii="微软雅黑" w:hAnsi="微软雅黑" w:eastAsia="微软雅黑" w:cs="微软雅黑"/>
          <w:sz w:val="24"/>
          <w:szCs w:val="24"/>
        </w:rPr>
      </w:pPr>
      <w:r>
        <w:rPr>
          <w:rFonts w:ascii="微软雅黑" w:hAnsi="微软雅黑" w:eastAsia="微软雅黑" w:cs="微软雅黑"/>
          <w:b/>
          <w:bCs/>
          <w:spacing w:val="-3"/>
          <w:sz w:val="24"/>
          <w:szCs w:val="24"/>
        </w:rPr>
        <w:t>②联合体牵头单位或成员：具备工程设计建筑行业（建筑工程）专业乙级或乙级以</w:t>
      </w:r>
      <w:r>
        <w:rPr>
          <w:rFonts w:ascii="微软雅黑" w:hAnsi="微软雅黑" w:eastAsia="微软雅黑" w:cs="微软雅黑"/>
          <w:b/>
          <w:bCs/>
          <w:spacing w:val="6"/>
          <w:sz w:val="24"/>
          <w:szCs w:val="24"/>
        </w:rPr>
        <w:t xml:space="preserve"> </w:t>
      </w:r>
      <w:r>
        <w:rPr>
          <w:rFonts w:ascii="微软雅黑" w:hAnsi="微软雅黑" w:eastAsia="微软雅黑" w:cs="微软雅黑"/>
          <w:b/>
          <w:bCs/>
          <w:spacing w:val="-2"/>
          <w:sz w:val="24"/>
          <w:szCs w:val="24"/>
        </w:rPr>
        <w:t>上资质及工程勘察专业类（岩土工程（勘察</w:t>
      </w:r>
      <w:r>
        <w:rPr>
          <w:rFonts w:ascii="微软雅黑" w:hAnsi="微软雅黑" w:eastAsia="微软雅黑" w:cs="微软雅黑"/>
          <w:b/>
          <w:bCs/>
          <w:spacing w:val="4"/>
          <w:sz w:val="24"/>
          <w:szCs w:val="24"/>
        </w:rPr>
        <w:t>））</w:t>
      </w:r>
      <w:r>
        <w:rPr>
          <w:rFonts w:ascii="微软雅黑" w:hAnsi="微软雅黑" w:eastAsia="微软雅黑" w:cs="微软雅黑"/>
          <w:b/>
          <w:bCs/>
          <w:spacing w:val="-2"/>
          <w:sz w:val="24"/>
          <w:szCs w:val="24"/>
        </w:rPr>
        <w:t>乙级或乙级以上资质。</w:t>
      </w:r>
    </w:p>
    <w:p w14:paraId="7C3146AE">
      <w:pPr>
        <w:pStyle w:val="7"/>
        <w:spacing w:line="246" w:lineRule="auto"/>
      </w:pPr>
    </w:p>
    <w:p w14:paraId="3E6B1210">
      <w:pPr>
        <w:pStyle w:val="7"/>
        <w:spacing w:line="246" w:lineRule="auto"/>
      </w:pPr>
    </w:p>
    <w:p w14:paraId="5520906D">
      <w:pPr>
        <w:pStyle w:val="7"/>
        <w:spacing w:line="246" w:lineRule="auto"/>
      </w:pPr>
    </w:p>
    <w:p w14:paraId="3A92DEED">
      <w:pPr>
        <w:pStyle w:val="7"/>
        <w:spacing w:line="246" w:lineRule="auto"/>
      </w:pPr>
    </w:p>
    <w:p w14:paraId="7AB4C5EA">
      <w:pPr>
        <w:pStyle w:val="7"/>
        <w:spacing w:line="246" w:lineRule="auto"/>
      </w:pPr>
    </w:p>
    <w:p w14:paraId="5928381E">
      <w:pPr>
        <w:pStyle w:val="7"/>
        <w:spacing w:line="246" w:lineRule="auto"/>
      </w:pPr>
    </w:p>
    <w:p w14:paraId="64E01C23">
      <w:pPr>
        <w:pStyle w:val="7"/>
        <w:spacing w:line="246" w:lineRule="auto"/>
      </w:pPr>
    </w:p>
    <w:p w14:paraId="5AF8E603">
      <w:pPr>
        <w:pStyle w:val="7"/>
        <w:spacing w:line="246" w:lineRule="auto"/>
      </w:pPr>
    </w:p>
    <w:p w14:paraId="6EC80BD1">
      <w:pPr>
        <w:pStyle w:val="7"/>
        <w:spacing w:line="247" w:lineRule="auto"/>
      </w:pPr>
    </w:p>
    <w:p w14:paraId="1E18EA57">
      <w:pPr>
        <w:pStyle w:val="7"/>
        <w:spacing w:line="247" w:lineRule="auto"/>
      </w:pPr>
    </w:p>
    <w:p w14:paraId="426DE834">
      <w:pPr>
        <w:spacing w:before="103" w:line="230" w:lineRule="auto"/>
        <w:ind w:left="438"/>
        <w:outlineLvl w:val="1"/>
        <w:rPr>
          <w:rFonts w:ascii="微软雅黑" w:hAnsi="微软雅黑" w:eastAsia="微软雅黑" w:cs="微软雅黑"/>
          <w:sz w:val="24"/>
          <w:szCs w:val="24"/>
        </w:rPr>
      </w:pPr>
      <w:bookmarkStart w:id="71" w:name="bookmark17"/>
      <w:bookmarkEnd w:id="71"/>
      <w:r>
        <w:rPr>
          <w:rFonts w:ascii="微软雅黑" w:hAnsi="微软雅黑" w:eastAsia="微软雅黑" w:cs="微软雅黑"/>
          <w:b/>
          <w:bCs/>
          <w:spacing w:val="-6"/>
          <w:sz w:val="24"/>
          <w:szCs w:val="24"/>
        </w:rPr>
        <w:t>5</w:t>
      </w:r>
      <w:r>
        <w:rPr>
          <w:rFonts w:ascii="微软雅黑" w:hAnsi="微软雅黑" w:eastAsia="微软雅黑" w:cs="微软雅黑"/>
          <w:b/>
          <w:bCs/>
          <w:spacing w:val="12"/>
          <w:sz w:val="24"/>
          <w:szCs w:val="24"/>
        </w:rPr>
        <w:t xml:space="preserve">   </w:t>
      </w:r>
      <w:r>
        <w:rPr>
          <w:rFonts w:ascii="微软雅黑" w:hAnsi="微软雅黑" w:eastAsia="微软雅黑" w:cs="微软雅黑"/>
          <w:b/>
          <w:bCs/>
          <w:spacing w:val="-6"/>
          <w:sz w:val="24"/>
          <w:szCs w:val="24"/>
        </w:rPr>
        <w:t>投标保证金有效凭证；</w:t>
      </w:r>
    </w:p>
    <w:p w14:paraId="397B9D94">
      <w:pPr>
        <w:spacing w:line="230" w:lineRule="auto"/>
        <w:rPr>
          <w:rFonts w:ascii="微软雅黑" w:hAnsi="微软雅黑" w:eastAsia="微软雅黑" w:cs="微软雅黑"/>
          <w:sz w:val="24"/>
          <w:szCs w:val="24"/>
        </w:rPr>
        <w:sectPr>
          <w:footerReference r:id="rId28" w:type="default"/>
          <w:pgSz w:w="11905" w:h="16839"/>
          <w:pgMar w:top="1431" w:right="1076" w:bottom="1197" w:left="1081" w:header="0" w:footer="963" w:gutter="0"/>
          <w:pgNumType w:fmt="decimal"/>
          <w:cols w:space="720" w:num="1"/>
        </w:sectPr>
      </w:pPr>
    </w:p>
    <w:p w14:paraId="6CA68616">
      <w:pPr>
        <w:pStyle w:val="7"/>
        <w:spacing w:line="369" w:lineRule="auto"/>
      </w:pPr>
    </w:p>
    <w:p w14:paraId="4DA9CF61">
      <w:pPr>
        <w:spacing w:before="137" w:line="184" w:lineRule="auto"/>
        <w:ind w:left="2682"/>
        <w:outlineLvl w:val="1"/>
        <w:rPr>
          <w:rFonts w:ascii="微软雅黑" w:hAnsi="微软雅黑" w:eastAsia="微软雅黑" w:cs="微软雅黑"/>
          <w:sz w:val="32"/>
          <w:szCs w:val="32"/>
        </w:rPr>
      </w:pPr>
      <w:bookmarkStart w:id="72" w:name="bookmark18"/>
      <w:bookmarkEnd w:id="72"/>
      <w:r>
        <w:rPr>
          <w:rFonts w:ascii="微软雅黑" w:hAnsi="微软雅黑" w:eastAsia="微软雅黑" w:cs="微软雅黑"/>
          <w:spacing w:val="-1"/>
          <w:sz w:val="32"/>
          <w:szCs w:val="32"/>
        </w:rPr>
        <w:t>第二部分</w:t>
      </w:r>
      <w:r>
        <w:rPr>
          <w:rFonts w:ascii="微软雅黑" w:hAnsi="微软雅黑" w:eastAsia="微软雅黑" w:cs="微软雅黑"/>
          <w:spacing w:val="14"/>
          <w:sz w:val="32"/>
          <w:szCs w:val="32"/>
        </w:rPr>
        <w:t xml:space="preserve">   </w:t>
      </w:r>
      <w:r>
        <w:rPr>
          <w:rFonts w:ascii="微软雅黑" w:hAnsi="微软雅黑" w:eastAsia="微软雅黑" w:cs="微软雅黑"/>
          <w:spacing w:val="-1"/>
          <w:sz w:val="32"/>
          <w:szCs w:val="32"/>
        </w:rPr>
        <w:t>商务及技术文件</w:t>
      </w:r>
    </w:p>
    <w:p w14:paraId="4BDAF307">
      <w:pPr>
        <w:spacing w:before="152" w:line="182" w:lineRule="auto"/>
        <w:ind w:left="26"/>
        <w:rPr>
          <w:rFonts w:ascii="微软雅黑" w:hAnsi="微软雅黑" w:eastAsia="微软雅黑" w:cs="微软雅黑"/>
          <w:sz w:val="28"/>
          <w:szCs w:val="28"/>
        </w:rPr>
      </w:pPr>
      <w:r>
        <w:rPr>
          <w:rFonts w:ascii="微软雅黑" w:hAnsi="微软雅黑" w:eastAsia="微软雅黑" w:cs="微软雅黑"/>
          <w:spacing w:val="-5"/>
          <w:sz w:val="28"/>
          <w:szCs w:val="28"/>
        </w:rPr>
        <w:t>1、投标书</w:t>
      </w:r>
    </w:p>
    <w:p w14:paraId="291072BA">
      <w:pPr>
        <w:spacing w:before="133" w:line="183" w:lineRule="auto"/>
        <w:ind w:left="13"/>
        <w:rPr>
          <w:rFonts w:ascii="微软雅黑" w:hAnsi="微软雅黑" w:eastAsia="微软雅黑" w:cs="微软雅黑"/>
          <w:sz w:val="28"/>
          <w:szCs w:val="28"/>
        </w:rPr>
      </w:pPr>
      <w:r>
        <w:rPr>
          <w:rFonts w:ascii="微软雅黑" w:hAnsi="微软雅黑" w:eastAsia="微软雅黑" w:cs="微软雅黑"/>
          <w:spacing w:val="-2"/>
          <w:sz w:val="28"/>
          <w:szCs w:val="28"/>
        </w:rPr>
        <w:t>2、投标分项报价表</w:t>
      </w:r>
    </w:p>
    <w:p w14:paraId="3944A69E">
      <w:pPr>
        <w:spacing w:before="131" w:line="184" w:lineRule="auto"/>
        <w:ind w:left="17"/>
        <w:rPr>
          <w:rFonts w:ascii="微软雅黑" w:hAnsi="微软雅黑" w:eastAsia="微软雅黑" w:cs="微软雅黑"/>
          <w:sz w:val="28"/>
          <w:szCs w:val="28"/>
        </w:rPr>
      </w:pPr>
      <w:r>
        <w:rPr>
          <w:rFonts w:ascii="微软雅黑" w:hAnsi="微软雅黑" w:eastAsia="微软雅黑" w:cs="微软雅黑"/>
          <w:spacing w:val="-3"/>
          <w:sz w:val="28"/>
          <w:szCs w:val="28"/>
        </w:rPr>
        <w:t>3、服务说明一览表</w:t>
      </w:r>
    </w:p>
    <w:p w14:paraId="0E671E33">
      <w:pPr>
        <w:spacing w:before="131" w:line="184" w:lineRule="auto"/>
        <w:rPr>
          <w:rFonts w:ascii="微软雅黑" w:hAnsi="微软雅黑" w:eastAsia="微软雅黑" w:cs="微软雅黑"/>
          <w:sz w:val="28"/>
          <w:szCs w:val="28"/>
        </w:rPr>
      </w:pPr>
      <w:r>
        <w:rPr>
          <w:rFonts w:ascii="微软雅黑" w:hAnsi="微软雅黑" w:eastAsia="微软雅黑" w:cs="微软雅黑"/>
          <w:spacing w:val="-1"/>
          <w:sz w:val="28"/>
          <w:szCs w:val="28"/>
        </w:rPr>
        <w:t>4、商务条款偏离表</w:t>
      </w:r>
    </w:p>
    <w:p w14:paraId="02C419D7">
      <w:pPr>
        <w:spacing w:before="134" w:line="183" w:lineRule="auto"/>
        <w:ind w:left="20"/>
        <w:rPr>
          <w:rFonts w:ascii="微软雅黑" w:hAnsi="微软雅黑" w:eastAsia="微软雅黑" w:cs="微软雅黑"/>
          <w:sz w:val="28"/>
          <w:szCs w:val="28"/>
        </w:rPr>
      </w:pPr>
      <w:r>
        <w:rPr>
          <w:rFonts w:ascii="微软雅黑" w:hAnsi="微软雅黑" w:eastAsia="微软雅黑" w:cs="微软雅黑"/>
          <w:spacing w:val="-2"/>
          <w:sz w:val="28"/>
          <w:szCs w:val="28"/>
        </w:rPr>
        <w:t>5、残疾人福利性单位声明函</w:t>
      </w:r>
    </w:p>
    <w:p w14:paraId="51C50AAD">
      <w:pPr>
        <w:spacing w:before="134" w:line="183" w:lineRule="auto"/>
        <w:ind w:left="13"/>
        <w:rPr>
          <w:rFonts w:ascii="微软雅黑" w:hAnsi="微软雅黑" w:eastAsia="微软雅黑" w:cs="微软雅黑"/>
          <w:sz w:val="28"/>
          <w:szCs w:val="28"/>
        </w:rPr>
      </w:pPr>
      <w:r>
        <w:rPr>
          <w:rFonts w:ascii="微软雅黑" w:hAnsi="微软雅黑" w:eastAsia="微软雅黑" w:cs="微软雅黑"/>
          <w:spacing w:val="-4"/>
          <w:sz w:val="28"/>
          <w:szCs w:val="28"/>
        </w:rPr>
        <w:t>6、供应商关联单位的说明（格式自拟）</w:t>
      </w:r>
    </w:p>
    <w:p w14:paraId="540F09A1">
      <w:pPr>
        <w:spacing w:before="131" w:line="184" w:lineRule="auto"/>
        <w:ind w:left="12"/>
        <w:rPr>
          <w:rFonts w:ascii="微软雅黑" w:hAnsi="微软雅黑" w:eastAsia="微软雅黑" w:cs="微软雅黑"/>
          <w:sz w:val="28"/>
          <w:szCs w:val="28"/>
        </w:rPr>
      </w:pPr>
      <w:r>
        <w:rPr>
          <w:rFonts w:ascii="微软雅黑" w:hAnsi="微软雅黑" w:eastAsia="微软雅黑" w:cs="微软雅黑"/>
          <w:spacing w:val="-1"/>
          <w:sz w:val="28"/>
          <w:szCs w:val="28"/>
        </w:rPr>
        <w:t>7、供应商可提供有利于投标的其他资格证明材料</w:t>
      </w:r>
    </w:p>
    <w:p w14:paraId="5345C83A">
      <w:pPr>
        <w:spacing w:before="134" w:line="183" w:lineRule="auto"/>
        <w:ind w:left="11"/>
        <w:rPr>
          <w:rFonts w:ascii="微软雅黑" w:hAnsi="微软雅黑" w:eastAsia="微软雅黑" w:cs="微软雅黑"/>
          <w:sz w:val="28"/>
          <w:szCs w:val="28"/>
        </w:rPr>
      </w:pPr>
      <w:r>
        <w:rPr>
          <w:rFonts w:ascii="微软雅黑" w:hAnsi="微软雅黑" w:eastAsia="微软雅黑" w:cs="微软雅黑"/>
          <w:spacing w:val="-2"/>
          <w:sz w:val="28"/>
          <w:szCs w:val="28"/>
        </w:rPr>
        <w:t>8、投标文件格式范本</w:t>
      </w:r>
    </w:p>
    <w:p w14:paraId="19037430">
      <w:pPr>
        <w:spacing w:line="183" w:lineRule="auto"/>
        <w:rPr>
          <w:rFonts w:ascii="微软雅黑" w:hAnsi="微软雅黑" w:eastAsia="微软雅黑" w:cs="微软雅黑"/>
          <w:sz w:val="28"/>
          <w:szCs w:val="28"/>
        </w:rPr>
        <w:sectPr>
          <w:footerReference r:id="rId29" w:type="default"/>
          <w:pgSz w:w="11905" w:h="16839"/>
          <w:pgMar w:top="1431" w:right="1785" w:bottom="1197" w:left="1621" w:header="0" w:footer="963" w:gutter="0"/>
          <w:pgNumType w:fmt="decimal"/>
          <w:cols w:space="720" w:num="1"/>
        </w:sectPr>
      </w:pPr>
    </w:p>
    <w:p w14:paraId="6BD7FCDF">
      <w:pPr>
        <w:spacing w:before="116" w:line="182" w:lineRule="auto"/>
        <w:ind w:left="4336"/>
        <w:outlineLvl w:val="1"/>
        <w:rPr>
          <w:rFonts w:ascii="微软雅黑" w:hAnsi="微软雅黑" w:eastAsia="微软雅黑" w:cs="微软雅黑"/>
          <w:sz w:val="24"/>
          <w:szCs w:val="24"/>
        </w:rPr>
      </w:pPr>
      <w:bookmarkStart w:id="73" w:name="bookmark19"/>
      <w:bookmarkEnd w:id="73"/>
      <w:r>
        <w:rPr>
          <w:rFonts w:ascii="微软雅黑" w:hAnsi="微软雅黑" w:eastAsia="微软雅黑" w:cs="微软雅黑"/>
          <w:b/>
          <w:bCs/>
          <w:spacing w:val="-4"/>
          <w:sz w:val="24"/>
          <w:szCs w:val="24"/>
        </w:rPr>
        <w:t>1、投标书</w:t>
      </w:r>
    </w:p>
    <w:p w14:paraId="4A526FAC">
      <w:pPr>
        <w:spacing w:before="97" w:line="183" w:lineRule="auto"/>
        <w:rPr>
          <w:rFonts w:ascii="微软雅黑" w:hAnsi="微软雅黑" w:eastAsia="微软雅黑" w:cs="微软雅黑"/>
          <w:sz w:val="24"/>
          <w:szCs w:val="24"/>
        </w:rPr>
      </w:pPr>
      <w:r>
        <w:rPr>
          <w:rFonts w:ascii="微软雅黑" w:hAnsi="微软雅黑" w:eastAsia="微软雅黑" w:cs="微软雅黑"/>
          <w:spacing w:val="-3"/>
          <w:sz w:val="24"/>
          <w:szCs w:val="24"/>
        </w:rPr>
        <w:t>致：</w:t>
      </w:r>
      <w:r>
        <w:rPr>
          <w:rFonts w:ascii="微软雅黑" w:hAnsi="微软雅黑" w:eastAsia="微软雅黑" w:cs="微软雅黑"/>
          <w:sz w:val="24"/>
          <w:szCs w:val="24"/>
          <w:u w:val="single" w:color="auto"/>
        </w:rPr>
        <w:t xml:space="preserve">              </w:t>
      </w:r>
    </w:p>
    <w:p w14:paraId="6BD65D8A">
      <w:pPr>
        <w:pStyle w:val="7"/>
        <w:spacing w:line="406" w:lineRule="auto"/>
      </w:pPr>
    </w:p>
    <w:p w14:paraId="446A9875">
      <w:pPr>
        <w:spacing w:before="108" w:line="227" w:lineRule="auto"/>
        <w:ind w:left="1" w:right="9" w:firstLine="480"/>
        <w:jc w:val="both"/>
        <w:rPr>
          <w:rFonts w:ascii="微软雅黑" w:hAnsi="微软雅黑" w:eastAsia="微软雅黑" w:cs="微软雅黑"/>
          <w:sz w:val="24"/>
          <w:szCs w:val="24"/>
        </w:rPr>
      </w:pPr>
      <w:r>
        <w:rPr>
          <w:rFonts w:ascii="微软雅黑" w:hAnsi="微软雅黑" w:eastAsia="微软雅黑" w:cs="微软雅黑"/>
          <w:spacing w:val="-11"/>
          <w:sz w:val="24"/>
          <w:szCs w:val="24"/>
        </w:rPr>
        <w:t>根据贵方（</w:t>
      </w:r>
      <w:r>
        <w:rPr>
          <w:rFonts w:ascii="微软雅黑" w:hAnsi="微软雅黑" w:eastAsia="微软雅黑" w:cs="微软雅黑"/>
          <w:spacing w:val="-49"/>
          <w:sz w:val="24"/>
          <w:szCs w:val="24"/>
        </w:rPr>
        <w:t xml:space="preserve"> </w:t>
      </w:r>
      <w:r>
        <w:rPr>
          <w:rFonts w:ascii="微软雅黑" w:hAnsi="微软雅黑" w:eastAsia="微软雅黑" w:cs="微软雅黑"/>
          <w:spacing w:val="-35"/>
          <w:sz w:val="25"/>
          <w:szCs w:val="25"/>
          <w:u w:val="single" w:color="auto"/>
        </w:rPr>
        <w:t xml:space="preserve"> </w:t>
      </w:r>
      <w:r>
        <w:rPr>
          <w:rFonts w:ascii="微软雅黑" w:hAnsi="微软雅黑" w:eastAsia="微软雅黑" w:cs="微软雅黑"/>
          <w:i/>
          <w:iCs/>
          <w:spacing w:val="-11"/>
          <w:sz w:val="25"/>
          <w:szCs w:val="25"/>
          <w:u w:val="single" w:color="auto"/>
        </w:rPr>
        <w:t>项目名称）</w:t>
      </w:r>
      <w:r>
        <w:rPr>
          <w:rFonts w:ascii="微软雅黑" w:hAnsi="微软雅黑" w:eastAsia="微软雅黑" w:cs="微软雅黑"/>
          <w:spacing w:val="-11"/>
          <w:sz w:val="24"/>
          <w:szCs w:val="24"/>
        </w:rPr>
        <w:t>项目的投标邀请（</w:t>
      </w:r>
      <w:r>
        <w:rPr>
          <w:rFonts w:ascii="微软雅黑" w:hAnsi="微软雅黑" w:eastAsia="微软雅黑" w:cs="微软雅黑"/>
          <w:spacing w:val="-50"/>
          <w:sz w:val="24"/>
          <w:szCs w:val="24"/>
        </w:rPr>
        <w:t xml:space="preserve"> </w:t>
      </w:r>
      <w:r>
        <w:rPr>
          <w:rFonts w:ascii="微软雅黑" w:hAnsi="微软雅黑" w:eastAsia="微软雅黑" w:cs="微软雅黑"/>
          <w:spacing w:val="-34"/>
          <w:sz w:val="25"/>
          <w:szCs w:val="25"/>
          <w:u w:val="single" w:color="auto"/>
        </w:rPr>
        <w:t xml:space="preserve"> </w:t>
      </w:r>
      <w:r>
        <w:rPr>
          <w:rFonts w:ascii="微软雅黑" w:hAnsi="微软雅黑" w:eastAsia="微软雅黑" w:cs="微软雅黑"/>
          <w:i/>
          <w:iCs/>
          <w:spacing w:val="-11"/>
          <w:sz w:val="25"/>
          <w:szCs w:val="25"/>
          <w:u w:val="single" w:color="auto"/>
        </w:rPr>
        <w:t>项目编号，</w:t>
      </w:r>
      <w:r>
        <w:rPr>
          <w:rFonts w:ascii="微软雅黑" w:hAnsi="微软雅黑" w:eastAsia="微软雅黑" w:cs="微软雅黑"/>
          <w:spacing w:val="-11"/>
          <w:sz w:val="24"/>
          <w:szCs w:val="24"/>
          <w:u w:val="single" w:color="auto"/>
        </w:rPr>
        <w:t>包号</w:t>
      </w:r>
      <w:r>
        <w:rPr>
          <w:rFonts w:ascii="微软雅黑" w:hAnsi="微软雅黑" w:eastAsia="微软雅黑" w:cs="微软雅黑"/>
          <w:spacing w:val="-17"/>
          <w:sz w:val="24"/>
          <w:szCs w:val="24"/>
          <w:u w:val="single" w:color="auto"/>
        </w:rPr>
        <w:t>），</w:t>
      </w:r>
      <w:r>
        <w:rPr>
          <w:rFonts w:ascii="微软雅黑" w:hAnsi="微软雅黑" w:eastAsia="微软雅黑" w:cs="微软雅黑"/>
          <w:spacing w:val="-11"/>
          <w:sz w:val="24"/>
          <w:szCs w:val="24"/>
        </w:rPr>
        <w:t>签字代</w:t>
      </w:r>
      <w:r>
        <w:rPr>
          <w:rFonts w:ascii="微软雅黑" w:hAnsi="微软雅黑" w:eastAsia="微软雅黑" w:cs="微软雅黑"/>
          <w:spacing w:val="-12"/>
          <w:sz w:val="24"/>
          <w:szCs w:val="24"/>
        </w:rPr>
        <w:t>表（</w:t>
      </w:r>
      <w:r>
        <w:rPr>
          <w:rFonts w:ascii="微软雅黑" w:hAnsi="微软雅黑" w:eastAsia="微软雅黑" w:cs="微软雅黑"/>
          <w:spacing w:val="-50"/>
          <w:sz w:val="24"/>
          <w:szCs w:val="24"/>
        </w:rPr>
        <w:t xml:space="preserve"> </w:t>
      </w:r>
      <w:r>
        <w:rPr>
          <w:rFonts w:ascii="微软雅黑" w:hAnsi="微软雅黑" w:eastAsia="微软雅黑" w:cs="微软雅黑"/>
          <w:spacing w:val="-29"/>
          <w:sz w:val="25"/>
          <w:szCs w:val="25"/>
          <w:u w:val="single" w:color="auto"/>
        </w:rPr>
        <w:t xml:space="preserve"> </w:t>
      </w:r>
      <w:r>
        <w:rPr>
          <w:rFonts w:ascii="微软雅黑" w:hAnsi="微软雅黑" w:eastAsia="微软雅黑" w:cs="微软雅黑"/>
          <w:i/>
          <w:iCs/>
          <w:spacing w:val="-12"/>
          <w:sz w:val="25"/>
          <w:szCs w:val="25"/>
          <w:u w:val="single" w:color="auto"/>
        </w:rPr>
        <w:t>姓名、职务）</w:t>
      </w:r>
      <w:r>
        <w:rPr>
          <w:rFonts w:ascii="微软雅黑" w:hAnsi="微软雅黑" w:eastAsia="微软雅黑" w:cs="微软雅黑"/>
          <w:spacing w:val="-12"/>
          <w:sz w:val="24"/>
          <w:szCs w:val="24"/>
        </w:rPr>
        <w:t>经</w:t>
      </w:r>
      <w:r>
        <w:rPr>
          <w:rFonts w:ascii="微软雅黑" w:hAnsi="微软雅黑" w:eastAsia="微软雅黑" w:cs="微软雅黑"/>
          <w:sz w:val="24"/>
          <w:szCs w:val="24"/>
        </w:rPr>
        <w:t xml:space="preserve"> </w:t>
      </w:r>
      <w:r>
        <w:rPr>
          <w:rFonts w:ascii="微软雅黑" w:hAnsi="微软雅黑" w:eastAsia="微软雅黑" w:cs="微软雅黑"/>
          <w:spacing w:val="-3"/>
          <w:sz w:val="24"/>
          <w:szCs w:val="24"/>
        </w:rPr>
        <w:t>正式授权并代表供应商（</w:t>
      </w:r>
      <w:r>
        <w:rPr>
          <w:rFonts w:ascii="微软雅黑" w:hAnsi="微软雅黑" w:eastAsia="微软雅黑" w:cs="微软雅黑"/>
          <w:spacing w:val="-46"/>
          <w:sz w:val="24"/>
          <w:szCs w:val="24"/>
        </w:rPr>
        <w:t xml:space="preserve"> </w:t>
      </w:r>
      <w:r>
        <w:rPr>
          <w:rFonts w:ascii="微软雅黑" w:hAnsi="微软雅黑" w:eastAsia="微软雅黑" w:cs="微软雅黑"/>
          <w:spacing w:val="-31"/>
          <w:sz w:val="25"/>
          <w:szCs w:val="25"/>
          <w:u w:val="single" w:color="auto"/>
        </w:rPr>
        <w:t xml:space="preserve"> </w:t>
      </w:r>
      <w:r>
        <w:rPr>
          <w:rFonts w:ascii="微软雅黑" w:hAnsi="微软雅黑" w:eastAsia="微软雅黑" w:cs="微软雅黑"/>
          <w:i/>
          <w:iCs/>
          <w:spacing w:val="-3"/>
          <w:sz w:val="25"/>
          <w:szCs w:val="25"/>
          <w:u w:val="single" w:color="auto"/>
        </w:rPr>
        <w:t>名称、地址</w:t>
      </w:r>
      <w:r>
        <w:rPr>
          <w:rFonts w:ascii="微软雅黑" w:hAnsi="微软雅黑" w:eastAsia="微软雅黑" w:cs="微软雅黑"/>
          <w:spacing w:val="-3"/>
          <w:sz w:val="24"/>
          <w:szCs w:val="24"/>
        </w:rPr>
        <w:t>）上传投标文件，并以</w:t>
      </w:r>
      <w:r>
        <w:rPr>
          <w:rFonts w:ascii="微软雅黑" w:hAnsi="微软雅黑" w:eastAsia="微软雅黑" w:cs="微软雅黑"/>
          <w:spacing w:val="-70"/>
          <w:sz w:val="24"/>
          <w:szCs w:val="24"/>
        </w:rPr>
        <w:t xml:space="preserve"> </w:t>
      </w:r>
      <w:r>
        <w:rPr>
          <w:rFonts w:ascii="微软雅黑" w:hAnsi="微软雅黑" w:eastAsia="微软雅黑" w:cs="微软雅黑"/>
          <w:spacing w:val="1"/>
          <w:sz w:val="24"/>
          <w:szCs w:val="24"/>
          <w:u w:val="single" w:color="auto"/>
        </w:rPr>
        <w:t xml:space="preserve">               </w:t>
      </w:r>
      <w:r>
        <w:rPr>
          <w:rFonts w:ascii="微软雅黑" w:hAnsi="微软雅黑" w:eastAsia="微软雅黑" w:cs="微软雅黑"/>
          <w:spacing w:val="-64"/>
          <w:sz w:val="24"/>
          <w:szCs w:val="24"/>
        </w:rPr>
        <w:t xml:space="preserve"> </w:t>
      </w:r>
      <w:r>
        <w:rPr>
          <w:rFonts w:ascii="微软雅黑" w:hAnsi="微软雅黑" w:eastAsia="微软雅黑" w:cs="微软雅黑"/>
          <w:spacing w:val="-3"/>
          <w:sz w:val="24"/>
          <w:szCs w:val="24"/>
        </w:rPr>
        <w:t>形式出具的金额为人民</w:t>
      </w:r>
      <w:r>
        <w:rPr>
          <w:rFonts w:ascii="微软雅黑" w:hAnsi="微软雅黑" w:eastAsia="微软雅黑" w:cs="微软雅黑"/>
          <w:sz w:val="24"/>
          <w:szCs w:val="24"/>
        </w:rPr>
        <w:t xml:space="preserve"> </w:t>
      </w:r>
      <w:r>
        <w:rPr>
          <w:rFonts w:ascii="微软雅黑" w:hAnsi="微软雅黑" w:eastAsia="微软雅黑" w:cs="微软雅黑"/>
          <w:spacing w:val="-6"/>
          <w:sz w:val="24"/>
          <w:szCs w:val="24"/>
        </w:rPr>
        <w:t>币</w:t>
      </w:r>
      <w:r>
        <w:rPr>
          <w:rFonts w:ascii="微软雅黑" w:hAnsi="微软雅黑" w:eastAsia="微软雅黑" w:cs="微软雅黑"/>
          <w:spacing w:val="3"/>
          <w:sz w:val="24"/>
          <w:szCs w:val="24"/>
          <w:u w:val="single" w:color="auto"/>
        </w:rPr>
        <w:t xml:space="preserve">             </w:t>
      </w:r>
      <w:r>
        <w:rPr>
          <w:rFonts w:ascii="微软雅黑" w:hAnsi="微软雅黑" w:eastAsia="微软雅黑" w:cs="微软雅黑"/>
          <w:spacing w:val="-64"/>
          <w:sz w:val="24"/>
          <w:szCs w:val="24"/>
        </w:rPr>
        <w:t xml:space="preserve"> </w:t>
      </w:r>
      <w:r>
        <w:rPr>
          <w:rFonts w:ascii="微软雅黑" w:hAnsi="微软雅黑" w:eastAsia="微软雅黑" w:cs="微软雅黑"/>
          <w:spacing w:val="-6"/>
          <w:sz w:val="24"/>
          <w:szCs w:val="24"/>
        </w:rPr>
        <w:t>元的投标保证金。</w:t>
      </w:r>
    </w:p>
    <w:p w14:paraId="07FA3BF2">
      <w:pPr>
        <w:spacing w:before="1" w:line="183" w:lineRule="auto"/>
        <w:ind w:left="539"/>
        <w:rPr>
          <w:rFonts w:ascii="微软雅黑" w:hAnsi="微软雅黑" w:eastAsia="微软雅黑" w:cs="微软雅黑"/>
          <w:sz w:val="24"/>
          <w:szCs w:val="24"/>
        </w:rPr>
      </w:pPr>
      <w:r>
        <w:rPr>
          <w:rFonts w:ascii="微软雅黑" w:hAnsi="微软雅黑" w:eastAsia="微软雅黑" w:cs="微软雅黑"/>
          <w:spacing w:val="-4"/>
          <w:sz w:val="24"/>
          <w:szCs w:val="24"/>
        </w:rPr>
        <w:t>据此，签字代表宣布同意如下：</w:t>
      </w:r>
    </w:p>
    <w:p w14:paraId="4D172B9A">
      <w:pPr>
        <w:spacing w:before="41" w:line="227" w:lineRule="auto"/>
        <w:ind w:left="767" w:right="9" w:hanging="195"/>
        <w:rPr>
          <w:rFonts w:ascii="微软雅黑" w:hAnsi="微软雅黑" w:eastAsia="微软雅黑" w:cs="微软雅黑"/>
          <w:sz w:val="24"/>
          <w:szCs w:val="24"/>
        </w:rPr>
      </w:pPr>
      <w:r>
        <w:rPr>
          <w:rFonts w:ascii="微软雅黑" w:hAnsi="微软雅黑" w:eastAsia="微软雅黑" w:cs="微软雅黑"/>
          <w:spacing w:val="-2"/>
          <w:sz w:val="24"/>
          <w:szCs w:val="24"/>
        </w:rPr>
        <w:t>（1）附投标价格表中规定的应提供服务的投标总价</w:t>
      </w:r>
      <w:r>
        <w:rPr>
          <w:rFonts w:ascii="微软雅黑" w:hAnsi="微软雅黑" w:eastAsia="微软雅黑" w:cs="微软雅黑"/>
          <w:spacing w:val="-3"/>
          <w:sz w:val="24"/>
          <w:szCs w:val="24"/>
        </w:rPr>
        <w:t>详见开标一览表，承包企业为</w:t>
      </w:r>
      <w:r>
        <w:rPr>
          <w:rFonts w:ascii="微软雅黑" w:hAnsi="微软雅黑" w:eastAsia="微软雅黑" w:cs="微软雅黑"/>
          <w:spacing w:val="-3"/>
          <w:sz w:val="24"/>
          <w:szCs w:val="24"/>
          <w:u w:val="single" w:color="auto"/>
        </w:rPr>
        <w:t>小型和</w:t>
      </w:r>
      <w:r>
        <w:rPr>
          <w:rFonts w:ascii="微软雅黑" w:hAnsi="微软雅黑" w:eastAsia="微软雅黑" w:cs="微软雅黑"/>
          <w:sz w:val="24"/>
          <w:szCs w:val="24"/>
        </w:rPr>
        <w:t xml:space="preserve"> </w:t>
      </w:r>
      <w:r>
        <w:rPr>
          <w:rFonts w:ascii="微软雅黑" w:hAnsi="微软雅黑" w:eastAsia="微软雅黑" w:cs="微软雅黑"/>
          <w:sz w:val="24"/>
          <w:szCs w:val="24"/>
          <w:u w:val="single" w:color="auto"/>
        </w:rPr>
        <w:t>微型，</w:t>
      </w:r>
      <w:r>
        <w:rPr>
          <w:rFonts w:ascii="微软雅黑" w:hAnsi="微软雅黑" w:eastAsia="微软雅黑" w:cs="微软雅黑"/>
          <w:sz w:val="24"/>
          <w:szCs w:val="24"/>
        </w:rPr>
        <w:t>投标报价价格为</w:t>
      </w:r>
      <w:r>
        <w:rPr>
          <w:rFonts w:ascii="微软雅黑" w:hAnsi="微软雅黑" w:eastAsia="微软雅黑" w:cs="微软雅黑"/>
          <w:sz w:val="24"/>
          <w:szCs w:val="24"/>
          <w:u w:val="single" w:color="auto"/>
        </w:rPr>
        <w:t xml:space="preserve">          （用文字和数字表示</w:t>
      </w:r>
      <w:r>
        <w:rPr>
          <w:rFonts w:ascii="微软雅黑" w:hAnsi="微软雅黑" w:eastAsia="微软雅黑" w:cs="微软雅黑"/>
          <w:spacing w:val="5"/>
          <w:sz w:val="24"/>
          <w:szCs w:val="24"/>
          <w:u w:val="single" w:color="auto"/>
        </w:rPr>
        <w:t>），</w:t>
      </w:r>
      <w:r>
        <w:rPr>
          <w:rFonts w:ascii="微软雅黑" w:hAnsi="微软雅黑" w:eastAsia="微软雅黑" w:cs="微软雅黑"/>
          <w:sz w:val="24"/>
          <w:szCs w:val="24"/>
          <w:u w:val="single" w:color="auto"/>
        </w:rPr>
        <w:t>占投标总价     %</w:t>
      </w:r>
      <w:r>
        <w:rPr>
          <w:rFonts w:ascii="微软雅黑" w:hAnsi="微软雅黑" w:eastAsia="微软雅黑" w:cs="微软雅黑"/>
          <w:sz w:val="24"/>
          <w:szCs w:val="24"/>
        </w:rPr>
        <w:t>。</w:t>
      </w:r>
    </w:p>
    <w:p w14:paraId="3282467E">
      <w:pPr>
        <w:spacing w:before="66" w:line="183" w:lineRule="auto"/>
        <w:ind w:left="572"/>
        <w:rPr>
          <w:rFonts w:ascii="微软雅黑" w:hAnsi="微软雅黑" w:eastAsia="微软雅黑" w:cs="微软雅黑"/>
          <w:sz w:val="24"/>
          <w:szCs w:val="24"/>
        </w:rPr>
      </w:pPr>
      <w:r>
        <w:rPr>
          <w:rFonts w:ascii="微软雅黑" w:hAnsi="微软雅黑" w:eastAsia="微软雅黑" w:cs="微软雅黑"/>
          <w:spacing w:val="-4"/>
          <w:sz w:val="24"/>
          <w:szCs w:val="24"/>
        </w:rPr>
        <w:t>（2）本投标有效期为自投标截止之日起</w:t>
      </w:r>
      <w:r>
        <w:rPr>
          <w:rFonts w:ascii="微软雅黑" w:hAnsi="微软雅黑" w:eastAsia="微软雅黑" w:cs="微软雅黑"/>
          <w:spacing w:val="-56"/>
          <w:sz w:val="24"/>
          <w:szCs w:val="24"/>
        </w:rPr>
        <w:t xml:space="preserve"> </w:t>
      </w:r>
      <w:r>
        <w:rPr>
          <w:rFonts w:ascii="微软雅黑" w:hAnsi="微软雅黑" w:eastAsia="微软雅黑" w:cs="微软雅黑"/>
          <w:spacing w:val="4"/>
          <w:sz w:val="24"/>
          <w:szCs w:val="24"/>
          <w:u w:val="single" w:color="auto"/>
        </w:rPr>
        <w:t xml:space="preserve">                </w:t>
      </w:r>
      <w:r>
        <w:rPr>
          <w:rFonts w:ascii="微软雅黑" w:hAnsi="微软雅黑" w:eastAsia="微软雅黑" w:cs="微软雅黑"/>
          <w:spacing w:val="-68"/>
          <w:sz w:val="24"/>
          <w:szCs w:val="24"/>
        </w:rPr>
        <w:t xml:space="preserve"> </w:t>
      </w:r>
      <w:r>
        <w:rPr>
          <w:rFonts w:ascii="微软雅黑" w:hAnsi="微软雅黑" w:eastAsia="微软雅黑" w:cs="微软雅黑"/>
          <w:spacing w:val="-4"/>
          <w:sz w:val="24"/>
          <w:szCs w:val="24"/>
        </w:rPr>
        <w:t>个日历日。</w:t>
      </w:r>
    </w:p>
    <w:p w14:paraId="4519F967">
      <w:pPr>
        <w:spacing w:before="86" w:line="214" w:lineRule="auto"/>
        <w:ind w:left="1078" w:right="1" w:hanging="506"/>
        <w:rPr>
          <w:rFonts w:ascii="微软雅黑" w:hAnsi="微软雅黑" w:eastAsia="微软雅黑" w:cs="微软雅黑"/>
          <w:sz w:val="24"/>
          <w:szCs w:val="24"/>
        </w:rPr>
      </w:pPr>
      <w:r>
        <w:rPr>
          <w:rFonts w:ascii="微软雅黑" w:hAnsi="微软雅黑" w:eastAsia="微软雅黑" w:cs="微软雅黑"/>
          <w:spacing w:val="-2"/>
          <w:sz w:val="24"/>
          <w:szCs w:val="24"/>
        </w:rPr>
        <w:t>（3）联合体中的大中型企业和其他自然人、法人或者非法人组织，与</w:t>
      </w:r>
      <w:r>
        <w:rPr>
          <w:rFonts w:ascii="微软雅黑" w:hAnsi="微软雅黑" w:eastAsia="微软雅黑" w:cs="微软雅黑"/>
          <w:spacing w:val="-3"/>
          <w:sz w:val="24"/>
          <w:szCs w:val="24"/>
        </w:rPr>
        <w:t>联合体中的小型、</w:t>
      </w:r>
      <w:r>
        <w:rPr>
          <w:rFonts w:ascii="微软雅黑" w:hAnsi="微软雅黑" w:eastAsia="微软雅黑" w:cs="微软雅黑"/>
          <w:sz w:val="24"/>
          <w:szCs w:val="24"/>
        </w:rPr>
        <w:t xml:space="preserve"> 微型企业之间</w:t>
      </w:r>
      <w:r>
        <w:rPr>
          <w:rFonts w:ascii="微软雅黑" w:hAnsi="微软雅黑" w:eastAsia="微软雅黑" w:cs="微软雅黑"/>
          <w:sz w:val="24"/>
          <w:szCs w:val="24"/>
          <w:u w:val="single" w:color="auto"/>
        </w:rPr>
        <w:t xml:space="preserve">        （</w:t>
      </w:r>
      <w:r>
        <w:rPr>
          <w:rFonts w:ascii="微软雅黑" w:hAnsi="微软雅黑" w:eastAsia="微软雅黑" w:cs="微软雅黑"/>
          <w:sz w:val="24"/>
          <w:szCs w:val="24"/>
        </w:rPr>
        <w:t>存在、不存在</w:t>
      </w:r>
      <w:r>
        <w:rPr>
          <w:rFonts w:ascii="微软雅黑" w:hAnsi="微软雅黑" w:eastAsia="微软雅黑" w:cs="微软雅黑"/>
          <w:spacing w:val="-1"/>
          <w:sz w:val="24"/>
          <w:szCs w:val="24"/>
        </w:rPr>
        <w:t>）投资关系（如果是联合体的话）。</w:t>
      </w:r>
    </w:p>
    <w:p w14:paraId="5C1C7AF4">
      <w:pPr>
        <w:spacing w:before="21" w:line="221" w:lineRule="auto"/>
        <w:ind w:left="1080" w:right="11" w:hanging="508"/>
        <w:rPr>
          <w:rFonts w:ascii="微软雅黑" w:hAnsi="微软雅黑" w:eastAsia="微软雅黑" w:cs="微软雅黑"/>
          <w:sz w:val="24"/>
          <w:szCs w:val="24"/>
        </w:rPr>
      </w:pPr>
      <w:r>
        <w:rPr>
          <w:rFonts w:ascii="微软雅黑" w:hAnsi="微软雅黑" w:eastAsia="微软雅黑" w:cs="微软雅黑"/>
          <w:spacing w:val="-2"/>
          <w:sz w:val="24"/>
          <w:szCs w:val="24"/>
        </w:rPr>
        <w:t>（4）已详细审查全部招标文件，包括所有补</w:t>
      </w:r>
      <w:r>
        <w:rPr>
          <w:rFonts w:ascii="微软雅黑" w:hAnsi="微软雅黑" w:eastAsia="微软雅黑" w:cs="微软雅黑"/>
          <w:spacing w:val="-3"/>
          <w:sz w:val="24"/>
          <w:szCs w:val="24"/>
        </w:rPr>
        <w:t>充通知（如果有的话），完全理解并同意放</w:t>
      </w:r>
      <w:r>
        <w:rPr>
          <w:rFonts w:ascii="微软雅黑" w:hAnsi="微软雅黑" w:eastAsia="微软雅黑" w:cs="微软雅黑"/>
          <w:spacing w:val="1"/>
          <w:sz w:val="24"/>
          <w:szCs w:val="24"/>
        </w:rPr>
        <w:t xml:space="preserve"> </w:t>
      </w:r>
      <w:r>
        <w:rPr>
          <w:rFonts w:ascii="微软雅黑" w:hAnsi="微软雅黑" w:eastAsia="微软雅黑" w:cs="微软雅黑"/>
          <w:spacing w:val="-3"/>
          <w:sz w:val="24"/>
          <w:szCs w:val="24"/>
        </w:rPr>
        <w:t>弃对这方面有不明、误解和质疑的权力。</w:t>
      </w:r>
    </w:p>
    <w:p w14:paraId="39EF784E">
      <w:pPr>
        <w:spacing w:before="86" w:line="183" w:lineRule="auto"/>
        <w:ind w:left="572"/>
        <w:rPr>
          <w:rFonts w:ascii="微软雅黑" w:hAnsi="微软雅黑" w:eastAsia="微软雅黑" w:cs="微软雅黑"/>
          <w:sz w:val="24"/>
          <w:szCs w:val="24"/>
        </w:rPr>
      </w:pPr>
      <w:r>
        <w:rPr>
          <w:rFonts w:ascii="微软雅黑" w:hAnsi="微软雅黑" w:eastAsia="微软雅黑" w:cs="微软雅黑"/>
          <w:spacing w:val="-3"/>
          <w:sz w:val="24"/>
          <w:szCs w:val="24"/>
        </w:rPr>
        <w:t>（5）在规定的开标时间后，遵守招标文件中有关保证金的规定。</w:t>
      </w:r>
    </w:p>
    <w:p w14:paraId="6E0FA179">
      <w:pPr>
        <w:spacing w:before="42" w:line="221" w:lineRule="auto"/>
        <w:ind w:left="1076" w:right="13" w:hanging="504"/>
        <w:rPr>
          <w:rFonts w:ascii="微软雅黑" w:hAnsi="微软雅黑" w:eastAsia="微软雅黑" w:cs="微软雅黑"/>
          <w:sz w:val="24"/>
          <w:szCs w:val="24"/>
        </w:rPr>
      </w:pPr>
      <w:r>
        <w:rPr>
          <w:rFonts w:ascii="微软雅黑" w:hAnsi="微软雅黑" w:eastAsia="微软雅黑" w:cs="微软雅黑"/>
          <w:spacing w:val="-2"/>
          <w:sz w:val="24"/>
          <w:szCs w:val="24"/>
        </w:rPr>
        <w:t>（6）我方不是为本项目提供整体设计、规</w:t>
      </w:r>
      <w:r>
        <w:rPr>
          <w:rFonts w:ascii="微软雅黑" w:hAnsi="微软雅黑" w:eastAsia="微软雅黑" w:cs="微软雅黑"/>
          <w:spacing w:val="-3"/>
          <w:sz w:val="24"/>
          <w:szCs w:val="24"/>
        </w:rPr>
        <w:t>范编制或者项目管理、监理、检测等服务的供</w:t>
      </w:r>
      <w:r>
        <w:rPr>
          <w:rFonts w:ascii="微软雅黑" w:hAnsi="微软雅黑" w:eastAsia="微软雅黑" w:cs="微软雅黑"/>
          <w:sz w:val="24"/>
          <w:szCs w:val="24"/>
        </w:rPr>
        <w:t xml:space="preserve"> </w:t>
      </w:r>
      <w:r>
        <w:rPr>
          <w:rFonts w:ascii="微软雅黑" w:hAnsi="微软雅黑" w:eastAsia="微软雅黑" w:cs="微软雅黑"/>
          <w:spacing w:val="-3"/>
          <w:sz w:val="24"/>
          <w:szCs w:val="24"/>
        </w:rPr>
        <w:t>应商，我方不是采购代理机构的附属机构。</w:t>
      </w:r>
    </w:p>
    <w:p w14:paraId="65E34BDA">
      <w:pPr>
        <w:spacing w:before="84" w:line="184" w:lineRule="auto"/>
        <w:jc w:val="right"/>
        <w:rPr>
          <w:rFonts w:ascii="微软雅黑" w:hAnsi="微软雅黑" w:eastAsia="微软雅黑" w:cs="微软雅黑"/>
          <w:sz w:val="24"/>
          <w:szCs w:val="24"/>
        </w:rPr>
      </w:pPr>
      <w:r>
        <w:rPr>
          <w:rFonts w:ascii="微软雅黑" w:hAnsi="微软雅黑" w:eastAsia="微软雅黑" w:cs="微软雅黑"/>
          <w:spacing w:val="-2"/>
          <w:sz w:val="24"/>
          <w:szCs w:val="24"/>
        </w:rPr>
        <w:t>（7）在领取中标通知书的同时按招标文件规定的形式，向贵方一次性支付</w:t>
      </w:r>
      <w:r>
        <w:rPr>
          <w:rFonts w:ascii="微软雅黑" w:hAnsi="微软雅黑" w:eastAsia="微软雅黑" w:cs="微软雅黑"/>
          <w:spacing w:val="-3"/>
          <w:sz w:val="24"/>
          <w:szCs w:val="24"/>
        </w:rPr>
        <w:t>中标服务费。</w:t>
      </w:r>
    </w:p>
    <w:p w14:paraId="59241573">
      <w:pPr>
        <w:spacing w:before="42" w:line="221" w:lineRule="auto"/>
        <w:ind w:left="1079" w:right="9" w:hanging="507"/>
        <w:rPr>
          <w:rFonts w:ascii="微软雅黑" w:hAnsi="微软雅黑" w:eastAsia="微软雅黑" w:cs="微软雅黑"/>
          <w:sz w:val="24"/>
          <w:szCs w:val="24"/>
        </w:rPr>
      </w:pPr>
      <w:r>
        <w:rPr>
          <w:rFonts w:ascii="微软雅黑" w:hAnsi="微软雅黑" w:eastAsia="微软雅黑" w:cs="微软雅黑"/>
          <w:spacing w:val="-2"/>
          <w:sz w:val="24"/>
          <w:szCs w:val="24"/>
        </w:rPr>
        <w:t>（8）按照贵方可能要求，提供与其投标有关的一切</w:t>
      </w:r>
      <w:r>
        <w:rPr>
          <w:rFonts w:ascii="微软雅黑" w:hAnsi="微软雅黑" w:eastAsia="微软雅黑" w:cs="微软雅黑"/>
          <w:spacing w:val="-3"/>
          <w:sz w:val="24"/>
          <w:szCs w:val="24"/>
        </w:rPr>
        <w:t>数据或资料，完全理解贵方不一定接</w:t>
      </w:r>
      <w:r>
        <w:rPr>
          <w:rFonts w:ascii="微软雅黑" w:hAnsi="微软雅黑" w:eastAsia="微软雅黑" w:cs="微软雅黑"/>
          <w:sz w:val="24"/>
          <w:szCs w:val="24"/>
        </w:rPr>
        <w:t xml:space="preserve"> </w:t>
      </w:r>
      <w:r>
        <w:rPr>
          <w:rFonts w:ascii="微软雅黑" w:hAnsi="微软雅黑" w:eastAsia="微软雅黑" w:cs="微软雅黑"/>
          <w:spacing w:val="-3"/>
          <w:sz w:val="24"/>
          <w:szCs w:val="24"/>
        </w:rPr>
        <w:t>受最低价的投标或收到的任何投标。</w:t>
      </w:r>
    </w:p>
    <w:p w14:paraId="0710C4D8">
      <w:pPr>
        <w:spacing w:before="84" w:line="184" w:lineRule="auto"/>
        <w:ind w:left="572"/>
        <w:rPr>
          <w:rFonts w:ascii="微软雅黑" w:hAnsi="微软雅黑" w:eastAsia="微软雅黑" w:cs="微软雅黑"/>
          <w:sz w:val="24"/>
          <w:szCs w:val="24"/>
        </w:rPr>
      </w:pPr>
      <w:r>
        <w:rPr>
          <w:rFonts w:ascii="微软雅黑" w:hAnsi="微软雅黑" w:eastAsia="微软雅黑" w:cs="微软雅黑"/>
          <w:spacing w:val="-4"/>
          <w:sz w:val="24"/>
          <w:szCs w:val="24"/>
        </w:rPr>
        <w:t>（9）按照招标文件的规定履行合同责任和义务。</w:t>
      </w:r>
    </w:p>
    <w:p w14:paraId="254D7D55">
      <w:pPr>
        <w:spacing w:before="86" w:line="183" w:lineRule="auto"/>
        <w:ind w:left="382"/>
        <w:rPr>
          <w:rFonts w:ascii="微软雅黑" w:hAnsi="微软雅黑" w:eastAsia="微软雅黑" w:cs="微软雅黑"/>
          <w:sz w:val="24"/>
          <w:szCs w:val="24"/>
        </w:rPr>
      </w:pPr>
      <w:r>
        <w:rPr>
          <w:rFonts w:ascii="微软雅黑" w:hAnsi="微软雅黑" w:eastAsia="微软雅黑" w:cs="微软雅黑"/>
          <w:spacing w:val="-3"/>
          <w:sz w:val="24"/>
          <w:szCs w:val="24"/>
        </w:rPr>
        <w:t>与本投标有关的一切正式往来信函请寄：</w:t>
      </w:r>
    </w:p>
    <w:p w14:paraId="2E73E740">
      <w:pPr>
        <w:spacing w:before="88" w:line="182" w:lineRule="auto"/>
        <w:ind w:left="537"/>
        <w:rPr>
          <w:rFonts w:ascii="微软雅黑" w:hAnsi="微软雅黑" w:eastAsia="微软雅黑" w:cs="微软雅黑"/>
          <w:sz w:val="24"/>
          <w:szCs w:val="24"/>
        </w:rPr>
      </w:pPr>
      <w:r>
        <w:rPr>
          <w:rFonts w:ascii="微软雅黑" w:hAnsi="微软雅黑" w:eastAsia="微软雅黑" w:cs="微软雅黑"/>
          <w:spacing w:val="-1"/>
          <w:sz w:val="24"/>
          <w:szCs w:val="24"/>
        </w:rPr>
        <w:t>地址</w:t>
      </w:r>
      <w:r>
        <w:rPr>
          <w:rFonts w:ascii="微软雅黑" w:hAnsi="微软雅黑" w:eastAsia="微软雅黑" w:cs="微软雅黑"/>
          <w:spacing w:val="-1"/>
          <w:sz w:val="24"/>
          <w:szCs w:val="24"/>
          <w:u w:val="single" w:color="auto"/>
        </w:rPr>
        <w:t xml:space="preserve">                                          </w:t>
      </w:r>
      <w:r>
        <w:rPr>
          <w:rFonts w:ascii="微软雅黑" w:hAnsi="微软雅黑" w:eastAsia="微软雅黑" w:cs="微软雅黑"/>
          <w:spacing w:val="-1"/>
          <w:sz w:val="24"/>
          <w:szCs w:val="24"/>
        </w:rPr>
        <w:t xml:space="preserve">         传真</w:t>
      </w:r>
      <w:r>
        <w:rPr>
          <w:rFonts w:ascii="微软雅黑" w:hAnsi="微软雅黑" w:eastAsia="微软雅黑" w:cs="微软雅黑"/>
          <w:spacing w:val="-1"/>
          <w:sz w:val="24"/>
          <w:szCs w:val="24"/>
          <w:u w:val="single" w:color="auto"/>
        </w:rPr>
        <w:t xml:space="preserve">                                                  </w:t>
      </w:r>
    </w:p>
    <w:p w14:paraId="14D47909">
      <w:pPr>
        <w:spacing w:before="87" w:line="182" w:lineRule="auto"/>
        <w:ind w:left="550"/>
        <w:rPr>
          <w:rFonts w:ascii="微软雅黑" w:hAnsi="微软雅黑" w:eastAsia="微软雅黑" w:cs="微软雅黑"/>
          <w:sz w:val="24"/>
          <w:szCs w:val="24"/>
        </w:rPr>
      </w:pPr>
      <w:r>
        <w:rPr>
          <w:rFonts w:ascii="微软雅黑" w:hAnsi="微软雅黑" w:eastAsia="微软雅黑" w:cs="微软雅黑"/>
          <w:spacing w:val="-2"/>
          <w:sz w:val="24"/>
          <w:szCs w:val="24"/>
        </w:rPr>
        <w:t>电话</w:t>
      </w:r>
      <w:r>
        <w:rPr>
          <w:rFonts w:ascii="微软雅黑" w:hAnsi="微软雅黑" w:eastAsia="微软雅黑" w:cs="微软雅黑"/>
          <w:spacing w:val="-2"/>
          <w:sz w:val="24"/>
          <w:szCs w:val="24"/>
          <w:u w:val="single" w:color="auto"/>
        </w:rPr>
        <w:t xml:space="preserve">                                           </w:t>
      </w:r>
      <w:r>
        <w:rPr>
          <w:rFonts w:ascii="微软雅黑" w:hAnsi="微软雅黑" w:eastAsia="微软雅黑" w:cs="微软雅黑"/>
          <w:spacing w:val="5"/>
          <w:sz w:val="24"/>
          <w:szCs w:val="24"/>
        </w:rPr>
        <w:t xml:space="preserve">        </w:t>
      </w:r>
      <w:r>
        <w:rPr>
          <w:rFonts w:ascii="微软雅黑" w:hAnsi="微软雅黑" w:eastAsia="微软雅黑" w:cs="微软雅黑"/>
          <w:spacing w:val="-2"/>
          <w:sz w:val="24"/>
          <w:szCs w:val="24"/>
        </w:rPr>
        <w:t>电子函件</w:t>
      </w:r>
      <w:r>
        <w:rPr>
          <w:rFonts w:ascii="微软雅黑" w:hAnsi="微软雅黑" w:eastAsia="微软雅黑" w:cs="微软雅黑"/>
          <w:spacing w:val="-2"/>
          <w:sz w:val="24"/>
          <w:szCs w:val="24"/>
          <w:u w:val="single" w:color="auto"/>
        </w:rPr>
        <w:t xml:space="preserve">                    </w:t>
      </w:r>
      <w:r>
        <w:rPr>
          <w:rFonts w:ascii="微软雅黑" w:hAnsi="微软雅黑" w:eastAsia="微软雅黑" w:cs="微软雅黑"/>
          <w:spacing w:val="-3"/>
          <w:sz w:val="24"/>
          <w:szCs w:val="24"/>
          <w:u w:val="single" w:color="auto"/>
        </w:rPr>
        <w:t xml:space="preserve">                        </w:t>
      </w:r>
    </w:p>
    <w:p w14:paraId="6197497A">
      <w:pPr>
        <w:spacing w:before="85" w:line="184" w:lineRule="auto"/>
        <w:ind w:left="538"/>
        <w:rPr>
          <w:rFonts w:ascii="微软雅黑" w:hAnsi="微软雅黑" w:eastAsia="微软雅黑" w:cs="微软雅黑"/>
          <w:sz w:val="24"/>
          <w:szCs w:val="24"/>
        </w:rPr>
      </w:pPr>
      <w:r>
        <w:rPr>
          <w:rFonts w:ascii="微软雅黑" w:hAnsi="微软雅黑" w:eastAsia="微软雅黑" w:cs="微软雅黑"/>
          <w:spacing w:val="-1"/>
          <w:sz w:val="24"/>
          <w:szCs w:val="24"/>
        </w:rPr>
        <w:t>法定代表人或其委托代理人（签/章）</w:t>
      </w:r>
      <w:r>
        <w:rPr>
          <w:rFonts w:ascii="微软雅黑" w:hAnsi="微软雅黑" w:eastAsia="微软雅黑" w:cs="微软雅黑"/>
          <w:spacing w:val="-1"/>
          <w:sz w:val="24"/>
          <w:szCs w:val="24"/>
          <w:u w:val="single" w:color="auto"/>
        </w:rPr>
        <w:t xml:space="preserve">            </w:t>
      </w:r>
    </w:p>
    <w:p w14:paraId="6C907C92">
      <w:pPr>
        <w:spacing w:before="84" w:line="184" w:lineRule="auto"/>
        <w:ind w:left="536"/>
        <w:rPr>
          <w:rFonts w:ascii="微软雅黑" w:hAnsi="微软雅黑" w:eastAsia="微软雅黑" w:cs="微软雅黑"/>
          <w:sz w:val="24"/>
          <w:szCs w:val="24"/>
        </w:rPr>
      </w:pPr>
      <w:r>
        <w:rPr>
          <w:rFonts w:ascii="微软雅黑" w:hAnsi="微软雅黑" w:eastAsia="微软雅黑" w:cs="微软雅黑"/>
          <w:spacing w:val="-1"/>
          <w:sz w:val="24"/>
          <w:szCs w:val="24"/>
        </w:rPr>
        <w:t>供应商名称（公章）</w:t>
      </w:r>
      <w:r>
        <w:rPr>
          <w:rFonts w:ascii="微软雅黑" w:hAnsi="微软雅黑" w:eastAsia="微软雅黑" w:cs="微软雅黑"/>
          <w:sz w:val="24"/>
          <w:szCs w:val="24"/>
          <w:u w:val="single" w:color="auto"/>
        </w:rPr>
        <w:t xml:space="preserve">                          </w:t>
      </w:r>
    </w:p>
    <w:p w14:paraId="32556B92">
      <w:pPr>
        <w:spacing w:before="84" w:line="184" w:lineRule="auto"/>
        <w:ind w:left="536"/>
        <w:rPr>
          <w:rFonts w:ascii="微软雅黑" w:hAnsi="微软雅黑" w:eastAsia="微软雅黑" w:cs="微软雅黑"/>
          <w:sz w:val="24"/>
          <w:szCs w:val="24"/>
        </w:rPr>
      </w:pPr>
      <w:r>
        <w:rPr>
          <w:rFonts w:ascii="微软雅黑" w:hAnsi="微软雅黑" w:eastAsia="微软雅黑" w:cs="微软雅黑"/>
          <w:spacing w:val="-1"/>
          <w:sz w:val="24"/>
          <w:szCs w:val="24"/>
        </w:rPr>
        <w:t>供应商开户银行（全称）</w:t>
      </w:r>
      <w:r>
        <w:rPr>
          <w:rFonts w:ascii="微软雅黑" w:hAnsi="微软雅黑" w:eastAsia="微软雅黑" w:cs="微软雅黑"/>
          <w:sz w:val="24"/>
          <w:szCs w:val="24"/>
          <w:u w:val="single" w:color="auto"/>
        </w:rPr>
        <w:t xml:space="preserve">                      </w:t>
      </w:r>
    </w:p>
    <w:p w14:paraId="7AA410ED">
      <w:pPr>
        <w:spacing w:before="86" w:line="183" w:lineRule="auto"/>
        <w:ind w:left="536"/>
        <w:rPr>
          <w:rFonts w:ascii="微软雅黑" w:hAnsi="微软雅黑" w:eastAsia="微软雅黑" w:cs="微软雅黑"/>
          <w:sz w:val="24"/>
          <w:szCs w:val="24"/>
        </w:rPr>
      </w:pPr>
      <w:r>
        <w:rPr>
          <w:rFonts w:ascii="微软雅黑" w:hAnsi="微软雅黑" w:eastAsia="微软雅黑" w:cs="微软雅黑"/>
          <w:sz w:val="24"/>
          <w:szCs w:val="24"/>
        </w:rPr>
        <w:t>供应商银行账号</w:t>
      </w:r>
      <w:r>
        <w:rPr>
          <w:rFonts w:ascii="微软雅黑" w:hAnsi="微软雅黑" w:eastAsia="微软雅黑" w:cs="微软雅黑"/>
          <w:sz w:val="24"/>
          <w:szCs w:val="24"/>
          <w:u w:val="single" w:color="auto"/>
        </w:rPr>
        <w:t xml:space="preserve">                  </w:t>
      </w:r>
      <w:r>
        <w:rPr>
          <w:rFonts w:ascii="微软雅黑" w:hAnsi="微软雅黑" w:eastAsia="微软雅黑" w:cs="微软雅黑"/>
          <w:spacing w:val="-1"/>
          <w:sz w:val="24"/>
          <w:szCs w:val="24"/>
          <w:u w:val="single" w:color="auto"/>
        </w:rPr>
        <w:t xml:space="preserve">                 </w:t>
      </w:r>
    </w:p>
    <w:p w14:paraId="39DF8E00">
      <w:pPr>
        <w:spacing w:line="183" w:lineRule="auto"/>
        <w:rPr>
          <w:rFonts w:ascii="微软雅黑" w:hAnsi="微软雅黑" w:eastAsia="微软雅黑" w:cs="微软雅黑"/>
          <w:sz w:val="24"/>
          <w:szCs w:val="24"/>
        </w:rPr>
        <w:sectPr>
          <w:footerReference r:id="rId30" w:type="default"/>
          <w:pgSz w:w="11905" w:h="16839"/>
          <w:pgMar w:top="1431" w:right="1070" w:bottom="1197" w:left="1084" w:header="0" w:footer="963" w:gutter="0"/>
          <w:pgNumType w:fmt="decimal"/>
          <w:cols w:space="720" w:num="1"/>
        </w:sectPr>
      </w:pPr>
    </w:p>
    <w:p w14:paraId="5A7F67A3">
      <w:pPr>
        <w:pStyle w:val="7"/>
        <w:spacing w:line="371" w:lineRule="auto"/>
      </w:pPr>
    </w:p>
    <w:p w14:paraId="5F810B3C">
      <w:pPr>
        <w:spacing w:before="103" w:line="230" w:lineRule="auto"/>
        <w:ind w:left="4183"/>
        <w:outlineLvl w:val="1"/>
        <w:rPr>
          <w:rFonts w:ascii="微软雅黑" w:hAnsi="微软雅黑" w:eastAsia="微软雅黑" w:cs="微软雅黑"/>
          <w:sz w:val="24"/>
          <w:szCs w:val="24"/>
        </w:rPr>
      </w:pPr>
      <w:bookmarkStart w:id="74" w:name="bookmark20"/>
      <w:bookmarkEnd w:id="74"/>
      <w:r>
        <w:rPr>
          <w:rFonts w:ascii="微软雅黑" w:hAnsi="微软雅黑" w:eastAsia="微软雅黑" w:cs="微软雅黑"/>
          <w:b/>
          <w:bCs/>
          <w:spacing w:val="-2"/>
          <w:sz w:val="24"/>
          <w:szCs w:val="24"/>
        </w:rPr>
        <w:t>2、投标分项报价表</w:t>
      </w:r>
    </w:p>
    <w:p w14:paraId="13792C06">
      <w:pPr>
        <w:spacing w:before="67" w:line="183" w:lineRule="auto"/>
        <w:ind w:left="64"/>
        <w:rPr>
          <w:rFonts w:ascii="微软雅黑" w:hAnsi="微软雅黑" w:eastAsia="微软雅黑" w:cs="微软雅黑"/>
          <w:sz w:val="24"/>
          <w:szCs w:val="24"/>
        </w:rPr>
      </w:pPr>
      <w:r>
        <w:rPr>
          <w:rFonts w:ascii="微软雅黑" w:hAnsi="微软雅黑" w:eastAsia="微软雅黑" w:cs="微软雅黑"/>
          <w:sz w:val="24"/>
          <w:szCs w:val="24"/>
        </w:rPr>
        <w:t xml:space="preserve">项目名称：                                  项目编号：                </w:t>
      </w:r>
      <w:r>
        <w:rPr>
          <w:rFonts w:ascii="微软雅黑" w:hAnsi="微软雅黑" w:eastAsia="微软雅黑" w:cs="微软雅黑"/>
          <w:spacing w:val="-1"/>
          <w:sz w:val="24"/>
          <w:szCs w:val="24"/>
        </w:rPr>
        <w:t xml:space="preserve">                          包号：</w:t>
      </w:r>
    </w:p>
    <w:p w14:paraId="7EEBCDCD">
      <w:pPr>
        <w:spacing w:before="97" w:line="183" w:lineRule="auto"/>
        <w:ind w:left="66"/>
        <w:rPr>
          <w:rFonts w:ascii="微软雅黑" w:hAnsi="微软雅黑" w:eastAsia="微软雅黑" w:cs="微软雅黑"/>
          <w:sz w:val="24"/>
          <w:szCs w:val="24"/>
        </w:rPr>
      </w:pPr>
      <w:r>
        <w:rPr>
          <w:rFonts w:ascii="微软雅黑" w:hAnsi="微软雅黑" w:eastAsia="微软雅黑" w:cs="微软雅黑"/>
          <w:spacing w:val="-1"/>
          <w:sz w:val="24"/>
          <w:szCs w:val="24"/>
        </w:rPr>
        <w:t>报价单位：人民币万元</w:t>
      </w:r>
    </w:p>
    <w:p w14:paraId="5FE76B38">
      <w:pPr>
        <w:spacing w:before="161"/>
      </w:pPr>
    </w:p>
    <w:tbl>
      <w:tblPr>
        <w:tblStyle w:val="20"/>
        <w:tblW w:w="986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8"/>
        <w:gridCol w:w="2051"/>
        <w:gridCol w:w="2281"/>
        <w:gridCol w:w="2415"/>
        <w:gridCol w:w="1550"/>
        <w:gridCol w:w="805"/>
      </w:tblGrid>
      <w:tr w14:paraId="6DC86E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3" w:hRule="atLeast"/>
        </w:trPr>
        <w:tc>
          <w:tcPr>
            <w:tcW w:w="758" w:type="dxa"/>
            <w:vAlign w:val="top"/>
          </w:tcPr>
          <w:p w14:paraId="6B7DC6AD">
            <w:pPr>
              <w:spacing w:line="314" w:lineRule="auto"/>
              <w:rPr>
                <w:rFonts w:ascii="Arial"/>
                <w:sz w:val="21"/>
              </w:rPr>
            </w:pPr>
          </w:p>
          <w:p w14:paraId="06EDCC29">
            <w:pPr>
              <w:pStyle w:val="21"/>
              <w:spacing w:before="103" w:line="184" w:lineRule="auto"/>
              <w:ind w:left="104"/>
              <w:rPr>
                <w:sz w:val="24"/>
                <w:szCs w:val="24"/>
              </w:rPr>
            </w:pPr>
            <w:r>
              <w:rPr>
                <w:spacing w:val="-1"/>
                <w:sz w:val="24"/>
                <w:szCs w:val="24"/>
              </w:rPr>
              <w:t>序号</w:t>
            </w:r>
          </w:p>
        </w:tc>
        <w:tc>
          <w:tcPr>
            <w:tcW w:w="2051" w:type="dxa"/>
            <w:vAlign w:val="top"/>
          </w:tcPr>
          <w:p w14:paraId="59D58A1C">
            <w:pPr>
              <w:spacing w:line="316" w:lineRule="auto"/>
              <w:rPr>
                <w:rFonts w:ascii="Arial"/>
                <w:sz w:val="21"/>
              </w:rPr>
            </w:pPr>
          </w:p>
          <w:p w14:paraId="46DCF120">
            <w:pPr>
              <w:pStyle w:val="21"/>
              <w:spacing w:before="103" w:line="183" w:lineRule="auto"/>
              <w:ind w:left="779"/>
              <w:rPr>
                <w:sz w:val="24"/>
                <w:szCs w:val="24"/>
              </w:rPr>
            </w:pPr>
            <w:r>
              <w:rPr>
                <w:spacing w:val="-1"/>
                <w:sz w:val="24"/>
                <w:szCs w:val="24"/>
              </w:rPr>
              <w:t>名称</w:t>
            </w:r>
          </w:p>
        </w:tc>
        <w:tc>
          <w:tcPr>
            <w:tcW w:w="2281" w:type="dxa"/>
            <w:vAlign w:val="top"/>
          </w:tcPr>
          <w:p w14:paraId="17DAA376">
            <w:pPr>
              <w:spacing w:line="316" w:lineRule="auto"/>
              <w:rPr>
                <w:rFonts w:ascii="Arial"/>
                <w:sz w:val="21"/>
              </w:rPr>
            </w:pPr>
          </w:p>
          <w:p w14:paraId="25021000">
            <w:pPr>
              <w:pStyle w:val="21"/>
              <w:spacing w:before="103" w:line="183" w:lineRule="auto"/>
              <w:ind w:left="296"/>
              <w:rPr>
                <w:sz w:val="24"/>
                <w:szCs w:val="24"/>
              </w:rPr>
            </w:pPr>
            <w:r>
              <w:rPr>
                <w:spacing w:val="-5"/>
                <w:sz w:val="24"/>
                <w:szCs w:val="24"/>
              </w:rPr>
              <w:t>数量（平方米）</w:t>
            </w:r>
          </w:p>
        </w:tc>
        <w:tc>
          <w:tcPr>
            <w:tcW w:w="2415" w:type="dxa"/>
            <w:vAlign w:val="top"/>
          </w:tcPr>
          <w:p w14:paraId="545D51FC">
            <w:pPr>
              <w:spacing w:line="316" w:lineRule="auto"/>
              <w:rPr>
                <w:rFonts w:ascii="Arial"/>
                <w:sz w:val="21"/>
              </w:rPr>
            </w:pPr>
          </w:p>
          <w:p w14:paraId="35ECC49C">
            <w:pPr>
              <w:pStyle w:val="21"/>
              <w:spacing w:before="103" w:line="183" w:lineRule="auto"/>
              <w:ind w:left="197"/>
              <w:rPr>
                <w:sz w:val="24"/>
                <w:szCs w:val="24"/>
              </w:rPr>
            </w:pPr>
            <w:r>
              <w:rPr>
                <w:spacing w:val="-5"/>
                <w:sz w:val="24"/>
                <w:szCs w:val="24"/>
              </w:rPr>
              <w:t>单价（元/每平方）</w:t>
            </w:r>
          </w:p>
        </w:tc>
        <w:tc>
          <w:tcPr>
            <w:tcW w:w="1550" w:type="dxa"/>
            <w:vAlign w:val="top"/>
          </w:tcPr>
          <w:p w14:paraId="4520AC8A">
            <w:pPr>
              <w:spacing w:line="316" w:lineRule="auto"/>
              <w:rPr>
                <w:rFonts w:ascii="Arial"/>
                <w:sz w:val="21"/>
              </w:rPr>
            </w:pPr>
          </w:p>
          <w:p w14:paraId="4F6EB08A">
            <w:pPr>
              <w:pStyle w:val="21"/>
              <w:spacing w:before="103" w:line="183" w:lineRule="auto"/>
              <w:ind w:left="536"/>
              <w:rPr>
                <w:sz w:val="24"/>
                <w:szCs w:val="24"/>
              </w:rPr>
            </w:pPr>
            <w:r>
              <w:rPr>
                <w:spacing w:val="-1"/>
                <w:sz w:val="24"/>
                <w:szCs w:val="24"/>
              </w:rPr>
              <w:t>总价</w:t>
            </w:r>
          </w:p>
        </w:tc>
        <w:tc>
          <w:tcPr>
            <w:tcW w:w="805" w:type="dxa"/>
            <w:vAlign w:val="top"/>
          </w:tcPr>
          <w:p w14:paraId="5C1937FA">
            <w:pPr>
              <w:spacing w:line="314" w:lineRule="auto"/>
              <w:rPr>
                <w:rFonts w:ascii="Arial"/>
                <w:sz w:val="21"/>
              </w:rPr>
            </w:pPr>
          </w:p>
          <w:p w14:paraId="6D33ABA0">
            <w:pPr>
              <w:pStyle w:val="21"/>
              <w:spacing w:before="103" w:line="184" w:lineRule="auto"/>
              <w:ind w:left="160"/>
              <w:rPr>
                <w:sz w:val="24"/>
                <w:szCs w:val="24"/>
              </w:rPr>
            </w:pPr>
            <w:r>
              <w:rPr>
                <w:spacing w:val="-1"/>
                <w:sz w:val="24"/>
                <w:szCs w:val="24"/>
              </w:rPr>
              <w:t>备注</w:t>
            </w:r>
          </w:p>
        </w:tc>
      </w:tr>
      <w:tr w14:paraId="4ACA39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758" w:type="dxa"/>
            <w:vAlign w:val="top"/>
          </w:tcPr>
          <w:p w14:paraId="787BCE80">
            <w:pPr>
              <w:pStyle w:val="21"/>
              <w:spacing w:before="163" w:line="242" w:lineRule="auto"/>
              <w:ind w:left="127"/>
              <w:rPr>
                <w:sz w:val="24"/>
                <w:szCs w:val="24"/>
              </w:rPr>
            </w:pPr>
            <w:r>
              <w:rPr>
                <w:spacing w:val="-9"/>
                <w:sz w:val="24"/>
                <w:szCs w:val="24"/>
              </w:rPr>
              <w:t>1.</w:t>
            </w:r>
          </w:p>
        </w:tc>
        <w:tc>
          <w:tcPr>
            <w:tcW w:w="2051" w:type="dxa"/>
            <w:vAlign w:val="top"/>
          </w:tcPr>
          <w:p w14:paraId="0DA4F541">
            <w:pPr>
              <w:rPr>
                <w:rFonts w:ascii="Arial"/>
                <w:sz w:val="21"/>
              </w:rPr>
            </w:pPr>
          </w:p>
        </w:tc>
        <w:tc>
          <w:tcPr>
            <w:tcW w:w="2281" w:type="dxa"/>
            <w:vAlign w:val="top"/>
          </w:tcPr>
          <w:p w14:paraId="2DFF21B9">
            <w:pPr>
              <w:rPr>
                <w:rFonts w:ascii="Arial"/>
                <w:sz w:val="21"/>
              </w:rPr>
            </w:pPr>
          </w:p>
        </w:tc>
        <w:tc>
          <w:tcPr>
            <w:tcW w:w="2415" w:type="dxa"/>
            <w:vAlign w:val="top"/>
          </w:tcPr>
          <w:p w14:paraId="4E1943B5">
            <w:pPr>
              <w:rPr>
                <w:rFonts w:ascii="Arial"/>
                <w:sz w:val="21"/>
              </w:rPr>
            </w:pPr>
          </w:p>
        </w:tc>
        <w:tc>
          <w:tcPr>
            <w:tcW w:w="1550" w:type="dxa"/>
            <w:vAlign w:val="top"/>
          </w:tcPr>
          <w:p w14:paraId="7343BE6B">
            <w:pPr>
              <w:rPr>
                <w:rFonts w:ascii="Arial"/>
                <w:sz w:val="21"/>
              </w:rPr>
            </w:pPr>
          </w:p>
        </w:tc>
        <w:tc>
          <w:tcPr>
            <w:tcW w:w="805" w:type="dxa"/>
            <w:vAlign w:val="top"/>
          </w:tcPr>
          <w:p w14:paraId="0212ACB4">
            <w:pPr>
              <w:rPr>
                <w:rFonts w:ascii="Arial"/>
                <w:sz w:val="21"/>
              </w:rPr>
            </w:pPr>
          </w:p>
        </w:tc>
      </w:tr>
      <w:tr w14:paraId="3F6DEF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5" w:hRule="atLeast"/>
        </w:trPr>
        <w:tc>
          <w:tcPr>
            <w:tcW w:w="758" w:type="dxa"/>
            <w:vAlign w:val="top"/>
          </w:tcPr>
          <w:p w14:paraId="3230F8C7">
            <w:pPr>
              <w:pStyle w:val="21"/>
              <w:spacing w:before="207" w:line="418" w:lineRule="exact"/>
              <w:ind w:left="116"/>
              <w:rPr>
                <w:sz w:val="24"/>
                <w:szCs w:val="24"/>
              </w:rPr>
            </w:pPr>
            <w:r>
              <w:rPr>
                <w:spacing w:val="-5"/>
                <w:position w:val="3"/>
                <w:sz w:val="24"/>
                <w:szCs w:val="24"/>
              </w:rPr>
              <w:t>2.</w:t>
            </w:r>
          </w:p>
        </w:tc>
        <w:tc>
          <w:tcPr>
            <w:tcW w:w="2051" w:type="dxa"/>
            <w:vAlign w:val="top"/>
          </w:tcPr>
          <w:p w14:paraId="61FDEA81">
            <w:pPr>
              <w:rPr>
                <w:rFonts w:ascii="Arial"/>
                <w:sz w:val="21"/>
              </w:rPr>
            </w:pPr>
          </w:p>
        </w:tc>
        <w:tc>
          <w:tcPr>
            <w:tcW w:w="2281" w:type="dxa"/>
            <w:vAlign w:val="top"/>
          </w:tcPr>
          <w:p w14:paraId="6D25F602">
            <w:pPr>
              <w:rPr>
                <w:rFonts w:ascii="Arial"/>
                <w:sz w:val="21"/>
              </w:rPr>
            </w:pPr>
          </w:p>
        </w:tc>
        <w:tc>
          <w:tcPr>
            <w:tcW w:w="2415" w:type="dxa"/>
            <w:vAlign w:val="top"/>
          </w:tcPr>
          <w:p w14:paraId="12E9A25B">
            <w:pPr>
              <w:rPr>
                <w:rFonts w:ascii="Arial"/>
                <w:sz w:val="21"/>
              </w:rPr>
            </w:pPr>
          </w:p>
        </w:tc>
        <w:tc>
          <w:tcPr>
            <w:tcW w:w="1550" w:type="dxa"/>
            <w:vAlign w:val="top"/>
          </w:tcPr>
          <w:p w14:paraId="2A140890">
            <w:pPr>
              <w:rPr>
                <w:rFonts w:ascii="Arial"/>
                <w:sz w:val="21"/>
              </w:rPr>
            </w:pPr>
          </w:p>
        </w:tc>
        <w:tc>
          <w:tcPr>
            <w:tcW w:w="805" w:type="dxa"/>
            <w:vAlign w:val="top"/>
          </w:tcPr>
          <w:p w14:paraId="6AD552C2">
            <w:pPr>
              <w:rPr>
                <w:rFonts w:ascii="Arial"/>
                <w:sz w:val="21"/>
              </w:rPr>
            </w:pPr>
          </w:p>
        </w:tc>
      </w:tr>
      <w:tr w14:paraId="6C0B83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1" w:hRule="atLeast"/>
        </w:trPr>
        <w:tc>
          <w:tcPr>
            <w:tcW w:w="758" w:type="dxa"/>
            <w:vAlign w:val="top"/>
          </w:tcPr>
          <w:p w14:paraId="173FB371">
            <w:pPr>
              <w:pStyle w:val="21"/>
              <w:spacing w:before="292" w:line="417" w:lineRule="exact"/>
              <w:ind w:left="119"/>
              <w:rPr>
                <w:sz w:val="24"/>
                <w:szCs w:val="24"/>
              </w:rPr>
            </w:pPr>
            <w:r>
              <w:rPr>
                <w:spacing w:val="-6"/>
                <w:position w:val="3"/>
                <w:sz w:val="24"/>
                <w:szCs w:val="24"/>
              </w:rPr>
              <w:t>3.</w:t>
            </w:r>
          </w:p>
        </w:tc>
        <w:tc>
          <w:tcPr>
            <w:tcW w:w="2051" w:type="dxa"/>
            <w:vAlign w:val="top"/>
          </w:tcPr>
          <w:p w14:paraId="2DFF8E7C">
            <w:pPr>
              <w:rPr>
                <w:rFonts w:ascii="Arial"/>
                <w:sz w:val="21"/>
              </w:rPr>
            </w:pPr>
          </w:p>
        </w:tc>
        <w:tc>
          <w:tcPr>
            <w:tcW w:w="2281" w:type="dxa"/>
            <w:vAlign w:val="top"/>
          </w:tcPr>
          <w:p w14:paraId="19298160">
            <w:pPr>
              <w:rPr>
                <w:rFonts w:ascii="Arial"/>
                <w:sz w:val="21"/>
              </w:rPr>
            </w:pPr>
          </w:p>
        </w:tc>
        <w:tc>
          <w:tcPr>
            <w:tcW w:w="2415" w:type="dxa"/>
            <w:vAlign w:val="top"/>
          </w:tcPr>
          <w:p w14:paraId="52BA0F10">
            <w:pPr>
              <w:rPr>
                <w:rFonts w:ascii="Arial"/>
                <w:sz w:val="21"/>
              </w:rPr>
            </w:pPr>
          </w:p>
        </w:tc>
        <w:tc>
          <w:tcPr>
            <w:tcW w:w="1550" w:type="dxa"/>
            <w:vAlign w:val="top"/>
          </w:tcPr>
          <w:p w14:paraId="564FDAAA">
            <w:pPr>
              <w:rPr>
                <w:rFonts w:ascii="Arial"/>
                <w:sz w:val="21"/>
              </w:rPr>
            </w:pPr>
          </w:p>
        </w:tc>
        <w:tc>
          <w:tcPr>
            <w:tcW w:w="805" w:type="dxa"/>
            <w:vAlign w:val="top"/>
          </w:tcPr>
          <w:p w14:paraId="29052B4B">
            <w:pPr>
              <w:rPr>
                <w:rFonts w:ascii="Arial"/>
                <w:sz w:val="21"/>
              </w:rPr>
            </w:pPr>
          </w:p>
        </w:tc>
      </w:tr>
      <w:tr w14:paraId="41310F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6" w:hRule="atLeast"/>
        </w:trPr>
        <w:tc>
          <w:tcPr>
            <w:tcW w:w="758" w:type="dxa"/>
            <w:vAlign w:val="top"/>
          </w:tcPr>
          <w:p w14:paraId="20B7021B">
            <w:pPr>
              <w:pStyle w:val="21"/>
              <w:spacing w:before="211" w:line="418" w:lineRule="exact"/>
              <w:ind w:left="104"/>
              <w:rPr>
                <w:sz w:val="24"/>
                <w:szCs w:val="24"/>
              </w:rPr>
            </w:pPr>
            <w:r>
              <w:rPr>
                <w:spacing w:val="-1"/>
                <w:position w:val="4"/>
                <w:sz w:val="24"/>
                <w:szCs w:val="24"/>
              </w:rPr>
              <w:t>4.</w:t>
            </w:r>
          </w:p>
        </w:tc>
        <w:tc>
          <w:tcPr>
            <w:tcW w:w="2051" w:type="dxa"/>
            <w:vAlign w:val="top"/>
          </w:tcPr>
          <w:p w14:paraId="44C4012E">
            <w:pPr>
              <w:rPr>
                <w:rFonts w:ascii="Arial"/>
                <w:sz w:val="21"/>
              </w:rPr>
            </w:pPr>
          </w:p>
        </w:tc>
        <w:tc>
          <w:tcPr>
            <w:tcW w:w="2281" w:type="dxa"/>
            <w:vAlign w:val="top"/>
          </w:tcPr>
          <w:p w14:paraId="0BF3950E">
            <w:pPr>
              <w:rPr>
                <w:rFonts w:ascii="Arial"/>
                <w:sz w:val="21"/>
              </w:rPr>
            </w:pPr>
          </w:p>
        </w:tc>
        <w:tc>
          <w:tcPr>
            <w:tcW w:w="2415" w:type="dxa"/>
            <w:vAlign w:val="top"/>
          </w:tcPr>
          <w:p w14:paraId="0DCB9459">
            <w:pPr>
              <w:rPr>
                <w:rFonts w:ascii="Arial"/>
                <w:sz w:val="21"/>
              </w:rPr>
            </w:pPr>
          </w:p>
        </w:tc>
        <w:tc>
          <w:tcPr>
            <w:tcW w:w="1550" w:type="dxa"/>
            <w:vAlign w:val="top"/>
          </w:tcPr>
          <w:p w14:paraId="432EABC0">
            <w:pPr>
              <w:rPr>
                <w:rFonts w:ascii="Arial"/>
                <w:sz w:val="21"/>
              </w:rPr>
            </w:pPr>
          </w:p>
        </w:tc>
        <w:tc>
          <w:tcPr>
            <w:tcW w:w="805" w:type="dxa"/>
            <w:vAlign w:val="top"/>
          </w:tcPr>
          <w:p w14:paraId="35E21914">
            <w:pPr>
              <w:rPr>
                <w:rFonts w:ascii="Arial"/>
                <w:sz w:val="21"/>
              </w:rPr>
            </w:pPr>
          </w:p>
        </w:tc>
      </w:tr>
      <w:tr w14:paraId="54FCEC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atLeast"/>
        </w:trPr>
        <w:tc>
          <w:tcPr>
            <w:tcW w:w="758" w:type="dxa"/>
            <w:vAlign w:val="top"/>
          </w:tcPr>
          <w:p w14:paraId="126815B8">
            <w:pPr>
              <w:pStyle w:val="21"/>
              <w:spacing w:before="220" w:line="417" w:lineRule="exact"/>
              <w:ind w:left="123"/>
              <w:rPr>
                <w:sz w:val="24"/>
                <w:szCs w:val="24"/>
              </w:rPr>
            </w:pPr>
            <w:r>
              <w:rPr>
                <w:spacing w:val="-8"/>
                <w:position w:val="4"/>
                <w:sz w:val="24"/>
                <w:szCs w:val="24"/>
              </w:rPr>
              <w:t>5.</w:t>
            </w:r>
          </w:p>
        </w:tc>
        <w:tc>
          <w:tcPr>
            <w:tcW w:w="2051" w:type="dxa"/>
            <w:vAlign w:val="top"/>
          </w:tcPr>
          <w:p w14:paraId="4E612B52">
            <w:pPr>
              <w:rPr>
                <w:rFonts w:ascii="Arial"/>
                <w:sz w:val="21"/>
              </w:rPr>
            </w:pPr>
          </w:p>
        </w:tc>
        <w:tc>
          <w:tcPr>
            <w:tcW w:w="2281" w:type="dxa"/>
            <w:vAlign w:val="top"/>
          </w:tcPr>
          <w:p w14:paraId="1893FF83">
            <w:pPr>
              <w:rPr>
                <w:rFonts w:ascii="Arial"/>
                <w:sz w:val="21"/>
              </w:rPr>
            </w:pPr>
          </w:p>
        </w:tc>
        <w:tc>
          <w:tcPr>
            <w:tcW w:w="2415" w:type="dxa"/>
            <w:vAlign w:val="top"/>
          </w:tcPr>
          <w:p w14:paraId="1BD3D26F">
            <w:pPr>
              <w:rPr>
                <w:rFonts w:ascii="Arial"/>
                <w:sz w:val="21"/>
              </w:rPr>
            </w:pPr>
          </w:p>
        </w:tc>
        <w:tc>
          <w:tcPr>
            <w:tcW w:w="1550" w:type="dxa"/>
            <w:vAlign w:val="top"/>
          </w:tcPr>
          <w:p w14:paraId="157E8FDE">
            <w:pPr>
              <w:rPr>
                <w:rFonts w:ascii="Arial"/>
                <w:sz w:val="21"/>
              </w:rPr>
            </w:pPr>
          </w:p>
        </w:tc>
        <w:tc>
          <w:tcPr>
            <w:tcW w:w="805" w:type="dxa"/>
            <w:vAlign w:val="top"/>
          </w:tcPr>
          <w:p w14:paraId="245A50C3">
            <w:pPr>
              <w:rPr>
                <w:rFonts w:ascii="Arial"/>
                <w:sz w:val="21"/>
              </w:rPr>
            </w:pPr>
          </w:p>
        </w:tc>
      </w:tr>
      <w:tr w14:paraId="44FF65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trPr>
        <w:tc>
          <w:tcPr>
            <w:tcW w:w="7505" w:type="dxa"/>
            <w:gridSpan w:val="4"/>
            <w:vAlign w:val="top"/>
          </w:tcPr>
          <w:p w14:paraId="2A3D4888">
            <w:pPr>
              <w:pStyle w:val="21"/>
              <w:spacing w:before="255" w:line="183" w:lineRule="auto"/>
              <w:ind w:left="106"/>
              <w:rPr>
                <w:sz w:val="24"/>
                <w:szCs w:val="24"/>
              </w:rPr>
            </w:pPr>
            <w:r>
              <w:rPr>
                <w:spacing w:val="-11"/>
                <w:sz w:val="24"/>
                <w:szCs w:val="24"/>
              </w:rPr>
              <w:t>总价：</w:t>
            </w:r>
          </w:p>
        </w:tc>
        <w:tc>
          <w:tcPr>
            <w:tcW w:w="2355" w:type="dxa"/>
            <w:gridSpan w:val="2"/>
            <w:vAlign w:val="top"/>
          </w:tcPr>
          <w:p w14:paraId="5AAF1B09">
            <w:pPr>
              <w:rPr>
                <w:rFonts w:ascii="Arial"/>
                <w:sz w:val="21"/>
              </w:rPr>
            </w:pPr>
          </w:p>
        </w:tc>
      </w:tr>
    </w:tbl>
    <w:p w14:paraId="682BCBB4">
      <w:pPr>
        <w:pStyle w:val="7"/>
        <w:spacing w:line="411" w:lineRule="auto"/>
      </w:pPr>
    </w:p>
    <w:p w14:paraId="1D916DBD">
      <w:pPr>
        <w:spacing w:before="103" w:line="184" w:lineRule="auto"/>
        <w:ind w:left="605"/>
        <w:rPr>
          <w:rFonts w:ascii="微软雅黑" w:hAnsi="微软雅黑" w:eastAsia="微软雅黑" w:cs="微软雅黑"/>
          <w:sz w:val="24"/>
          <w:szCs w:val="24"/>
        </w:rPr>
      </w:pPr>
      <w:r>
        <w:rPr>
          <w:rFonts w:ascii="微软雅黑" w:hAnsi="微软雅黑" w:eastAsia="微软雅黑" w:cs="微软雅黑"/>
          <w:spacing w:val="-3"/>
          <w:sz w:val="24"/>
          <w:szCs w:val="24"/>
        </w:rPr>
        <w:t>法定代表人或其委托代理人（签字或盖章</w:t>
      </w:r>
      <w:r>
        <w:rPr>
          <w:rFonts w:ascii="微软雅黑" w:hAnsi="微软雅黑" w:eastAsia="微软雅黑" w:cs="微软雅黑"/>
          <w:spacing w:val="3"/>
          <w:sz w:val="24"/>
          <w:szCs w:val="24"/>
        </w:rPr>
        <w:t>）：</w:t>
      </w:r>
    </w:p>
    <w:p w14:paraId="2B253F2A">
      <w:pPr>
        <w:spacing w:before="95" w:line="184" w:lineRule="auto"/>
        <w:ind w:left="603"/>
        <w:rPr>
          <w:rFonts w:ascii="微软雅黑" w:hAnsi="微软雅黑" w:eastAsia="微软雅黑" w:cs="微软雅黑"/>
          <w:sz w:val="24"/>
          <w:szCs w:val="24"/>
        </w:rPr>
      </w:pPr>
      <w:r>
        <w:rPr>
          <w:rFonts w:ascii="微软雅黑" w:hAnsi="微软雅黑" w:eastAsia="微软雅黑" w:cs="微软雅黑"/>
          <w:spacing w:val="-1"/>
          <w:sz w:val="24"/>
          <w:szCs w:val="24"/>
        </w:rPr>
        <w:t>供应商（公章）:</w:t>
      </w:r>
    </w:p>
    <w:p w14:paraId="33498942">
      <w:pPr>
        <w:spacing w:before="98" w:line="183" w:lineRule="auto"/>
        <w:ind w:left="964"/>
        <w:rPr>
          <w:rFonts w:ascii="微软雅黑" w:hAnsi="微软雅黑" w:eastAsia="微软雅黑" w:cs="微软雅黑"/>
          <w:sz w:val="24"/>
          <w:szCs w:val="24"/>
        </w:rPr>
      </w:pPr>
      <w:r>
        <w:rPr>
          <w:rFonts w:ascii="微软雅黑" w:hAnsi="微软雅黑" w:eastAsia="微软雅黑" w:cs="微软雅黑"/>
          <w:spacing w:val="-2"/>
          <w:sz w:val="24"/>
          <w:szCs w:val="24"/>
        </w:rPr>
        <w:t>注：1.如果按单价计算的结果与总价不一致，以单价为准修正总价。</w:t>
      </w:r>
    </w:p>
    <w:p w14:paraId="49505883">
      <w:pPr>
        <w:spacing w:before="52" w:line="225" w:lineRule="auto"/>
        <w:ind w:left="976"/>
        <w:rPr>
          <w:rFonts w:ascii="微软雅黑" w:hAnsi="微软雅黑" w:eastAsia="微软雅黑" w:cs="微软雅黑"/>
          <w:sz w:val="24"/>
          <w:szCs w:val="24"/>
        </w:rPr>
      </w:pPr>
      <w:r>
        <w:rPr>
          <w:rFonts w:ascii="微软雅黑" w:hAnsi="微软雅黑" w:eastAsia="微软雅黑" w:cs="微软雅黑"/>
          <w:spacing w:val="-2"/>
          <w:sz w:val="24"/>
          <w:szCs w:val="24"/>
        </w:rPr>
        <w:t>2.如果不提供详细分项报价将视为没有实质性响应招</w:t>
      </w:r>
      <w:r>
        <w:rPr>
          <w:rFonts w:ascii="微软雅黑" w:hAnsi="微软雅黑" w:eastAsia="微软雅黑" w:cs="微软雅黑"/>
          <w:spacing w:val="-3"/>
          <w:sz w:val="24"/>
          <w:szCs w:val="24"/>
        </w:rPr>
        <w:t>标文件。</w:t>
      </w:r>
    </w:p>
    <w:p w14:paraId="112816FA">
      <w:pPr>
        <w:spacing w:before="26" w:line="225" w:lineRule="auto"/>
        <w:ind w:left="978"/>
        <w:rPr>
          <w:rFonts w:ascii="微软雅黑" w:hAnsi="微软雅黑" w:eastAsia="微软雅黑" w:cs="微软雅黑"/>
          <w:sz w:val="24"/>
          <w:szCs w:val="24"/>
        </w:rPr>
      </w:pPr>
      <w:r>
        <w:rPr>
          <w:rFonts w:ascii="微软雅黑" w:hAnsi="微软雅黑" w:eastAsia="微软雅黑" w:cs="微软雅黑"/>
          <w:spacing w:val="-4"/>
          <w:sz w:val="24"/>
          <w:szCs w:val="24"/>
        </w:rPr>
        <w:t>3.上述各项的详细分项报价，应另页描述。</w:t>
      </w:r>
    </w:p>
    <w:p w14:paraId="11BABB08">
      <w:pPr>
        <w:spacing w:before="25" w:line="225" w:lineRule="auto"/>
        <w:ind w:left="1178" w:right="62" w:hanging="214"/>
        <w:rPr>
          <w:rFonts w:ascii="微软雅黑" w:hAnsi="微软雅黑" w:eastAsia="微软雅黑" w:cs="微软雅黑"/>
          <w:sz w:val="24"/>
          <w:szCs w:val="24"/>
        </w:rPr>
      </w:pPr>
      <w:r>
        <w:rPr>
          <w:rFonts w:ascii="微软雅黑" w:hAnsi="微软雅黑" w:eastAsia="微软雅黑" w:cs="微软雅黑"/>
          <w:sz w:val="24"/>
          <w:szCs w:val="24"/>
        </w:rPr>
        <w:t>4.如果开标一览表（报价表）内容与投标文件中明细表内容不一致的，以开标一览表</w:t>
      </w:r>
      <w:r>
        <w:rPr>
          <w:rFonts w:ascii="微软雅黑" w:hAnsi="微软雅黑" w:eastAsia="微软雅黑" w:cs="微软雅黑"/>
          <w:spacing w:val="3"/>
          <w:sz w:val="24"/>
          <w:szCs w:val="24"/>
        </w:rPr>
        <w:t xml:space="preserve"> </w:t>
      </w:r>
      <w:r>
        <w:rPr>
          <w:rFonts w:ascii="微软雅黑" w:hAnsi="微软雅黑" w:eastAsia="微软雅黑" w:cs="微软雅黑"/>
          <w:spacing w:val="-8"/>
          <w:sz w:val="24"/>
          <w:szCs w:val="24"/>
        </w:rPr>
        <w:t>（报价表）内容为准。</w:t>
      </w:r>
    </w:p>
    <w:p w14:paraId="300D95CD">
      <w:pPr>
        <w:spacing w:line="225" w:lineRule="auto"/>
        <w:rPr>
          <w:rFonts w:ascii="微软雅黑" w:hAnsi="微软雅黑" w:eastAsia="微软雅黑" w:cs="微软雅黑"/>
          <w:sz w:val="24"/>
          <w:szCs w:val="24"/>
        </w:rPr>
        <w:sectPr>
          <w:footerReference r:id="rId31" w:type="default"/>
          <w:pgSz w:w="11905" w:h="16839"/>
          <w:pgMar w:top="1431" w:right="1017" w:bottom="1197" w:left="1017" w:header="0" w:footer="963" w:gutter="0"/>
          <w:pgNumType w:fmt="decimal"/>
          <w:cols w:space="720" w:num="1"/>
        </w:sectPr>
      </w:pPr>
    </w:p>
    <w:p w14:paraId="29594E5B">
      <w:pPr>
        <w:pStyle w:val="7"/>
        <w:spacing w:line="369" w:lineRule="auto"/>
      </w:pPr>
    </w:p>
    <w:p w14:paraId="42EA1888">
      <w:pPr>
        <w:spacing w:before="90" w:line="183" w:lineRule="auto"/>
        <w:ind w:left="3982"/>
        <w:outlineLvl w:val="1"/>
        <w:rPr>
          <w:rFonts w:ascii="微软雅黑" w:hAnsi="微软雅黑" w:eastAsia="微软雅黑" w:cs="微软雅黑"/>
          <w:sz w:val="21"/>
          <w:szCs w:val="21"/>
        </w:rPr>
      </w:pPr>
      <w:bookmarkStart w:id="75" w:name="bookmark21"/>
      <w:bookmarkEnd w:id="75"/>
      <w:r>
        <w:rPr>
          <w:rFonts w:ascii="微软雅黑" w:hAnsi="微软雅黑" w:eastAsia="微软雅黑" w:cs="微软雅黑"/>
          <w:b/>
          <w:bCs/>
          <w:spacing w:val="-2"/>
          <w:sz w:val="21"/>
          <w:szCs w:val="21"/>
        </w:rPr>
        <w:t>3、服务说明一览表</w:t>
      </w:r>
    </w:p>
    <w:p w14:paraId="6F89EB25">
      <w:pPr>
        <w:pStyle w:val="7"/>
        <w:spacing w:line="353" w:lineRule="auto"/>
      </w:pPr>
    </w:p>
    <w:p w14:paraId="6F2D0B43">
      <w:pPr>
        <w:spacing w:before="103" w:line="183" w:lineRule="auto"/>
        <w:rPr>
          <w:rFonts w:ascii="微软雅黑" w:hAnsi="微软雅黑" w:eastAsia="微软雅黑" w:cs="微软雅黑"/>
          <w:sz w:val="24"/>
          <w:szCs w:val="24"/>
        </w:rPr>
      </w:pPr>
      <w:r>
        <w:rPr>
          <w:rFonts w:ascii="微软雅黑" w:hAnsi="微软雅黑" w:eastAsia="微软雅黑" w:cs="微软雅黑"/>
          <w:sz w:val="24"/>
          <w:szCs w:val="24"/>
        </w:rPr>
        <w:t xml:space="preserve">项目名称：                                  项目编号：      </w:t>
      </w:r>
      <w:r>
        <w:rPr>
          <w:rFonts w:ascii="微软雅黑" w:hAnsi="微软雅黑" w:eastAsia="微软雅黑" w:cs="微软雅黑"/>
          <w:spacing w:val="-1"/>
          <w:sz w:val="24"/>
          <w:szCs w:val="24"/>
        </w:rPr>
        <w:t xml:space="preserve">                               包号：</w:t>
      </w:r>
    </w:p>
    <w:p w14:paraId="3E5D6D25">
      <w:pPr>
        <w:spacing w:before="161"/>
      </w:pPr>
    </w:p>
    <w:tbl>
      <w:tblPr>
        <w:tblStyle w:val="20"/>
        <w:tblW w:w="8636" w:type="dxa"/>
        <w:tblInd w:w="5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8"/>
        <w:gridCol w:w="1408"/>
        <w:gridCol w:w="1517"/>
        <w:gridCol w:w="1631"/>
        <w:gridCol w:w="1861"/>
        <w:gridCol w:w="1041"/>
      </w:tblGrid>
      <w:tr w14:paraId="54BBA8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2" w:hRule="atLeast"/>
        </w:trPr>
        <w:tc>
          <w:tcPr>
            <w:tcW w:w="1178" w:type="dxa"/>
            <w:vAlign w:val="top"/>
          </w:tcPr>
          <w:p w14:paraId="24831129">
            <w:pPr>
              <w:spacing w:line="309" w:lineRule="auto"/>
              <w:rPr>
                <w:rFonts w:ascii="Arial"/>
                <w:sz w:val="21"/>
              </w:rPr>
            </w:pPr>
          </w:p>
          <w:p w14:paraId="714D0120">
            <w:pPr>
              <w:spacing w:line="309" w:lineRule="auto"/>
              <w:rPr>
                <w:rFonts w:ascii="Arial"/>
                <w:sz w:val="21"/>
              </w:rPr>
            </w:pPr>
          </w:p>
          <w:p w14:paraId="5807A8E9">
            <w:pPr>
              <w:pStyle w:val="21"/>
              <w:spacing w:before="103" w:line="184" w:lineRule="auto"/>
              <w:ind w:left="344"/>
              <w:rPr>
                <w:sz w:val="24"/>
                <w:szCs w:val="24"/>
              </w:rPr>
            </w:pPr>
            <w:r>
              <w:rPr>
                <w:spacing w:val="-1"/>
                <w:sz w:val="24"/>
                <w:szCs w:val="24"/>
              </w:rPr>
              <w:t>序号</w:t>
            </w:r>
          </w:p>
        </w:tc>
        <w:tc>
          <w:tcPr>
            <w:tcW w:w="1408" w:type="dxa"/>
            <w:vAlign w:val="top"/>
          </w:tcPr>
          <w:p w14:paraId="5CBC166B">
            <w:pPr>
              <w:spacing w:line="309" w:lineRule="auto"/>
              <w:rPr>
                <w:rFonts w:ascii="Arial"/>
                <w:sz w:val="21"/>
              </w:rPr>
            </w:pPr>
          </w:p>
          <w:p w14:paraId="70EDC4D0">
            <w:pPr>
              <w:spacing w:line="309" w:lineRule="auto"/>
              <w:rPr>
                <w:rFonts w:ascii="Arial"/>
                <w:sz w:val="21"/>
              </w:rPr>
            </w:pPr>
          </w:p>
          <w:p w14:paraId="4B8CDDA6">
            <w:pPr>
              <w:pStyle w:val="21"/>
              <w:spacing w:before="103" w:line="184" w:lineRule="auto"/>
              <w:ind w:left="221"/>
              <w:rPr>
                <w:sz w:val="24"/>
                <w:szCs w:val="24"/>
              </w:rPr>
            </w:pPr>
            <w:r>
              <w:rPr>
                <w:spacing w:val="-1"/>
                <w:sz w:val="24"/>
                <w:szCs w:val="24"/>
              </w:rPr>
              <w:t>服务名称</w:t>
            </w:r>
          </w:p>
        </w:tc>
        <w:tc>
          <w:tcPr>
            <w:tcW w:w="1517" w:type="dxa"/>
            <w:vAlign w:val="top"/>
          </w:tcPr>
          <w:p w14:paraId="57D8A648">
            <w:pPr>
              <w:spacing w:line="309" w:lineRule="auto"/>
              <w:rPr>
                <w:rFonts w:ascii="Arial"/>
                <w:sz w:val="21"/>
              </w:rPr>
            </w:pPr>
          </w:p>
          <w:p w14:paraId="0005F348">
            <w:pPr>
              <w:spacing w:line="309" w:lineRule="auto"/>
              <w:rPr>
                <w:rFonts w:ascii="Arial"/>
                <w:sz w:val="21"/>
              </w:rPr>
            </w:pPr>
          </w:p>
          <w:p w14:paraId="7632ABCC">
            <w:pPr>
              <w:pStyle w:val="21"/>
              <w:spacing w:before="103" w:line="184" w:lineRule="auto"/>
              <w:ind w:left="278"/>
              <w:rPr>
                <w:sz w:val="24"/>
                <w:szCs w:val="24"/>
              </w:rPr>
            </w:pPr>
            <w:r>
              <w:rPr>
                <w:spacing w:val="-1"/>
                <w:sz w:val="24"/>
                <w:szCs w:val="24"/>
              </w:rPr>
              <w:t>服务要求</w:t>
            </w:r>
          </w:p>
        </w:tc>
        <w:tc>
          <w:tcPr>
            <w:tcW w:w="1631" w:type="dxa"/>
            <w:vAlign w:val="top"/>
          </w:tcPr>
          <w:p w14:paraId="6550F7FF">
            <w:pPr>
              <w:spacing w:line="309" w:lineRule="auto"/>
              <w:rPr>
                <w:rFonts w:ascii="Arial"/>
                <w:sz w:val="21"/>
              </w:rPr>
            </w:pPr>
          </w:p>
          <w:p w14:paraId="029C80B3">
            <w:pPr>
              <w:spacing w:line="309" w:lineRule="auto"/>
              <w:rPr>
                <w:rFonts w:ascii="Arial"/>
                <w:sz w:val="21"/>
              </w:rPr>
            </w:pPr>
          </w:p>
          <w:p w14:paraId="79C2AC4F">
            <w:pPr>
              <w:pStyle w:val="21"/>
              <w:spacing w:before="103" w:line="184" w:lineRule="auto"/>
              <w:ind w:left="337"/>
              <w:rPr>
                <w:sz w:val="24"/>
                <w:szCs w:val="24"/>
              </w:rPr>
            </w:pPr>
            <w:r>
              <w:rPr>
                <w:spacing w:val="-1"/>
                <w:sz w:val="24"/>
                <w:szCs w:val="24"/>
              </w:rPr>
              <w:t>服务期限</w:t>
            </w:r>
          </w:p>
        </w:tc>
        <w:tc>
          <w:tcPr>
            <w:tcW w:w="1861" w:type="dxa"/>
            <w:vAlign w:val="top"/>
          </w:tcPr>
          <w:p w14:paraId="70234488">
            <w:pPr>
              <w:spacing w:line="309" w:lineRule="auto"/>
              <w:rPr>
                <w:rFonts w:ascii="Arial"/>
                <w:sz w:val="21"/>
              </w:rPr>
            </w:pPr>
          </w:p>
          <w:p w14:paraId="1A81D03B">
            <w:pPr>
              <w:spacing w:line="309" w:lineRule="auto"/>
              <w:rPr>
                <w:rFonts w:ascii="Arial"/>
                <w:sz w:val="21"/>
              </w:rPr>
            </w:pPr>
          </w:p>
          <w:p w14:paraId="52F2484F">
            <w:pPr>
              <w:pStyle w:val="21"/>
              <w:spacing w:before="103" w:line="184" w:lineRule="auto"/>
              <w:ind w:left="454"/>
              <w:rPr>
                <w:sz w:val="24"/>
                <w:szCs w:val="24"/>
              </w:rPr>
            </w:pPr>
            <w:r>
              <w:rPr>
                <w:spacing w:val="-1"/>
                <w:sz w:val="24"/>
                <w:szCs w:val="24"/>
              </w:rPr>
              <w:t>服务地点</w:t>
            </w:r>
          </w:p>
        </w:tc>
        <w:tc>
          <w:tcPr>
            <w:tcW w:w="1041" w:type="dxa"/>
            <w:vAlign w:val="top"/>
          </w:tcPr>
          <w:p w14:paraId="782A0E37">
            <w:pPr>
              <w:spacing w:line="310" w:lineRule="auto"/>
              <w:rPr>
                <w:rFonts w:ascii="Arial"/>
                <w:sz w:val="21"/>
              </w:rPr>
            </w:pPr>
          </w:p>
          <w:p w14:paraId="065FC742">
            <w:pPr>
              <w:spacing w:line="311" w:lineRule="auto"/>
              <w:rPr>
                <w:rFonts w:ascii="Arial"/>
                <w:sz w:val="21"/>
              </w:rPr>
            </w:pPr>
          </w:p>
          <w:p w14:paraId="02B05371">
            <w:pPr>
              <w:pStyle w:val="21"/>
              <w:spacing w:before="103" w:line="182" w:lineRule="auto"/>
              <w:ind w:left="282"/>
              <w:rPr>
                <w:sz w:val="24"/>
                <w:szCs w:val="24"/>
              </w:rPr>
            </w:pPr>
            <w:r>
              <w:rPr>
                <w:spacing w:val="-1"/>
                <w:sz w:val="24"/>
                <w:szCs w:val="24"/>
              </w:rPr>
              <w:t>其他</w:t>
            </w:r>
          </w:p>
        </w:tc>
      </w:tr>
      <w:tr w14:paraId="29BEF6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1178" w:type="dxa"/>
            <w:vAlign w:val="top"/>
          </w:tcPr>
          <w:p w14:paraId="40326BF0">
            <w:pPr>
              <w:rPr>
                <w:rFonts w:ascii="Arial"/>
                <w:sz w:val="21"/>
              </w:rPr>
            </w:pPr>
          </w:p>
        </w:tc>
        <w:tc>
          <w:tcPr>
            <w:tcW w:w="1408" w:type="dxa"/>
            <w:vAlign w:val="top"/>
          </w:tcPr>
          <w:p w14:paraId="776374B2">
            <w:pPr>
              <w:rPr>
                <w:rFonts w:ascii="Arial"/>
                <w:sz w:val="21"/>
              </w:rPr>
            </w:pPr>
          </w:p>
        </w:tc>
        <w:tc>
          <w:tcPr>
            <w:tcW w:w="1517" w:type="dxa"/>
            <w:vAlign w:val="top"/>
          </w:tcPr>
          <w:p w14:paraId="1C84615D">
            <w:pPr>
              <w:rPr>
                <w:rFonts w:ascii="Arial"/>
                <w:sz w:val="21"/>
              </w:rPr>
            </w:pPr>
          </w:p>
        </w:tc>
        <w:tc>
          <w:tcPr>
            <w:tcW w:w="1631" w:type="dxa"/>
            <w:vAlign w:val="top"/>
          </w:tcPr>
          <w:p w14:paraId="753DD595">
            <w:pPr>
              <w:rPr>
                <w:rFonts w:ascii="Arial"/>
                <w:sz w:val="21"/>
              </w:rPr>
            </w:pPr>
          </w:p>
        </w:tc>
        <w:tc>
          <w:tcPr>
            <w:tcW w:w="1861" w:type="dxa"/>
            <w:vAlign w:val="top"/>
          </w:tcPr>
          <w:p w14:paraId="3B30BAA0">
            <w:pPr>
              <w:rPr>
                <w:rFonts w:ascii="Arial"/>
                <w:sz w:val="21"/>
              </w:rPr>
            </w:pPr>
          </w:p>
        </w:tc>
        <w:tc>
          <w:tcPr>
            <w:tcW w:w="1041" w:type="dxa"/>
            <w:vAlign w:val="top"/>
          </w:tcPr>
          <w:p w14:paraId="2AD88881">
            <w:pPr>
              <w:rPr>
                <w:rFonts w:ascii="Arial"/>
                <w:sz w:val="21"/>
              </w:rPr>
            </w:pPr>
          </w:p>
        </w:tc>
      </w:tr>
      <w:tr w14:paraId="152D75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1178" w:type="dxa"/>
            <w:vAlign w:val="top"/>
          </w:tcPr>
          <w:p w14:paraId="1C3C21F6">
            <w:pPr>
              <w:rPr>
                <w:rFonts w:ascii="Arial"/>
                <w:sz w:val="21"/>
              </w:rPr>
            </w:pPr>
          </w:p>
        </w:tc>
        <w:tc>
          <w:tcPr>
            <w:tcW w:w="1408" w:type="dxa"/>
            <w:vAlign w:val="top"/>
          </w:tcPr>
          <w:p w14:paraId="326834F6">
            <w:pPr>
              <w:rPr>
                <w:rFonts w:ascii="Arial"/>
                <w:sz w:val="21"/>
              </w:rPr>
            </w:pPr>
          </w:p>
        </w:tc>
        <w:tc>
          <w:tcPr>
            <w:tcW w:w="1517" w:type="dxa"/>
            <w:vAlign w:val="top"/>
          </w:tcPr>
          <w:p w14:paraId="009514B7">
            <w:pPr>
              <w:rPr>
                <w:rFonts w:ascii="Arial"/>
                <w:sz w:val="21"/>
              </w:rPr>
            </w:pPr>
          </w:p>
        </w:tc>
        <w:tc>
          <w:tcPr>
            <w:tcW w:w="1631" w:type="dxa"/>
            <w:vAlign w:val="top"/>
          </w:tcPr>
          <w:p w14:paraId="75C2197F">
            <w:pPr>
              <w:rPr>
                <w:rFonts w:ascii="Arial"/>
                <w:sz w:val="21"/>
              </w:rPr>
            </w:pPr>
          </w:p>
        </w:tc>
        <w:tc>
          <w:tcPr>
            <w:tcW w:w="1861" w:type="dxa"/>
            <w:vAlign w:val="top"/>
          </w:tcPr>
          <w:p w14:paraId="732DC2EC">
            <w:pPr>
              <w:rPr>
                <w:rFonts w:ascii="Arial"/>
                <w:sz w:val="21"/>
              </w:rPr>
            </w:pPr>
          </w:p>
        </w:tc>
        <w:tc>
          <w:tcPr>
            <w:tcW w:w="1041" w:type="dxa"/>
            <w:vAlign w:val="top"/>
          </w:tcPr>
          <w:p w14:paraId="785ED76C">
            <w:pPr>
              <w:rPr>
                <w:rFonts w:ascii="Arial"/>
                <w:sz w:val="21"/>
              </w:rPr>
            </w:pPr>
          </w:p>
        </w:tc>
      </w:tr>
      <w:tr w14:paraId="2C407B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1178" w:type="dxa"/>
            <w:vAlign w:val="top"/>
          </w:tcPr>
          <w:p w14:paraId="43B6842F">
            <w:pPr>
              <w:rPr>
                <w:rFonts w:ascii="Arial"/>
                <w:sz w:val="21"/>
              </w:rPr>
            </w:pPr>
          </w:p>
        </w:tc>
        <w:tc>
          <w:tcPr>
            <w:tcW w:w="1408" w:type="dxa"/>
            <w:vAlign w:val="top"/>
          </w:tcPr>
          <w:p w14:paraId="15110DEB">
            <w:pPr>
              <w:rPr>
                <w:rFonts w:ascii="Arial"/>
                <w:sz w:val="21"/>
              </w:rPr>
            </w:pPr>
          </w:p>
        </w:tc>
        <w:tc>
          <w:tcPr>
            <w:tcW w:w="1517" w:type="dxa"/>
            <w:vAlign w:val="top"/>
          </w:tcPr>
          <w:p w14:paraId="65A5B174">
            <w:pPr>
              <w:rPr>
                <w:rFonts w:ascii="Arial"/>
                <w:sz w:val="21"/>
              </w:rPr>
            </w:pPr>
          </w:p>
        </w:tc>
        <w:tc>
          <w:tcPr>
            <w:tcW w:w="1631" w:type="dxa"/>
            <w:vAlign w:val="top"/>
          </w:tcPr>
          <w:p w14:paraId="2EBFE2D8">
            <w:pPr>
              <w:rPr>
                <w:rFonts w:ascii="Arial"/>
                <w:sz w:val="21"/>
              </w:rPr>
            </w:pPr>
          </w:p>
        </w:tc>
        <w:tc>
          <w:tcPr>
            <w:tcW w:w="1861" w:type="dxa"/>
            <w:vAlign w:val="top"/>
          </w:tcPr>
          <w:p w14:paraId="4A293EE1">
            <w:pPr>
              <w:rPr>
                <w:rFonts w:ascii="Arial"/>
                <w:sz w:val="21"/>
              </w:rPr>
            </w:pPr>
          </w:p>
        </w:tc>
        <w:tc>
          <w:tcPr>
            <w:tcW w:w="1041" w:type="dxa"/>
            <w:vAlign w:val="top"/>
          </w:tcPr>
          <w:p w14:paraId="28342D2D">
            <w:pPr>
              <w:rPr>
                <w:rFonts w:ascii="Arial"/>
                <w:sz w:val="21"/>
              </w:rPr>
            </w:pPr>
          </w:p>
        </w:tc>
      </w:tr>
      <w:tr w14:paraId="7324D8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1178" w:type="dxa"/>
            <w:vAlign w:val="top"/>
          </w:tcPr>
          <w:p w14:paraId="73939BFE">
            <w:pPr>
              <w:rPr>
                <w:rFonts w:ascii="Arial"/>
                <w:sz w:val="21"/>
              </w:rPr>
            </w:pPr>
          </w:p>
        </w:tc>
        <w:tc>
          <w:tcPr>
            <w:tcW w:w="1408" w:type="dxa"/>
            <w:vAlign w:val="top"/>
          </w:tcPr>
          <w:p w14:paraId="7D55C728">
            <w:pPr>
              <w:rPr>
                <w:rFonts w:ascii="Arial"/>
                <w:sz w:val="21"/>
              </w:rPr>
            </w:pPr>
          </w:p>
        </w:tc>
        <w:tc>
          <w:tcPr>
            <w:tcW w:w="1517" w:type="dxa"/>
            <w:vAlign w:val="top"/>
          </w:tcPr>
          <w:p w14:paraId="6F3C22D5">
            <w:pPr>
              <w:rPr>
                <w:rFonts w:ascii="Arial"/>
                <w:sz w:val="21"/>
              </w:rPr>
            </w:pPr>
          </w:p>
        </w:tc>
        <w:tc>
          <w:tcPr>
            <w:tcW w:w="1631" w:type="dxa"/>
            <w:vAlign w:val="top"/>
          </w:tcPr>
          <w:p w14:paraId="43FF91A5">
            <w:pPr>
              <w:rPr>
                <w:rFonts w:ascii="Arial"/>
                <w:sz w:val="21"/>
              </w:rPr>
            </w:pPr>
          </w:p>
        </w:tc>
        <w:tc>
          <w:tcPr>
            <w:tcW w:w="1861" w:type="dxa"/>
            <w:vAlign w:val="top"/>
          </w:tcPr>
          <w:p w14:paraId="7D0DAA2E">
            <w:pPr>
              <w:rPr>
                <w:rFonts w:ascii="Arial"/>
                <w:sz w:val="21"/>
              </w:rPr>
            </w:pPr>
          </w:p>
        </w:tc>
        <w:tc>
          <w:tcPr>
            <w:tcW w:w="1041" w:type="dxa"/>
            <w:vAlign w:val="top"/>
          </w:tcPr>
          <w:p w14:paraId="1AB43C51">
            <w:pPr>
              <w:rPr>
                <w:rFonts w:ascii="Arial"/>
                <w:sz w:val="21"/>
              </w:rPr>
            </w:pPr>
          </w:p>
        </w:tc>
      </w:tr>
      <w:tr w14:paraId="77FA9A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1178" w:type="dxa"/>
            <w:vAlign w:val="top"/>
          </w:tcPr>
          <w:p w14:paraId="2C86D77C">
            <w:pPr>
              <w:rPr>
                <w:rFonts w:ascii="Arial"/>
                <w:sz w:val="21"/>
              </w:rPr>
            </w:pPr>
          </w:p>
        </w:tc>
        <w:tc>
          <w:tcPr>
            <w:tcW w:w="1408" w:type="dxa"/>
            <w:vAlign w:val="top"/>
          </w:tcPr>
          <w:p w14:paraId="0CB68EA4">
            <w:pPr>
              <w:rPr>
                <w:rFonts w:ascii="Arial"/>
                <w:sz w:val="21"/>
              </w:rPr>
            </w:pPr>
          </w:p>
        </w:tc>
        <w:tc>
          <w:tcPr>
            <w:tcW w:w="1517" w:type="dxa"/>
            <w:vAlign w:val="top"/>
          </w:tcPr>
          <w:p w14:paraId="75DA4E91">
            <w:pPr>
              <w:rPr>
                <w:rFonts w:ascii="Arial"/>
                <w:sz w:val="21"/>
              </w:rPr>
            </w:pPr>
          </w:p>
        </w:tc>
        <w:tc>
          <w:tcPr>
            <w:tcW w:w="1631" w:type="dxa"/>
            <w:vAlign w:val="top"/>
          </w:tcPr>
          <w:p w14:paraId="718B4A7D">
            <w:pPr>
              <w:rPr>
                <w:rFonts w:ascii="Arial"/>
                <w:sz w:val="21"/>
              </w:rPr>
            </w:pPr>
          </w:p>
        </w:tc>
        <w:tc>
          <w:tcPr>
            <w:tcW w:w="1861" w:type="dxa"/>
            <w:vAlign w:val="top"/>
          </w:tcPr>
          <w:p w14:paraId="09B3D1DD">
            <w:pPr>
              <w:rPr>
                <w:rFonts w:ascii="Arial"/>
                <w:sz w:val="21"/>
              </w:rPr>
            </w:pPr>
          </w:p>
        </w:tc>
        <w:tc>
          <w:tcPr>
            <w:tcW w:w="1041" w:type="dxa"/>
            <w:vAlign w:val="top"/>
          </w:tcPr>
          <w:p w14:paraId="3044F461">
            <w:pPr>
              <w:rPr>
                <w:rFonts w:ascii="Arial"/>
                <w:sz w:val="21"/>
              </w:rPr>
            </w:pPr>
          </w:p>
        </w:tc>
      </w:tr>
      <w:tr w14:paraId="58D247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1178" w:type="dxa"/>
            <w:vAlign w:val="top"/>
          </w:tcPr>
          <w:p w14:paraId="6E39A824">
            <w:pPr>
              <w:rPr>
                <w:rFonts w:ascii="Arial"/>
                <w:sz w:val="21"/>
              </w:rPr>
            </w:pPr>
          </w:p>
        </w:tc>
        <w:tc>
          <w:tcPr>
            <w:tcW w:w="1408" w:type="dxa"/>
            <w:vAlign w:val="top"/>
          </w:tcPr>
          <w:p w14:paraId="13F131AF">
            <w:pPr>
              <w:rPr>
                <w:rFonts w:ascii="Arial"/>
                <w:sz w:val="21"/>
              </w:rPr>
            </w:pPr>
          </w:p>
        </w:tc>
        <w:tc>
          <w:tcPr>
            <w:tcW w:w="1517" w:type="dxa"/>
            <w:vAlign w:val="top"/>
          </w:tcPr>
          <w:p w14:paraId="2B785FFC">
            <w:pPr>
              <w:rPr>
                <w:rFonts w:ascii="Arial"/>
                <w:sz w:val="21"/>
              </w:rPr>
            </w:pPr>
          </w:p>
        </w:tc>
        <w:tc>
          <w:tcPr>
            <w:tcW w:w="1631" w:type="dxa"/>
            <w:vAlign w:val="top"/>
          </w:tcPr>
          <w:p w14:paraId="30EA23BB">
            <w:pPr>
              <w:rPr>
                <w:rFonts w:ascii="Arial"/>
                <w:sz w:val="21"/>
              </w:rPr>
            </w:pPr>
          </w:p>
        </w:tc>
        <w:tc>
          <w:tcPr>
            <w:tcW w:w="1861" w:type="dxa"/>
            <w:vAlign w:val="top"/>
          </w:tcPr>
          <w:p w14:paraId="7F68A6A8">
            <w:pPr>
              <w:rPr>
                <w:rFonts w:ascii="Arial"/>
                <w:sz w:val="21"/>
              </w:rPr>
            </w:pPr>
          </w:p>
        </w:tc>
        <w:tc>
          <w:tcPr>
            <w:tcW w:w="1041" w:type="dxa"/>
            <w:vAlign w:val="top"/>
          </w:tcPr>
          <w:p w14:paraId="376A3766">
            <w:pPr>
              <w:rPr>
                <w:rFonts w:ascii="Arial"/>
                <w:sz w:val="21"/>
              </w:rPr>
            </w:pPr>
          </w:p>
        </w:tc>
      </w:tr>
      <w:tr w14:paraId="7DDB2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1178" w:type="dxa"/>
            <w:vAlign w:val="top"/>
          </w:tcPr>
          <w:p w14:paraId="2D94DCDC">
            <w:pPr>
              <w:rPr>
                <w:rFonts w:ascii="Arial"/>
                <w:sz w:val="21"/>
              </w:rPr>
            </w:pPr>
          </w:p>
        </w:tc>
        <w:tc>
          <w:tcPr>
            <w:tcW w:w="1408" w:type="dxa"/>
            <w:vAlign w:val="top"/>
          </w:tcPr>
          <w:p w14:paraId="3F2F6C76">
            <w:pPr>
              <w:rPr>
                <w:rFonts w:ascii="Arial"/>
                <w:sz w:val="21"/>
              </w:rPr>
            </w:pPr>
          </w:p>
        </w:tc>
        <w:tc>
          <w:tcPr>
            <w:tcW w:w="1517" w:type="dxa"/>
            <w:vAlign w:val="top"/>
          </w:tcPr>
          <w:p w14:paraId="54F71A1E">
            <w:pPr>
              <w:rPr>
                <w:rFonts w:ascii="Arial"/>
                <w:sz w:val="21"/>
              </w:rPr>
            </w:pPr>
          </w:p>
        </w:tc>
        <w:tc>
          <w:tcPr>
            <w:tcW w:w="1631" w:type="dxa"/>
            <w:vAlign w:val="top"/>
          </w:tcPr>
          <w:p w14:paraId="2C3C4B8B">
            <w:pPr>
              <w:rPr>
                <w:rFonts w:ascii="Arial"/>
                <w:sz w:val="21"/>
              </w:rPr>
            </w:pPr>
          </w:p>
        </w:tc>
        <w:tc>
          <w:tcPr>
            <w:tcW w:w="1861" w:type="dxa"/>
            <w:vAlign w:val="top"/>
          </w:tcPr>
          <w:p w14:paraId="4A4CCD13">
            <w:pPr>
              <w:rPr>
                <w:rFonts w:ascii="Arial"/>
                <w:sz w:val="21"/>
              </w:rPr>
            </w:pPr>
          </w:p>
        </w:tc>
        <w:tc>
          <w:tcPr>
            <w:tcW w:w="1041" w:type="dxa"/>
            <w:vAlign w:val="top"/>
          </w:tcPr>
          <w:p w14:paraId="590DDA3B">
            <w:pPr>
              <w:rPr>
                <w:rFonts w:ascii="Arial"/>
                <w:sz w:val="21"/>
              </w:rPr>
            </w:pPr>
          </w:p>
        </w:tc>
      </w:tr>
    </w:tbl>
    <w:p w14:paraId="36501A97">
      <w:pPr>
        <w:pStyle w:val="7"/>
        <w:spacing w:line="411" w:lineRule="auto"/>
      </w:pPr>
    </w:p>
    <w:p w14:paraId="63A866C8">
      <w:pPr>
        <w:spacing w:before="103" w:line="184" w:lineRule="auto"/>
        <w:ind w:left="541"/>
        <w:rPr>
          <w:rFonts w:ascii="微软雅黑" w:hAnsi="微软雅黑" w:eastAsia="微软雅黑" w:cs="微软雅黑"/>
          <w:sz w:val="24"/>
          <w:szCs w:val="24"/>
        </w:rPr>
      </w:pPr>
      <w:r>
        <w:rPr>
          <w:rFonts w:ascii="微软雅黑" w:hAnsi="微软雅黑" w:eastAsia="微软雅黑" w:cs="微软雅黑"/>
          <w:spacing w:val="-3"/>
          <w:sz w:val="24"/>
          <w:szCs w:val="24"/>
        </w:rPr>
        <w:t>法定代表人或其委托代理人（签字或盖章</w:t>
      </w:r>
      <w:r>
        <w:rPr>
          <w:rFonts w:ascii="微软雅黑" w:hAnsi="微软雅黑" w:eastAsia="微软雅黑" w:cs="微软雅黑"/>
          <w:spacing w:val="3"/>
          <w:sz w:val="24"/>
          <w:szCs w:val="24"/>
        </w:rPr>
        <w:t>）：</w:t>
      </w:r>
    </w:p>
    <w:p w14:paraId="2E3802EB">
      <w:pPr>
        <w:spacing w:before="96" w:line="184" w:lineRule="auto"/>
        <w:ind w:left="538"/>
        <w:rPr>
          <w:rFonts w:ascii="微软雅黑" w:hAnsi="微软雅黑" w:eastAsia="微软雅黑" w:cs="微软雅黑"/>
          <w:sz w:val="24"/>
          <w:szCs w:val="24"/>
        </w:rPr>
      </w:pPr>
      <w:r>
        <w:rPr>
          <w:rFonts w:ascii="微软雅黑" w:hAnsi="微软雅黑" w:eastAsia="微软雅黑" w:cs="微软雅黑"/>
          <w:spacing w:val="-1"/>
          <w:sz w:val="24"/>
          <w:szCs w:val="24"/>
        </w:rPr>
        <w:t>供应商（公章）:</w:t>
      </w:r>
    </w:p>
    <w:p w14:paraId="72D7E671">
      <w:pPr>
        <w:spacing w:before="96" w:line="184" w:lineRule="auto"/>
        <w:ind w:left="541"/>
        <w:rPr>
          <w:rFonts w:ascii="微软雅黑" w:hAnsi="微软雅黑" w:eastAsia="微软雅黑" w:cs="微软雅黑"/>
          <w:sz w:val="24"/>
          <w:szCs w:val="24"/>
        </w:rPr>
      </w:pPr>
      <w:r>
        <w:rPr>
          <w:rFonts w:ascii="微软雅黑" w:hAnsi="微软雅黑" w:eastAsia="微软雅黑" w:cs="微软雅黑"/>
          <w:spacing w:val="-3"/>
          <w:sz w:val="24"/>
          <w:szCs w:val="24"/>
        </w:rPr>
        <w:t>注： 各项服务详细技术性能应另页描述。</w:t>
      </w:r>
    </w:p>
    <w:p w14:paraId="4F199C7F">
      <w:pPr>
        <w:spacing w:line="184" w:lineRule="auto"/>
        <w:rPr>
          <w:rFonts w:ascii="微软雅黑" w:hAnsi="微软雅黑" w:eastAsia="微软雅黑" w:cs="微软雅黑"/>
          <w:sz w:val="24"/>
          <w:szCs w:val="24"/>
        </w:rPr>
        <w:sectPr>
          <w:footerReference r:id="rId32" w:type="default"/>
          <w:pgSz w:w="11905" w:h="16839"/>
          <w:pgMar w:top="1431" w:right="1629" w:bottom="1197" w:left="1081" w:header="0" w:footer="963" w:gutter="0"/>
          <w:pgNumType w:fmt="decimal"/>
          <w:cols w:space="720" w:num="1"/>
        </w:sectPr>
      </w:pPr>
    </w:p>
    <w:p w14:paraId="655C3869">
      <w:pPr>
        <w:pStyle w:val="7"/>
        <w:spacing w:line="276" w:lineRule="auto"/>
      </w:pPr>
    </w:p>
    <w:p w14:paraId="53A797C3">
      <w:pPr>
        <w:pStyle w:val="7"/>
        <w:spacing w:line="277" w:lineRule="auto"/>
      </w:pPr>
    </w:p>
    <w:p w14:paraId="2F2DAA87">
      <w:pPr>
        <w:pStyle w:val="7"/>
        <w:spacing w:line="277" w:lineRule="auto"/>
      </w:pPr>
    </w:p>
    <w:p w14:paraId="309CDC1D">
      <w:pPr>
        <w:spacing w:before="103" w:line="183" w:lineRule="auto"/>
        <w:ind w:left="3722"/>
        <w:outlineLvl w:val="1"/>
        <w:rPr>
          <w:rFonts w:ascii="微软雅黑" w:hAnsi="微软雅黑" w:eastAsia="微软雅黑" w:cs="微软雅黑"/>
          <w:sz w:val="24"/>
          <w:szCs w:val="24"/>
        </w:rPr>
      </w:pPr>
      <w:bookmarkStart w:id="76" w:name="bookmark22"/>
      <w:bookmarkEnd w:id="76"/>
      <w:r>
        <w:rPr>
          <w:rFonts w:ascii="微软雅黑" w:hAnsi="微软雅黑" w:eastAsia="微软雅黑" w:cs="微软雅黑"/>
          <w:b/>
          <w:bCs/>
          <w:spacing w:val="-1"/>
          <w:sz w:val="24"/>
          <w:szCs w:val="24"/>
        </w:rPr>
        <w:t>4、商务条款偏离表</w:t>
      </w:r>
    </w:p>
    <w:p w14:paraId="74A79E98">
      <w:pPr>
        <w:pStyle w:val="7"/>
        <w:spacing w:line="403" w:lineRule="auto"/>
      </w:pPr>
    </w:p>
    <w:p w14:paraId="5C514BB5">
      <w:pPr>
        <w:spacing w:before="103" w:line="183" w:lineRule="auto"/>
        <w:ind w:left="421"/>
        <w:rPr>
          <w:rFonts w:ascii="微软雅黑" w:hAnsi="微软雅黑" w:eastAsia="微软雅黑" w:cs="微软雅黑"/>
          <w:sz w:val="24"/>
          <w:szCs w:val="24"/>
        </w:rPr>
      </w:pPr>
      <w:r>
        <w:rPr>
          <w:rFonts w:ascii="微软雅黑" w:hAnsi="微软雅黑" w:eastAsia="微软雅黑" w:cs="微软雅黑"/>
          <w:sz w:val="24"/>
          <w:szCs w:val="24"/>
        </w:rPr>
        <w:t xml:space="preserve">项目名称：                                     项目编号：   </w:t>
      </w:r>
      <w:r>
        <w:rPr>
          <w:rFonts w:ascii="微软雅黑" w:hAnsi="微软雅黑" w:eastAsia="微软雅黑" w:cs="微软雅黑"/>
          <w:spacing w:val="-1"/>
          <w:sz w:val="24"/>
          <w:szCs w:val="24"/>
        </w:rPr>
        <w:t xml:space="preserve">                   包号：</w:t>
      </w:r>
    </w:p>
    <w:p w14:paraId="0D7B2BA1">
      <w:pPr>
        <w:spacing w:before="161"/>
      </w:pPr>
    </w:p>
    <w:tbl>
      <w:tblPr>
        <w:tblStyle w:val="20"/>
        <w:tblW w:w="949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9"/>
        <w:gridCol w:w="1924"/>
        <w:gridCol w:w="2377"/>
        <w:gridCol w:w="2377"/>
        <w:gridCol w:w="956"/>
        <w:gridCol w:w="961"/>
      </w:tblGrid>
      <w:tr w14:paraId="502C98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899" w:type="dxa"/>
            <w:vAlign w:val="top"/>
          </w:tcPr>
          <w:p w14:paraId="3E735CA7">
            <w:pPr>
              <w:pStyle w:val="21"/>
              <w:spacing w:before="104" w:line="184" w:lineRule="auto"/>
              <w:ind w:left="204"/>
              <w:rPr>
                <w:sz w:val="24"/>
                <w:szCs w:val="24"/>
              </w:rPr>
            </w:pPr>
            <w:r>
              <w:rPr>
                <w:spacing w:val="-1"/>
                <w:sz w:val="24"/>
                <w:szCs w:val="24"/>
              </w:rPr>
              <w:t>序号</w:t>
            </w:r>
          </w:p>
        </w:tc>
        <w:tc>
          <w:tcPr>
            <w:tcW w:w="1924" w:type="dxa"/>
            <w:vAlign w:val="top"/>
          </w:tcPr>
          <w:p w14:paraId="3713462C">
            <w:pPr>
              <w:pStyle w:val="21"/>
              <w:spacing w:before="106" w:line="183" w:lineRule="auto"/>
              <w:ind w:left="117"/>
              <w:rPr>
                <w:sz w:val="24"/>
                <w:szCs w:val="24"/>
              </w:rPr>
            </w:pPr>
            <w:r>
              <w:rPr>
                <w:spacing w:val="-1"/>
                <w:sz w:val="24"/>
                <w:szCs w:val="24"/>
              </w:rPr>
              <w:t>招标文件条款号</w:t>
            </w:r>
          </w:p>
        </w:tc>
        <w:tc>
          <w:tcPr>
            <w:tcW w:w="2377" w:type="dxa"/>
            <w:vAlign w:val="top"/>
          </w:tcPr>
          <w:p w14:paraId="17E87FD4">
            <w:pPr>
              <w:pStyle w:val="21"/>
              <w:spacing w:before="104" w:line="184" w:lineRule="auto"/>
              <w:ind w:left="106"/>
              <w:rPr>
                <w:sz w:val="24"/>
                <w:szCs w:val="24"/>
              </w:rPr>
            </w:pPr>
            <w:r>
              <w:rPr>
                <w:spacing w:val="-1"/>
                <w:sz w:val="24"/>
                <w:szCs w:val="24"/>
              </w:rPr>
              <w:t>招标文件的商务条款</w:t>
            </w:r>
          </w:p>
        </w:tc>
        <w:tc>
          <w:tcPr>
            <w:tcW w:w="2377" w:type="dxa"/>
            <w:vAlign w:val="top"/>
          </w:tcPr>
          <w:p w14:paraId="097E15DE">
            <w:pPr>
              <w:pStyle w:val="21"/>
              <w:spacing w:before="104" w:line="184" w:lineRule="auto"/>
              <w:ind w:left="109"/>
              <w:rPr>
                <w:sz w:val="24"/>
                <w:szCs w:val="24"/>
              </w:rPr>
            </w:pPr>
            <w:r>
              <w:rPr>
                <w:spacing w:val="-1"/>
                <w:sz w:val="24"/>
                <w:szCs w:val="24"/>
              </w:rPr>
              <w:t>投标文件的商务条款</w:t>
            </w:r>
          </w:p>
        </w:tc>
        <w:tc>
          <w:tcPr>
            <w:tcW w:w="956" w:type="dxa"/>
            <w:vAlign w:val="top"/>
          </w:tcPr>
          <w:p w14:paraId="7D1851B7">
            <w:pPr>
              <w:pStyle w:val="21"/>
              <w:spacing w:before="106" w:line="183" w:lineRule="auto"/>
              <w:ind w:left="240"/>
              <w:rPr>
                <w:sz w:val="24"/>
                <w:szCs w:val="24"/>
              </w:rPr>
            </w:pPr>
            <w:r>
              <w:rPr>
                <w:spacing w:val="-1"/>
                <w:sz w:val="24"/>
                <w:szCs w:val="24"/>
              </w:rPr>
              <w:t>偏离</w:t>
            </w:r>
          </w:p>
        </w:tc>
        <w:tc>
          <w:tcPr>
            <w:tcW w:w="961" w:type="dxa"/>
            <w:vAlign w:val="top"/>
          </w:tcPr>
          <w:p w14:paraId="6C437824">
            <w:pPr>
              <w:pStyle w:val="21"/>
              <w:spacing w:before="108" w:line="182" w:lineRule="auto"/>
              <w:ind w:left="241"/>
              <w:rPr>
                <w:sz w:val="24"/>
                <w:szCs w:val="24"/>
              </w:rPr>
            </w:pPr>
            <w:r>
              <w:rPr>
                <w:spacing w:val="-1"/>
                <w:sz w:val="24"/>
                <w:szCs w:val="24"/>
              </w:rPr>
              <w:t>说明</w:t>
            </w:r>
          </w:p>
        </w:tc>
      </w:tr>
      <w:tr w14:paraId="52E239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899" w:type="dxa"/>
            <w:vAlign w:val="top"/>
          </w:tcPr>
          <w:p w14:paraId="4422B427">
            <w:pPr>
              <w:rPr>
                <w:rFonts w:ascii="Arial"/>
                <w:sz w:val="21"/>
              </w:rPr>
            </w:pPr>
          </w:p>
        </w:tc>
        <w:tc>
          <w:tcPr>
            <w:tcW w:w="1924" w:type="dxa"/>
            <w:vAlign w:val="top"/>
          </w:tcPr>
          <w:p w14:paraId="31519109">
            <w:pPr>
              <w:rPr>
                <w:rFonts w:ascii="Arial"/>
                <w:sz w:val="21"/>
              </w:rPr>
            </w:pPr>
          </w:p>
        </w:tc>
        <w:tc>
          <w:tcPr>
            <w:tcW w:w="2377" w:type="dxa"/>
            <w:vAlign w:val="top"/>
          </w:tcPr>
          <w:p w14:paraId="32143EB1">
            <w:pPr>
              <w:rPr>
                <w:rFonts w:ascii="Arial"/>
                <w:sz w:val="21"/>
              </w:rPr>
            </w:pPr>
          </w:p>
        </w:tc>
        <w:tc>
          <w:tcPr>
            <w:tcW w:w="2377" w:type="dxa"/>
            <w:vAlign w:val="top"/>
          </w:tcPr>
          <w:p w14:paraId="649DD36E">
            <w:pPr>
              <w:rPr>
                <w:rFonts w:ascii="Arial"/>
                <w:sz w:val="21"/>
              </w:rPr>
            </w:pPr>
          </w:p>
        </w:tc>
        <w:tc>
          <w:tcPr>
            <w:tcW w:w="956" w:type="dxa"/>
            <w:vAlign w:val="top"/>
          </w:tcPr>
          <w:p w14:paraId="1B2143CD">
            <w:pPr>
              <w:rPr>
                <w:rFonts w:ascii="Arial"/>
                <w:sz w:val="21"/>
              </w:rPr>
            </w:pPr>
          </w:p>
        </w:tc>
        <w:tc>
          <w:tcPr>
            <w:tcW w:w="961" w:type="dxa"/>
            <w:vAlign w:val="top"/>
          </w:tcPr>
          <w:p w14:paraId="43A3216B">
            <w:pPr>
              <w:rPr>
                <w:rFonts w:ascii="Arial"/>
                <w:sz w:val="21"/>
              </w:rPr>
            </w:pPr>
          </w:p>
        </w:tc>
      </w:tr>
      <w:tr w14:paraId="65AD54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899" w:type="dxa"/>
            <w:vAlign w:val="top"/>
          </w:tcPr>
          <w:p w14:paraId="118160FA">
            <w:pPr>
              <w:rPr>
                <w:rFonts w:ascii="Arial"/>
                <w:sz w:val="21"/>
              </w:rPr>
            </w:pPr>
          </w:p>
        </w:tc>
        <w:tc>
          <w:tcPr>
            <w:tcW w:w="1924" w:type="dxa"/>
            <w:vAlign w:val="top"/>
          </w:tcPr>
          <w:p w14:paraId="147EB44B">
            <w:pPr>
              <w:rPr>
                <w:rFonts w:ascii="Arial"/>
                <w:sz w:val="21"/>
              </w:rPr>
            </w:pPr>
          </w:p>
        </w:tc>
        <w:tc>
          <w:tcPr>
            <w:tcW w:w="2377" w:type="dxa"/>
            <w:vAlign w:val="top"/>
          </w:tcPr>
          <w:p w14:paraId="5EE44932">
            <w:pPr>
              <w:rPr>
                <w:rFonts w:ascii="Arial"/>
                <w:sz w:val="21"/>
              </w:rPr>
            </w:pPr>
          </w:p>
        </w:tc>
        <w:tc>
          <w:tcPr>
            <w:tcW w:w="2377" w:type="dxa"/>
            <w:vAlign w:val="top"/>
          </w:tcPr>
          <w:p w14:paraId="247358ED">
            <w:pPr>
              <w:rPr>
                <w:rFonts w:ascii="Arial"/>
                <w:sz w:val="21"/>
              </w:rPr>
            </w:pPr>
          </w:p>
        </w:tc>
        <w:tc>
          <w:tcPr>
            <w:tcW w:w="956" w:type="dxa"/>
            <w:vAlign w:val="top"/>
          </w:tcPr>
          <w:p w14:paraId="2175067A">
            <w:pPr>
              <w:rPr>
                <w:rFonts w:ascii="Arial"/>
                <w:sz w:val="21"/>
              </w:rPr>
            </w:pPr>
          </w:p>
        </w:tc>
        <w:tc>
          <w:tcPr>
            <w:tcW w:w="961" w:type="dxa"/>
            <w:vAlign w:val="top"/>
          </w:tcPr>
          <w:p w14:paraId="1EFAA3C2">
            <w:pPr>
              <w:rPr>
                <w:rFonts w:ascii="Arial"/>
                <w:sz w:val="21"/>
              </w:rPr>
            </w:pPr>
          </w:p>
        </w:tc>
      </w:tr>
      <w:tr w14:paraId="70B250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899" w:type="dxa"/>
            <w:vAlign w:val="top"/>
          </w:tcPr>
          <w:p w14:paraId="4FE311E2">
            <w:pPr>
              <w:rPr>
                <w:rFonts w:ascii="Arial"/>
                <w:sz w:val="21"/>
              </w:rPr>
            </w:pPr>
          </w:p>
        </w:tc>
        <w:tc>
          <w:tcPr>
            <w:tcW w:w="1924" w:type="dxa"/>
            <w:vAlign w:val="top"/>
          </w:tcPr>
          <w:p w14:paraId="05384F2D">
            <w:pPr>
              <w:rPr>
                <w:rFonts w:ascii="Arial"/>
                <w:sz w:val="21"/>
              </w:rPr>
            </w:pPr>
          </w:p>
        </w:tc>
        <w:tc>
          <w:tcPr>
            <w:tcW w:w="2377" w:type="dxa"/>
            <w:vAlign w:val="top"/>
          </w:tcPr>
          <w:p w14:paraId="1ACB6D08">
            <w:pPr>
              <w:rPr>
                <w:rFonts w:ascii="Arial"/>
                <w:sz w:val="21"/>
              </w:rPr>
            </w:pPr>
          </w:p>
        </w:tc>
        <w:tc>
          <w:tcPr>
            <w:tcW w:w="2377" w:type="dxa"/>
            <w:vAlign w:val="top"/>
          </w:tcPr>
          <w:p w14:paraId="6FA924B8">
            <w:pPr>
              <w:rPr>
                <w:rFonts w:ascii="Arial"/>
                <w:sz w:val="21"/>
              </w:rPr>
            </w:pPr>
          </w:p>
        </w:tc>
        <w:tc>
          <w:tcPr>
            <w:tcW w:w="956" w:type="dxa"/>
            <w:vAlign w:val="top"/>
          </w:tcPr>
          <w:p w14:paraId="386A6C46">
            <w:pPr>
              <w:rPr>
                <w:rFonts w:ascii="Arial"/>
                <w:sz w:val="21"/>
              </w:rPr>
            </w:pPr>
          </w:p>
        </w:tc>
        <w:tc>
          <w:tcPr>
            <w:tcW w:w="961" w:type="dxa"/>
            <w:vAlign w:val="top"/>
          </w:tcPr>
          <w:p w14:paraId="53C20115">
            <w:pPr>
              <w:rPr>
                <w:rFonts w:ascii="Arial"/>
                <w:sz w:val="21"/>
              </w:rPr>
            </w:pPr>
          </w:p>
        </w:tc>
      </w:tr>
      <w:tr w14:paraId="4A69C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899" w:type="dxa"/>
            <w:vAlign w:val="top"/>
          </w:tcPr>
          <w:p w14:paraId="5719A3F1">
            <w:pPr>
              <w:rPr>
                <w:rFonts w:ascii="Arial"/>
                <w:sz w:val="21"/>
              </w:rPr>
            </w:pPr>
          </w:p>
        </w:tc>
        <w:tc>
          <w:tcPr>
            <w:tcW w:w="1924" w:type="dxa"/>
            <w:vAlign w:val="top"/>
          </w:tcPr>
          <w:p w14:paraId="47695B02">
            <w:pPr>
              <w:rPr>
                <w:rFonts w:ascii="Arial"/>
                <w:sz w:val="21"/>
              </w:rPr>
            </w:pPr>
          </w:p>
        </w:tc>
        <w:tc>
          <w:tcPr>
            <w:tcW w:w="2377" w:type="dxa"/>
            <w:vAlign w:val="top"/>
          </w:tcPr>
          <w:p w14:paraId="39D5BD2D">
            <w:pPr>
              <w:rPr>
                <w:rFonts w:ascii="Arial"/>
                <w:sz w:val="21"/>
              </w:rPr>
            </w:pPr>
          </w:p>
        </w:tc>
        <w:tc>
          <w:tcPr>
            <w:tcW w:w="2377" w:type="dxa"/>
            <w:vAlign w:val="top"/>
          </w:tcPr>
          <w:p w14:paraId="29963453">
            <w:pPr>
              <w:rPr>
                <w:rFonts w:ascii="Arial"/>
                <w:sz w:val="21"/>
              </w:rPr>
            </w:pPr>
          </w:p>
        </w:tc>
        <w:tc>
          <w:tcPr>
            <w:tcW w:w="956" w:type="dxa"/>
            <w:vAlign w:val="top"/>
          </w:tcPr>
          <w:p w14:paraId="44B1BF14">
            <w:pPr>
              <w:rPr>
                <w:rFonts w:ascii="Arial"/>
                <w:sz w:val="21"/>
              </w:rPr>
            </w:pPr>
          </w:p>
        </w:tc>
        <w:tc>
          <w:tcPr>
            <w:tcW w:w="961" w:type="dxa"/>
            <w:vAlign w:val="top"/>
          </w:tcPr>
          <w:p w14:paraId="29DF7E93">
            <w:pPr>
              <w:rPr>
                <w:rFonts w:ascii="Arial"/>
                <w:sz w:val="21"/>
              </w:rPr>
            </w:pPr>
          </w:p>
        </w:tc>
      </w:tr>
      <w:tr w14:paraId="6248BF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899" w:type="dxa"/>
            <w:vAlign w:val="top"/>
          </w:tcPr>
          <w:p w14:paraId="08562079">
            <w:pPr>
              <w:rPr>
                <w:rFonts w:ascii="Arial"/>
                <w:sz w:val="21"/>
              </w:rPr>
            </w:pPr>
          </w:p>
        </w:tc>
        <w:tc>
          <w:tcPr>
            <w:tcW w:w="1924" w:type="dxa"/>
            <w:vAlign w:val="top"/>
          </w:tcPr>
          <w:p w14:paraId="50AF7766">
            <w:pPr>
              <w:rPr>
                <w:rFonts w:ascii="Arial"/>
                <w:sz w:val="21"/>
              </w:rPr>
            </w:pPr>
          </w:p>
        </w:tc>
        <w:tc>
          <w:tcPr>
            <w:tcW w:w="2377" w:type="dxa"/>
            <w:vAlign w:val="top"/>
          </w:tcPr>
          <w:p w14:paraId="5558D530">
            <w:pPr>
              <w:rPr>
                <w:rFonts w:ascii="Arial"/>
                <w:sz w:val="21"/>
              </w:rPr>
            </w:pPr>
          </w:p>
        </w:tc>
        <w:tc>
          <w:tcPr>
            <w:tcW w:w="2377" w:type="dxa"/>
            <w:vAlign w:val="top"/>
          </w:tcPr>
          <w:p w14:paraId="03DAF08C">
            <w:pPr>
              <w:rPr>
                <w:rFonts w:ascii="Arial"/>
                <w:sz w:val="21"/>
              </w:rPr>
            </w:pPr>
          </w:p>
        </w:tc>
        <w:tc>
          <w:tcPr>
            <w:tcW w:w="956" w:type="dxa"/>
            <w:vAlign w:val="top"/>
          </w:tcPr>
          <w:p w14:paraId="2F1B6424">
            <w:pPr>
              <w:rPr>
                <w:rFonts w:ascii="Arial"/>
                <w:sz w:val="21"/>
              </w:rPr>
            </w:pPr>
          </w:p>
        </w:tc>
        <w:tc>
          <w:tcPr>
            <w:tcW w:w="961" w:type="dxa"/>
            <w:vAlign w:val="top"/>
          </w:tcPr>
          <w:p w14:paraId="74192DB8">
            <w:pPr>
              <w:rPr>
                <w:rFonts w:ascii="Arial"/>
                <w:sz w:val="21"/>
              </w:rPr>
            </w:pPr>
          </w:p>
        </w:tc>
      </w:tr>
      <w:tr w14:paraId="2CFBE3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899" w:type="dxa"/>
            <w:vAlign w:val="top"/>
          </w:tcPr>
          <w:p w14:paraId="762E649B">
            <w:pPr>
              <w:rPr>
                <w:rFonts w:ascii="Arial"/>
                <w:sz w:val="21"/>
              </w:rPr>
            </w:pPr>
          </w:p>
        </w:tc>
        <w:tc>
          <w:tcPr>
            <w:tcW w:w="1924" w:type="dxa"/>
            <w:vAlign w:val="top"/>
          </w:tcPr>
          <w:p w14:paraId="57827F93">
            <w:pPr>
              <w:rPr>
                <w:rFonts w:ascii="Arial"/>
                <w:sz w:val="21"/>
              </w:rPr>
            </w:pPr>
          </w:p>
        </w:tc>
        <w:tc>
          <w:tcPr>
            <w:tcW w:w="2377" w:type="dxa"/>
            <w:vAlign w:val="top"/>
          </w:tcPr>
          <w:p w14:paraId="58139988">
            <w:pPr>
              <w:rPr>
                <w:rFonts w:ascii="Arial"/>
                <w:sz w:val="21"/>
              </w:rPr>
            </w:pPr>
          </w:p>
        </w:tc>
        <w:tc>
          <w:tcPr>
            <w:tcW w:w="2377" w:type="dxa"/>
            <w:vAlign w:val="top"/>
          </w:tcPr>
          <w:p w14:paraId="1D102F54">
            <w:pPr>
              <w:rPr>
                <w:rFonts w:ascii="Arial"/>
                <w:sz w:val="21"/>
              </w:rPr>
            </w:pPr>
          </w:p>
        </w:tc>
        <w:tc>
          <w:tcPr>
            <w:tcW w:w="956" w:type="dxa"/>
            <w:vAlign w:val="top"/>
          </w:tcPr>
          <w:p w14:paraId="1A6C5F0D">
            <w:pPr>
              <w:rPr>
                <w:rFonts w:ascii="Arial"/>
                <w:sz w:val="21"/>
              </w:rPr>
            </w:pPr>
          </w:p>
        </w:tc>
        <w:tc>
          <w:tcPr>
            <w:tcW w:w="961" w:type="dxa"/>
            <w:vAlign w:val="top"/>
          </w:tcPr>
          <w:p w14:paraId="2D109400">
            <w:pPr>
              <w:rPr>
                <w:rFonts w:ascii="Arial"/>
                <w:sz w:val="21"/>
              </w:rPr>
            </w:pPr>
          </w:p>
        </w:tc>
      </w:tr>
      <w:tr w14:paraId="3FD718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899" w:type="dxa"/>
            <w:vAlign w:val="top"/>
          </w:tcPr>
          <w:p w14:paraId="49766BA2">
            <w:pPr>
              <w:rPr>
                <w:rFonts w:ascii="Arial"/>
                <w:sz w:val="21"/>
              </w:rPr>
            </w:pPr>
          </w:p>
        </w:tc>
        <w:tc>
          <w:tcPr>
            <w:tcW w:w="1924" w:type="dxa"/>
            <w:vAlign w:val="top"/>
          </w:tcPr>
          <w:p w14:paraId="119F3F2E">
            <w:pPr>
              <w:rPr>
                <w:rFonts w:ascii="Arial"/>
                <w:sz w:val="21"/>
              </w:rPr>
            </w:pPr>
          </w:p>
        </w:tc>
        <w:tc>
          <w:tcPr>
            <w:tcW w:w="2377" w:type="dxa"/>
            <w:vAlign w:val="top"/>
          </w:tcPr>
          <w:p w14:paraId="35F7AA3F">
            <w:pPr>
              <w:rPr>
                <w:rFonts w:ascii="Arial"/>
                <w:sz w:val="21"/>
              </w:rPr>
            </w:pPr>
          </w:p>
        </w:tc>
        <w:tc>
          <w:tcPr>
            <w:tcW w:w="2377" w:type="dxa"/>
            <w:vAlign w:val="top"/>
          </w:tcPr>
          <w:p w14:paraId="69A3B534">
            <w:pPr>
              <w:rPr>
                <w:rFonts w:ascii="Arial"/>
                <w:sz w:val="21"/>
              </w:rPr>
            </w:pPr>
          </w:p>
        </w:tc>
        <w:tc>
          <w:tcPr>
            <w:tcW w:w="956" w:type="dxa"/>
            <w:vAlign w:val="top"/>
          </w:tcPr>
          <w:p w14:paraId="7494F7B2">
            <w:pPr>
              <w:rPr>
                <w:rFonts w:ascii="Arial"/>
                <w:sz w:val="21"/>
              </w:rPr>
            </w:pPr>
          </w:p>
        </w:tc>
        <w:tc>
          <w:tcPr>
            <w:tcW w:w="961" w:type="dxa"/>
            <w:vAlign w:val="top"/>
          </w:tcPr>
          <w:p w14:paraId="498A0C7F">
            <w:pPr>
              <w:rPr>
                <w:rFonts w:ascii="Arial"/>
                <w:sz w:val="21"/>
              </w:rPr>
            </w:pPr>
          </w:p>
        </w:tc>
      </w:tr>
      <w:tr w14:paraId="088624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899" w:type="dxa"/>
            <w:vAlign w:val="top"/>
          </w:tcPr>
          <w:p w14:paraId="6F7B803A">
            <w:pPr>
              <w:rPr>
                <w:rFonts w:ascii="Arial"/>
                <w:sz w:val="21"/>
              </w:rPr>
            </w:pPr>
          </w:p>
        </w:tc>
        <w:tc>
          <w:tcPr>
            <w:tcW w:w="1924" w:type="dxa"/>
            <w:vAlign w:val="top"/>
          </w:tcPr>
          <w:p w14:paraId="4A5E46FD">
            <w:pPr>
              <w:rPr>
                <w:rFonts w:ascii="Arial"/>
                <w:sz w:val="21"/>
              </w:rPr>
            </w:pPr>
          </w:p>
        </w:tc>
        <w:tc>
          <w:tcPr>
            <w:tcW w:w="2377" w:type="dxa"/>
            <w:vAlign w:val="top"/>
          </w:tcPr>
          <w:p w14:paraId="453CFA71">
            <w:pPr>
              <w:rPr>
                <w:rFonts w:ascii="Arial"/>
                <w:sz w:val="21"/>
              </w:rPr>
            </w:pPr>
          </w:p>
        </w:tc>
        <w:tc>
          <w:tcPr>
            <w:tcW w:w="2377" w:type="dxa"/>
            <w:vAlign w:val="top"/>
          </w:tcPr>
          <w:p w14:paraId="66330C00">
            <w:pPr>
              <w:rPr>
                <w:rFonts w:ascii="Arial"/>
                <w:sz w:val="21"/>
              </w:rPr>
            </w:pPr>
          </w:p>
        </w:tc>
        <w:tc>
          <w:tcPr>
            <w:tcW w:w="956" w:type="dxa"/>
            <w:vAlign w:val="top"/>
          </w:tcPr>
          <w:p w14:paraId="138C07FA">
            <w:pPr>
              <w:rPr>
                <w:rFonts w:ascii="Arial"/>
                <w:sz w:val="21"/>
              </w:rPr>
            </w:pPr>
          </w:p>
        </w:tc>
        <w:tc>
          <w:tcPr>
            <w:tcW w:w="961" w:type="dxa"/>
            <w:vAlign w:val="top"/>
          </w:tcPr>
          <w:p w14:paraId="147D51DF">
            <w:pPr>
              <w:rPr>
                <w:rFonts w:ascii="Arial"/>
                <w:sz w:val="21"/>
              </w:rPr>
            </w:pPr>
          </w:p>
        </w:tc>
      </w:tr>
      <w:tr w14:paraId="5BD12A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899" w:type="dxa"/>
            <w:vAlign w:val="top"/>
          </w:tcPr>
          <w:p w14:paraId="5BF41BDF">
            <w:pPr>
              <w:rPr>
                <w:rFonts w:ascii="Arial"/>
                <w:sz w:val="21"/>
              </w:rPr>
            </w:pPr>
          </w:p>
        </w:tc>
        <w:tc>
          <w:tcPr>
            <w:tcW w:w="1924" w:type="dxa"/>
            <w:vAlign w:val="top"/>
          </w:tcPr>
          <w:p w14:paraId="56B66714">
            <w:pPr>
              <w:rPr>
                <w:rFonts w:ascii="Arial"/>
                <w:sz w:val="21"/>
              </w:rPr>
            </w:pPr>
          </w:p>
        </w:tc>
        <w:tc>
          <w:tcPr>
            <w:tcW w:w="2377" w:type="dxa"/>
            <w:vAlign w:val="top"/>
          </w:tcPr>
          <w:p w14:paraId="19811A82">
            <w:pPr>
              <w:rPr>
                <w:rFonts w:ascii="Arial"/>
                <w:sz w:val="21"/>
              </w:rPr>
            </w:pPr>
          </w:p>
        </w:tc>
        <w:tc>
          <w:tcPr>
            <w:tcW w:w="2377" w:type="dxa"/>
            <w:vAlign w:val="top"/>
          </w:tcPr>
          <w:p w14:paraId="29122BBC">
            <w:pPr>
              <w:rPr>
                <w:rFonts w:ascii="Arial"/>
                <w:sz w:val="21"/>
              </w:rPr>
            </w:pPr>
          </w:p>
        </w:tc>
        <w:tc>
          <w:tcPr>
            <w:tcW w:w="956" w:type="dxa"/>
            <w:vAlign w:val="top"/>
          </w:tcPr>
          <w:p w14:paraId="60E6F022">
            <w:pPr>
              <w:rPr>
                <w:rFonts w:ascii="Arial"/>
                <w:sz w:val="21"/>
              </w:rPr>
            </w:pPr>
          </w:p>
        </w:tc>
        <w:tc>
          <w:tcPr>
            <w:tcW w:w="961" w:type="dxa"/>
            <w:vAlign w:val="top"/>
          </w:tcPr>
          <w:p w14:paraId="04F87A7F">
            <w:pPr>
              <w:rPr>
                <w:rFonts w:ascii="Arial"/>
                <w:sz w:val="21"/>
              </w:rPr>
            </w:pPr>
          </w:p>
        </w:tc>
      </w:tr>
      <w:tr w14:paraId="69695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899" w:type="dxa"/>
            <w:vAlign w:val="top"/>
          </w:tcPr>
          <w:p w14:paraId="1C11B21B">
            <w:pPr>
              <w:rPr>
                <w:rFonts w:ascii="Arial"/>
                <w:sz w:val="21"/>
              </w:rPr>
            </w:pPr>
          </w:p>
        </w:tc>
        <w:tc>
          <w:tcPr>
            <w:tcW w:w="1924" w:type="dxa"/>
            <w:vAlign w:val="top"/>
          </w:tcPr>
          <w:p w14:paraId="483A011F">
            <w:pPr>
              <w:rPr>
                <w:rFonts w:ascii="Arial"/>
                <w:sz w:val="21"/>
              </w:rPr>
            </w:pPr>
          </w:p>
        </w:tc>
        <w:tc>
          <w:tcPr>
            <w:tcW w:w="2377" w:type="dxa"/>
            <w:vAlign w:val="top"/>
          </w:tcPr>
          <w:p w14:paraId="7EB8A774">
            <w:pPr>
              <w:rPr>
                <w:rFonts w:ascii="Arial"/>
                <w:sz w:val="21"/>
              </w:rPr>
            </w:pPr>
          </w:p>
        </w:tc>
        <w:tc>
          <w:tcPr>
            <w:tcW w:w="2377" w:type="dxa"/>
            <w:vAlign w:val="top"/>
          </w:tcPr>
          <w:p w14:paraId="268F2152">
            <w:pPr>
              <w:rPr>
                <w:rFonts w:ascii="Arial"/>
                <w:sz w:val="21"/>
              </w:rPr>
            </w:pPr>
          </w:p>
        </w:tc>
        <w:tc>
          <w:tcPr>
            <w:tcW w:w="956" w:type="dxa"/>
            <w:vAlign w:val="top"/>
          </w:tcPr>
          <w:p w14:paraId="4C4E83A8">
            <w:pPr>
              <w:rPr>
                <w:rFonts w:ascii="Arial"/>
                <w:sz w:val="21"/>
              </w:rPr>
            </w:pPr>
          </w:p>
        </w:tc>
        <w:tc>
          <w:tcPr>
            <w:tcW w:w="961" w:type="dxa"/>
            <w:vAlign w:val="top"/>
          </w:tcPr>
          <w:p w14:paraId="72C04720">
            <w:pPr>
              <w:rPr>
                <w:rFonts w:ascii="Arial"/>
                <w:sz w:val="21"/>
              </w:rPr>
            </w:pPr>
          </w:p>
        </w:tc>
      </w:tr>
      <w:tr w14:paraId="1456C3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899" w:type="dxa"/>
            <w:vAlign w:val="top"/>
          </w:tcPr>
          <w:p w14:paraId="624BFFCE">
            <w:pPr>
              <w:rPr>
                <w:rFonts w:ascii="Arial"/>
                <w:sz w:val="21"/>
              </w:rPr>
            </w:pPr>
          </w:p>
        </w:tc>
        <w:tc>
          <w:tcPr>
            <w:tcW w:w="1924" w:type="dxa"/>
            <w:vAlign w:val="top"/>
          </w:tcPr>
          <w:p w14:paraId="13DFA1B0">
            <w:pPr>
              <w:rPr>
                <w:rFonts w:ascii="Arial"/>
                <w:sz w:val="21"/>
              </w:rPr>
            </w:pPr>
          </w:p>
        </w:tc>
        <w:tc>
          <w:tcPr>
            <w:tcW w:w="2377" w:type="dxa"/>
            <w:vAlign w:val="top"/>
          </w:tcPr>
          <w:p w14:paraId="13C61C47">
            <w:pPr>
              <w:rPr>
                <w:rFonts w:ascii="Arial"/>
                <w:sz w:val="21"/>
              </w:rPr>
            </w:pPr>
          </w:p>
        </w:tc>
        <w:tc>
          <w:tcPr>
            <w:tcW w:w="2377" w:type="dxa"/>
            <w:vAlign w:val="top"/>
          </w:tcPr>
          <w:p w14:paraId="48A653F5">
            <w:pPr>
              <w:rPr>
                <w:rFonts w:ascii="Arial"/>
                <w:sz w:val="21"/>
              </w:rPr>
            </w:pPr>
          </w:p>
        </w:tc>
        <w:tc>
          <w:tcPr>
            <w:tcW w:w="956" w:type="dxa"/>
            <w:vAlign w:val="top"/>
          </w:tcPr>
          <w:p w14:paraId="01CBE153">
            <w:pPr>
              <w:rPr>
                <w:rFonts w:ascii="Arial"/>
                <w:sz w:val="21"/>
              </w:rPr>
            </w:pPr>
          </w:p>
        </w:tc>
        <w:tc>
          <w:tcPr>
            <w:tcW w:w="961" w:type="dxa"/>
            <w:vAlign w:val="top"/>
          </w:tcPr>
          <w:p w14:paraId="6533ABE8">
            <w:pPr>
              <w:rPr>
                <w:rFonts w:ascii="Arial"/>
                <w:sz w:val="21"/>
              </w:rPr>
            </w:pPr>
          </w:p>
        </w:tc>
      </w:tr>
      <w:tr w14:paraId="1E885E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899" w:type="dxa"/>
            <w:vAlign w:val="top"/>
          </w:tcPr>
          <w:p w14:paraId="6A1E1F0E">
            <w:pPr>
              <w:rPr>
                <w:rFonts w:ascii="Arial"/>
                <w:sz w:val="21"/>
              </w:rPr>
            </w:pPr>
          </w:p>
        </w:tc>
        <w:tc>
          <w:tcPr>
            <w:tcW w:w="1924" w:type="dxa"/>
            <w:vAlign w:val="top"/>
          </w:tcPr>
          <w:p w14:paraId="7B961E8F">
            <w:pPr>
              <w:rPr>
                <w:rFonts w:ascii="Arial"/>
                <w:sz w:val="21"/>
              </w:rPr>
            </w:pPr>
          </w:p>
        </w:tc>
        <w:tc>
          <w:tcPr>
            <w:tcW w:w="2377" w:type="dxa"/>
            <w:vAlign w:val="top"/>
          </w:tcPr>
          <w:p w14:paraId="3E2CF42F">
            <w:pPr>
              <w:rPr>
                <w:rFonts w:ascii="Arial"/>
                <w:sz w:val="21"/>
              </w:rPr>
            </w:pPr>
          </w:p>
        </w:tc>
        <w:tc>
          <w:tcPr>
            <w:tcW w:w="2377" w:type="dxa"/>
            <w:vAlign w:val="top"/>
          </w:tcPr>
          <w:p w14:paraId="511119F6">
            <w:pPr>
              <w:rPr>
                <w:rFonts w:ascii="Arial"/>
                <w:sz w:val="21"/>
              </w:rPr>
            </w:pPr>
          </w:p>
        </w:tc>
        <w:tc>
          <w:tcPr>
            <w:tcW w:w="956" w:type="dxa"/>
            <w:vAlign w:val="top"/>
          </w:tcPr>
          <w:p w14:paraId="1DD2D952">
            <w:pPr>
              <w:rPr>
                <w:rFonts w:ascii="Arial"/>
                <w:sz w:val="21"/>
              </w:rPr>
            </w:pPr>
          </w:p>
        </w:tc>
        <w:tc>
          <w:tcPr>
            <w:tcW w:w="961" w:type="dxa"/>
            <w:vAlign w:val="top"/>
          </w:tcPr>
          <w:p w14:paraId="7F3E3840">
            <w:pPr>
              <w:rPr>
                <w:rFonts w:ascii="Arial"/>
                <w:sz w:val="21"/>
              </w:rPr>
            </w:pPr>
          </w:p>
        </w:tc>
      </w:tr>
      <w:tr w14:paraId="3355DF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899" w:type="dxa"/>
            <w:vAlign w:val="top"/>
          </w:tcPr>
          <w:p w14:paraId="0F96BD0E">
            <w:pPr>
              <w:rPr>
                <w:rFonts w:ascii="Arial"/>
                <w:sz w:val="21"/>
              </w:rPr>
            </w:pPr>
          </w:p>
        </w:tc>
        <w:tc>
          <w:tcPr>
            <w:tcW w:w="1924" w:type="dxa"/>
            <w:vAlign w:val="top"/>
          </w:tcPr>
          <w:p w14:paraId="07FA677F">
            <w:pPr>
              <w:rPr>
                <w:rFonts w:ascii="Arial"/>
                <w:sz w:val="21"/>
              </w:rPr>
            </w:pPr>
          </w:p>
        </w:tc>
        <w:tc>
          <w:tcPr>
            <w:tcW w:w="2377" w:type="dxa"/>
            <w:vAlign w:val="top"/>
          </w:tcPr>
          <w:p w14:paraId="129E3DE9">
            <w:pPr>
              <w:rPr>
                <w:rFonts w:ascii="Arial"/>
                <w:sz w:val="21"/>
              </w:rPr>
            </w:pPr>
          </w:p>
        </w:tc>
        <w:tc>
          <w:tcPr>
            <w:tcW w:w="2377" w:type="dxa"/>
            <w:vAlign w:val="top"/>
          </w:tcPr>
          <w:p w14:paraId="26DC0D23">
            <w:pPr>
              <w:rPr>
                <w:rFonts w:ascii="Arial"/>
                <w:sz w:val="21"/>
              </w:rPr>
            </w:pPr>
          </w:p>
        </w:tc>
        <w:tc>
          <w:tcPr>
            <w:tcW w:w="956" w:type="dxa"/>
            <w:vAlign w:val="top"/>
          </w:tcPr>
          <w:p w14:paraId="262C9797">
            <w:pPr>
              <w:rPr>
                <w:rFonts w:ascii="Arial"/>
                <w:sz w:val="21"/>
              </w:rPr>
            </w:pPr>
          </w:p>
        </w:tc>
        <w:tc>
          <w:tcPr>
            <w:tcW w:w="961" w:type="dxa"/>
            <w:vAlign w:val="top"/>
          </w:tcPr>
          <w:p w14:paraId="52A62631">
            <w:pPr>
              <w:rPr>
                <w:rFonts w:ascii="Arial"/>
                <w:sz w:val="21"/>
              </w:rPr>
            </w:pPr>
          </w:p>
        </w:tc>
      </w:tr>
      <w:tr w14:paraId="4242AD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899" w:type="dxa"/>
            <w:vAlign w:val="top"/>
          </w:tcPr>
          <w:p w14:paraId="62128BAF">
            <w:pPr>
              <w:rPr>
                <w:rFonts w:ascii="Arial"/>
                <w:sz w:val="21"/>
              </w:rPr>
            </w:pPr>
          </w:p>
        </w:tc>
        <w:tc>
          <w:tcPr>
            <w:tcW w:w="1924" w:type="dxa"/>
            <w:vAlign w:val="top"/>
          </w:tcPr>
          <w:p w14:paraId="344D116C">
            <w:pPr>
              <w:rPr>
                <w:rFonts w:ascii="Arial"/>
                <w:sz w:val="21"/>
              </w:rPr>
            </w:pPr>
          </w:p>
        </w:tc>
        <w:tc>
          <w:tcPr>
            <w:tcW w:w="2377" w:type="dxa"/>
            <w:vAlign w:val="top"/>
          </w:tcPr>
          <w:p w14:paraId="644DE26B">
            <w:pPr>
              <w:rPr>
                <w:rFonts w:ascii="Arial"/>
                <w:sz w:val="21"/>
              </w:rPr>
            </w:pPr>
          </w:p>
        </w:tc>
        <w:tc>
          <w:tcPr>
            <w:tcW w:w="2377" w:type="dxa"/>
            <w:vAlign w:val="top"/>
          </w:tcPr>
          <w:p w14:paraId="7A9EE74E">
            <w:pPr>
              <w:rPr>
                <w:rFonts w:ascii="Arial"/>
                <w:sz w:val="21"/>
              </w:rPr>
            </w:pPr>
          </w:p>
        </w:tc>
        <w:tc>
          <w:tcPr>
            <w:tcW w:w="956" w:type="dxa"/>
            <w:vAlign w:val="top"/>
          </w:tcPr>
          <w:p w14:paraId="2C4BBC87">
            <w:pPr>
              <w:rPr>
                <w:rFonts w:ascii="Arial"/>
                <w:sz w:val="21"/>
              </w:rPr>
            </w:pPr>
          </w:p>
        </w:tc>
        <w:tc>
          <w:tcPr>
            <w:tcW w:w="961" w:type="dxa"/>
            <w:vAlign w:val="top"/>
          </w:tcPr>
          <w:p w14:paraId="5ED97A01">
            <w:pPr>
              <w:rPr>
                <w:rFonts w:ascii="Arial"/>
                <w:sz w:val="21"/>
              </w:rPr>
            </w:pPr>
          </w:p>
        </w:tc>
      </w:tr>
      <w:tr w14:paraId="4AA1C0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899" w:type="dxa"/>
            <w:vAlign w:val="top"/>
          </w:tcPr>
          <w:p w14:paraId="7F8DAAE7">
            <w:pPr>
              <w:rPr>
                <w:rFonts w:ascii="Arial"/>
                <w:sz w:val="21"/>
              </w:rPr>
            </w:pPr>
          </w:p>
        </w:tc>
        <w:tc>
          <w:tcPr>
            <w:tcW w:w="1924" w:type="dxa"/>
            <w:vAlign w:val="top"/>
          </w:tcPr>
          <w:p w14:paraId="712F03CD">
            <w:pPr>
              <w:rPr>
                <w:rFonts w:ascii="Arial"/>
                <w:sz w:val="21"/>
              </w:rPr>
            </w:pPr>
          </w:p>
        </w:tc>
        <w:tc>
          <w:tcPr>
            <w:tcW w:w="2377" w:type="dxa"/>
            <w:vAlign w:val="top"/>
          </w:tcPr>
          <w:p w14:paraId="783EE6CB">
            <w:pPr>
              <w:rPr>
                <w:rFonts w:ascii="Arial"/>
                <w:sz w:val="21"/>
              </w:rPr>
            </w:pPr>
          </w:p>
        </w:tc>
        <w:tc>
          <w:tcPr>
            <w:tcW w:w="2377" w:type="dxa"/>
            <w:vAlign w:val="top"/>
          </w:tcPr>
          <w:p w14:paraId="19EE73DE">
            <w:pPr>
              <w:rPr>
                <w:rFonts w:ascii="Arial"/>
                <w:sz w:val="21"/>
              </w:rPr>
            </w:pPr>
          </w:p>
        </w:tc>
        <w:tc>
          <w:tcPr>
            <w:tcW w:w="956" w:type="dxa"/>
            <w:vAlign w:val="top"/>
          </w:tcPr>
          <w:p w14:paraId="06FDDF6E">
            <w:pPr>
              <w:rPr>
                <w:rFonts w:ascii="Arial"/>
                <w:sz w:val="21"/>
              </w:rPr>
            </w:pPr>
          </w:p>
        </w:tc>
        <w:tc>
          <w:tcPr>
            <w:tcW w:w="961" w:type="dxa"/>
            <w:vAlign w:val="top"/>
          </w:tcPr>
          <w:p w14:paraId="083DE97E">
            <w:pPr>
              <w:rPr>
                <w:rFonts w:ascii="Arial"/>
                <w:sz w:val="21"/>
              </w:rPr>
            </w:pPr>
          </w:p>
        </w:tc>
      </w:tr>
      <w:tr w14:paraId="327EF6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899" w:type="dxa"/>
            <w:vAlign w:val="top"/>
          </w:tcPr>
          <w:p w14:paraId="62C51634">
            <w:pPr>
              <w:rPr>
                <w:rFonts w:ascii="Arial"/>
                <w:sz w:val="21"/>
              </w:rPr>
            </w:pPr>
          </w:p>
        </w:tc>
        <w:tc>
          <w:tcPr>
            <w:tcW w:w="1924" w:type="dxa"/>
            <w:vAlign w:val="top"/>
          </w:tcPr>
          <w:p w14:paraId="0202EC52">
            <w:pPr>
              <w:rPr>
                <w:rFonts w:ascii="Arial"/>
                <w:sz w:val="21"/>
              </w:rPr>
            </w:pPr>
          </w:p>
        </w:tc>
        <w:tc>
          <w:tcPr>
            <w:tcW w:w="2377" w:type="dxa"/>
            <w:vAlign w:val="top"/>
          </w:tcPr>
          <w:p w14:paraId="35AFCE2D">
            <w:pPr>
              <w:rPr>
                <w:rFonts w:ascii="Arial"/>
                <w:sz w:val="21"/>
              </w:rPr>
            </w:pPr>
          </w:p>
        </w:tc>
        <w:tc>
          <w:tcPr>
            <w:tcW w:w="2377" w:type="dxa"/>
            <w:vAlign w:val="top"/>
          </w:tcPr>
          <w:p w14:paraId="7499734B">
            <w:pPr>
              <w:rPr>
                <w:rFonts w:ascii="Arial"/>
                <w:sz w:val="21"/>
              </w:rPr>
            </w:pPr>
          </w:p>
        </w:tc>
        <w:tc>
          <w:tcPr>
            <w:tcW w:w="956" w:type="dxa"/>
            <w:vAlign w:val="top"/>
          </w:tcPr>
          <w:p w14:paraId="6AF65A5E">
            <w:pPr>
              <w:rPr>
                <w:rFonts w:ascii="Arial"/>
                <w:sz w:val="21"/>
              </w:rPr>
            </w:pPr>
          </w:p>
        </w:tc>
        <w:tc>
          <w:tcPr>
            <w:tcW w:w="961" w:type="dxa"/>
            <w:vAlign w:val="top"/>
          </w:tcPr>
          <w:p w14:paraId="23A6C688">
            <w:pPr>
              <w:rPr>
                <w:rFonts w:ascii="Arial"/>
                <w:sz w:val="21"/>
              </w:rPr>
            </w:pPr>
          </w:p>
        </w:tc>
      </w:tr>
      <w:tr w14:paraId="316EA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899" w:type="dxa"/>
            <w:vAlign w:val="top"/>
          </w:tcPr>
          <w:p w14:paraId="2BF0FA8E">
            <w:pPr>
              <w:rPr>
                <w:rFonts w:ascii="Arial"/>
                <w:sz w:val="21"/>
              </w:rPr>
            </w:pPr>
          </w:p>
        </w:tc>
        <w:tc>
          <w:tcPr>
            <w:tcW w:w="1924" w:type="dxa"/>
            <w:vAlign w:val="top"/>
          </w:tcPr>
          <w:p w14:paraId="27B766AA">
            <w:pPr>
              <w:rPr>
                <w:rFonts w:ascii="Arial"/>
                <w:sz w:val="21"/>
              </w:rPr>
            </w:pPr>
          </w:p>
        </w:tc>
        <w:tc>
          <w:tcPr>
            <w:tcW w:w="2377" w:type="dxa"/>
            <w:vAlign w:val="top"/>
          </w:tcPr>
          <w:p w14:paraId="2327DA26">
            <w:pPr>
              <w:rPr>
                <w:rFonts w:ascii="Arial"/>
                <w:sz w:val="21"/>
              </w:rPr>
            </w:pPr>
          </w:p>
        </w:tc>
        <w:tc>
          <w:tcPr>
            <w:tcW w:w="2377" w:type="dxa"/>
            <w:vAlign w:val="top"/>
          </w:tcPr>
          <w:p w14:paraId="72F256D4">
            <w:pPr>
              <w:rPr>
                <w:rFonts w:ascii="Arial"/>
                <w:sz w:val="21"/>
              </w:rPr>
            </w:pPr>
          </w:p>
        </w:tc>
        <w:tc>
          <w:tcPr>
            <w:tcW w:w="956" w:type="dxa"/>
            <w:vAlign w:val="top"/>
          </w:tcPr>
          <w:p w14:paraId="45A9FF6B">
            <w:pPr>
              <w:rPr>
                <w:rFonts w:ascii="Arial"/>
                <w:sz w:val="21"/>
              </w:rPr>
            </w:pPr>
          </w:p>
        </w:tc>
        <w:tc>
          <w:tcPr>
            <w:tcW w:w="961" w:type="dxa"/>
            <w:vAlign w:val="top"/>
          </w:tcPr>
          <w:p w14:paraId="3745E23A">
            <w:pPr>
              <w:rPr>
                <w:rFonts w:ascii="Arial"/>
                <w:sz w:val="21"/>
              </w:rPr>
            </w:pPr>
          </w:p>
        </w:tc>
      </w:tr>
    </w:tbl>
    <w:p w14:paraId="4B374D82">
      <w:pPr>
        <w:pStyle w:val="7"/>
        <w:spacing w:line="273" w:lineRule="auto"/>
      </w:pPr>
    </w:p>
    <w:p w14:paraId="46BF0726">
      <w:pPr>
        <w:pStyle w:val="7"/>
        <w:spacing w:line="273" w:lineRule="auto"/>
      </w:pPr>
    </w:p>
    <w:p w14:paraId="1A624195">
      <w:pPr>
        <w:pStyle w:val="7"/>
        <w:spacing w:line="274" w:lineRule="auto"/>
      </w:pPr>
    </w:p>
    <w:p w14:paraId="1BDB4B40">
      <w:pPr>
        <w:spacing w:before="103" w:line="184" w:lineRule="auto"/>
        <w:ind w:left="423"/>
        <w:rPr>
          <w:rFonts w:ascii="微软雅黑" w:hAnsi="微软雅黑" w:eastAsia="微软雅黑" w:cs="微软雅黑"/>
          <w:sz w:val="24"/>
          <w:szCs w:val="24"/>
        </w:rPr>
      </w:pPr>
      <w:r>
        <w:rPr>
          <w:rFonts w:ascii="微软雅黑" w:hAnsi="微软雅黑" w:eastAsia="微软雅黑" w:cs="微软雅黑"/>
          <w:spacing w:val="-3"/>
          <w:sz w:val="24"/>
          <w:szCs w:val="24"/>
        </w:rPr>
        <w:t>法定代表人或其委托代理人（签字或盖章</w:t>
      </w:r>
      <w:r>
        <w:rPr>
          <w:rFonts w:ascii="微软雅黑" w:hAnsi="微软雅黑" w:eastAsia="微软雅黑" w:cs="微软雅黑"/>
          <w:spacing w:val="3"/>
          <w:sz w:val="24"/>
          <w:szCs w:val="24"/>
        </w:rPr>
        <w:t>）：</w:t>
      </w:r>
    </w:p>
    <w:p w14:paraId="4B990456">
      <w:pPr>
        <w:spacing w:before="95" w:line="184" w:lineRule="auto"/>
        <w:ind w:left="420"/>
        <w:rPr>
          <w:rFonts w:ascii="微软雅黑" w:hAnsi="微软雅黑" w:eastAsia="微软雅黑" w:cs="微软雅黑"/>
          <w:sz w:val="24"/>
          <w:szCs w:val="24"/>
        </w:rPr>
      </w:pPr>
      <w:r>
        <w:rPr>
          <w:rFonts w:ascii="微软雅黑" w:hAnsi="微软雅黑" w:eastAsia="微软雅黑" w:cs="微软雅黑"/>
          <w:spacing w:val="-1"/>
          <w:sz w:val="24"/>
          <w:szCs w:val="24"/>
        </w:rPr>
        <w:t>供应商（公章）:</w:t>
      </w:r>
    </w:p>
    <w:p w14:paraId="570373D0">
      <w:pPr>
        <w:spacing w:line="184" w:lineRule="auto"/>
        <w:rPr>
          <w:rFonts w:ascii="微软雅黑" w:hAnsi="微软雅黑" w:eastAsia="微软雅黑" w:cs="微软雅黑"/>
          <w:sz w:val="24"/>
          <w:szCs w:val="24"/>
        </w:rPr>
        <w:sectPr>
          <w:footerReference r:id="rId33" w:type="default"/>
          <w:pgSz w:w="11905" w:h="16839"/>
          <w:pgMar w:top="1431" w:right="1200" w:bottom="1197" w:left="1200" w:header="0" w:footer="963" w:gutter="0"/>
          <w:pgNumType w:fmt="decimal"/>
          <w:cols w:space="720" w:num="1"/>
        </w:sectPr>
      </w:pPr>
    </w:p>
    <w:p w14:paraId="0236B96F">
      <w:pPr>
        <w:pStyle w:val="7"/>
      </w:pPr>
    </w:p>
    <w:p w14:paraId="61C3BE0D"/>
    <w:p w14:paraId="79DB0B4B">
      <w:pPr>
        <w:bidi w:val="0"/>
        <w:rPr>
          <w:rFonts w:ascii="Arial" w:hAnsi="Arial" w:eastAsia="Arial" w:cs="Arial"/>
          <w:snapToGrid w:val="0"/>
          <w:color w:val="000000"/>
          <w:kern w:val="0"/>
          <w:sz w:val="21"/>
          <w:szCs w:val="21"/>
          <w:lang w:val="en-US" w:eastAsia="en-US" w:bidi="ar-SA"/>
        </w:rPr>
      </w:pPr>
    </w:p>
    <w:p w14:paraId="463461B9">
      <w:pPr>
        <w:spacing w:before="103" w:line="229" w:lineRule="auto"/>
        <w:rPr>
          <w:rFonts w:ascii="微软雅黑" w:hAnsi="微软雅黑" w:eastAsia="微软雅黑" w:cs="微软雅黑"/>
          <w:sz w:val="24"/>
          <w:szCs w:val="24"/>
        </w:rPr>
      </w:pPr>
      <w:bookmarkStart w:id="77" w:name="bookmark23"/>
      <w:bookmarkEnd w:id="77"/>
      <w:r>
        <w:rPr>
          <w:rFonts w:ascii="微软雅黑" w:hAnsi="微软雅黑" w:eastAsia="微软雅黑" w:cs="微软雅黑"/>
          <w:b/>
          <w:bCs/>
          <w:spacing w:val="-2"/>
          <w:sz w:val="24"/>
          <w:szCs w:val="24"/>
        </w:rPr>
        <w:t>5、</w:t>
      </w:r>
      <w:r>
        <w:rPr>
          <w:rFonts w:ascii="微软雅黑" w:hAnsi="微软雅黑" w:eastAsia="微软雅黑" w:cs="微软雅黑"/>
          <w:b/>
          <w:bCs/>
          <w:spacing w:val="53"/>
          <w:sz w:val="24"/>
          <w:szCs w:val="24"/>
        </w:rPr>
        <w:t xml:space="preserve"> </w:t>
      </w:r>
      <w:r>
        <w:rPr>
          <w:rFonts w:ascii="微软雅黑" w:hAnsi="微软雅黑" w:eastAsia="微软雅黑" w:cs="微软雅黑"/>
          <w:b/>
          <w:bCs/>
          <w:spacing w:val="-2"/>
          <w:sz w:val="24"/>
          <w:szCs w:val="24"/>
        </w:rPr>
        <w:t>残疾人福利性单位声明函</w:t>
      </w:r>
    </w:p>
    <w:p w14:paraId="12F495A2">
      <w:pPr>
        <w:pStyle w:val="7"/>
        <w:spacing w:line="387" w:lineRule="auto"/>
      </w:pPr>
    </w:p>
    <w:p w14:paraId="2FC61379">
      <w:pPr>
        <w:spacing w:before="103" w:line="231" w:lineRule="auto"/>
        <w:ind w:firstLine="568"/>
        <w:jc w:val="both"/>
        <w:rPr>
          <w:rFonts w:ascii="微软雅黑" w:hAnsi="微软雅黑" w:eastAsia="微软雅黑" w:cs="微软雅黑"/>
          <w:sz w:val="24"/>
          <w:szCs w:val="24"/>
        </w:rPr>
      </w:pPr>
      <w:r>
        <w:rPr>
          <w:rFonts w:ascii="微软雅黑" w:hAnsi="微软雅黑" w:eastAsia="微软雅黑" w:cs="微软雅黑"/>
          <w:sz w:val="24"/>
          <w:szCs w:val="24"/>
        </w:rPr>
        <w:t>本单位郑重声明，根据《财政部  民政部  中国残疾人联合会关于促进残疾人就业政府采</w:t>
      </w:r>
      <w:r>
        <w:rPr>
          <w:rFonts w:ascii="微软雅黑" w:hAnsi="微软雅黑" w:eastAsia="微软雅黑" w:cs="微软雅黑"/>
          <w:spacing w:val="8"/>
          <w:sz w:val="24"/>
          <w:szCs w:val="24"/>
        </w:rPr>
        <w:t xml:space="preserve"> </w:t>
      </w:r>
      <w:r>
        <w:rPr>
          <w:rFonts w:ascii="微软雅黑" w:hAnsi="微软雅黑" w:eastAsia="微软雅黑" w:cs="微软雅黑"/>
          <w:sz w:val="24"/>
          <w:szCs w:val="24"/>
        </w:rPr>
        <w:t>购政策的通知》（财库〔2017〕</w:t>
      </w:r>
      <w:r>
        <w:rPr>
          <w:rFonts w:ascii="微软雅黑" w:hAnsi="微软雅黑" w:eastAsia="微软雅黑" w:cs="微软雅黑"/>
          <w:spacing w:val="-29"/>
          <w:sz w:val="24"/>
          <w:szCs w:val="24"/>
        </w:rPr>
        <w:t xml:space="preserve"> </w:t>
      </w:r>
      <w:r>
        <w:rPr>
          <w:rFonts w:ascii="微软雅黑" w:hAnsi="微软雅黑" w:eastAsia="微软雅黑" w:cs="微软雅黑"/>
          <w:sz w:val="24"/>
          <w:szCs w:val="24"/>
        </w:rPr>
        <w:t xml:space="preserve">141 号）的规定，本单位为符合条件的残疾人福利性单位， </w:t>
      </w:r>
      <w:r>
        <w:rPr>
          <w:rFonts w:ascii="微软雅黑" w:hAnsi="微软雅黑" w:eastAsia="微软雅黑" w:cs="微软雅黑"/>
          <w:spacing w:val="1"/>
          <w:sz w:val="24"/>
          <w:szCs w:val="24"/>
        </w:rPr>
        <w:t>且本单位参加______单位的______项目采购活动提供本单位的服务，或者提供其他残疾人福利</w:t>
      </w:r>
      <w:r>
        <w:rPr>
          <w:rFonts w:ascii="微软雅黑" w:hAnsi="微软雅黑" w:eastAsia="微软雅黑" w:cs="微软雅黑"/>
          <w:spacing w:val="3"/>
          <w:sz w:val="24"/>
          <w:szCs w:val="24"/>
        </w:rPr>
        <w:t xml:space="preserve"> </w:t>
      </w:r>
      <w:r>
        <w:rPr>
          <w:rFonts w:ascii="微软雅黑" w:hAnsi="微软雅黑" w:eastAsia="微软雅黑" w:cs="微软雅黑"/>
          <w:spacing w:val="-2"/>
          <w:sz w:val="24"/>
          <w:szCs w:val="24"/>
        </w:rPr>
        <w:t>性单位的服务（不包括使用非残疾人福利性单位注册商标的服务）。</w:t>
      </w:r>
    </w:p>
    <w:p w14:paraId="6461CE27">
      <w:pPr>
        <w:spacing w:before="12" w:line="183" w:lineRule="auto"/>
        <w:ind w:left="540"/>
        <w:rPr>
          <w:rFonts w:ascii="微软雅黑" w:hAnsi="微软雅黑" w:eastAsia="微软雅黑" w:cs="微软雅黑"/>
          <w:sz w:val="24"/>
          <w:szCs w:val="24"/>
        </w:rPr>
      </w:pPr>
      <w:r>
        <w:rPr>
          <w:rFonts w:ascii="微软雅黑" w:hAnsi="微软雅黑" w:eastAsia="微软雅黑" w:cs="微软雅黑"/>
          <w:spacing w:val="-2"/>
          <w:sz w:val="24"/>
          <w:szCs w:val="24"/>
        </w:rPr>
        <w:t>本单位对上述声明的真实性负责。如有虚假，将依法承担相应责任。</w:t>
      </w:r>
    </w:p>
    <w:p w14:paraId="3A323877">
      <w:pPr>
        <w:pStyle w:val="7"/>
        <w:spacing w:line="258" w:lineRule="auto"/>
      </w:pPr>
    </w:p>
    <w:p w14:paraId="11F36735">
      <w:pPr>
        <w:pStyle w:val="7"/>
        <w:spacing w:line="259" w:lineRule="auto"/>
      </w:pPr>
    </w:p>
    <w:p w14:paraId="4805CE49">
      <w:pPr>
        <w:pStyle w:val="7"/>
        <w:spacing w:line="259" w:lineRule="auto"/>
      </w:pPr>
    </w:p>
    <w:p w14:paraId="536204ED">
      <w:pPr>
        <w:spacing w:before="103" w:line="184" w:lineRule="auto"/>
        <w:ind w:left="3354"/>
        <w:rPr>
          <w:rFonts w:ascii="微软雅黑" w:hAnsi="微软雅黑" w:eastAsia="微软雅黑" w:cs="微软雅黑"/>
          <w:sz w:val="24"/>
          <w:szCs w:val="24"/>
        </w:rPr>
      </w:pPr>
      <w:r>
        <w:rPr>
          <w:rFonts w:ascii="微软雅黑" w:hAnsi="微软雅黑" w:eastAsia="微软雅黑" w:cs="微软雅黑"/>
          <w:spacing w:val="-4"/>
          <w:sz w:val="24"/>
          <w:szCs w:val="24"/>
        </w:rPr>
        <w:t>残疾人福利性单位名称（公章</w:t>
      </w:r>
      <w:r>
        <w:rPr>
          <w:rFonts w:ascii="微软雅黑" w:hAnsi="微软雅黑" w:eastAsia="微软雅黑" w:cs="微软雅黑"/>
          <w:spacing w:val="2"/>
          <w:sz w:val="24"/>
          <w:szCs w:val="24"/>
        </w:rPr>
        <w:t>）：</w:t>
      </w:r>
    </w:p>
    <w:p w14:paraId="658597F2">
      <w:pPr>
        <w:tabs>
          <w:tab w:val="left" w:pos="5715"/>
        </w:tabs>
        <w:spacing w:before="91" w:line="180" w:lineRule="auto"/>
        <w:ind w:left="3879"/>
        <w:rPr>
          <w:rFonts w:ascii="微软雅黑" w:hAnsi="微软雅黑" w:eastAsia="微软雅黑" w:cs="微软雅黑"/>
          <w:sz w:val="24"/>
          <w:szCs w:val="24"/>
        </w:rPr>
      </w:pPr>
      <w:r>
        <w:rPr>
          <w:rFonts w:ascii="微软雅黑" w:hAnsi="微软雅黑" w:eastAsia="微软雅黑" w:cs="微软雅黑"/>
          <w:sz w:val="24"/>
          <w:szCs w:val="24"/>
        </w:rPr>
        <w:tab/>
      </w:r>
      <w:r>
        <w:rPr>
          <w:rFonts w:ascii="微软雅黑" w:hAnsi="微软雅黑" w:eastAsia="微软雅黑" w:cs="微软雅黑"/>
          <w:spacing w:val="-21"/>
          <w:sz w:val="24"/>
          <w:szCs w:val="24"/>
        </w:rPr>
        <w:t>日</w:t>
      </w:r>
      <w:r>
        <w:rPr>
          <w:rFonts w:ascii="微软雅黑" w:hAnsi="微软雅黑" w:eastAsia="微软雅黑" w:cs="微软雅黑"/>
          <w:spacing w:val="10"/>
          <w:sz w:val="24"/>
          <w:szCs w:val="24"/>
        </w:rPr>
        <w:t xml:space="preserve">   </w:t>
      </w:r>
      <w:r>
        <w:rPr>
          <w:rFonts w:ascii="微软雅黑" w:hAnsi="微软雅黑" w:eastAsia="微软雅黑" w:cs="微软雅黑"/>
          <w:spacing w:val="-21"/>
          <w:sz w:val="24"/>
          <w:szCs w:val="24"/>
        </w:rPr>
        <w:t>期：</w:t>
      </w:r>
    </w:p>
    <w:p w14:paraId="17DC4BDE">
      <w:pPr>
        <w:pStyle w:val="7"/>
        <w:spacing w:line="268" w:lineRule="auto"/>
      </w:pPr>
    </w:p>
    <w:p w14:paraId="6433A765">
      <w:pPr>
        <w:pStyle w:val="7"/>
        <w:spacing w:line="268" w:lineRule="auto"/>
      </w:pPr>
    </w:p>
    <w:p w14:paraId="4C16D65D">
      <w:pPr>
        <w:pStyle w:val="7"/>
        <w:spacing w:line="268" w:lineRule="auto"/>
      </w:pPr>
    </w:p>
    <w:p w14:paraId="19447BC4">
      <w:pPr>
        <w:pStyle w:val="7"/>
        <w:spacing w:line="268" w:lineRule="auto"/>
      </w:pPr>
    </w:p>
    <w:p w14:paraId="08321CCC">
      <w:pPr>
        <w:pStyle w:val="7"/>
        <w:spacing w:line="269" w:lineRule="auto"/>
      </w:pPr>
    </w:p>
    <w:p w14:paraId="58C86390">
      <w:pPr>
        <w:pStyle w:val="7"/>
        <w:spacing w:line="269" w:lineRule="auto"/>
      </w:pPr>
    </w:p>
    <w:p w14:paraId="2971E7DC">
      <w:pPr>
        <w:spacing w:before="103" w:line="183" w:lineRule="auto"/>
        <w:ind w:left="550"/>
        <w:rPr>
          <w:rFonts w:ascii="微软雅黑" w:hAnsi="微软雅黑" w:eastAsia="微软雅黑" w:cs="微软雅黑"/>
          <w:sz w:val="24"/>
          <w:szCs w:val="24"/>
        </w:rPr>
      </w:pPr>
      <w:bookmarkStart w:id="78" w:name="bookmark24"/>
      <w:bookmarkEnd w:id="78"/>
      <w:r>
        <w:rPr>
          <w:rFonts w:ascii="微软雅黑" w:hAnsi="微软雅黑" w:eastAsia="微软雅黑" w:cs="微软雅黑"/>
          <w:b/>
          <w:bCs/>
          <w:spacing w:val="-1"/>
          <w:sz w:val="24"/>
          <w:szCs w:val="24"/>
        </w:rPr>
        <w:t>6、供应商关联单位的说明</w:t>
      </w:r>
    </w:p>
    <w:p w14:paraId="00402645">
      <w:pPr>
        <w:pStyle w:val="7"/>
        <w:spacing w:line="403" w:lineRule="auto"/>
      </w:pPr>
    </w:p>
    <w:p w14:paraId="304D46E7">
      <w:pPr>
        <w:spacing w:before="104" w:line="183" w:lineRule="auto"/>
        <w:ind w:left="480"/>
        <w:rPr>
          <w:rFonts w:ascii="微软雅黑" w:hAnsi="微软雅黑" w:eastAsia="微软雅黑" w:cs="微软雅黑"/>
          <w:sz w:val="24"/>
          <w:szCs w:val="24"/>
        </w:rPr>
      </w:pPr>
      <w:r>
        <w:rPr>
          <w:rFonts w:ascii="微软雅黑" w:hAnsi="微软雅黑" w:eastAsia="微软雅黑" w:cs="微软雅黑"/>
          <w:spacing w:val="-2"/>
          <w:sz w:val="24"/>
          <w:szCs w:val="24"/>
        </w:rPr>
        <w:t>说明：供应商应当如实披露与本单位存在下列关联关系的单位名称：</w:t>
      </w:r>
    </w:p>
    <w:p w14:paraId="783F69A0">
      <w:pPr>
        <w:spacing w:before="98" w:line="183" w:lineRule="auto"/>
        <w:ind w:left="513"/>
        <w:rPr>
          <w:rFonts w:ascii="微软雅黑" w:hAnsi="微软雅黑" w:eastAsia="微软雅黑" w:cs="微软雅黑"/>
          <w:sz w:val="24"/>
          <w:szCs w:val="24"/>
        </w:rPr>
      </w:pPr>
      <w:r>
        <w:rPr>
          <w:rFonts w:ascii="微软雅黑" w:hAnsi="微软雅黑" w:eastAsia="微软雅黑" w:cs="微软雅黑"/>
          <w:spacing w:val="-4"/>
          <w:sz w:val="24"/>
          <w:szCs w:val="24"/>
        </w:rPr>
        <w:t>（1）与供应商单位负责人为同一人的其他单位；</w:t>
      </w:r>
    </w:p>
    <w:p w14:paraId="7D10BB96">
      <w:pPr>
        <w:spacing w:before="97" w:line="183" w:lineRule="auto"/>
        <w:ind w:left="993"/>
        <w:rPr>
          <w:rFonts w:ascii="微软雅黑" w:hAnsi="微软雅黑" w:eastAsia="微软雅黑" w:cs="微软雅黑"/>
          <w:sz w:val="24"/>
          <w:szCs w:val="24"/>
        </w:rPr>
      </w:pPr>
      <w:r>
        <w:rPr>
          <w:rFonts w:ascii="微软雅黑" w:hAnsi="微软雅黑" w:eastAsia="微软雅黑" w:cs="微软雅黑"/>
          <w:spacing w:val="-4"/>
          <w:sz w:val="24"/>
          <w:szCs w:val="24"/>
        </w:rPr>
        <w:t>（2）与供应商存在直接控股、管理关系的其他单位。</w:t>
      </w:r>
    </w:p>
    <w:p w14:paraId="6724D132">
      <w:pPr>
        <w:pStyle w:val="7"/>
        <w:spacing w:line="253" w:lineRule="auto"/>
      </w:pPr>
    </w:p>
    <w:p w14:paraId="4381FB58">
      <w:pPr>
        <w:pStyle w:val="7"/>
        <w:spacing w:line="253" w:lineRule="auto"/>
      </w:pPr>
    </w:p>
    <w:p w14:paraId="7F477B77">
      <w:pPr>
        <w:pStyle w:val="7"/>
        <w:spacing w:line="254" w:lineRule="auto"/>
      </w:pPr>
    </w:p>
    <w:p w14:paraId="67AEDE24">
      <w:pPr>
        <w:pStyle w:val="7"/>
        <w:spacing w:line="254" w:lineRule="auto"/>
      </w:pPr>
    </w:p>
    <w:p w14:paraId="2D9CCA4F">
      <w:pPr>
        <w:pStyle w:val="7"/>
        <w:spacing w:line="254" w:lineRule="auto"/>
      </w:pPr>
    </w:p>
    <w:p w14:paraId="0EC90D37">
      <w:pPr>
        <w:pStyle w:val="7"/>
        <w:spacing w:line="254" w:lineRule="auto"/>
      </w:pPr>
    </w:p>
    <w:p w14:paraId="23AC05ED">
      <w:pPr>
        <w:pStyle w:val="7"/>
        <w:spacing w:line="254" w:lineRule="auto"/>
      </w:pPr>
    </w:p>
    <w:p w14:paraId="7DD7CF2C">
      <w:pPr>
        <w:pStyle w:val="7"/>
        <w:spacing w:line="254" w:lineRule="auto"/>
      </w:pPr>
    </w:p>
    <w:p w14:paraId="773191DE">
      <w:pPr>
        <w:spacing w:before="104" w:line="183" w:lineRule="auto"/>
        <w:ind w:left="548"/>
        <w:rPr>
          <w:rFonts w:ascii="微软雅黑" w:hAnsi="微软雅黑" w:eastAsia="微软雅黑" w:cs="微软雅黑"/>
          <w:sz w:val="24"/>
          <w:szCs w:val="24"/>
        </w:rPr>
        <w:sectPr>
          <w:headerReference r:id="rId34" w:type="default"/>
          <w:footerReference r:id="rId35" w:type="default"/>
          <w:pgSz w:w="11905" w:h="16839"/>
          <w:pgMar w:top="400" w:right="1080" w:bottom="1197" w:left="1082" w:header="0" w:footer="963" w:gutter="0"/>
          <w:pgNumType w:fmt="decimal"/>
          <w:cols w:space="720" w:num="1"/>
        </w:sectPr>
      </w:pPr>
      <w:bookmarkStart w:id="79" w:name="bookmark25"/>
      <w:bookmarkEnd w:id="79"/>
      <w:r>
        <w:rPr>
          <w:rFonts w:ascii="微软雅黑" w:hAnsi="微软雅黑" w:eastAsia="微软雅黑" w:cs="微软雅黑"/>
          <w:b/>
          <w:bCs/>
          <w:spacing w:val="-1"/>
          <w:sz w:val="24"/>
          <w:szCs w:val="24"/>
        </w:rPr>
        <w:t>7、供应商可提供有利于投标的其他资格证明材料</w:t>
      </w:r>
    </w:p>
    <w:p w14:paraId="76E64429">
      <w:pPr>
        <w:pStyle w:val="7"/>
      </w:pPr>
    </w:p>
    <w:sectPr>
      <w:headerReference r:id="rId36" w:type="default"/>
      <w:footerReference r:id="rId37" w:type="default"/>
      <w:pgSz w:w="11905" w:h="16839"/>
      <w:pgMar w:top="400" w:right="1080" w:bottom="1197" w:left="1046" w:header="0" w:footer="963"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moder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0670AD5-F8B9-4D1B-A56E-AC4B1C08915A}"/>
  </w:font>
  <w:font w:name="黑体">
    <w:panose1 w:val="02010609060101010101"/>
    <w:charset w:val="86"/>
    <w:family w:val="auto"/>
    <w:pitch w:val="default"/>
    <w:sig w:usb0="800002BF" w:usb1="38CF7CFA" w:usb2="00000016" w:usb3="00000000" w:csb0="00040001" w:csb1="00000000"/>
    <w:embedRegular r:id="rId2" w:fontKey="{00F18B6D-C062-49EF-B68F-66CAD5090C2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3" w:fontKey="{E0C7D75A-5EAF-48F4-96E5-A71CD24DFF1A}"/>
  </w:font>
  <w:font w:name="微软雅黑">
    <w:panose1 w:val="020B0503020204020204"/>
    <w:charset w:val="86"/>
    <w:family w:val="auto"/>
    <w:pitch w:val="default"/>
    <w:sig w:usb0="80000287" w:usb1="2ACF3C50" w:usb2="00000016" w:usb3="00000000" w:csb0="0004001F" w:csb1="00000000"/>
    <w:embedRegular r:id="rId4" w:fontKey="{F94BA270-6F80-4B8A-A890-A68BEC296A40}"/>
  </w:font>
  <w:font w:name="方正小标宋_GBK">
    <w:panose1 w:val="03000509000000000000"/>
    <w:charset w:val="86"/>
    <w:family w:val="script"/>
    <w:pitch w:val="default"/>
    <w:sig w:usb0="00000001" w:usb1="080E0000" w:usb2="00000000" w:usb3="00000000" w:csb0="00040000" w:csb1="00000000"/>
    <w:embedRegular r:id="rId5" w:fontKey="{8AF27648-78EB-48DC-8DFB-981A764FBF3E}"/>
  </w:font>
  <w:font w:name="楷体">
    <w:panose1 w:val="02010609060101010101"/>
    <w:charset w:val="86"/>
    <w:family w:val="auto"/>
    <w:pitch w:val="default"/>
    <w:sig w:usb0="800002BF" w:usb1="38CF7CFA" w:usb2="00000016" w:usb3="00000000" w:csb0="00040001" w:csb1="00000000"/>
    <w:embedRegular r:id="rId6" w:fontKey="{AA27AA73-A4F9-45F9-813E-80E1BBB0AF55}"/>
  </w:font>
  <w:font w:name="仿宋_GB2312">
    <w:panose1 w:val="02010609030101010101"/>
    <w:charset w:val="86"/>
    <w:family w:val="auto"/>
    <w:pitch w:val="default"/>
    <w:sig w:usb0="00000001" w:usb1="080E0000" w:usb2="00000000" w:usb3="00000000" w:csb0="00040000" w:csb1="00000000"/>
    <w:embedRegular r:id="rId7" w:fontKey="{F32A0D9A-3BDA-499B-BC3D-C3FB25B727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1B8F4">
    <w:pPr>
      <w:pStyle w:val="9"/>
      <w:ind w:right="360" w:firstLine="360"/>
      <w:rPr>
        <w:rFonts w:hint="eastAsi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A29940">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9aMk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w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31oyTICAABlBAAADgAAAAAAAAABACAAAAAfAQAAZHJzL2Uyb0RvYy54bWxQSwUG&#10;AAAAAAYABgBZAQAAwwUAAAAA&#10;">
              <v:fill on="f" focussize="0,0"/>
              <v:stroke on="f" weight="0.5pt"/>
              <v:imagedata o:title=""/>
              <o:lock v:ext="edit" aspectratio="f"/>
              <v:textbox inset="0mm,0mm,0mm,0mm" style="mso-fit-shape-to-text:t;">
                <w:txbxContent>
                  <w:p w14:paraId="08A29940">
                    <w:pPr>
                      <w:pStyle w:val="9"/>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DFED38C">
                          <w:pPr>
                            <w:pStyle w:val="9"/>
                            <w:ind w:firstLine="0" w:firstLineChars="0"/>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&#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ixWE+tIBAACjAwAADgAAAAAAAAABACAAAAAi&#10;AQAAZHJzL2Uyb0RvYy54bWxQSwUGAAAAAAYABgBZAQAAZgUAAAAA&#10;">
              <v:fill on="f" focussize="0,0"/>
              <v:stroke on="f" weight="1.25pt"/>
              <v:imagedata o:title=""/>
              <o:lock v:ext="edit" aspectratio="f"/>
              <v:textbox inset="0mm,0mm,0mm,0mm" style="mso-fit-shape-to-text:t;">
                <w:txbxContent>
                  <w:p w14:paraId="0DFED38C">
                    <w:pPr>
                      <w:pStyle w:val="9"/>
                      <w:ind w:firstLine="0" w:firstLineChars="0"/>
                      <w:rPr>
                        <w:rFonts w:hint="eastAsia"/>
                      </w:rPr>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1294D">
    <w:pPr>
      <w:tabs>
        <w:tab w:val="left" w:pos="5245"/>
      </w:tabs>
      <w:spacing w:line="229" w:lineRule="auto"/>
      <w:ind w:left="4801"/>
      <w:rPr>
        <w:rFonts w:hint="eastAsia" w:ascii="宋体" w:hAnsi="宋体" w:eastAsia="宋体" w:cs="宋体"/>
        <w:sz w:val="18"/>
        <w:szCs w:val="18"/>
        <w:lang w:eastAsia="zh-CN"/>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F3BD2A">
                          <w:pPr>
                            <w:pStyle w:val="9"/>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kBxM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qa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uQHEzICAABjBAAADgAAAAAAAAABACAAAAAfAQAAZHJzL2Uyb0RvYy54bWxQSwUG&#10;AAAAAAYABgBZAQAAwwUAAAAA&#10;">
              <v:fill on="f" focussize="0,0"/>
              <v:stroke on="f" weight="0.5pt"/>
              <v:imagedata o:title=""/>
              <o:lock v:ext="edit" aspectratio="f"/>
              <v:textbox inset="0mm,0mm,0mm,0mm" style="mso-fit-shape-to-text:t;">
                <w:txbxContent>
                  <w:p w14:paraId="7BF3BD2A">
                    <w:pPr>
                      <w:pStyle w:val="9"/>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0D011">
    <w:pPr>
      <w:spacing w:line="229" w:lineRule="auto"/>
      <w:rPr>
        <w:rFonts w:ascii="宋体" w:hAnsi="宋体" w:eastAsia="宋体" w:cs="宋体"/>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88BAA3">
                          <w:pPr>
                            <w:pStyle w:val="9"/>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MkPw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MkPwzAgAAYwQAAA4AAAAAAAAAAQAgAAAAHwEAAGRycy9lMm9Eb2MueG1sUEsF&#10;BgAAAAAGAAYAWQEAAMQFAAAAAA==&#10;">
              <v:fill on="f" focussize="0,0"/>
              <v:stroke on="f" weight="0.5pt"/>
              <v:imagedata o:title=""/>
              <o:lock v:ext="edit" aspectratio="f"/>
              <v:textbox inset="0mm,0mm,0mm,0mm" style="mso-fit-shape-to-text:t;">
                <w:txbxContent>
                  <w:p w14:paraId="4688BAA3">
                    <w:pPr>
                      <w:pStyle w:val="9"/>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4CAFD">
    <w:pPr>
      <w:spacing w:line="230" w:lineRule="auto"/>
      <w:rPr>
        <w:rFonts w:ascii="宋体" w:hAnsi="宋体" w:eastAsia="宋体" w:cs="宋体"/>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B40F9A">
                          <w:pPr>
                            <w:pStyle w:val="9"/>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f5R8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Ef5R8zAgAAYwQAAA4AAAAAAAAAAQAgAAAAHwEAAGRycy9lMm9Eb2MueG1sUEsF&#10;BgAAAAAGAAYAWQEAAMQFAAAAAA==&#10;">
              <v:fill on="f" focussize="0,0"/>
              <v:stroke on="f" weight="0.5pt"/>
              <v:imagedata o:title=""/>
              <o:lock v:ext="edit" aspectratio="f"/>
              <v:textbox inset="0mm,0mm,0mm,0mm" style="mso-fit-shape-to-text:t;">
                <w:txbxContent>
                  <w:p w14:paraId="5CB40F9A">
                    <w:pPr>
                      <w:pStyle w:val="9"/>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02AA7">
    <w:pPr>
      <w:spacing w:line="230" w:lineRule="auto"/>
      <w:ind w:left="4788"/>
      <w:rPr>
        <w:rFonts w:ascii="宋体" w:hAnsi="宋体" w:eastAsia="宋体" w:cs="宋体"/>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DF2D92">
                          <w:pPr>
                            <w:pStyle w:val="9"/>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3cvA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3cvAzAgAAYwQAAA4AAAAAAAAAAQAgAAAAHwEAAGRycy9lMm9Eb2MueG1sUEsF&#10;BgAAAAAGAAYAWQEAAMQFAAAAAA==&#10;">
              <v:fill on="f" focussize="0,0"/>
              <v:stroke on="f" weight="0.5pt"/>
              <v:imagedata o:title=""/>
              <o:lock v:ext="edit" aspectratio="f"/>
              <v:textbox inset="0mm,0mm,0mm,0mm" style="mso-fit-shape-to-text:t;">
                <w:txbxContent>
                  <w:p w14:paraId="28DF2D92">
                    <w:pPr>
                      <w:pStyle w:val="9"/>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3F3C1">
    <w:pPr>
      <w:spacing w:line="229" w:lineRule="auto"/>
      <w:ind w:left="4788"/>
      <w:rPr>
        <w:rFonts w:ascii="宋体" w:hAnsi="宋体" w:eastAsia="宋体" w:cs="宋体"/>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7F903C">
                          <w:pPr>
                            <w:pStyle w:val="9"/>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Juxs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Em7GzICAABjBAAADgAAAAAAAAABACAAAAAfAQAAZHJzL2Uyb0RvYy54bWxQSwUG&#10;AAAAAAYABgBZAQAAwwUAAAAA&#10;">
              <v:fill on="f" focussize="0,0"/>
              <v:stroke on="f" weight="0.5pt"/>
              <v:imagedata o:title=""/>
              <o:lock v:ext="edit" aspectratio="f"/>
              <v:textbox inset="0mm,0mm,0mm,0mm" style="mso-fit-shape-to-text:t;">
                <w:txbxContent>
                  <w:p w14:paraId="637F903C">
                    <w:pPr>
                      <w:pStyle w:val="9"/>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27D51">
    <w:pPr>
      <w:spacing w:line="230" w:lineRule="auto"/>
      <w:ind w:left="4790"/>
      <w:rPr>
        <w:rFonts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46046E">
                          <w:pPr>
                            <w:pStyle w:val="9"/>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hLPQ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bhLPQzAgAAYwQAAA4AAAAAAAAAAQAgAAAAHwEAAGRycy9lMm9Eb2MueG1sUEsF&#10;BgAAAAAGAAYAWQEAAMQFAAAAAA==&#10;">
              <v:fill on="f" focussize="0,0"/>
              <v:stroke on="f" weight="0.5pt"/>
              <v:imagedata o:title=""/>
              <o:lock v:ext="edit" aspectratio="f"/>
              <v:textbox inset="0mm,0mm,0mm,0mm" style="mso-fit-shape-to-text:t;">
                <w:txbxContent>
                  <w:p w14:paraId="1546046E">
                    <w:pPr>
                      <w:pStyle w:val="9"/>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E87BA">
    <w:pPr>
      <w:spacing w:line="229" w:lineRule="auto"/>
      <w:ind w:left="4820"/>
      <w:rPr>
        <w:rFonts w:ascii="宋体" w:hAnsi="宋体" w:eastAsia="宋体" w:cs="宋体"/>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44DA6C">
                          <w:pPr>
                            <w:pStyle w:val="9"/>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IA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lB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kgBjICAABjBAAADgAAAAAAAAABACAAAAAfAQAAZHJzL2Uyb0RvYy54bWxQSwUG&#10;AAAAAAYABgBZAQAAwwUAAAAA&#10;">
              <v:fill on="f" focussize="0,0"/>
              <v:stroke on="f" weight="0.5pt"/>
              <v:imagedata o:title=""/>
              <o:lock v:ext="edit" aspectratio="f"/>
              <v:textbox inset="0mm,0mm,0mm,0mm" style="mso-fit-shape-to-text:t;">
                <w:txbxContent>
                  <w:p w14:paraId="3B44DA6C">
                    <w:pPr>
                      <w:pStyle w:val="9"/>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AFA25">
    <w:pPr>
      <w:spacing w:line="229" w:lineRule="auto"/>
      <w:ind w:left="4820"/>
      <w:rPr>
        <w:rFonts w:ascii="宋体" w:hAnsi="宋体" w:eastAsia="宋体" w:cs="宋体"/>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FFAA34">
                          <w:pPr>
                            <w:pStyle w:val="9"/>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1Bt+k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1Bt+kzAgAAYwQAAA4AAAAAAAAAAQAgAAAAHwEAAGRycy9lMm9Eb2MueG1sUEsF&#10;BgAAAAAGAAYAWQEAAMQFAAAAAA==&#10;">
              <v:fill on="f" focussize="0,0"/>
              <v:stroke on="f" weight="0.5pt"/>
              <v:imagedata o:title=""/>
              <o:lock v:ext="edit" aspectratio="f"/>
              <v:textbox inset="0mm,0mm,0mm,0mm" style="mso-fit-shape-to-text:t;">
                <w:txbxContent>
                  <w:p w14:paraId="69FFAA34">
                    <w:pPr>
                      <w:pStyle w:val="9"/>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529A1">
    <w:pPr>
      <w:spacing w:line="229" w:lineRule="auto"/>
      <w:rPr>
        <w:rFonts w:ascii="宋体" w:hAnsi="宋体" w:eastAsia="宋体" w:cs="宋体"/>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A8F436">
                          <w:pPr>
                            <w:pStyle w:val="9"/>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FZI8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FZI8zAgAAYwQAAA4AAAAAAAAAAQAgAAAAHwEAAGRycy9lMm9Eb2MueG1sUEsF&#10;BgAAAAAGAAYAWQEAAMQFAAAAAA==&#10;">
              <v:fill on="f" focussize="0,0"/>
              <v:stroke on="f" weight="0.5pt"/>
              <v:imagedata o:title=""/>
              <o:lock v:ext="edit" aspectratio="f"/>
              <v:textbox inset="0mm,0mm,0mm,0mm" style="mso-fit-shape-to-text:t;">
                <w:txbxContent>
                  <w:p w14:paraId="19A8F436">
                    <w:pPr>
                      <w:pStyle w:val="9"/>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B2CC1">
    <w:pPr>
      <w:spacing w:line="229" w:lineRule="auto"/>
      <w:ind w:left="4790"/>
      <w:rPr>
        <w:rFonts w:ascii="宋体" w:hAnsi="宋体" w:eastAsia="宋体" w:cs="宋体"/>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8CA101">
                          <w:pPr>
                            <w:pStyle w:val="9"/>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82AzAgAAYw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82AzAgAAYwQAAA4AAAAAAAAAAQAgAAAAHwEAAGRycy9lMm9Eb2MueG1sUEsF&#10;BgAAAAAGAAYAWQEAAMQFAAAAAA==&#10;">
              <v:fill on="f" focussize="0,0"/>
              <v:stroke on="f" weight="0.5pt"/>
              <v:imagedata o:title=""/>
              <o:lock v:ext="edit" aspectratio="f"/>
              <v:textbox inset="0mm,0mm,0mm,0mm" style="mso-fit-shape-to-text:t;">
                <w:txbxContent>
                  <w:p w14:paraId="5A8CA101">
                    <w:pPr>
                      <w:pStyle w:val="9"/>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B8666">
    <w:pPr>
      <w:pStyle w:val="9"/>
      <w:ind w:right="360" w:firstLine="360"/>
      <w:rPr>
        <w:rFonts w:hint="eastAsia"/>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240836">
                          <w:pPr>
                            <w:pStyle w:val="9"/>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rc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m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urczAgAAZQQAAA4AAAAAAAAAAQAgAAAAHwEAAGRycy9lMm9Eb2MueG1sUEsF&#10;BgAAAAAGAAYAWQEAAMQFAAAAAA==&#10;">
              <v:fill on="f" focussize="0,0"/>
              <v:stroke on="f" weight="0.5pt"/>
              <v:imagedata o:title=""/>
              <o:lock v:ext="edit" aspectratio="f"/>
              <v:textbox inset="0mm,0mm,0mm,0mm" style="mso-fit-shape-to-text:t;">
                <w:txbxContent>
                  <w:p w14:paraId="44240836">
                    <w:pPr>
                      <w:pStyle w:val="9"/>
                    </w:pPr>
                    <w:r>
                      <w:fldChar w:fldCharType="begin"/>
                    </w:r>
                    <w:r>
                      <w:instrText xml:space="preserve"> PAGE  \* MERGEFORMAT </w:instrText>
                    </w:r>
                    <w:r>
                      <w:fldChar w:fldCharType="separate"/>
                    </w:r>
                    <w:r>
                      <w:t>3</w:t>
                    </w:r>
                    <w:r>
                      <w:fldChar w:fldCharType="end"/>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411299C">
                          <w:pPr>
                            <w:pStyle w:val="9"/>
                            <w:ind w:firstLine="0" w:firstLineChars="0"/>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&#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Ioso5NIBAACjAwAADgAAAAAAAAABACAAAAAi&#10;AQAAZHJzL2Uyb0RvYy54bWxQSwUGAAAAAAYABgBZAQAAZgUAAAAA&#10;">
              <v:fill on="f" focussize="0,0"/>
              <v:stroke on="f" weight="1.25pt"/>
              <v:imagedata o:title=""/>
              <o:lock v:ext="edit" aspectratio="f"/>
              <v:textbox inset="0mm,0mm,0mm,0mm" style="mso-fit-shape-to-text:t;">
                <w:txbxContent>
                  <w:p w14:paraId="2411299C">
                    <w:pPr>
                      <w:pStyle w:val="9"/>
                      <w:ind w:firstLine="0" w:firstLineChars="0"/>
                      <w:rPr>
                        <w:rFonts w:hint="eastAsia"/>
                      </w:rPr>
                    </w:pP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AB494">
    <w:pPr>
      <w:spacing w:line="229" w:lineRule="auto"/>
      <w:ind w:left="4790"/>
      <w:rPr>
        <w:rFonts w:ascii="宋体" w:hAnsi="宋体" w:eastAsia="宋体" w:cs="宋体"/>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01832A">
                          <w:pPr>
                            <w:pStyle w:val="9"/>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Oos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OoszAgAAYwQAAA4AAAAAAAAAAQAgAAAAHwEAAGRycy9lMm9Eb2MueG1sUEsF&#10;BgAAAAAGAAYAWQEAAMQFAAAAAA==&#10;">
              <v:fill on="f" focussize="0,0"/>
              <v:stroke on="f" weight="0.5pt"/>
              <v:imagedata o:title=""/>
              <o:lock v:ext="edit" aspectratio="f"/>
              <v:textbox inset="0mm,0mm,0mm,0mm" style="mso-fit-shape-to-text:t;">
                <w:txbxContent>
                  <w:p w14:paraId="1801832A">
                    <w:pPr>
                      <w:pStyle w:val="9"/>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F45A7">
    <w:pPr>
      <w:spacing w:line="229" w:lineRule="auto"/>
      <w:ind w:left="4251"/>
      <w:rPr>
        <w:rFonts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90AA6C">
                          <w:pPr>
                            <w:pStyle w:val="9"/>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7rWQ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7rWQzAgAAYwQAAA4AAAAAAAAAAQAgAAAAHwEAAGRycy9lMm9Eb2MueG1sUEsF&#10;BgAAAAAGAAYAWQEAAMQFAAAAAA==&#10;">
              <v:fill on="f" focussize="0,0"/>
              <v:stroke on="f" weight="0.5pt"/>
              <v:imagedata o:title=""/>
              <o:lock v:ext="edit" aspectratio="f"/>
              <v:textbox inset="0mm,0mm,0mm,0mm" style="mso-fit-shape-to-text:t;">
                <w:txbxContent>
                  <w:p w14:paraId="2590AA6C">
                    <w:pPr>
                      <w:pStyle w:val="9"/>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A66E1">
    <w:pPr>
      <w:spacing w:line="229" w:lineRule="auto"/>
      <w:ind w:left="4789"/>
      <w:rPr>
        <w:rFonts w:ascii="宋体" w:hAnsi="宋体" w:eastAsia="宋体" w:cs="宋体"/>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8DB699">
                          <w:pPr>
                            <w:pStyle w:val="9"/>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o2Ic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o2IczAgAAYwQAAA4AAAAAAAAAAQAgAAAAHwEAAGRycy9lMm9Eb2MueG1sUEsF&#10;BgAAAAAGAAYAWQEAAMQFAAAAAA==&#10;">
              <v:fill on="f" focussize="0,0"/>
              <v:stroke on="f" weight="0.5pt"/>
              <v:imagedata o:title=""/>
              <o:lock v:ext="edit" aspectratio="f"/>
              <v:textbox inset="0mm,0mm,0mm,0mm" style="mso-fit-shape-to-text:t;">
                <w:txbxContent>
                  <w:p w14:paraId="248DB699">
                    <w:pPr>
                      <w:pStyle w:val="9"/>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4F9B9">
    <w:pPr>
      <w:spacing w:line="229" w:lineRule="auto"/>
      <w:rPr>
        <w:rFonts w:ascii="宋体" w:hAnsi="宋体" w:eastAsia="宋体" w:cs="宋体"/>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BB1654">
                          <w:pPr>
                            <w:pStyle w:val="9"/>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T2g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AT2gzAgAAYwQAAA4AAAAAAAAAAQAgAAAAHwEAAGRycy9lMm9Eb2MueG1sUEsF&#10;BgAAAAAGAAYAWQEAAMQFAAAAAA==&#10;">
              <v:fill on="f" focussize="0,0"/>
              <v:stroke on="f" weight="0.5pt"/>
              <v:imagedata o:title=""/>
              <o:lock v:ext="edit" aspectratio="f"/>
              <v:textbox inset="0mm,0mm,0mm,0mm" style="mso-fit-shape-to-text:t;">
                <w:txbxContent>
                  <w:p w14:paraId="21BB1654">
                    <w:pPr>
                      <w:pStyle w:val="9"/>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790B6">
    <w:pPr>
      <w:spacing w:line="229" w:lineRule="auto"/>
      <w:rPr>
        <w:rFonts w:ascii="宋体" w:hAnsi="宋体" w:eastAsia="宋体" w:cs="宋体"/>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1459B6">
                          <w:pPr>
                            <w:pStyle w:val="9"/>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hoMzAgAAYw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D+hoMzAgAAYwQAAA4AAAAAAAAAAQAgAAAAHwEAAGRycy9lMm9Eb2MueG1sUEsF&#10;BgAAAAAGAAYAWQEAAMQFAAAAAA==&#10;">
              <v:fill on="f" focussize="0,0"/>
              <v:stroke on="f" weight="0.5pt"/>
              <v:imagedata o:title=""/>
              <o:lock v:ext="edit" aspectratio="f"/>
              <v:textbox inset="0mm,0mm,0mm,0mm" style="mso-fit-shape-to-text:t;">
                <w:txbxContent>
                  <w:p w14:paraId="151459B6">
                    <w:pPr>
                      <w:pStyle w:val="9"/>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8DD85">
    <w:pPr>
      <w:spacing w:line="229" w:lineRule="auto"/>
      <w:rPr>
        <w:rFonts w:ascii="宋体" w:hAnsi="宋体" w:eastAsia="宋体" w:cs="宋体"/>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F5AADD">
                          <w:pPr>
                            <w:pStyle w:val="9"/>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WEWw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m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WEWwzAgAAYwQAAA4AAAAAAAAAAQAgAAAAHwEAAGRycy9lMm9Eb2MueG1sUEsF&#10;BgAAAAAGAAYAWQEAAMQFAAAAAA==&#10;">
              <v:fill on="f" focussize="0,0"/>
              <v:stroke on="f" weight="0.5pt"/>
              <v:imagedata o:title=""/>
              <o:lock v:ext="edit" aspectratio="f"/>
              <v:textbox inset="0mm,0mm,0mm,0mm" style="mso-fit-shape-to-text:t;">
                <w:txbxContent>
                  <w:p w14:paraId="3DF5AADD">
                    <w:pPr>
                      <w:pStyle w:val="9"/>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B2478">
    <w:pPr>
      <w:spacing w:line="229" w:lineRule="auto"/>
      <w:ind w:left="4790"/>
      <w:rPr>
        <w:rFonts w:ascii="宋体" w:hAnsi="宋体" w:eastAsia="宋体" w:cs="宋体"/>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765643">
                          <w:pPr>
                            <w:pStyle w:val="9"/>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teHZ4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teHZ4zAgAAYwQAAA4AAAAAAAAAAQAgAAAAHwEAAGRycy9lMm9Eb2MueG1sUEsF&#10;BgAAAAAGAAYAWQEAAMQFAAAAAA==&#10;">
              <v:fill on="f" focussize="0,0"/>
              <v:stroke on="f" weight="0.5pt"/>
              <v:imagedata o:title=""/>
              <o:lock v:ext="edit" aspectratio="f"/>
              <v:textbox inset="0mm,0mm,0mm,0mm" style="mso-fit-shape-to-text:t;">
                <w:txbxContent>
                  <w:p w14:paraId="14765643">
                    <w:pPr>
                      <w:pStyle w:val="9"/>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63C22">
    <w:pPr>
      <w:spacing w:line="229" w:lineRule="auto"/>
      <w:rPr>
        <w:rFonts w:ascii="宋体" w:hAnsi="宋体" w:eastAsia="宋体" w:cs="宋体"/>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FADCCE">
                          <w:pPr>
                            <w:pStyle w:val="9"/>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2inEzAgAAY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2inEzAgAAYwQAAA4AAAAAAAAAAQAgAAAAHwEAAGRycy9lMm9Eb2MueG1sUEsF&#10;BgAAAAAGAAYAWQEAAMQFAAAAAA==&#10;">
              <v:fill on="f" focussize="0,0"/>
              <v:stroke on="f" weight="0.5pt"/>
              <v:imagedata o:title=""/>
              <o:lock v:ext="edit" aspectratio="f"/>
              <v:textbox inset="0mm,0mm,0mm,0mm" style="mso-fit-shape-to-text:t;">
                <w:txbxContent>
                  <w:p w14:paraId="58FADCCE">
                    <w:pPr>
                      <w:pStyle w:val="9"/>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1CEE7">
    <w:pPr>
      <w:spacing w:line="176" w:lineRule="auto"/>
      <w:ind w:left="408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4A224C">
                          <w:pPr>
                            <w:pStyle w:val="9"/>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DJC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5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QDJCszAgAAZQQAAA4AAAAAAAAAAQAgAAAAHwEAAGRycy9lMm9Eb2MueG1sUEsF&#10;BgAAAAAGAAYAWQEAAMQFAAAAAA==&#10;">
              <v:fill on="f" focussize="0,0"/>
              <v:stroke on="f" weight="0.5pt"/>
              <v:imagedata o:title=""/>
              <o:lock v:ext="edit" aspectratio="f"/>
              <v:textbox inset="0mm,0mm,0mm,0mm" style="mso-fit-shape-to-text:t;">
                <w:txbxContent>
                  <w:p w14:paraId="204A224C">
                    <w:pPr>
                      <w:pStyle w:val="9"/>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CDB21">
    <w:pPr>
      <w:spacing w:line="176" w:lineRule="auto"/>
      <w:ind w:left="4084" w:firstLine="4396" w:firstLineChars="0"/>
      <w:rPr>
        <w:rFonts w:hint="default" w:ascii="Times New Roman" w:hAnsi="Times New Roman" w:eastAsia="宋体" w:cs="Times New Roman"/>
        <w:sz w:val="18"/>
        <w:szCs w:val="18"/>
        <w:lang w:val="en-US" w:eastAsia="zh-CN"/>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4FC623">
                          <w:pPr>
                            <w:pStyle w:val="9"/>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tIn8zAgAAYw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tIn8zAgAAYwQAAA4AAAAAAAAAAQAgAAAAHwEAAGRycy9lMm9Eb2MueG1sUEsF&#10;BgAAAAAGAAYAWQEAAMQFAAAAAA==&#10;">
              <v:fill on="f" focussize="0,0"/>
              <v:stroke on="f" weight="0.5pt"/>
              <v:imagedata o:title=""/>
              <o:lock v:ext="edit" aspectratio="f"/>
              <v:textbox inset="0mm,0mm,0mm,0mm" style="mso-fit-shape-to-text:t;">
                <w:txbxContent>
                  <w:p w14:paraId="244FC623">
                    <w:pPr>
                      <w:pStyle w:val="9"/>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60254">
    <w:pPr>
      <w:tabs>
        <w:tab w:val="left" w:pos="4542"/>
      </w:tabs>
      <w:spacing w:line="176" w:lineRule="auto"/>
      <w:rPr>
        <w:rFonts w:hint="default" w:ascii="Times New Roman" w:hAnsi="Times New Roman" w:eastAsia="宋体" w:cs="Times New Roman"/>
        <w:sz w:val="18"/>
        <w:szCs w:val="18"/>
        <w:lang w:val="en-US" w:eastAsia="zh-CN"/>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52E4EE">
                          <w:pPr>
                            <w:pStyle w:val="9"/>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FtZAzAgAAY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5FtZAzAgAAYwQAAA4AAAAAAAAAAQAgAAAAHwEAAGRycy9lMm9Eb2MueG1sUEsF&#10;BgAAAAAGAAYAWQEAAMQFAAAAAA==&#10;">
              <v:fill on="f" focussize="0,0"/>
              <v:stroke on="f" weight="0.5pt"/>
              <v:imagedata o:title=""/>
              <o:lock v:ext="edit" aspectratio="f"/>
              <v:textbox inset="0mm,0mm,0mm,0mm" style="mso-fit-shape-to-text:t;">
                <w:txbxContent>
                  <w:p w14:paraId="0C52E4EE">
                    <w:pPr>
                      <w:pStyle w:val="9"/>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05F28">
    <w:pPr>
      <w:pStyle w:val="9"/>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0DD214">
                          <w:pPr>
                            <w:pStyle w:val="9"/>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dNuWI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dNuWIzAgAAYwQAAA4AAAAAAAAAAQAgAAAAHwEAAGRycy9lMm9Eb2MueG1sUEsF&#10;BgAAAAAGAAYAWQEAAMQFAAAAAA==&#10;">
              <v:fill on="f" focussize="0,0"/>
              <v:stroke on="f" weight="0.5pt"/>
              <v:imagedata o:title=""/>
              <o:lock v:ext="edit" aspectratio="f"/>
              <v:textbox inset="0mm,0mm,0mm,0mm" style="mso-fit-shape-to-text:t;">
                <w:txbxContent>
                  <w:p w14:paraId="3F0DD214">
                    <w:pPr>
                      <w:pStyle w:val="9"/>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88EE5">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C6BCEF">
                          <w:pPr>
                            <w:pStyle w:val="9"/>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lLo0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h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XlLo0zAgAAYwQAAA4AAAAAAAAAAQAgAAAAHwEAAGRycy9lMm9Eb2MueG1sUEsF&#10;BgAAAAAGAAYAWQEAAMQFAAAAAA==&#10;">
              <v:fill on="f" focussize="0,0"/>
              <v:stroke on="f" weight="0.5pt"/>
              <v:imagedata o:title=""/>
              <o:lock v:ext="edit" aspectratio="f"/>
              <v:textbox inset="0mm,0mm,0mm,0mm" style="mso-fit-shape-to-text:t;">
                <w:txbxContent>
                  <w:p w14:paraId="39C6BCEF">
                    <w:pPr>
                      <w:pStyle w:val="9"/>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36D07">
    <w:pPr>
      <w:spacing w:line="229" w:lineRule="auto"/>
      <w:ind w:left="4801"/>
      <w:rPr>
        <w:rFonts w:ascii="宋体" w:hAnsi="宋体" w:eastAsia="宋体" w:cs="宋体"/>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DFE4CF">
                          <w:pPr>
                            <w:pStyle w:val="9"/>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yWR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iC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7JZFzICAABjBAAADgAAAAAAAAABACAAAAAfAQAAZHJzL2Uyb0RvYy54bWxQSwUG&#10;AAAAAAYABgBZAQAAwwUAAAAA&#10;">
              <v:fill on="f" focussize="0,0"/>
              <v:stroke on="f" weight="0.5pt"/>
              <v:imagedata o:title=""/>
              <o:lock v:ext="edit" aspectratio="f"/>
              <v:textbox inset="0mm,0mm,0mm,0mm" style="mso-fit-shape-to-text:t;">
                <w:txbxContent>
                  <w:p w14:paraId="41DFE4CF">
                    <w:pPr>
                      <w:pStyle w:val="9"/>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A4D0C">
    <w:pPr>
      <w:spacing w:line="229" w:lineRule="auto"/>
      <w:ind w:left="4811"/>
      <w:rPr>
        <w:rFonts w:ascii="宋体" w:hAnsi="宋体" w:eastAsia="宋体" w:cs="宋体"/>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CE9CCA">
                          <w:pPr>
                            <w:pStyle w:val="9"/>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azvg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2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RrO+DICAABjBAAADgAAAAAAAAABACAAAAAfAQAAZHJzL2Uyb0RvYy54bWxQSwUG&#10;AAAAAAYABgBZAQAAwwUAAAAA&#10;">
              <v:fill on="f" focussize="0,0"/>
              <v:stroke on="f" weight="0.5pt"/>
              <v:imagedata o:title=""/>
              <o:lock v:ext="edit" aspectratio="f"/>
              <v:textbox inset="0mm,0mm,0mm,0mm" style="mso-fit-shape-to-text:t;">
                <w:txbxContent>
                  <w:p w14:paraId="44CE9CCA">
                    <w:pPr>
                      <w:pStyle w:val="9"/>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5EF84">
    <w:pPr>
      <w:pStyle w:val="10"/>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3C937">
    <w:pPr>
      <w:spacing w:line="96" w:lineRule="auto"/>
      <w:rPr>
        <w:rFonts w:ascii="Arial"/>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690E7">
    <w:pPr>
      <w:spacing w:line="14" w:lineRule="auto"/>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44297F">
    <w:pPr>
      <w:spacing w:line="96" w:lineRule="auto"/>
      <w:ind w:left="0" w:leftChars="0" w:firstLine="0" w:firstLineChars="0"/>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52B8D">
    <w:pPr>
      <w:pStyle w:val="7"/>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467C2">
    <w:pPr>
      <w:pStyle w:val="7"/>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26D03E"/>
    <w:multiLevelType w:val="multilevel"/>
    <w:tmpl w:val="9026D03E"/>
    <w:lvl w:ilvl="0" w:tentative="0">
      <w:start w:val="1"/>
      <w:numFmt w:val="decimal"/>
      <w:pStyle w:val="2"/>
      <w:lvlText w:val="第%1章"/>
      <w:lvlJc w:val="left"/>
      <w:pPr>
        <w:ind w:left="432" w:hanging="432"/>
      </w:pPr>
      <w:rPr>
        <w:rFonts w:hint="eastAsia" w:ascii="宋体" w:hAnsi="宋体" w:eastAsia="宋体" w:cs="宋体"/>
      </w:rPr>
    </w:lvl>
    <w:lvl w:ilvl="1" w:tentative="0">
      <w:start w:val="1"/>
      <w:numFmt w:val="decimalFullWidth"/>
      <w:pStyle w:val="3"/>
      <w:lvlText w:val="%1.%2"/>
      <w:lvlJc w:val="left"/>
      <w:pPr>
        <w:ind w:left="575" w:hanging="575"/>
      </w:pPr>
      <w:rPr>
        <w:rFonts w:hint="eastAsia" w:ascii="宋体" w:hAnsi="宋体" w:eastAsia="宋体" w:cs="宋体"/>
      </w:rPr>
    </w:lvl>
    <w:lvl w:ilvl="2" w:tentative="0">
      <w:start w:val="1"/>
      <w:numFmt w:val="decimal"/>
      <w:pStyle w:val="4"/>
      <w:lvlText w:val="%1.%2.%3 "/>
      <w:lvlJc w:val="left"/>
      <w:pPr>
        <w:ind w:left="1916" w:hanging="720"/>
      </w:pPr>
      <w:rPr>
        <w:rFonts w:hint="eastAsia" w:ascii="宋体" w:hAnsi="宋体" w:eastAsia="宋体" w:cs="宋体"/>
      </w:rPr>
    </w:lvl>
    <w:lvl w:ilvl="3" w:tentative="0">
      <w:start w:val="1"/>
      <w:numFmt w:val="decimal"/>
      <w:lvlText w:val="%1.%2.%3.%4."/>
      <w:lvlJc w:val="left"/>
      <w:pPr>
        <w:ind w:left="864"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1" w:hanging="1151"/>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3" w:hanging="1583"/>
      </w:pPr>
      <w:rPr>
        <w:rFonts w:hint="eastAsia"/>
      </w:rPr>
    </w:lvl>
  </w:abstractNum>
  <w:abstractNum w:abstractNumId="1">
    <w:nsid w:val="CFEFF65B"/>
    <w:multiLevelType w:val="singleLevel"/>
    <w:tmpl w:val="CFEFF65B"/>
    <w:lvl w:ilvl="0" w:tentative="0">
      <w:start w:val="1"/>
      <w:numFmt w:val="chineseCounting"/>
      <w:suff w:val="nothing"/>
      <w:lvlText w:val="%1、"/>
      <w:lvlJc w:val="left"/>
      <w:rPr>
        <w:rFonts w:hint="eastAsia"/>
      </w:rPr>
    </w:lvl>
  </w:abstractNum>
  <w:abstractNum w:abstractNumId="2">
    <w:nsid w:val="12B9E5B5"/>
    <w:multiLevelType w:val="singleLevel"/>
    <w:tmpl w:val="12B9E5B5"/>
    <w:lvl w:ilvl="0" w:tentative="0">
      <w:start w:val="2"/>
      <w:numFmt w:val="chineseCounting"/>
      <w:suff w:val="nothing"/>
      <w:lvlText w:val="%1、"/>
      <w:lvlJc w:val="left"/>
      <w:rPr>
        <w:rFonts w:hint="eastAsia"/>
      </w:rPr>
    </w:lvl>
  </w:abstractNum>
  <w:abstractNum w:abstractNumId="3">
    <w:nsid w:val="26787C92"/>
    <w:multiLevelType w:val="singleLevel"/>
    <w:tmpl w:val="26787C92"/>
    <w:lvl w:ilvl="0" w:tentative="0">
      <w:start w:val="6"/>
      <w:numFmt w:val="chineseCounting"/>
      <w:suff w:val="space"/>
      <w:lvlText w:val="第%1章"/>
      <w:lvlJc w:val="left"/>
      <w:rPr>
        <w:rFonts w:hint="eastAsia"/>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5203B50"/>
    <w:rsid w:val="0FBE4010"/>
    <w:rsid w:val="134E49AB"/>
    <w:rsid w:val="160B66A0"/>
    <w:rsid w:val="18317C4B"/>
    <w:rsid w:val="20B417C5"/>
    <w:rsid w:val="21042D29"/>
    <w:rsid w:val="22646C57"/>
    <w:rsid w:val="253819E2"/>
    <w:rsid w:val="25537B62"/>
    <w:rsid w:val="2588759E"/>
    <w:rsid w:val="29C2023E"/>
    <w:rsid w:val="2C3752F8"/>
    <w:rsid w:val="2D3625E1"/>
    <w:rsid w:val="2E75108F"/>
    <w:rsid w:val="2F695633"/>
    <w:rsid w:val="321F0941"/>
    <w:rsid w:val="329D3AD3"/>
    <w:rsid w:val="33E33418"/>
    <w:rsid w:val="345A7D9B"/>
    <w:rsid w:val="37A46956"/>
    <w:rsid w:val="452847AC"/>
    <w:rsid w:val="48E00EFA"/>
    <w:rsid w:val="4A361A83"/>
    <w:rsid w:val="577E64AD"/>
    <w:rsid w:val="596A0A97"/>
    <w:rsid w:val="5A8A6ED2"/>
    <w:rsid w:val="5D1A7C0C"/>
    <w:rsid w:val="623305B9"/>
    <w:rsid w:val="6CA113DF"/>
    <w:rsid w:val="734F746E"/>
    <w:rsid w:val="757329BF"/>
    <w:rsid w:val="78D410F9"/>
    <w:rsid w:val="7CD11F48"/>
    <w:rsid w:val="7CE62660"/>
    <w:rsid w:val="7E94734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keepNext/>
      <w:keepLines/>
      <w:numPr>
        <w:ilvl w:val="0"/>
        <w:numId w:val="1"/>
      </w:numPr>
      <w:spacing w:before="340" w:after="330" w:line="578" w:lineRule="atLeast"/>
      <w:ind w:left="432" w:hanging="432" w:firstLineChars="0"/>
      <w:jc w:val="center"/>
      <w:outlineLvl w:val="0"/>
    </w:pPr>
    <w:rPr>
      <w:b/>
      <w:bCs/>
      <w:kern w:val="44"/>
      <w:sz w:val="32"/>
      <w:szCs w:val="44"/>
    </w:rPr>
  </w:style>
  <w:style w:type="paragraph" w:styleId="3">
    <w:name w:val="heading 2"/>
    <w:basedOn w:val="1"/>
    <w:next w:val="1"/>
    <w:qFormat/>
    <w:uiPriority w:val="0"/>
    <w:pPr>
      <w:keepNext/>
      <w:keepLines/>
      <w:numPr>
        <w:ilvl w:val="1"/>
        <w:numId w:val="1"/>
      </w:numPr>
      <w:tabs>
        <w:tab w:val="left" w:pos="720"/>
      </w:tabs>
      <w:spacing w:line="360" w:lineRule="auto"/>
      <w:ind w:left="0" w:firstLine="482" w:firstLineChars="200"/>
      <w:outlineLvl w:val="1"/>
    </w:pPr>
    <w:rPr>
      <w:rFonts w:ascii="Arial" w:hAnsi="Arial"/>
      <w:b/>
      <w:bCs/>
      <w:szCs w:val="32"/>
    </w:rPr>
  </w:style>
  <w:style w:type="paragraph" w:styleId="4">
    <w:name w:val="heading 3"/>
    <w:basedOn w:val="1"/>
    <w:next w:val="1"/>
    <w:qFormat/>
    <w:uiPriority w:val="0"/>
    <w:pPr>
      <w:keepNext/>
      <w:keepLines/>
      <w:numPr>
        <w:ilvl w:val="2"/>
        <w:numId w:val="1"/>
      </w:numPr>
      <w:tabs>
        <w:tab w:val="left" w:pos="720"/>
      </w:tabs>
      <w:spacing w:line="360" w:lineRule="auto"/>
      <w:ind w:left="0" w:firstLine="482" w:firstLineChars="200"/>
      <w:outlineLvl w:val="2"/>
    </w:pPr>
    <w:rPr>
      <w:b/>
      <w:bCs/>
      <w:szCs w:val="32"/>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5">
    <w:name w:val="Normal Indent"/>
    <w:basedOn w:val="1"/>
    <w:next w:val="6"/>
    <w:qFormat/>
    <w:uiPriority w:val="0"/>
    <w:pPr>
      <w:ind w:firstLine="420" w:firstLineChars="200"/>
    </w:pPr>
    <w:rPr>
      <w:rFonts w:hAnsi="Times New Roman" w:eastAsia="仿宋"/>
      <w:sz w:val="24"/>
    </w:rPr>
  </w:style>
  <w:style w:type="paragraph" w:styleId="6">
    <w:name w:val="toa heading"/>
    <w:basedOn w:val="1"/>
    <w:next w:val="1"/>
    <w:semiHidden/>
    <w:qFormat/>
    <w:uiPriority w:val="0"/>
    <w:pPr>
      <w:spacing w:before="120"/>
    </w:pPr>
    <w:rPr>
      <w:rFonts w:ascii="Arial" w:hAnsi="Arial" w:cs="Arial"/>
      <w:sz w:val="24"/>
    </w:rPr>
  </w:style>
  <w:style w:type="paragraph" w:styleId="7">
    <w:name w:val="Body Text"/>
    <w:basedOn w:val="1"/>
    <w:semiHidden/>
    <w:qFormat/>
    <w:uiPriority w:val="0"/>
    <w:rPr>
      <w:rFonts w:ascii="Arial" w:hAnsi="Arial" w:eastAsia="Arial" w:cs="Arial"/>
      <w:sz w:val="21"/>
      <w:szCs w:val="21"/>
      <w:lang w:val="en-US" w:eastAsia="en-US" w:bidi="ar-SA"/>
    </w:rPr>
  </w:style>
  <w:style w:type="paragraph" w:styleId="8">
    <w:name w:val="Body Text Indent"/>
    <w:basedOn w:val="1"/>
    <w:qFormat/>
    <w:uiPriority w:val="0"/>
    <w:pPr>
      <w:spacing w:after="120"/>
      <w:ind w:left="420" w:leftChars="200"/>
    </w:pPr>
    <w:rPr>
      <w:rFonts w:hAnsi="Times New Roman" w:eastAsia="仿宋"/>
      <w:sz w:val="24"/>
    </w:rPr>
  </w:style>
  <w:style w:type="paragraph" w:styleId="9">
    <w:name w:val="footer"/>
    <w:basedOn w:val="1"/>
    <w:qFormat/>
    <w:uiPriority w:val="0"/>
    <w:pPr>
      <w:tabs>
        <w:tab w:val="center" w:pos="4153"/>
        <w:tab w:val="right" w:pos="8306"/>
      </w:tabs>
      <w:snapToGrid w:val="0"/>
      <w:spacing w:line="240" w:lineRule="atLeast"/>
      <w:jc w:val="left"/>
    </w:pPr>
    <w:rPr>
      <w:rFonts w:hAnsi="Times New Roman" w:eastAsia="仿宋"/>
      <w:sz w:val="18"/>
      <w:szCs w:val="18"/>
    </w:rPr>
  </w:style>
  <w:style w:type="paragraph" w:styleId="10">
    <w:name w:val="header"/>
    <w:basedOn w:val="1"/>
    <w:qFormat/>
    <w:uiPriority w:val="0"/>
    <w:pPr>
      <w:pBdr>
        <w:bottom w:val="single" w:color="auto" w:sz="6" w:space="1"/>
      </w:pBdr>
      <w:tabs>
        <w:tab w:val="center" w:pos="4153"/>
        <w:tab w:val="right" w:pos="8306"/>
      </w:tabs>
      <w:snapToGrid w:val="0"/>
      <w:spacing w:line="240" w:lineRule="atLeast"/>
      <w:jc w:val="center"/>
    </w:pPr>
    <w:rPr>
      <w:rFonts w:hAnsi="Times New Roman" w:eastAsia="仿宋"/>
      <w:sz w:val="18"/>
      <w:szCs w:val="18"/>
    </w:rPr>
  </w:style>
  <w:style w:type="paragraph" w:styleId="11">
    <w:name w:val="toc 1"/>
    <w:basedOn w:val="1"/>
    <w:next w:val="1"/>
    <w:qFormat/>
    <w:uiPriority w:val="0"/>
    <w:pPr>
      <w:spacing w:before="120" w:after="120" w:line="480" w:lineRule="auto"/>
      <w:ind w:firstLine="0" w:firstLineChars="0"/>
      <w:jc w:val="left"/>
    </w:pPr>
    <w:rPr>
      <w:rFonts w:ascii="Calibri" w:hAnsi="Calibri"/>
      <w:b/>
      <w:bCs/>
      <w:caps/>
      <w:szCs w:val="20"/>
    </w:rPr>
  </w:style>
  <w:style w:type="paragraph" w:styleId="12">
    <w:name w:val="footnote text"/>
    <w:basedOn w:val="1"/>
    <w:qFormat/>
    <w:uiPriority w:val="0"/>
    <w:pPr>
      <w:snapToGrid w:val="0"/>
      <w:jc w:val="left"/>
    </w:pPr>
    <w:rPr>
      <w:rFonts w:hAnsi="Times New Roman" w:eastAsia="仿宋"/>
      <w:sz w:val="18"/>
      <w:szCs w:val="18"/>
    </w:rPr>
  </w:style>
  <w:style w:type="paragraph" w:styleId="13">
    <w:name w:val="Body Text Indent 3"/>
    <w:basedOn w:val="1"/>
    <w:next w:val="1"/>
    <w:qFormat/>
    <w:uiPriority w:val="0"/>
    <w:pPr>
      <w:spacing w:after="120"/>
      <w:ind w:left="420" w:leftChars="200"/>
    </w:pPr>
    <w:rPr>
      <w:rFonts w:hAnsi="Times New Roman" w:eastAsia="仿宋"/>
      <w:sz w:val="16"/>
      <w:szCs w:val="16"/>
    </w:rPr>
  </w:style>
  <w:style w:type="paragraph" w:styleId="14">
    <w:name w:val="toc 9"/>
    <w:basedOn w:val="1"/>
    <w:next w:val="1"/>
    <w:qFormat/>
    <w:uiPriority w:val="0"/>
    <w:pPr>
      <w:ind w:left="1920"/>
      <w:jc w:val="left"/>
    </w:pPr>
    <w:rPr>
      <w:rFonts w:ascii="Calibri" w:hAnsi="Calibri"/>
      <w:sz w:val="18"/>
      <w:szCs w:val="18"/>
    </w:rPr>
  </w:style>
  <w:style w:type="paragraph" w:styleId="15">
    <w:name w:val="Normal (Web)"/>
    <w:basedOn w:val="1"/>
    <w:next w:val="13"/>
    <w:qFormat/>
    <w:uiPriority w:val="0"/>
    <w:rPr>
      <w:rFonts w:ascii="Times New Roman"/>
      <w:szCs w:val="24"/>
    </w:rPr>
  </w:style>
  <w:style w:type="table" w:styleId="17">
    <w:name w:val="Table Grid"/>
    <w:basedOn w:val="16"/>
    <w:qFormat/>
    <w:uiPriority w:val="0"/>
    <w:pPr>
      <w:widowControl w:val="0"/>
      <w:adjustRightInd w:val="0"/>
      <w:spacing w:line="312" w:lineRule="atLeast"/>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bCs/>
    </w:rPr>
  </w:style>
  <w:style w:type="table" w:customStyle="1" w:styleId="20">
    <w:name w:val="Table Normal"/>
    <w:semiHidden/>
    <w:unhideWhenUsed/>
    <w:qFormat/>
    <w:uiPriority w:val="0"/>
    <w:tblPr>
      <w:tblCellMar>
        <w:top w:w="0" w:type="dxa"/>
        <w:left w:w="0" w:type="dxa"/>
        <w:bottom w:w="0" w:type="dxa"/>
        <w:right w:w="0" w:type="dxa"/>
      </w:tblCellMar>
    </w:tblPr>
  </w:style>
  <w:style w:type="paragraph" w:customStyle="1" w:styleId="21">
    <w:name w:val="Table Text"/>
    <w:basedOn w:val="1"/>
    <w:semiHidden/>
    <w:qFormat/>
    <w:uiPriority w:val="0"/>
    <w:rPr>
      <w:rFonts w:ascii="微软雅黑" w:hAnsi="微软雅黑" w:eastAsia="微软雅黑" w:cs="微软雅黑"/>
      <w:sz w:val="21"/>
      <w:szCs w:val="21"/>
      <w:lang w:val="en-US" w:eastAsia="en-US" w:bidi="ar-SA"/>
    </w:rPr>
  </w:style>
  <w:style w:type="paragraph" w:customStyle="1" w:styleId="22">
    <w:name w:val="4正文"/>
    <w:basedOn w:val="1"/>
    <w:qFormat/>
    <w:uiPriority w:val="0"/>
    <w:pPr>
      <w:snapToGrid/>
      <w:spacing w:line="360" w:lineRule="auto"/>
      <w:ind w:firstLine="200" w:firstLineChars="200"/>
    </w:pPr>
    <w:rPr>
      <w:rFonts w:ascii="Times New Roman" w:hAnsi="Times New Roman"/>
    </w:rPr>
  </w:style>
  <w:style w:type="paragraph" w:customStyle="1" w:styleId="23">
    <w:name w:val="Default Text"/>
    <w:basedOn w:val="1"/>
    <w:qFormat/>
    <w:uiPriority w:val="0"/>
    <w:pPr>
      <w:widowControl/>
      <w:overflowPunct w:val="0"/>
      <w:autoSpaceDE w:val="0"/>
      <w:autoSpaceDN w:val="0"/>
      <w:spacing w:line="240" w:lineRule="auto"/>
      <w:jc w:val="left"/>
      <w:textAlignment w:val="auto"/>
    </w:pPr>
    <w:rPr>
      <w:sz w:val="24"/>
      <w:szCs w:val="20"/>
    </w:rPr>
  </w:style>
  <w:style w:type="paragraph" w:customStyle="1" w:styleId="24">
    <w:name w:val="Table Paragraph"/>
    <w:basedOn w:val="1"/>
    <w:qFormat/>
    <w:uiPriority w:val="1"/>
  </w:style>
  <w:style w:type="paragraph" w:customStyle="1" w:styleId="25">
    <w:name w:val="正文空2格  1."/>
    <w:basedOn w:val="1"/>
    <w:qFormat/>
    <w:uiPriority w:val="0"/>
    <w:pPr>
      <w:ind w:firstLine="480" w:firstLineChars="200"/>
    </w:pPr>
    <w:rPr>
      <w:rFonts w:cs="宋体"/>
      <w:szCs w:val="20"/>
    </w:rPr>
  </w:style>
  <w:style w:type="paragraph" w:customStyle="1" w:styleId="26">
    <w:name w:val="正文 1.1.1"/>
    <w:basedOn w:val="1"/>
    <w:next w:val="1"/>
    <w:qFormat/>
    <w:uiPriority w:val="0"/>
    <w:pPr>
      <w:tabs>
        <w:tab w:val="left" w:pos="851"/>
      </w:tabs>
      <w:ind w:left="142"/>
      <w:outlineLvl w:val="2"/>
    </w:pPr>
    <w:rPr>
      <w:rFonts w:hAnsi="宋体" w:eastAsia="宋体"/>
      <w:color w:val="FF0000"/>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theme" Target="theme/theme1.xml"/><Relationship Id="rId37" Type="http://schemas.openxmlformats.org/officeDocument/2006/relationships/footer" Target="footer27.xml"/><Relationship Id="rId36" Type="http://schemas.openxmlformats.org/officeDocument/2006/relationships/header" Target="header6.xml"/><Relationship Id="rId35" Type="http://schemas.openxmlformats.org/officeDocument/2006/relationships/footer" Target="footer26.xml"/><Relationship Id="rId34" Type="http://schemas.openxmlformats.org/officeDocument/2006/relationships/header" Target="header5.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footnotes" Target="footnotes.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4.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9"/>
    <customShpInfo spid="_x0000_s1030"/>
    <customShpInfo spid="_x0000_s1028"/>
    <customShpInfo spid="_x0000_s1032"/>
    <customShpInfo spid="_x0000_s1033"/>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68</Pages>
  <Words>6020</Words>
  <Characters>6782</Characters>
  <TotalTime>22</TotalTime>
  <ScaleCrop>false</ScaleCrop>
  <LinksUpToDate>false</LinksUpToDate>
  <CharactersWithSpaces>6967</CharactersWithSpaces>
  <Application>WPS Office_12.1.0.24034_F1E327BC-269C-435d-A152-05C5408002CA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2024-09-12T11:33:00Z</dcterms:created>
  <dc:creator>Administrator</dc:creator>
  <cp:lastModifiedBy>李</cp:lastModifiedBy>
  <dcterms:modified xsi:type="dcterms:W3CDTF">2026-01-13T02:45:20Z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2025-07-17T13:31:20Z</vt:filetime>
  </property>
  <property fmtid="{D5CDD505-2E9C-101B-9397-08002B2CF9AE}" pid="4" name="KSOProductBuildVer">
    <vt:lpwstr>2052-12.1.0.24034</vt:lpwstr>
  </property>
  <property fmtid="{D5CDD505-2E9C-101B-9397-08002B2CF9AE}" pid="5" name="ICV">
    <vt:lpwstr>CC145EFACE874443B7C9698A18DFE32F_13</vt:lpwstr>
  </property>
  <property fmtid="{D5CDD505-2E9C-101B-9397-08002B2CF9AE}" pid="6" name="KSOTemplateDocerSaveRecord">
    <vt:lpwstr>eyJoZGlkIjoiNmI4MWRiN2VmZjc3MjIyNGZlMjhlZjAxMjU5OTQ0MGUiLCJ1c2VySWQiOiIyMTc3MTg1NDYifQ==</vt:lpwstr>
  </property>
</Properties>
</file>