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9993F">
      <w:pPr>
        <w:pStyle w:val="3"/>
        <w:spacing w:line="259" w:lineRule="auto"/>
        <w:rPr>
          <w:color w:val="auto"/>
          <w:highlight w:val="none"/>
        </w:rPr>
      </w:pPr>
    </w:p>
    <w:p w14:paraId="7BD503CB">
      <w:pPr>
        <w:pStyle w:val="3"/>
        <w:spacing w:line="259" w:lineRule="auto"/>
        <w:rPr>
          <w:color w:val="auto"/>
          <w:highlight w:val="none"/>
        </w:rPr>
      </w:pPr>
    </w:p>
    <w:p w14:paraId="4D1AA9B3">
      <w:pPr>
        <w:pStyle w:val="3"/>
        <w:spacing w:line="325" w:lineRule="auto"/>
        <w:rPr>
          <w:color w:val="auto"/>
          <w:highlight w:val="none"/>
        </w:rPr>
      </w:pPr>
    </w:p>
    <w:p w14:paraId="5C1951A1">
      <w:pPr>
        <w:spacing w:before="140" w:line="224" w:lineRule="auto"/>
        <w:ind w:left="5089"/>
        <w:rPr>
          <w:rFonts w:ascii="宋体" w:hAnsi="宋体" w:eastAsia="宋体" w:cs="宋体"/>
          <w:color w:val="auto"/>
          <w:spacing w:val="-10"/>
          <w:sz w:val="43"/>
          <w:szCs w:val="43"/>
          <w:highlight w:val="none"/>
        </w:rPr>
      </w:pPr>
      <w:r>
        <w:rPr>
          <w:rFonts w:ascii="宋体" w:hAnsi="宋体" w:eastAsia="宋体" w:cs="宋体"/>
          <w:color w:val="auto"/>
          <w:spacing w:val="-10"/>
          <w:sz w:val="43"/>
          <w:szCs w:val="43"/>
          <w:highlight w:val="none"/>
        </w:rPr>
        <w:t>广</w:t>
      </w:r>
      <w:r>
        <w:rPr>
          <w:rFonts w:ascii="宋体" w:hAnsi="宋体" w:eastAsia="宋体" w:cs="宋体"/>
          <w:color w:val="auto"/>
          <w:spacing w:val="37"/>
          <w:sz w:val="43"/>
          <w:szCs w:val="43"/>
          <w:highlight w:val="none"/>
        </w:rPr>
        <w:t xml:space="preserve"> </w:t>
      </w:r>
      <w:r>
        <w:rPr>
          <w:rFonts w:ascii="宋体" w:hAnsi="宋体" w:eastAsia="宋体" w:cs="宋体"/>
          <w:color w:val="auto"/>
          <w:spacing w:val="-10"/>
          <w:sz w:val="43"/>
          <w:szCs w:val="43"/>
          <w:highlight w:val="none"/>
        </w:rPr>
        <w:t>东</w:t>
      </w:r>
      <w:r>
        <w:rPr>
          <w:rFonts w:ascii="宋体" w:hAnsi="宋体" w:eastAsia="宋体" w:cs="宋体"/>
          <w:color w:val="auto"/>
          <w:spacing w:val="29"/>
          <w:sz w:val="43"/>
          <w:szCs w:val="43"/>
          <w:highlight w:val="none"/>
        </w:rPr>
        <w:t xml:space="preserve"> </w:t>
      </w:r>
      <w:r>
        <w:rPr>
          <w:rFonts w:ascii="宋体" w:hAnsi="宋体" w:eastAsia="宋体" w:cs="宋体"/>
          <w:color w:val="auto"/>
          <w:spacing w:val="-10"/>
          <w:sz w:val="43"/>
          <w:szCs w:val="43"/>
          <w:highlight w:val="none"/>
        </w:rPr>
        <w:t>省</w:t>
      </w:r>
    </w:p>
    <w:p w14:paraId="2744456A">
      <w:pPr>
        <w:spacing w:before="140" w:line="224" w:lineRule="auto"/>
        <w:ind w:left="5089"/>
        <w:rPr>
          <w:rFonts w:ascii="宋体" w:hAnsi="宋体" w:eastAsia="宋体" w:cs="宋体"/>
          <w:color w:val="auto"/>
          <w:spacing w:val="-10"/>
          <w:sz w:val="43"/>
          <w:szCs w:val="43"/>
          <w:highlight w:val="none"/>
        </w:rPr>
      </w:pPr>
    </w:p>
    <w:p w14:paraId="7222994F">
      <w:pPr>
        <w:pStyle w:val="3"/>
        <w:spacing w:line="291" w:lineRule="auto"/>
        <w:rPr>
          <w:color w:val="auto"/>
          <w:highlight w:val="none"/>
        </w:rPr>
      </w:pPr>
    </w:p>
    <w:p w14:paraId="37F4273E">
      <w:pPr>
        <w:pStyle w:val="3"/>
        <w:spacing w:line="291" w:lineRule="auto"/>
        <w:rPr>
          <w:color w:val="auto"/>
          <w:highlight w:val="none"/>
        </w:rPr>
      </w:pPr>
    </w:p>
    <w:p w14:paraId="232EE63F">
      <w:pPr>
        <w:tabs>
          <w:tab w:val="left" w:pos="3891"/>
        </w:tabs>
        <w:spacing w:before="140" w:line="224" w:lineRule="auto"/>
        <w:ind w:left="1661"/>
        <w:rPr>
          <w:rFonts w:ascii="宋体" w:hAnsi="宋体" w:eastAsia="宋体" w:cs="宋体"/>
          <w:color w:val="auto"/>
          <w:spacing w:val="5"/>
          <w:sz w:val="43"/>
          <w:szCs w:val="43"/>
          <w:highlight w:val="none"/>
        </w:rPr>
      </w:pPr>
      <w:r>
        <w:rPr>
          <w:rFonts w:hint="eastAsia" w:ascii="宋体" w:hAnsi="宋体" w:eastAsia="宋体" w:cs="宋体"/>
          <w:color w:val="auto"/>
          <w:sz w:val="43"/>
          <w:szCs w:val="43"/>
          <w:highlight w:val="none"/>
          <w:u w:val="single" w:color="auto"/>
        </w:rPr>
        <w:t>增龙公路S119正果镇区段改线项目</w:t>
      </w:r>
      <w:r>
        <w:rPr>
          <w:rFonts w:ascii="宋体" w:hAnsi="宋体" w:eastAsia="宋体" w:cs="宋体"/>
          <w:color w:val="auto"/>
          <w:spacing w:val="5"/>
          <w:sz w:val="43"/>
          <w:szCs w:val="43"/>
          <w:highlight w:val="none"/>
        </w:rPr>
        <w:t>施工招标</w:t>
      </w:r>
    </w:p>
    <w:p w14:paraId="094B5BCD">
      <w:pPr>
        <w:tabs>
          <w:tab w:val="left" w:pos="3891"/>
        </w:tabs>
        <w:spacing w:before="140" w:line="224" w:lineRule="auto"/>
        <w:ind w:left="1661"/>
        <w:rPr>
          <w:rFonts w:ascii="宋体" w:hAnsi="宋体" w:eastAsia="宋体" w:cs="宋体"/>
          <w:color w:val="auto"/>
          <w:spacing w:val="5"/>
          <w:sz w:val="43"/>
          <w:szCs w:val="43"/>
          <w:highlight w:val="none"/>
        </w:rPr>
      </w:pPr>
    </w:p>
    <w:p w14:paraId="6DC1269E">
      <w:pPr>
        <w:tabs>
          <w:tab w:val="left" w:pos="3891"/>
        </w:tabs>
        <w:spacing w:before="140" w:line="224" w:lineRule="auto"/>
        <w:ind w:left="1661"/>
        <w:rPr>
          <w:rFonts w:ascii="宋体" w:hAnsi="宋体" w:eastAsia="宋体" w:cs="宋体"/>
          <w:color w:val="auto"/>
          <w:spacing w:val="5"/>
          <w:sz w:val="43"/>
          <w:szCs w:val="43"/>
          <w:highlight w:val="none"/>
        </w:rPr>
      </w:pPr>
    </w:p>
    <w:p w14:paraId="503D46FD">
      <w:pPr>
        <w:tabs>
          <w:tab w:val="left" w:pos="3891"/>
        </w:tabs>
        <w:spacing w:before="140" w:line="224" w:lineRule="auto"/>
        <w:ind w:left="1661"/>
        <w:rPr>
          <w:rFonts w:ascii="宋体" w:hAnsi="宋体" w:eastAsia="宋体" w:cs="宋体"/>
          <w:color w:val="auto"/>
          <w:spacing w:val="5"/>
          <w:sz w:val="43"/>
          <w:szCs w:val="43"/>
          <w:highlight w:val="none"/>
        </w:rPr>
      </w:pPr>
    </w:p>
    <w:p w14:paraId="7BD4F5CF">
      <w:pPr>
        <w:pStyle w:val="3"/>
        <w:spacing w:line="271" w:lineRule="auto"/>
        <w:rPr>
          <w:color w:val="auto"/>
          <w:highlight w:val="none"/>
        </w:rPr>
      </w:pPr>
    </w:p>
    <w:p w14:paraId="5348D845">
      <w:pPr>
        <w:pStyle w:val="3"/>
        <w:spacing w:line="271" w:lineRule="auto"/>
        <w:rPr>
          <w:color w:val="auto"/>
          <w:highlight w:val="none"/>
        </w:rPr>
      </w:pPr>
    </w:p>
    <w:p w14:paraId="748A67CB">
      <w:pPr>
        <w:pStyle w:val="3"/>
        <w:spacing w:line="271" w:lineRule="auto"/>
        <w:rPr>
          <w:color w:val="auto"/>
          <w:highlight w:val="none"/>
        </w:rPr>
      </w:pPr>
    </w:p>
    <w:p w14:paraId="42BD22CA">
      <w:pPr>
        <w:pStyle w:val="3"/>
        <w:spacing w:line="271" w:lineRule="auto"/>
        <w:rPr>
          <w:color w:val="auto"/>
          <w:highlight w:val="none"/>
        </w:rPr>
      </w:pPr>
    </w:p>
    <w:p w14:paraId="5F411D03">
      <w:pPr>
        <w:pStyle w:val="3"/>
        <w:spacing w:line="271" w:lineRule="auto"/>
        <w:rPr>
          <w:color w:val="auto"/>
          <w:highlight w:val="none"/>
        </w:rPr>
      </w:pPr>
    </w:p>
    <w:p w14:paraId="4A84BD37">
      <w:pPr>
        <w:pStyle w:val="3"/>
        <w:spacing w:line="271" w:lineRule="auto"/>
        <w:rPr>
          <w:color w:val="auto"/>
          <w:highlight w:val="none"/>
        </w:rPr>
      </w:pPr>
    </w:p>
    <w:p w14:paraId="0EC45D5D">
      <w:pPr>
        <w:pStyle w:val="3"/>
        <w:spacing w:line="271" w:lineRule="auto"/>
        <w:rPr>
          <w:color w:val="auto"/>
          <w:highlight w:val="none"/>
        </w:rPr>
      </w:pPr>
    </w:p>
    <w:p w14:paraId="5B4752E6">
      <w:pPr>
        <w:spacing w:before="234" w:line="220" w:lineRule="auto"/>
        <w:ind w:left="4539"/>
        <w:outlineLvl w:val="0"/>
        <w:rPr>
          <w:rFonts w:ascii="宋体" w:hAnsi="宋体" w:eastAsia="宋体" w:cs="宋体"/>
          <w:color w:val="auto"/>
          <w:sz w:val="72"/>
          <w:szCs w:val="72"/>
          <w:highlight w:val="none"/>
        </w:rPr>
      </w:pPr>
      <w:bookmarkStart w:id="0" w:name="_Toc7857"/>
      <w:r>
        <w:rPr>
          <w:rFonts w:ascii="宋体" w:hAnsi="宋体" w:eastAsia="宋体" w:cs="宋体"/>
          <w:b/>
          <w:bCs/>
          <w:color w:val="auto"/>
          <w:spacing w:val="-13"/>
          <w:sz w:val="72"/>
          <w:szCs w:val="72"/>
          <w:highlight w:val="none"/>
        </w:rPr>
        <w:t>招标文件</w:t>
      </w:r>
      <w:bookmarkEnd w:id="0"/>
    </w:p>
    <w:p w14:paraId="133665B7">
      <w:pPr>
        <w:pStyle w:val="3"/>
        <w:spacing w:line="250" w:lineRule="auto"/>
        <w:rPr>
          <w:color w:val="auto"/>
          <w:highlight w:val="none"/>
        </w:rPr>
      </w:pPr>
    </w:p>
    <w:p w14:paraId="32A41459">
      <w:pPr>
        <w:pStyle w:val="3"/>
        <w:spacing w:line="250" w:lineRule="auto"/>
        <w:rPr>
          <w:color w:val="auto"/>
          <w:highlight w:val="none"/>
        </w:rPr>
      </w:pPr>
    </w:p>
    <w:p w14:paraId="4C0F52E9">
      <w:pPr>
        <w:pStyle w:val="3"/>
        <w:spacing w:line="250" w:lineRule="auto"/>
        <w:rPr>
          <w:color w:val="auto"/>
          <w:highlight w:val="none"/>
        </w:rPr>
      </w:pPr>
    </w:p>
    <w:p w14:paraId="399E60F6">
      <w:pPr>
        <w:pStyle w:val="3"/>
        <w:spacing w:line="250" w:lineRule="auto"/>
        <w:rPr>
          <w:color w:val="auto"/>
          <w:highlight w:val="none"/>
        </w:rPr>
      </w:pPr>
    </w:p>
    <w:p w14:paraId="3A892B71">
      <w:pPr>
        <w:pStyle w:val="3"/>
        <w:spacing w:line="250" w:lineRule="auto"/>
        <w:rPr>
          <w:color w:val="auto"/>
          <w:highlight w:val="none"/>
        </w:rPr>
      </w:pPr>
    </w:p>
    <w:p w14:paraId="1DAF83C6">
      <w:pPr>
        <w:pStyle w:val="3"/>
        <w:spacing w:line="250" w:lineRule="auto"/>
        <w:rPr>
          <w:color w:val="auto"/>
          <w:highlight w:val="none"/>
        </w:rPr>
      </w:pPr>
    </w:p>
    <w:p w14:paraId="22C51B84">
      <w:pPr>
        <w:pStyle w:val="3"/>
        <w:spacing w:line="250" w:lineRule="auto"/>
        <w:rPr>
          <w:color w:val="auto"/>
          <w:highlight w:val="none"/>
        </w:rPr>
      </w:pPr>
    </w:p>
    <w:p w14:paraId="7D5335E1">
      <w:pPr>
        <w:pStyle w:val="3"/>
        <w:spacing w:line="250" w:lineRule="auto"/>
        <w:rPr>
          <w:color w:val="auto"/>
          <w:highlight w:val="none"/>
        </w:rPr>
      </w:pPr>
    </w:p>
    <w:p w14:paraId="203B5DB6">
      <w:pPr>
        <w:pStyle w:val="3"/>
        <w:spacing w:line="250" w:lineRule="auto"/>
        <w:rPr>
          <w:color w:val="auto"/>
          <w:highlight w:val="none"/>
        </w:rPr>
      </w:pPr>
    </w:p>
    <w:p w14:paraId="129E6D1A">
      <w:pPr>
        <w:pStyle w:val="3"/>
        <w:spacing w:line="251" w:lineRule="auto"/>
        <w:rPr>
          <w:color w:val="auto"/>
          <w:highlight w:val="none"/>
        </w:rPr>
      </w:pPr>
    </w:p>
    <w:p w14:paraId="691D95F7">
      <w:pPr>
        <w:pStyle w:val="3"/>
        <w:spacing w:line="251" w:lineRule="auto"/>
        <w:rPr>
          <w:color w:val="auto"/>
          <w:highlight w:val="none"/>
        </w:rPr>
      </w:pPr>
    </w:p>
    <w:p w14:paraId="5FC3682F">
      <w:pPr>
        <w:pStyle w:val="3"/>
        <w:spacing w:line="251" w:lineRule="auto"/>
        <w:rPr>
          <w:color w:val="auto"/>
          <w:highlight w:val="none"/>
        </w:rPr>
      </w:pPr>
    </w:p>
    <w:p w14:paraId="20193A86">
      <w:pPr>
        <w:pStyle w:val="3"/>
        <w:spacing w:line="251" w:lineRule="auto"/>
        <w:rPr>
          <w:color w:val="auto"/>
          <w:highlight w:val="none"/>
        </w:rPr>
      </w:pPr>
    </w:p>
    <w:p w14:paraId="51848CF7">
      <w:pPr>
        <w:spacing w:before="101"/>
        <w:ind w:left="420" w:leftChars="200" w:firstLine="1248" w:firstLineChars="400"/>
        <w:jc w:val="both"/>
        <w:rPr>
          <w:rFonts w:ascii="宋体" w:hAnsi="宋体" w:eastAsia="宋体" w:cs="宋体"/>
          <w:color w:val="auto"/>
          <w:sz w:val="15"/>
          <w:szCs w:val="15"/>
          <w:highlight w:val="none"/>
        </w:rPr>
      </w:pPr>
      <w:r>
        <w:rPr>
          <w:rFonts w:hint="eastAsia" w:ascii="宋体" w:hAnsi="宋体" w:eastAsia="宋体" w:cs="宋体"/>
          <w:color w:val="auto"/>
          <w:spacing w:val="1"/>
          <w:sz w:val="31"/>
          <w:szCs w:val="31"/>
          <w:highlight w:val="none"/>
          <w:lang w:val="en-US" w:eastAsia="zh-CN"/>
        </w:rPr>
        <w:t xml:space="preserve">   </w:t>
      </w:r>
      <w:r>
        <w:rPr>
          <w:rFonts w:ascii="宋体" w:hAnsi="宋体" w:eastAsia="宋体" w:cs="宋体"/>
          <w:color w:val="auto"/>
          <w:spacing w:val="1"/>
          <w:sz w:val="31"/>
          <w:szCs w:val="31"/>
          <w:highlight w:val="none"/>
        </w:rPr>
        <w:t xml:space="preserve"> </w:t>
      </w:r>
      <w:r>
        <w:rPr>
          <w:rFonts w:hint="eastAsia" w:ascii="宋体" w:hAnsi="宋体" w:eastAsia="宋体" w:cs="宋体"/>
          <w:color w:val="auto"/>
          <w:spacing w:val="1"/>
          <w:sz w:val="31"/>
          <w:szCs w:val="31"/>
          <w:highlight w:val="none"/>
          <w:lang w:eastAsia="zh-CN"/>
        </w:rPr>
        <w:t>招</w:t>
      </w:r>
      <w:r>
        <w:rPr>
          <w:rFonts w:ascii="宋体" w:hAnsi="宋体" w:eastAsia="宋体" w:cs="宋体"/>
          <w:color w:val="auto"/>
          <w:spacing w:val="1"/>
          <w:sz w:val="31"/>
          <w:szCs w:val="31"/>
          <w:highlight w:val="none"/>
        </w:rPr>
        <w:t>标人</w:t>
      </w:r>
      <w:r>
        <w:rPr>
          <w:rFonts w:ascii="宋体" w:hAnsi="宋体" w:eastAsia="宋体" w:cs="宋体"/>
          <w:color w:val="auto"/>
          <w:spacing w:val="4"/>
          <w:sz w:val="31"/>
          <w:szCs w:val="31"/>
          <w:highlight w:val="none"/>
        </w:rPr>
        <w:t>：</w:t>
      </w:r>
      <w:r>
        <w:rPr>
          <w:rFonts w:hint="eastAsia" w:ascii="宋体" w:hAnsi="宋体" w:eastAsia="宋体" w:cs="宋体"/>
          <w:color w:val="auto"/>
          <w:spacing w:val="4"/>
          <w:sz w:val="31"/>
          <w:szCs w:val="31"/>
          <w:highlight w:val="none"/>
          <w:u w:val="single" w:color="auto"/>
        </w:rPr>
        <w:t>广州市增城区正果镇人民政府</w:t>
      </w:r>
      <w:r>
        <w:rPr>
          <w:rFonts w:ascii="宋体" w:hAnsi="宋体" w:eastAsia="宋体" w:cs="宋体"/>
          <w:color w:val="auto"/>
          <w:spacing w:val="4"/>
          <w:sz w:val="31"/>
          <w:szCs w:val="31"/>
          <w:highlight w:val="none"/>
        </w:rPr>
        <w:t>（</w:t>
      </w:r>
      <w:r>
        <w:rPr>
          <w:rFonts w:ascii="宋体" w:hAnsi="宋体" w:eastAsia="宋体" w:cs="宋体"/>
          <w:color w:val="auto"/>
          <w:spacing w:val="1"/>
          <w:sz w:val="31"/>
          <w:szCs w:val="31"/>
          <w:highlight w:val="none"/>
        </w:rPr>
        <w:t>盖单位章）</w:t>
      </w:r>
    </w:p>
    <w:p w14:paraId="50555405">
      <w:pPr>
        <w:tabs>
          <w:tab w:val="left" w:pos="5952"/>
          <w:tab w:val="left" w:pos="10500"/>
        </w:tabs>
        <w:spacing w:before="219" w:line="377" w:lineRule="auto"/>
        <w:ind w:left="420" w:leftChars="200" w:right="1405" w:rightChars="0" w:firstLine="0" w:firstLineChars="0"/>
        <w:jc w:val="center"/>
        <w:rPr>
          <w:rFonts w:ascii="宋体" w:hAnsi="宋体" w:eastAsia="宋体" w:cs="宋体"/>
          <w:color w:val="auto"/>
          <w:spacing w:val="-89"/>
          <w:sz w:val="31"/>
          <w:szCs w:val="31"/>
          <w:highlight w:val="none"/>
        </w:rPr>
      </w:pPr>
      <w:r>
        <w:rPr>
          <w:rFonts w:hint="eastAsia" w:ascii="宋体" w:hAnsi="宋体" w:eastAsia="宋体" w:cs="宋体"/>
          <w:color w:val="auto"/>
          <w:spacing w:val="4"/>
          <w:sz w:val="31"/>
          <w:szCs w:val="31"/>
          <w:highlight w:val="none"/>
          <w:lang w:val="en-US" w:eastAsia="zh-CN"/>
        </w:rPr>
        <w:t xml:space="preserve">           </w:t>
      </w:r>
      <w:r>
        <w:rPr>
          <w:rFonts w:ascii="宋体" w:hAnsi="宋体" w:eastAsia="宋体" w:cs="宋体"/>
          <w:color w:val="auto"/>
          <w:spacing w:val="4"/>
          <w:sz w:val="31"/>
          <w:szCs w:val="31"/>
          <w:highlight w:val="none"/>
        </w:rPr>
        <w:t>招标代理机构</w:t>
      </w:r>
      <w:r>
        <w:rPr>
          <w:rFonts w:ascii="宋体" w:hAnsi="宋体" w:eastAsia="宋体" w:cs="宋体"/>
          <w:color w:val="auto"/>
          <w:spacing w:val="5"/>
          <w:sz w:val="31"/>
          <w:szCs w:val="31"/>
          <w:highlight w:val="none"/>
        </w:rPr>
        <w:t>：</w:t>
      </w:r>
      <w:r>
        <w:rPr>
          <w:rFonts w:hint="eastAsia" w:ascii="宋体" w:hAnsi="宋体" w:eastAsia="宋体" w:cs="宋体"/>
          <w:color w:val="auto"/>
          <w:spacing w:val="4"/>
          <w:sz w:val="31"/>
          <w:szCs w:val="31"/>
          <w:highlight w:val="none"/>
          <w:u w:val="single" w:color="auto"/>
          <w:lang w:eastAsia="zh-CN"/>
        </w:rPr>
        <w:t>广州建筑工程监理有限公司</w:t>
      </w:r>
      <w:r>
        <w:rPr>
          <w:rFonts w:ascii="宋体" w:hAnsi="宋体" w:eastAsia="宋体" w:cs="宋体"/>
          <w:color w:val="auto"/>
          <w:spacing w:val="5"/>
          <w:sz w:val="31"/>
          <w:szCs w:val="31"/>
          <w:highlight w:val="none"/>
        </w:rPr>
        <w:t>（</w:t>
      </w:r>
      <w:r>
        <w:rPr>
          <w:rFonts w:ascii="宋体" w:hAnsi="宋体" w:eastAsia="宋体" w:cs="宋体"/>
          <w:color w:val="auto"/>
          <w:spacing w:val="4"/>
          <w:sz w:val="31"/>
          <w:szCs w:val="31"/>
          <w:highlight w:val="none"/>
        </w:rPr>
        <w:t>盖单位章）</w:t>
      </w:r>
    </w:p>
    <w:p w14:paraId="17781BC4">
      <w:pPr>
        <w:tabs>
          <w:tab w:val="left" w:pos="5952"/>
        </w:tabs>
        <w:spacing w:before="219" w:line="377" w:lineRule="auto"/>
        <w:ind w:left="420" w:leftChars="200" w:right="2488" w:firstLine="1224" w:firstLineChars="400"/>
        <w:jc w:val="center"/>
        <w:rPr>
          <w:rFonts w:ascii="宋体" w:hAnsi="宋体" w:eastAsia="宋体" w:cs="宋体"/>
          <w:color w:val="auto"/>
          <w:sz w:val="31"/>
          <w:szCs w:val="31"/>
          <w:highlight w:val="none"/>
        </w:rPr>
      </w:pPr>
      <w:r>
        <w:rPr>
          <w:rFonts w:hint="eastAsia" w:ascii="宋体" w:hAnsi="宋体" w:eastAsia="宋体" w:cs="宋体"/>
          <w:color w:val="auto"/>
          <w:spacing w:val="-2"/>
          <w:sz w:val="31"/>
          <w:szCs w:val="31"/>
          <w:highlight w:val="none"/>
          <w:u w:val="single"/>
          <w:lang w:val="en-US" w:eastAsia="zh-CN"/>
        </w:rPr>
        <w:t>2026</w:t>
      </w:r>
      <w:r>
        <w:rPr>
          <w:rFonts w:ascii="宋体" w:hAnsi="宋体" w:eastAsia="宋体" w:cs="宋体"/>
          <w:color w:val="auto"/>
          <w:spacing w:val="-2"/>
          <w:sz w:val="31"/>
          <w:szCs w:val="31"/>
          <w:highlight w:val="none"/>
        </w:rPr>
        <w:t>年</w:t>
      </w:r>
      <w:r>
        <w:rPr>
          <w:rFonts w:ascii="宋体" w:hAnsi="宋体" w:eastAsia="宋体" w:cs="宋体"/>
          <w:color w:val="auto"/>
          <w:spacing w:val="-155"/>
          <w:sz w:val="31"/>
          <w:szCs w:val="31"/>
          <w:highlight w:val="none"/>
        </w:rPr>
        <w:t xml:space="preserve"> </w:t>
      </w:r>
      <w:r>
        <w:rPr>
          <w:rFonts w:ascii="宋体" w:hAnsi="宋体" w:eastAsia="宋体" w:cs="宋体"/>
          <w:color w:val="auto"/>
          <w:spacing w:val="5"/>
          <w:sz w:val="31"/>
          <w:szCs w:val="31"/>
          <w:highlight w:val="none"/>
          <w:u w:val="single" w:color="auto"/>
        </w:rPr>
        <w:t xml:space="preserve"> </w:t>
      </w:r>
      <w:r>
        <w:rPr>
          <w:rFonts w:hint="eastAsia" w:ascii="宋体" w:hAnsi="宋体" w:eastAsia="宋体" w:cs="宋体"/>
          <w:color w:val="auto"/>
          <w:spacing w:val="5"/>
          <w:sz w:val="31"/>
          <w:szCs w:val="31"/>
          <w:highlight w:val="none"/>
          <w:u w:val="single" w:color="auto"/>
          <w:lang w:val="en-US" w:eastAsia="zh-CN"/>
        </w:rPr>
        <w:t>1</w:t>
      </w:r>
      <w:r>
        <w:rPr>
          <w:rFonts w:ascii="宋体" w:hAnsi="宋体" w:eastAsia="宋体" w:cs="宋体"/>
          <w:color w:val="auto"/>
          <w:spacing w:val="5"/>
          <w:sz w:val="31"/>
          <w:szCs w:val="31"/>
          <w:highlight w:val="none"/>
          <w:u w:val="single" w:color="auto"/>
        </w:rPr>
        <w:t xml:space="preserve"> </w:t>
      </w:r>
      <w:r>
        <w:rPr>
          <w:rFonts w:ascii="宋体" w:hAnsi="宋体" w:eastAsia="宋体" w:cs="宋体"/>
          <w:color w:val="auto"/>
          <w:spacing w:val="-135"/>
          <w:sz w:val="31"/>
          <w:szCs w:val="31"/>
          <w:highlight w:val="none"/>
        </w:rPr>
        <w:t xml:space="preserve"> </w:t>
      </w:r>
      <w:r>
        <w:rPr>
          <w:rFonts w:ascii="宋体" w:hAnsi="宋体" w:eastAsia="宋体" w:cs="宋体"/>
          <w:color w:val="auto"/>
          <w:spacing w:val="-2"/>
          <w:sz w:val="31"/>
          <w:szCs w:val="31"/>
          <w:highlight w:val="none"/>
        </w:rPr>
        <w:t>月</w:t>
      </w:r>
    </w:p>
    <w:p w14:paraId="44B2BDDA">
      <w:pPr>
        <w:pStyle w:val="3"/>
        <w:spacing w:line="284" w:lineRule="auto"/>
        <w:rPr>
          <w:color w:val="auto"/>
          <w:highlight w:val="none"/>
        </w:rPr>
      </w:pPr>
    </w:p>
    <w:p w14:paraId="65257996">
      <w:pPr>
        <w:pStyle w:val="3"/>
        <w:spacing w:line="284" w:lineRule="auto"/>
        <w:rPr>
          <w:color w:val="auto"/>
          <w:highlight w:val="none"/>
        </w:rPr>
      </w:pPr>
    </w:p>
    <w:p w14:paraId="62F7EA0F">
      <w:pPr>
        <w:spacing w:before="18" w:line="233" w:lineRule="auto"/>
        <w:ind w:left="1422" w:right="1416" w:hanging="1"/>
        <w:rPr>
          <w:rFonts w:ascii="宋体" w:hAnsi="宋体" w:eastAsia="宋体" w:cs="宋体"/>
          <w:color w:val="auto"/>
          <w:sz w:val="18"/>
          <w:szCs w:val="18"/>
          <w:highlight w:val="none"/>
        </w:rPr>
      </w:pPr>
    </w:p>
    <w:p w14:paraId="673AB100">
      <w:pPr>
        <w:spacing w:line="217" w:lineRule="auto"/>
        <w:rPr>
          <w:rFonts w:ascii="宋体" w:hAnsi="宋体" w:eastAsia="宋体" w:cs="宋体"/>
          <w:color w:val="auto"/>
          <w:sz w:val="18"/>
          <w:szCs w:val="18"/>
          <w:highlight w:val="none"/>
        </w:rPr>
        <w:sectPr>
          <w:headerReference r:id="rId5" w:type="default"/>
          <w:pgSz w:w="11905" w:h="16840"/>
          <w:pgMar w:top="1182" w:right="0" w:bottom="0" w:left="0" w:header="849" w:footer="0" w:gutter="0"/>
          <w:cols w:space="720" w:num="1"/>
        </w:sectPr>
      </w:pPr>
    </w:p>
    <w:p w14:paraId="1B92ACBA">
      <w:pPr>
        <w:pStyle w:val="3"/>
        <w:spacing w:line="325" w:lineRule="auto"/>
        <w:rPr>
          <w:color w:val="auto"/>
          <w:highlight w:val="none"/>
        </w:rPr>
      </w:pPr>
    </w:p>
    <w:p w14:paraId="73341C86">
      <w:pPr>
        <w:pStyle w:val="3"/>
        <w:spacing w:line="325" w:lineRule="auto"/>
        <w:rPr>
          <w:color w:val="auto"/>
          <w:highlight w:val="none"/>
        </w:rPr>
      </w:pPr>
    </w:p>
    <w:p w14:paraId="01BE8F60">
      <w:pPr>
        <w:spacing w:before="0" w:beforeLines="0" w:after="0" w:afterLines="0" w:line="240" w:lineRule="auto"/>
        <w:ind w:left="0" w:leftChars="0" w:right="0" w:rightChars="0" w:firstLine="0" w:firstLineChars="0"/>
        <w:jc w:val="center"/>
        <w:rPr>
          <w:color w:val="auto"/>
          <w:sz w:val="44"/>
          <w:szCs w:val="44"/>
        </w:rPr>
      </w:pPr>
      <w:r>
        <w:rPr>
          <w:rFonts w:ascii="宋体" w:hAnsi="宋体" w:eastAsia="宋体"/>
          <w:color w:val="auto"/>
          <w:sz w:val="44"/>
          <w:szCs w:val="44"/>
        </w:rPr>
        <w:t>目录</w:t>
      </w:r>
      <w:bookmarkStart w:id="53" w:name="_GoBack"/>
      <w:bookmarkEnd w:id="53"/>
    </w:p>
    <w:p w14:paraId="6E77A506">
      <w:pPr>
        <w:pStyle w:val="7"/>
        <w:tabs>
          <w:tab w:val="right" w:leader="dot" w:pos="11140"/>
        </w:tabs>
        <w:ind w:left="195" w:leftChars="93" w:firstLine="1682" w:firstLineChars="701"/>
        <w:rPr>
          <w:rFonts w:hint="eastAsia" w:ascii="宋体" w:hAnsi="宋体" w:eastAsia="宋体" w:cs="宋体"/>
          <w:color w:val="auto"/>
          <w:sz w:val="24"/>
          <w:szCs w:val="24"/>
        </w:rPr>
      </w:pPr>
      <w:r>
        <w:rPr>
          <w:rFonts w:ascii="黑体" w:hAnsi="黑体" w:eastAsia="黑体" w:cs="黑体"/>
          <w:color w:val="auto"/>
          <w:sz w:val="24"/>
          <w:szCs w:val="24"/>
          <w:highlight w:val="none"/>
        </w:rPr>
        <w:fldChar w:fldCharType="begin"/>
      </w:r>
      <w:r>
        <w:rPr>
          <w:rFonts w:ascii="黑体" w:hAnsi="黑体" w:eastAsia="黑体" w:cs="黑体"/>
          <w:color w:val="auto"/>
          <w:sz w:val="24"/>
          <w:szCs w:val="24"/>
          <w:highlight w:val="none"/>
        </w:rPr>
        <w:instrText xml:space="preserve">TOC \o "1-3" \h \u </w:instrText>
      </w:r>
      <w:r>
        <w:rPr>
          <w:rFonts w:ascii="黑体" w:hAnsi="黑体" w:eastAsia="黑体" w:cs="黑体"/>
          <w:color w:val="auto"/>
          <w:sz w:val="24"/>
          <w:szCs w:val="24"/>
          <w:highlight w:val="none"/>
        </w:rPr>
        <w:fldChar w:fldCharType="separate"/>
      </w:r>
    </w:p>
    <w:p w14:paraId="0FB072E8">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第一章</w:t>
      </w:r>
      <w:r>
        <w:rPr>
          <w:rFonts w:hint="eastAsia" w:ascii="宋体" w:hAnsi="宋体" w:eastAsia="宋体" w:cs="宋体"/>
          <w:color w:val="auto"/>
          <w:spacing w:val="4"/>
          <w:sz w:val="24"/>
          <w:szCs w:val="24"/>
          <w:highlight w:val="none"/>
        </w:rPr>
        <w:t xml:space="preserve"> </w:t>
      </w:r>
      <w:r>
        <w:rPr>
          <w:rFonts w:hint="eastAsia" w:ascii="宋体" w:hAnsi="宋体" w:eastAsia="宋体" w:cs="宋体"/>
          <w:bCs/>
          <w:color w:val="auto"/>
          <w:spacing w:val="4"/>
          <w:sz w:val="24"/>
          <w:szCs w:val="24"/>
          <w:highlight w:val="none"/>
        </w:rPr>
        <w:t>招标公告（未进行资格预审）</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_Toc2128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4524AB05">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_Toc20745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第二章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投标人须知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_Toc20745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6C7E490C">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_Toc26781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第三章</w:t>
      </w:r>
      <w:r>
        <w:rPr>
          <w:rFonts w:hint="eastAsia" w:ascii="宋体" w:hAnsi="宋体" w:eastAsia="宋体" w:cs="宋体"/>
          <w:color w:val="auto"/>
          <w:spacing w:val="7"/>
          <w:sz w:val="24"/>
          <w:szCs w:val="24"/>
          <w:highlight w:val="none"/>
        </w:rPr>
        <w:t xml:space="preserve"> </w:t>
      </w:r>
      <w:r>
        <w:rPr>
          <w:rFonts w:hint="eastAsia" w:ascii="宋体" w:hAnsi="宋体" w:eastAsia="宋体" w:cs="宋体"/>
          <w:bCs/>
          <w:color w:val="auto"/>
          <w:spacing w:val="7"/>
          <w:sz w:val="24"/>
          <w:szCs w:val="24"/>
          <w:highlight w:val="none"/>
        </w:rPr>
        <w:t>评标办法（双信封的技术评分最低标价法)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_Toc26781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5FCDC3F1">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_Toc24207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第四章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合同条款及格式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_Toc24207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060ABC3E">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_Toc24031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第五章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工程量清单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_Toc24031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166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74A9539B">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_Toc12806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第六章</w:t>
      </w:r>
      <w:r>
        <w:rPr>
          <w:rFonts w:hint="eastAsia" w:ascii="宋体" w:hAnsi="宋体" w:eastAsia="宋体" w:cs="宋体"/>
          <w:color w:val="auto"/>
          <w:spacing w:val="71"/>
          <w:sz w:val="24"/>
          <w:szCs w:val="24"/>
          <w:highlight w:val="none"/>
        </w:rPr>
        <w:t xml:space="preserve"> </w:t>
      </w:r>
      <w:r>
        <w:rPr>
          <w:rFonts w:hint="eastAsia" w:ascii="宋体" w:hAnsi="宋体" w:eastAsia="宋体" w:cs="宋体"/>
          <w:bCs/>
          <w:color w:val="auto"/>
          <w:spacing w:val="-3"/>
          <w:sz w:val="24"/>
          <w:szCs w:val="24"/>
          <w:highlight w:val="none"/>
        </w:rPr>
        <w:t>图纸（另册)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_Toc12806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169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04E0CD1E">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_Toc11316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第七章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技术规范</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_Toc11316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14A3C626">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_Toc20782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第八章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工程量清单计量规则</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_Toc20782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3AF34332">
      <w:pPr>
        <w:pStyle w:val="7"/>
        <w:keepNext w:val="0"/>
        <w:keepLines w:val="0"/>
        <w:pageBreakBefore w:val="0"/>
        <w:widowControl/>
        <w:tabs>
          <w:tab w:val="right" w:leader="dot" w:pos="11140"/>
        </w:tabs>
        <w:kinsoku w:val="0"/>
        <w:wordWrap/>
        <w:overflowPunct/>
        <w:topLinePunct w:val="0"/>
        <w:autoSpaceDE w:val="0"/>
        <w:autoSpaceDN w:val="0"/>
        <w:bidi w:val="0"/>
        <w:adjustRightInd w:val="0"/>
        <w:snapToGrid w:val="0"/>
        <w:spacing w:line="480" w:lineRule="auto"/>
        <w:ind w:left="195" w:leftChars="93" w:firstLine="1682" w:firstLineChars="701"/>
        <w:textAlignment w:val="baseline"/>
        <w:rPr>
          <w:color w:val="auto"/>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_Toc16272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第九章</w:t>
      </w:r>
      <w:r>
        <w:rPr>
          <w:rFonts w:hint="eastAsia" w:ascii="宋体" w:hAnsi="宋体" w:eastAsia="宋体" w:cs="宋体"/>
          <w:color w:val="auto"/>
          <w:spacing w:val="5"/>
          <w:sz w:val="24"/>
          <w:szCs w:val="24"/>
          <w:highlight w:val="none"/>
        </w:rPr>
        <w:t xml:space="preserve"> </w:t>
      </w:r>
      <w:r>
        <w:rPr>
          <w:rFonts w:hint="eastAsia" w:ascii="宋体" w:hAnsi="宋体" w:eastAsia="宋体" w:cs="宋体"/>
          <w:bCs/>
          <w:color w:val="auto"/>
          <w:spacing w:val="5"/>
          <w:sz w:val="24"/>
          <w:szCs w:val="24"/>
          <w:highlight w:val="none"/>
        </w:rPr>
        <w:t>投标文件格式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_Toc16272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240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14:paraId="28DE305E">
      <w:pPr>
        <w:spacing w:line="222" w:lineRule="auto"/>
        <w:rPr>
          <w:rFonts w:ascii="黑体" w:hAnsi="黑体" w:eastAsia="黑体" w:cs="黑体"/>
          <w:snapToGrid w:val="0"/>
          <w:color w:val="auto"/>
          <w:kern w:val="0"/>
          <w:sz w:val="21"/>
          <w:szCs w:val="24"/>
          <w:highlight w:val="none"/>
          <w:lang w:val="en-US" w:eastAsia="en-US" w:bidi="ar-SA"/>
        </w:rPr>
      </w:pPr>
      <w:r>
        <w:rPr>
          <w:rFonts w:ascii="黑体" w:hAnsi="黑体" w:eastAsia="黑体" w:cs="黑体"/>
          <w:color w:val="auto"/>
          <w:szCs w:val="24"/>
          <w:highlight w:val="none"/>
        </w:rPr>
        <w:fldChar w:fldCharType="end"/>
      </w:r>
    </w:p>
    <w:p w14:paraId="02E45E82">
      <w:pPr>
        <w:spacing w:line="222" w:lineRule="auto"/>
        <w:rPr>
          <w:rFonts w:ascii="黑体" w:hAnsi="黑体" w:eastAsia="黑体" w:cs="黑体"/>
          <w:snapToGrid w:val="0"/>
          <w:color w:val="auto"/>
          <w:kern w:val="0"/>
          <w:sz w:val="21"/>
          <w:szCs w:val="24"/>
          <w:highlight w:val="none"/>
          <w:lang w:val="en-US" w:eastAsia="en-US" w:bidi="ar-SA"/>
        </w:rPr>
      </w:pPr>
    </w:p>
    <w:p w14:paraId="25FB4F20">
      <w:pPr>
        <w:spacing w:line="222" w:lineRule="auto"/>
        <w:rPr>
          <w:rFonts w:ascii="Arial" w:hAnsi="Arial" w:eastAsia="Arial" w:cs="Arial"/>
          <w:snapToGrid w:val="0"/>
          <w:color w:val="auto"/>
          <w:kern w:val="0"/>
          <w:sz w:val="21"/>
          <w:szCs w:val="21"/>
          <w:lang w:val="en-US" w:eastAsia="en-US" w:bidi="ar-SA"/>
        </w:rPr>
      </w:pPr>
    </w:p>
    <w:p w14:paraId="42A038A3">
      <w:pPr>
        <w:spacing w:line="222" w:lineRule="auto"/>
        <w:rPr>
          <w:color w:val="auto"/>
          <w:lang w:val="en-US" w:eastAsia="en-US"/>
        </w:rPr>
      </w:pPr>
    </w:p>
    <w:p w14:paraId="22D08E05">
      <w:pPr>
        <w:spacing w:line="222" w:lineRule="auto"/>
        <w:rPr>
          <w:color w:val="auto"/>
          <w:lang w:val="en-US" w:eastAsia="en-US"/>
        </w:rPr>
      </w:pPr>
    </w:p>
    <w:p w14:paraId="26DE96C2">
      <w:pPr>
        <w:spacing w:line="222" w:lineRule="auto"/>
        <w:rPr>
          <w:color w:val="auto"/>
          <w:lang w:val="en-US" w:eastAsia="en-US"/>
        </w:rPr>
      </w:pPr>
    </w:p>
    <w:p w14:paraId="644F24BE">
      <w:pPr>
        <w:spacing w:line="222" w:lineRule="auto"/>
        <w:rPr>
          <w:color w:val="auto"/>
          <w:lang w:val="en-US" w:eastAsia="en-US"/>
        </w:rPr>
      </w:pPr>
    </w:p>
    <w:p w14:paraId="694EF771">
      <w:pPr>
        <w:spacing w:line="222" w:lineRule="auto"/>
        <w:rPr>
          <w:color w:val="auto"/>
          <w:lang w:val="en-US" w:eastAsia="en-US"/>
        </w:rPr>
      </w:pPr>
    </w:p>
    <w:p w14:paraId="6230B7FE">
      <w:pPr>
        <w:spacing w:line="222" w:lineRule="auto"/>
        <w:rPr>
          <w:color w:val="auto"/>
          <w:lang w:val="en-US" w:eastAsia="en-US"/>
        </w:rPr>
      </w:pPr>
    </w:p>
    <w:p w14:paraId="723789D3">
      <w:pPr>
        <w:spacing w:line="222" w:lineRule="auto"/>
        <w:rPr>
          <w:rFonts w:hint="eastAsia" w:eastAsia="宋体"/>
          <w:color w:val="auto"/>
          <w:lang w:val="en-US" w:eastAsia="zh-CN"/>
        </w:rPr>
        <w:sectPr>
          <w:headerReference r:id="rId6" w:type="default"/>
          <w:footerReference r:id="rId7" w:type="default"/>
          <w:pgSz w:w="11905" w:h="16840"/>
          <w:pgMar w:top="1182" w:right="0" w:bottom="1171" w:left="0" w:header="849" w:footer="936" w:gutter="0"/>
          <w:pgNumType w:fmt="decimal" w:start="1"/>
          <w:cols w:space="720" w:num="1"/>
        </w:sectPr>
      </w:pPr>
      <w:r>
        <w:rPr>
          <w:rFonts w:hint="eastAsia" w:eastAsia="宋体"/>
          <w:color w:val="auto"/>
          <w:lang w:val="en-US" w:eastAsia="zh-CN"/>
        </w:rPr>
        <w:tab/>
      </w:r>
    </w:p>
    <w:p w14:paraId="58EA4A84">
      <w:pPr>
        <w:pStyle w:val="3"/>
        <w:spacing w:line="252" w:lineRule="auto"/>
        <w:rPr>
          <w:color w:val="auto"/>
          <w:highlight w:val="none"/>
        </w:rPr>
      </w:pPr>
    </w:p>
    <w:p w14:paraId="6A2346E9">
      <w:pPr>
        <w:pStyle w:val="3"/>
        <w:spacing w:line="252" w:lineRule="auto"/>
        <w:rPr>
          <w:color w:val="auto"/>
          <w:highlight w:val="none"/>
        </w:rPr>
      </w:pPr>
    </w:p>
    <w:p w14:paraId="0CDC8440">
      <w:pPr>
        <w:pStyle w:val="3"/>
        <w:spacing w:line="252" w:lineRule="auto"/>
        <w:rPr>
          <w:color w:val="auto"/>
          <w:highlight w:val="none"/>
        </w:rPr>
      </w:pPr>
    </w:p>
    <w:p w14:paraId="2EDC26DC">
      <w:pPr>
        <w:pStyle w:val="3"/>
        <w:spacing w:line="252" w:lineRule="auto"/>
        <w:rPr>
          <w:color w:val="auto"/>
          <w:highlight w:val="none"/>
        </w:rPr>
      </w:pPr>
    </w:p>
    <w:p w14:paraId="070D7375">
      <w:pPr>
        <w:pStyle w:val="3"/>
        <w:spacing w:line="252" w:lineRule="auto"/>
        <w:rPr>
          <w:color w:val="auto"/>
          <w:highlight w:val="none"/>
        </w:rPr>
      </w:pPr>
    </w:p>
    <w:p w14:paraId="4734AEA0">
      <w:pPr>
        <w:pStyle w:val="3"/>
        <w:spacing w:line="252" w:lineRule="auto"/>
        <w:rPr>
          <w:color w:val="auto"/>
          <w:highlight w:val="none"/>
        </w:rPr>
      </w:pPr>
    </w:p>
    <w:p w14:paraId="0E96BDC9">
      <w:pPr>
        <w:pStyle w:val="3"/>
        <w:spacing w:line="252" w:lineRule="auto"/>
        <w:rPr>
          <w:color w:val="auto"/>
          <w:highlight w:val="none"/>
        </w:rPr>
      </w:pPr>
    </w:p>
    <w:p w14:paraId="08EC2B8E">
      <w:pPr>
        <w:pStyle w:val="3"/>
        <w:spacing w:line="252" w:lineRule="auto"/>
        <w:rPr>
          <w:color w:val="auto"/>
          <w:highlight w:val="none"/>
        </w:rPr>
      </w:pPr>
    </w:p>
    <w:p w14:paraId="0391AFCF">
      <w:pPr>
        <w:pStyle w:val="3"/>
        <w:spacing w:line="252" w:lineRule="auto"/>
        <w:rPr>
          <w:color w:val="auto"/>
          <w:highlight w:val="none"/>
        </w:rPr>
      </w:pPr>
    </w:p>
    <w:p w14:paraId="1452D997">
      <w:pPr>
        <w:pStyle w:val="3"/>
        <w:spacing w:line="253" w:lineRule="auto"/>
        <w:rPr>
          <w:color w:val="auto"/>
          <w:highlight w:val="none"/>
        </w:rPr>
      </w:pPr>
    </w:p>
    <w:p w14:paraId="6DA2470C">
      <w:pPr>
        <w:pStyle w:val="3"/>
        <w:spacing w:line="253" w:lineRule="auto"/>
        <w:rPr>
          <w:color w:val="auto"/>
          <w:highlight w:val="none"/>
        </w:rPr>
      </w:pPr>
    </w:p>
    <w:p w14:paraId="68806FA5">
      <w:pPr>
        <w:pStyle w:val="3"/>
        <w:spacing w:line="253" w:lineRule="auto"/>
        <w:rPr>
          <w:color w:val="auto"/>
          <w:highlight w:val="none"/>
        </w:rPr>
      </w:pPr>
    </w:p>
    <w:p w14:paraId="6F0D739D">
      <w:pPr>
        <w:pStyle w:val="3"/>
        <w:spacing w:line="253" w:lineRule="auto"/>
        <w:rPr>
          <w:color w:val="auto"/>
          <w:highlight w:val="none"/>
        </w:rPr>
      </w:pPr>
    </w:p>
    <w:p w14:paraId="7AE64E5D">
      <w:pPr>
        <w:pStyle w:val="3"/>
        <w:spacing w:line="253" w:lineRule="auto"/>
        <w:rPr>
          <w:color w:val="auto"/>
          <w:highlight w:val="none"/>
        </w:rPr>
      </w:pPr>
    </w:p>
    <w:p w14:paraId="19435BCA">
      <w:pPr>
        <w:pStyle w:val="3"/>
        <w:spacing w:line="253" w:lineRule="auto"/>
        <w:rPr>
          <w:color w:val="auto"/>
          <w:highlight w:val="none"/>
        </w:rPr>
      </w:pPr>
    </w:p>
    <w:p w14:paraId="7794C8D0">
      <w:pPr>
        <w:pStyle w:val="3"/>
        <w:spacing w:line="253" w:lineRule="auto"/>
        <w:rPr>
          <w:color w:val="auto"/>
          <w:highlight w:val="none"/>
        </w:rPr>
      </w:pPr>
    </w:p>
    <w:p w14:paraId="40F7527D">
      <w:pPr>
        <w:pStyle w:val="3"/>
        <w:spacing w:line="253" w:lineRule="auto"/>
        <w:rPr>
          <w:color w:val="auto"/>
          <w:highlight w:val="none"/>
        </w:rPr>
      </w:pPr>
    </w:p>
    <w:p w14:paraId="526E5CCF">
      <w:pPr>
        <w:spacing w:before="234" w:line="222" w:lineRule="auto"/>
        <w:ind w:left="4540"/>
        <w:rPr>
          <w:rFonts w:ascii="黑体" w:hAnsi="黑体" w:eastAsia="黑体" w:cs="黑体"/>
          <w:color w:val="auto"/>
          <w:sz w:val="72"/>
          <w:szCs w:val="72"/>
          <w:highlight w:val="none"/>
        </w:rPr>
      </w:pPr>
      <w:r>
        <w:rPr>
          <w:rFonts w:ascii="黑体" w:hAnsi="黑体" w:eastAsia="黑体" w:cs="黑体"/>
          <w:color w:val="auto"/>
          <w:spacing w:val="-23"/>
          <w:sz w:val="72"/>
          <w:szCs w:val="72"/>
          <w:highlight w:val="none"/>
        </w:rPr>
        <w:t>第</w:t>
      </w:r>
      <w:r>
        <w:rPr>
          <w:rFonts w:ascii="黑体" w:hAnsi="黑体" w:eastAsia="黑体" w:cs="黑体"/>
          <w:color w:val="auto"/>
          <w:spacing w:val="39"/>
          <w:sz w:val="72"/>
          <w:szCs w:val="72"/>
          <w:highlight w:val="none"/>
        </w:rPr>
        <w:t xml:space="preserve"> </w:t>
      </w:r>
      <w:r>
        <w:rPr>
          <w:rFonts w:ascii="黑体" w:hAnsi="黑体" w:eastAsia="黑体" w:cs="黑体"/>
          <w:color w:val="auto"/>
          <w:spacing w:val="-23"/>
          <w:sz w:val="72"/>
          <w:szCs w:val="72"/>
          <w:highlight w:val="none"/>
        </w:rPr>
        <w:t>一</w:t>
      </w:r>
      <w:r>
        <w:rPr>
          <w:rFonts w:ascii="黑体" w:hAnsi="黑体" w:eastAsia="黑体" w:cs="黑体"/>
          <w:color w:val="auto"/>
          <w:spacing w:val="40"/>
          <w:sz w:val="72"/>
          <w:szCs w:val="72"/>
          <w:highlight w:val="none"/>
        </w:rPr>
        <w:t xml:space="preserve"> </w:t>
      </w:r>
      <w:r>
        <w:rPr>
          <w:rFonts w:ascii="黑体" w:hAnsi="黑体" w:eastAsia="黑体" w:cs="黑体"/>
          <w:color w:val="auto"/>
          <w:spacing w:val="-23"/>
          <w:sz w:val="72"/>
          <w:szCs w:val="72"/>
          <w:highlight w:val="none"/>
        </w:rPr>
        <w:t>卷</w:t>
      </w:r>
    </w:p>
    <w:p w14:paraId="4798B026">
      <w:pPr>
        <w:spacing w:line="222" w:lineRule="auto"/>
        <w:rPr>
          <w:rFonts w:ascii="黑体" w:hAnsi="黑体" w:eastAsia="黑体" w:cs="黑体"/>
          <w:color w:val="auto"/>
          <w:sz w:val="72"/>
          <w:szCs w:val="72"/>
          <w:highlight w:val="none"/>
        </w:rPr>
        <w:sectPr>
          <w:headerReference r:id="rId8" w:type="default"/>
          <w:footerReference r:id="rId9" w:type="default"/>
          <w:pgSz w:w="11905" w:h="16840"/>
          <w:pgMar w:top="1182" w:right="0" w:bottom="1171" w:left="0" w:header="849" w:footer="936" w:gutter="0"/>
          <w:pgNumType w:fmt="decimal"/>
          <w:cols w:space="720" w:num="1"/>
        </w:sectPr>
      </w:pPr>
    </w:p>
    <w:p w14:paraId="03F0CFAA">
      <w:pPr>
        <w:pStyle w:val="3"/>
        <w:spacing w:line="242" w:lineRule="auto"/>
        <w:rPr>
          <w:color w:val="auto"/>
          <w:highlight w:val="none"/>
        </w:rPr>
      </w:pPr>
    </w:p>
    <w:p w14:paraId="337EBC37">
      <w:pPr>
        <w:pStyle w:val="3"/>
        <w:spacing w:line="242" w:lineRule="auto"/>
        <w:rPr>
          <w:color w:val="auto"/>
          <w:highlight w:val="none"/>
        </w:rPr>
      </w:pPr>
    </w:p>
    <w:p w14:paraId="22A81FA9">
      <w:pPr>
        <w:pStyle w:val="3"/>
        <w:spacing w:line="243" w:lineRule="auto"/>
        <w:rPr>
          <w:color w:val="auto"/>
          <w:highlight w:val="none"/>
        </w:rPr>
      </w:pPr>
    </w:p>
    <w:p w14:paraId="0B04EF75">
      <w:pPr>
        <w:pStyle w:val="3"/>
        <w:spacing w:line="243" w:lineRule="auto"/>
        <w:rPr>
          <w:color w:val="auto"/>
          <w:highlight w:val="none"/>
        </w:rPr>
      </w:pPr>
    </w:p>
    <w:p w14:paraId="0DCAC0DA">
      <w:pPr>
        <w:pStyle w:val="3"/>
        <w:spacing w:line="243" w:lineRule="auto"/>
        <w:rPr>
          <w:color w:val="auto"/>
          <w:highlight w:val="none"/>
        </w:rPr>
      </w:pPr>
    </w:p>
    <w:p w14:paraId="14E8B61A">
      <w:pPr>
        <w:pStyle w:val="3"/>
        <w:spacing w:line="243" w:lineRule="auto"/>
        <w:rPr>
          <w:color w:val="auto"/>
          <w:highlight w:val="none"/>
        </w:rPr>
      </w:pPr>
    </w:p>
    <w:p w14:paraId="754ACE4A">
      <w:pPr>
        <w:pStyle w:val="3"/>
        <w:spacing w:line="243" w:lineRule="auto"/>
        <w:rPr>
          <w:color w:val="auto"/>
          <w:highlight w:val="none"/>
        </w:rPr>
      </w:pPr>
    </w:p>
    <w:p w14:paraId="32551AE0">
      <w:pPr>
        <w:pStyle w:val="3"/>
        <w:spacing w:line="243" w:lineRule="auto"/>
        <w:rPr>
          <w:color w:val="auto"/>
          <w:highlight w:val="none"/>
        </w:rPr>
      </w:pPr>
    </w:p>
    <w:p w14:paraId="0B350B0E">
      <w:pPr>
        <w:pStyle w:val="3"/>
        <w:spacing w:line="243" w:lineRule="auto"/>
        <w:rPr>
          <w:color w:val="auto"/>
          <w:highlight w:val="none"/>
        </w:rPr>
      </w:pPr>
    </w:p>
    <w:p w14:paraId="5C1E1A8D">
      <w:pPr>
        <w:pStyle w:val="3"/>
        <w:spacing w:line="243" w:lineRule="auto"/>
        <w:rPr>
          <w:color w:val="auto"/>
          <w:highlight w:val="none"/>
        </w:rPr>
      </w:pPr>
    </w:p>
    <w:p w14:paraId="24925662">
      <w:pPr>
        <w:pStyle w:val="3"/>
        <w:spacing w:line="243" w:lineRule="auto"/>
        <w:rPr>
          <w:color w:val="auto"/>
          <w:highlight w:val="none"/>
        </w:rPr>
      </w:pPr>
    </w:p>
    <w:p w14:paraId="0D8F2F50">
      <w:pPr>
        <w:pStyle w:val="3"/>
        <w:spacing w:line="243" w:lineRule="auto"/>
        <w:rPr>
          <w:color w:val="auto"/>
          <w:highlight w:val="none"/>
        </w:rPr>
      </w:pPr>
    </w:p>
    <w:p w14:paraId="22D80258">
      <w:pPr>
        <w:pStyle w:val="3"/>
        <w:spacing w:line="243" w:lineRule="auto"/>
        <w:rPr>
          <w:color w:val="auto"/>
          <w:highlight w:val="none"/>
        </w:rPr>
      </w:pPr>
    </w:p>
    <w:p w14:paraId="5211A152">
      <w:pPr>
        <w:pStyle w:val="3"/>
        <w:spacing w:line="243" w:lineRule="auto"/>
        <w:rPr>
          <w:color w:val="auto"/>
          <w:highlight w:val="none"/>
        </w:rPr>
      </w:pPr>
    </w:p>
    <w:p w14:paraId="72E2A923">
      <w:pPr>
        <w:pStyle w:val="3"/>
        <w:spacing w:line="243" w:lineRule="auto"/>
        <w:rPr>
          <w:color w:val="auto"/>
          <w:highlight w:val="none"/>
        </w:rPr>
      </w:pPr>
    </w:p>
    <w:p w14:paraId="5DE2A215">
      <w:pPr>
        <w:pStyle w:val="3"/>
        <w:spacing w:line="243" w:lineRule="auto"/>
        <w:rPr>
          <w:color w:val="auto"/>
          <w:highlight w:val="none"/>
        </w:rPr>
      </w:pPr>
    </w:p>
    <w:p w14:paraId="560746C4">
      <w:pPr>
        <w:pStyle w:val="3"/>
        <w:spacing w:line="243" w:lineRule="auto"/>
        <w:rPr>
          <w:color w:val="auto"/>
          <w:highlight w:val="none"/>
        </w:rPr>
      </w:pPr>
    </w:p>
    <w:p w14:paraId="0C8F210A">
      <w:pPr>
        <w:pStyle w:val="3"/>
        <w:spacing w:line="243" w:lineRule="auto"/>
        <w:rPr>
          <w:color w:val="auto"/>
          <w:highlight w:val="none"/>
        </w:rPr>
      </w:pPr>
    </w:p>
    <w:p w14:paraId="19A99F99">
      <w:pPr>
        <w:spacing w:before="139" w:line="222" w:lineRule="auto"/>
        <w:ind w:left="3102"/>
        <w:rPr>
          <w:rFonts w:ascii="宋体" w:hAnsi="宋体" w:eastAsia="宋体" w:cs="宋体"/>
          <w:strike/>
          <w:dstrike w:val="0"/>
          <w:color w:val="auto"/>
          <w:sz w:val="43"/>
          <w:szCs w:val="43"/>
          <w:highlight w:val="none"/>
        </w:rPr>
      </w:pPr>
      <w:r>
        <w:rPr>
          <w:rFonts w:ascii="宋体" w:hAnsi="宋体" w:eastAsia="宋体" w:cs="宋体"/>
          <w:b/>
          <w:bCs/>
          <w:color w:val="auto"/>
          <w:spacing w:val="5"/>
          <w:sz w:val="43"/>
          <w:szCs w:val="43"/>
          <w:highlight w:val="none"/>
        </w:rPr>
        <w:t>第一章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招标公告</w:t>
      </w:r>
      <w:r>
        <w:rPr>
          <w:rFonts w:ascii="宋体" w:hAnsi="宋体" w:eastAsia="宋体" w:cs="宋体"/>
          <w:b/>
          <w:bCs/>
          <w:strike/>
          <w:dstrike w:val="0"/>
          <w:color w:val="auto"/>
          <w:spacing w:val="5"/>
          <w:sz w:val="43"/>
          <w:szCs w:val="43"/>
          <w:highlight w:val="none"/>
        </w:rPr>
        <w:t>/投标邀请书</w:t>
      </w:r>
    </w:p>
    <w:p w14:paraId="089CE8E9">
      <w:pPr>
        <w:spacing w:line="222" w:lineRule="auto"/>
        <w:rPr>
          <w:rFonts w:ascii="宋体" w:hAnsi="宋体" w:eastAsia="宋体" w:cs="宋体"/>
          <w:color w:val="auto"/>
          <w:sz w:val="43"/>
          <w:szCs w:val="43"/>
          <w:highlight w:val="none"/>
        </w:rPr>
        <w:sectPr>
          <w:headerReference r:id="rId10" w:type="default"/>
          <w:footerReference r:id="rId11" w:type="default"/>
          <w:pgSz w:w="11905" w:h="16840"/>
          <w:pgMar w:top="1182" w:right="0" w:bottom="1171" w:left="0" w:header="849" w:footer="937" w:gutter="0"/>
          <w:pgNumType w:fmt="decimal"/>
          <w:cols w:space="720" w:num="1"/>
        </w:sectPr>
      </w:pPr>
    </w:p>
    <w:p w14:paraId="7EAD5EB7">
      <w:pPr>
        <w:pStyle w:val="3"/>
        <w:spacing w:line="259" w:lineRule="auto"/>
        <w:rPr>
          <w:color w:val="auto"/>
          <w:highlight w:val="none"/>
        </w:rPr>
      </w:pPr>
    </w:p>
    <w:p w14:paraId="2158BE63">
      <w:pPr>
        <w:spacing w:before="101" w:line="239" w:lineRule="auto"/>
        <w:ind w:left="3236"/>
        <w:outlineLvl w:val="0"/>
        <w:rPr>
          <w:rFonts w:ascii="宋体" w:hAnsi="宋体" w:eastAsia="宋体" w:cs="宋体"/>
          <w:color w:val="auto"/>
          <w:sz w:val="15"/>
          <w:szCs w:val="15"/>
          <w:highlight w:val="none"/>
        </w:rPr>
      </w:pPr>
      <w:bookmarkStart w:id="1" w:name="bookmark19"/>
      <w:bookmarkEnd w:id="1"/>
      <w:bookmarkStart w:id="2" w:name="_Toc2128"/>
      <w:r>
        <w:rPr>
          <w:rFonts w:ascii="宋体" w:hAnsi="宋体" w:eastAsia="宋体" w:cs="宋体"/>
          <w:b/>
          <w:bCs/>
          <w:color w:val="auto"/>
          <w:spacing w:val="4"/>
          <w:sz w:val="31"/>
          <w:szCs w:val="31"/>
          <w:highlight w:val="none"/>
        </w:rPr>
        <w:t>第一章</w:t>
      </w:r>
      <w:r>
        <w:rPr>
          <w:rFonts w:ascii="宋体" w:hAnsi="宋体" w:eastAsia="宋体" w:cs="宋体"/>
          <w:color w:val="auto"/>
          <w:spacing w:val="4"/>
          <w:sz w:val="31"/>
          <w:szCs w:val="31"/>
          <w:highlight w:val="none"/>
        </w:rPr>
        <w:t xml:space="preserve"> </w:t>
      </w:r>
      <w:r>
        <w:rPr>
          <w:rFonts w:ascii="宋体" w:hAnsi="宋体" w:eastAsia="宋体" w:cs="宋体"/>
          <w:b/>
          <w:bCs/>
          <w:color w:val="auto"/>
          <w:spacing w:val="4"/>
          <w:sz w:val="31"/>
          <w:szCs w:val="31"/>
          <w:highlight w:val="none"/>
        </w:rPr>
        <w:t>招标公告（未进行资格预审）</w:t>
      </w:r>
      <w:bookmarkEnd w:id="2"/>
    </w:p>
    <w:p w14:paraId="75DDC224">
      <w:pPr>
        <w:tabs>
          <w:tab w:val="left" w:pos="3642"/>
        </w:tabs>
        <w:spacing w:before="266" w:line="225" w:lineRule="auto"/>
        <w:ind w:left="2661"/>
        <w:rPr>
          <w:rFonts w:ascii="宋体" w:hAnsi="宋体" w:eastAsia="宋体" w:cs="宋体"/>
          <w:color w:val="auto"/>
          <w:sz w:val="27"/>
          <w:szCs w:val="27"/>
          <w:highlight w:val="none"/>
        </w:rPr>
      </w:pPr>
      <w:r>
        <w:rPr>
          <w:rFonts w:hint="eastAsia" w:ascii="宋体" w:hAnsi="宋体" w:eastAsia="宋体" w:cs="宋体"/>
          <w:color w:val="auto"/>
          <w:sz w:val="27"/>
          <w:szCs w:val="27"/>
          <w:highlight w:val="none"/>
          <w:u w:val="single" w:color="auto"/>
        </w:rPr>
        <w:t>增龙公路S119正果镇区段改线项目施工</w:t>
      </w:r>
      <w:r>
        <w:rPr>
          <w:rFonts w:ascii="宋体" w:hAnsi="宋体" w:eastAsia="宋体" w:cs="宋体"/>
          <w:color w:val="auto"/>
          <w:spacing w:val="3"/>
          <w:sz w:val="27"/>
          <w:szCs w:val="27"/>
          <w:highlight w:val="none"/>
        </w:rPr>
        <w:t>招</w:t>
      </w:r>
      <w:r>
        <w:rPr>
          <w:rFonts w:ascii="宋体" w:hAnsi="宋体" w:eastAsia="宋体" w:cs="宋体"/>
          <w:color w:val="auto"/>
          <w:spacing w:val="2"/>
          <w:sz w:val="27"/>
          <w:szCs w:val="27"/>
          <w:highlight w:val="none"/>
        </w:rPr>
        <w:t>标公告</w:t>
      </w:r>
    </w:p>
    <w:p w14:paraId="016EAF08">
      <w:pPr>
        <w:spacing w:line="123" w:lineRule="exact"/>
        <w:rPr>
          <w:color w:val="auto"/>
          <w:highlight w:val="none"/>
        </w:rPr>
      </w:pPr>
    </w:p>
    <w:tbl>
      <w:tblPr>
        <w:tblStyle w:val="16"/>
        <w:tblW w:w="96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1"/>
        <w:gridCol w:w="2114"/>
        <w:gridCol w:w="1723"/>
        <w:gridCol w:w="4278"/>
      </w:tblGrid>
      <w:tr w14:paraId="58E55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1581" w:type="dxa"/>
            <w:vAlign w:val="top"/>
          </w:tcPr>
          <w:p w14:paraId="78939DE3">
            <w:pPr>
              <w:pStyle w:val="17"/>
              <w:spacing w:before="181" w:line="220" w:lineRule="auto"/>
              <w:ind w:left="167"/>
              <w:rPr>
                <w:color w:val="auto"/>
                <w:highlight w:val="none"/>
              </w:rPr>
            </w:pPr>
            <w:r>
              <w:rPr>
                <w:b/>
                <w:bCs/>
                <w:color w:val="auto"/>
                <w:spacing w:val="-4"/>
                <w:highlight w:val="none"/>
              </w:rPr>
              <w:t>投资项目代码</w:t>
            </w:r>
          </w:p>
        </w:tc>
        <w:tc>
          <w:tcPr>
            <w:tcW w:w="8115" w:type="dxa"/>
            <w:gridSpan w:val="3"/>
            <w:vAlign w:val="center"/>
          </w:tcPr>
          <w:p w14:paraId="7DA1A6F6">
            <w:pPr>
              <w:jc w:val="both"/>
              <w:rPr>
                <w:rFonts w:ascii="Arial"/>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lang w:val="en-US" w:eastAsia="zh-CN"/>
              </w:rPr>
              <w:t>2110-440118-04-01-360712</w:t>
            </w:r>
          </w:p>
        </w:tc>
      </w:tr>
      <w:tr w14:paraId="50C05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2B786474">
            <w:pPr>
              <w:pStyle w:val="17"/>
              <w:spacing w:before="176" w:line="220" w:lineRule="auto"/>
              <w:ind w:left="167"/>
              <w:rPr>
                <w:color w:val="auto"/>
                <w:highlight w:val="none"/>
              </w:rPr>
            </w:pPr>
            <w:r>
              <w:rPr>
                <w:b/>
                <w:bCs/>
                <w:color w:val="auto"/>
                <w:spacing w:val="-4"/>
                <w:highlight w:val="none"/>
              </w:rPr>
              <w:t>投资项目名称</w:t>
            </w:r>
          </w:p>
        </w:tc>
        <w:tc>
          <w:tcPr>
            <w:tcW w:w="8115" w:type="dxa"/>
            <w:gridSpan w:val="3"/>
            <w:vAlign w:val="center"/>
          </w:tcPr>
          <w:p w14:paraId="38BC74AD">
            <w:pPr>
              <w:jc w:val="both"/>
              <w:rPr>
                <w:rFonts w:ascii="Arial"/>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lang w:val="en-US" w:eastAsia="zh-CN"/>
              </w:rPr>
              <w:t>增龙公路S119正果镇区段改线项目</w:t>
            </w:r>
          </w:p>
        </w:tc>
      </w:tr>
      <w:tr w14:paraId="0BB1D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2CAE9E9B">
            <w:pPr>
              <w:pStyle w:val="17"/>
              <w:spacing w:before="176" w:line="220" w:lineRule="auto"/>
              <w:ind w:left="166"/>
              <w:rPr>
                <w:color w:val="auto"/>
                <w:highlight w:val="none"/>
              </w:rPr>
            </w:pPr>
            <w:r>
              <w:rPr>
                <w:b/>
                <w:bCs/>
                <w:color w:val="auto"/>
                <w:spacing w:val="-4"/>
                <w:highlight w:val="none"/>
              </w:rPr>
              <w:t>招标项目名称</w:t>
            </w:r>
          </w:p>
        </w:tc>
        <w:tc>
          <w:tcPr>
            <w:tcW w:w="8115" w:type="dxa"/>
            <w:gridSpan w:val="3"/>
            <w:vAlign w:val="center"/>
          </w:tcPr>
          <w:p w14:paraId="6C42AF88">
            <w:pPr>
              <w:jc w:val="both"/>
              <w:rPr>
                <w:rFonts w:ascii="Arial"/>
                <w:color w:val="auto"/>
                <w:sz w:val="21"/>
                <w:szCs w:val="21"/>
                <w:highlight w:val="none"/>
                <w:u w:val="none"/>
              </w:rPr>
            </w:pPr>
            <w:r>
              <w:rPr>
                <w:rFonts w:hint="eastAsia" w:ascii="宋体" w:hAnsi="宋体" w:eastAsia="宋体" w:cs="宋体"/>
                <w:color w:val="auto"/>
                <w:sz w:val="21"/>
                <w:szCs w:val="21"/>
                <w:highlight w:val="none"/>
                <w:u w:val="none" w:color="auto"/>
              </w:rPr>
              <w:t>增龙公路S119正果镇区段改线项目施工</w:t>
            </w:r>
          </w:p>
        </w:tc>
      </w:tr>
      <w:tr w14:paraId="631D1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581" w:type="dxa"/>
            <w:vAlign w:val="top"/>
          </w:tcPr>
          <w:p w14:paraId="48F9A949">
            <w:pPr>
              <w:pStyle w:val="17"/>
              <w:spacing w:before="49" w:line="250" w:lineRule="auto"/>
              <w:ind w:left="689" w:right="155" w:hanging="523"/>
              <w:rPr>
                <w:color w:val="auto"/>
                <w:highlight w:val="none"/>
              </w:rPr>
            </w:pPr>
            <w:r>
              <w:rPr>
                <w:b/>
                <w:bCs/>
                <w:color w:val="auto"/>
                <w:spacing w:val="-4"/>
                <w:highlight w:val="none"/>
              </w:rPr>
              <w:t>标段（包）名</w:t>
            </w:r>
            <w:r>
              <w:rPr>
                <w:b/>
                <w:bCs/>
                <w:color w:val="auto"/>
                <w:spacing w:val="-3"/>
                <w:highlight w:val="none"/>
              </w:rPr>
              <w:t>称</w:t>
            </w:r>
          </w:p>
        </w:tc>
        <w:tc>
          <w:tcPr>
            <w:tcW w:w="2114" w:type="dxa"/>
            <w:vAlign w:val="center"/>
          </w:tcPr>
          <w:p w14:paraId="276D449C">
            <w:pPr>
              <w:jc w:val="center"/>
              <w:rPr>
                <w:color w:val="auto"/>
                <w:highlight w:val="none"/>
              </w:rPr>
            </w:pPr>
            <w:r>
              <w:rPr>
                <w:color w:val="auto"/>
                <w:spacing w:val="-22"/>
                <w:highlight w:val="none"/>
              </w:rPr>
              <w:t>/</w:t>
            </w:r>
          </w:p>
        </w:tc>
        <w:tc>
          <w:tcPr>
            <w:tcW w:w="1723" w:type="dxa"/>
            <w:vAlign w:val="center"/>
          </w:tcPr>
          <w:p w14:paraId="71EE37EB">
            <w:pPr>
              <w:pStyle w:val="17"/>
              <w:spacing w:before="205" w:line="218" w:lineRule="auto"/>
              <w:ind w:left="453"/>
              <w:jc w:val="both"/>
              <w:rPr>
                <w:color w:val="auto"/>
                <w:highlight w:val="none"/>
              </w:rPr>
            </w:pPr>
            <w:r>
              <w:rPr>
                <w:b/>
                <w:bCs/>
                <w:color w:val="auto"/>
                <w:spacing w:val="-6"/>
                <w:highlight w:val="none"/>
              </w:rPr>
              <w:t>公告性质</w:t>
            </w:r>
          </w:p>
        </w:tc>
        <w:tc>
          <w:tcPr>
            <w:tcW w:w="4278" w:type="dxa"/>
            <w:vAlign w:val="center"/>
          </w:tcPr>
          <w:p w14:paraId="66EDC8A8">
            <w:pPr>
              <w:jc w:val="center"/>
              <w:rPr>
                <w:color w:val="auto"/>
                <w:sz w:val="10"/>
                <w:szCs w:val="10"/>
                <w:highlight w:val="none"/>
              </w:rPr>
            </w:pPr>
            <w:r>
              <w:rPr>
                <w:rFonts w:hint="eastAsia" w:ascii="宋体" w:hAnsi="宋体" w:eastAsia="宋体" w:cs="宋体"/>
                <w:color w:val="auto"/>
                <w:sz w:val="21"/>
                <w:szCs w:val="21"/>
                <w:highlight w:val="none"/>
                <w:u w:val="none" w:color="auto"/>
              </w:rPr>
              <w:t>正常</w:t>
            </w:r>
          </w:p>
        </w:tc>
      </w:tr>
      <w:tr w14:paraId="7E00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24BFF17D">
            <w:pPr>
              <w:pStyle w:val="17"/>
              <w:spacing w:before="176" w:line="220" w:lineRule="auto"/>
              <w:ind w:left="174"/>
              <w:rPr>
                <w:color w:val="auto"/>
                <w:highlight w:val="none"/>
              </w:rPr>
            </w:pPr>
            <w:r>
              <w:rPr>
                <w:b/>
                <w:bCs/>
                <w:color w:val="auto"/>
                <w:spacing w:val="-5"/>
                <w:highlight w:val="none"/>
              </w:rPr>
              <w:t>资格审查方式</w:t>
            </w:r>
          </w:p>
        </w:tc>
        <w:tc>
          <w:tcPr>
            <w:tcW w:w="8115" w:type="dxa"/>
            <w:gridSpan w:val="3"/>
            <w:vAlign w:val="center"/>
          </w:tcPr>
          <w:p w14:paraId="4D1EB978">
            <w:pPr>
              <w:pStyle w:val="17"/>
              <w:spacing w:before="176" w:line="220" w:lineRule="auto"/>
              <w:ind w:left="3650"/>
              <w:jc w:val="both"/>
              <w:rPr>
                <w:color w:val="auto"/>
                <w:highlight w:val="none"/>
              </w:rPr>
            </w:pPr>
            <w:r>
              <w:rPr>
                <w:color w:val="auto"/>
                <w:spacing w:val="-4"/>
                <w:highlight w:val="none"/>
              </w:rPr>
              <w:t>资格后审</w:t>
            </w:r>
          </w:p>
        </w:tc>
      </w:tr>
      <w:tr w14:paraId="2DA44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581" w:type="dxa"/>
            <w:vAlign w:val="top"/>
          </w:tcPr>
          <w:p w14:paraId="622EEF11">
            <w:pPr>
              <w:pStyle w:val="17"/>
              <w:spacing w:before="49" w:line="250" w:lineRule="auto"/>
              <w:ind w:left="170" w:right="155" w:hanging="4"/>
              <w:rPr>
                <w:color w:val="auto"/>
                <w:highlight w:val="none"/>
              </w:rPr>
            </w:pPr>
            <w:r>
              <w:rPr>
                <w:b/>
                <w:bCs/>
                <w:color w:val="auto"/>
                <w:spacing w:val="-4"/>
                <w:highlight w:val="none"/>
              </w:rPr>
              <w:t>招标项目实施（交货）地点</w:t>
            </w:r>
          </w:p>
        </w:tc>
        <w:tc>
          <w:tcPr>
            <w:tcW w:w="8115" w:type="dxa"/>
            <w:gridSpan w:val="3"/>
            <w:vAlign w:val="center"/>
          </w:tcPr>
          <w:p w14:paraId="1E1B0E80">
            <w:pPr>
              <w:jc w:val="both"/>
              <w:rPr>
                <w:rFonts w:ascii="Arial"/>
                <w:color w:val="auto"/>
                <w:sz w:val="21"/>
                <w:highlight w:val="none"/>
              </w:rPr>
            </w:pPr>
            <w:r>
              <w:rPr>
                <w:rFonts w:hint="eastAsia" w:ascii="Arial"/>
                <w:color w:val="auto"/>
                <w:sz w:val="21"/>
                <w:highlight w:val="none"/>
              </w:rPr>
              <w:t>广州市增城</w:t>
            </w:r>
            <w:r>
              <w:rPr>
                <w:rFonts w:hint="eastAsia" w:ascii="宋体" w:hAnsi="宋体" w:eastAsia="宋体" w:cs="宋体"/>
                <w:color w:val="auto"/>
                <w:sz w:val="21"/>
                <w:szCs w:val="21"/>
                <w:highlight w:val="none"/>
                <w:u w:val="none" w:color="auto"/>
              </w:rPr>
              <w:t>区正果镇</w:t>
            </w:r>
          </w:p>
        </w:tc>
      </w:tr>
      <w:tr w14:paraId="287A1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294F7C67">
            <w:pPr>
              <w:pStyle w:val="17"/>
              <w:spacing w:before="178" w:line="220" w:lineRule="auto"/>
              <w:ind w:left="384"/>
              <w:rPr>
                <w:color w:val="auto"/>
                <w:highlight w:val="none"/>
              </w:rPr>
            </w:pPr>
            <w:r>
              <w:rPr>
                <w:b/>
                <w:bCs/>
                <w:color w:val="auto"/>
                <w:spacing w:val="-6"/>
                <w:highlight w:val="none"/>
              </w:rPr>
              <w:t>资金来源</w:t>
            </w:r>
          </w:p>
        </w:tc>
        <w:tc>
          <w:tcPr>
            <w:tcW w:w="2114" w:type="dxa"/>
            <w:vAlign w:val="center"/>
          </w:tcPr>
          <w:p w14:paraId="07BC74CA">
            <w:pPr>
              <w:jc w:val="both"/>
              <w:rPr>
                <w:rFonts w:ascii="Arial"/>
                <w:color w:val="auto"/>
                <w:sz w:val="21"/>
                <w:highlight w:val="none"/>
              </w:rPr>
            </w:pPr>
            <w:r>
              <w:rPr>
                <w:rFonts w:hint="eastAsia" w:ascii="宋体" w:hAnsi="宋体" w:eastAsia="宋体" w:cs="宋体"/>
                <w:color w:val="auto"/>
                <w:sz w:val="21"/>
                <w:szCs w:val="21"/>
                <w:highlight w:val="none"/>
                <w:u w:val="none" w:color="auto"/>
                <w:lang w:val="en-US" w:eastAsia="zh-CN"/>
              </w:rPr>
              <w:t>区财政统筹</w:t>
            </w:r>
            <w:r>
              <w:rPr>
                <w:rFonts w:hint="eastAsia" w:ascii="宋体" w:hAnsi="宋体" w:eastAsia="宋体" w:cs="宋体"/>
                <w:color w:val="auto"/>
                <w:kern w:val="21"/>
                <w:sz w:val="21"/>
                <w:szCs w:val="21"/>
                <w:highlight w:val="none"/>
                <w:lang w:val="en-US" w:eastAsia="zh-CN"/>
              </w:rPr>
              <w:t>安排解决</w:t>
            </w:r>
          </w:p>
        </w:tc>
        <w:tc>
          <w:tcPr>
            <w:tcW w:w="1723" w:type="dxa"/>
            <w:vAlign w:val="top"/>
          </w:tcPr>
          <w:p w14:paraId="4271C2FD">
            <w:pPr>
              <w:pStyle w:val="17"/>
              <w:spacing w:before="178" w:line="220" w:lineRule="auto"/>
              <w:ind w:left="246"/>
              <w:rPr>
                <w:color w:val="auto"/>
                <w:highlight w:val="none"/>
              </w:rPr>
            </w:pPr>
            <w:r>
              <w:rPr>
                <w:b/>
                <w:bCs/>
                <w:color w:val="auto"/>
                <w:spacing w:val="-5"/>
                <w:highlight w:val="none"/>
              </w:rPr>
              <w:t>资金来源构成</w:t>
            </w:r>
          </w:p>
        </w:tc>
        <w:tc>
          <w:tcPr>
            <w:tcW w:w="4278" w:type="dxa"/>
            <w:vAlign w:val="center"/>
          </w:tcPr>
          <w:p w14:paraId="3952A65C">
            <w:pPr>
              <w:jc w:val="both"/>
              <w:rPr>
                <w:rFonts w:ascii="Arial"/>
                <w:color w:val="auto"/>
                <w:sz w:val="21"/>
                <w:highlight w:val="none"/>
              </w:rPr>
            </w:pPr>
            <w:r>
              <w:rPr>
                <w:rFonts w:hint="eastAsia" w:ascii="宋体" w:hAnsi="宋体" w:eastAsia="宋体" w:cs="宋体"/>
                <w:color w:val="auto"/>
                <w:sz w:val="21"/>
                <w:szCs w:val="21"/>
                <w:highlight w:val="none"/>
                <w:u w:val="none" w:color="auto"/>
                <w:lang w:val="en-US" w:eastAsia="zh-CN"/>
              </w:rPr>
              <w:t>100%</w:t>
            </w:r>
          </w:p>
        </w:tc>
      </w:tr>
      <w:tr w14:paraId="09EC6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581" w:type="dxa"/>
            <w:vAlign w:val="top"/>
          </w:tcPr>
          <w:p w14:paraId="2F00FE3C">
            <w:pPr>
              <w:pStyle w:val="17"/>
              <w:spacing w:before="51" w:line="249" w:lineRule="auto"/>
              <w:ind w:left="689" w:right="155" w:hanging="523"/>
              <w:rPr>
                <w:color w:val="auto"/>
                <w:highlight w:val="none"/>
              </w:rPr>
            </w:pPr>
            <w:r>
              <w:rPr>
                <w:b/>
                <w:bCs/>
                <w:color w:val="auto"/>
                <w:spacing w:val="-4"/>
                <w:highlight w:val="none"/>
              </w:rPr>
              <w:t>招标范围及规</w:t>
            </w:r>
            <w:r>
              <w:rPr>
                <w:b/>
                <w:bCs/>
                <w:color w:val="auto"/>
                <w:spacing w:val="-3"/>
                <w:highlight w:val="none"/>
              </w:rPr>
              <w:t>模</w:t>
            </w:r>
          </w:p>
        </w:tc>
        <w:tc>
          <w:tcPr>
            <w:tcW w:w="8115" w:type="dxa"/>
            <w:gridSpan w:val="3"/>
            <w:vAlign w:val="center"/>
          </w:tcPr>
          <w:p w14:paraId="33EFEDF3">
            <w:pPr>
              <w:pStyle w:val="17"/>
              <w:tabs>
                <w:tab w:val="left" w:pos="1578"/>
              </w:tabs>
              <w:spacing w:before="207" w:line="219" w:lineRule="auto"/>
              <w:jc w:val="both"/>
              <w:rPr>
                <w:color w:val="auto"/>
                <w:highlight w:val="none"/>
              </w:rPr>
            </w:pPr>
            <w:r>
              <w:rPr>
                <w:rFonts w:hint="eastAsia"/>
                <w:color w:val="auto"/>
                <w:highlight w:val="none"/>
                <w:u w:val="none" w:color="auto"/>
              </w:rPr>
              <w:t>项目位于广州市增城区正果镇北起S380,南至S119正果大道,道路全长约3.29km，红线宽23.5m,双向4车道,沥青混凝土路面,设计速度为60km/h,为一级公路。沿线共设置正果大桥和到蔚中桥两座桥梁。主要建设内容为道路、交通、桥涵、给排水、电力、通信、照明、绿化等工程</w:t>
            </w:r>
            <w:r>
              <w:rPr>
                <w:color w:val="auto"/>
                <w:spacing w:val="-3"/>
                <w:highlight w:val="none"/>
              </w:rPr>
              <w:t>。</w:t>
            </w:r>
          </w:p>
        </w:tc>
      </w:tr>
      <w:tr w14:paraId="3B34D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78461606">
            <w:pPr>
              <w:pStyle w:val="17"/>
              <w:spacing w:before="179" w:line="220" w:lineRule="auto"/>
              <w:ind w:left="376"/>
              <w:rPr>
                <w:color w:val="auto"/>
                <w:highlight w:val="none"/>
              </w:rPr>
            </w:pPr>
            <w:r>
              <w:rPr>
                <w:b/>
                <w:bCs/>
                <w:color w:val="auto"/>
                <w:spacing w:val="-4"/>
                <w:highlight w:val="none"/>
              </w:rPr>
              <w:t>招标内容</w:t>
            </w:r>
          </w:p>
        </w:tc>
        <w:tc>
          <w:tcPr>
            <w:tcW w:w="8115" w:type="dxa"/>
            <w:gridSpan w:val="3"/>
            <w:vAlign w:val="top"/>
          </w:tcPr>
          <w:p w14:paraId="3CB962CD">
            <w:pPr>
              <w:pStyle w:val="17"/>
              <w:spacing w:before="163" w:line="233" w:lineRule="auto"/>
              <w:ind w:left="117"/>
              <w:rPr>
                <w:color w:val="auto"/>
                <w:sz w:val="10"/>
                <w:szCs w:val="10"/>
                <w:highlight w:val="none"/>
              </w:rPr>
            </w:pPr>
            <w:r>
              <w:rPr>
                <w:rFonts w:hint="eastAsia"/>
                <w:color w:val="auto"/>
                <w:spacing w:val="-1"/>
                <w:highlight w:val="none"/>
              </w:rPr>
              <w:t>本次招标共分</w:t>
            </w:r>
            <w:r>
              <w:rPr>
                <w:rFonts w:hint="eastAsia"/>
                <w:color w:val="auto"/>
                <w:spacing w:val="-1"/>
                <w:highlight w:val="none"/>
                <w:u w:val="single"/>
                <w:lang w:val="en-US" w:eastAsia="zh-CN"/>
              </w:rPr>
              <w:t>1</w:t>
            </w:r>
            <w:r>
              <w:rPr>
                <w:rFonts w:hint="eastAsia"/>
                <w:color w:val="auto"/>
                <w:spacing w:val="-1"/>
                <w:highlight w:val="none"/>
              </w:rPr>
              <w:t>个标类</w:t>
            </w:r>
            <w:r>
              <w:rPr>
                <w:rFonts w:hint="eastAsia" w:ascii="宋体" w:hAnsi="宋体" w:eastAsia="宋体" w:cs="宋体"/>
                <w:color w:val="auto"/>
                <w:spacing w:val="-1"/>
                <w:highlight w:val="none"/>
                <w:u w:val="single"/>
                <w:lang w:val="en-US" w:eastAsia="zh-CN"/>
              </w:rPr>
              <w:t>1</w:t>
            </w:r>
            <w:r>
              <w:rPr>
                <w:rFonts w:hint="eastAsia"/>
                <w:color w:val="auto"/>
                <w:spacing w:val="-1"/>
                <w:highlight w:val="none"/>
              </w:rPr>
              <w:t>个标段</w:t>
            </w:r>
            <w:r>
              <w:rPr>
                <w:color w:val="auto"/>
                <w:spacing w:val="-1"/>
                <w:highlight w:val="none"/>
              </w:rPr>
              <w:t>。具体见附件：标段划分及主要工程项目情况。</w:t>
            </w:r>
          </w:p>
        </w:tc>
      </w:tr>
      <w:tr w14:paraId="783D7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581" w:type="dxa"/>
            <w:vAlign w:val="top"/>
          </w:tcPr>
          <w:p w14:paraId="7D14EB55">
            <w:pPr>
              <w:spacing w:line="241" w:lineRule="auto"/>
              <w:rPr>
                <w:rFonts w:ascii="Arial"/>
                <w:color w:val="auto"/>
                <w:sz w:val="21"/>
                <w:highlight w:val="none"/>
              </w:rPr>
            </w:pPr>
          </w:p>
          <w:p w14:paraId="1A6154A0">
            <w:pPr>
              <w:spacing w:line="241" w:lineRule="auto"/>
              <w:rPr>
                <w:rFonts w:ascii="Arial"/>
                <w:color w:val="auto"/>
                <w:sz w:val="21"/>
                <w:highlight w:val="none"/>
              </w:rPr>
            </w:pPr>
          </w:p>
          <w:p w14:paraId="2D5A5D1F">
            <w:pPr>
              <w:pStyle w:val="17"/>
              <w:spacing w:before="69" w:line="219" w:lineRule="auto"/>
              <w:ind w:right="20"/>
              <w:jc w:val="right"/>
              <w:rPr>
                <w:color w:val="auto"/>
                <w:highlight w:val="none"/>
              </w:rPr>
            </w:pPr>
            <w:r>
              <w:rPr>
                <w:b/>
                <w:bCs/>
                <w:color w:val="auto"/>
                <w:spacing w:val="-8"/>
                <w:highlight w:val="none"/>
              </w:rPr>
              <w:t>工期（交货期）</w:t>
            </w:r>
          </w:p>
        </w:tc>
        <w:tc>
          <w:tcPr>
            <w:tcW w:w="8115" w:type="dxa"/>
            <w:gridSpan w:val="3"/>
            <w:vAlign w:val="top"/>
          </w:tcPr>
          <w:p w14:paraId="59E9038A">
            <w:pPr>
              <w:pStyle w:val="17"/>
              <w:spacing w:before="174" w:line="220" w:lineRule="auto"/>
              <w:ind w:left="116"/>
              <w:rPr>
                <w:rFonts w:ascii="宋体" w:hAnsi="宋体" w:eastAsia="宋体" w:cs="宋体"/>
                <w:color w:val="auto"/>
                <w:spacing w:val="-2"/>
                <w:highlight w:val="none"/>
              </w:rPr>
            </w:pPr>
            <w:r>
              <w:rPr>
                <w:color w:val="auto"/>
                <w:spacing w:val="-2"/>
                <w:highlight w:val="none"/>
              </w:rPr>
              <w:t>计划工期：</w:t>
            </w:r>
            <w:r>
              <w:rPr>
                <w:rFonts w:ascii="宋体" w:hAnsi="宋体" w:eastAsia="宋体" w:cs="宋体"/>
                <w:color w:val="auto"/>
                <w:spacing w:val="-2"/>
                <w:highlight w:val="none"/>
              </w:rPr>
              <w:t xml:space="preserve"> </w:t>
            </w:r>
            <w:r>
              <w:rPr>
                <w:rFonts w:hint="eastAsia" w:ascii="宋体" w:hAnsi="宋体" w:eastAsia="宋体" w:cs="宋体"/>
                <w:color w:val="auto"/>
                <w:kern w:val="21"/>
                <w:sz w:val="21"/>
                <w:szCs w:val="21"/>
                <w:highlight w:val="none"/>
                <w:u w:val="single"/>
                <w:lang w:val="en-US" w:eastAsia="zh-CN"/>
              </w:rPr>
              <w:t>27 个月</w:t>
            </w:r>
          </w:p>
          <w:p w14:paraId="5DBC4D36">
            <w:pPr>
              <w:pStyle w:val="17"/>
              <w:spacing w:before="130" w:line="220" w:lineRule="auto"/>
              <w:ind w:left="116"/>
              <w:rPr>
                <w:color w:val="auto"/>
                <w:highlight w:val="none"/>
              </w:rPr>
            </w:pPr>
            <w:r>
              <w:rPr>
                <w:rFonts w:hint="eastAsia" w:ascii="宋体" w:hAnsi="宋体" w:eastAsia="宋体" w:cs="宋体"/>
                <w:color w:val="auto"/>
                <w:kern w:val="21"/>
                <w:sz w:val="21"/>
                <w:szCs w:val="21"/>
                <w:highlight w:val="none"/>
                <w:lang w:val="en-US" w:eastAsia="zh-CN"/>
              </w:rPr>
              <w:t>计划</w:t>
            </w:r>
            <w:r>
              <w:rPr>
                <w:rFonts w:hint="eastAsia" w:ascii="宋体" w:hAnsi="宋体" w:eastAsia="宋体" w:cs="宋体"/>
                <w:color w:val="auto"/>
                <w:kern w:val="21"/>
                <w:sz w:val="21"/>
                <w:szCs w:val="21"/>
                <w:highlight w:val="none"/>
                <w:lang w:eastAsia="zh-CN"/>
              </w:rPr>
              <w:t>开工日期：以监理工程师发出的开工通知书为准。</w:t>
            </w:r>
          </w:p>
        </w:tc>
      </w:tr>
      <w:tr w14:paraId="2EF0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1581" w:type="dxa"/>
            <w:vAlign w:val="top"/>
          </w:tcPr>
          <w:p w14:paraId="2F69944B">
            <w:pPr>
              <w:pStyle w:val="17"/>
              <w:spacing w:before="179" w:line="218" w:lineRule="auto"/>
              <w:ind w:left="167"/>
              <w:rPr>
                <w:color w:val="auto"/>
                <w:highlight w:val="none"/>
              </w:rPr>
            </w:pPr>
            <w:r>
              <w:rPr>
                <w:b/>
                <w:bCs/>
                <w:color w:val="auto"/>
                <w:spacing w:val="-4"/>
                <w:highlight w:val="none"/>
              </w:rPr>
              <w:t>最高投标限价</w:t>
            </w:r>
          </w:p>
        </w:tc>
        <w:tc>
          <w:tcPr>
            <w:tcW w:w="8115" w:type="dxa"/>
            <w:gridSpan w:val="3"/>
            <w:vAlign w:val="top"/>
          </w:tcPr>
          <w:p w14:paraId="6BE8F880">
            <w:pPr>
              <w:pStyle w:val="17"/>
              <w:spacing w:before="180" w:line="220" w:lineRule="auto"/>
              <w:ind w:left="3277"/>
              <w:rPr>
                <w:color w:val="auto"/>
                <w:highlight w:val="none"/>
              </w:rPr>
            </w:pPr>
            <w:r>
              <w:rPr>
                <w:rFonts w:hint="eastAsia" w:ascii="宋体" w:hAnsi="宋体" w:eastAsia="宋体" w:cs="宋体"/>
                <w:b w:val="0"/>
                <w:color w:val="auto"/>
                <w:kern w:val="0"/>
                <w:sz w:val="21"/>
                <w:szCs w:val="21"/>
                <w:highlight w:val="none"/>
                <w:u w:val="none"/>
                <w:lang w:val="en-US" w:eastAsia="zh-CN"/>
              </w:rPr>
              <w:t>210458367</w:t>
            </w:r>
            <w:r>
              <w:rPr>
                <w:rFonts w:hint="eastAsia" w:cs="宋体"/>
                <w:b w:val="0"/>
                <w:color w:val="auto"/>
                <w:kern w:val="0"/>
                <w:sz w:val="21"/>
                <w:szCs w:val="21"/>
                <w:highlight w:val="none"/>
                <w:u w:val="none"/>
                <w:lang w:val="en-US" w:eastAsia="zh-CN"/>
              </w:rPr>
              <w:t>元</w:t>
            </w:r>
          </w:p>
        </w:tc>
      </w:tr>
      <w:tr w14:paraId="0E7C0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jc w:val="center"/>
        </w:trPr>
        <w:tc>
          <w:tcPr>
            <w:tcW w:w="1581" w:type="dxa"/>
            <w:vAlign w:val="top"/>
          </w:tcPr>
          <w:p w14:paraId="47B90ED4">
            <w:pPr>
              <w:spacing w:line="274" w:lineRule="auto"/>
              <w:rPr>
                <w:rFonts w:ascii="Arial"/>
                <w:color w:val="auto"/>
                <w:sz w:val="21"/>
                <w:highlight w:val="none"/>
              </w:rPr>
            </w:pPr>
          </w:p>
          <w:p w14:paraId="32B209EE">
            <w:pPr>
              <w:spacing w:line="274" w:lineRule="auto"/>
              <w:rPr>
                <w:rFonts w:ascii="Arial"/>
                <w:color w:val="auto"/>
                <w:sz w:val="21"/>
                <w:highlight w:val="none"/>
              </w:rPr>
            </w:pPr>
          </w:p>
          <w:p w14:paraId="244C1AC5">
            <w:pPr>
              <w:spacing w:line="275" w:lineRule="auto"/>
              <w:rPr>
                <w:rFonts w:ascii="Arial"/>
                <w:color w:val="auto"/>
                <w:sz w:val="21"/>
                <w:highlight w:val="none"/>
              </w:rPr>
            </w:pPr>
          </w:p>
          <w:p w14:paraId="009E592B">
            <w:pPr>
              <w:spacing w:line="275" w:lineRule="auto"/>
              <w:rPr>
                <w:rFonts w:ascii="Arial"/>
                <w:color w:val="auto"/>
                <w:sz w:val="21"/>
                <w:highlight w:val="none"/>
              </w:rPr>
            </w:pPr>
          </w:p>
          <w:p w14:paraId="2B830044">
            <w:pPr>
              <w:spacing w:line="275" w:lineRule="auto"/>
              <w:rPr>
                <w:rFonts w:ascii="Arial"/>
                <w:color w:val="auto"/>
                <w:sz w:val="21"/>
                <w:highlight w:val="none"/>
              </w:rPr>
            </w:pPr>
          </w:p>
          <w:p w14:paraId="4B34CE79">
            <w:pPr>
              <w:pStyle w:val="17"/>
              <w:spacing w:before="68" w:line="277" w:lineRule="auto"/>
              <w:ind w:left="480" w:right="155" w:hanging="312"/>
              <w:rPr>
                <w:color w:val="auto"/>
                <w:highlight w:val="none"/>
              </w:rPr>
            </w:pPr>
            <w:r>
              <w:rPr>
                <w:b/>
                <w:bCs/>
                <w:color w:val="auto"/>
                <w:spacing w:val="-4"/>
                <w:highlight w:val="none"/>
              </w:rPr>
              <w:t>是否接受联合</w:t>
            </w:r>
            <w:r>
              <w:rPr>
                <w:b/>
                <w:bCs/>
                <w:color w:val="auto"/>
                <w:spacing w:val="-5"/>
                <w:highlight w:val="none"/>
              </w:rPr>
              <w:t>体投标</w:t>
            </w:r>
          </w:p>
        </w:tc>
        <w:tc>
          <w:tcPr>
            <w:tcW w:w="8115" w:type="dxa"/>
            <w:gridSpan w:val="3"/>
            <w:vAlign w:val="top"/>
          </w:tcPr>
          <w:p w14:paraId="4A588655">
            <w:pPr>
              <w:pStyle w:val="17"/>
              <w:spacing w:before="87" w:line="219" w:lineRule="auto"/>
              <w:ind w:left="117"/>
              <w:rPr>
                <w:strike/>
                <w:dstrike w:val="0"/>
                <w:color w:val="auto"/>
                <w:highlight w:val="none"/>
              </w:rPr>
            </w:pPr>
            <w:r>
              <w:rPr>
                <w:color w:val="auto"/>
                <w:spacing w:val="-4"/>
                <w:highlight w:val="none"/>
              </w:rPr>
              <w:t>本次招标</w:t>
            </w:r>
            <w:r>
              <w:rPr>
                <w:color w:val="auto"/>
                <w:spacing w:val="-4"/>
                <w:highlight w:val="none"/>
                <w:u w:val="single" w:color="auto"/>
              </w:rPr>
              <w:t>不接受</w:t>
            </w:r>
            <w:r>
              <w:rPr>
                <w:color w:val="auto"/>
                <w:spacing w:val="-4"/>
                <w:highlight w:val="none"/>
              </w:rPr>
              <w:t>联合体投标。</w:t>
            </w:r>
            <w:r>
              <w:rPr>
                <w:strike/>
                <w:dstrike w:val="0"/>
                <w:color w:val="auto"/>
                <w:spacing w:val="-4"/>
                <w:highlight w:val="none"/>
              </w:rPr>
              <w:t>具体</w:t>
            </w:r>
            <w:r>
              <w:rPr>
                <w:strike/>
                <w:dstrike w:val="0"/>
                <w:color w:val="auto"/>
                <w:spacing w:val="-5"/>
                <w:highlight w:val="none"/>
              </w:rPr>
              <w:t>要求为：</w:t>
            </w:r>
          </w:p>
          <w:p w14:paraId="6AD98620">
            <w:pPr>
              <w:pStyle w:val="17"/>
              <w:spacing w:before="130" w:line="277" w:lineRule="auto"/>
              <w:ind w:left="115" w:right="127" w:firstLine="37"/>
              <w:rPr>
                <w:strike/>
                <w:dstrike w:val="0"/>
                <w:color w:val="auto"/>
                <w:highlight w:val="none"/>
              </w:rPr>
            </w:pPr>
            <w:r>
              <w:rPr>
                <w:strike/>
                <w:dstrike w:val="0"/>
                <w:color w:val="auto"/>
                <w:spacing w:val="-1"/>
                <w:highlight w:val="none"/>
              </w:rPr>
              <w:t>(1)联合体各方应按招标文件提供的格式签订联合体协议书，明确联</w:t>
            </w:r>
            <w:r>
              <w:rPr>
                <w:strike/>
                <w:dstrike w:val="0"/>
                <w:color w:val="auto"/>
                <w:spacing w:val="-2"/>
                <w:highlight w:val="none"/>
              </w:rPr>
              <w:t>合体牵头人和各方</w:t>
            </w:r>
            <w:r>
              <w:rPr>
                <w:strike/>
                <w:dstrike w:val="0"/>
                <w:color w:val="auto"/>
                <w:spacing w:val="-3"/>
                <w:highlight w:val="none"/>
              </w:rPr>
              <w:t>权利义务，并承诺就中标项目向招标人承担连带责任；</w:t>
            </w:r>
          </w:p>
          <w:p w14:paraId="14DC44D7">
            <w:pPr>
              <w:pStyle w:val="17"/>
              <w:spacing w:before="115" w:line="233" w:lineRule="auto"/>
              <w:ind w:left="153"/>
              <w:rPr>
                <w:strike/>
                <w:dstrike w:val="0"/>
                <w:color w:val="auto"/>
                <w:sz w:val="10"/>
                <w:szCs w:val="10"/>
                <w:highlight w:val="none"/>
              </w:rPr>
            </w:pPr>
            <w:r>
              <w:rPr>
                <w:strike/>
                <w:dstrike w:val="0"/>
                <w:color w:val="auto"/>
                <w:spacing w:val="-1"/>
                <w:highlight w:val="none"/>
              </w:rPr>
              <w:t>(2)由同一专业的单位组成的联合体，按照资质等级较低的单位确定</w:t>
            </w:r>
            <w:r>
              <w:rPr>
                <w:strike/>
                <w:dstrike w:val="0"/>
                <w:color w:val="auto"/>
                <w:spacing w:val="-2"/>
                <w:highlight w:val="none"/>
              </w:rPr>
              <w:t>资质等级；</w:t>
            </w:r>
          </w:p>
          <w:p w14:paraId="41B63E4E">
            <w:pPr>
              <w:pStyle w:val="17"/>
              <w:spacing w:before="128" w:line="220" w:lineRule="auto"/>
              <w:ind w:left="153"/>
              <w:rPr>
                <w:strike/>
                <w:dstrike w:val="0"/>
                <w:color w:val="auto"/>
                <w:highlight w:val="none"/>
              </w:rPr>
            </w:pPr>
            <w:r>
              <w:rPr>
                <w:strike/>
                <w:dstrike w:val="0"/>
                <w:color w:val="auto"/>
                <w:spacing w:val="-4"/>
                <w:highlight w:val="none"/>
              </w:rPr>
              <w:t>(3)联合体各方不得再以自己名义单独或参加其他联合体在同一</w:t>
            </w:r>
            <w:r>
              <w:rPr>
                <w:strike/>
                <w:dstrike w:val="0"/>
                <w:color w:val="auto"/>
                <w:spacing w:val="-4"/>
                <w:highlight w:val="none"/>
                <w:u w:val="single" w:color="auto"/>
              </w:rPr>
              <w:t>（标类或</w:t>
            </w:r>
            <w:r>
              <w:rPr>
                <w:strike/>
                <w:dstrike w:val="0"/>
                <w:color w:val="auto"/>
                <w:spacing w:val="-5"/>
                <w:highlight w:val="none"/>
                <w:u w:val="single" w:color="auto"/>
              </w:rPr>
              <w:t>标段）</w:t>
            </w:r>
            <w:r>
              <w:rPr>
                <w:strike/>
                <w:dstrike w:val="0"/>
                <w:color w:val="auto"/>
                <w:spacing w:val="-5"/>
                <w:highlight w:val="none"/>
              </w:rPr>
              <w:t>中投标；</w:t>
            </w:r>
          </w:p>
          <w:p w14:paraId="39950B95">
            <w:pPr>
              <w:pStyle w:val="17"/>
              <w:spacing w:before="130" w:line="219" w:lineRule="auto"/>
              <w:ind w:left="153"/>
              <w:rPr>
                <w:strike/>
                <w:dstrike w:val="0"/>
                <w:color w:val="auto"/>
                <w:highlight w:val="none"/>
              </w:rPr>
            </w:pPr>
            <w:r>
              <w:rPr>
                <w:strike/>
                <w:dstrike w:val="0"/>
                <w:color w:val="auto"/>
                <w:spacing w:val="-3"/>
                <w:highlight w:val="none"/>
              </w:rPr>
              <w:t>(4)联合体所有成员（含牵头人）数量不得超过</w:t>
            </w:r>
            <w:r>
              <w:rPr>
                <w:strike/>
                <w:dstrike w:val="0"/>
                <w:color w:val="auto"/>
                <w:spacing w:val="-3"/>
                <w:highlight w:val="none"/>
                <w:u w:val="single" w:color="auto"/>
              </w:rPr>
              <w:t xml:space="preserve">      </w:t>
            </w:r>
            <w:r>
              <w:rPr>
                <w:strike/>
                <w:dstrike w:val="0"/>
                <w:color w:val="auto"/>
                <w:spacing w:val="-83"/>
                <w:highlight w:val="none"/>
              </w:rPr>
              <w:t xml:space="preserve"> </w:t>
            </w:r>
            <w:r>
              <w:rPr>
                <w:strike/>
                <w:dstrike w:val="0"/>
                <w:color w:val="auto"/>
                <w:spacing w:val="-3"/>
                <w:highlight w:val="none"/>
              </w:rPr>
              <w:t>个；</w:t>
            </w:r>
          </w:p>
          <w:p w14:paraId="35C85D7C">
            <w:pPr>
              <w:pStyle w:val="17"/>
              <w:spacing w:before="115" w:line="233" w:lineRule="auto"/>
              <w:ind w:left="153"/>
              <w:rPr>
                <w:strike/>
                <w:dstrike w:val="0"/>
                <w:color w:val="auto"/>
                <w:highlight w:val="none"/>
              </w:rPr>
            </w:pPr>
            <w:r>
              <w:rPr>
                <w:strike/>
                <w:dstrike w:val="0"/>
                <w:color w:val="auto"/>
                <w:spacing w:val="-1"/>
                <w:highlight w:val="none"/>
              </w:rPr>
              <w:t>(5)联合体牵头人所承担的工程量必须超过</w:t>
            </w:r>
            <w:r>
              <w:rPr>
                <w:strike/>
                <w:dstrike w:val="0"/>
                <w:color w:val="auto"/>
                <w:spacing w:val="-2"/>
                <w:highlight w:val="none"/>
              </w:rPr>
              <w:t>总工程量的</w:t>
            </w:r>
            <w:r>
              <w:rPr>
                <w:strike/>
                <w:dstrike w:val="0"/>
                <w:color w:val="auto"/>
                <w:spacing w:val="-2"/>
                <w:highlight w:val="none"/>
                <w:u w:val="single" w:color="auto"/>
              </w:rPr>
              <w:t xml:space="preserve">     </w:t>
            </w:r>
            <w:r>
              <w:rPr>
                <w:strike/>
                <w:dstrike w:val="0"/>
                <w:color w:val="auto"/>
                <w:spacing w:val="-102"/>
                <w:highlight w:val="none"/>
              </w:rPr>
              <w:t xml:space="preserve"> </w:t>
            </w:r>
            <w:r>
              <w:rPr>
                <w:strike/>
                <w:dstrike w:val="0"/>
                <w:color w:val="auto"/>
                <w:spacing w:val="-2"/>
                <w:highlight w:val="none"/>
              </w:rPr>
              <w:t>%;</w:t>
            </w:r>
          </w:p>
          <w:p w14:paraId="0E334DDD">
            <w:pPr>
              <w:pStyle w:val="17"/>
              <w:spacing w:before="87" w:line="220" w:lineRule="auto"/>
              <w:ind w:left="116"/>
              <w:rPr>
                <w:strike/>
                <w:dstrike w:val="0"/>
                <w:color w:val="auto"/>
                <w:highlight w:val="none"/>
              </w:rPr>
            </w:pPr>
            <w:r>
              <w:rPr>
                <w:strike/>
                <w:dstrike w:val="0"/>
                <w:color w:val="auto"/>
                <w:spacing w:val="-1"/>
                <w:highlight w:val="none"/>
              </w:rPr>
              <w:t>(6)联合体各方应分别按照本招标文件的要求，填写投标文件中的相</w:t>
            </w:r>
            <w:r>
              <w:rPr>
                <w:strike/>
                <w:dstrike w:val="0"/>
                <w:color w:val="auto"/>
                <w:spacing w:val="-2"/>
                <w:highlight w:val="none"/>
              </w:rPr>
              <w:t>应表格，并由联合</w:t>
            </w:r>
            <w:r>
              <w:rPr>
                <w:strike/>
                <w:dstrike w:val="0"/>
                <w:color w:val="auto"/>
                <w:spacing w:val="-3"/>
                <w:highlight w:val="none"/>
              </w:rPr>
              <w:t>体牵头人负责对联合体各成员的资料进行统一汇总后一并提交给招标人；联合体牵头人</w:t>
            </w:r>
            <w:r>
              <w:rPr>
                <w:strike/>
                <w:dstrike w:val="0"/>
                <w:color w:val="auto"/>
                <w:spacing w:val="-2"/>
                <w:highlight w:val="none"/>
              </w:rPr>
              <w:t>所提交的投标文件应认为已代表了联合体各成员的真实</w:t>
            </w:r>
            <w:r>
              <w:rPr>
                <w:strike/>
                <w:dstrike w:val="0"/>
                <w:color w:val="auto"/>
                <w:spacing w:val="-3"/>
                <w:highlight w:val="none"/>
              </w:rPr>
              <w:t>情况；</w:t>
            </w:r>
          </w:p>
          <w:p w14:paraId="20B7F020">
            <w:pPr>
              <w:pStyle w:val="17"/>
              <w:spacing w:before="130" w:line="277" w:lineRule="auto"/>
              <w:ind w:left="116" w:right="112" w:firstLine="36"/>
              <w:rPr>
                <w:color w:val="auto"/>
                <w:highlight w:val="none"/>
              </w:rPr>
            </w:pPr>
            <w:r>
              <w:rPr>
                <w:strike/>
                <w:dstrike w:val="0"/>
                <w:color w:val="auto"/>
                <w:spacing w:val="-1"/>
                <w:highlight w:val="none"/>
              </w:rPr>
              <w:t>(7)联合体各成员在投标、签订合同与履行合同过程中，仍负有连带</w:t>
            </w:r>
            <w:r>
              <w:rPr>
                <w:strike/>
                <w:dstrike w:val="0"/>
                <w:color w:val="auto"/>
                <w:spacing w:val="-2"/>
                <w:highlight w:val="none"/>
              </w:rPr>
              <w:t>的和各自的法律责</w:t>
            </w:r>
            <w:r>
              <w:rPr>
                <w:strike/>
                <w:dstrike w:val="0"/>
                <w:color w:val="auto"/>
                <w:spacing w:val="-10"/>
                <w:highlight w:val="none"/>
              </w:rPr>
              <w:t>任。</w:t>
            </w:r>
          </w:p>
        </w:tc>
      </w:tr>
    </w:tbl>
    <w:p w14:paraId="6DDD59DE">
      <w:pPr>
        <w:pStyle w:val="3"/>
        <w:spacing w:line="381" w:lineRule="auto"/>
        <w:rPr>
          <w:color w:val="auto"/>
          <w:highlight w:val="none"/>
        </w:rPr>
      </w:pPr>
    </w:p>
    <w:p w14:paraId="57EA5FE1">
      <w:pPr>
        <w:spacing w:before="19" w:line="230" w:lineRule="auto"/>
        <w:ind w:left="1423" w:right="1416" w:hanging="2"/>
        <w:rPr>
          <w:rFonts w:ascii="宋体" w:hAnsi="宋体" w:eastAsia="宋体" w:cs="宋体"/>
          <w:color w:val="auto"/>
          <w:sz w:val="18"/>
          <w:szCs w:val="18"/>
          <w:highlight w:val="none"/>
        </w:rPr>
      </w:pPr>
    </w:p>
    <w:p w14:paraId="25D5BC3C">
      <w:pPr>
        <w:spacing w:line="217" w:lineRule="auto"/>
        <w:rPr>
          <w:rFonts w:ascii="宋体" w:hAnsi="宋体" w:eastAsia="宋体" w:cs="宋体"/>
          <w:color w:val="auto"/>
          <w:sz w:val="18"/>
          <w:szCs w:val="18"/>
          <w:highlight w:val="none"/>
        </w:rPr>
        <w:sectPr>
          <w:headerReference r:id="rId12" w:type="default"/>
          <w:footerReference r:id="rId13" w:type="default"/>
          <w:pgSz w:w="11905" w:h="16840"/>
          <w:pgMar w:top="1182" w:right="0" w:bottom="1171" w:left="0" w:header="849" w:footer="936" w:gutter="0"/>
          <w:pgNumType w:fmt="decimal"/>
          <w:cols w:space="720" w:num="1"/>
        </w:sectPr>
      </w:pPr>
    </w:p>
    <w:p w14:paraId="0AF5B864">
      <w:pPr>
        <w:spacing w:line="234" w:lineRule="exact"/>
        <w:rPr>
          <w:color w:val="auto"/>
          <w:highlight w:val="none"/>
        </w:rPr>
      </w:pPr>
    </w:p>
    <w:tbl>
      <w:tblPr>
        <w:tblStyle w:val="16"/>
        <w:tblW w:w="9697" w:type="dxa"/>
        <w:tblInd w:w="1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1"/>
        <w:gridCol w:w="2114"/>
        <w:gridCol w:w="1723"/>
        <w:gridCol w:w="1"/>
        <w:gridCol w:w="1373"/>
        <w:gridCol w:w="2904"/>
        <w:gridCol w:w="1"/>
      </w:tblGrid>
      <w:tr w14:paraId="45134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581" w:type="dxa"/>
            <w:vMerge w:val="restart"/>
            <w:tcBorders>
              <w:bottom w:val="nil"/>
            </w:tcBorders>
            <w:vAlign w:val="top"/>
          </w:tcPr>
          <w:p w14:paraId="55D343B8">
            <w:pPr>
              <w:spacing w:line="289" w:lineRule="auto"/>
              <w:rPr>
                <w:rFonts w:ascii="Arial"/>
                <w:color w:val="auto"/>
                <w:sz w:val="21"/>
                <w:highlight w:val="none"/>
              </w:rPr>
            </w:pPr>
          </w:p>
          <w:p w14:paraId="7C58424A">
            <w:pPr>
              <w:spacing w:line="289" w:lineRule="auto"/>
              <w:rPr>
                <w:rFonts w:ascii="Arial"/>
                <w:color w:val="auto"/>
                <w:sz w:val="21"/>
                <w:highlight w:val="none"/>
              </w:rPr>
            </w:pPr>
          </w:p>
          <w:p w14:paraId="020E6069">
            <w:pPr>
              <w:pStyle w:val="17"/>
              <w:spacing w:before="68" w:line="274" w:lineRule="auto"/>
              <w:ind w:left="166" w:right="155" w:firstLine="1"/>
              <w:jc w:val="both"/>
              <w:rPr>
                <w:color w:val="auto"/>
                <w:highlight w:val="none"/>
              </w:rPr>
            </w:pPr>
            <w:r>
              <w:rPr>
                <w:b/>
                <w:bCs/>
                <w:color w:val="auto"/>
                <w:spacing w:val="-4"/>
                <w:highlight w:val="none"/>
              </w:rPr>
              <w:t>投标资格能力要求（包括但不限于资质、</w:t>
            </w:r>
          </w:p>
          <w:p w14:paraId="20B72324">
            <w:pPr>
              <w:pStyle w:val="17"/>
              <w:spacing w:line="277" w:lineRule="auto"/>
              <w:ind w:left="480" w:right="155" w:hanging="314"/>
              <w:jc w:val="both"/>
              <w:rPr>
                <w:color w:val="auto"/>
                <w:highlight w:val="none"/>
              </w:rPr>
            </w:pPr>
            <w:r>
              <w:rPr>
                <w:b/>
                <w:bCs/>
                <w:color w:val="auto"/>
                <w:spacing w:val="-4"/>
                <w:highlight w:val="none"/>
              </w:rPr>
              <w:t>人员、业绩等</w:t>
            </w:r>
            <w:r>
              <w:rPr>
                <w:b/>
                <w:bCs/>
                <w:color w:val="auto"/>
                <w:spacing w:val="-5"/>
                <w:highlight w:val="none"/>
              </w:rPr>
              <w:t>要求）</w:t>
            </w:r>
          </w:p>
        </w:tc>
        <w:tc>
          <w:tcPr>
            <w:tcW w:w="2114" w:type="dxa"/>
            <w:vAlign w:val="top"/>
          </w:tcPr>
          <w:p w14:paraId="5770DE53">
            <w:pPr>
              <w:spacing w:line="303" w:lineRule="auto"/>
              <w:rPr>
                <w:rFonts w:ascii="Arial"/>
                <w:color w:val="auto"/>
                <w:sz w:val="21"/>
                <w:highlight w:val="none"/>
              </w:rPr>
            </w:pPr>
          </w:p>
          <w:p w14:paraId="293A84E0">
            <w:pPr>
              <w:spacing w:line="303" w:lineRule="auto"/>
              <w:rPr>
                <w:rFonts w:ascii="Arial"/>
                <w:color w:val="auto"/>
                <w:sz w:val="21"/>
                <w:highlight w:val="none"/>
              </w:rPr>
            </w:pPr>
          </w:p>
          <w:p w14:paraId="4AD75F12">
            <w:pPr>
              <w:spacing w:line="304" w:lineRule="auto"/>
              <w:rPr>
                <w:rFonts w:ascii="Arial"/>
                <w:color w:val="auto"/>
                <w:sz w:val="21"/>
                <w:highlight w:val="none"/>
              </w:rPr>
            </w:pPr>
          </w:p>
          <w:p w14:paraId="3C4B23DC">
            <w:pPr>
              <w:pStyle w:val="17"/>
              <w:spacing w:before="69" w:line="220" w:lineRule="auto"/>
              <w:ind w:left="327"/>
              <w:rPr>
                <w:color w:val="auto"/>
                <w:highlight w:val="none"/>
              </w:rPr>
            </w:pPr>
            <w:r>
              <w:rPr>
                <w:color w:val="auto"/>
                <w:spacing w:val="-2"/>
                <w:highlight w:val="none"/>
              </w:rPr>
              <w:t>投标人资格要求</w:t>
            </w:r>
          </w:p>
        </w:tc>
        <w:tc>
          <w:tcPr>
            <w:tcW w:w="6002" w:type="dxa"/>
            <w:gridSpan w:val="5"/>
            <w:vAlign w:val="top"/>
          </w:tcPr>
          <w:p w14:paraId="39D9082E">
            <w:pPr>
              <w:pStyle w:val="17"/>
              <w:spacing w:before="49" w:line="271" w:lineRule="auto"/>
              <w:ind w:left="116" w:right="38" w:firstLine="2"/>
              <w:jc w:val="both"/>
              <w:rPr>
                <w:color w:val="auto"/>
                <w:highlight w:val="none"/>
              </w:rPr>
            </w:pPr>
            <w:r>
              <w:rPr>
                <w:color w:val="auto"/>
                <w:spacing w:val="-1"/>
                <w:highlight w:val="none"/>
              </w:rPr>
              <w:t>投标人应具有以下资质：详见招标公告附件，</w:t>
            </w:r>
            <w:r>
              <w:rPr>
                <w:color w:val="auto"/>
                <w:spacing w:val="-1"/>
                <w:highlight w:val="none"/>
                <w:u w:val="single" w:color="auto"/>
              </w:rPr>
              <w:t>投标人应进入交通运输部“全国公路建设市场监督管理系统”中的公路工程施工资质企业名录，且投标人名称和资质与该名录中的相应企业</w:t>
            </w:r>
            <w:r>
              <w:rPr>
                <w:color w:val="auto"/>
                <w:spacing w:val="-2"/>
                <w:highlight w:val="none"/>
                <w:u w:val="single" w:color="auto"/>
              </w:rPr>
              <w:t>名称和资质完全一致</w:t>
            </w:r>
            <w:r>
              <w:rPr>
                <w:strike/>
                <w:dstrike w:val="0"/>
                <w:color w:val="auto"/>
                <w:spacing w:val="-2"/>
                <w:highlight w:val="none"/>
                <w:u w:val="single" w:color="auto"/>
              </w:rPr>
              <w:t>（联合体投标的，联合体各方均需满足）</w:t>
            </w:r>
            <w:r>
              <w:rPr>
                <w:color w:val="auto"/>
                <w:spacing w:val="-2"/>
                <w:highlight w:val="none"/>
              </w:rPr>
              <w:t>。</w:t>
            </w:r>
          </w:p>
          <w:p w14:paraId="6B353DD8">
            <w:pPr>
              <w:pStyle w:val="17"/>
              <w:spacing w:before="204" w:line="250" w:lineRule="auto"/>
              <w:ind w:left="119" w:right="218"/>
              <w:rPr>
                <w:color w:val="auto"/>
                <w:highlight w:val="none"/>
              </w:rPr>
            </w:pPr>
            <w:r>
              <w:rPr>
                <w:color w:val="auto"/>
                <w:spacing w:val="-1"/>
                <w:highlight w:val="none"/>
              </w:rPr>
              <w:t>项目经理的资格要求详见招标公告附件，项目总工的资格要求</w:t>
            </w:r>
            <w:r>
              <w:rPr>
                <w:color w:val="auto"/>
                <w:spacing w:val="-5"/>
                <w:highlight w:val="none"/>
              </w:rPr>
              <w:t>详见招标公告附件。</w:t>
            </w:r>
          </w:p>
        </w:tc>
      </w:tr>
      <w:tr w14:paraId="0206D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81" w:type="dxa"/>
            <w:vMerge w:val="continue"/>
            <w:tcBorders>
              <w:top w:val="nil"/>
            </w:tcBorders>
            <w:vAlign w:val="top"/>
          </w:tcPr>
          <w:p w14:paraId="37243467">
            <w:pPr>
              <w:rPr>
                <w:rFonts w:ascii="Arial"/>
                <w:color w:val="auto"/>
                <w:sz w:val="21"/>
                <w:highlight w:val="none"/>
              </w:rPr>
            </w:pPr>
          </w:p>
        </w:tc>
        <w:tc>
          <w:tcPr>
            <w:tcW w:w="2114" w:type="dxa"/>
            <w:vAlign w:val="top"/>
          </w:tcPr>
          <w:p w14:paraId="68283156">
            <w:pPr>
              <w:pStyle w:val="17"/>
              <w:spacing w:before="177" w:line="220" w:lineRule="auto"/>
              <w:ind w:left="327"/>
              <w:rPr>
                <w:color w:val="auto"/>
                <w:highlight w:val="none"/>
              </w:rPr>
            </w:pPr>
            <w:r>
              <w:rPr>
                <w:color w:val="auto"/>
                <w:spacing w:val="-2"/>
                <w:highlight w:val="none"/>
              </w:rPr>
              <w:t>投标人业绩要求</w:t>
            </w:r>
          </w:p>
        </w:tc>
        <w:tc>
          <w:tcPr>
            <w:tcW w:w="6002" w:type="dxa"/>
            <w:gridSpan w:val="5"/>
            <w:vAlign w:val="top"/>
          </w:tcPr>
          <w:p w14:paraId="42801EB2">
            <w:pPr>
              <w:pStyle w:val="17"/>
              <w:spacing w:before="177" w:line="218" w:lineRule="auto"/>
              <w:ind w:left="2166"/>
              <w:rPr>
                <w:color w:val="auto"/>
                <w:highlight w:val="none"/>
              </w:rPr>
            </w:pPr>
            <w:r>
              <w:rPr>
                <w:color w:val="auto"/>
                <w:spacing w:val="-2"/>
                <w:highlight w:val="none"/>
              </w:rPr>
              <w:t>详见招标公告附件</w:t>
            </w:r>
          </w:p>
        </w:tc>
      </w:tr>
      <w:tr w14:paraId="7B50E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581" w:type="dxa"/>
            <w:vMerge w:val="restart"/>
            <w:tcBorders>
              <w:bottom w:val="nil"/>
            </w:tcBorders>
            <w:vAlign w:val="top"/>
          </w:tcPr>
          <w:p w14:paraId="341C051E">
            <w:pPr>
              <w:spacing w:line="263" w:lineRule="auto"/>
              <w:rPr>
                <w:rFonts w:ascii="Arial"/>
                <w:color w:val="auto"/>
                <w:sz w:val="21"/>
                <w:highlight w:val="none"/>
              </w:rPr>
            </w:pPr>
          </w:p>
          <w:p w14:paraId="317B5981">
            <w:pPr>
              <w:spacing w:line="263" w:lineRule="auto"/>
              <w:rPr>
                <w:rFonts w:ascii="Arial"/>
                <w:color w:val="auto"/>
                <w:sz w:val="21"/>
                <w:highlight w:val="none"/>
              </w:rPr>
            </w:pPr>
          </w:p>
          <w:p w14:paraId="71BA684A">
            <w:pPr>
              <w:spacing w:line="264" w:lineRule="auto"/>
              <w:rPr>
                <w:rFonts w:ascii="Arial"/>
                <w:color w:val="auto"/>
                <w:sz w:val="21"/>
                <w:highlight w:val="none"/>
              </w:rPr>
            </w:pPr>
          </w:p>
          <w:p w14:paraId="2115E338">
            <w:pPr>
              <w:spacing w:line="264" w:lineRule="auto"/>
              <w:rPr>
                <w:rFonts w:ascii="Arial"/>
                <w:color w:val="auto"/>
                <w:sz w:val="21"/>
                <w:highlight w:val="none"/>
              </w:rPr>
            </w:pPr>
          </w:p>
          <w:p w14:paraId="26F1A89F">
            <w:pPr>
              <w:spacing w:line="264" w:lineRule="auto"/>
              <w:rPr>
                <w:rFonts w:ascii="Arial"/>
                <w:color w:val="auto"/>
                <w:sz w:val="21"/>
                <w:highlight w:val="none"/>
              </w:rPr>
            </w:pPr>
          </w:p>
          <w:p w14:paraId="65C6F5CD">
            <w:pPr>
              <w:spacing w:line="264" w:lineRule="auto"/>
              <w:rPr>
                <w:rFonts w:ascii="Arial"/>
                <w:color w:val="auto"/>
                <w:sz w:val="21"/>
                <w:highlight w:val="none"/>
              </w:rPr>
            </w:pPr>
          </w:p>
          <w:p w14:paraId="67A1C3D3">
            <w:pPr>
              <w:spacing w:line="264" w:lineRule="auto"/>
              <w:rPr>
                <w:rFonts w:ascii="Arial"/>
                <w:color w:val="auto"/>
                <w:sz w:val="21"/>
                <w:highlight w:val="none"/>
              </w:rPr>
            </w:pPr>
          </w:p>
          <w:p w14:paraId="3819684D">
            <w:pPr>
              <w:pStyle w:val="17"/>
              <w:spacing w:before="68" w:line="277" w:lineRule="auto"/>
              <w:ind w:left="166" w:right="155" w:firstLine="2"/>
              <w:rPr>
                <w:color w:val="auto"/>
                <w:highlight w:val="none"/>
              </w:rPr>
            </w:pPr>
            <w:r>
              <w:rPr>
                <w:b/>
                <w:bCs/>
                <w:color w:val="auto"/>
                <w:spacing w:val="-4"/>
                <w:highlight w:val="none"/>
              </w:rPr>
              <w:t>是否采用电子招标投标方式</w:t>
            </w:r>
          </w:p>
        </w:tc>
        <w:tc>
          <w:tcPr>
            <w:tcW w:w="2114" w:type="dxa"/>
            <w:vMerge w:val="restart"/>
            <w:tcBorders>
              <w:bottom w:val="nil"/>
            </w:tcBorders>
            <w:vAlign w:val="top"/>
          </w:tcPr>
          <w:p w14:paraId="3DE705BE">
            <w:pPr>
              <w:spacing w:line="250" w:lineRule="auto"/>
              <w:rPr>
                <w:rFonts w:ascii="Arial"/>
                <w:color w:val="auto"/>
                <w:sz w:val="21"/>
                <w:highlight w:val="none"/>
              </w:rPr>
            </w:pPr>
          </w:p>
          <w:p w14:paraId="7CEDAF17">
            <w:pPr>
              <w:spacing w:line="250" w:lineRule="auto"/>
              <w:rPr>
                <w:rFonts w:ascii="Arial"/>
                <w:color w:val="auto"/>
                <w:sz w:val="21"/>
                <w:highlight w:val="none"/>
              </w:rPr>
            </w:pPr>
          </w:p>
          <w:p w14:paraId="04ECFAA2">
            <w:pPr>
              <w:spacing w:line="250" w:lineRule="auto"/>
              <w:rPr>
                <w:rFonts w:ascii="Arial"/>
                <w:color w:val="auto"/>
                <w:sz w:val="21"/>
                <w:highlight w:val="none"/>
              </w:rPr>
            </w:pPr>
          </w:p>
          <w:p w14:paraId="132D14F4">
            <w:pPr>
              <w:spacing w:line="250" w:lineRule="auto"/>
              <w:rPr>
                <w:rFonts w:ascii="Arial"/>
                <w:color w:val="auto"/>
                <w:sz w:val="21"/>
                <w:highlight w:val="none"/>
              </w:rPr>
            </w:pPr>
          </w:p>
          <w:p w14:paraId="357A3DDB">
            <w:pPr>
              <w:spacing w:line="250" w:lineRule="auto"/>
              <w:rPr>
                <w:rFonts w:ascii="Arial"/>
                <w:color w:val="auto"/>
                <w:sz w:val="21"/>
                <w:highlight w:val="none"/>
              </w:rPr>
            </w:pPr>
          </w:p>
          <w:p w14:paraId="7B6C1AB3">
            <w:pPr>
              <w:spacing w:line="250" w:lineRule="auto"/>
              <w:rPr>
                <w:rFonts w:ascii="Arial"/>
                <w:color w:val="auto"/>
                <w:sz w:val="21"/>
                <w:highlight w:val="none"/>
              </w:rPr>
            </w:pPr>
          </w:p>
          <w:p w14:paraId="2E3BE97D">
            <w:pPr>
              <w:spacing w:line="251" w:lineRule="auto"/>
              <w:rPr>
                <w:rFonts w:ascii="Arial"/>
                <w:color w:val="auto"/>
                <w:sz w:val="21"/>
                <w:highlight w:val="none"/>
              </w:rPr>
            </w:pPr>
          </w:p>
          <w:p w14:paraId="67C02DA1">
            <w:pPr>
              <w:spacing w:line="251" w:lineRule="auto"/>
              <w:rPr>
                <w:rFonts w:ascii="Arial"/>
                <w:color w:val="auto"/>
                <w:sz w:val="21"/>
                <w:highlight w:val="none"/>
              </w:rPr>
            </w:pPr>
          </w:p>
          <w:p w14:paraId="30EF2228">
            <w:pPr>
              <w:pStyle w:val="17"/>
              <w:spacing w:before="68" w:line="223" w:lineRule="auto"/>
              <w:ind w:left="958"/>
              <w:rPr>
                <w:color w:val="auto"/>
                <w:highlight w:val="none"/>
              </w:rPr>
            </w:pPr>
            <w:r>
              <w:rPr>
                <w:color w:val="auto"/>
                <w:highlight w:val="none"/>
              </w:rPr>
              <w:t>是</w:t>
            </w:r>
          </w:p>
        </w:tc>
        <w:tc>
          <w:tcPr>
            <w:tcW w:w="1724" w:type="dxa"/>
            <w:gridSpan w:val="2"/>
            <w:vMerge w:val="restart"/>
            <w:tcBorders>
              <w:bottom w:val="nil"/>
            </w:tcBorders>
            <w:vAlign w:val="top"/>
          </w:tcPr>
          <w:p w14:paraId="238A5738">
            <w:pPr>
              <w:spacing w:line="250" w:lineRule="auto"/>
              <w:rPr>
                <w:rFonts w:ascii="Arial"/>
                <w:color w:val="auto"/>
                <w:sz w:val="21"/>
                <w:highlight w:val="none"/>
              </w:rPr>
            </w:pPr>
          </w:p>
          <w:p w14:paraId="4D532D35">
            <w:pPr>
              <w:spacing w:line="250" w:lineRule="auto"/>
              <w:rPr>
                <w:rFonts w:ascii="Arial"/>
                <w:color w:val="auto"/>
                <w:sz w:val="21"/>
                <w:highlight w:val="none"/>
              </w:rPr>
            </w:pPr>
          </w:p>
          <w:p w14:paraId="1367C510">
            <w:pPr>
              <w:spacing w:line="250" w:lineRule="auto"/>
              <w:rPr>
                <w:rFonts w:ascii="Arial"/>
                <w:color w:val="auto"/>
                <w:sz w:val="21"/>
                <w:highlight w:val="none"/>
              </w:rPr>
            </w:pPr>
          </w:p>
          <w:p w14:paraId="41B687C5">
            <w:pPr>
              <w:spacing w:line="250" w:lineRule="auto"/>
              <w:rPr>
                <w:rFonts w:ascii="Arial"/>
                <w:color w:val="auto"/>
                <w:sz w:val="21"/>
                <w:highlight w:val="none"/>
              </w:rPr>
            </w:pPr>
          </w:p>
          <w:p w14:paraId="476F3224">
            <w:pPr>
              <w:spacing w:line="250" w:lineRule="auto"/>
              <w:rPr>
                <w:rFonts w:ascii="Arial"/>
                <w:color w:val="auto"/>
                <w:sz w:val="21"/>
                <w:highlight w:val="none"/>
              </w:rPr>
            </w:pPr>
          </w:p>
          <w:p w14:paraId="61591EF5">
            <w:pPr>
              <w:spacing w:line="250" w:lineRule="auto"/>
              <w:rPr>
                <w:rFonts w:ascii="Arial"/>
                <w:color w:val="auto"/>
                <w:sz w:val="21"/>
                <w:highlight w:val="none"/>
              </w:rPr>
            </w:pPr>
          </w:p>
          <w:p w14:paraId="1F8B1C38">
            <w:pPr>
              <w:spacing w:line="250" w:lineRule="auto"/>
              <w:rPr>
                <w:rFonts w:ascii="Arial"/>
                <w:color w:val="auto"/>
                <w:sz w:val="21"/>
                <w:highlight w:val="none"/>
              </w:rPr>
            </w:pPr>
          </w:p>
          <w:p w14:paraId="20F31A47">
            <w:pPr>
              <w:spacing w:line="251" w:lineRule="auto"/>
              <w:rPr>
                <w:rFonts w:ascii="Arial"/>
                <w:color w:val="auto"/>
                <w:sz w:val="21"/>
                <w:highlight w:val="none"/>
              </w:rPr>
            </w:pPr>
          </w:p>
          <w:p w14:paraId="010A174A">
            <w:pPr>
              <w:pStyle w:val="17"/>
              <w:spacing w:before="68" w:line="220" w:lineRule="auto"/>
              <w:ind w:left="132"/>
              <w:rPr>
                <w:color w:val="auto"/>
                <w:highlight w:val="none"/>
              </w:rPr>
            </w:pPr>
            <w:r>
              <w:rPr>
                <w:b/>
                <w:bCs/>
                <w:color w:val="auto"/>
                <w:spacing w:val="-3"/>
                <w:highlight w:val="none"/>
              </w:rPr>
              <w:t>招标文件的方式</w:t>
            </w:r>
          </w:p>
        </w:tc>
        <w:tc>
          <w:tcPr>
            <w:tcW w:w="1373" w:type="dxa"/>
            <w:vAlign w:val="center"/>
          </w:tcPr>
          <w:p w14:paraId="0079706E">
            <w:pPr>
              <w:spacing w:line="291" w:lineRule="auto"/>
              <w:jc w:val="both"/>
              <w:rPr>
                <w:rFonts w:ascii="Arial"/>
                <w:color w:val="auto"/>
                <w:sz w:val="21"/>
                <w:highlight w:val="none"/>
              </w:rPr>
            </w:pPr>
          </w:p>
          <w:p w14:paraId="0832FAD6">
            <w:pPr>
              <w:pStyle w:val="17"/>
              <w:spacing w:before="68" w:line="278" w:lineRule="auto"/>
              <w:ind w:left="135" w:right="109" w:hanging="10"/>
              <w:jc w:val="both"/>
              <w:rPr>
                <w:color w:val="auto"/>
                <w:highlight w:val="none"/>
              </w:rPr>
            </w:pPr>
            <w:r>
              <w:rPr>
                <w:color w:val="auto"/>
                <w:spacing w:val="14"/>
                <w:highlight w:val="none"/>
              </w:rPr>
              <w:t>下载招标文件</w:t>
            </w:r>
            <w:r>
              <w:rPr>
                <w:color w:val="auto"/>
                <w:spacing w:val="-5"/>
                <w:highlight w:val="none"/>
              </w:rPr>
              <w:t>的网络地址</w:t>
            </w:r>
          </w:p>
        </w:tc>
        <w:tc>
          <w:tcPr>
            <w:tcW w:w="2905" w:type="dxa"/>
            <w:gridSpan w:val="2"/>
            <w:vAlign w:val="center"/>
          </w:tcPr>
          <w:p w14:paraId="024B0BE7">
            <w:pPr>
              <w:pStyle w:val="17"/>
              <w:spacing w:before="49" w:line="220" w:lineRule="auto"/>
              <w:ind w:left="119"/>
              <w:jc w:val="both"/>
              <w:rPr>
                <w:color w:val="auto"/>
                <w:highlight w:val="none"/>
              </w:rPr>
            </w:pPr>
            <w:r>
              <w:rPr>
                <w:color w:val="auto"/>
                <w:spacing w:val="-4"/>
                <w:highlight w:val="none"/>
              </w:rPr>
              <w:t>广东省招标投标监管网、</w:t>
            </w:r>
          </w:p>
          <w:p w14:paraId="72EFDCB3">
            <w:pPr>
              <w:pStyle w:val="17"/>
              <w:tabs>
                <w:tab w:val="left" w:pos="530"/>
              </w:tabs>
              <w:spacing w:before="61" w:line="278" w:lineRule="auto"/>
              <w:ind w:left="120" w:right="113" w:hanging="9"/>
              <w:jc w:val="both"/>
              <w:rPr>
                <w:color w:val="auto"/>
                <w:highlight w:val="none"/>
              </w:rPr>
            </w:pPr>
            <w:r>
              <w:rPr>
                <w:rFonts w:hint="eastAsia"/>
                <w:color w:val="auto"/>
                <w:spacing w:val="9"/>
                <w:highlight w:val="none"/>
              </w:rPr>
              <w:t>广州</w:t>
            </w:r>
            <w:r>
              <w:rPr>
                <w:color w:val="auto"/>
                <w:spacing w:val="14"/>
                <w:highlight w:val="none"/>
              </w:rPr>
              <w:t>公共资源交易中心网</w:t>
            </w:r>
            <w:r>
              <w:rPr>
                <w:color w:val="auto"/>
                <w:highlight w:val="none"/>
              </w:rPr>
              <w:t>站</w:t>
            </w:r>
          </w:p>
        </w:tc>
      </w:tr>
      <w:tr w14:paraId="438B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1581" w:type="dxa"/>
            <w:vMerge w:val="continue"/>
            <w:tcBorders>
              <w:top w:val="nil"/>
            </w:tcBorders>
            <w:vAlign w:val="top"/>
          </w:tcPr>
          <w:p w14:paraId="0F234055">
            <w:pPr>
              <w:rPr>
                <w:rFonts w:ascii="Arial"/>
                <w:color w:val="auto"/>
                <w:sz w:val="21"/>
                <w:highlight w:val="none"/>
              </w:rPr>
            </w:pPr>
          </w:p>
        </w:tc>
        <w:tc>
          <w:tcPr>
            <w:tcW w:w="2114" w:type="dxa"/>
            <w:vMerge w:val="continue"/>
            <w:tcBorders>
              <w:top w:val="nil"/>
            </w:tcBorders>
            <w:vAlign w:val="top"/>
          </w:tcPr>
          <w:p w14:paraId="3D3154C5">
            <w:pPr>
              <w:rPr>
                <w:rFonts w:ascii="Arial"/>
                <w:color w:val="auto"/>
                <w:sz w:val="21"/>
                <w:highlight w:val="none"/>
              </w:rPr>
            </w:pPr>
          </w:p>
        </w:tc>
        <w:tc>
          <w:tcPr>
            <w:tcW w:w="1724" w:type="dxa"/>
            <w:gridSpan w:val="2"/>
            <w:vMerge w:val="continue"/>
            <w:tcBorders>
              <w:top w:val="nil"/>
            </w:tcBorders>
            <w:vAlign w:val="top"/>
          </w:tcPr>
          <w:p w14:paraId="327D2709">
            <w:pPr>
              <w:rPr>
                <w:rFonts w:ascii="Arial"/>
                <w:color w:val="auto"/>
                <w:sz w:val="21"/>
                <w:highlight w:val="none"/>
              </w:rPr>
            </w:pPr>
          </w:p>
        </w:tc>
        <w:tc>
          <w:tcPr>
            <w:tcW w:w="1373" w:type="dxa"/>
            <w:vAlign w:val="center"/>
          </w:tcPr>
          <w:p w14:paraId="76CCC24D">
            <w:pPr>
              <w:pStyle w:val="17"/>
              <w:spacing w:before="68" w:line="277" w:lineRule="auto"/>
              <w:ind w:left="134" w:right="109" w:hanging="13"/>
              <w:jc w:val="both"/>
              <w:rPr>
                <w:color w:val="auto"/>
                <w:highlight w:val="none"/>
              </w:rPr>
            </w:pPr>
            <w:r>
              <w:rPr>
                <w:color w:val="auto"/>
                <w:spacing w:val="15"/>
                <w:highlight w:val="none"/>
              </w:rPr>
              <w:t>获取招标文件</w:t>
            </w:r>
            <w:r>
              <w:rPr>
                <w:color w:val="auto"/>
                <w:spacing w:val="-6"/>
                <w:highlight w:val="none"/>
              </w:rPr>
              <w:t>的方式</w:t>
            </w:r>
          </w:p>
        </w:tc>
        <w:tc>
          <w:tcPr>
            <w:tcW w:w="2905" w:type="dxa"/>
            <w:gridSpan w:val="2"/>
            <w:vAlign w:val="top"/>
          </w:tcPr>
          <w:p w14:paraId="12A7B1A7">
            <w:pPr>
              <w:pStyle w:val="17"/>
              <w:tabs>
                <w:tab w:val="left" w:pos="2570"/>
              </w:tabs>
              <w:spacing w:before="53" w:line="269" w:lineRule="auto"/>
              <w:ind w:left="119" w:right="113" w:firstLine="4"/>
              <w:jc w:val="both"/>
              <w:rPr>
                <w:color w:val="auto"/>
                <w:sz w:val="10"/>
                <w:szCs w:val="10"/>
                <w:highlight w:val="none"/>
              </w:rPr>
            </w:pPr>
            <w:r>
              <w:rPr>
                <w:color w:val="auto"/>
                <w:spacing w:val="-7"/>
                <w:highlight w:val="none"/>
              </w:rPr>
              <w:t>凡有意参加投标者，请于获</w:t>
            </w:r>
            <w:r>
              <w:rPr>
                <w:color w:val="auto"/>
                <w:spacing w:val="-6"/>
                <w:highlight w:val="none"/>
              </w:rPr>
              <w:t>取招标文件截止时间前，登</w:t>
            </w:r>
            <w:r>
              <w:rPr>
                <w:color w:val="auto"/>
                <w:spacing w:val="6"/>
                <w:highlight w:val="none"/>
              </w:rPr>
              <w:t>录</w:t>
            </w:r>
            <w:r>
              <w:rPr>
                <w:color w:val="auto"/>
                <w:spacing w:val="-86"/>
                <w:highlight w:val="none"/>
              </w:rPr>
              <w:t xml:space="preserve"> </w:t>
            </w:r>
            <w:r>
              <w:rPr>
                <w:rFonts w:hint="eastAsia"/>
                <w:color w:val="auto"/>
                <w:spacing w:val="9"/>
                <w:highlight w:val="none"/>
                <w:u w:val="single"/>
              </w:rPr>
              <w:t>广州</w:t>
            </w:r>
            <w:r>
              <w:rPr>
                <w:color w:val="auto"/>
                <w:spacing w:val="-88"/>
                <w:highlight w:val="none"/>
              </w:rPr>
              <w:t xml:space="preserve"> </w:t>
            </w:r>
            <w:r>
              <w:rPr>
                <w:color w:val="auto"/>
                <w:spacing w:val="6"/>
                <w:highlight w:val="none"/>
              </w:rPr>
              <w:t>公共资源交易中心</w:t>
            </w:r>
            <w:r>
              <w:rPr>
                <w:color w:val="auto"/>
                <w:spacing w:val="-6"/>
                <w:highlight w:val="none"/>
              </w:rPr>
              <w:t>网站，选择对应招标项目进行投标登记，并自行在网站中下载招标文件。</w:t>
            </w:r>
          </w:p>
        </w:tc>
      </w:tr>
      <w:tr w14:paraId="43E45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581" w:type="dxa"/>
            <w:vAlign w:val="top"/>
          </w:tcPr>
          <w:p w14:paraId="2A6D2547">
            <w:pPr>
              <w:pStyle w:val="17"/>
              <w:spacing w:before="132" w:line="277" w:lineRule="auto"/>
              <w:ind w:left="375" w:right="155" w:hanging="207"/>
              <w:rPr>
                <w:color w:val="auto"/>
                <w:highlight w:val="none"/>
              </w:rPr>
            </w:pPr>
            <w:r>
              <w:rPr>
                <w:b/>
                <w:bCs/>
                <w:color w:val="auto"/>
                <w:spacing w:val="-4"/>
                <w:highlight w:val="none"/>
              </w:rPr>
              <w:t>获取招标文件开始时间</w:t>
            </w:r>
          </w:p>
        </w:tc>
        <w:tc>
          <w:tcPr>
            <w:tcW w:w="2114" w:type="dxa"/>
            <w:vAlign w:val="top"/>
          </w:tcPr>
          <w:p w14:paraId="6DEF89D9">
            <w:pPr>
              <w:pStyle w:val="17"/>
              <w:spacing w:before="32" w:line="220" w:lineRule="auto"/>
              <w:jc w:val="center"/>
              <w:rPr>
                <w:color w:val="auto"/>
                <w:spacing w:val="-8"/>
                <w:highlight w:val="none"/>
                <w:u w:val="single"/>
              </w:rPr>
            </w:pPr>
            <w:r>
              <w:rPr>
                <w:rFonts w:hint="eastAsia"/>
                <w:color w:val="auto"/>
                <w:spacing w:val="-8"/>
                <w:highlight w:val="none"/>
                <w:u w:val="single"/>
                <w:lang w:val="en-US" w:eastAsia="zh-CN"/>
              </w:rPr>
              <w:t>2026</w:t>
            </w:r>
            <w:r>
              <w:rPr>
                <w:color w:val="auto"/>
                <w:spacing w:val="-8"/>
                <w:highlight w:val="none"/>
                <w:u w:val="single"/>
              </w:rPr>
              <w:t>年</w:t>
            </w:r>
            <w:r>
              <w:rPr>
                <w:color w:val="auto"/>
                <w:spacing w:val="6"/>
                <w:highlight w:val="none"/>
                <w:u w:val="single"/>
              </w:rPr>
              <w:t xml:space="preserve">  </w:t>
            </w:r>
            <w:r>
              <w:rPr>
                <w:color w:val="auto"/>
                <w:spacing w:val="-8"/>
                <w:highlight w:val="none"/>
                <w:u w:val="single"/>
              </w:rPr>
              <w:t>月</w:t>
            </w:r>
            <w:r>
              <w:rPr>
                <w:color w:val="auto"/>
                <w:spacing w:val="23"/>
                <w:highlight w:val="none"/>
                <w:u w:val="single"/>
              </w:rPr>
              <w:t xml:space="preserve">  </w:t>
            </w:r>
            <w:r>
              <w:rPr>
                <w:color w:val="auto"/>
                <w:spacing w:val="-8"/>
                <w:highlight w:val="none"/>
                <w:u w:val="single"/>
              </w:rPr>
              <w:t>日</w:t>
            </w:r>
          </w:p>
          <w:p w14:paraId="13EF3498">
            <w:pPr>
              <w:pStyle w:val="17"/>
              <w:spacing w:before="62" w:line="220" w:lineRule="auto"/>
              <w:ind w:firstLine="582" w:firstLineChars="300"/>
              <w:rPr>
                <w:color w:val="auto"/>
                <w:highlight w:val="none"/>
              </w:rPr>
            </w:pPr>
            <w:r>
              <w:rPr>
                <w:rFonts w:hint="eastAsia"/>
                <w:color w:val="auto"/>
                <w:spacing w:val="-8"/>
                <w:highlight w:val="none"/>
                <w:u w:val="single"/>
                <w:lang w:val="en-US" w:eastAsia="zh-CN"/>
              </w:rPr>
              <w:t xml:space="preserve">   </w:t>
            </w:r>
            <w:r>
              <w:rPr>
                <w:color w:val="auto"/>
                <w:spacing w:val="-10"/>
                <w:highlight w:val="none"/>
                <w:u w:val="single"/>
              </w:rPr>
              <w:t>时</w:t>
            </w:r>
            <w:r>
              <w:rPr>
                <w:color w:val="auto"/>
                <w:spacing w:val="3"/>
                <w:highlight w:val="none"/>
                <w:u w:val="single"/>
              </w:rPr>
              <w:t xml:space="preserve"> </w:t>
            </w:r>
            <w:r>
              <w:rPr>
                <w:rFonts w:hint="eastAsia"/>
                <w:color w:val="auto"/>
                <w:spacing w:val="3"/>
                <w:highlight w:val="none"/>
                <w:u w:val="single"/>
                <w:lang w:val="en-US" w:eastAsia="zh-CN"/>
              </w:rPr>
              <w:t xml:space="preserve">  </w:t>
            </w:r>
            <w:r>
              <w:rPr>
                <w:color w:val="auto"/>
                <w:spacing w:val="3"/>
                <w:highlight w:val="none"/>
                <w:u w:val="single"/>
              </w:rPr>
              <w:t xml:space="preserve"> </w:t>
            </w:r>
            <w:r>
              <w:rPr>
                <w:color w:val="auto"/>
                <w:spacing w:val="-10"/>
                <w:highlight w:val="none"/>
                <w:u w:val="single"/>
              </w:rPr>
              <w:t>分</w:t>
            </w:r>
          </w:p>
        </w:tc>
        <w:tc>
          <w:tcPr>
            <w:tcW w:w="1724" w:type="dxa"/>
            <w:gridSpan w:val="2"/>
            <w:vAlign w:val="top"/>
          </w:tcPr>
          <w:p w14:paraId="79B83F3D">
            <w:pPr>
              <w:pStyle w:val="17"/>
              <w:spacing w:before="133" w:line="277" w:lineRule="auto"/>
              <w:ind w:left="551" w:right="121" w:hanging="417"/>
              <w:rPr>
                <w:color w:val="auto"/>
                <w:highlight w:val="none"/>
              </w:rPr>
            </w:pPr>
            <w:r>
              <w:rPr>
                <w:b/>
                <w:bCs/>
                <w:color w:val="auto"/>
                <w:spacing w:val="-4"/>
                <w:highlight w:val="none"/>
              </w:rPr>
              <w:t>获取招标文件截</w:t>
            </w:r>
            <w:r>
              <w:rPr>
                <w:b/>
                <w:bCs/>
                <w:color w:val="auto"/>
                <w:spacing w:val="-5"/>
                <w:highlight w:val="none"/>
              </w:rPr>
              <w:t>止时间</w:t>
            </w:r>
          </w:p>
        </w:tc>
        <w:tc>
          <w:tcPr>
            <w:tcW w:w="4278" w:type="dxa"/>
            <w:gridSpan w:val="3"/>
            <w:vAlign w:val="top"/>
          </w:tcPr>
          <w:p w14:paraId="3BCC5363">
            <w:pPr>
              <w:pStyle w:val="17"/>
              <w:spacing w:before="32" w:line="220" w:lineRule="auto"/>
              <w:jc w:val="center"/>
              <w:rPr>
                <w:color w:val="auto"/>
                <w:spacing w:val="-8"/>
                <w:highlight w:val="none"/>
                <w:u w:val="single"/>
              </w:rPr>
            </w:pPr>
            <w:r>
              <w:rPr>
                <w:rFonts w:hint="eastAsia"/>
                <w:color w:val="auto"/>
                <w:spacing w:val="-8"/>
                <w:highlight w:val="none"/>
                <w:u w:val="single"/>
                <w:lang w:val="en-US" w:eastAsia="zh-CN"/>
              </w:rPr>
              <w:t>2026</w:t>
            </w:r>
            <w:r>
              <w:rPr>
                <w:color w:val="auto"/>
                <w:spacing w:val="-8"/>
                <w:highlight w:val="none"/>
                <w:u w:val="single"/>
              </w:rPr>
              <w:t>年</w:t>
            </w:r>
            <w:r>
              <w:rPr>
                <w:color w:val="auto"/>
                <w:spacing w:val="6"/>
                <w:highlight w:val="none"/>
                <w:u w:val="single"/>
              </w:rPr>
              <w:t xml:space="preserve">  </w:t>
            </w:r>
            <w:r>
              <w:rPr>
                <w:color w:val="auto"/>
                <w:spacing w:val="-8"/>
                <w:highlight w:val="none"/>
                <w:u w:val="single"/>
              </w:rPr>
              <w:t>月</w:t>
            </w:r>
            <w:r>
              <w:rPr>
                <w:color w:val="auto"/>
                <w:spacing w:val="23"/>
                <w:highlight w:val="none"/>
                <w:u w:val="single"/>
              </w:rPr>
              <w:t xml:space="preserve">  </w:t>
            </w:r>
            <w:r>
              <w:rPr>
                <w:color w:val="auto"/>
                <w:spacing w:val="-8"/>
                <w:highlight w:val="none"/>
                <w:u w:val="single"/>
              </w:rPr>
              <w:t>日</w:t>
            </w:r>
          </w:p>
          <w:p w14:paraId="2667705B">
            <w:pPr>
              <w:pStyle w:val="17"/>
              <w:spacing w:before="62" w:line="220" w:lineRule="auto"/>
              <w:ind w:firstLine="1746" w:firstLineChars="900"/>
              <w:rPr>
                <w:color w:val="auto"/>
                <w:highlight w:val="none"/>
              </w:rPr>
            </w:pPr>
            <w:r>
              <w:rPr>
                <w:rFonts w:hint="eastAsia"/>
                <w:color w:val="auto"/>
                <w:spacing w:val="-8"/>
                <w:highlight w:val="none"/>
                <w:u w:val="single"/>
                <w:lang w:val="en-US" w:eastAsia="zh-CN"/>
              </w:rPr>
              <w:t xml:space="preserve">  </w:t>
            </w:r>
            <w:r>
              <w:rPr>
                <w:color w:val="auto"/>
                <w:spacing w:val="-10"/>
                <w:highlight w:val="none"/>
                <w:u w:val="single"/>
              </w:rPr>
              <w:t>时</w:t>
            </w:r>
            <w:r>
              <w:rPr>
                <w:color w:val="auto"/>
                <w:spacing w:val="3"/>
                <w:highlight w:val="none"/>
                <w:u w:val="single"/>
              </w:rPr>
              <w:t xml:space="preserve"> </w:t>
            </w:r>
            <w:r>
              <w:rPr>
                <w:rFonts w:hint="eastAsia"/>
                <w:color w:val="auto"/>
                <w:spacing w:val="3"/>
                <w:highlight w:val="none"/>
                <w:u w:val="single"/>
                <w:lang w:val="en-US" w:eastAsia="zh-CN"/>
              </w:rPr>
              <w:t xml:space="preserve">  </w:t>
            </w:r>
            <w:r>
              <w:rPr>
                <w:color w:val="auto"/>
                <w:spacing w:val="3"/>
                <w:highlight w:val="none"/>
                <w:u w:val="single"/>
              </w:rPr>
              <w:t xml:space="preserve"> </w:t>
            </w:r>
            <w:r>
              <w:rPr>
                <w:color w:val="auto"/>
                <w:spacing w:val="-10"/>
                <w:highlight w:val="none"/>
                <w:u w:val="single"/>
              </w:rPr>
              <w:t>分</w:t>
            </w:r>
          </w:p>
        </w:tc>
      </w:tr>
      <w:tr w14:paraId="1E660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3" w:hRule="atLeast"/>
        </w:trPr>
        <w:tc>
          <w:tcPr>
            <w:tcW w:w="1581" w:type="dxa"/>
            <w:vAlign w:val="top"/>
          </w:tcPr>
          <w:p w14:paraId="4AD648DF">
            <w:pPr>
              <w:spacing w:line="267" w:lineRule="auto"/>
              <w:rPr>
                <w:rFonts w:ascii="Arial"/>
                <w:color w:val="auto"/>
                <w:sz w:val="21"/>
                <w:highlight w:val="none"/>
              </w:rPr>
            </w:pPr>
          </w:p>
          <w:p w14:paraId="2823565E">
            <w:pPr>
              <w:spacing w:line="267" w:lineRule="auto"/>
              <w:rPr>
                <w:rFonts w:ascii="Arial"/>
                <w:color w:val="auto"/>
                <w:sz w:val="21"/>
                <w:highlight w:val="none"/>
              </w:rPr>
            </w:pPr>
          </w:p>
          <w:p w14:paraId="1CC6E1F9">
            <w:pPr>
              <w:spacing w:line="267" w:lineRule="auto"/>
              <w:rPr>
                <w:rFonts w:ascii="Arial"/>
                <w:color w:val="auto"/>
                <w:sz w:val="21"/>
                <w:highlight w:val="none"/>
              </w:rPr>
            </w:pPr>
          </w:p>
          <w:p w14:paraId="6E9D73B1">
            <w:pPr>
              <w:spacing w:line="268" w:lineRule="auto"/>
              <w:rPr>
                <w:rFonts w:ascii="Arial"/>
                <w:color w:val="auto"/>
                <w:sz w:val="21"/>
                <w:highlight w:val="none"/>
              </w:rPr>
            </w:pPr>
          </w:p>
          <w:p w14:paraId="140C2D04">
            <w:pPr>
              <w:pStyle w:val="17"/>
              <w:spacing w:before="69" w:line="277" w:lineRule="auto"/>
              <w:ind w:left="374" w:right="155" w:hanging="208"/>
              <w:rPr>
                <w:color w:val="auto"/>
                <w:highlight w:val="none"/>
              </w:rPr>
            </w:pPr>
            <w:r>
              <w:rPr>
                <w:b/>
                <w:bCs/>
                <w:color w:val="auto"/>
                <w:spacing w:val="-4"/>
                <w:highlight w:val="none"/>
              </w:rPr>
              <w:t>递交投标文件截止时间</w:t>
            </w:r>
          </w:p>
        </w:tc>
        <w:tc>
          <w:tcPr>
            <w:tcW w:w="2114" w:type="dxa"/>
            <w:vAlign w:val="top"/>
          </w:tcPr>
          <w:p w14:paraId="2C6FD55C">
            <w:pPr>
              <w:spacing w:line="267" w:lineRule="auto"/>
              <w:rPr>
                <w:rFonts w:ascii="Arial"/>
                <w:color w:val="auto"/>
                <w:sz w:val="21"/>
                <w:highlight w:val="none"/>
              </w:rPr>
            </w:pPr>
          </w:p>
          <w:p w14:paraId="70331A54">
            <w:pPr>
              <w:spacing w:line="267" w:lineRule="auto"/>
              <w:rPr>
                <w:rFonts w:ascii="Arial"/>
                <w:color w:val="auto"/>
                <w:sz w:val="21"/>
                <w:highlight w:val="none"/>
              </w:rPr>
            </w:pPr>
          </w:p>
          <w:p w14:paraId="25B8FBEB">
            <w:pPr>
              <w:spacing w:line="268" w:lineRule="auto"/>
              <w:rPr>
                <w:rFonts w:ascii="Arial"/>
                <w:color w:val="auto"/>
                <w:sz w:val="21"/>
                <w:highlight w:val="none"/>
              </w:rPr>
            </w:pPr>
          </w:p>
          <w:p w14:paraId="516DF396">
            <w:pPr>
              <w:spacing w:line="268" w:lineRule="auto"/>
              <w:rPr>
                <w:rFonts w:ascii="Arial"/>
                <w:color w:val="auto"/>
                <w:sz w:val="21"/>
                <w:highlight w:val="none"/>
              </w:rPr>
            </w:pPr>
          </w:p>
          <w:p w14:paraId="53521D9A">
            <w:pPr>
              <w:pStyle w:val="17"/>
              <w:spacing w:before="32" w:line="220" w:lineRule="auto"/>
              <w:jc w:val="center"/>
              <w:rPr>
                <w:color w:val="auto"/>
                <w:spacing w:val="-8"/>
                <w:highlight w:val="none"/>
                <w:u w:val="single"/>
              </w:rPr>
            </w:pPr>
            <w:r>
              <w:rPr>
                <w:rFonts w:hint="eastAsia"/>
                <w:color w:val="auto"/>
                <w:spacing w:val="-8"/>
                <w:highlight w:val="none"/>
                <w:u w:val="single"/>
                <w:lang w:val="en-US" w:eastAsia="zh-CN"/>
              </w:rPr>
              <w:t>2026</w:t>
            </w:r>
            <w:r>
              <w:rPr>
                <w:color w:val="auto"/>
                <w:spacing w:val="-8"/>
                <w:highlight w:val="none"/>
                <w:u w:val="single"/>
              </w:rPr>
              <w:t>年</w:t>
            </w:r>
            <w:r>
              <w:rPr>
                <w:color w:val="auto"/>
                <w:spacing w:val="6"/>
                <w:highlight w:val="none"/>
                <w:u w:val="single"/>
              </w:rPr>
              <w:t xml:space="preserve">  </w:t>
            </w:r>
            <w:r>
              <w:rPr>
                <w:color w:val="auto"/>
                <w:spacing w:val="-8"/>
                <w:highlight w:val="none"/>
                <w:u w:val="single"/>
              </w:rPr>
              <w:t>月</w:t>
            </w:r>
            <w:r>
              <w:rPr>
                <w:color w:val="auto"/>
                <w:spacing w:val="23"/>
                <w:highlight w:val="none"/>
                <w:u w:val="single"/>
              </w:rPr>
              <w:t xml:space="preserve">  </w:t>
            </w:r>
            <w:r>
              <w:rPr>
                <w:color w:val="auto"/>
                <w:spacing w:val="-8"/>
                <w:highlight w:val="none"/>
                <w:u w:val="single"/>
              </w:rPr>
              <w:t>日</w:t>
            </w:r>
          </w:p>
          <w:p w14:paraId="1EB7CC44">
            <w:pPr>
              <w:pStyle w:val="17"/>
              <w:spacing w:before="62" w:line="220" w:lineRule="auto"/>
              <w:ind w:firstLine="582" w:firstLineChars="300"/>
              <w:rPr>
                <w:color w:val="auto"/>
                <w:highlight w:val="none"/>
              </w:rPr>
            </w:pPr>
            <w:r>
              <w:rPr>
                <w:rFonts w:hint="eastAsia"/>
                <w:color w:val="auto"/>
                <w:spacing w:val="-8"/>
                <w:highlight w:val="none"/>
                <w:u w:val="single"/>
                <w:lang w:val="en-US" w:eastAsia="zh-CN"/>
              </w:rPr>
              <w:t xml:space="preserve">   </w:t>
            </w:r>
            <w:r>
              <w:rPr>
                <w:color w:val="auto"/>
                <w:spacing w:val="-10"/>
                <w:highlight w:val="none"/>
                <w:u w:val="single"/>
              </w:rPr>
              <w:t>时</w:t>
            </w:r>
            <w:r>
              <w:rPr>
                <w:color w:val="auto"/>
                <w:spacing w:val="3"/>
                <w:highlight w:val="none"/>
                <w:u w:val="single"/>
              </w:rPr>
              <w:t xml:space="preserve"> </w:t>
            </w:r>
            <w:r>
              <w:rPr>
                <w:rFonts w:hint="eastAsia"/>
                <w:color w:val="auto"/>
                <w:spacing w:val="3"/>
                <w:highlight w:val="none"/>
                <w:u w:val="single"/>
                <w:lang w:val="en-US" w:eastAsia="zh-CN"/>
              </w:rPr>
              <w:t xml:space="preserve">  </w:t>
            </w:r>
            <w:r>
              <w:rPr>
                <w:color w:val="auto"/>
                <w:spacing w:val="3"/>
                <w:highlight w:val="none"/>
                <w:u w:val="single"/>
              </w:rPr>
              <w:t xml:space="preserve"> </w:t>
            </w:r>
            <w:r>
              <w:rPr>
                <w:color w:val="auto"/>
                <w:spacing w:val="-10"/>
                <w:highlight w:val="none"/>
                <w:u w:val="single"/>
              </w:rPr>
              <w:t>分</w:t>
            </w:r>
          </w:p>
        </w:tc>
        <w:tc>
          <w:tcPr>
            <w:tcW w:w="1724" w:type="dxa"/>
            <w:gridSpan w:val="2"/>
            <w:vAlign w:val="top"/>
          </w:tcPr>
          <w:p w14:paraId="41FE1DAF">
            <w:pPr>
              <w:spacing w:line="267" w:lineRule="auto"/>
              <w:rPr>
                <w:rFonts w:ascii="Arial"/>
                <w:color w:val="auto"/>
                <w:sz w:val="21"/>
                <w:highlight w:val="none"/>
              </w:rPr>
            </w:pPr>
          </w:p>
          <w:p w14:paraId="461FB0B0">
            <w:pPr>
              <w:spacing w:line="267" w:lineRule="auto"/>
              <w:rPr>
                <w:rFonts w:ascii="Arial"/>
                <w:color w:val="auto"/>
                <w:sz w:val="21"/>
                <w:highlight w:val="none"/>
              </w:rPr>
            </w:pPr>
          </w:p>
          <w:p w14:paraId="643B76DF">
            <w:pPr>
              <w:spacing w:line="268" w:lineRule="auto"/>
              <w:rPr>
                <w:rFonts w:ascii="Arial"/>
                <w:color w:val="auto"/>
                <w:sz w:val="21"/>
                <w:highlight w:val="none"/>
              </w:rPr>
            </w:pPr>
          </w:p>
          <w:p w14:paraId="39EAEC5C">
            <w:pPr>
              <w:spacing w:line="268" w:lineRule="auto"/>
              <w:rPr>
                <w:rFonts w:ascii="Arial"/>
                <w:color w:val="auto"/>
                <w:sz w:val="21"/>
                <w:highlight w:val="none"/>
              </w:rPr>
            </w:pPr>
          </w:p>
          <w:p w14:paraId="5160983E">
            <w:pPr>
              <w:pStyle w:val="17"/>
              <w:spacing w:before="68" w:line="277" w:lineRule="auto"/>
              <w:ind w:left="764" w:right="121" w:hanging="631"/>
              <w:rPr>
                <w:color w:val="auto"/>
                <w:highlight w:val="none"/>
              </w:rPr>
            </w:pPr>
            <w:r>
              <w:rPr>
                <w:b/>
                <w:bCs/>
                <w:color w:val="auto"/>
                <w:spacing w:val="-4"/>
                <w:highlight w:val="none"/>
              </w:rPr>
              <w:t>投标文件递交方</w:t>
            </w:r>
            <w:r>
              <w:rPr>
                <w:b/>
                <w:bCs/>
                <w:color w:val="auto"/>
                <w:spacing w:val="-3"/>
                <w:highlight w:val="none"/>
              </w:rPr>
              <w:t>式</w:t>
            </w:r>
          </w:p>
        </w:tc>
        <w:tc>
          <w:tcPr>
            <w:tcW w:w="4278" w:type="dxa"/>
            <w:gridSpan w:val="3"/>
            <w:vAlign w:val="top"/>
          </w:tcPr>
          <w:p w14:paraId="3AAB85F2">
            <w:pPr>
              <w:pStyle w:val="17"/>
              <w:spacing w:before="49" w:line="269" w:lineRule="auto"/>
              <w:ind w:left="116" w:right="110" w:firstLine="4"/>
              <w:jc w:val="both"/>
              <w:rPr>
                <w:color w:val="auto"/>
                <w:highlight w:val="none"/>
              </w:rPr>
            </w:pPr>
            <w:r>
              <w:rPr>
                <w:color w:val="auto"/>
                <w:spacing w:val="2"/>
                <w:highlight w:val="none"/>
              </w:rPr>
              <w:t>投标人应在递交投标文件截止时间前，通过</w:t>
            </w:r>
            <w:r>
              <w:rPr>
                <w:color w:val="auto"/>
                <w:spacing w:val="7"/>
                <w:highlight w:val="none"/>
              </w:rPr>
              <w:t>互联网使用</w:t>
            </w:r>
            <w:r>
              <w:rPr>
                <w:color w:val="auto"/>
                <w:spacing w:val="-33"/>
                <w:highlight w:val="none"/>
              </w:rPr>
              <w:t xml:space="preserve"> </w:t>
            </w:r>
            <w:r>
              <w:rPr>
                <w:color w:val="auto"/>
                <w:highlight w:val="none"/>
              </w:rPr>
              <w:t>CA</w:t>
            </w:r>
            <w:r>
              <w:rPr>
                <w:color w:val="auto"/>
                <w:spacing w:val="-34"/>
                <w:highlight w:val="none"/>
              </w:rPr>
              <w:t xml:space="preserve"> </w:t>
            </w:r>
            <w:r>
              <w:rPr>
                <w:color w:val="auto"/>
                <w:spacing w:val="7"/>
                <w:highlight w:val="none"/>
              </w:rPr>
              <w:t>数字证书登录</w:t>
            </w:r>
            <w:r>
              <w:rPr>
                <w:rFonts w:hint="eastAsia"/>
                <w:color w:val="auto"/>
                <w:spacing w:val="7"/>
                <w:highlight w:val="none"/>
              </w:rPr>
              <w:t>广州交易集团有限公司（广州公共资源交易中心）</w:t>
            </w:r>
            <w:r>
              <w:rPr>
                <w:color w:val="auto"/>
                <w:spacing w:val="2"/>
                <w:highlight w:val="none"/>
              </w:rPr>
              <w:t>，将加密的投标文件上传，并保存上传成功后系统自动生成的电子签收凭证，递交时间即为电子签收凭证时间。逾期未完成上传或未按规定加密的投标文件，招标人予以拒收。投标人如需提交投标文件光盘或</w:t>
            </w:r>
            <w:r>
              <w:rPr>
                <w:color w:val="auto"/>
                <w:spacing w:val="-49"/>
                <w:highlight w:val="none"/>
              </w:rPr>
              <w:t xml:space="preserve"> </w:t>
            </w:r>
            <w:r>
              <w:rPr>
                <w:color w:val="auto"/>
                <w:spacing w:val="2"/>
                <w:highlight w:val="none"/>
              </w:rPr>
              <w:t>U</w:t>
            </w:r>
            <w:r>
              <w:rPr>
                <w:color w:val="auto"/>
                <w:spacing w:val="-43"/>
                <w:highlight w:val="none"/>
              </w:rPr>
              <w:t xml:space="preserve"> </w:t>
            </w:r>
            <w:r>
              <w:rPr>
                <w:color w:val="auto"/>
                <w:spacing w:val="2"/>
                <w:highlight w:val="none"/>
              </w:rPr>
              <w:t>盘</w:t>
            </w:r>
            <w:r>
              <w:rPr>
                <w:color w:val="auto"/>
                <w:spacing w:val="-6"/>
                <w:highlight w:val="none"/>
              </w:rPr>
              <w:t>备用，具体要求详见投标人须知前附表</w:t>
            </w:r>
            <w:r>
              <w:rPr>
                <w:color w:val="auto"/>
                <w:spacing w:val="-27"/>
                <w:highlight w:val="none"/>
              </w:rPr>
              <w:t xml:space="preserve"> </w:t>
            </w:r>
            <w:r>
              <w:rPr>
                <w:color w:val="auto"/>
                <w:spacing w:val="-6"/>
                <w:highlight w:val="none"/>
              </w:rPr>
              <w:t>3.7.4</w:t>
            </w:r>
            <w:r>
              <w:rPr>
                <w:color w:val="auto"/>
                <w:spacing w:val="-10"/>
                <w:highlight w:val="none"/>
              </w:rPr>
              <w:t>项。</w:t>
            </w:r>
          </w:p>
        </w:tc>
      </w:tr>
      <w:tr w14:paraId="13F6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81" w:type="dxa"/>
            <w:vAlign w:val="top"/>
          </w:tcPr>
          <w:p w14:paraId="7D7E689B">
            <w:pPr>
              <w:pStyle w:val="17"/>
              <w:spacing w:before="180" w:line="220" w:lineRule="auto"/>
              <w:ind w:left="376"/>
              <w:rPr>
                <w:color w:val="auto"/>
                <w:highlight w:val="none"/>
              </w:rPr>
            </w:pPr>
            <w:r>
              <w:rPr>
                <w:b/>
                <w:bCs/>
                <w:color w:val="auto"/>
                <w:spacing w:val="-4"/>
                <w:highlight w:val="none"/>
              </w:rPr>
              <w:t>开标时间</w:t>
            </w:r>
          </w:p>
        </w:tc>
        <w:tc>
          <w:tcPr>
            <w:tcW w:w="2114" w:type="dxa"/>
            <w:vAlign w:val="top"/>
          </w:tcPr>
          <w:p w14:paraId="1343B4A2">
            <w:pPr>
              <w:pStyle w:val="17"/>
              <w:spacing w:before="32" w:line="220" w:lineRule="auto"/>
              <w:jc w:val="center"/>
              <w:rPr>
                <w:color w:val="auto"/>
                <w:spacing w:val="-8"/>
                <w:highlight w:val="none"/>
                <w:u w:val="single"/>
              </w:rPr>
            </w:pPr>
            <w:r>
              <w:rPr>
                <w:rFonts w:hint="eastAsia"/>
                <w:color w:val="auto"/>
                <w:spacing w:val="-8"/>
                <w:highlight w:val="none"/>
                <w:u w:val="single"/>
                <w:lang w:val="en-US" w:eastAsia="zh-CN"/>
              </w:rPr>
              <w:t>2026</w:t>
            </w:r>
            <w:r>
              <w:rPr>
                <w:color w:val="auto"/>
                <w:spacing w:val="-8"/>
                <w:highlight w:val="none"/>
                <w:u w:val="single"/>
              </w:rPr>
              <w:t>年</w:t>
            </w:r>
            <w:r>
              <w:rPr>
                <w:color w:val="auto"/>
                <w:spacing w:val="6"/>
                <w:highlight w:val="none"/>
                <w:u w:val="single"/>
              </w:rPr>
              <w:t xml:space="preserve">  </w:t>
            </w:r>
            <w:r>
              <w:rPr>
                <w:color w:val="auto"/>
                <w:spacing w:val="-8"/>
                <w:highlight w:val="none"/>
                <w:u w:val="single"/>
              </w:rPr>
              <w:t>月</w:t>
            </w:r>
            <w:r>
              <w:rPr>
                <w:color w:val="auto"/>
                <w:spacing w:val="23"/>
                <w:highlight w:val="none"/>
                <w:u w:val="single"/>
              </w:rPr>
              <w:t xml:space="preserve">  </w:t>
            </w:r>
            <w:r>
              <w:rPr>
                <w:color w:val="auto"/>
                <w:spacing w:val="-8"/>
                <w:highlight w:val="none"/>
                <w:u w:val="single"/>
              </w:rPr>
              <w:t>日</w:t>
            </w:r>
          </w:p>
          <w:p w14:paraId="249D9D3E">
            <w:pPr>
              <w:pStyle w:val="17"/>
              <w:spacing w:before="179" w:line="220" w:lineRule="auto"/>
              <w:ind w:firstLine="194" w:firstLineChars="100"/>
              <w:rPr>
                <w:color w:val="auto"/>
                <w:highlight w:val="none"/>
              </w:rPr>
            </w:pPr>
            <w:r>
              <w:rPr>
                <w:rFonts w:hint="eastAsia"/>
                <w:color w:val="auto"/>
                <w:spacing w:val="-8"/>
                <w:highlight w:val="none"/>
                <w:u w:val="single"/>
                <w:lang w:val="en-US" w:eastAsia="zh-CN"/>
              </w:rPr>
              <w:t xml:space="preserve">  </w:t>
            </w:r>
            <w:r>
              <w:rPr>
                <w:color w:val="auto"/>
                <w:spacing w:val="-10"/>
                <w:highlight w:val="none"/>
                <w:u w:val="single"/>
              </w:rPr>
              <w:t>时</w:t>
            </w:r>
            <w:r>
              <w:rPr>
                <w:color w:val="auto"/>
                <w:spacing w:val="3"/>
                <w:highlight w:val="none"/>
                <w:u w:val="single"/>
              </w:rPr>
              <w:t xml:space="preserve"> </w:t>
            </w:r>
            <w:r>
              <w:rPr>
                <w:rFonts w:hint="eastAsia"/>
                <w:color w:val="auto"/>
                <w:spacing w:val="3"/>
                <w:highlight w:val="none"/>
                <w:u w:val="single"/>
                <w:lang w:val="en-US" w:eastAsia="zh-CN"/>
              </w:rPr>
              <w:t xml:space="preserve">  </w:t>
            </w:r>
            <w:r>
              <w:rPr>
                <w:color w:val="auto"/>
                <w:spacing w:val="3"/>
                <w:highlight w:val="none"/>
                <w:u w:val="single"/>
              </w:rPr>
              <w:t xml:space="preserve"> </w:t>
            </w:r>
            <w:r>
              <w:rPr>
                <w:color w:val="auto"/>
                <w:spacing w:val="-10"/>
                <w:highlight w:val="none"/>
                <w:u w:val="single"/>
              </w:rPr>
              <w:t>分</w:t>
            </w:r>
            <w:r>
              <w:rPr>
                <w:color w:val="auto"/>
                <w:spacing w:val="-6"/>
                <w:highlight w:val="none"/>
              </w:rPr>
              <w:t>（与投标截</w:t>
            </w:r>
            <w:r>
              <w:rPr>
                <w:color w:val="auto"/>
                <w:spacing w:val="-3"/>
                <w:highlight w:val="none"/>
              </w:rPr>
              <w:t>止时间为同一时间）</w:t>
            </w:r>
          </w:p>
        </w:tc>
        <w:tc>
          <w:tcPr>
            <w:tcW w:w="1724" w:type="dxa"/>
            <w:gridSpan w:val="2"/>
            <w:vAlign w:val="top"/>
          </w:tcPr>
          <w:p w14:paraId="241C0409">
            <w:pPr>
              <w:pStyle w:val="17"/>
              <w:spacing w:before="180" w:line="220" w:lineRule="auto"/>
              <w:ind w:left="447"/>
              <w:rPr>
                <w:color w:val="auto"/>
                <w:highlight w:val="none"/>
              </w:rPr>
            </w:pPr>
            <w:r>
              <w:rPr>
                <w:b/>
                <w:bCs/>
                <w:color w:val="auto"/>
                <w:spacing w:val="-5"/>
                <w:highlight w:val="none"/>
              </w:rPr>
              <w:t>开标地点</w:t>
            </w:r>
          </w:p>
        </w:tc>
        <w:tc>
          <w:tcPr>
            <w:tcW w:w="4278" w:type="dxa"/>
            <w:gridSpan w:val="3"/>
            <w:vAlign w:val="top"/>
          </w:tcPr>
          <w:p w14:paraId="386357C1">
            <w:pPr>
              <w:pStyle w:val="17"/>
              <w:tabs>
                <w:tab w:val="left" w:pos="545"/>
              </w:tabs>
              <w:spacing w:before="179" w:line="220" w:lineRule="auto"/>
              <w:ind w:left="110"/>
              <w:rPr>
                <w:color w:val="auto"/>
                <w:highlight w:val="none"/>
              </w:rPr>
            </w:pPr>
            <w:r>
              <w:rPr>
                <w:rFonts w:hint="eastAsia"/>
                <w:color w:val="auto"/>
                <w:spacing w:val="9"/>
                <w:highlight w:val="none"/>
                <w:u w:val="single"/>
              </w:rPr>
              <w:t>广州</w:t>
            </w:r>
            <w:r>
              <w:rPr>
                <w:color w:val="auto"/>
                <w:spacing w:val="8"/>
                <w:highlight w:val="none"/>
                <w:u w:val="single" w:color="auto"/>
              </w:rPr>
              <w:t>公共资源交易中心开标室(具体开标室</w:t>
            </w:r>
            <w:r>
              <w:rPr>
                <w:color w:val="auto"/>
                <w:spacing w:val="-2"/>
                <w:highlight w:val="none"/>
                <w:u w:val="single" w:color="auto"/>
              </w:rPr>
              <w:t>以公共资源交易中心公告为准)</w:t>
            </w:r>
          </w:p>
        </w:tc>
      </w:tr>
      <w:tr w14:paraId="33226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61" w:hRule="atLeast"/>
        </w:trPr>
        <w:tc>
          <w:tcPr>
            <w:tcW w:w="1581" w:type="dxa"/>
            <w:vAlign w:val="top"/>
          </w:tcPr>
          <w:p w14:paraId="5A3584BC">
            <w:pPr>
              <w:spacing w:line="251" w:lineRule="auto"/>
              <w:rPr>
                <w:rFonts w:ascii="Arial"/>
                <w:color w:val="auto"/>
                <w:sz w:val="21"/>
                <w:highlight w:val="none"/>
              </w:rPr>
            </w:pPr>
          </w:p>
          <w:p w14:paraId="0075D730">
            <w:pPr>
              <w:pStyle w:val="17"/>
              <w:spacing w:before="69" w:line="218" w:lineRule="auto"/>
              <w:ind w:left="168"/>
              <w:rPr>
                <w:color w:val="auto"/>
                <w:highlight w:val="none"/>
              </w:rPr>
            </w:pPr>
            <w:r>
              <w:rPr>
                <w:b/>
                <w:bCs/>
                <w:color w:val="auto"/>
                <w:spacing w:val="-4"/>
                <w:highlight w:val="none"/>
              </w:rPr>
              <w:t>发布公告媒介</w:t>
            </w:r>
          </w:p>
        </w:tc>
        <w:tc>
          <w:tcPr>
            <w:tcW w:w="8115" w:type="dxa"/>
            <w:gridSpan w:val="5"/>
            <w:vAlign w:val="top"/>
          </w:tcPr>
          <w:p w14:paraId="1713B67C">
            <w:pPr>
              <w:pStyle w:val="17"/>
              <w:spacing w:before="164" w:line="276" w:lineRule="auto"/>
              <w:ind w:left="123" w:right="111" w:hanging="7"/>
              <w:rPr>
                <w:color w:val="auto"/>
                <w:highlight w:val="none"/>
              </w:rPr>
            </w:pPr>
            <w:r>
              <w:rPr>
                <w:color w:val="auto"/>
                <w:spacing w:val="-3"/>
                <w:highlight w:val="none"/>
              </w:rPr>
              <w:t>广东省招标投标监管网、</w:t>
            </w:r>
            <w:r>
              <w:rPr>
                <w:rFonts w:hint="eastAsia"/>
                <w:color w:val="auto"/>
                <w:spacing w:val="2"/>
                <w:highlight w:val="none"/>
                <w:u w:val="single" w:color="auto"/>
              </w:rPr>
              <w:t>广州</w:t>
            </w:r>
            <w:r>
              <w:rPr>
                <w:color w:val="auto"/>
                <w:spacing w:val="-85"/>
                <w:highlight w:val="none"/>
              </w:rPr>
              <w:t xml:space="preserve"> </w:t>
            </w:r>
            <w:r>
              <w:rPr>
                <w:color w:val="auto"/>
                <w:spacing w:val="-3"/>
                <w:highlight w:val="none"/>
              </w:rPr>
              <w:t>公共资源交易中心网站</w:t>
            </w:r>
            <w:r>
              <w:rPr>
                <w:rFonts w:hint="eastAsia"/>
                <w:color w:val="auto"/>
                <w:spacing w:val="-3"/>
                <w:highlight w:val="none"/>
                <w:lang w:eastAsia="zh-CN"/>
              </w:rPr>
              <w:t>、</w:t>
            </w:r>
            <w:r>
              <w:rPr>
                <w:rFonts w:hint="eastAsia" w:ascii="宋体" w:hAnsi="宋体" w:eastAsia="宋体" w:cs="宋体"/>
                <w:color w:val="auto"/>
                <w:spacing w:val="2"/>
                <w:highlight w:val="none"/>
                <w:u w:val="single" w:color="auto"/>
              </w:rPr>
              <w:t>中国招标投标公共服务平台</w:t>
            </w:r>
            <w:r>
              <w:rPr>
                <w:color w:val="auto"/>
                <w:spacing w:val="-3"/>
                <w:highlight w:val="none"/>
              </w:rPr>
              <w:t>，如公告详细内容不一致者，以广</w:t>
            </w:r>
            <w:r>
              <w:rPr>
                <w:color w:val="auto"/>
                <w:spacing w:val="-4"/>
                <w:highlight w:val="none"/>
              </w:rPr>
              <w:t>东省招标投标监管网公告为准。</w:t>
            </w:r>
          </w:p>
        </w:tc>
      </w:tr>
      <w:tr w14:paraId="499E1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04F529CD">
            <w:pPr>
              <w:pStyle w:val="17"/>
              <w:spacing w:before="177" w:line="220" w:lineRule="auto"/>
              <w:ind w:left="481"/>
              <w:rPr>
                <w:color w:val="auto"/>
                <w:highlight w:val="none"/>
              </w:rPr>
            </w:pPr>
            <w:r>
              <w:rPr>
                <w:b/>
                <w:bCs/>
                <w:color w:val="auto"/>
                <w:spacing w:val="-5"/>
                <w:highlight w:val="none"/>
              </w:rPr>
              <w:t>招标人</w:t>
            </w:r>
          </w:p>
        </w:tc>
        <w:tc>
          <w:tcPr>
            <w:tcW w:w="2114" w:type="dxa"/>
            <w:vAlign w:val="top"/>
          </w:tcPr>
          <w:p w14:paraId="3E37E8F6">
            <w:pPr>
              <w:pStyle w:val="17"/>
              <w:spacing w:before="164" w:line="276" w:lineRule="auto"/>
              <w:ind w:left="123" w:right="111" w:hanging="7"/>
              <w:rPr>
                <w:rFonts w:ascii="宋体" w:hAnsi="宋体" w:eastAsia="宋体" w:cs="宋体"/>
                <w:color w:val="auto"/>
                <w:spacing w:val="-3"/>
                <w:highlight w:val="none"/>
              </w:rPr>
            </w:pPr>
            <w:r>
              <w:rPr>
                <w:rFonts w:hint="eastAsia" w:ascii="宋体" w:hAnsi="宋体" w:eastAsia="宋体" w:cs="宋体"/>
                <w:color w:val="auto"/>
                <w:spacing w:val="-3"/>
                <w:highlight w:val="none"/>
                <w:lang w:eastAsia="zh-CN"/>
              </w:rPr>
              <w:t>广州市增城区正果镇人民政府</w:t>
            </w:r>
          </w:p>
        </w:tc>
        <w:tc>
          <w:tcPr>
            <w:tcW w:w="1723" w:type="dxa"/>
            <w:vAlign w:val="top"/>
          </w:tcPr>
          <w:p w14:paraId="386B4BC7">
            <w:pPr>
              <w:pStyle w:val="17"/>
              <w:spacing w:before="176" w:line="222" w:lineRule="auto"/>
              <w:ind w:left="447"/>
              <w:rPr>
                <w:color w:val="auto"/>
                <w:highlight w:val="none"/>
              </w:rPr>
            </w:pPr>
            <w:r>
              <w:rPr>
                <w:b/>
                <w:bCs/>
                <w:color w:val="auto"/>
                <w:spacing w:val="-5"/>
                <w:highlight w:val="none"/>
              </w:rPr>
              <w:t>联系地址</w:t>
            </w:r>
          </w:p>
        </w:tc>
        <w:tc>
          <w:tcPr>
            <w:tcW w:w="4278" w:type="dxa"/>
            <w:gridSpan w:val="3"/>
            <w:vAlign w:val="top"/>
          </w:tcPr>
          <w:p w14:paraId="27FAC2F3">
            <w:pPr>
              <w:pStyle w:val="17"/>
              <w:spacing w:before="164" w:line="276" w:lineRule="auto"/>
              <w:ind w:left="123" w:right="111" w:hanging="7"/>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广州市增城区正果镇正南街80号</w:t>
            </w:r>
          </w:p>
        </w:tc>
      </w:tr>
      <w:tr w14:paraId="2423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78AB9BE6">
            <w:pPr>
              <w:pStyle w:val="17"/>
              <w:spacing w:before="177" w:line="220" w:lineRule="auto"/>
              <w:ind w:left="166"/>
              <w:rPr>
                <w:color w:val="auto"/>
                <w:highlight w:val="none"/>
              </w:rPr>
            </w:pPr>
            <w:r>
              <w:rPr>
                <w:b/>
                <w:bCs/>
                <w:color w:val="auto"/>
                <w:spacing w:val="-4"/>
                <w:highlight w:val="none"/>
              </w:rPr>
              <w:t>招标人联系人</w:t>
            </w:r>
          </w:p>
        </w:tc>
        <w:tc>
          <w:tcPr>
            <w:tcW w:w="2114" w:type="dxa"/>
            <w:vAlign w:val="top"/>
          </w:tcPr>
          <w:p w14:paraId="68F30908">
            <w:pPr>
              <w:pStyle w:val="17"/>
              <w:spacing w:before="164" w:line="276" w:lineRule="auto"/>
              <w:ind w:left="123" w:right="111" w:hanging="7"/>
              <w:rPr>
                <w:rFonts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尹工</w:t>
            </w:r>
          </w:p>
        </w:tc>
        <w:tc>
          <w:tcPr>
            <w:tcW w:w="1723" w:type="dxa"/>
            <w:vAlign w:val="top"/>
          </w:tcPr>
          <w:p w14:paraId="43BE093F">
            <w:pPr>
              <w:pStyle w:val="17"/>
              <w:spacing w:before="176" w:line="222" w:lineRule="auto"/>
              <w:ind w:left="447"/>
              <w:rPr>
                <w:color w:val="auto"/>
                <w:highlight w:val="none"/>
              </w:rPr>
            </w:pPr>
            <w:r>
              <w:rPr>
                <w:b/>
                <w:bCs/>
                <w:color w:val="auto"/>
                <w:spacing w:val="-5"/>
                <w:highlight w:val="none"/>
              </w:rPr>
              <w:t>联系电话</w:t>
            </w:r>
          </w:p>
        </w:tc>
        <w:tc>
          <w:tcPr>
            <w:tcW w:w="4278" w:type="dxa"/>
            <w:gridSpan w:val="3"/>
            <w:vAlign w:val="top"/>
          </w:tcPr>
          <w:p w14:paraId="2DEDA4E4">
            <w:pPr>
              <w:pStyle w:val="17"/>
              <w:spacing w:before="164" w:line="276" w:lineRule="auto"/>
              <w:ind w:left="123" w:right="111" w:hanging="7"/>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020-82812260</w:t>
            </w:r>
          </w:p>
        </w:tc>
      </w:tr>
      <w:tr w14:paraId="2435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07BE49E9">
            <w:pPr>
              <w:pStyle w:val="17"/>
              <w:spacing w:before="176" w:line="219" w:lineRule="auto"/>
              <w:ind w:left="166"/>
              <w:rPr>
                <w:color w:val="auto"/>
                <w:highlight w:val="none"/>
              </w:rPr>
            </w:pPr>
            <w:r>
              <w:rPr>
                <w:b/>
                <w:bCs/>
                <w:color w:val="auto"/>
                <w:spacing w:val="-4"/>
                <w:highlight w:val="none"/>
              </w:rPr>
              <w:t>招标代理机构</w:t>
            </w:r>
          </w:p>
        </w:tc>
        <w:tc>
          <w:tcPr>
            <w:tcW w:w="2114" w:type="dxa"/>
            <w:vAlign w:val="top"/>
          </w:tcPr>
          <w:p w14:paraId="6EF4C715">
            <w:pPr>
              <w:pStyle w:val="17"/>
              <w:spacing w:before="164" w:line="276" w:lineRule="auto"/>
              <w:ind w:left="123" w:right="111" w:hanging="7"/>
              <w:rPr>
                <w:rFonts w:ascii="宋体" w:hAnsi="宋体" w:eastAsia="宋体" w:cs="宋体"/>
                <w:color w:val="auto"/>
                <w:spacing w:val="-3"/>
                <w:highlight w:val="none"/>
              </w:rPr>
            </w:pPr>
            <w:r>
              <w:rPr>
                <w:rFonts w:hint="eastAsia" w:ascii="宋体" w:hAnsi="宋体" w:eastAsia="宋体" w:cs="宋体"/>
                <w:color w:val="auto"/>
                <w:spacing w:val="-3"/>
                <w:highlight w:val="none"/>
                <w:lang w:eastAsia="zh-CN"/>
              </w:rPr>
              <w:t>广州建筑工程监理有限公司</w:t>
            </w:r>
          </w:p>
        </w:tc>
        <w:tc>
          <w:tcPr>
            <w:tcW w:w="1723" w:type="dxa"/>
            <w:vAlign w:val="top"/>
          </w:tcPr>
          <w:p w14:paraId="550183B1">
            <w:pPr>
              <w:pStyle w:val="17"/>
              <w:spacing w:before="176" w:line="222" w:lineRule="auto"/>
              <w:ind w:left="447"/>
              <w:rPr>
                <w:color w:val="auto"/>
                <w:highlight w:val="none"/>
              </w:rPr>
            </w:pPr>
            <w:r>
              <w:rPr>
                <w:b/>
                <w:bCs/>
                <w:color w:val="auto"/>
                <w:spacing w:val="-5"/>
                <w:highlight w:val="none"/>
              </w:rPr>
              <w:t>联系地址</w:t>
            </w:r>
          </w:p>
        </w:tc>
        <w:tc>
          <w:tcPr>
            <w:tcW w:w="4278" w:type="dxa"/>
            <w:gridSpan w:val="3"/>
            <w:vAlign w:val="top"/>
          </w:tcPr>
          <w:p w14:paraId="0D48C04B">
            <w:pPr>
              <w:pStyle w:val="17"/>
              <w:spacing w:before="164" w:line="276" w:lineRule="auto"/>
              <w:ind w:left="123" w:right="111" w:hanging="7"/>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广州市越秀区广卫路4号20楼</w:t>
            </w:r>
          </w:p>
        </w:tc>
      </w:tr>
      <w:tr w14:paraId="381D8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28" w:hRule="atLeast"/>
        </w:trPr>
        <w:tc>
          <w:tcPr>
            <w:tcW w:w="1581" w:type="dxa"/>
            <w:vAlign w:val="top"/>
          </w:tcPr>
          <w:p w14:paraId="620B54C8">
            <w:pPr>
              <w:pStyle w:val="17"/>
              <w:spacing w:before="49" w:line="250" w:lineRule="auto"/>
              <w:ind w:left="692" w:right="155" w:hanging="526"/>
              <w:rPr>
                <w:color w:val="auto"/>
                <w:highlight w:val="none"/>
              </w:rPr>
            </w:pPr>
            <w:r>
              <w:rPr>
                <w:b/>
                <w:bCs/>
                <w:color w:val="auto"/>
                <w:spacing w:val="-4"/>
                <w:highlight w:val="none"/>
              </w:rPr>
              <w:t>招标代理联系</w:t>
            </w:r>
            <w:r>
              <w:rPr>
                <w:b/>
                <w:bCs/>
                <w:color w:val="auto"/>
                <w:spacing w:val="-3"/>
                <w:highlight w:val="none"/>
              </w:rPr>
              <w:t>人</w:t>
            </w:r>
          </w:p>
        </w:tc>
        <w:tc>
          <w:tcPr>
            <w:tcW w:w="2114" w:type="dxa"/>
            <w:vAlign w:val="top"/>
          </w:tcPr>
          <w:p w14:paraId="63A1D447">
            <w:pPr>
              <w:pStyle w:val="17"/>
              <w:spacing w:before="164" w:line="276" w:lineRule="auto"/>
              <w:ind w:left="123" w:right="111" w:hanging="7"/>
              <w:rPr>
                <w:rFonts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陆工</w:t>
            </w:r>
          </w:p>
        </w:tc>
        <w:tc>
          <w:tcPr>
            <w:tcW w:w="1723" w:type="dxa"/>
            <w:vAlign w:val="top"/>
          </w:tcPr>
          <w:p w14:paraId="3AC48BA7">
            <w:pPr>
              <w:pStyle w:val="17"/>
              <w:spacing w:before="205" w:line="222" w:lineRule="auto"/>
              <w:ind w:left="447"/>
              <w:rPr>
                <w:color w:val="auto"/>
                <w:highlight w:val="none"/>
              </w:rPr>
            </w:pPr>
            <w:r>
              <w:rPr>
                <w:b/>
                <w:bCs/>
                <w:color w:val="auto"/>
                <w:spacing w:val="-5"/>
                <w:highlight w:val="none"/>
              </w:rPr>
              <w:t>联系电话</w:t>
            </w:r>
          </w:p>
        </w:tc>
        <w:tc>
          <w:tcPr>
            <w:tcW w:w="4278" w:type="dxa"/>
            <w:gridSpan w:val="3"/>
            <w:vAlign w:val="top"/>
          </w:tcPr>
          <w:p w14:paraId="249ECAB7">
            <w:pPr>
              <w:pStyle w:val="17"/>
              <w:spacing w:before="164" w:line="276" w:lineRule="auto"/>
              <w:ind w:left="123" w:right="111" w:hanging="7"/>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020-82627566</w:t>
            </w:r>
          </w:p>
        </w:tc>
      </w:tr>
      <w:tr w14:paraId="57A9B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7E4E096B">
            <w:pPr>
              <w:pStyle w:val="17"/>
              <w:spacing w:before="177" w:line="219" w:lineRule="auto"/>
              <w:ind w:left="166"/>
              <w:rPr>
                <w:color w:val="auto"/>
                <w:highlight w:val="none"/>
              </w:rPr>
            </w:pPr>
            <w:r>
              <w:rPr>
                <w:b/>
                <w:bCs/>
                <w:color w:val="auto"/>
                <w:spacing w:val="-4"/>
                <w:highlight w:val="none"/>
              </w:rPr>
              <w:t>招标监督机构</w:t>
            </w:r>
          </w:p>
        </w:tc>
        <w:tc>
          <w:tcPr>
            <w:tcW w:w="2114" w:type="dxa"/>
            <w:vAlign w:val="top"/>
          </w:tcPr>
          <w:p w14:paraId="2802AFCF">
            <w:pPr>
              <w:pStyle w:val="17"/>
              <w:spacing w:before="164" w:line="276" w:lineRule="auto"/>
              <w:ind w:left="123" w:right="111" w:hanging="7"/>
              <w:rPr>
                <w:rFonts w:ascii="宋体" w:hAnsi="宋体" w:eastAsia="宋体" w:cs="宋体"/>
                <w:color w:val="auto"/>
                <w:spacing w:val="-3"/>
                <w:highlight w:val="none"/>
              </w:rPr>
            </w:pPr>
            <w:r>
              <w:rPr>
                <w:rFonts w:hint="eastAsia" w:ascii="宋体" w:hAnsi="宋体" w:eastAsia="宋体" w:cs="宋体"/>
                <w:color w:val="auto"/>
                <w:spacing w:val="-3"/>
                <w:highlight w:val="none"/>
              </w:rPr>
              <w:t>广州市增城区交通运输局</w:t>
            </w:r>
          </w:p>
        </w:tc>
        <w:tc>
          <w:tcPr>
            <w:tcW w:w="1723" w:type="dxa"/>
            <w:vAlign w:val="top"/>
          </w:tcPr>
          <w:p w14:paraId="30E90721">
            <w:pPr>
              <w:pStyle w:val="17"/>
              <w:spacing w:before="177" w:line="222" w:lineRule="auto"/>
              <w:ind w:left="447"/>
              <w:rPr>
                <w:color w:val="auto"/>
                <w:highlight w:val="none"/>
              </w:rPr>
            </w:pPr>
            <w:r>
              <w:rPr>
                <w:b/>
                <w:bCs/>
                <w:color w:val="auto"/>
                <w:spacing w:val="-5"/>
                <w:highlight w:val="none"/>
              </w:rPr>
              <w:t>联系电话</w:t>
            </w:r>
          </w:p>
        </w:tc>
        <w:tc>
          <w:tcPr>
            <w:tcW w:w="4278" w:type="dxa"/>
            <w:gridSpan w:val="3"/>
            <w:vAlign w:val="top"/>
          </w:tcPr>
          <w:p w14:paraId="0048F37F">
            <w:pPr>
              <w:pStyle w:val="17"/>
              <w:spacing w:before="164" w:line="276" w:lineRule="auto"/>
              <w:ind w:left="123" w:right="111" w:hanging="7"/>
              <w:rPr>
                <w:rFonts w:hint="eastAsia" w:ascii="宋体" w:hAnsi="宋体" w:eastAsia="宋体" w:cs="宋体"/>
                <w:color w:val="auto"/>
                <w:spacing w:val="-3"/>
                <w:highlight w:val="none"/>
              </w:rPr>
            </w:pPr>
            <w:r>
              <w:rPr>
                <w:rFonts w:hint="eastAsia" w:ascii="宋体" w:hAnsi="宋体" w:eastAsia="宋体" w:cs="宋体"/>
                <w:color w:val="auto"/>
                <w:spacing w:val="-3"/>
                <w:highlight w:val="none"/>
              </w:rPr>
              <w:t>020-82635583</w:t>
            </w:r>
          </w:p>
        </w:tc>
      </w:tr>
      <w:tr w14:paraId="00A6B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90" w:hRule="atLeast"/>
        </w:trPr>
        <w:tc>
          <w:tcPr>
            <w:tcW w:w="1581" w:type="dxa"/>
            <w:vAlign w:val="top"/>
          </w:tcPr>
          <w:p w14:paraId="6E0A62F9">
            <w:pPr>
              <w:spacing w:line="256" w:lineRule="auto"/>
              <w:rPr>
                <w:rFonts w:ascii="Arial"/>
                <w:color w:val="auto"/>
                <w:sz w:val="21"/>
                <w:highlight w:val="none"/>
              </w:rPr>
            </w:pPr>
          </w:p>
          <w:p w14:paraId="5F21ED3D">
            <w:pPr>
              <w:spacing w:line="256" w:lineRule="auto"/>
              <w:rPr>
                <w:rFonts w:ascii="Arial"/>
                <w:color w:val="auto"/>
                <w:sz w:val="21"/>
                <w:highlight w:val="none"/>
              </w:rPr>
            </w:pPr>
          </w:p>
          <w:p w14:paraId="72494623">
            <w:pPr>
              <w:spacing w:line="256" w:lineRule="auto"/>
              <w:rPr>
                <w:rFonts w:ascii="Arial"/>
                <w:color w:val="auto"/>
                <w:sz w:val="21"/>
                <w:highlight w:val="none"/>
              </w:rPr>
            </w:pPr>
          </w:p>
          <w:p w14:paraId="1E30DDF4">
            <w:pPr>
              <w:spacing w:line="256" w:lineRule="auto"/>
              <w:rPr>
                <w:rFonts w:ascii="Arial"/>
                <w:color w:val="auto"/>
                <w:sz w:val="21"/>
                <w:highlight w:val="none"/>
              </w:rPr>
            </w:pPr>
          </w:p>
          <w:p w14:paraId="4EDF3F99">
            <w:pPr>
              <w:spacing w:line="256" w:lineRule="auto"/>
              <w:rPr>
                <w:rFonts w:ascii="Arial"/>
                <w:color w:val="auto"/>
                <w:sz w:val="21"/>
                <w:highlight w:val="none"/>
              </w:rPr>
            </w:pPr>
          </w:p>
          <w:p w14:paraId="3F235D89">
            <w:pPr>
              <w:spacing w:line="256" w:lineRule="auto"/>
              <w:rPr>
                <w:rFonts w:ascii="Arial"/>
                <w:color w:val="auto"/>
                <w:sz w:val="21"/>
                <w:highlight w:val="none"/>
              </w:rPr>
            </w:pPr>
          </w:p>
          <w:p w14:paraId="480B5804">
            <w:pPr>
              <w:spacing w:line="257" w:lineRule="auto"/>
              <w:rPr>
                <w:rFonts w:ascii="Arial"/>
                <w:color w:val="auto"/>
                <w:sz w:val="21"/>
                <w:highlight w:val="none"/>
              </w:rPr>
            </w:pPr>
          </w:p>
          <w:p w14:paraId="70C42A48">
            <w:pPr>
              <w:spacing w:line="257" w:lineRule="auto"/>
              <w:rPr>
                <w:rFonts w:ascii="Arial"/>
                <w:color w:val="auto"/>
                <w:sz w:val="21"/>
                <w:highlight w:val="none"/>
              </w:rPr>
            </w:pPr>
          </w:p>
          <w:p w14:paraId="4998B611">
            <w:pPr>
              <w:spacing w:line="257" w:lineRule="auto"/>
              <w:rPr>
                <w:rFonts w:ascii="Arial"/>
                <w:color w:val="auto"/>
                <w:sz w:val="21"/>
                <w:highlight w:val="none"/>
              </w:rPr>
            </w:pPr>
          </w:p>
          <w:p w14:paraId="09A8163B">
            <w:pPr>
              <w:spacing w:line="257" w:lineRule="auto"/>
              <w:rPr>
                <w:rFonts w:ascii="Arial"/>
                <w:color w:val="auto"/>
                <w:sz w:val="21"/>
                <w:highlight w:val="none"/>
              </w:rPr>
            </w:pPr>
          </w:p>
          <w:p w14:paraId="26A7B1E7">
            <w:pPr>
              <w:spacing w:line="257" w:lineRule="auto"/>
              <w:rPr>
                <w:rFonts w:ascii="Arial"/>
                <w:color w:val="auto"/>
                <w:sz w:val="21"/>
                <w:highlight w:val="none"/>
              </w:rPr>
            </w:pPr>
          </w:p>
          <w:p w14:paraId="2C8311C5">
            <w:pPr>
              <w:pStyle w:val="17"/>
              <w:spacing w:before="68" w:line="335" w:lineRule="auto"/>
              <w:ind w:left="271" w:right="155" w:hanging="105"/>
              <w:rPr>
                <w:color w:val="auto"/>
                <w:highlight w:val="none"/>
              </w:rPr>
            </w:pPr>
            <w:r>
              <w:rPr>
                <w:b/>
                <w:bCs/>
                <w:color w:val="auto"/>
                <w:spacing w:val="-4"/>
                <w:highlight w:val="none"/>
              </w:rPr>
              <w:t>其他依法应当载明的内容</w:t>
            </w:r>
          </w:p>
        </w:tc>
        <w:tc>
          <w:tcPr>
            <w:tcW w:w="8115" w:type="dxa"/>
            <w:gridSpan w:val="5"/>
            <w:vAlign w:val="top"/>
          </w:tcPr>
          <w:p w14:paraId="6A5FF0C3">
            <w:pPr>
              <w:pStyle w:val="17"/>
              <w:spacing w:before="139" w:line="308" w:lineRule="auto"/>
              <w:ind w:left="115" w:right="111" w:firstLine="16"/>
              <w:rPr>
                <w:color w:val="auto"/>
                <w:highlight w:val="none"/>
              </w:rPr>
            </w:pPr>
            <w:r>
              <w:rPr>
                <w:color w:val="auto"/>
                <w:spacing w:val="-2"/>
                <w:highlight w:val="none"/>
              </w:rPr>
              <w:t>1、本招标项目</w:t>
            </w:r>
            <w:r>
              <w:rPr>
                <w:rFonts w:hint="eastAsia" w:ascii="宋体" w:hAnsi="宋体" w:eastAsia="宋体" w:cs="宋体"/>
                <w:color w:val="auto"/>
                <w:spacing w:val="-3"/>
                <w:highlight w:val="none"/>
                <w:u w:val="single" w:color="auto"/>
                <w:lang w:val="en-US" w:eastAsia="zh-CN"/>
              </w:rPr>
              <w:t>增龙公路S119正果镇区段改线项目</w:t>
            </w:r>
            <w:r>
              <w:rPr>
                <w:color w:val="auto"/>
                <w:spacing w:val="-2"/>
                <w:highlight w:val="none"/>
              </w:rPr>
              <w:t>已由</w:t>
            </w:r>
            <w:r>
              <w:rPr>
                <w:rFonts w:hint="eastAsia" w:ascii="宋体" w:hAnsi="宋体" w:eastAsia="宋体" w:cs="宋体"/>
                <w:color w:val="auto"/>
                <w:spacing w:val="-3"/>
                <w:highlight w:val="none"/>
                <w:u w:val="single" w:color="auto"/>
                <w:lang w:val="en-US" w:eastAsia="zh-CN"/>
              </w:rPr>
              <w:t>广州市增城区发展和改革局</w:t>
            </w:r>
            <w:r>
              <w:rPr>
                <w:color w:val="auto"/>
                <w:spacing w:val="-3"/>
                <w:highlight w:val="none"/>
              </w:rPr>
              <w:t>以</w:t>
            </w:r>
            <w:r>
              <w:rPr>
                <w:rFonts w:hint="eastAsia"/>
                <w:color w:val="auto"/>
                <w:spacing w:val="-3"/>
                <w:highlight w:val="none"/>
                <w:u w:val="single" w:color="auto"/>
              </w:rPr>
              <w:t>穗增发改投批〔2022〕18号</w:t>
            </w:r>
            <w:r>
              <w:rPr>
                <w:color w:val="auto"/>
                <w:spacing w:val="-2"/>
                <w:highlight w:val="none"/>
              </w:rPr>
              <w:t>批准建设，初步设计已由</w:t>
            </w:r>
            <w:r>
              <w:rPr>
                <w:rFonts w:hint="eastAsia" w:ascii="宋体" w:hAnsi="宋体" w:eastAsia="宋体" w:cs="宋体"/>
                <w:color w:val="auto"/>
                <w:spacing w:val="-3"/>
                <w:highlight w:val="none"/>
                <w:u w:val="single" w:color="auto"/>
                <w:lang w:val="en-US" w:eastAsia="zh-CN"/>
              </w:rPr>
              <w:t>广州市增城区交通运输局</w:t>
            </w:r>
            <w:r>
              <w:rPr>
                <w:color w:val="auto"/>
                <w:spacing w:val="-2"/>
                <w:highlight w:val="none"/>
              </w:rPr>
              <w:t>以</w:t>
            </w:r>
            <w:r>
              <w:rPr>
                <w:rFonts w:hint="eastAsia"/>
                <w:color w:val="auto"/>
                <w:spacing w:val="-2"/>
                <w:highlight w:val="none"/>
                <w:u w:val="single" w:color="auto"/>
              </w:rPr>
              <w:t>增交函</w:t>
            </w:r>
            <w:r>
              <w:rPr>
                <w:rFonts w:hint="eastAsia"/>
                <w:color w:val="auto"/>
                <w:spacing w:val="-3"/>
                <w:highlight w:val="none"/>
                <w:u w:val="single" w:color="auto"/>
              </w:rPr>
              <w:t>〔</w:t>
            </w:r>
            <w:r>
              <w:rPr>
                <w:rFonts w:hint="eastAsia"/>
                <w:color w:val="auto"/>
                <w:spacing w:val="-2"/>
                <w:highlight w:val="none"/>
                <w:u w:val="single" w:color="auto"/>
              </w:rPr>
              <w:t>2025</w:t>
            </w:r>
            <w:r>
              <w:rPr>
                <w:rFonts w:hint="eastAsia"/>
                <w:color w:val="auto"/>
                <w:spacing w:val="-3"/>
                <w:highlight w:val="none"/>
                <w:u w:val="single" w:color="auto"/>
              </w:rPr>
              <w:t>〕</w:t>
            </w:r>
            <w:r>
              <w:rPr>
                <w:rFonts w:hint="eastAsia"/>
                <w:color w:val="auto"/>
                <w:spacing w:val="-2"/>
                <w:highlight w:val="none"/>
                <w:u w:val="single" w:color="auto"/>
              </w:rPr>
              <w:t>219号</w:t>
            </w:r>
            <w:r>
              <w:rPr>
                <w:color w:val="auto"/>
                <w:spacing w:val="-1"/>
                <w:highlight w:val="none"/>
              </w:rPr>
              <w:t>批准，建设单位为</w:t>
            </w:r>
            <w:r>
              <w:rPr>
                <w:rFonts w:hint="eastAsia" w:ascii="宋体" w:hAnsi="宋体" w:eastAsia="宋体" w:cs="宋体"/>
                <w:color w:val="auto"/>
                <w:spacing w:val="-3"/>
                <w:highlight w:val="none"/>
                <w:u w:val="single" w:color="auto"/>
                <w:lang w:val="en-US" w:eastAsia="zh-CN"/>
              </w:rPr>
              <w:t>广州市增城区正果镇人民政府</w:t>
            </w:r>
            <w:r>
              <w:rPr>
                <w:color w:val="auto"/>
                <w:spacing w:val="-1"/>
                <w:highlight w:val="none"/>
              </w:rPr>
              <w:t>，招标人为</w:t>
            </w:r>
            <w:r>
              <w:rPr>
                <w:rFonts w:hint="eastAsia" w:ascii="宋体" w:hAnsi="宋体" w:eastAsia="宋体" w:cs="宋体"/>
                <w:color w:val="auto"/>
                <w:spacing w:val="-3"/>
                <w:highlight w:val="none"/>
                <w:u w:val="single" w:color="auto"/>
                <w:lang w:val="en-US" w:eastAsia="zh-CN"/>
              </w:rPr>
              <w:t xml:space="preserve">广州市增城区正果镇人民政府 </w:t>
            </w:r>
            <w:r>
              <w:rPr>
                <w:color w:val="auto"/>
                <w:spacing w:val="-1"/>
                <w:highlight w:val="none"/>
              </w:rPr>
              <w:t>。</w:t>
            </w:r>
          </w:p>
          <w:p w14:paraId="6E0E161E">
            <w:pPr>
              <w:pStyle w:val="17"/>
              <w:spacing w:before="147" w:line="325" w:lineRule="auto"/>
              <w:ind w:left="115" w:right="112" w:firstLine="3"/>
              <w:rPr>
                <w:strike/>
                <w:dstrike w:val="0"/>
                <w:color w:val="auto"/>
                <w:sz w:val="10"/>
                <w:szCs w:val="10"/>
                <w:highlight w:val="none"/>
              </w:rPr>
            </w:pPr>
            <w:r>
              <w:rPr>
                <w:strike/>
                <w:dstrike w:val="0"/>
                <w:color w:val="auto"/>
                <w:highlight w:val="none"/>
              </w:rPr>
              <w:t>2、被广东省交通运输厅评为</w:t>
            </w:r>
            <w:r>
              <w:rPr>
                <w:strike/>
                <w:dstrike w:val="0"/>
                <w:color w:val="auto"/>
                <w:spacing w:val="-102"/>
                <w:highlight w:val="none"/>
              </w:rPr>
              <w:t xml:space="preserve"> </w:t>
            </w:r>
            <w:r>
              <w:rPr>
                <w:strike/>
                <w:dstrike w:val="0"/>
                <w:color w:val="auto"/>
                <w:highlight w:val="none"/>
                <w:u w:val="single" w:color="auto"/>
              </w:rPr>
              <w:t xml:space="preserve">    </w:t>
            </w:r>
            <w:r>
              <w:rPr>
                <w:strike/>
                <w:dstrike w:val="0"/>
                <w:color w:val="auto"/>
                <w:spacing w:val="-93"/>
                <w:highlight w:val="none"/>
              </w:rPr>
              <w:t xml:space="preserve"> </w:t>
            </w:r>
            <w:r>
              <w:rPr>
                <w:strike/>
                <w:dstrike w:val="0"/>
                <w:color w:val="auto"/>
                <w:highlight w:val="none"/>
              </w:rPr>
              <w:t>级信用等级（信用</w:t>
            </w:r>
            <w:r>
              <w:rPr>
                <w:strike/>
                <w:dstrike w:val="0"/>
                <w:color w:val="auto"/>
                <w:spacing w:val="-1"/>
                <w:highlight w:val="none"/>
              </w:rPr>
              <w:t>等级类别应与招标相应的标段类别</w:t>
            </w:r>
            <w:r>
              <w:rPr>
                <w:strike/>
                <w:dstrike w:val="0"/>
                <w:color w:val="auto"/>
                <w:spacing w:val="-3"/>
                <w:highlight w:val="none"/>
              </w:rPr>
              <w:t>对应）的投标人可对其中的</w:t>
            </w:r>
            <w:r>
              <w:rPr>
                <w:strike/>
                <w:dstrike w:val="0"/>
                <w:color w:val="auto"/>
                <w:spacing w:val="-3"/>
                <w:highlight w:val="none"/>
                <w:u w:val="single" w:color="auto"/>
              </w:rPr>
              <w:t xml:space="preserve">    </w:t>
            </w:r>
            <w:r>
              <w:rPr>
                <w:strike/>
                <w:dstrike w:val="0"/>
                <w:color w:val="auto"/>
                <w:spacing w:val="-85"/>
                <w:highlight w:val="none"/>
              </w:rPr>
              <w:t xml:space="preserve"> </w:t>
            </w:r>
            <w:r>
              <w:rPr>
                <w:strike/>
                <w:dstrike w:val="0"/>
                <w:color w:val="auto"/>
                <w:spacing w:val="-3"/>
                <w:highlight w:val="none"/>
              </w:rPr>
              <w:t>个</w:t>
            </w:r>
            <w:r>
              <w:rPr>
                <w:strike/>
                <w:dstrike w:val="0"/>
                <w:color w:val="auto"/>
                <w:spacing w:val="-3"/>
                <w:highlight w:val="none"/>
                <w:u w:val="single" w:color="auto"/>
              </w:rPr>
              <w:t>标类或标段</w:t>
            </w:r>
            <w:r>
              <w:rPr>
                <w:strike/>
                <w:dstrike w:val="0"/>
                <w:color w:val="auto"/>
                <w:spacing w:val="-3"/>
                <w:highlight w:val="none"/>
              </w:rPr>
              <w:t>分别提出申请，其余投标人最多可对其中的</w:t>
            </w:r>
            <w:r>
              <w:rPr>
                <w:strike/>
                <w:dstrike w:val="0"/>
                <w:color w:val="auto"/>
                <w:spacing w:val="-105"/>
                <w:highlight w:val="none"/>
              </w:rPr>
              <w:t xml:space="preserve"> </w:t>
            </w:r>
            <w:r>
              <w:rPr>
                <w:strike/>
                <w:dstrike w:val="0"/>
                <w:color w:val="auto"/>
                <w:spacing w:val="52"/>
                <w:highlight w:val="none"/>
                <w:u w:val="single" w:color="auto"/>
              </w:rPr>
              <w:t xml:space="preserve">  </w:t>
            </w:r>
            <w:r>
              <w:rPr>
                <w:strike/>
                <w:dstrike w:val="0"/>
                <w:color w:val="auto"/>
                <w:spacing w:val="-96"/>
                <w:highlight w:val="none"/>
              </w:rPr>
              <w:t xml:space="preserve"> </w:t>
            </w:r>
            <w:r>
              <w:rPr>
                <w:strike/>
                <w:dstrike w:val="0"/>
                <w:color w:val="auto"/>
                <w:spacing w:val="-3"/>
                <w:highlight w:val="none"/>
              </w:rPr>
              <w:t>个</w:t>
            </w:r>
            <w:r>
              <w:rPr>
                <w:strike/>
                <w:dstrike w:val="0"/>
                <w:color w:val="auto"/>
                <w:spacing w:val="-3"/>
                <w:highlight w:val="none"/>
                <w:u w:val="single" w:color="auto"/>
              </w:rPr>
              <w:t>标类或标段</w:t>
            </w:r>
            <w:r>
              <w:rPr>
                <w:strike/>
                <w:dstrike w:val="0"/>
                <w:color w:val="auto"/>
                <w:spacing w:val="-3"/>
                <w:highlight w:val="none"/>
              </w:rPr>
              <w:t>提出申请，每个投标人只允许中</w:t>
            </w:r>
            <w:r>
              <w:rPr>
                <w:strike/>
                <w:dstrike w:val="0"/>
                <w:color w:val="auto"/>
                <w:spacing w:val="-105"/>
                <w:highlight w:val="none"/>
              </w:rPr>
              <w:t xml:space="preserve"> </w:t>
            </w:r>
            <w:r>
              <w:rPr>
                <w:strike/>
                <w:dstrike w:val="0"/>
                <w:color w:val="auto"/>
                <w:highlight w:val="none"/>
                <w:u w:val="single" w:color="auto"/>
              </w:rPr>
              <w:t xml:space="preserve">   </w:t>
            </w:r>
            <w:r>
              <w:rPr>
                <w:strike/>
                <w:dstrike w:val="0"/>
                <w:color w:val="auto"/>
                <w:spacing w:val="-95"/>
                <w:highlight w:val="none"/>
              </w:rPr>
              <w:t xml:space="preserve"> </w:t>
            </w:r>
            <w:r>
              <w:rPr>
                <w:strike/>
                <w:dstrike w:val="0"/>
                <w:color w:val="auto"/>
                <w:spacing w:val="-3"/>
                <w:highlight w:val="none"/>
              </w:rPr>
              <w:t>个</w:t>
            </w:r>
            <w:r>
              <w:rPr>
                <w:strike/>
                <w:dstrike w:val="0"/>
                <w:color w:val="auto"/>
                <w:spacing w:val="-4"/>
                <w:highlight w:val="none"/>
                <w:u w:val="single" w:color="auto"/>
              </w:rPr>
              <w:t>标类或标段</w:t>
            </w:r>
            <w:r>
              <w:rPr>
                <w:strike/>
                <w:dstrike w:val="0"/>
                <w:color w:val="auto"/>
                <w:spacing w:val="-4"/>
                <w:highlight w:val="none"/>
              </w:rPr>
              <w:t>。（本款所指的信</w:t>
            </w:r>
            <w:r>
              <w:rPr>
                <w:strike/>
                <w:dstrike w:val="0"/>
                <w:color w:val="auto"/>
                <w:spacing w:val="-3"/>
                <w:highlight w:val="none"/>
              </w:rPr>
              <w:t>用等级为广东省交通运输厅最新年度发布的广东省公路工程从业单位信用等级（</w:t>
            </w:r>
            <w:r>
              <w:rPr>
                <w:strike/>
                <w:dstrike w:val="0"/>
                <w:color w:val="auto"/>
                <w:spacing w:val="-3"/>
                <w:highlight w:val="none"/>
                <w:u w:val="single" w:color="auto"/>
              </w:rPr>
              <w:t>施工单</w:t>
            </w:r>
            <w:r>
              <w:rPr>
                <w:strike/>
                <w:dstrike w:val="0"/>
                <w:color w:val="auto"/>
                <w:spacing w:val="1"/>
                <w:highlight w:val="none"/>
                <w:u w:val="single" w:color="auto"/>
              </w:rPr>
              <w:t>位</w:t>
            </w:r>
            <w:r>
              <w:rPr>
                <w:strike/>
                <w:dstrike w:val="0"/>
                <w:color w:val="auto"/>
                <w:spacing w:val="1"/>
                <w:highlight w:val="none"/>
              </w:rPr>
              <w:t>),投标登记阶段无需承诺是否在此次投标过程中使用）。</w:t>
            </w:r>
          </w:p>
          <w:p w14:paraId="3AE77144">
            <w:pPr>
              <w:pStyle w:val="17"/>
              <w:spacing w:before="138" w:line="312" w:lineRule="auto"/>
              <w:ind w:left="117" w:right="110" w:firstLine="3"/>
              <w:rPr>
                <w:color w:val="auto"/>
                <w:highlight w:val="none"/>
              </w:rPr>
            </w:pPr>
            <w:r>
              <w:rPr>
                <w:color w:val="auto"/>
                <w:spacing w:val="-3"/>
                <w:highlight w:val="none"/>
              </w:rPr>
              <w:t>3、与招标人存在利害关系可能影响招标公正性的法人，不得参加投标；若单位负责人</w:t>
            </w:r>
            <w:r>
              <w:rPr>
                <w:rStyle w:val="15"/>
                <w:color w:val="auto"/>
                <w:spacing w:val="-3"/>
                <w:position w:val="10"/>
                <w:sz w:val="18"/>
                <w:szCs w:val="18"/>
                <w:highlight w:val="none"/>
              </w:rPr>
              <w:footnoteReference w:id="0"/>
            </w:r>
            <w:r>
              <w:rPr>
                <w:color w:val="auto"/>
                <w:spacing w:val="-3"/>
                <w:highlight w:val="none"/>
              </w:rPr>
              <w:t>为同一人、或者存在控股</w:t>
            </w:r>
            <w:r>
              <w:rPr>
                <w:rStyle w:val="15"/>
                <w:rFonts w:ascii="Arial" w:hAnsi="Arial" w:eastAsia="Arial" w:cs="Arial"/>
                <w:color w:val="auto"/>
                <w:spacing w:val="-3"/>
                <w:position w:val="10"/>
                <w:sz w:val="18"/>
                <w:szCs w:val="18"/>
                <w:highlight w:val="none"/>
                <w:vertAlign w:val="superscript"/>
              </w:rPr>
              <w:footnoteReference w:id="1"/>
            </w:r>
            <w:r>
              <w:rPr>
                <w:color w:val="auto"/>
                <w:spacing w:val="-3"/>
                <w:highlight w:val="none"/>
              </w:rPr>
              <w:t>、管理关系</w:t>
            </w:r>
            <w:r>
              <w:rPr>
                <w:rStyle w:val="15"/>
                <w:rFonts w:ascii="Arial" w:hAnsi="Arial" w:eastAsia="Arial" w:cs="Arial"/>
                <w:color w:val="auto"/>
                <w:spacing w:val="-3"/>
                <w:position w:val="10"/>
                <w:sz w:val="18"/>
                <w:szCs w:val="18"/>
                <w:highlight w:val="none"/>
                <w:vertAlign w:val="superscript"/>
              </w:rPr>
              <w:t xml:space="preserve"> </w:t>
            </w:r>
            <w:r>
              <w:rPr>
                <w:rStyle w:val="15"/>
                <w:rFonts w:ascii="Arial" w:hAnsi="Arial" w:eastAsia="Arial" w:cs="Arial"/>
                <w:color w:val="auto"/>
                <w:spacing w:val="-3"/>
                <w:position w:val="10"/>
                <w:sz w:val="18"/>
                <w:szCs w:val="18"/>
                <w:highlight w:val="none"/>
                <w:vertAlign w:val="superscript"/>
              </w:rPr>
              <w:footnoteReference w:id="2"/>
            </w:r>
            <w:r>
              <w:rPr>
                <w:color w:val="auto"/>
                <w:spacing w:val="-3"/>
                <w:highlight w:val="none"/>
              </w:rPr>
              <w:t>的不同单位，不得参加同一标段投标或者未划分</w:t>
            </w:r>
            <w:r>
              <w:rPr>
                <w:color w:val="auto"/>
                <w:spacing w:val="-2"/>
                <w:highlight w:val="none"/>
              </w:rPr>
              <w:t>标段的同一招标项目投标，否则按否决其投标处理。</w:t>
            </w:r>
          </w:p>
          <w:p w14:paraId="5F75C479">
            <w:pPr>
              <w:pStyle w:val="17"/>
              <w:spacing w:before="135" w:line="292" w:lineRule="auto"/>
              <w:ind w:left="122" w:right="108" w:hanging="7"/>
              <w:rPr>
                <w:color w:val="auto"/>
                <w:highlight w:val="none"/>
              </w:rPr>
            </w:pPr>
            <w:r>
              <w:rPr>
                <w:color w:val="auto"/>
                <w:spacing w:val="-3"/>
                <w:highlight w:val="none"/>
              </w:rPr>
              <w:t>4、在“信用中国”网站</w:t>
            </w:r>
            <w:r>
              <w:rPr>
                <w:rStyle w:val="15"/>
                <w:rFonts w:ascii="Arial" w:hAnsi="Arial" w:eastAsia="Arial" w:cs="Arial"/>
                <w:color w:val="auto"/>
                <w:spacing w:val="-3"/>
                <w:position w:val="10"/>
                <w:sz w:val="18"/>
                <w:szCs w:val="18"/>
                <w:highlight w:val="none"/>
                <w:vertAlign w:val="superscript"/>
              </w:rPr>
              <w:t xml:space="preserve"> </w:t>
            </w:r>
            <w:r>
              <w:rPr>
                <w:rStyle w:val="15"/>
                <w:rFonts w:ascii="Arial" w:hAnsi="Arial" w:eastAsia="Arial" w:cs="Arial"/>
                <w:color w:val="auto"/>
                <w:spacing w:val="-3"/>
                <w:position w:val="10"/>
                <w:sz w:val="18"/>
                <w:szCs w:val="18"/>
                <w:highlight w:val="none"/>
                <w:vertAlign w:val="superscript"/>
              </w:rPr>
              <w:footnoteReference w:id="3"/>
            </w:r>
            <w:r>
              <w:rPr>
                <w:color w:val="auto"/>
                <w:spacing w:val="-3"/>
                <w:highlight w:val="none"/>
              </w:rPr>
              <w:t>中被列入失信被执行人名单的投标人，在“国家企业信</w:t>
            </w:r>
            <w:r>
              <w:rPr>
                <w:color w:val="auto"/>
                <w:spacing w:val="-4"/>
                <w:highlight w:val="none"/>
              </w:rPr>
              <w:t>用信息</w:t>
            </w:r>
            <w:r>
              <w:rPr>
                <w:color w:val="auto"/>
                <w:spacing w:val="-2"/>
                <w:highlight w:val="none"/>
              </w:rPr>
              <w:t>公示系统”中被列入严重违法失信名单的投标人，均按否决投标处理。</w:t>
            </w:r>
          </w:p>
          <w:p w14:paraId="39FDE5A5">
            <w:pPr>
              <w:pStyle w:val="17"/>
              <w:spacing w:before="135" w:line="233" w:lineRule="auto"/>
              <w:ind w:left="120"/>
              <w:rPr>
                <w:color w:val="auto"/>
                <w:sz w:val="10"/>
                <w:szCs w:val="10"/>
                <w:highlight w:val="none"/>
              </w:rPr>
            </w:pPr>
            <w:r>
              <w:rPr>
                <w:color w:val="auto"/>
                <w:highlight w:val="none"/>
              </w:rPr>
              <w:t>5、办理企业信息登记要求：</w:t>
            </w:r>
            <w:r>
              <w:rPr>
                <w:rFonts w:hint="eastAsia"/>
                <w:color w:val="auto"/>
                <w:highlight w:val="none"/>
                <w:u w:val="single" w:color="auto"/>
              </w:rPr>
              <w:t>投标人在投标登记前须在广州公共资源交易中心办理企业信息登记，投标人企业信息登记详情参见广州公共资源交易网（http://www.gzggzy.cn）服务指南栏目），若投标人未按要求办理手续，招标人将不承担与此有关的责任。</w:t>
            </w:r>
          </w:p>
          <w:p w14:paraId="4C339CFA">
            <w:pPr>
              <w:pStyle w:val="17"/>
              <w:spacing w:before="144" w:line="353" w:lineRule="auto"/>
              <w:ind w:left="116" w:hanging="1"/>
              <w:jc w:val="both"/>
              <w:rPr>
                <w:strike/>
                <w:dstrike w:val="0"/>
                <w:color w:val="auto"/>
                <w:highlight w:val="none"/>
              </w:rPr>
            </w:pPr>
            <w:r>
              <w:rPr>
                <w:strike/>
                <w:dstrike w:val="0"/>
                <w:color w:val="auto"/>
                <w:spacing w:val="-1"/>
                <w:highlight w:val="none"/>
                <w:u w:val="single" w:color="auto"/>
              </w:rPr>
              <w:t>6、</w:t>
            </w:r>
            <w:r>
              <w:rPr>
                <w:strike/>
                <w:dstrike w:val="0"/>
                <w:color w:val="auto"/>
                <w:spacing w:val="-1"/>
                <w:position w:val="10"/>
                <w:sz w:val="10"/>
                <w:szCs w:val="10"/>
                <w:highlight w:val="none"/>
                <w:u w:val="single" w:color="auto"/>
              </w:rPr>
              <w:t>⑧</w:t>
            </w:r>
            <w:r>
              <w:rPr>
                <w:strike/>
                <w:dstrike w:val="0"/>
                <w:color w:val="auto"/>
                <w:spacing w:val="2"/>
                <w:position w:val="10"/>
                <w:sz w:val="10"/>
                <w:szCs w:val="10"/>
                <w:highlight w:val="none"/>
                <w:u w:val="single" w:color="auto"/>
              </w:rPr>
              <w:t xml:space="preserve"> </w:t>
            </w:r>
            <w:r>
              <w:rPr>
                <w:strike/>
                <w:dstrike w:val="0"/>
                <w:color w:val="auto"/>
                <w:spacing w:val="-1"/>
                <w:highlight w:val="none"/>
                <w:u w:val="single" w:color="auto"/>
              </w:rPr>
              <w:t>电子交易平台服务费收取费用</w:t>
            </w:r>
            <w:r>
              <w:rPr>
                <w:strike/>
                <w:dstrike w:val="0"/>
                <w:color w:val="auto"/>
                <w:spacing w:val="30"/>
                <w:highlight w:val="none"/>
                <w:u w:val="single" w:color="auto"/>
              </w:rPr>
              <w:t xml:space="preserve"> </w:t>
            </w:r>
            <w:r>
              <w:rPr>
                <w:strike/>
                <w:dstrike w:val="0"/>
                <w:color w:val="auto"/>
                <w:spacing w:val="-1"/>
                <w:highlight w:val="none"/>
                <w:u w:val="single" w:color="auto"/>
              </w:rPr>
              <w:t>1000</w:t>
            </w:r>
            <w:r>
              <w:rPr>
                <w:strike/>
                <w:dstrike w:val="0"/>
                <w:color w:val="auto"/>
                <w:spacing w:val="-40"/>
                <w:highlight w:val="none"/>
                <w:u w:val="single" w:color="auto"/>
              </w:rPr>
              <w:t xml:space="preserve"> </w:t>
            </w:r>
            <w:r>
              <w:rPr>
                <w:strike/>
                <w:dstrike w:val="0"/>
                <w:color w:val="auto"/>
                <w:spacing w:val="-1"/>
                <w:highlight w:val="none"/>
                <w:u w:val="single" w:color="auto"/>
              </w:rPr>
              <w:t>元,售后不退（同一投标人在本次招标中参加</w:t>
            </w:r>
            <w:r>
              <w:rPr>
                <w:strike/>
                <w:dstrike w:val="0"/>
                <w:color w:val="auto"/>
                <w:spacing w:val="-3"/>
                <w:highlight w:val="none"/>
                <w:u w:val="single" w:color="auto"/>
              </w:rPr>
              <w:t>多个标段投标的，需要按标段数量分别进行费用缴纳）。投标人须将缴费证明资料扫描</w:t>
            </w:r>
            <w:r>
              <w:rPr>
                <w:strike/>
                <w:dstrike w:val="0"/>
                <w:color w:val="auto"/>
                <w:spacing w:val="-5"/>
                <w:highlight w:val="none"/>
                <w:u w:val="single" w:color="auto"/>
              </w:rPr>
              <w:t>件上传到广东省公路水运工程建设项目电子招投标交易平台（以下称“电子交易平台”</w:t>
            </w:r>
            <w:r>
              <w:rPr>
                <w:strike/>
                <w:dstrike w:val="0"/>
                <w:color w:val="auto"/>
                <w:spacing w:val="-36"/>
                <w:w w:val="65"/>
                <w:highlight w:val="none"/>
                <w:u w:val="single" w:color="auto"/>
              </w:rPr>
              <w:t>）</w:t>
            </w:r>
            <w:r>
              <w:rPr>
                <w:strike/>
                <w:dstrike w:val="0"/>
                <w:color w:val="auto"/>
                <w:spacing w:val="-36"/>
                <w:w w:val="65"/>
                <w:highlight w:val="none"/>
              </w:rPr>
              <w:t>，</w:t>
            </w:r>
            <w:r>
              <w:rPr>
                <w:strike/>
                <w:dstrike w:val="0"/>
                <w:color w:val="auto"/>
                <w:spacing w:val="-6"/>
                <w:highlight w:val="none"/>
                <w:u w:val="single" w:color="auto"/>
              </w:rPr>
              <w:t>电子交易平台服务费缴纳方式为电汇或转账，由技术支持单位收取，须用单位账户转账，</w:t>
            </w:r>
            <w:r>
              <w:rPr>
                <w:strike/>
                <w:dstrike w:val="0"/>
                <w:color w:val="auto"/>
                <w:highlight w:val="none"/>
                <w:u w:val="single" w:color="auto"/>
              </w:rPr>
              <w:t xml:space="preserve">转账备注中写明项目名称，账号信息如下：       </w:t>
            </w:r>
            <w:r>
              <w:rPr>
                <w:strike/>
                <w:dstrike w:val="0"/>
                <w:color w:val="auto"/>
                <w:spacing w:val="-1"/>
                <w:highlight w:val="none"/>
                <w:u w:val="single" w:color="auto"/>
              </w:rPr>
              <w:t xml:space="preserve">   。</w:t>
            </w:r>
          </w:p>
          <w:p w14:paraId="121A7C45">
            <w:pPr>
              <w:pStyle w:val="17"/>
              <w:spacing w:before="13" w:line="219" w:lineRule="auto"/>
              <w:ind w:left="121"/>
              <w:rPr>
                <w:strike/>
                <w:dstrike w:val="0"/>
                <w:color w:val="auto"/>
                <w:highlight w:val="none"/>
              </w:rPr>
            </w:pPr>
            <w:r>
              <w:rPr>
                <w:strike w:val="0"/>
                <w:dstrike w:val="0"/>
                <w:color w:val="auto"/>
                <w:spacing w:val="-2"/>
                <w:highlight w:val="none"/>
              </w:rPr>
              <w:t>7、招标人将</w:t>
            </w:r>
            <w:r>
              <w:rPr>
                <w:strike w:val="0"/>
                <w:dstrike w:val="0"/>
                <w:color w:val="auto"/>
                <w:spacing w:val="-2"/>
                <w:highlight w:val="none"/>
                <w:u w:val="single" w:color="auto"/>
              </w:rPr>
              <w:t>不组织</w:t>
            </w:r>
            <w:r>
              <w:rPr>
                <w:strike w:val="0"/>
                <w:dstrike w:val="0"/>
                <w:color w:val="auto"/>
                <w:spacing w:val="-2"/>
                <w:highlight w:val="none"/>
              </w:rPr>
              <w:t>踏勘现场和投标预备会。</w:t>
            </w:r>
          </w:p>
          <w:p w14:paraId="27A4B71A">
            <w:pPr>
              <w:pStyle w:val="17"/>
              <w:spacing w:before="150" w:line="220" w:lineRule="auto"/>
              <w:ind w:left="122"/>
              <w:rPr>
                <w:strike/>
                <w:dstrike w:val="0"/>
                <w:color w:val="auto"/>
                <w:highlight w:val="none"/>
              </w:rPr>
            </w:pPr>
            <w:r>
              <w:rPr>
                <w:strike/>
                <w:dstrike w:val="0"/>
                <w:color w:val="auto"/>
                <w:spacing w:val="-5"/>
                <w:highlight w:val="none"/>
              </w:rPr>
              <w:t>（如组织）</w:t>
            </w:r>
          </w:p>
          <w:p w14:paraId="13F55731">
            <w:pPr>
              <w:pStyle w:val="17"/>
              <w:spacing w:before="130" w:line="220" w:lineRule="auto"/>
              <w:ind w:left="117"/>
              <w:rPr>
                <w:strike/>
                <w:dstrike w:val="0"/>
                <w:color w:val="auto"/>
                <w:highlight w:val="none"/>
              </w:rPr>
            </w:pPr>
            <w:r>
              <w:rPr>
                <w:strike/>
                <w:dstrike w:val="0"/>
                <w:color w:val="auto"/>
                <w:spacing w:val="-4"/>
                <w:highlight w:val="none"/>
              </w:rPr>
              <w:t>踏勘现场时间：</w:t>
            </w:r>
            <w:r>
              <w:rPr>
                <w:strike/>
                <w:dstrike w:val="0"/>
                <w:color w:val="auto"/>
                <w:spacing w:val="-4"/>
                <w:highlight w:val="none"/>
                <w:u w:val="single" w:color="auto"/>
              </w:rPr>
              <w:t xml:space="preserve">  </w:t>
            </w:r>
            <w:r>
              <w:rPr>
                <w:strike/>
                <w:dstrike w:val="0"/>
                <w:color w:val="auto"/>
                <w:spacing w:val="-96"/>
                <w:highlight w:val="none"/>
              </w:rPr>
              <w:t xml:space="preserve"> </w:t>
            </w:r>
            <w:r>
              <w:rPr>
                <w:strike/>
                <w:dstrike w:val="0"/>
                <w:color w:val="auto"/>
                <w:spacing w:val="-4"/>
                <w:highlight w:val="none"/>
              </w:rPr>
              <w:t>年</w:t>
            </w:r>
            <w:r>
              <w:rPr>
                <w:strike/>
                <w:dstrike w:val="0"/>
                <w:color w:val="auto"/>
                <w:spacing w:val="-4"/>
                <w:highlight w:val="none"/>
                <w:u w:val="single" w:color="auto"/>
              </w:rPr>
              <w:t xml:space="preserve">  </w:t>
            </w:r>
            <w:r>
              <w:rPr>
                <w:strike/>
                <w:dstrike w:val="0"/>
                <w:color w:val="auto"/>
                <w:spacing w:val="-92"/>
                <w:highlight w:val="none"/>
              </w:rPr>
              <w:t xml:space="preserve"> </w:t>
            </w:r>
            <w:r>
              <w:rPr>
                <w:strike/>
                <w:dstrike w:val="0"/>
                <w:color w:val="auto"/>
                <w:spacing w:val="-4"/>
                <w:highlight w:val="none"/>
              </w:rPr>
              <w:t>月</w:t>
            </w:r>
            <w:r>
              <w:rPr>
                <w:strike/>
                <w:dstrike w:val="0"/>
                <w:color w:val="auto"/>
                <w:spacing w:val="-4"/>
                <w:highlight w:val="none"/>
                <w:u w:val="single" w:color="auto"/>
              </w:rPr>
              <w:t xml:space="preserve">  </w:t>
            </w:r>
            <w:r>
              <w:rPr>
                <w:strike/>
                <w:dstrike w:val="0"/>
                <w:color w:val="auto"/>
                <w:spacing w:val="-60"/>
                <w:highlight w:val="none"/>
              </w:rPr>
              <w:t xml:space="preserve"> </w:t>
            </w:r>
            <w:r>
              <w:rPr>
                <w:strike/>
                <w:dstrike w:val="0"/>
                <w:color w:val="auto"/>
                <w:spacing w:val="-4"/>
                <w:highlight w:val="none"/>
              </w:rPr>
              <w:t>日</w:t>
            </w:r>
            <w:r>
              <w:rPr>
                <w:strike/>
                <w:dstrike w:val="0"/>
                <w:color w:val="auto"/>
                <w:spacing w:val="-4"/>
                <w:highlight w:val="none"/>
                <w:u w:val="single" w:color="auto"/>
              </w:rPr>
              <w:t xml:space="preserve">  </w:t>
            </w:r>
            <w:r>
              <w:rPr>
                <w:strike/>
                <w:dstrike w:val="0"/>
                <w:color w:val="auto"/>
                <w:spacing w:val="-87"/>
                <w:highlight w:val="none"/>
              </w:rPr>
              <w:t xml:space="preserve"> </w:t>
            </w:r>
            <w:r>
              <w:rPr>
                <w:strike/>
                <w:dstrike w:val="0"/>
                <w:color w:val="auto"/>
                <w:spacing w:val="-4"/>
                <w:highlight w:val="none"/>
              </w:rPr>
              <w:t>时</w:t>
            </w:r>
            <w:r>
              <w:rPr>
                <w:strike/>
                <w:dstrike w:val="0"/>
                <w:color w:val="auto"/>
                <w:spacing w:val="-4"/>
                <w:highlight w:val="none"/>
                <w:u w:val="single" w:color="auto"/>
              </w:rPr>
              <w:t xml:space="preserve">  </w:t>
            </w:r>
            <w:r>
              <w:rPr>
                <w:strike/>
                <w:dstrike w:val="0"/>
                <w:color w:val="auto"/>
                <w:spacing w:val="-95"/>
                <w:highlight w:val="none"/>
              </w:rPr>
              <w:t xml:space="preserve"> </w:t>
            </w:r>
            <w:r>
              <w:rPr>
                <w:strike/>
                <w:dstrike w:val="0"/>
                <w:color w:val="auto"/>
                <w:spacing w:val="-4"/>
                <w:highlight w:val="none"/>
              </w:rPr>
              <w:t>分，集中地点</w:t>
            </w:r>
            <w:r>
              <w:rPr>
                <w:strike/>
                <w:dstrike w:val="0"/>
                <w:color w:val="auto"/>
                <w:spacing w:val="1"/>
                <w:highlight w:val="none"/>
              </w:rPr>
              <w:t>：</w:t>
            </w:r>
            <w:r>
              <w:rPr>
                <w:strike/>
                <w:dstrike w:val="0"/>
                <w:color w:val="auto"/>
                <w:highlight w:val="none"/>
                <w:u w:val="single" w:color="auto"/>
              </w:rPr>
              <w:t xml:space="preserve">        </w:t>
            </w:r>
            <w:r>
              <w:rPr>
                <w:strike/>
                <w:dstrike w:val="0"/>
                <w:color w:val="auto"/>
                <w:spacing w:val="1"/>
                <w:highlight w:val="none"/>
              </w:rPr>
              <w:t>；</w:t>
            </w:r>
          </w:p>
          <w:p w14:paraId="6E82469F">
            <w:pPr>
              <w:pStyle w:val="17"/>
              <w:spacing w:before="148" w:line="330" w:lineRule="auto"/>
              <w:ind w:left="116" w:right="54"/>
              <w:rPr>
                <w:strike/>
                <w:dstrike w:val="0"/>
                <w:color w:val="auto"/>
                <w:spacing w:val="-4"/>
                <w:highlight w:val="none"/>
              </w:rPr>
            </w:pPr>
            <w:r>
              <w:rPr>
                <w:strike/>
                <w:dstrike w:val="0"/>
                <w:color w:val="auto"/>
                <w:spacing w:val="-4"/>
                <w:highlight w:val="none"/>
              </w:rPr>
              <w:t>投标预备会时间：</w:t>
            </w:r>
            <w:r>
              <w:rPr>
                <w:strike/>
                <w:dstrike w:val="0"/>
                <w:color w:val="auto"/>
                <w:spacing w:val="-4"/>
                <w:highlight w:val="none"/>
                <w:u w:val="single" w:color="auto"/>
              </w:rPr>
              <w:t xml:space="preserve">  </w:t>
            </w:r>
            <w:r>
              <w:rPr>
                <w:strike/>
                <w:dstrike w:val="0"/>
                <w:color w:val="auto"/>
                <w:spacing w:val="-88"/>
                <w:highlight w:val="none"/>
              </w:rPr>
              <w:t xml:space="preserve"> </w:t>
            </w:r>
            <w:r>
              <w:rPr>
                <w:strike/>
                <w:dstrike w:val="0"/>
                <w:color w:val="auto"/>
                <w:spacing w:val="-4"/>
                <w:highlight w:val="none"/>
              </w:rPr>
              <w:t>年</w:t>
            </w:r>
            <w:r>
              <w:rPr>
                <w:strike/>
                <w:dstrike w:val="0"/>
                <w:color w:val="auto"/>
                <w:spacing w:val="-4"/>
                <w:highlight w:val="none"/>
                <w:u w:val="single" w:color="auto"/>
              </w:rPr>
              <w:t xml:space="preserve">  </w:t>
            </w:r>
            <w:r>
              <w:rPr>
                <w:strike/>
                <w:dstrike w:val="0"/>
                <w:color w:val="auto"/>
                <w:spacing w:val="-92"/>
                <w:highlight w:val="none"/>
              </w:rPr>
              <w:t xml:space="preserve"> </w:t>
            </w:r>
            <w:r>
              <w:rPr>
                <w:strike/>
                <w:dstrike w:val="0"/>
                <w:color w:val="auto"/>
                <w:spacing w:val="-4"/>
                <w:highlight w:val="none"/>
              </w:rPr>
              <w:t>月</w:t>
            </w:r>
            <w:r>
              <w:rPr>
                <w:strike/>
                <w:dstrike w:val="0"/>
                <w:color w:val="auto"/>
                <w:spacing w:val="-4"/>
                <w:highlight w:val="none"/>
                <w:u w:val="single" w:color="auto"/>
              </w:rPr>
              <w:t xml:space="preserve">  </w:t>
            </w:r>
            <w:r>
              <w:rPr>
                <w:strike/>
                <w:dstrike w:val="0"/>
                <w:color w:val="auto"/>
                <w:spacing w:val="-61"/>
                <w:highlight w:val="none"/>
              </w:rPr>
              <w:t xml:space="preserve"> </w:t>
            </w:r>
            <w:r>
              <w:rPr>
                <w:strike/>
                <w:dstrike w:val="0"/>
                <w:color w:val="auto"/>
                <w:spacing w:val="-4"/>
                <w:highlight w:val="none"/>
              </w:rPr>
              <w:t>日</w:t>
            </w:r>
            <w:r>
              <w:rPr>
                <w:strike/>
                <w:dstrike w:val="0"/>
                <w:color w:val="auto"/>
                <w:spacing w:val="-4"/>
                <w:highlight w:val="none"/>
                <w:u w:val="single" w:color="auto"/>
              </w:rPr>
              <w:t xml:space="preserve">  </w:t>
            </w:r>
            <w:r>
              <w:rPr>
                <w:strike/>
                <w:dstrike w:val="0"/>
                <w:color w:val="auto"/>
                <w:spacing w:val="-86"/>
                <w:highlight w:val="none"/>
              </w:rPr>
              <w:t xml:space="preserve"> </w:t>
            </w:r>
            <w:r>
              <w:rPr>
                <w:strike/>
                <w:dstrike w:val="0"/>
                <w:color w:val="auto"/>
                <w:spacing w:val="-4"/>
                <w:highlight w:val="none"/>
              </w:rPr>
              <w:t>时</w:t>
            </w:r>
            <w:r>
              <w:rPr>
                <w:strike/>
                <w:dstrike w:val="0"/>
                <w:color w:val="auto"/>
                <w:spacing w:val="-4"/>
                <w:highlight w:val="none"/>
                <w:u w:val="single" w:color="auto"/>
              </w:rPr>
              <w:t xml:space="preserve">  </w:t>
            </w:r>
            <w:r>
              <w:rPr>
                <w:strike/>
                <w:dstrike w:val="0"/>
                <w:color w:val="auto"/>
                <w:spacing w:val="-95"/>
                <w:highlight w:val="none"/>
              </w:rPr>
              <w:t xml:space="preserve"> </w:t>
            </w:r>
            <w:r>
              <w:rPr>
                <w:strike/>
                <w:dstrike w:val="0"/>
                <w:color w:val="auto"/>
                <w:spacing w:val="-4"/>
                <w:highlight w:val="none"/>
              </w:rPr>
              <w:t>分，地点：</w:t>
            </w:r>
            <w:r>
              <w:rPr>
                <w:strike/>
                <w:dstrike w:val="0"/>
                <w:color w:val="auto"/>
                <w:highlight w:val="none"/>
                <w:u w:val="single" w:color="auto"/>
              </w:rPr>
              <w:t xml:space="preserve">        </w:t>
            </w:r>
            <w:r>
              <w:rPr>
                <w:strike/>
                <w:dstrike w:val="0"/>
                <w:color w:val="auto"/>
                <w:spacing w:val="-4"/>
                <w:highlight w:val="none"/>
              </w:rPr>
              <w:t xml:space="preserve"> 。</w:t>
            </w:r>
          </w:p>
          <w:p w14:paraId="7D0616E7">
            <w:pPr>
              <w:pStyle w:val="17"/>
              <w:spacing w:before="148" w:line="330" w:lineRule="auto"/>
              <w:ind w:left="116" w:right="54"/>
              <w:rPr>
                <w:color w:val="auto"/>
                <w:highlight w:val="none"/>
              </w:rPr>
            </w:pPr>
            <w:r>
              <w:rPr>
                <w:color w:val="auto"/>
                <w:spacing w:val="-4"/>
                <w:highlight w:val="none"/>
              </w:rPr>
              <w:t>8、在规定的投标登记期间，如某个标段投标登记并获取招标</w:t>
            </w:r>
            <w:r>
              <w:rPr>
                <w:color w:val="auto"/>
                <w:spacing w:val="-5"/>
                <w:highlight w:val="none"/>
              </w:rPr>
              <w:t>文件的投标人不足</w:t>
            </w:r>
            <w:r>
              <w:rPr>
                <w:color w:val="auto"/>
                <w:spacing w:val="-40"/>
                <w:highlight w:val="none"/>
              </w:rPr>
              <w:t xml:space="preserve"> </w:t>
            </w:r>
            <w:r>
              <w:rPr>
                <w:color w:val="auto"/>
                <w:spacing w:val="-5"/>
                <w:highlight w:val="none"/>
              </w:rPr>
              <w:t>3</w:t>
            </w:r>
            <w:r>
              <w:rPr>
                <w:color w:val="auto"/>
                <w:spacing w:val="-44"/>
                <w:highlight w:val="none"/>
              </w:rPr>
              <w:t xml:space="preserve"> </w:t>
            </w:r>
            <w:r>
              <w:rPr>
                <w:color w:val="auto"/>
                <w:spacing w:val="-5"/>
                <w:highlight w:val="none"/>
              </w:rPr>
              <w:t>家时，</w:t>
            </w:r>
            <w:r>
              <w:rPr>
                <w:color w:val="auto"/>
                <w:spacing w:val="-2"/>
                <w:highlight w:val="none"/>
              </w:rPr>
              <w:t>招标人有权选择以下任一方式</w:t>
            </w:r>
            <w:r>
              <w:rPr>
                <w:color w:val="auto"/>
                <w:spacing w:val="-17"/>
                <w:highlight w:val="none"/>
              </w:rPr>
              <w:t>：（</w:t>
            </w:r>
            <w:r>
              <w:rPr>
                <w:color w:val="auto"/>
                <w:spacing w:val="-2"/>
                <w:highlight w:val="none"/>
              </w:rPr>
              <w:t>1）在广东省招标投标监管网及</w:t>
            </w:r>
            <w:r>
              <w:rPr>
                <w:rFonts w:hint="eastAsia"/>
                <w:color w:val="auto"/>
                <w:spacing w:val="5"/>
                <w:highlight w:val="none"/>
                <w:u w:val="single" w:color="auto"/>
                <w:lang w:eastAsia="zh-CN"/>
              </w:rPr>
              <w:t>广州</w:t>
            </w:r>
            <w:r>
              <w:rPr>
                <w:color w:val="auto"/>
                <w:spacing w:val="-91"/>
                <w:highlight w:val="none"/>
              </w:rPr>
              <w:t xml:space="preserve"> </w:t>
            </w:r>
            <w:r>
              <w:rPr>
                <w:color w:val="auto"/>
                <w:spacing w:val="-2"/>
                <w:highlight w:val="none"/>
              </w:rPr>
              <w:t>公共资源交易</w:t>
            </w:r>
            <w:r>
              <w:rPr>
                <w:color w:val="auto"/>
                <w:spacing w:val="-3"/>
                <w:highlight w:val="none"/>
              </w:rPr>
              <w:t>中心网站</w:t>
            </w:r>
            <w:r>
              <w:rPr>
                <w:rFonts w:hint="eastAsia" w:ascii="宋体" w:hAnsi="宋体" w:eastAsia="宋体" w:cs="宋体"/>
                <w:color w:val="auto"/>
                <w:spacing w:val="-2"/>
                <w:highlight w:val="none"/>
                <w:lang w:eastAsia="zh-CN"/>
              </w:rPr>
              <w:t>、</w:t>
            </w:r>
            <w:r>
              <w:rPr>
                <w:rFonts w:hint="eastAsia" w:ascii="宋体" w:hAnsi="宋体" w:eastAsia="宋体" w:cs="宋体"/>
                <w:color w:val="auto"/>
                <w:spacing w:val="-2"/>
                <w:highlight w:val="none"/>
                <w:u w:val="single"/>
              </w:rPr>
              <w:t>中国招标投标公共服务平台</w:t>
            </w:r>
            <w:r>
              <w:rPr>
                <w:color w:val="auto"/>
                <w:spacing w:val="-3"/>
                <w:highlight w:val="none"/>
              </w:rPr>
              <w:t>发布公告延长上述投标人家数不足的标段投标登记和获取招标文件时间，在延</w:t>
            </w:r>
            <w:r>
              <w:rPr>
                <w:color w:val="auto"/>
                <w:spacing w:val="3"/>
                <w:highlight w:val="none"/>
              </w:rPr>
              <w:t>期投标登记和获取招标文件时间内，已投标登记投标人的资料仍有效并可自行补充资</w:t>
            </w:r>
            <w:r>
              <w:rPr>
                <w:color w:val="auto"/>
                <w:highlight w:val="none"/>
              </w:rPr>
              <w:t>料，未投标登记的投标人可根据公告的约定进行投标登记并获取招标文件</w:t>
            </w:r>
            <w:r>
              <w:rPr>
                <w:color w:val="auto"/>
                <w:spacing w:val="2"/>
                <w:highlight w:val="none"/>
              </w:rPr>
              <w:t>；（</w:t>
            </w:r>
            <w:r>
              <w:rPr>
                <w:color w:val="auto"/>
                <w:highlight w:val="none"/>
              </w:rPr>
              <w:t>2）对上</w:t>
            </w:r>
            <w:r>
              <w:rPr>
                <w:color w:val="auto"/>
                <w:spacing w:val="-1"/>
                <w:highlight w:val="none"/>
              </w:rPr>
              <w:t>述投标人家数不足的标段依法重新组织招标</w:t>
            </w:r>
            <w:r>
              <w:rPr>
                <w:color w:val="auto"/>
                <w:spacing w:val="-2"/>
                <w:highlight w:val="none"/>
              </w:rPr>
              <w:t>或依法开展后续工作。</w:t>
            </w:r>
          </w:p>
          <w:p w14:paraId="7860C912">
            <w:pPr>
              <w:pStyle w:val="17"/>
              <w:spacing w:before="150" w:line="220" w:lineRule="auto"/>
              <w:ind w:left="117"/>
              <w:rPr>
                <w:color w:val="auto"/>
                <w:highlight w:val="none"/>
                <w:u w:val="none" w:color="auto"/>
              </w:rPr>
            </w:pPr>
            <w:r>
              <w:rPr>
                <w:color w:val="auto"/>
                <w:spacing w:val="-4"/>
                <w:highlight w:val="none"/>
              </w:rPr>
              <w:t>9</w:t>
            </w:r>
            <w:r>
              <w:rPr>
                <w:color w:val="auto"/>
                <w:spacing w:val="-4"/>
                <w:highlight w:val="none"/>
                <w:u w:val="none" w:color="auto"/>
              </w:rPr>
              <w:t>、受理异议的联系人和联系方式：</w:t>
            </w:r>
          </w:p>
          <w:p w14:paraId="2B81CFEB">
            <w:pPr>
              <w:pStyle w:val="17"/>
              <w:spacing w:before="151" w:line="220" w:lineRule="auto"/>
              <w:ind w:left="119"/>
              <w:rPr>
                <w:rFonts w:hint="eastAsia"/>
                <w:color w:val="auto"/>
                <w:spacing w:val="-2"/>
                <w:highlight w:val="none"/>
                <w:u w:val="single" w:color="auto"/>
                <w:lang w:val="en-US" w:eastAsia="zh-CN"/>
              </w:rPr>
            </w:pPr>
            <w:r>
              <w:rPr>
                <w:color w:val="auto"/>
                <w:spacing w:val="-2"/>
                <w:highlight w:val="none"/>
                <w:u w:val="none" w:color="auto"/>
              </w:rPr>
              <w:t>异议受理部门：</w:t>
            </w:r>
            <w:r>
              <w:rPr>
                <w:rFonts w:hint="eastAsia"/>
                <w:color w:val="auto"/>
                <w:spacing w:val="-2"/>
                <w:highlight w:val="none"/>
                <w:u w:val="single" w:color="auto"/>
                <w:lang w:val="en-US" w:eastAsia="zh-CN"/>
              </w:rPr>
              <w:t>广州市增城区正果镇人民政府</w:t>
            </w:r>
          </w:p>
          <w:p w14:paraId="216E8143">
            <w:pPr>
              <w:pStyle w:val="17"/>
              <w:spacing w:before="150" w:line="221" w:lineRule="auto"/>
              <w:ind w:left="117"/>
              <w:rPr>
                <w:rFonts w:hint="eastAsia" w:ascii="宋体" w:hAnsi="宋体" w:eastAsia="宋体" w:cs="宋体"/>
                <w:color w:val="auto"/>
                <w:spacing w:val="-2"/>
                <w:highlight w:val="none"/>
                <w:u w:val="none" w:color="auto"/>
                <w:lang w:val="en-US" w:eastAsia="zh-CN"/>
              </w:rPr>
            </w:pPr>
            <w:r>
              <w:rPr>
                <w:color w:val="auto"/>
                <w:spacing w:val="-12"/>
                <w:highlight w:val="none"/>
                <w:u w:val="none" w:color="auto"/>
              </w:rPr>
              <w:t>联</w:t>
            </w:r>
            <w:r>
              <w:rPr>
                <w:color w:val="auto"/>
                <w:spacing w:val="13"/>
                <w:highlight w:val="none"/>
                <w:u w:val="none" w:color="auto"/>
              </w:rPr>
              <w:t xml:space="preserve"> </w:t>
            </w:r>
            <w:r>
              <w:rPr>
                <w:color w:val="auto"/>
                <w:spacing w:val="-12"/>
                <w:highlight w:val="none"/>
                <w:u w:val="none" w:color="auto"/>
              </w:rPr>
              <w:t>系</w:t>
            </w:r>
            <w:r>
              <w:rPr>
                <w:color w:val="auto"/>
                <w:spacing w:val="9"/>
                <w:highlight w:val="none"/>
                <w:u w:val="none" w:color="auto"/>
              </w:rPr>
              <w:t xml:space="preserve"> </w:t>
            </w:r>
            <w:r>
              <w:rPr>
                <w:color w:val="auto"/>
                <w:spacing w:val="-12"/>
                <w:highlight w:val="none"/>
                <w:u w:val="none" w:color="auto"/>
              </w:rPr>
              <w:t>方</w:t>
            </w:r>
            <w:r>
              <w:rPr>
                <w:color w:val="auto"/>
                <w:spacing w:val="12"/>
                <w:highlight w:val="none"/>
                <w:u w:val="none" w:color="auto"/>
              </w:rPr>
              <w:t xml:space="preserve"> </w:t>
            </w:r>
            <w:r>
              <w:rPr>
                <w:color w:val="auto"/>
                <w:spacing w:val="-12"/>
                <w:highlight w:val="none"/>
                <w:u w:val="none" w:color="auto"/>
              </w:rPr>
              <w:t>式</w:t>
            </w:r>
            <w:r>
              <w:rPr>
                <w:color w:val="auto"/>
                <w:spacing w:val="27"/>
                <w:highlight w:val="none"/>
                <w:u w:val="none" w:color="auto"/>
              </w:rPr>
              <w:t xml:space="preserve"> </w:t>
            </w:r>
            <w:r>
              <w:rPr>
                <w:color w:val="auto"/>
                <w:spacing w:val="-12"/>
                <w:highlight w:val="none"/>
                <w:u w:val="none" w:color="auto"/>
              </w:rPr>
              <w:t>：</w:t>
            </w:r>
            <w:r>
              <w:rPr>
                <w:rFonts w:hint="eastAsia" w:ascii="宋体" w:hAnsi="宋体" w:eastAsia="宋体" w:cs="宋体"/>
                <w:color w:val="auto"/>
                <w:spacing w:val="-2"/>
                <w:highlight w:val="none"/>
                <w:u w:val="single" w:color="auto"/>
                <w:lang w:val="en-US" w:eastAsia="zh-CN"/>
              </w:rPr>
              <w:t xml:space="preserve"> 020-82812260</w:t>
            </w:r>
            <w:r>
              <w:rPr>
                <w:rFonts w:hint="eastAsia" w:ascii="宋体" w:hAnsi="宋体" w:eastAsia="宋体" w:cs="宋体"/>
                <w:color w:val="auto"/>
                <w:spacing w:val="-2"/>
                <w:highlight w:val="none"/>
                <w:u w:val="none" w:color="auto"/>
                <w:lang w:val="en-US" w:eastAsia="zh-CN"/>
              </w:rPr>
              <w:t xml:space="preserve">           </w:t>
            </w:r>
          </w:p>
          <w:p w14:paraId="3A8925E4">
            <w:pPr>
              <w:pStyle w:val="17"/>
              <w:spacing w:before="135" w:line="292" w:lineRule="auto"/>
              <w:ind w:left="126" w:right="110" w:hanging="8"/>
              <w:rPr>
                <w:color w:val="auto"/>
                <w:highlight w:val="none"/>
              </w:rPr>
            </w:pPr>
            <w:bookmarkStart w:id="3" w:name="_Toc7663"/>
            <w:bookmarkStart w:id="4" w:name="_Toc13897"/>
            <w:bookmarkStart w:id="5" w:name="_Toc27669"/>
            <w:bookmarkStart w:id="6" w:name="_Toc22320"/>
            <w:bookmarkStart w:id="7" w:name="_Toc514924096"/>
            <w:r>
              <w:rPr>
                <w:rFonts w:hint="eastAsia" w:ascii="宋体" w:hAnsi="宋体" w:eastAsia="宋体" w:cs="宋体"/>
                <w:color w:val="auto"/>
                <w:spacing w:val="-12"/>
                <w:highlight w:val="none"/>
                <w:u w:val="none" w:color="auto"/>
                <w:lang w:eastAsia="zh-CN"/>
              </w:rPr>
              <w:t>联系人：</w:t>
            </w:r>
            <w:bookmarkEnd w:id="3"/>
            <w:bookmarkEnd w:id="4"/>
            <w:bookmarkEnd w:id="5"/>
            <w:bookmarkEnd w:id="6"/>
            <w:bookmarkEnd w:id="7"/>
            <w:r>
              <w:rPr>
                <w:rFonts w:hint="eastAsia" w:ascii="宋体" w:hAnsi="宋体" w:eastAsia="宋体" w:cs="宋体"/>
                <w:color w:val="auto"/>
                <w:spacing w:val="-2"/>
                <w:highlight w:val="none"/>
                <w:u w:val="single" w:color="auto"/>
                <w:lang w:val="en-US" w:eastAsia="zh-CN"/>
              </w:rPr>
              <w:t>尹工</w:t>
            </w:r>
          </w:p>
        </w:tc>
      </w:tr>
    </w:tbl>
    <w:p w14:paraId="3DF25706">
      <w:pPr>
        <w:spacing w:line="234" w:lineRule="exact"/>
        <w:rPr>
          <w:color w:val="auto"/>
          <w:highlight w:val="none"/>
        </w:rPr>
      </w:pPr>
    </w:p>
    <w:p w14:paraId="4DDE66D6">
      <w:pPr>
        <w:spacing w:before="126" w:line="218" w:lineRule="auto"/>
        <w:ind w:left="1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招标公告附件</w:t>
      </w:r>
    </w:p>
    <w:p w14:paraId="14EBAA61">
      <w:pPr>
        <w:spacing w:before="219" w:line="219" w:lineRule="auto"/>
        <w:ind w:left="1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1：标段的划分及主要工程项目情况</w:t>
      </w:r>
    </w:p>
    <w:p w14:paraId="624EB127">
      <w:pPr>
        <w:spacing w:before="187" w:line="241" w:lineRule="auto"/>
        <w:ind w:left="1440"/>
        <w:rPr>
          <w:rFonts w:ascii="宋体" w:hAnsi="宋体" w:eastAsia="宋体" w:cs="宋体"/>
          <w:color w:val="auto"/>
          <w:sz w:val="12"/>
          <w:szCs w:val="12"/>
          <w:highlight w:val="none"/>
        </w:rPr>
      </w:pPr>
      <w:r>
        <w:rPr>
          <w:rFonts w:ascii="宋体" w:hAnsi="宋体" w:eastAsia="宋体" w:cs="宋体"/>
          <w:color w:val="auto"/>
          <w:spacing w:val="-2"/>
          <w:sz w:val="21"/>
          <w:szCs w:val="21"/>
          <w:highlight w:val="none"/>
        </w:rPr>
        <w:t>附件</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2：招标文件（含资格审查条件、评标办法）</w:t>
      </w:r>
    </w:p>
    <w:p w14:paraId="0F47A850">
      <w:pPr>
        <w:pStyle w:val="3"/>
        <w:spacing w:line="246" w:lineRule="auto"/>
        <w:rPr>
          <w:color w:val="auto"/>
          <w:highlight w:val="none"/>
        </w:rPr>
      </w:pPr>
    </w:p>
    <w:p w14:paraId="757E9229">
      <w:pPr>
        <w:pStyle w:val="3"/>
        <w:spacing w:line="246" w:lineRule="auto"/>
        <w:rPr>
          <w:color w:val="auto"/>
          <w:highlight w:val="none"/>
        </w:rPr>
      </w:pPr>
    </w:p>
    <w:p w14:paraId="1184E057">
      <w:pPr>
        <w:pStyle w:val="3"/>
        <w:spacing w:line="246" w:lineRule="auto"/>
        <w:rPr>
          <w:color w:val="auto"/>
          <w:highlight w:val="none"/>
        </w:rPr>
      </w:pPr>
    </w:p>
    <w:p w14:paraId="6D71A29C">
      <w:pPr>
        <w:pStyle w:val="3"/>
        <w:spacing w:line="246" w:lineRule="auto"/>
        <w:rPr>
          <w:color w:val="auto"/>
          <w:highlight w:val="none"/>
        </w:rPr>
      </w:pPr>
    </w:p>
    <w:p w14:paraId="105FE1FF">
      <w:pPr>
        <w:pStyle w:val="3"/>
        <w:spacing w:line="246" w:lineRule="auto"/>
        <w:rPr>
          <w:color w:val="auto"/>
          <w:highlight w:val="none"/>
        </w:rPr>
      </w:pPr>
    </w:p>
    <w:p w14:paraId="31CC9030">
      <w:pPr>
        <w:pStyle w:val="3"/>
        <w:spacing w:line="246" w:lineRule="auto"/>
        <w:rPr>
          <w:color w:val="auto"/>
          <w:highlight w:val="none"/>
        </w:rPr>
      </w:pPr>
    </w:p>
    <w:p w14:paraId="2AC80935">
      <w:pPr>
        <w:pStyle w:val="3"/>
        <w:spacing w:line="246" w:lineRule="auto"/>
        <w:rPr>
          <w:color w:val="auto"/>
          <w:highlight w:val="none"/>
        </w:rPr>
      </w:pPr>
    </w:p>
    <w:p w14:paraId="375466F7">
      <w:pPr>
        <w:pStyle w:val="3"/>
        <w:spacing w:line="246" w:lineRule="auto"/>
        <w:rPr>
          <w:color w:val="auto"/>
          <w:highlight w:val="none"/>
        </w:rPr>
      </w:pPr>
    </w:p>
    <w:p w14:paraId="2AA94600">
      <w:pPr>
        <w:pStyle w:val="3"/>
        <w:spacing w:line="246" w:lineRule="auto"/>
        <w:rPr>
          <w:color w:val="auto"/>
          <w:highlight w:val="none"/>
        </w:rPr>
      </w:pPr>
    </w:p>
    <w:p w14:paraId="47048BC7">
      <w:pPr>
        <w:pStyle w:val="3"/>
        <w:spacing w:line="246" w:lineRule="auto"/>
        <w:rPr>
          <w:color w:val="auto"/>
          <w:highlight w:val="none"/>
        </w:rPr>
      </w:pPr>
    </w:p>
    <w:p w14:paraId="783E2B63">
      <w:pPr>
        <w:pStyle w:val="3"/>
        <w:spacing w:line="246" w:lineRule="auto"/>
        <w:rPr>
          <w:color w:val="auto"/>
          <w:highlight w:val="none"/>
        </w:rPr>
      </w:pPr>
    </w:p>
    <w:p w14:paraId="22A82280">
      <w:pPr>
        <w:pStyle w:val="3"/>
        <w:spacing w:line="246" w:lineRule="auto"/>
        <w:rPr>
          <w:color w:val="auto"/>
          <w:highlight w:val="none"/>
        </w:rPr>
      </w:pPr>
    </w:p>
    <w:p w14:paraId="03DA56EA">
      <w:pPr>
        <w:pStyle w:val="3"/>
        <w:spacing w:line="247" w:lineRule="auto"/>
        <w:rPr>
          <w:color w:val="auto"/>
          <w:highlight w:val="none"/>
        </w:rPr>
      </w:pPr>
    </w:p>
    <w:p w14:paraId="791B74EF">
      <w:pPr>
        <w:pStyle w:val="3"/>
        <w:spacing w:line="247" w:lineRule="auto"/>
        <w:rPr>
          <w:color w:val="auto"/>
          <w:highlight w:val="none"/>
        </w:rPr>
      </w:pPr>
    </w:p>
    <w:p w14:paraId="52E035A7">
      <w:pPr>
        <w:pStyle w:val="3"/>
        <w:spacing w:line="247" w:lineRule="auto"/>
        <w:rPr>
          <w:color w:val="auto"/>
          <w:highlight w:val="none"/>
        </w:rPr>
      </w:pPr>
    </w:p>
    <w:p w14:paraId="3D8792B1">
      <w:pPr>
        <w:pStyle w:val="3"/>
        <w:spacing w:line="247" w:lineRule="auto"/>
        <w:rPr>
          <w:color w:val="auto"/>
          <w:highlight w:val="none"/>
        </w:rPr>
      </w:pPr>
    </w:p>
    <w:p w14:paraId="69798D6B">
      <w:pPr>
        <w:pStyle w:val="3"/>
        <w:spacing w:line="247" w:lineRule="auto"/>
        <w:rPr>
          <w:color w:val="auto"/>
          <w:highlight w:val="none"/>
        </w:rPr>
      </w:pPr>
    </w:p>
    <w:p w14:paraId="070ED12C">
      <w:pPr>
        <w:pStyle w:val="3"/>
        <w:spacing w:line="247" w:lineRule="auto"/>
        <w:rPr>
          <w:color w:val="auto"/>
          <w:highlight w:val="none"/>
        </w:rPr>
      </w:pPr>
    </w:p>
    <w:p w14:paraId="7ADAA0E8">
      <w:pPr>
        <w:pStyle w:val="3"/>
        <w:spacing w:line="247" w:lineRule="auto"/>
        <w:rPr>
          <w:color w:val="auto"/>
          <w:highlight w:val="none"/>
        </w:rPr>
      </w:pPr>
    </w:p>
    <w:p w14:paraId="229D0400">
      <w:pPr>
        <w:pStyle w:val="3"/>
        <w:spacing w:line="247" w:lineRule="auto"/>
        <w:rPr>
          <w:color w:val="auto"/>
          <w:highlight w:val="none"/>
        </w:rPr>
      </w:pPr>
    </w:p>
    <w:p w14:paraId="007EBF25">
      <w:pPr>
        <w:pStyle w:val="3"/>
        <w:spacing w:line="247" w:lineRule="auto"/>
        <w:rPr>
          <w:color w:val="auto"/>
          <w:highlight w:val="none"/>
        </w:rPr>
      </w:pPr>
    </w:p>
    <w:p w14:paraId="028250D0">
      <w:pPr>
        <w:pStyle w:val="3"/>
        <w:spacing w:line="247" w:lineRule="auto"/>
        <w:rPr>
          <w:color w:val="auto"/>
          <w:highlight w:val="none"/>
        </w:rPr>
      </w:pPr>
    </w:p>
    <w:p w14:paraId="295D78BC">
      <w:pPr>
        <w:pStyle w:val="3"/>
        <w:spacing w:line="247" w:lineRule="auto"/>
        <w:rPr>
          <w:color w:val="auto"/>
          <w:highlight w:val="none"/>
        </w:rPr>
      </w:pPr>
    </w:p>
    <w:p w14:paraId="06777225">
      <w:pPr>
        <w:pStyle w:val="3"/>
        <w:spacing w:line="267" w:lineRule="auto"/>
        <w:rPr>
          <w:color w:val="auto"/>
          <w:highlight w:val="none"/>
        </w:rPr>
      </w:pPr>
    </w:p>
    <w:p w14:paraId="497BA524">
      <w:pPr>
        <w:spacing w:before="78" w:line="219" w:lineRule="auto"/>
        <w:ind w:left="1444"/>
        <w:rPr>
          <w:rFonts w:ascii="宋体" w:hAnsi="宋体" w:eastAsia="宋体" w:cs="宋体"/>
          <w:color w:val="auto"/>
          <w:spacing w:val="-4"/>
          <w:sz w:val="24"/>
          <w:szCs w:val="24"/>
          <w:highlight w:val="none"/>
        </w:rPr>
      </w:pPr>
      <w:bookmarkStart w:id="8" w:name="bookmark20"/>
      <w:bookmarkEnd w:id="8"/>
    </w:p>
    <w:p w14:paraId="0BFB1B9F">
      <w:pPr>
        <w:spacing w:before="78" w:line="219" w:lineRule="auto"/>
        <w:ind w:left="1444"/>
        <w:rPr>
          <w:rFonts w:ascii="宋体" w:hAnsi="宋体" w:eastAsia="宋体" w:cs="宋体"/>
          <w:color w:val="auto"/>
          <w:spacing w:val="-4"/>
          <w:sz w:val="24"/>
          <w:szCs w:val="24"/>
          <w:highlight w:val="none"/>
        </w:rPr>
      </w:pPr>
    </w:p>
    <w:p w14:paraId="0374391E">
      <w:pPr>
        <w:spacing w:before="78" w:line="219" w:lineRule="auto"/>
        <w:ind w:left="1444"/>
        <w:rPr>
          <w:rFonts w:ascii="宋体" w:hAnsi="宋体" w:eastAsia="宋体" w:cs="宋体"/>
          <w:color w:val="auto"/>
          <w:spacing w:val="-4"/>
          <w:sz w:val="24"/>
          <w:szCs w:val="24"/>
          <w:highlight w:val="none"/>
        </w:rPr>
      </w:pPr>
    </w:p>
    <w:p w14:paraId="6FFADBC7">
      <w:pPr>
        <w:spacing w:before="78" w:line="219" w:lineRule="auto"/>
        <w:ind w:left="1444"/>
        <w:rPr>
          <w:rFonts w:ascii="宋体" w:hAnsi="宋体" w:eastAsia="宋体" w:cs="宋体"/>
          <w:color w:val="auto"/>
          <w:spacing w:val="-4"/>
          <w:sz w:val="24"/>
          <w:szCs w:val="24"/>
          <w:highlight w:val="none"/>
        </w:rPr>
      </w:pPr>
    </w:p>
    <w:p w14:paraId="67A5665B">
      <w:pPr>
        <w:spacing w:before="78" w:line="219" w:lineRule="auto"/>
        <w:ind w:left="1444"/>
        <w:rPr>
          <w:rFonts w:ascii="宋体" w:hAnsi="宋体" w:eastAsia="宋体" w:cs="宋体"/>
          <w:color w:val="auto"/>
          <w:spacing w:val="-4"/>
          <w:sz w:val="24"/>
          <w:szCs w:val="24"/>
          <w:highlight w:val="none"/>
        </w:rPr>
      </w:pPr>
    </w:p>
    <w:p w14:paraId="189FF8B4">
      <w:pPr>
        <w:spacing w:before="78" w:line="219" w:lineRule="auto"/>
        <w:ind w:left="1444"/>
        <w:rPr>
          <w:rFonts w:ascii="宋体" w:hAnsi="宋体" w:eastAsia="宋体" w:cs="宋体"/>
          <w:color w:val="auto"/>
          <w:spacing w:val="-4"/>
          <w:sz w:val="24"/>
          <w:szCs w:val="24"/>
          <w:highlight w:val="none"/>
        </w:rPr>
      </w:pPr>
    </w:p>
    <w:p w14:paraId="73BEC5B1">
      <w:pPr>
        <w:spacing w:before="78" w:line="219" w:lineRule="auto"/>
        <w:ind w:left="1444"/>
        <w:rPr>
          <w:rFonts w:ascii="宋体" w:hAnsi="宋体" w:eastAsia="宋体" w:cs="宋体"/>
          <w:color w:val="auto"/>
          <w:spacing w:val="-4"/>
          <w:sz w:val="24"/>
          <w:szCs w:val="24"/>
          <w:highlight w:val="none"/>
        </w:rPr>
      </w:pPr>
    </w:p>
    <w:p w14:paraId="34617888">
      <w:pPr>
        <w:spacing w:before="78" w:line="219" w:lineRule="auto"/>
        <w:ind w:left="1444"/>
        <w:rPr>
          <w:rFonts w:ascii="宋体" w:hAnsi="宋体" w:eastAsia="宋体" w:cs="宋体"/>
          <w:color w:val="auto"/>
          <w:spacing w:val="-4"/>
          <w:sz w:val="24"/>
          <w:szCs w:val="24"/>
          <w:highlight w:val="none"/>
        </w:rPr>
      </w:pPr>
    </w:p>
    <w:p w14:paraId="7A6EEB78">
      <w:pPr>
        <w:spacing w:before="78" w:line="219" w:lineRule="auto"/>
        <w:ind w:left="1444"/>
        <w:rPr>
          <w:rFonts w:ascii="宋体" w:hAnsi="宋体" w:eastAsia="宋体" w:cs="宋体"/>
          <w:color w:val="auto"/>
          <w:spacing w:val="-4"/>
          <w:sz w:val="24"/>
          <w:szCs w:val="24"/>
          <w:highlight w:val="none"/>
        </w:rPr>
      </w:pPr>
    </w:p>
    <w:p w14:paraId="75771795">
      <w:pPr>
        <w:spacing w:before="78" w:line="219" w:lineRule="auto"/>
        <w:ind w:left="144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附件</w:t>
      </w:r>
      <w:r>
        <w:rPr>
          <w:rFonts w:ascii="宋体" w:hAnsi="宋体" w:eastAsia="宋体" w:cs="宋体"/>
          <w:color w:val="auto"/>
          <w:spacing w:val="-20"/>
          <w:sz w:val="24"/>
          <w:szCs w:val="24"/>
          <w:highlight w:val="none"/>
        </w:rPr>
        <w:t xml:space="preserve"> </w:t>
      </w:r>
      <w:r>
        <w:rPr>
          <w:rFonts w:ascii="宋体" w:hAnsi="宋体" w:eastAsia="宋体" w:cs="宋体"/>
          <w:color w:val="auto"/>
          <w:spacing w:val="-4"/>
          <w:sz w:val="24"/>
          <w:szCs w:val="24"/>
          <w:highlight w:val="none"/>
        </w:rPr>
        <w:t>1：标段划分及主要工程项目情况</w:t>
      </w:r>
    </w:p>
    <w:p w14:paraId="2EA08358">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本次招标共分</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1</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3"/>
          <w:sz w:val="24"/>
          <w:szCs w:val="24"/>
          <w:highlight w:val="none"/>
        </w:rPr>
        <w:t>个标类</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1</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3"/>
          <w:sz w:val="24"/>
          <w:szCs w:val="24"/>
          <w:highlight w:val="none"/>
        </w:rPr>
        <w:t>个标段。</w:t>
      </w:r>
    </w:p>
    <w:p w14:paraId="534B205C">
      <w:pPr>
        <w:spacing w:line="70" w:lineRule="exact"/>
        <w:rPr>
          <w:color w:val="auto"/>
          <w:highlight w:val="none"/>
        </w:rPr>
      </w:pPr>
    </w:p>
    <w:tbl>
      <w:tblPr>
        <w:tblStyle w:val="16"/>
        <w:tblW w:w="9586" w:type="dxa"/>
        <w:tblInd w:w="11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8"/>
        <w:gridCol w:w="655"/>
        <w:gridCol w:w="1241"/>
        <w:gridCol w:w="936"/>
        <w:gridCol w:w="2391"/>
        <w:gridCol w:w="1227"/>
        <w:gridCol w:w="1458"/>
      </w:tblGrid>
      <w:tr w14:paraId="3E15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678" w:type="dxa"/>
            <w:tcBorders>
              <w:bottom w:val="single" w:color="auto" w:sz="4" w:space="0"/>
            </w:tcBorders>
            <w:vAlign w:val="center"/>
          </w:tcPr>
          <w:p w14:paraId="50AD151C">
            <w:pPr>
              <w:pStyle w:val="17"/>
              <w:spacing w:before="281" w:line="220" w:lineRule="auto"/>
              <w:jc w:val="center"/>
              <w:rPr>
                <w:color w:val="auto"/>
                <w:sz w:val="24"/>
                <w:szCs w:val="24"/>
                <w:highlight w:val="none"/>
              </w:rPr>
            </w:pPr>
            <w:r>
              <w:rPr>
                <w:color w:val="auto"/>
                <w:spacing w:val="-2"/>
                <w:sz w:val="24"/>
                <w:szCs w:val="24"/>
                <w:highlight w:val="none"/>
              </w:rPr>
              <w:t>标段类别</w:t>
            </w:r>
          </w:p>
        </w:tc>
        <w:tc>
          <w:tcPr>
            <w:tcW w:w="655" w:type="dxa"/>
            <w:tcBorders>
              <w:bottom w:val="single" w:color="auto" w:sz="4" w:space="0"/>
            </w:tcBorders>
            <w:textDirection w:val="tbRlV"/>
            <w:vAlign w:val="center"/>
          </w:tcPr>
          <w:p w14:paraId="6A3A0AD1">
            <w:pPr>
              <w:pStyle w:val="17"/>
              <w:spacing w:before="179" w:line="208" w:lineRule="auto"/>
              <w:jc w:val="center"/>
              <w:rPr>
                <w:color w:val="auto"/>
                <w:sz w:val="24"/>
                <w:szCs w:val="24"/>
                <w:highlight w:val="none"/>
              </w:rPr>
            </w:pPr>
            <w:r>
              <w:rPr>
                <w:color w:val="auto"/>
                <w:sz w:val="24"/>
                <w:szCs w:val="24"/>
                <w:highlight w:val="none"/>
              </w:rPr>
              <w:t>标</w:t>
            </w:r>
            <w:r>
              <w:rPr>
                <w:color w:val="auto"/>
                <w:spacing w:val="-48"/>
                <w:sz w:val="24"/>
                <w:szCs w:val="24"/>
                <w:highlight w:val="none"/>
              </w:rPr>
              <w:t xml:space="preserve"> </w:t>
            </w:r>
            <w:r>
              <w:rPr>
                <w:color w:val="auto"/>
                <w:sz w:val="24"/>
                <w:szCs w:val="24"/>
                <w:highlight w:val="none"/>
              </w:rPr>
              <w:t>段</w:t>
            </w:r>
          </w:p>
        </w:tc>
        <w:tc>
          <w:tcPr>
            <w:tcW w:w="1241" w:type="dxa"/>
            <w:tcBorders>
              <w:bottom w:val="single" w:color="auto" w:sz="4" w:space="0"/>
            </w:tcBorders>
            <w:vAlign w:val="center"/>
          </w:tcPr>
          <w:p w14:paraId="4D89C415">
            <w:pPr>
              <w:pStyle w:val="17"/>
              <w:spacing w:before="126" w:line="220" w:lineRule="auto"/>
              <w:ind w:left="122"/>
              <w:jc w:val="center"/>
              <w:rPr>
                <w:color w:val="auto"/>
                <w:sz w:val="24"/>
                <w:szCs w:val="24"/>
                <w:highlight w:val="none"/>
              </w:rPr>
            </w:pPr>
            <w:r>
              <w:rPr>
                <w:color w:val="auto"/>
                <w:spacing w:val="-3"/>
                <w:sz w:val="24"/>
                <w:szCs w:val="24"/>
                <w:highlight w:val="none"/>
              </w:rPr>
              <w:t>起讫</w:t>
            </w:r>
          </w:p>
          <w:p w14:paraId="69E12F75">
            <w:pPr>
              <w:pStyle w:val="17"/>
              <w:spacing w:before="25" w:line="220" w:lineRule="auto"/>
              <w:ind w:left="121"/>
              <w:jc w:val="center"/>
              <w:rPr>
                <w:color w:val="auto"/>
                <w:sz w:val="24"/>
                <w:szCs w:val="24"/>
                <w:highlight w:val="none"/>
              </w:rPr>
            </w:pPr>
            <w:r>
              <w:rPr>
                <w:color w:val="auto"/>
                <w:spacing w:val="-3"/>
                <w:sz w:val="24"/>
                <w:szCs w:val="24"/>
                <w:highlight w:val="none"/>
              </w:rPr>
              <w:t>桩号</w:t>
            </w:r>
          </w:p>
        </w:tc>
        <w:tc>
          <w:tcPr>
            <w:tcW w:w="936" w:type="dxa"/>
            <w:tcBorders>
              <w:bottom w:val="single" w:color="auto" w:sz="4" w:space="0"/>
            </w:tcBorders>
            <w:vAlign w:val="center"/>
          </w:tcPr>
          <w:p w14:paraId="072752C3">
            <w:pPr>
              <w:pStyle w:val="17"/>
              <w:spacing w:before="124" w:line="244" w:lineRule="auto"/>
              <w:ind w:left="171" w:right="125" w:hanging="41"/>
              <w:jc w:val="center"/>
              <w:rPr>
                <w:color w:val="auto"/>
                <w:sz w:val="24"/>
                <w:szCs w:val="24"/>
                <w:highlight w:val="none"/>
              </w:rPr>
            </w:pPr>
            <w:r>
              <w:rPr>
                <w:color w:val="auto"/>
                <w:spacing w:val="-6"/>
                <w:sz w:val="24"/>
                <w:szCs w:val="24"/>
                <w:highlight w:val="none"/>
              </w:rPr>
              <w:t>长度</w:t>
            </w:r>
            <w:r>
              <w:rPr>
                <w:color w:val="auto"/>
                <w:spacing w:val="-13"/>
                <w:sz w:val="24"/>
                <w:szCs w:val="24"/>
                <w:highlight w:val="none"/>
              </w:rPr>
              <w:t>(km)</w:t>
            </w:r>
          </w:p>
        </w:tc>
        <w:tc>
          <w:tcPr>
            <w:tcW w:w="2391" w:type="dxa"/>
            <w:tcBorders>
              <w:bottom w:val="single" w:color="auto" w:sz="4" w:space="0"/>
            </w:tcBorders>
            <w:vAlign w:val="center"/>
          </w:tcPr>
          <w:p w14:paraId="7EADFED3">
            <w:pPr>
              <w:pStyle w:val="17"/>
              <w:spacing w:before="126" w:line="220" w:lineRule="auto"/>
              <w:ind w:left="209"/>
              <w:jc w:val="center"/>
              <w:rPr>
                <w:color w:val="auto"/>
                <w:sz w:val="24"/>
                <w:szCs w:val="24"/>
                <w:highlight w:val="none"/>
              </w:rPr>
            </w:pPr>
            <w:r>
              <w:rPr>
                <w:color w:val="auto"/>
                <w:spacing w:val="-3"/>
                <w:sz w:val="24"/>
                <w:szCs w:val="24"/>
                <w:highlight w:val="none"/>
              </w:rPr>
              <w:t>主要工</w:t>
            </w:r>
          </w:p>
          <w:p w14:paraId="3F4FACB8">
            <w:pPr>
              <w:pStyle w:val="17"/>
              <w:spacing w:before="25" w:line="220" w:lineRule="auto"/>
              <w:ind w:left="207"/>
              <w:jc w:val="center"/>
              <w:rPr>
                <w:color w:val="auto"/>
                <w:sz w:val="24"/>
                <w:szCs w:val="24"/>
                <w:highlight w:val="none"/>
              </w:rPr>
            </w:pPr>
            <w:r>
              <w:rPr>
                <w:color w:val="auto"/>
                <w:spacing w:val="-2"/>
                <w:sz w:val="24"/>
                <w:szCs w:val="24"/>
                <w:highlight w:val="none"/>
              </w:rPr>
              <w:t>程项目</w:t>
            </w:r>
          </w:p>
        </w:tc>
        <w:tc>
          <w:tcPr>
            <w:tcW w:w="1227" w:type="dxa"/>
            <w:tcBorders>
              <w:bottom w:val="single" w:color="auto" w:sz="4" w:space="0"/>
            </w:tcBorders>
            <w:vAlign w:val="center"/>
          </w:tcPr>
          <w:p w14:paraId="00DA106A">
            <w:pPr>
              <w:pStyle w:val="17"/>
              <w:spacing w:before="127" w:line="242" w:lineRule="auto"/>
              <w:ind w:right="151"/>
              <w:jc w:val="center"/>
              <w:rPr>
                <w:color w:val="auto"/>
                <w:sz w:val="24"/>
                <w:szCs w:val="24"/>
                <w:highlight w:val="none"/>
              </w:rPr>
            </w:pPr>
            <w:r>
              <w:rPr>
                <w:color w:val="auto"/>
                <w:spacing w:val="-2"/>
                <w:sz w:val="24"/>
                <w:szCs w:val="24"/>
                <w:highlight w:val="none"/>
              </w:rPr>
              <w:t>对投标人资</w:t>
            </w:r>
            <w:r>
              <w:rPr>
                <w:color w:val="auto"/>
                <w:spacing w:val="-3"/>
                <w:sz w:val="24"/>
                <w:szCs w:val="24"/>
                <w:highlight w:val="none"/>
              </w:rPr>
              <w:t>质要求</w:t>
            </w:r>
          </w:p>
        </w:tc>
        <w:tc>
          <w:tcPr>
            <w:tcW w:w="1458" w:type="dxa"/>
            <w:tcBorders>
              <w:bottom w:val="single" w:color="auto" w:sz="4" w:space="0"/>
            </w:tcBorders>
            <w:vAlign w:val="center"/>
          </w:tcPr>
          <w:p w14:paraId="2AD5375A">
            <w:pPr>
              <w:pStyle w:val="17"/>
              <w:spacing w:before="281" w:line="221" w:lineRule="auto"/>
              <w:jc w:val="center"/>
              <w:rPr>
                <w:color w:val="auto"/>
                <w:sz w:val="24"/>
                <w:szCs w:val="24"/>
                <w:highlight w:val="none"/>
              </w:rPr>
            </w:pPr>
            <w:r>
              <w:rPr>
                <w:color w:val="auto"/>
                <w:spacing w:val="-4"/>
                <w:sz w:val="24"/>
                <w:szCs w:val="24"/>
                <w:highlight w:val="none"/>
              </w:rPr>
              <w:t>备注</w:t>
            </w:r>
          </w:p>
        </w:tc>
      </w:tr>
      <w:tr w14:paraId="238F2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678" w:type="dxa"/>
            <w:tcBorders>
              <w:top w:val="single" w:color="auto" w:sz="4" w:space="0"/>
              <w:left w:val="single" w:color="auto" w:sz="4" w:space="0"/>
              <w:bottom w:val="single" w:color="auto" w:sz="4" w:space="0"/>
              <w:right w:val="single" w:color="auto" w:sz="4" w:space="0"/>
            </w:tcBorders>
            <w:vAlign w:val="center"/>
          </w:tcPr>
          <w:p w14:paraId="32F89505">
            <w:pPr>
              <w:pStyle w:val="17"/>
              <w:spacing w:before="191" w:line="220" w:lineRule="auto"/>
              <w:jc w:val="center"/>
              <w:rPr>
                <w:color w:val="auto"/>
                <w:sz w:val="24"/>
                <w:szCs w:val="24"/>
                <w:highlight w:val="none"/>
              </w:rPr>
            </w:pPr>
            <w:r>
              <w:rPr>
                <w:color w:val="auto"/>
                <w:spacing w:val="-1"/>
                <w:sz w:val="24"/>
                <w:szCs w:val="24"/>
                <w:highlight w:val="none"/>
              </w:rPr>
              <w:t>A</w:t>
            </w:r>
            <w:r>
              <w:rPr>
                <w:color w:val="auto"/>
                <w:spacing w:val="-51"/>
                <w:sz w:val="24"/>
                <w:szCs w:val="24"/>
                <w:highlight w:val="none"/>
              </w:rPr>
              <w:t xml:space="preserve"> </w:t>
            </w:r>
            <w:r>
              <w:rPr>
                <w:color w:val="auto"/>
                <w:spacing w:val="-1"/>
                <w:sz w:val="24"/>
                <w:szCs w:val="24"/>
                <w:highlight w:val="none"/>
              </w:rPr>
              <w:t>类</w:t>
            </w:r>
            <w:r>
              <w:rPr>
                <w:color w:val="auto"/>
                <w:spacing w:val="-2"/>
                <w:sz w:val="24"/>
                <w:szCs w:val="24"/>
                <w:highlight w:val="none"/>
              </w:rPr>
              <w:t>路基桥涵工程</w:t>
            </w:r>
          </w:p>
        </w:tc>
        <w:tc>
          <w:tcPr>
            <w:tcW w:w="655" w:type="dxa"/>
            <w:tcBorders>
              <w:top w:val="single" w:color="auto" w:sz="4" w:space="0"/>
              <w:left w:val="single" w:color="auto" w:sz="4" w:space="0"/>
              <w:bottom w:val="single" w:color="auto" w:sz="4" w:space="0"/>
              <w:right w:val="single" w:color="auto" w:sz="4" w:space="0"/>
            </w:tcBorders>
            <w:vAlign w:val="center"/>
          </w:tcPr>
          <w:p w14:paraId="1061FACE">
            <w:pPr>
              <w:tabs>
                <w:tab w:val="left" w:pos="2320"/>
                <w:tab w:val="left" w:pos="2400"/>
                <w:tab w:val="left" w:pos="3160"/>
                <w:tab w:val="left" w:pos="6020"/>
                <w:tab w:val="left" w:pos="7720"/>
                <w:tab w:val="left" w:pos="8660"/>
              </w:tabs>
              <w:autoSpaceDE w:val="0"/>
              <w:autoSpaceDN w:val="0"/>
              <w:adjustRightInd w:val="0"/>
              <w:spacing w:before="74" w:line="240" w:lineRule="auto"/>
              <w:ind w:right="44"/>
              <w:jc w:val="center"/>
              <w:rPr>
                <w:rFonts w:hint="eastAsia" w:asciiTheme="minorEastAsia" w:hAnsiTheme="minorEastAsia" w:eastAsiaTheme="minorEastAsia" w:cstheme="minorEastAsia"/>
                <w:color w:val="auto"/>
                <w:kern w:val="0"/>
                <w:sz w:val="24"/>
                <w:highlight w:val="none"/>
                <w:u w:val="none"/>
                <w:lang w:val="en-US" w:eastAsia="zh-CN"/>
              </w:rPr>
            </w:pPr>
          </w:p>
          <w:p w14:paraId="3749A8AF">
            <w:pPr>
              <w:tabs>
                <w:tab w:val="left" w:pos="2320"/>
                <w:tab w:val="left" w:pos="2400"/>
                <w:tab w:val="left" w:pos="3160"/>
                <w:tab w:val="left" w:pos="6020"/>
                <w:tab w:val="left" w:pos="7720"/>
                <w:tab w:val="left" w:pos="8660"/>
              </w:tabs>
              <w:autoSpaceDE w:val="0"/>
              <w:autoSpaceDN w:val="0"/>
              <w:adjustRightInd w:val="0"/>
              <w:spacing w:before="74" w:line="240" w:lineRule="auto"/>
              <w:ind w:right="44" w:rightChars="0"/>
              <w:jc w:val="center"/>
              <w:rPr>
                <w:rFonts w:ascii="Arial"/>
                <w:color w:val="auto"/>
                <w:sz w:val="21"/>
                <w:highlight w:val="none"/>
              </w:rPr>
            </w:pPr>
            <w:r>
              <w:rPr>
                <w:rFonts w:hint="eastAsia" w:asciiTheme="minorEastAsia" w:hAnsiTheme="minorEastAsia" w:eastAsiaTheme="minorEastAsia" w:cstheme="minorEastAsia"/>
                <w:color w:val="auto"/>
                <w:kern w:val="0"/>
                <w:sz w:val="24"/>
                <w:highlight w:val="none"/>
                <w:u w:val="none"/>
                <w:lang w:val="en-US" w:eastAsia="zh-CN"/>
              </w:rPr>
              <w:t>1</w:t>
            </w:r>
          </w:p>
        </w:tc>
        <w:tc>
          <w:tcPr>
            <w:tcW w:w="1241" w:type="dxa"/>
            <w:tcBorders>
              <w:top w:val="single" w:color="auto" w:sz="4" w:space="0"/>
              <w:left w:val="single" w:color="auto" w:sz="4" w:space="0"/>
              <w:bottom w:val="single" w:color="auto" w:sz="4" w:space="0"/>
              <w:right w:val="single" w:color="auto" w:sz="4" w:space="0"/>
            </w:tcBorders>
            <w:vAlign w:val="center"/>
          </w:tcPr>
          <w:p w14:paraId="3EBB53FF">
            <w:pPr>
              <w:tabs>
                <w:tab w:val="left" w:pos="2320"/>
                <w:tab w:val="left" w:pos="2400"/>
                <w:tab w:val="left" w:pos="3160"/>
                <w:tab w:val="left" w:pos="6020"/>
                <w:tab w:val="left" w:pos="7720"/>
                <w:tab w:val="left" w:pos="8660"/>
              </w:tabs>
              <w:autoSpaceDE w:val="0"/>
              <w:autoSpaceDN w:val="0"/>
              <w:adjustRightInd w:val="0"/>
              <w:spacing w:before="74" w:line="240" w:lineRule="auto"/>
              <w:ind w:right="44" w:rightChars="0"/>
              <w:jc w:val="center"/>
              <w:rPr>
                <w:rFonts w:ascii="Arial"/>
                <w:color w:val="auto"/>
                <w:sz w:val="21"/>
                <w:highlight w:val="none"/>
              </w:rPr>
            </w:pPr>
            <w:r>
              <w:rPr>
                <w:rFonts w:hint="eastAsia" w:asciiTheme="minorEastAsia" w:hAnsiTheme="minorEastAsia" w:eastAsiaTheme="minorEastAsia" w:cstheme="minorEastAsia"/>
                <w:color w:val="auto"/>
                <w:kern w:val="0"/>
                <w:sz w:val="24"/>
                <w:highlight w:val="none"/>
                <w:u w:val="none"/>
                <w:lang w:val="en-US" w:eastAsia="zh-CN"/>
              </w:rPr>
              <w:t>SK0+000-SK3+295.914</w:t>
            </w:r>
          </w:p>
        </w:tc>
        <w:tc>
          <w:tcPr>
            <w:tcW w:w="936" w:type="dxa"/>
            <w:tcBorders>
              <w:top w:val="single" w:color="auto" w:sz="4" w:space="0"/>
              <w:left w:val="single" w:color="auto" w:sz="4" w:space="0"/>
              <w:bottom w:val="single" w:color="auto" w:sz="4" w:space="0"/>
              <w:right w:val="single" w:color="auto" w:sz="4" w:space="0"/>
            </w:tcBorders>
            <w:vAlign w:val="center"/>
          </w:tcPr>
          <w:p w14:paraId="7ABA0E9A">
            <w:pPr>
              <w:keepNext w:val="0"/>
              <w:keepLines w:val="0"/>
              <w:widowControl w:val="0"/>
              <w:suppressLineNumbers w:val="0"/>
              <w:spacing w:before="227" w:beforeAutospacing="0" w:after="0" w:afterAutospacing="0" w:line="240" w:lineRule="auto"/>
              <w:ind w:left="0" w:leftChars="0" w:right="0" w:rightChars="0"/>
              <w:jc w:val="center"/>
              <w:rPr>
                <w:rFonts w:ascii="Arial"/>
                <w:color w:val="auto"/>
                <w:sz w:val="21"/>
                <w:highlight w:val="none"/>
              </w:rPr>
            </w:pPr>
            <w:r>
              <w:rPr>
                <w:rFonts w:hint="eastAsia" w:asciiTheme="minorEastAsia" w:hAnsiTheme="minorEastAsia" w:eastAsiaTheme="minorEastAsia" w:cstheme="minorEastAsia"/>
                <w:color w:val="auto"/>
                <w:kern w:val="0"/>
                <w:sz w:val="24"/>
                <w:highlight w:val="none"/>
                <w:u w:val="none"/>
                <w:lang w:val="en-US" w:eastAsia="zh-CN"/>
              </w:rPr>
              <w:t>3.29km</w:t>
            </w:r>
          </w:p>
        </w:tc>
        <w:tc>
          <w:tcPr>
            <w:tcW w:w="2391" w:type="dxa"/>
            <w:tcBorders>
              <w:top w:val="single" w:color="auto" w:sz="4" w:space="0"/>
              <w:left w:val="single" w:color="auto" w:sz="4" w:space="0"/>
              <w:bottom w:val="single" w:color="auto" w:sz="4" w:space="0"/>
              <w:right w:val="single" w:color="auto" w:sz="4" w:space="0"/>
            </w:tcBorders>
            <w:vAlign w:val="center"/>
          </w:tcPr>
          <w:p w14:paraId="0FC7317A">
            <w:pPr>
              <w:tabs>
                <w:tab w:val="left" w:pos="2320"/>
                <w:tab w:val="left" w:pos="2400"/>
                <w:tab w:val="left" w:pos="3160"/>
                <w:tab w:val="left" w:pos="6020"/>
                <w:tab w:val="left" w:pos="7720"/>
                <w:tab w:val="left" w:pos="8660"/>
              </w:tabs>
              <w:autoSpaceDE w:val="0"/>
              <w:autoSpaceDN w:val="0"/>
              <w:adjustRightInd w:val="0"/>
              <w:spacing w:before="74" w:line="240" w:lineRule="auto"/>
              <w:ind w:right="44" w:rightChars="0"/>
              <w:jc w:val="center"/>
              <w:rPr>
                <w:rFonts w:ascii="Arial"/>
                <w:color w:val="auto"/>
                <w:sz w:val="21"/>
                <w:highlight w:val="none"/>
              </w:rPr>
            </w:pPr>
            <w:r>
              <w:rPr>
                <w:rFonts w:hint="eastAsia" w:asciiTheme="minorEastAsia" w:hAnsiTheme="minorEastAsia" w:eastAsiaTheme="minorEastAsia" w:cstheme="minorEastAsia"/>
                <w:color w:val="auto"/>
                <w:kern w:val="0"/>
                <w:sz w:val="24"/>
                <w:highlight w:val="none"/>
                <w:u w:val="none"/>
                <w:lang w:val="en-US" w:eastAsia="zh-CN"/>
              </w:rPr>
              <w:t>项目位于广州市增城区正果镇北起S380,南至S119正果大道,道路全长约3.29km，红线宽23.5m,双向4车道,沥青混凝土路面,设计速度为60km/h,为一级公路。沿线共设置正果大桥和到蔚中桥两座桥梁。主要建设内容为道路、交通、桥涵、给排水、电力、通信、照明、绿化等工程。</w:t>
            </w:r>
          </w:p>
        </w:tc>
        <w:tc>
          <w:tcPr>
            <w:tcW w:w="1227" w:type="dxa"/>
            <w:tcBorders>
              <w:top w:val="single" w:color="auto" w:sz="4" w:space="0"/>
              <w:left w:val="single" w:color="auto" w:sz="4" w:space="0"/>
              <w:bottom w:val="single" w:color="auto" w:sz="4" w:space="0"/>
              <w:right w:val="single" w:color="auto" w:sz="4" w:space="0"/>
            </w:tcBorders>
            <w:vAlign w:val="center"/>
          </w:tcPr>
          <w:p w14:paraId="28C43569">
            <w:pPr>
              <w:spacing w:line="267" w:lineRule="auto"/>
              <w:jc w:val="center"/>
              <w:rPr>
                <w:rFonts w:ascii="Arial"/>
                <w:color w:val="auto"/>
                <w:sz w:val="21"/>
                <w:highlight w:val="none"/>
              </w:rPr>
            </w:pPr>
          </w:p>
          <w:p w14:paraId="04DB9562">
            <w:pPr>
              <w:pStyle w:val="17"/>
              <w:spacing w:before="78" w:line="219" w:lineRule="auto"/>
              <w:jc w:val="both"/>
              <w:rPr>
                <w:color w:val="auto"/>
                <w:sz w:val="24"/>
                <w:szCs w:val="24"/>
                <w:highlight w:val="none"/>
              </w:rPr>
            </w:pPr>
            <w:r>
              <w:rPr>
                <w:color w:val="auto"/>
                <w:spacing w:val="-3"/>
                <w:sz w:val="24"/>
                <w:szCs w:val="24"/>
                <w:highlight w:val="none"/>
              </w:rPr>
              <w:t>参照附录</w:t>
            </w:r>
            <w:r>
              <w:rPr>
                <w:color w:val="auto"/>
                <w:spacing w:val="-31"/>
                <w:sz w:val="24"/>
                <w:szCs w:val="24"/>
                <w:highlight w:val="none"/>
              </w:rPr>
              <w:t xml:space="preserve"> </w:t>
            </w:r>
            <w:r>
              <w:rPr>
                <w:color w:val="auto"/>
                <w:spacing w:val="-3"/>
                <w:sz w:val="24"/>
                <w:szCs w:val="24"/>
                <w:highlight w:val="none"/>
              </w:rPr>
              <w:t>1</w:t>
            </w:r>
          </w:p>
        </w:tc>
        <w:tc>
          <w:tcPr>
            <w:tcW w:w="1458" w:type="dxa"/>
            <w:tcBorders>
              <w:top w:val="single" w:color="auto" w:sz="4" w:space="0"/>
              <w:left w:val="single" w:color="auto" w:sz="4" w:space="0"/>
              <w:bottom w:val="single" w:color="auto" w:sz="4" w:space="0"/>
              <w:right w:val="single" w:color="auto" w:sz="4" w:space="0"/>
            </w:tcBorders>
            <w:vAlign w:val="center"/>
          </w:tcPr>
          <w:p w14:paraId="5278E44C">
            <w:pPr>
              <w:pStyle w:val="17"/>
              <w:spacing w:before="35" w:line="218" w:lineRule="auto"/>
              <w:jc w:val="both"/>
              <w:rPr>
                <w:color w:val="auto"/>
                <w:sz w:val="24"/>
                <w:szCs w:val="24"/>
                <w:highlight w:val="none"/>
              </w:rPr>
            </w:pPr>
            <w:r>
              <w:rPr>
                <w:color w:val="auto"/>
                <w:spacing w:val="-3"/>
                <w:sz w:val="24"/>
                <w:szCs w:val="24"/>
                <w:highlight w:val="none"/>
              </w:rPr>
              <w:t>资格审查条件附录</w:t>
            </w:r>
            <w:r>
              <w:rPr>
                <w:color w:val="auto"/>
                <w:spacing w:val="-54"/>
                <w:sz w:val="24"/>
                <w:szCs w:val="24"/>
                <w:highlight w:val="none"/>
              </w:rPr>
              <w:t xml:space="preserve"> </w:t>
            </w:r>
            <w:r>
              <w:rPr>
                <w:color w:val="auto"/>
                <w:spacing w:val="-93"/>
                <w:sz w:val="24"/>
                <w:szCs w:val="24"/>
                <w:highlight w:val="none"/>
                <w:u w:val="single" w:color="auto"/>
              </w:rPr>
              <w:t xml:space="preserve"> </w:t>
            </w:r>
            <w:r>
              <w:rPr>
                <w:color w:val="auto"/>
                <w:spacing w:val="-3"/>
                <w:sz w:val="24"/>
                <w:szCs w:val="24"/>
                <w:highlight w:val="none"/>
                <w:u w:val="single" w:color="auto"/>
              </w:rPr>
              <w:t>1</w:t>
            </w:r>
            <w:r>
              <w:rPr>
                <w:color w:val="auto"/>
                <w:spacing w:val="-5"/>
                <w:sz w:val="24"/>
                <w:szCs w:val="24"/>
                <w:highlight w:val="none"/>
              </w:rPr>
              <w:t>至附录</w:t>
            </w:r>
            <w:r>
              <w:rPr>
                <w:color w:val="auto"/>
                <w:spacing w:val="-38"/>
                <w:sz w:val="24"/>
                <w:szCs w:val="24"/>
                <w:highlight w:val="none"/>
              </w:rPr>
              <w:t xml:space="preserve"> </w:t>
            </w:r>
            <w:r>
              <w:rPr>
                <w:rFonts w:hint="eastAsia"/>
                <w:color w:val="auto"/>
                <w:spacing w:val="-5"/>
                <w:sz w:val="24"/>
                <w:szCs w:val="24"/>
                <w:highlight w:val="none"/>
                <w:u w:val="single" w:color="auto"/>
                <w:lang w:val="en-US" w:eastAsia="zh-CN"/>
              </w:rPr>
              <w:t>5</w:t>
            </w:r>
            <w:r>
              <w:rPr>
                <w:rFonts w:hint="eastAsia"/>
                <w:color w:val="auto"/>
                <w:spacing w:val="-5"/>
                <w:sz w:val="24"/>
                <w:szCs w:val="24"/>
                <w:highlight w:val="none"/>
                <w:u w:val="none" w:color="auto"/>
                <w:lang w:val="en-US" w:eastAsia="zh-CN"/>
              </w:rPr>
              <w:t>，</w:t>
            </w:r>
            <w:r>
              <w:rPr>
                <w:color w:val="auto"/>
                <w:spacing w:val="-5"/>
                <w:sz w:val="24"/>
                <w:szCs w:val="24"/>
                <w:highlight w:val="none"/>
              </w:rPr>
              <w:t>详见投标人</w:t>
            </w:r>
            <w:r>
              <w:rPr>
                <w:rFonts w:hint="eastAsia"/>
                <w:color w:val="auto"/>
                <w:spacing w:val="-5"/>
                <w:sz w:val="24"/>
                <w:szCs w:val="24"/>
                <w:highlight w:val="none"/>
                <w:lang w:eastAsia="zh-CN"/>
              </w:rPr>
              <w:t>须知附录。</w:t>
            </w:r>
          </w:p>
        </w:tc>
      </w:tr>
    </w:tbl>
    <w:p w14:paraId="27219848">
      <w:pPr>
        <w:spacing w:line="256" w:lineRule="auto"/>
        <w:rPr>
          <w:rFonts w:ascii="宋体" w:hAnsi="宋体" w:eastAsia="宋体" w:cs="宋体"/>
          <w:color w:val="auto"/>
          <w:sz w:val="21"/>
          <w:szCs w:val="21"/>
          <w:highlight w:val="none"/>
        </w:rPr>
        <w:sectPr>
          <w:headerReference r:id="rId14" w:type="default"/>
          <w:footerReference r:id="rId15" w:type="default"/>
          <w:footnotePr>
            <w:numFmt w:val="decimalEnclosedCircleChinese"/>
          </w:footnotePr>
          <w:pgSz w:w="11905" w:h="16840"/>
          <w:pgMar w:top="1182" w:right="0" w:bottom="1171" w:left="0" w:header="849" w:footer="937" w:gutter="0"/>
          <w:pgNumType w:fmt="decimal"/>
          <w:cols w:space="720" w:num="1"/>
        </w:sectPr>
      </w:pPr>
    </w:p>
    <w:p w14:paraId="14CC8740">
      <w:pPr>
        <w:pStyle w:val="3"/>
        <w:spacing w:line="284" w:lineRule="auto"/>
        <w:rPr>
          <w:color w:val="auto"/>
          <w:highlight w:val="none"/>
        </w:rPr>
      </w:pPr>
    </w:p>
    <w:p w14:paraId="04B842E7">
      <w:pPr>
        <w:pStyle w:val="3"/>
        <w:rPr>
          <w:color w:val="auto"/>
          <w:highlight w:val="none"/>
        </w:rPr>
      </w:pPr>
    </w:p>
    <w:p w14:paraId="5631ACA0">
      <w:pPr>
        <w:pStyle w:val="3"/>
        <w:rPr>
          <w:color w:val="auto"/>
          <w:highlight w:val="none"/>
        </w:rPr>
      </w:pPr>
    </w:p>
    <w:p w14:paraId="2453DE26">
      <w:pPr>
        <w:pStyle w:val="3"/>
        <w:rPr>
          <w:color w:val="auto"/>
          <w:highlight w:val="none"/>
        </w:rPr>
      </w:pPr>
    </w:p>
    <w:p w14:paraId="4F50CDF2">
      <w:pPr>
        <w:pStyle w:val="3"/>
        <w:rPr>
          <w:color w:val="auto"/>
          <w:highlight w:val="none"/>
        </w:rPr>
      </w:pPr>
    </w:p>
    <w:p w14:paraId="455F61D9">
      <w:pPr>
        <w:pStyle w:val="3"/>
        <w:rPr>
          <w:color w:val="auto"/>
          <w:highlight w:val="none"/>
        </w:rPr>
      </w:pPr>
    </w:p>
    <w:p w14:paraId="2F72BE5F">
      <w:pPr>
        <w:pStyle w:val="3"/>
        <w:rPr>
          <w:color w:val="auto"/>
          <w:highlight w:val="none"/>
        </w:rPr>
      </w:pPr>
    </w:p>
    <w:p w14:paraId="36BCD02D">
      <w:pPr>
        <w:pStyle w:val="3"/>
        <w:rPr>
          <w:color w:val="auto"/>
          <w:highlight w:val="none"/>
        </w:rPr>
      </w:pPr>
    </w:p>
    <w:p w14:paraId="670D685A">
      <w:pPr>
        <w:pStyle w:val="3"/>
        <w:rPr>
          <w:color w:val="auto"/>
          <w:highlight w:val="none"/>
        </w:rPr>
      </w:pPr>
    </w:p>
    <w:p w14:paraId="11A23B19">
      <w:pPr>
        <w:pStyle w:val="3"/>
        <w:rPr>
          <w:color w:val="auto"/>
          <w:highlight w:val="none"/>
        </w:rPr>
      </w:pPr>
    </w:p>
    <w:p w14:paraId="2D430E6F">
      <w:pPr>
        <w:pStyle w:val="3"/>
        <w:rPr>
          <w:color w:val="auto"/>
          <w:highlight w:val="none"/>
        </w:rPr>
      </w:pPr>
    </w:p>
    <w:p w14:paraId="6F6B9A5F">
      <w:pPr>
        <w:pStyle w:val="3"/>
        <w:rPr>
          <w:color w:val="auto"/>
          <w:highlight w:val="none"/>
        </w:rPr>
      </w:pPr>
    </w:p>
    <w:p w14:paraId="1A2DC107">
      <w:pPr>
        <w:pStyle w:val="3"/>
        <w:rPr>
          <w:color w:val="auto"/>
          <w:highlight w:val="none"/>
        </w:rPr>
      </w:pPr>
    </w:p>
    <w:p w14:paraId="59AB7FDA">
      <w:pPr>
        <w:pStyle w:val="3"/>
        <w:rPr>
          <w:color w:val="auto"/>
          <w:highlight w:val="none"/>
        </w:rPr>
      </w:pPr>
    </w:p>
    <w:p w14:paraId="1FE29F81">
      <w:pPr>
        <w:pStyle w:val="3"/>
        <w:rPr>
          <w:color w:val="auto"/>
          <w:highlight w:val="none"/>
        </w:rPr>
      </w:pPr>
    </w:p>
    <w:p w14:paraId="1F8D7F81">
      <w:pPr>
        <w:pStyle w:val="3"/>
        <w:rPr>
          <w:color w:val="auto"/>
          <w:highlight w:val="none"/>
        </w:rPr>
      </w:pPr>
    </w:p>
    <w:p w14:paraId="6BB11002">
      <w:pPr>
        <w:pStyle w:val="3"/>
        <w:rPr>
          <w:color w:val="auto"/>
          <w:highlight w:val="none"/>
        </w:rPr>
      </w:pPr>
    </w:p>
    <w:p w14:paraId="72FB8E0D">
      <w:pPr>
        <w:pStyle w:val="3"/>
        <w:rPr>
          <w:color w:val="auto"/>
          <w:highlight w:val="none"/>
        </w:rPr>
      </w:pPr>
    </w:p>
    <w:p w14:paraId="3267A5F1">
      <w:pPr>
        <w:pStyle w:val="3"/>
        <w:rPr>
          <w:color w:val="auto"/>
          <w:highlight w:val="none"/>
        </w:rPr>
      </w:pPr>
    </w:p>
    <w:p w14:paraId="7A9BAC60">
      <w:pPr>
        <w:pStyle w:val="3"/>
        <w:spacing w:line="241" w:lineRule="auto"/>
        <w:rPr>
          <w:color w:val="auto"/>
          <w:highlight w:val="none"/>
        </w:rPr>
      </w:pPr>
    </w:p>
    <w:p w14:paraId="21B33B17">
      <w:pPr>
        <w:pStyle w:val="3"/>
        <w:spacing w:line="241" w:lineRule="auto"/>
        <w:rPr>
          <w:color w:val="auto"/>
          <w:highlight w:val="none"/>
        </w:rPr>
      </w:pPr>
    </w:p>
    <w:p w14:paraId="71A72A41">
      <w:pPr>
        <w:pStyle w:val="3"/>
        <w:spacing w:line="241" w:lineRule="auto"/>
        <w:rPr>
          <w:color w:val="auto"/>
          <w:highlight w:val="none"/>
        </w:rPr>
      </w:pPr>
    </w:p>
    <w:p w14:paraId="47AEC715">
      <w:pPr>
        <w:pStyle w:val="3"/>
        <w:spacing w:line="241" w:lineRule="auto"/>
        <w:rPr>
          <w:color w:val="auto"/>
          <w:highlight w:val="none"/>
        </w:rPr>
      </w:pPr>
    </w:p>
    <w:p w14:paraId="7EAE5A99">
      <w:pPr>
        <w:pStyle w:val="3"/>
        <w:spacing w:line="241" w:lineRule="auto"/>
        <w:rPr>
          <w:color w:val="auto"/>
          <w:highlight w:val="none"/>
        </w:rPr>
      </w:pPr>
    </w:p>
    <w:p w14:paraId="00AF7067">
      <w:pPr>
        <w:pStyle w:val="3"/>
        <w:spacing w:line="241" w:lineRule="auto"/>
        <w:rPr>
          <w:color w:val="auto"/>
          <w:highlight w:val="none"/>
        </w:rPr>
      </w:pPr>
    </w:p>
    <w:p w14:paraId="58248B5F">
      <w:pPr>
        <w:spacing w:before="140" w:line="223" w:lineRule="auto"/>
        <w:ind w:left="4094"/>
        <w:outlineLvl w:val="0"/>
        <w:rPr>
          <w:rFonts w:ascii="宋体" w:hAnsi="宋体" w:eastAsia="宋体" w:cs="宋体"/>
          <w:color w:val="auto"/>
          <w:sz w:val="43"/>
          <w:szCs w:val="43"/>
          <w:highlight w:val="none"/>
        </w:rPr>
      </w:pPr>
      <w:bookmarkStart w:id="9" w:name="_Toc20745"/>
      <w:r>
        <w:rPr>
          <w:rFonts w:ascii="宋体" w:hAnsi="宋体" w:eastAsia="宋体" w:cs="宋体"/>
          <w:b/>
          <w:bCs/>
          <w:color w:val="auto"/>
          <w:spacing w:val="5"/>
          <w:sz w:val="43"/>
          <w:szCs w:val="43"/>
          <w:highlight w:val="none"/>
        </w:rPr>
        <w:t>第二章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投标人须知</w:t>
      </w:r>
      <w:bookmarkEnd w:id="9"/>
    </w:p>
    <w:p w14:paraId="515A3CC3">
      <w:pPr>
        <w:spacing w:line="223" w:lineRule="auto"/>
        <w:rPr>
          <w:rFonts w:ascii="宋体" w:hAnsi="宋体" w:eastAsia="宋体" w:cs="宋体"/>
          <w:color w:val="auto"/>
          <w:sz w:val="43"/>
          <w:szCs w:val="43"/>
          <w:highlight w:val="none"/>
        </w:rPr>
        <w:sectPr>
          <w:headerReference r:id="rId16" w:type="default"/>
          <w:footerReference r:id="rId17" w:type="default"/>
          <w:pgSz w:w="11905" w:h="16840"/>
          <w:pgMar w:top="1182" w:right="0" w:bottom="1171" w:left="0" w:header="849" w:footer="937" w:gutter="0"/>
          <w:pgNumType w:fmt="decimal"/>
          <w:cols w:space="720" w:num="1"/>
        </w:sectPr>
      </w:pPr>
    </w:p>
    <w:p w14:paraId="4C84F74B">
      <w:pPr>
        <w:pStyle w:val="3"/>
        <w:spacing w:line="284" w:lineRule="auto"/>
        <w:rPr>
          <w:color w:val="auto"/>
          <w:highlight w:val="none"/>
        </w:rPr>
      </w:pPr>
    </w:p>
    <w:p w14:paraId="747C352D">
      <w:pPr>
        <w:spacing w:before="100" w:line="225" w:lineRule="auto"/>
        <w:ind w:left="460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第二章</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投标人须知</w:t>
      </w:r>
    </w:p>
    <w:p w14:paraId="1F4965D4">
      <w:pPr>
        <w:pStyle w:val="3"/>
        <w:spacing w:line="265" w:lineRule="auto"/>
        <w:rPr>
          <w:color w:val="auto"/>
          <w:highlight w:val="none"/>
        </w:rPr>
      </w:pPr>
    </w:p>
    <w:p w14:paraId="4102F56C">
      <w:pPr>
        <w:spacing w:before="78" w:line="233" w:lineRule="auto"/>
        <w:ind w:left="1428"/>
        <w:rPr>
          <w:rFonts w:ascii="宋体" w:hAnsi="宋体" w:eastAsia="宋体" w:cs="宋体"/>
          <w:color w:val="auto"/>
          <w:sz w:val="12"/>
          <w:szCs w:val="12"/>
          <w:highlight w:val="none"/>
        </w:rPr>
      </w:pPr>
      <w:r>
        <w:rPr>
          <w:rFonts w:ascii="宋体" w:hAnsi="宋体" w:eastAsia="宋体" w:cs="宋体"/>
          <w:color w:val="auto"/>
          <w:spacing w:val="-2"/>
          <w:sz w:val="24"/>
          <w:szCs w:val="24"/>
          <w:highlight w:val="none"/>
        </w:rPr>
        <w:t>投标人须知前附表</w:t>
      </w:r>
    </w:p>
    <w:p w14:paraId="397D7AAF">
      <w:pPr>
        <w:spacing w:line="70" w:lineRule="exact"/>
        <w:rPr>
          <w:color w:val="auto"/>
          <w:highlight w:val="none"/>
        </w:rPr>
      </w:pPr>
    </w:p>
    <w:tbl>
      <w:tblPr>
        <w:tblStyle w:val="16"/>
        <w:tblW w:w="9292" w:type="dxa"/>
        <w:tblInd w:w="13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5F605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7052749E">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51A64939">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1C82542B">
            <w:pPr>
              <w:pStyle w:val="17"/>
              <w:spacing w:before="181" w:line="220" w:lineRule="auto"/>
              <w:ind w:left="2417"/>
              <w:rPr>
                <w:color w:val="auto"/>
                <w:highlight w:val="none"/>
              </w:rPr>
            </w:pPr>
            <w:r>
              <w:rPr>
                <w:b/>
                <w:bCs/>
                <w:color w:val="auto"/>
                <w:spacing w:val="-5"/>
                <w:highlight w:val="none"/>
              </w:rPr>
              <w:t>编列内容</w:t>
            </w:r>
          </w:p>
        </w:tc>
      </w:tr>
      <w:tr w14:paraId="0630D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185" w:type="dxa"/>
            <w:vAlign w:val="top"/>
          </w:tcPr>
          <w:p w14:paraId="526720CE">
            <w:pPr>
              <w:spacing w:line="257" w:lineRule="auto"/>
              <w:rPr>
                <w:rFonts w:ascii="Arial"/>
                <w:color w:val="auto"/>
                <w:sz w:val="21"/>
                <w:highlight w:val="none"/>
              </w:rPr>
            </w:pPr>
          </w:p>
          <w:p w14:paraId="182CB026">
            <w:pPr>
              <w:spacing w:line="257" w:lineRule="auto"/>
              <w:rPr>
                <w:rFonts w:ascii="Arial"/>
                <w:color w:val="auto"/>
                <w:sz w:val="21"/>
                <w:highlight w:val="none"/>
              </w:rPr>
            </w:pPr>
          </w:p>
          <w:p w14:paraId="0EABA846">
            <w:pPr>
              <w:spacing w:line="258" w:lineRule="auto"/>
              <w:rPr>
                <w:rFonts w:ascii="Arial"/>
                <w:color w:val="auto"/>
                <w:sz w:val="21"/>
                <w:highlight w:val="none"/>
              </w:rPr>
            </w:pPr>
          </w:p>
          <w:p w14:paraId="232BE8D0">
            <w:pPr>
              <w:pStyle w:val="17"/>
              <w:spacing w:before="68" w:line="239" w:lineRule="auto"/>
              <w:ind w:left="349"/>
              <w:rPr>
                <w:color w:val="auto"/>
                <w:highlight w:val="none"/>
              </w:rPr>
            </w:pPr>
            <w:r>
              <w:rPr>
                <w:color w:val="auto"/>
                <w:spacing w:val="-5"/>
                <w:highlight w:val="none"/>
              </w:rPr>
              <w:t>1.1.2</w:t>
            </w:r>
          </w:p>
        </w:tc>
        <w:tc>
          <w:tcPr>
            <w:tcW w:w="2443" w:type="dxa"/>
            <w:vAlign w:val="top"/>
          </w:tcPr>
          <w:p w14:paraId="784895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00647F5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48C89A28">
            <w:pPr>
              <w:pStyle w:val="17"/>
              <w:keepNext w:val="0"/>
              <w:keepLines w:val="0"/>
              <w:pageBreakBefore w:val="0"/>
              <w:widowControl/>
              <w:kinsoku w:val="0"/>
              <w:wordWrap/>
              <w:overflowPunct/>
              <w:topLinePunct w:val="0"/>
              <w:autoSpaceDE w:val="0"/>
              <w:autoSpaceDN w:val="0"/>
              <w:bidi w:val="0"/>
              <w:adjustRightInd w:val="0"/>
              <w:snapToGrid w:val="0"/>
              <w:spacing w:before="68" w:line="360" w:lineRule="auto"/>
              <w:ind w:left="910"/>
              <w:textAlignment w:val="baseline"/>
              <w:rPr>
                <w:color w:val="auto"/>
                <w:highlight w:val="none"/>
              </w:rPr>
            </w:pPr>
            <w:r>
              <w:rPr>
                <w:color w:val="auto"/>
                <w:spacing w:val="-2"/>
                <w:highlight w:val="none"/>
              </w:rPr>
              <w:t>招标人</w:t>
            </w:r>
          </w:p>
        </w:tc>
        <w:tc>
          <w:tcPr>
            <w:tcW w:w="5664" w:type="dxa"/>
            <w:vAlign w:val="top"/>
          </w:tcPr>
          <w:p w14:paraId="2B9C4A23">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snapToGrid/>
                <w:color w:val="auto"/>
                <w:kern w:val="21"/>
                <w:sz w:val="21"/>
                <w:szCs w:val="21"/>
                <w:highlight w:val="none"/>
                <w:lang w:val="en-US" w:eastAsia="zh-CN" w:bidi="ar-SA"/>
              </w:rPr>
            </w:pPr>
            <w:r>
              <w:rPr>
                <w:rFonts w:hint="eastAsia" w:ascii="宋体" w:hAnsi="宋体" w:eastAsia="宋体" w:cs="宋体"/>
                <w:snapToGrid/>
                <w:color w:val="auto"/>
                <w:kern w:val="21"/>
                <w:sz w:val="21"/>
                <w:szCs w:val="21"/>
                <w:highlight w:val="none"/>
                <w:lang w:val="en-US" w:eastAsia="zh-CN" w:bidi="ar-SA"/>
              </w:rPr>
              <w:t>名称：广州市增城区正果镇人民政府</w:t>
            </w:r>
          </w:p>
          <w:p w14:paraId="1E3E1961">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snapToGrid/>
                <w:color w:val="auto"/>
                <w:kern w:val="21"/>
                <w:sz w:val="21"/>
                <w:szCs w:val="21"/>
                <w:highlight w:val="none"/>
                <w:lang w:val="en-US" w:eastAsia="zh-CN" w:bidi="ar-SA"/>
              </w:rPr>
            </w:pPr>
            <w:r>
              <w:rPr>
                <w:rFonts w:hint="eastAsia" w:ascii="宋体" w:hAnsi="宋体" w:eastAsia="宋体" w:cs="宋体"/>
                <w:snapToGrid/>
                <w:color w:val="auto"/>
                <w:kern w:val="21"/>
                <w:sz w:val="21"/>
                <w:szCs w:val="21"/>
                <w:highlight w:val="none"/>
                <w:lang w:val="en-US" w:eastAsia="zh-CN" w:bidi="ar-SA"/>
              </w:rPr>
              <w:t>地址：广州市增城区正果镇正南街80号</w:t>
            </w:r>
          </w:p>
          <w:p w14:paraId="2E3320EF">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snapToGrid/>
                <w:color w:val="auto"/>
                <w:kern w:val="21"/>
                <w:sz w:val="21"/>
                <w:szCs w:val="21"/>
                <w:highlight w:val="none"/>
                <w:lang w:val="en-US" w:eastAsia="zh-CN" w:bidi="ar-SA"/>
              </w:rPr>
            </w:pPr>
            <w:r>
              <w:rPr>
                <w:rFonts w:hint="eastAsia" w:ascii="宋体" w:hAnsi="宋体" w:eastAsia="宋体" w:cs="宋体"/>
                <w:snapToGrid/>
                <w:color w:val="auto"/>
                <w:kern w:val="21"/>
                <w:sz w:val="21"/>
                <w:szCs w:val="21"/>
                <w:highlight w:val="none"/>
                <w:lang w:val="en-US" w:eastAsia="zh-CN" w:bidi="ar-SA"/>
              </w:rPr>
              <w:t>联系人：尹工</w:t>
            </w:r>
          </w:p>
          <w:p w14:paraId="2D7325FD">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snapToGrid/>
                <w:color w:val="auto"/>
                <w:kern w:val="21"/>
                <w:sz w:val="21"/>
                <w:szCs w:val="21"/>
                <w:highlight w:val="none"/>
                <w:lang w:val="en-US" w:eastAsia="zh-CN" w:bidi="ar-SA"/>
              </w:rPr>
              <w:t>电话：020-</w:t>
            </w:r>
            <w:r>
              <w:rPr>
                <w:rFonts w:hint="default" w:ascii="宋体" w:hAnsi="宋体" w:eastAsia="宋体" w:cs="宋体"/>
                <w:snapToGrid w:val="0"/>
                <w:color w:val="auto"/>
                <w:spacing w:val="-2"/>
                <w:kern w:val="0"/>
                <w:sz w:val="21"/>
                <w:szCs w:val="21"/>
                <w:highlight w:val="none"/>
                <w:lang w:val="en-US" w:eastAsia="zh-CN" w:bidi="ar-SA"/>
              </w:rPr>
              <w:t>82812260</w:t>
            </w:r>
          </w:p>
        </w:tc>
      </w:tr>
      <w:tr w14:paraId="79E73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1185" w:type="dxa"/>
            <w:vAlign w:val="top"/>
          </w:tcPr>
          <w:p w14:paraId="3F362B66">
            <w:pPr>
              <w:spacing w:line="262" w:lineRule="auto"/>
              <w:rPr>
                <w:rFonts w:ascii="Arial"/>
                <w:color w:val="auto"/>
                <w:sz w:val="21"/>
                <w:highlight w:val="none"/>
              </w:rPr>
            </w:pPr>
          </w:p>
          <w:p w14:paraId="4D774A94">
            <w:pPr>
              <w:spacing w:line="262" w:lineRule="auto"/>
              <w:rPr>
                <w:rFonts w:ascii="Arial"/>
                <w:color w:val="auto"/>
                <w:sz w:val="21"/>
                <w:highlight w:val="none"/>
              </w:rPr>
            </w:pPr>
          </w:p>
          <w:p w14:paraId="1859E315">
            <w:pPr>
              <w:spacing w:line="263" w:lineRule="auto"/>
              <w:rPr>
                <w:rFonts w:ascii="Arial"/>
                <w:color w:val="auto"/>
                <w:sz w:val="21"/>
                <w:highlight w:val="none"/>
              </w:rPr>
            </w:pPr>
          </w:p>
          <w:p w14:paraId="0FEE620D">
            <w:pPr>
              <w:pStyle w:val="17"/>
              <w:spacing w:before="69" w:line="239" w:lineRule="auto"/>
              <w:ind w:left="349"/>
              <w:rPr>
                <w:color w:val="auto"/>
                <w:highlight w:val="none"/>
              </w:rPr>
            </w:pPr>
            <w:r>
              <w:rPr>
                <w:color w:val="auto"/>
                <w:spacing w:val="-5"/>
                <w:highlight w:val="none"/>
              </w:rPr>
              <w:t>1.1.3</w:t>
            </w:r>
          </w:p>
        </w:tc>
        <w:tc>
          <w:tcPr>
            <w:tcW w:w="2443" w:type="dxa"/>
            <w:vAlign w:val="top"/>
          </w:tcPr>
          <w:p w14:paraId="779D1EB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3F57928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3A615257">
            <w:pPr>
              <w:pStyle w:val="17"/>
              <w:keepNext w:val="0"/>
              <w:keepLines w:val="0"/>
              <w:pageBreakBefore w:val="0"/>
              <w:widowControl/>
              <w:kinsoku w:val="0"/>
              <w:wordWrap/>
              <w:overflowPunct/>
              <w:topLinePunct w:val="0"/>
              <w:autoSpaceDE w:val="0"/>
              <w:autoSpaceDN w:val="0"/>
              <w:bidi w:val="0"/>
              <w:adjustRightInd w:val="0"/>
              <w:snapToGrid w:val="0"/>
              <w:spacing w:before="68" w:line="360" w:lineRule="auto"/>
              <w:ind w:left="596"/>
              <w:textAlignment w:val="baseline"/>
              <w:rPr>
                <w:color w:val="auto"/>
                <w:highlight w:val="none"/>
              </w:rPr>
            </w:pPr>
            <w:r>
              <w:rPr>
                <w:color w:val="auto"/>
                <w:spacing w:val="-2"/>
                <w:highlight w:val="none"/>
              </w:rPr>
              <w:t>招标代理机构</w:t>
            </w:r>
          </w:p>
        </w:tc>
        <w:tc>
          <w:tcPr>
            <w:tcW w:w="5664" w:type="dxa"/>
            <w:vAlign w:val="top"/>
          </w:tcPr>
          <w:p w14:paraId="20247B34">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color w:val="auto"/>
                <w:kern w:val="21"/>
                <w:sz w:val="21"/>
                <w:szCs w:val="21"/>
                <w:highlight w:val="none"/>
                <w:lang w:eastAsia="zh-CN"/>
              </w:rPr>
            </w:pPr>
            <w:r>
              <w:rPr>
                <w:color w:val="auto"/>
                <w:spacing w:val="-14"/>
                <w:highlight w:val="none"/>
              </w:rPr>
              <w:t>名称：</w:t>
            </w:r>
            <w:r>
              <w:rPr>
                <w:rFonts w:hint="eastAsia" w:ascii="宋体" w:hAnsi="宋体" w:eastAsia="宋体" w:cs="宋体"/>
                <w:color w:val="auto"/>
                <w:kern w:val="21"/>
                <w:sz w:val="21"/>
                <w:szCs w:val="21"/>
                <w:highlight w:val="none"/>
                <w:lang w:eastAsia="zh-CN"/>
              </w:rPr>
              <w:t>广州建筑工程监理有限公司</w:t>
            </w:r>
          </w:p>
          <w:p w14:paraId="14B72003">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rPr>
              <w:t>地址：</w:t>
            </w:r>
            <w:r>
              <w:rPr>
                <w:rFonts w:hint="default" w:ascii="宋体" w:hAnsi="宋体" w:eastAsia="宋体" w:cs="宋体"/>
                <w:color w:val="auto"/>
                <w:spacing w:val="-2"/>
                <w:kern w:val="0"/>
                <w:sz w:val="21"/>
                <w:szCs w:val="21"/>
                <w:highlight w:val="none"/>
              </w:rPr>
              <w:t>广州市越秀</w:t>
            </w:r>
            <w:r>
              <w:rPr>
                <w:rFonts w:hint="eastAsia" w:ascii="宋体" w:hAnsi="宋体" w:eastAsia="宋体" w:cs="宋体"/>
                <w:color w:val="auto"/>
                <w:kern w:val="21"/>
                <w:sz w:val="21"/>
                <w:szCs w:val="21"/>
                <w:highlight w:val="none"/>
              </w:rPr>
              <w:t>区</w:t>
            </w:r>
            <w:r>
              <w:rPr>
                <w:rFonts w:hint="eastAsia" w:ascii="宋体" w:hAnsi="宋体" w:eastAsia="宋体" w:cs="宋体"/>
                <w:color w:val="auto"/>
                <w:kern w:val="21"/>
                <w:sz w:val="21"/>
                <w:szCs w:val="21"/>
                <w:highlight w:val="none"/>
                <w:lang w:val="en-US" w:eastAsia="zh-CN"/>
              </w:rPr>
              <w:t xml:space="preserve">广卫路4号20楼 </w:t>
            </w:r>
          </w:p>
          <w:p w14:paraId="0F243B7F">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rFonts w:hint="default" w:ascii="宋体" w:hAnsi="宋体" w:eastAsia="宋体" w:cs="宋体"/>
                <w:color w:val="auto"/>
                <w:spacing w:val="-2"/>
                <w:kern w:val="0"/>
                <w:sz w:val="21"/>
                <w:szCs w:val="21"/>
                <w:highlight w:val="none"/>
                <w:lang w:val="en-US" w:eastAsia="zh-CN"/>
              </w:rPr>
            </w:pPr>
            <w:r>
              <w:rPr>
                <w:rFonts w:hint="default" w:ascii="宋体" w:hAnsi="宋体" w:eastAsia="宋体" w:cs="宋体"/>
                <w:color w:val="auto"/>
                <w:spacing w:val="-2"/>
                <w:kern w:val="0"/>
                <w:sz w:val="21"/>
                <w:szCs w:val="21"/>
                <w:highlight w:val="none"/>
              </w:rPr>
              <w:t>联系人</w:t>
            </w:r>
            <w:r>
              <w:rPr>
                <w:rFonts w:hint="eastAsia" w:ascii="宋体" w:hAnsi="宋体" w:eastAsia="宋体" w:cs="宋体"/>
                <w:color w:val="auto"/>
                <w:kern w:val="21"/>
                <w:sz w:val="21"/>
                <w:szCs w:val="21"/>
                <w:highlight w:val="none"/>
              </w:rPr>
              <w:t>：</w:t>
            </w:r>
            <w:r>
              <w:rPr>
                <w:rFonts w:hint="eastAsia" w:ascii="宋体" w:hAnsi="宋体" w:eastAsia="宋体" w:cs="宋体"/>
                <w:color w:val="auto"/>
                <w:kern w:val="21"/>
                <w:sz w:val="21"/>
                <w:szCs w:val="21"/>
                <w:highlight w:val="none"/>
                <w:lang w:val="en-US" w:eastAsia="zh-CN"/>
              </w:rPr>
              <w:t>陆</w:t>
            </w:r>
            <w:r>
              <w:rPr>
                <w:rFonts w:hint="default" w:ascii="宋体" w:hAnsi="宋体" w:eastAsia="宋体" w:cs="宋体"/>
                <w:color w:val="auto"/>
                <w:spacing w:val="-2"/>
                <w:kern w:val="0"/>
                <w:sz w:val="21"/>
                <w:szCs w:val="21"/>
                <w:highlight w:val="none"/>
              </w:rPr>
              <w:t>工</w:t>
            </w:r>
            <w:r>
              <w:rPr>
                <w:rFonts w:hint="default" w:ascii="宋体" w:hAnsi="宋体" w:eastAsia="宋体" w:cs="宋体"/>
                <w:color w:val="auto"/>
                <w:spacing w:val="-2"/>
                <w:kern w:val="0"/>
                <w:sz w:val="21"/>
                <w:szCs w:val="21"/>
                <w:highlight w:val="none"/>
                <w:lang w:val="en-US" w:eastAsia="zh-CN"/>
              </w:rPr>
              <w:t xml:space="preserve"> </w:t>
            </w:r>
          </w:p>
          <w:p w14:paraId="0C832A16">
            <w:pPr>
              <w:pStyle w:val="17"/>
              <w:keepNext w:val="0"/>
              <w:keepLines w:val="0"/>
              <w:pageBreakBefore w:val="0"/>
              <w:widowControl/>
              <w:kinsoku/>
              <w:wordWrap/>
              <w:overflowPunct/>
              <w:topLinePunct w:val="0"/>
              <w:autoSpaceDE/>
              <w:autoSpaceDN/>
              <w:bidi w:val="0"/>
              <w:adjustRightInd/>
              <w:snapToGrid/>
              <w:spacing w:before="223" w:line="219" w:lineRule="auto"/>
              <w:ind w:left="122"/>
              <w:jc w:val="left"/>
              <w:textAlignment w:val="auto"/>
              <w:rPr>
                <w:color w:val="auto"/>
                <w:highlight w:val="none"/>
              </w:rPr>
            </w:pPr>
            <w:r>
              <w:rPr>
                <w:rFonts w:hint="eastAsia" w:ascii="宋体" w:hAnsi="宋体" w:eastAsia="宋体" w:cs="宋体"/>
                <w:color w:val="auto"/>
                <w:kern w:val="21"/>
                <w:sz w:val="21"/>
                <w:szCs w:val="21"/>
                <w:highlight w:val="none"/>
                <w:lang w:val="en-US" w:eastAsia="zh-CN"/>
              </w:rPr>
              <w:t>电话：</w:t>
            </w:r>
            <w:r>
              <w:rPr>
                <w:rFonts w:hint="default" w:ascii="宋体" w:hAnsi="宋体" w:eastAsia="宋体" w:cs="宋体"/>
                <w:color w:val="auto"/>
                <w:spacing w:val="-2"/>
                <w:kern w:val="0"/>
                <w:sz w:val="21"/>
                <w:szCs w:val="21"/>
                <w:highlight w:val="none"/>
                <w:lang w:val="en-US" w:eastAsia="zh-CN"/>
              </w:rPr>
              <w:t>020</w:t>
            </w:r>
            <w:r>
              <w:rPr>
                <w:rFonts w:hint="eastAsia" w:ascii="宋体" w:hAnsi="宋体" w:eastAsia="宋体" w:cs="宋体"/>
                <w:color w:val="auto"/>
                <w:kern w:val="21"/>
                <w:sz w:val="21"/>
                <w:szCs w:val="21"/>
                <w:highlight w:val="none"/>
                <w:lang w:val="en-US" w:eastAsia="zh-CN"/>
              </w:rPr>
              <w:t>-82627566</w:t>
            </w:r>
          </w:p>
        </w:tc>
      </w:tr>
      <w:tr w14:paraId="22F27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51C4AED0">
            <w:pPr>
              <w:pStyle w:val="17"/>
              <w:spacing w:before="223" w:line="239" w:lineRule="auto"/>
              <w:ind w:left="349"/>
              <w:rPr>
                <w:color w:val="auto"/>
                <w:highlight w:val="none"/>
              </w:rPr>
            </w:pPr>
            <w:r>
              <w:rPr>
                <w:color w:val="auto"/>
                <w:spacing w:val="-5"/>
                <w:highlight w:val="none"/>
              </w:rPr>
              <w:t>1.1.4</w:t>
            </w:r>
          </w:p>
        </w:tc>
        <w:tc>
          <w:tcPr>
            <w:tcW w:w="2443" w:type="dxa"/>
            <w:vAlign w:val="top"/>
          </w:tcPr>
          <w:p w14:paraId="1C75CBFC">
            <w:pPr>
              <w:pStyle w:val="17"/>
              <w:spacing w:before="224" w:line="220" w:lineRule="auto"/>
              <w:ind w:left="596"/>
              <w:rPr>
                <w:color w:val="auto"/>
                <w:highlight w:val="none"/>
              </w:rPr>
            </w:pPr>
            <w:r>
              <w:rPr>
                <w:color w:val="auto"/>
                <w:spacing w:val="-2"/>
                <w:highlight w:val="none"/>
              </w:rPr>
              <w:t>招标项目名称</w:t>
            </w:r>
          </w:p>
        </w:tc>
        <w:tc>
          <w:tcPr>
            <w:tcW w:w="5664" w:type="dxa"/>
            <w:vAlign w:val="center"/>
          </w:tcPr>
          <w:p w14:paraId="5FBFF986">
            <w:pPr>
              <w:jc w:val="both"/>
              <w:rPr>
                <w:rFonts w:ascii="Arial"/>
                <w:color w:val="auto"/>
                <w:sz w:val="21"/>
                <w:highlight w:val="none"/>
              </w:rPr>
            </w:pPr>
            <w:r>
              <w:rPr>
                <w:rFonts w:hint="eastAsia" w:ascii="Arial"/>
                <w:color w:val="auto"/>
                <w:sz w:val="21"/>
                <w:highlight w:val="none"/>
              </w:rPr>
              <w:t>增龙公路S119正果镇区段改线项目施工</w:t>
            </w:r>
          </w:p>
        </w:tc>
      </w:tr>
      <w:tr w14:paraId="188B8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85" w:type="dxa"/>
            <w:vAlign w:val="top"/>
          </w:tcPr>
          <w:p w14:paraId="469EEA64">
            <w:pPr>
              <w:pStyle w:val="17"/>
              <w:spacing w:before="222" w:line="239" w:lineRule="auto"/>
              <w:ind w:left="349"/>
              <w:rPr>
                <w:color w:val="auto"/>
                <w:highlight w:val="none"/>
              </w:rPr>
            </w:pPr>
            <w:r>
              <w:rPr>
                <w:color w:val="auto"/>
                <w:spacing w:val="-5"/>
                <w:highlight w:val="none"/>
              </w:rPr>
              <w:t>1.1.5</w:t>
            </w:r>
          </w:p>
        </w:tc>
        <w:tc>
          <w:tcPr>
            <w:tcW w:w="2443" w:type="dxa"/>
            <w:vAlign w:val="top"/>
          </w:tcPr>
          <w:p w14:paraId="7565A8D2">
            <w:pPr>
              <w:pStyle w:val="17"/>
              <w:spacing w:before="208" w:line="233" w:lineRule="auto"/>
              <w:ind w:left="543"/>
              <w:rPr>
                <w:color w:val="auto"/>
                <w:sz w:val="10"/>
                <w:szCs w:val="10"/>
                <w:highlight w:val="none"/>
              </w:rPr>
            </w:pPr>
            <w:r>
              <w:rPr>
                <w:color w:val="auto"/>
                <w:spacing w:val="-1"/>
                <w:highlight w:val="none"/>
              </w:rPr>
              <w:t>标段建设地点</w:t>
            </w:r>
          </w:p>
        </w:tc>
        <w:tc>
          <w:tcPr>
            <w:tcW w:w="5664" w:type="dxa"/>
            <w:vAlign w:val="center"/>
          </w:tcPr>
          <w:p w14:paraId="7C41551D">
            <w:pPr>
              <w:jc w:val="both"/>
              <w:rPr>
                <w:rFonts w:ascii="Arial"/>
                <w:color w:val="auto"/>
                <w:sz w:val="21"/>
                <w:highlight w:val="none"/>
              </w:rPr>
            </w:pPr>
            <w:r>
              <w:rPr>
                <w:rFonts w:hint="eastAsia" w:ascii="宋体" w:hAnsi="宋体" w:eastAsia="宋体" w:cs="宋体"/>
                <w:color w:val="auto"/>
                <w:kern w:val="21"/>
                <w:sz w:val="21"/>
                <w:szCs w:val="21"/>
                <w:highlight w:val="none"/>
                <w:lang w:val="en-US" w:eastAsia="zh-CN"/>
              </w:rPr>
              <w:t>广州市增城区正果镇</w:t>
            </w:r>
          </w:p>
        </w:tc>
      </w:tr>
      <w:tr w14:paraId="512F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1FA65AC2">
            <w:pPr>
              <w:pStyle w:val="17"/>
              <w:spacing w:before="223" w:line="239" w:lineRule="auto"/>
              <w:ind w:left="349"/>
              <w:rPr>
                <w:color w:val="auto"/>
                <w:highlight w:val="none"/>
              </w:rPr>
            </w:pPr>
            <w:r>
              <w:rPr>
                <w:color w:val="auto"/>
                <w:spacing w:val="-5"/>
                <w:highlight w:val="none"/>
              </w:rPr>
              <w:t>1.2.1</w:t>
            </w:r>
          </w:p>
        </w:tc>
        <w:tc>
          <w:tcPr>
            <w:tcW w:w="2443" w:type="dxa"/>
            <w:vAlign w:val="top"/>
          </w:tcPr>
          <w:p w14:paraId="69342FA8">
            <w:pPr>
              <w:pStyle w:val="17"/>
              <w:spacing w:before="223" w:line="220" w:lineRule="auto"/>
              <w:ind w:left="498"/>
              <w:rPr>
                <w:color w:val="auto"/>
                <w:highlight w:val="none"/>
              </w:rPr>
            </w:pPr>
            <w:r>
              <w:rPr>
                <w:color w:val="auto"/>
                <w:spacing w:val="-3"/>
                <w:highlight w:val="none"/>
              </w:rPr>
              <w:t>资金来源及比例</w:t>
            </w:r>
          </w:p>
        </w:tc>
        <w:tc>
          <w:tcPr>
            <w:tcW w:w="5664" w:type="dxa"/>
            <w:vAlign w:val="center"/>
          </w:tcPr>
          <w:p w14:paraId="379D4CD2">
            <w:pPr>
              <w:jc w:val="both"/>
              <w:rPr>
                <w:rFonts w:ascii="Arial"/>
                <w:color w:val="auto"/>
                <w:sz w:val="21"/>
                <w:highlight w:val="none"/>
              </w:rPr>
            </w:pPr>
            <w:r>
              <w:rPr>
                <w:rFonts w:hint="eastAsia" w:ascii="宋体" w:hAnsi="宋体" w:eastAsia="宋体" w:cs="宋体"/>
                <w:color w:val="auto"/>
                <w:kern w:val="21"/>
                <w:sz w:val="21"/>
                <w:szCs w:val="21"/>
                <w:highlight w:val="none"/>
                <w:lang w:val="en-US" w:eastAsia="zh-CN"/>
              </w:rPr>
              <w:t>区财政统筹安排解决，项目出资比例为100%。</w:t>
            </w:r>
          </w:p>
        </w:tc>
      </w:tr>
      <w:tr w14:paraId="1D939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7777AC50">
            <w:pPr>
              <w:pStyle w:val="17"/>
              <w:spacing w:before="224" w:line="239" w:lineRule="auto"/>
              <w:ind w:left="349"/>
              <w:rPr>
                <w:color w:val="auto"/>
                <w:highlight w:val="none"/>
              </w:rPr>
            </w:pPr>
            <w:r>
              <w:rPr>
                <w:color w:val="auto"/>
                <w:spacing w:val="-5"/>
                <w:highlight w:val="none"/>
              </w:rPr>
              <w:t>1.2.2</w:t>
            </w:r>
          </w:p>
        </w:tc>
        <w:tc>
          <w:tcPr>
            <w:tcW w:w="2443" w:type="dxa"/>
            <w:vAlign w:val="top"/>
          </w:tcPr>
          <w:p w14:paraId="2D1F06AB">
            <w:pPr>
              <w:pStyle w:val="17"/>
              <w:spacing w:before="224" w:line="220" w:lineRule="auto"/>
              <w:ind w:left="604"/>
              <w:rPr>
                <w:color w:val="auto"/>
                <w:highlight w:val="none"/>
              </w:rPr>
            </w:pPr>
            <w:r>
              <w:rPr>
                <w:color w:val="auto"/>
                <w:spacing w:val="-3"/>
                <w:highlight w:val="none"/>
              </w:rPr>
              <w:t>资金落实情况</w:t>
            </w:r>
          </w:p>
        </w:tc>
        <w:tc>
          <w:tcPr>
            <w:tcW w:w="5664" w:type="dxa"/>
            <w:vAlign w:val="center"/>
          </w:tcPr>
          <w:p w14:paraId="5141073F">
            <w:pPr>
              <w:jc w:val="both"/>
              <w:rPr>
                <w:rFonts w:ascii="Arial"/>
                <w:color w:val="auto"/>
                <w:sz w:val="21"/>
                <w:highlight w:val="none"/>
              </w:rPr>
            </w:pPr>
            <w:r>
              <w:rPr>
                <w:rFonts w:hint="eastAsia" w:ascii="宋体" w:hAnsi="宋体" w:eastAsia="宋体" w:cs="宋体"/>
                <w:color w:val="auto"/>
                <w:kern w:val="21"/>
                <w:sz w:val="21"/>
                <w:szCs w:val="21"/>
                <w:highlight w:val="none"/>
                <w:lang w:val="en-US" w:eastAsia="zh-CN"/>
              </w:rPr>
              <w:t>已落实</w:t>
            </w:r>
          </w:p>
        </w:tc>
      </w:tr>
      <w:tr w14:paraId="23ED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185" w:type="dxa"/>
            <w:vAlign w:val="top"/>
          </w:tcPr>
          <w:p w14:paraId="259E8970">
            <w:pPr>
              <w:pStyle w:val="17"/>
              <w:spacing w:before="224" w:line="239" w:lineRule="auto"/>
              <w:ind w:left="349"/>
              <w:rPr>
                <w:color w:val="auto"/>
                <w:highlight w:val="none"/>
              </w:rPr>
            </w:pPr>
            <w:r>
              <w:rPr>
                <w:color w:val="auto"/>
                <w:spacing w:val="-5"/>
                <w:highlight w:val="none"/>
              </w:rPr>
              <w:t>1.3.1</w:t>
            </w:r>
          </w:p>
        </w:tc>
        <w:tc>
          <w:tcPr>
            <w:tcW w:w="2443" w:type="dxa"/>
            <w:vAlign w:val="top"/>
          </w:tcPr>
          <w:p w14:paraId="465FD0C3">
            <w:pPr>
              <w:pStyle w:val="17"/>
              <w:spacing w:before="224" w:line="220" w:lineRule="auto"/>
              <w:ind w:left="806"/>
              <w:rPr>
                <w:color w:val="auto"/>
                <w:highlight w:val="none"/>
              </w:rPr>
            </w:pPr>
            <w:r>
              <w:rPr>
                <w:color w:val="auto"/>
                <w:spacing w:val="-2"/>
                <w:highlight w:val="none"/>
              </w:rPr>
              <w:t>招标范围</w:t>
            </w:r>
          </w:p>
        </w:tc>
        <w:tc>
          <w:tcPr>
            <w:tcW w:w="5664" w:type="dxa"/>
            <w:vAlign w:val="center"/>
          </w:tcPr>
          <w:p w14:paraId="789A59D5">
            <w:pPr>
              <w:jc w:val="both"/>
              <w:rPr>
                <w:rFonts w:ascii="Arial"/>
                <w:color w:val="auto"/>
                <w:sz w:val="21"/>
                <w:highlight w:val="none"/>
              </w:rPr>
            </w:pPr>
            <w:r>
              <w:rPr>
                <w:rFonts w:hint="eastAsia" w:ascii="宋体" w:hAnsi="宋体" w:eastAsia="宋体" w:cs="宋体"/>
                <w:color w:val="auto"/>
                <w:kern w:val="21"/>
                <w:sz w:val="21"/>
                <w:szCs w:val="21"/>
                <w:highlight w:val="none"/>
                <w:lang w:val="en-US" w:eastAsia="zh-CN"/>
              </w:rPr>
              <w:t>主要包括道路、交通、桥涵、给排水、电力、通信照明、绿化等工程（具体内容以施工图纸及招标工程量清单为准）。</w:t>
            </w:r>
          </w:p>
        </w:tc>
      </w:tr>
      <w:tr w14:paraId="60F83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1185" w:type="dxa"/>
            <w:vAlign w:val="top"/>
          </w:tcPr>
          <w:p w14:paraId="7FDCF0B9">
            <w:pPr>
              <w:spacing w:line="260" w:lineRule="auto"/>
              <w:rPr>
                <w:rFonts w:ascii="Arial"/>
                <w:color w:val="auto"/>
                <w:sz w:val="21"/>
                <w:highlight w:val="none"/>
              </w:rPr>
            </w:pPr>
          </w:p>
          <w:p w14:paraId="1D9A9125">
            <w:pPr>
              <w:spacing w:line="260" w:lineRule="auto"/>
              <w:rPr>
                <w:rFonts w:ascii="Arial"/>
                <w:color w:val="auto"/>
                <w:sz w:val="21"/>
                <w:highlight w:val="none"/>
              </w:rPr>
            </w:pPr>
          </w:p>
          <w:p w14:paraId="1C6C7B2C">
            <w:pPr>
              <w:pStyle w:val="17"/>
              <w:spacing w:before="68" w:line="239" w:lineRule="auto"/>
              <w:ind w:left="349"/>
              <w:rPr>
                <w:color w:val="auto"/>
                <w:highlight w:val="none"/>
              </w:rPr>
            </w:pPr>
            <w:r>
              <w:rPr>
                <w:color w:val="auto"/>
                <w:spacing w:val="-5"/>
                <w:highlight w:val="none"/>
              </w:rPr>
              <w:t>1.3.2</w:t>
            </w:r>
          </w:p>
        </w:tc>
        <w:tc>
          <w:tcPr>
            <w:tcW w:w="2443" w:type="dxa"/>
            <w:vAlign w:val="top"/>
          </w:tcPr>
          <w:p w14:paraId="653E5D99">
            <w:pPr>
              <w:spacing w:line="260" w:lineRule="auto"/>
              <w:rPr>
                <w:rFonts w:ascii="Arial"/>
                <w:color w:val="auto"/>
                <w:sz w:val="21"/>
                <w:highlight w:val="none"/>
              </w:rPr>
            </w:pPr>
          </w:p>
          <w:p w14:paraId="548998E6">
            <w:pPr>
              <w:spacing w:line="260" w:lineRule="auto"/>
              <w:rPr>
                <w:rFonts w:ascii="Arial"/>
                <w:color w:val="auto"/>
                <w:sz w:val="21"/>
                <w:highlight w:val="none"/>
              </w:rPr>
            </w:pPr>
          </w:p>
          <w:p w14:paraId="2B7005DB">
            <w:pPr>
              <w:pStyle w:val="17"/>
              <w:spacing w:before="68" w:line="220" w:lineRule="auto"/>
              <w:ind w:left="805"/>
              <w:rPr>
                <w:color w:val="auto"/>
                <w:highlight w:val="none"/>
              </w:rPr>
            </w:pPr>
            <w:r>
              <w:rPr>
                <w:color w:val="auto"/>
                <w:spacing w:val="-2"/>
                <w:highlight w:val="none"/>
              </w:rPr>
              <w:t>计划工期</w:t>
            </w:r>
          </w:p>
        </w:tc>
        <w:tc>
          <w:tcPr>
            <w:tcW w:w="5664" w:type="dxa"/>
            <w:vAlign w:val="center"/>
          </w:tcPr>
          <w:p w14:paraId="133482A4">
            <w:pPr>
              <w:pStyle w:val="17"/>
              <w:spacing w:before="135" w:line="232" w:lineRule="auto"/>
              <w:ind w:left="113"/>
              <w:jc w:val="left"/>
              <w:rPr>
                <w:color w:val="auto"/>
                <w:sz w:val="10"/>
                <w:szCs w:val="10"/>
                <w:highlight w:val="none"/>
              </w:rPr>
            </w:pPr>
            <w:r>
              <w:rPr>
                <w:rFonts w:hint="eastAsia" w:ascii="宋体" w:hAnsi="宋体" w:eastAsia="宋体" w:cs="宋体"/>
                <w:color w:val="auto"/>
                <w:kern w:val="21"/>
                <w:sz w:val="21"/>
                <w:szCs w:val="21"/>
                <w:highlight w:val="none"/>
                <w:lang w:eastAsia="zh-CN"/>
              </w:rPr>
              <w:t>计划工期：</w:t>
            </w:r>
            <w:r>
              <w:rPr>
                <w:rFonts w:hint="eastAsia" w:ascii="宋体" w:hAnsi="宋体" w:eastAsia="宋体" w:cs="宋体"/>
                <w:color w:val="auto"/>
                <w:kern w:val="21"/>
                <w:sz w:val="21"/>
                <w:szCs w:val="21"/>
                <w:highlight w:val="none"/>
                <w:u w:val="single"/>
                <w:lang w:val="en-US" w:eastAsia="zh-CN"/>
              </w:rPr>
              <w:t xml:space="preserve">  27 个月</w:t>
            </w:r>
            <w:r>
              <w:rPr>
                <w:rFonts w:hint="eastAsia" w:ascii="宋体" w:hAnsi="宋体" w:eastAsia="宋体" w:cs="宋体"/>
                <w:color w:val="auto"/>
                <w:kern w:val="21"/>
                <w:sz w:val="21"/>
                <w:szCs w:val="21"/>
                <w:highlight w:val="none"/>
                <w:lang w:val="en-US" w:eastAsia="zh-CN"/>
              </w:rPr>
              <w:t xml:space="preserve"> </w:t>
            </w:r>
            <w:r>
              <w:rPr>
                <w:rFonts w:hint="eastAsia" w:ascii="宋体" w:hAnsi="宋体" w:eastAsia="宋体" w:cs="宋体"/>
                <w:color w:val="auto"/>
                <w:kern w:val="21"/>
                <w:sz w:val="21"/>
                <w:szCs w:val="21"/>
                <w:highlight w:val="none"/>
                <w:lang w:eastAsia="zh-CN"/>
              </w:rPr>
              <w:br w:type="textWrapping"/>
            </w:r>
            <w:r>
              <w:rPr>
                <w:rFonts w:hint="eastAsia" w:ascii="宋体" w:hAnsi="宋体" w:eastAsia="宋体" w:cs="宋体"/>
                <w:color w:val="auto"/>
                <w:kern w:val="21"/>
                <w:sz w:val="21"/>
                <w:szCs w:val="21"/>
                <w:highlight w:val="none"/>
                <w:lang w:val="en-US" w:eastAsia="zh-CN"/>
              </w:rPr>
              <w:t>计划</w:t>
            </w:r>
            <w:r>
              <w:rPr>
                <w:rFonts w:hint="eastAsia" w:ascii="宋体" w:hAnsi="宋体" w:eastAsia="宋体" w:cs="宋体"/>
                <w:color w:val="auto"/>
                <w:kern w:val="21"/>
                <w:sz w:val="21"/>
                <w:szCs w:val="21"/>
                <w:highlight w:val="none"/>
                <w:lang w:eastAsia="zh-CN"/>
              </w:rPr>
              <w:t>开工日期：以监理工程师发出的开工通知书为准。</w:t>
            </w:r>
          </w:p>
        </w:tc>
      </w:tr>
      <w:tr w14:paraId="51810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85" w:type="dxa"/>
            <w:vAlign w:val="top"/>
          </w:tcPr>
          <w:p w14:paraId="4EE80EFA">
            <w:pPr>
              <w:spacing w:line="349" w:lineRule="auto"/>
              <w:rPr>
                <w:rFonts w:ascii="Arial"/>
                <w:color w:val="auto"/>
                <w:sz w:val="21"/>
                <w:highlight w:val="none"/>
              </w:rPr>
            </w:pPr>
          </w:p>
          <w:p w14:paraId="51DAE929">
            <w:pPr>
              <w:spacing w:line="349" w:lineRule="auto"/>
              <w:rPr>
                <w:rFonts w:ascii="Arial"/>
                <w:color w:val="auto"/>
                <w:sz w:val="21"/>
                <w:highlight w:val="none"/>
              </w:rPr>
            </w:pPr>
          </w:p>
          <w:p w14:paraId="4094FA48">
            <w:pPr>
              <w:pStyle w:val="17"/>
              <w:spacing w:before="68" w:line="239" w:lineRule="auto"/>
              <w:ind w:left="349"/>
              <w:rPr>
                <w:color w:val="auto"/>
                <w:highlight w:val="none"/>
              </w:rPr>
            </w:pPr>
            <w:r>
              <w:rPr>
                <w:color w:val="auto"/>
                <w:spacing w:val="-5"/>
                <w:highlight w:val="none"/>
              </w:rPr>
              <w:t>1.3.3</w:t>
            </w:r>
          </w:p>
        </w:tc>
        <w:tc>
          <w:tcPr>
            <w:tcW w:w="2443" w:type="dxa"/>
            <w:vAlign w:val="top"/>
          </w:tcPr>
          <w:p w14:paraId="0C71CE63">
            <w:pPr>
              <w:spacing w:line="349" w:lineRule="auto"/>
              <w:rPr>
                <w:rFonts w:ascii="Arial"/>
                <w:color w:val="auto"/>
                <w:sz w:val="21"/>
                <w:highlight w:val="none"/>
              </w:rPr>
            </w:pPr>
          </w:p>
          <w:p w14:paraId="32ADEB56">
            <w:pPr>
              <w:spacing w:line="349" w:lineRule="auto"/>
              <w:rPr>
                <w:rFonts w:ascii="Arial"/>
                <w:color w:val="auto"/>
                <w:sz w:val="21"/>
                <w:highlight w:val="none"/>
              </w:rPr>
            </w:pPr>
          </w:p>
          <w:p w14:paraId="3CCC10E1">
            <w:pPr>
              <w:pStyle w:val="17"/>
              <w:spacing w:before="68" w:line="220" w:lineRule="auto"/>
              <w:ind w:left="806"/>
              <w:rPr>
                <w:color w:val="auto"/>
                <w:highlight w:val="none"/>
              </w:rPr>
            </w:pPr>
            <w:r>
              <w:rPr>
                <w:color w:val="auto"/>
                <w:spacing w:val="-2"/>
                <w:highlight w:val="none"/>
              </w:rPr>
              <w:t>质量要求</w:t>
            </w:r>
          </w:p>
        </w:tc>
        <w:tc>
          <w:tcPr>
            <w:tcW w:w="5664" w:type="dxa"/>
            <w:vAlign w:val="top"/>
          </w:tcPr>
          <w:p w14:paraId="5DAB68D6">
            <w:pPr>
              <w:spacing w:line="300" w:lineRule="auto"/>
              <w:rPr>
                <w:rFonts w:ascii="Arial"/>
                <w:color w:val="auto"/>
                <w:sz w:val="21"/>
                <w:highlight w:val="none"/>
              </w:rPr>
            </w:pPr>
          </w:p>
          <w:p w14:paraId="13538020">
            <w:pPr>
              <w:pStyle w:val="17"/>
              <w:spacing w:before="69" w:line="352" w:lineRule="auto"/>
              <w:ind w:left="116" w:right="209" w:hanging="2"/>
              <w:rPr>
                <w:color w:val="auto"/>
                <w:spacing w:val="-3"/>
                <w:highlight w:val="none"/>
              </w:rPr>
            </w:pPr>
            <w:r>
              <w:rPr>
                <w:color w:val="auto"/>
                <w:spacing w:val="-1"/>
                <w:highlight w:val="none"/>
              </w:rPr>
              <w:t>标段工程交工验收的质量评定：质量等</w:t>
            </w:r>
            <w:r>
              <w:rPr>
                <w:color w:val="auto"/>
                <w:spacing w:val="-3"/>
                <w:highlight w:val="none"/>
              </w:rPr>
              <w:t>级：</w:t>
            </w:r>
            <w:r>
              <w:rPr>
                <w:color w:val="auto"/>
                <w:spacing w:val="-3"/>
                <w:highlight w:val="none"/>
                <w:u w:val="single" w:color="auto"/>
              </w:rPr>
              <w:t>合格</w:t>
            </w:r>
            <w:r>
              <w:rPr>
                <w:color w:val="auto"/>
                <w:spacing w:val="-3"/>
                <w:highlight w:val="none"/>
              </w:rPr>
              <w:t>。</w:t>
            </w:r>
          </w:p>
          <w:p w14:paraId="55478B01">
            <w:pPr>
              <w:pStyle w:val="17"/>
              <w:spacing w:before="69" w:line="352" w:lineRule="auto"/>
              <w:ind w:left="116" w:right="209" w:hanging="2"/>
              <w:rPr>
                <w:color w:val="auto"/>
                <w:highlight w:val="none"/>
              </w:rPr>
            </w:pPr>
            <w:r>
              <w:rPr>
                <w:rFonts w:ascii="宋体" w:hAnsi="宋体" w:eastAsia="宋体" w:cs="宋体"/>
                <w:color w:val="auto"/>
                <w:spacing w:val="-1"/>
                <w:highlight w:val="none"/>
              </w:rPr>
              <w:t>竣工验收的质量评定</w:t>
            </w:r>
            <w:r>
              <w:rPr>
                <w:color w:val="auto"/>
                <w:spacing w:val="-2"/>
                <w:highlight w:val="none"/>
              </w:rPr>
              <w:t>：质量等级：</w:t>
            </w:r>
            <w:r>
              <w:rPr>
                <w:rFonts w:hint="eastAsia" w:ascii="宋体" w:hAnsi="宋体" w:eastAsia="宋体" w:cs="宋体"/>
                <w:color w:val="auto"/>
                <w:spacing w:val="7"/>
                <w:sz w:val="21"/>
                <w:szCs w:val="21"/>
                <w:highlight w:val="none"/>
                <w:u w:val="single" w:color="auto"/>
              </w:rPr>
              <w:t>合格</w:t>
            </w:r>
            <w:r>
              <w:rPr>
                <w:rFonts w:hint="eastAsia" w:ascii="宋体" w:hAnsi="宋体" w:eastAsia="宋体" w:cs="宋体"/>
                <w:color w:val="auto"/>
                <w:spacing w:val="7"/>
                <w:sz w:val="21"/>
                <w:szCs w:val="21"/>
                <w:highlight w:val="none"/>
                <w:u w:val="single" w:color="auto"/>
                <w:lang w:eastAsia="zh-CN"/>
              </w:rPr>
              <w:t>（</w:t>
            </w:r>
            <w:r>
              <w:rPr>
                <w:rFonts w:hint="eastAsia" w:ascii="宋体" w:hAnsi="宋体" w:eastAsia="宋体" w:cs="宋体"/>
                <w:color w:val="auto"/>
                <w:spacing w:val="7"/>
                <w:sz w:val="21"/>
                <w:szCs w:val="21"/>
                <w:highlight w:val="none"/>
                <w:u w:val="single" w:color="auto"/>
                <w:lang w:val="en-US" w:eastAsia="zh-CN"/>
              </w:rPr>
              <w:t>或以上</w:t>
            </w:r>
            <w:r>
              <w:rPr>
                <w:rFonts w:hint="eastAsia" w:ascii="宋体" w:hAnsi="宋体" w:eastAsia="宋体" w:cs="宋体"/>
                <w:color w:val="auto"/>
                <w:spacing w:val="7"/>
                <w:sz w:val="21"/>
                <w:szCs w:val="21"/>
                <w:highlight w:val="none"/>
                <w:u w:val="single" w:color="auto"/>
                <w:lang w:eastAsia="zh-CN"/>
              </w:rPr>
              <w:t>）</w:t>
            </w:r>
            <w:r>
              <w:rPr>
                <w:color w:val="auto"/>
                <w:spacing w:val="-2"/>
                <w:highlight w:val="none"/>
              </w:rPr>
              <w:t>。</w:t>
            </w:r>
          </w:p>
        </w:tc>
      </w:tr>
      <w:tr w14:paraId="594D9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1185" w:type="dxa"/>
            <w:vAlign w:val="top"/>
          </w:tcPr>
          <w:p w14:paraId="55341251">
            <w:pPr>
              <w:spacing w:line="419" w:lineRule="auto"/>
              <w:rPr>
                <w:rFonts w:ascii="Arial"/>
                <w:color w:val="auto"/>
                <w:sz w:val="21"/>
                <w:highlight w:val="none"/>
              </w:rPr>
            </w:pPr>
          </w:p>
          <w:p w14:paraId="4EFB124C">
            <w:pPr>
              <w:pStyle w:val="17"/>
              <w:spacing w:before="68" w:line="239" w:lineRule="auto"/>
              <w:ind w:left="349"/>
              <w:rPr>
                <w:color w:val="auto"/>
                <w:highlight w:val="none"/>
              </w:rPr>
            </w:pPr>
            <w:r>
              <w:rPr>
                <w:color w:val="auto"/>
                <w:spacing w:val="-5"/>
                <w:highlight w:val="none"/>
              </w:rPr>
              <w:t>1.3.4</w:t>
            </w:r>
          </w:p>
        </w:tc>
        <w:tc>
          <w:tcPr>
            <w:tcW w:w="2443" w:type="dxa"/>
            <w:vAlign w:val="top"/>
          </w:tcPr>
          <w:p w14:paraId="35EAFA22">
            <w:pPr>
              <w:spacing w:line="419" w:lineRule="auto"/>
              <w:rPr>
                <w:rFonts w:ascii="Arial"/>
                <w:color w:val="auto"/>
                <w:sz w:val="21"/>
                <w:highlight w:val="none"/>
              </w:rPr>
            </w:pPr>
          </w:p>
          <w:p w14:paraId="2F2115A0">
            <w:pPr>
              <w:pStyle w:val="17"/>
              <w:spacing w:before="68" w:line="220" w:lineRule="auto"/>
              <w:ind w:left="809"/>
              <w:rPr>
                <w:color w:val="auto"/>
                <w:highlight w:val="none"/>
              </w:rPr>
            </w:pPr>
            <w:r>
              <w:rPr>
                <w:color w:val="auto"/>
                <w:spacing w:val="-3"/>
                <w:highlight w:val="none"/>
              </w:rPr>
              <w:t>安全目标</w:t>
            </w:r>
          </w:p>
        </w:tc>
        <w:tc>
          <w:tcPr>
            <w:tcW w:w="5664" w:type="dxa"/>
            <w:vAlign w:val="top"/>
          </w:tcPr>
          <w:p w14:paraId="66E43B2C">
            <w:pPr>
              <w:pStyle w:val="17"/>
              <w:spacing w:before="289" w:line="353" w:lineRule="auto"/>
              <w:ind w:left="116" w:right="107" w:hanging="2"/>
              <w:rPr>
                <w:color w:val="auto"/>
                <w:highlight w:val="none"/>
              </w:rPr>
            </w:pPr>
            <w:r>
              <w:rPr>
                <w:color w:val="auto"/>
                <w:spacing w:val="-1"/>
                <w:highlight w:val="none"/>
              </w:rPr>
              <w:t>严格执行有关安全生产的法律法规和规章制度，确保项目建</w:t>
            </w:r>
            <w:r>
              <w:rPr>
                <w:color w:val="auto"/>
                <w:spacing w:val="-3"/>
                <w:highlight w:val="none"/>
              </w:rPr>
              <w:t>设期内</w:t>
            </w:r>
            <w:r>
              <w:rPr>
                <w:rFonts w:hint="eastAsia"/>
                <w:color w:val="auto"/>
                <w:spacing w:val="4"/>
                <w:highlight w:val="none"/>
                <w:u w:val="single" w:color="auto"/>
              </w:rPr>
              <w:t>无安全生产责任事故</w:t>
            </w:r>
            <w:r>
              <w:rPr>
                <w:color w:val="auto"/>
                <w:spacing w:val="-3"/>
                <w:highlight w:val="none"/>
              </w:rPr>
              <w:t>。</w:t>
            </w:r>
          </w:p>
        </w:tc>
      </w:tr>
    </w:tbl>
    <w:p w14:paraId="03F2D7EE">
      <w:pPr>
        <w:spacing w:line="217" w:lineRule="auto"/>
        <w:rPr>
          <w:rFonts w:ascii="宋体" w:hAnsi="宋体" w:eastAsia="宋体" w:cs="宋体"/>
          <w:color w:val="auto"/>
          <w:sz w:val="18"/>
          <w:szCs w:val="18"/>
          <w:highlight w:val="none"/>
        </w:rPr>
        <w:sectPr>
          <w:headerReference r:id="rId18" w:type="default"/>
          <w:footerReference r:id="rId19" w:type="default"/>
          <w:pgSz w:w="11905" w:h="16840"/>
          <w:pgMar w:top="1182" w:right="0" w:bottom="1171" w:left="0" w:header="849" w:footer="937" w:gutter="0"/>
          <w:pgNumType w:fmt="decimal"/>
          <w:cols w:space="720" w:num="1"/>
        </w:sectPr>
      </w:pPr>
    </w:p>
    <w:p w14:paraId="1CCB3E33">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719F6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21292A3D">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219CFB8A">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6D8BC1E9">
            <w:pPr>
              <w:pStyle w:val="17"/>
              <w:spacing w:before="181" w:line="220" w:lineRule="auto"/>
              <w:ind w:left="2417"/>
              <w:rPr>
                <w:color w:val="auto"/>
                <w:highlight w:val="none"/>
              </w:rPr>
            </w:pPr>
            <w:r>
              <w:rPr>
                <w:b/>
                <w:bCs/>
                <w:color w:val="auto"/>
                <w:spacing w:val="-5"/>
                <w:highlight w:val="none"/>
              </w:rPr>
              <w:t>编列内容</w:t>
            </w:r>
          </w:p>
        </w:tc>
      </w:tr>
      <w:tr w14:paraId="76B0C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1185" w:type="dxa"/>
            <w:vAlign w:val="top"/>
          </w:tcPr>
          <w:p w14:paraId="0254D34D">
            <w:pPr>
              <w:spacing w:line="283" w:lineRule="auto"/>
              <w:rPr>
                <w:rFonts w:ascii="Arial"/>
                <w:color w:val="auto"/>
                <w:sz w:val="21"/>
                <w:highlight w:val="none"/>
              </w:rPr>
            </w:pPr>
          </w:p>
          <w:p w14:paraId="10F22722">
            <w:pPr>
              <w:spacing w:line="283" w:lineRule="auto"/>
              <w:rPr>
                <w:rFonts w:ascii="Arial"/>
                <w:color w:val="auto"/>
                <w:sz w:val="21"/>
                <w:highlight w:val="none"/>
              </w:rPr>
            </w:pPr>
          </w:p>
          <w:p w14:paraId="00C43D15">
            <w:pPr>
              <w:spacing w:line="283" w:lineRule="auto"/>
              <w:rPr>
                <w:rFonts w:ascii="Arial"/>
                <w:color w:val="auto"/>
                <w:sz w:val="21"/>
                <w:highlight w:val="none"/>
              </w:rPr>
            </w:pPr>
          </w:p>
          <w:p w14:paraId="0F70CC0A">
            <w:pPr>
              <w:spacing w:line="284" w:lineRule="auto"/>
              <w:rPr>
                <w:rFonts w:ascii="Arial"/>
                <w:color w:val="auto"/>
                <w:sz w:val="21"/>
                <w:highlight w:val="none"/>
              </w:rPr>
            </w:pPr>
          </w:p>
          <w:p w14:paraId="2D0F8E8C">
            <w:pPr>
              <w:pStyle w:val="17"/>
              <w:spacing w:before="68" w:line="287" w:lineRule="exact"/>
              <w:ind w:left="298"/>
              <w:rPr>
                <w:color w:val="auto"/>
                <w:sz w:val="10"/>
                <w:szCs w:val="10"/>
                <w:highlight w:val="none"/>
              </w:rPr>
            </w:pPr>
            <w:r>
              <w:rPr>
                <w:color w:val="auto"/>
                <w:spacing w:val="-4"/>
                <w:position w:val="-1"/>
                <w:highlight w:val="none"/>
              </w:rPr>
              <w:t>1.4.1</w:t>
            </w:r>
          </w:p>
        </w:tc>
        <w:tc>
          <w:tcPr>
            <w:tcW w:w="2443" w:type="dxa"/>
            <w:vAlign w:val="top"/>
          </w:tcPr>
          <w:p w14:paraId="54F8367E">
            <w:pPr>
              <w:spacing w:line="316" w:lineRule="auto"/>
              <w:rPr>
                <w:rFonts w:ascii="Arial"/>
                <w:color w:val="auto"/>
                <w:sz w:val="21"/>
                <w:highlight w:val="none"/>
              </w:rPr>
            </w:pPr>
          </w:p>
          <w:p w14:paraId="44D1C23C">
            <w:pPr>
              <w:spacing w:line="316" w:lineRule="auto"/>
              <w:rPr>
                <w:rFonts w:ascii="Arial"/>
                <w:color w:val="auto"/>
                <w:sz w:val="21"/>
                <w:highlight w:val="none"/>
              </w:rPr>
            </w:pPr>
          </w:p>
          <w:p w14:paraId="3479E25F">
            <w:pPr>
              <w:spacing w:line="316" w:lineRule="auto"/>
              <w:rPr>
                <w:rFonts w:ascii="Arial"/>
                <w:color w:val="auto"/>
                <w:sz w:val="21"/>
                <w:highlight w:val="none"/>
              </w:rPr>
            </w:pPr>
          </w:p>
          <w:p w14:paraId="4DF89F20">
            <w:pPr>
              <w:pStyle w:val="17"/>
              <w:spacing w:before="68" w:line="220" w:lineRule="auto"/>
              <w:ind w:left="113"/>
              <w:rPr>
                <w:color w:val="auto"/>
                <w:highlight w:val="none"/>
              </w:rPr>
            </w:pPr>
            <w:r>
              <w:rPr>
                <w:color w:val="auto"/>
                <w:spacing w:val="-9"/>
                <w:highlight w:val="none"/>
              </w:rPr>
              <w:t>投标人资质条件、能力和</w:t>
            </w:r>
          </w:p>
          <w:p w14:paraId="29B978C7">
            <w:pPr>
              <w:pStyle w:val="17"/>
              <w:spacing w:before="150" w:line="219" w:lineRule="auto"/>
              <w:ind w:left="1015"/>
              <w:rPr>
                <w:color w:val="auto"/>
                <w:highlight w:val="none"/>
              </w:rPr>
            </w:pPr>
            <w:r>
              <w:rPr>
                <w:color w:val="auto"/>
                <w:spacing w:val="-3"/>
                <w:highlight w:val="none"/>
              </w:rPr>
              <w:t>信誉</w:t>
            </w:r>
          </w:p>
        </w:tc>
        <w:tc>
          <w:tcPr>
            <w:tcW w:w="5664" w:type="dxa"/>
            <w:vAlign w:val="top"/>
          </w:tcPr>
          <w:p w14:paraId="44A7DDEC">
            <w:pPr>
              <w:pStyle w:val="17"/>
              <w:spacing w:before="223" w:line="219" w:lineRule="auto"/>
              <w:ind w:left="122"/>
              <w:rPr>
                <w:color w:val="auto"/>
                <w:highlight w:val="none"/>
              </w:rPr>
            </w:pPr>
            <w:r>
              <w:rPr>
                <w:color w:val="auto"/>
                <w:spacing w:val="-2"/>
                <w:highlight w:val="none"/>
              </w:rPr>
              <w:t>资质条件：见附录</w:t>
            </w:r>
            <w:r>
              <w:rPr>
                <w:color w:val="auto"/>
                <w:spacing w:val="-30"/>
                <w:highlight w:val="none"/>
              </w:rPr>
              <w:t xml:space="preserve"> </w:t>
            </w:r>
            <w:r>
              <w:rPr>
                <w:color w:val="auto"/>
                <w:spacing w:val="-2"/>
                <w:highlight w:val="none"/>
              </w:rPr>
              <w:t>1</w:t>
            </w:r>
          </w:p>
          <w:p w14:paraId="24CEACB0">
            <w:pPr>
              <w:pStyle w:val="17"/>
              <w:spacing w:before="150" w:line="219" w:lineRule="auto"/>
              <w:ind w:left="114"/>
              <w:rPr>
                <w:color w:val="auto"/>
                <w:highlight w:val="none"/>
              </w:rPr>
            </w:pPr>
            <w:r>
              <w:rPr>
                <w:color w:val="auto"/>
                <w:spacing w:val="-2"/>
                <w:highlight w:val="none"/>
              </w:rPr>
              <w:t>财务要求：见附录</w:t>
            </w:r>
            <w:r>
              <w:rPr>
                <w:color w:val="auto"/>
                <w:spacing w:val="-35"/>
                <w:highlight w:val="none"/>
              </w:rPr>
              <w:t xml:space="preserve"> </w:t>
            </w:r>
            <w:r>
              <w:rPr>
                <w:color w:val="auto"/>
                <w:spacing w:val="-2"/>
                <w:highlight w:val="none"/>
              </w:rPr>
              <w:t>2</w:t>
            </w:r>
          </w:p>
          <w:p w14:paraId="0F05D406">
            <w:pPr>
              <w:pStyle w:val="17"/>
              <w:spacing w:before="150" w:line="219" w:lineRule="auto"/>
              <w:ind w:left="112"/>
              <w:rPr>
                <w:color w:val="auto"/>
                <w:highlight w:val="none"/>
              </w:rPr>
            </w:pPr>
            <w:r>
              <w:rPr>
                <w:color w:val="auto"/>
                <w:spacing w:val="-1"/>
                <w:highlight w:val="none"/>
              </w:rPr>
              <w:t>业绩要求：见附录</w:t>
            </w:r>
            <w:r>
              <w:rPr>
                <w:color w:val="auto"/>
                <w:spacing w:val="-41"/>
                <w:highlight w:val="none"/>
              </w:rPr>
              <w:t xml:space="preserve"> </w:t>
            </w:r>
            <w:r>
              <w:rPr>
                <w:color w:val="auto"/>
                <w:spacing w:val="-1"/>
                <w:highlight w:val="none"/>
              </w:rPr>
              <w:t>3</w:t>
            </w:r>
          </w:p>
          <w:p w14:paraId="3EAF3A6F">
            <w:pPr>
              <w:pStyle w:val="17"/>
              <w:spacing w:before="151" w:line="219" w:lineRule="auto"/>
              <w:ind w:left="113"/>
              <w:rPr>
                <w:color w:val="auto"/>
                <w:highlight w:val="none"/>
              </w:rPr>
            </w:pPr>
            <w:r>
              <w:rPr>
                <w:color w:val="auto"/>
                <w:spacing w:val="-1"/>
                <w:highlight w:val="none"/>
              </w:rPr>
              <w:t>信誉要求：见附录</w:t>
            </w:r>
            <w:r>
              <w:rPr>
                <w:color w:val="auto"/>
                <w:spacing w:val="-47"/>
                <w:highlight w:val="none"/>
              </w:rPr>
              <w:t xml:space="preserve"> </w:t>
            </w:r>
            <w:r>
              <w:rPr>
                <w:color w:val="auto"/>
                <w:spacing w:val="-1"/>
                <w:highlight w:val="none"/>
              </w:rPr>
              <w:t>4</w:t>
            </w:r>
          </w:p>
          <w:p w14:paraId="7D67E9C7">
            <w:pPr>
              <w:pStyle w:val="17"/>
              <w:spacing w:before="150" w:line="219" w:lineRule="auto"/>
              <w:ind w:left="116"/>
              <w:rPr>
                <w:color w:val="auto"/>
                <w:highlight w:val="none"/>
              </w:rPr>
            </w:pPr>
            <w:r>
              <w:rPr>
                <w:color w:val="auto"/>
                <w:spacing w:val="-1"/>
                <w:highlight w:val="none"/>
              </w:rPr>
              <w:t>项目经理和项目总工等主要管理人员资格：见附录</w:t>
            </w:r>
            <w:r>
              <w:rPr>
                <w:color w:val="auto"/>
                <w:spacing w:val="-31"/>
                <w:highlight w:val="none"/>
              </w:rPr>
              <w:t xml:space="preserve"> </w:t>
            </w:r>
            <w:r>
              <w:rPr>
                <w:color w:val="auto"/>
                <w:spacing w:val="-1"/>
                <w:highlight w:val="none"/>
              </w:rPr>
              <w:t>5</w:t>
            </w:r>
          </w:p>
          <w:p w14:paraId="2E032433">
            <w:pPr>
              <w:pStyle w:val="17"/>
              <w:spacing w:before="136" w:line="233" w:lineRule="auto"/>
              <w:ind w:left="114"/>
              <w:rPr>
                <w:color w:val="auto"/>
                <w:sz w:val="10"/>
                <w:szCs w:val="10"/>
                <w:highlight w:val="none"/>
              </w:rPr>
            </w:pPr>
            <w:r>
              <w:rPr>
                <w:color w:val="auto"/>
                <w:spacing w:val="-1"/>
                <w:highlight w:val="none"/>
              </w:rPr>
              <w:t>其他要求：</w:t>
            </w:r>
            <w:r>
              <w:rPr>
                <w:rFonts w:hint="eastAsia" w:ascii="宋体" w:hAnsi="宋体" w:eastAsia="宋体" w:cs="宋体"/>
                <w:color w:val="auto"/>
                <w:kern w:val="21"/>
                <w:sz w:val="21"/>
                <w:szCs w:val="21"/>
                <w:highlight w:val="none"/>
                <w:lang w:val="en-US" w:eastAsia="zh-CN"/>
              </w:rPr>
              <w:t>/</w:t>
            </w:r>
          </w:p>
        </w:tc>
      </w:tr>
      <w:tr w14:paraId="5DFA4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185" w:type="dxa"/>
            <w:vAlign w:val="top"/>
          </w:tcPr>
          <w:p w14:paraId="639616E4">
            <w:pPr>
              <w:spacing w:line="288" w:lineRule="auto"/>
              <w:rPr>
                <w:rFonts w:ascii="Arial"/>
                <w:color w:val="auto"/>
                <w:sz w:val="21"/>
                <w:highlight w:val="none"/>
              </w:rPr>
            </w:pPr>
          </w:p>
          <w:p w14:paraId="12F89D6D">
            <w:pPr>
              <w:spacing w:line="288" w:lineRule="auto"/>
              <w:rPr>
                <w:rFonts w:ascii="Arial"/>
                <w:color w:val="auto"/>
                <w:sz w:val="21"/>
                <w:highlight w:val="none"/>
              </w:rPr>
            </w:pPr>
          </w:p>
          <w:p w14:paraId="245AD17E">
            <w:pPr>
              <w:spacing w:line="288" w:lineRule="auto"/>
              <w:rPr>
                <w:rFonts w:ascii="Arial"/>
                <w:color w:val="auto"/>
                <w:sz w:val="21"/>
                <w:highlight w:val="none"/>
              </w:rPr>
            </w:pPr>
          </w:p>
          <w:p w14:paraId="489D7AE6">
            <w:pPr>
              <w:pStyle w:val="17"/>
              <w:spacing w:before="68" w:line="239" w:lineRule="auto"/>
              <w:ind w:left="349"/>
              <w:rPr>
                <w:color w:val="auto"/>
                <w:highlight w:val="none"/>
              </w:rPr>
            </w:pPr>
            <w:r>
              <w:rPr>
                <w:color w:val="auto"/>
                <w:spacing w:val="-5"/>
                <w:highlight w:val="none"/>
              </w:rPr>
              <w:t>1.4.2</w:t>
            </w:r>
          </w:p>
        </w:tc>
        <w:tc>
          <w:tcPr>
            <w:tcW w:w="2443" w:type="dxa"/>
            <w:vAlign w:val="top"/>
          </w:tcPr>
          <w:p w14:paraId="20BCE2C8">
            <w:pPr>
              <w:spacing w:line="288" w:lineRule="auto"/>
              <w:rPr>
                <w:rFonts w:ascii="Arial"/>
                <w:color w:val="auto"/>
                <w:sz w:val="21"/>
                <w:highlight w:val="none"/>
              </w:rPr>
            </w:pPr>
          </w:p>
          <w:p w14:paraId="1CC894AE">
            <w:pPr>
              <w:spacing w:line="288" w:lineRule="auto"/>
              <w:rPr>
                <w:rFonts w:ascii="Arial"/>
                <w:color w:val="auto"/>
                <w:sz w:val="21"/>
                <w:highlight w:val="none"/>
              </w:rPr>
            </w:pPr>
          </w:p>
          <w:p w14:paraId="793B405B">
            <w:pPr>
              <w:spacing w:line="288" w:lineRule="auto"/>
              <w:rPr>
                <w:rFonts w:ascii="Arial"/>
                <w:color w:val="auto"/>
                <w:sz w:val="21"/>
                <w:highlight w:val="none"/>
              </w:rPr>
            </w:pPr>
          </w:p>
          <w:p w14:paraId="2BE0FE6E">
            <w:pPr>
              <w:pStyle w:val="17"/>
              <w:spacing w:before="68" w:line="220" w:lineRule="auto"/>
              <w:ind w:left="283"/>
              <w:rPr>
                <w:color w:val="auto"/>
                <w:highlight w:val="none"/>
              </w:rPr>
            </w:pPr>
            <w:r>
              <w:rPr>
                <w:color w:val="auto"/>
                <w:spacing w:val="-2"/>
                <w:highlight w:val="none"/>
              </w:rPr>
              <w:t>是否接受联合体投标</w:t>
            </w:r>
          </w:p>
        </w:tc>
        <w:tc>
          <w:tcPr>
            <w:tcW w:w="5664" w:type="dxa"/>
            <w:vAlign w:val="top"/>
          </w:tcPr>
          <w:p w14:paraId="08687FC2">
            <w:pPr>
              <w:pStyle w:val="17"/>
              <w:spacing w:before="139" w:line="221" w:lineRule="auto"/>
              <w:ind w:left="134"/>
              <w:rPr>
                <w:color w:val="auto"/>
                <w:highlight w:val="none"/>
              </w:rPr>
            </w:pPr>
            <w:r>
              <w:rPr>
                <w:rFonts w:hint="eastAsia"/>
                <w:color w:val="auto"/>
                <w:spacing w:val="-6"/>
                <w:highlight w:val="none"/>
                <w:lang w:eastAsia="zh-CN"/>
              </w:rPr>
              <w:t>☑</w:t>
            </w:r>
            <w:r>
              <w:rPr>
                <w:color w:val="auto"/>
                <w:spacing w:val="-6"/>
                <w:highlight w:val="none"/>
              </w:rPr>
              <w:t>不接受</w:t>
            </w:r>
          </w:p>
          <w:p w14:paraId="0B68B3AB">
            <w:pPr>
              <w:pStyle w:val="17"/>
              <w:spacing w:before="147" w:line="220" w:lineRule="auto"/>
              <w:ind w:left="134"/>
              <w:rPr>
                <w:color w:val="auto"/>
                <w:highlight w:val="none"/>
              </w:rPr>
            </w:pPr>
            <w:r>
              <w:rPr>
                <w:color w:val="auto"/>
                <w:spacing w:val="-6"/>
                <w:highlight w:val="none"/>
              </w:rPr>
              <w:t>□接受，应满足下列要求：</w:t>
            </w:r>
          </w:p>
          <w:p w14:paraId="40CEC958">
            <w:pPr>
              <w:pStyle w:val="17"/>
              <w:spacing w:before="149" w:line="220" w:lineRule="auto"/>
              <w:ind w:left="118"/>
              <w:rPr>
                <w:color w:val="auto"/>
                <w:highlight w:val="none"/>
              </w:rPr>
            </w:pPr>
            <w:r>
              <w:rPr>
                <w:color w:val="auto"/>
                <w:spacing w:val="-3"/>
                <w:highlight w:val="none"/>
              </w:rPr>
              <w:t>（1）联合体所有成员数量不得超过</w:t>
            </w:r>
            <w:r>
              <w:rPr>
                <w:color w:val="auto"/>
                <w:spacing w:val="-96"/>
                <w:highlight w:val="none"/>
              </w:rPr>
              <w:t xml:space="preserve"> </w:t>
            </w:r>
            <w:r>
              <w:rPr>
                <w:color w:val="auto"/>
                <w:highlight w:val="none"/>
                <w:u w:val="single" w:color="auto"/>
              </w:rPr>
              <w:t xml:space="preserve">    </w:t>
            </w:r>
            <w:r>
              <w:rPr>
                <w:color w:val="auto"/>
                <w:spacing w:val="-96"/>
                <w:highlight w:val="none"/>
              </w:rPr>
              <w:t xml:space="preserve"> </w:t>
            </w:r>
            <w:r>
              <w:rPr>
                <w:color w:val="auto"/>
                <w:spacing w:val="-3"/>
                <w:highlight w:val="none"/>
              </w:rPr>
              <w:t>家；</w:t>
            </w:r>
          </w:p>
          <w:p w14:paraId="59A018B5">
            <w:pPr>
              <w:pStyle w:val="17"/>
              <w:spacing w:before="150" w:line="288" w:lineRule="auto"/>
              <w:ind w:left="125" w:right="2033" w:hanging="7"/>
              <w:rPr>
                <w:color w:val="auto"/>
                <w:highlight w:val="none"/>
              </w:rPr>
            </w:pPr>
            <w:r>
              <w:rPr>
                <w:color w:val="auto"/>
                <w:spacing w:val="-7"/>
                <w:highlight w:val="none"/>
              </w:rPr>
              <w:t>（2）联合体牵头人应具备</w:t>
            </w:r>
            <w:r>
              <w:rPr>
                <w:color w:val="auto"/>
                <w:spacing w:val="-82"/>
                <w:highlight w:val="none"/>
              </w:rPr>
              <w:t xml:space="preserve"> </w:t>
            </w:r>
            <w:r>
              <w:rPr>
                <w:color w:val="auto"/>
                <w:highlight w:val="none"/>
                <w:u w:val="single" w:color="auto"/>
              </w:rPr>
              <w:t xml:space="preserve">     </w:t>
            </w:r>
            <w:r>
              <w:rPr>
                <w:color w:val="auto"/>
                <w:spacing w:val="-88"/>
                <w:highlight w:val="none"/>
              </w:rPr>
              <w:t xml:space="preserve"> </w:t>
            </w:r>
            <w:r>
              <w:rPr>
                <w:color w:val="auto"/>
                <w:spacing w:val="-7"/>
                <w:highlight w:val="none"/>
              </w:rPr>
              <w:t>资质；</w:t>
            </w:r>
            <w:r>
              <w:rPr>
                <w:color w:val="auto"/>
                <w:highlight w:val="none"/>
              </w:rPr>
              <w:t xml:space="preserve"> </w:t>
            </w:r>
            <w:r>
              <w:rPr>
                <w:color w:val="auto"/>
                <w:spacing w:val="-6"/>
                <w:highlight w:val="none"/>
              </w:rPr>
              <w:t>……</w:t>
            </w:r>
          </w:p>
        </w:tc>
      </w:tr>
      <w:tr w14:paraId="753A3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185" w:type="dxa"/>
            <w:vAlign w:val="top"/>
          </w:tcPr>
          <w:p w14:paraId="24FA6129">
            <w:pPr>
              <w:spacing w:line="269" w:lineRule="auto"/>
              <w:rPr>
                <w:rFonts w:ascii="Arial"/>
                <w:color w:val="auto"/>
                <w:sz w:val="21"/>
                <w:highlight w:val="none"/>
              </w:rPr>
            </w:pPr>
          </w:p>
          <w:p w14:paraId="5E4D38D4">
            <w:pPr>
              <w:pStyle w:val="17"/>
              <w:spacing w:before="69" w:line="239" w:lineRule="auto"/>
              <w:ind w:left="349"/>
              <w:rPr>
                <w:color w:val="auto"/>
                <w:highlight w:val="none"/>
              </w:rPr>
            </w:pPr>
            <w:r>
              <w:rPr>
                <w:color w:val="auto"/>
                <w:spacing w:val="-5"/>
                <w:highlight w:val="none"/>
              </w:rPr>
              <w:t>1.4.3</w:t>
            </w:r>
          </w:p>
        </w:tc>
        <w:tc>
          <w:tcPr>
            <w:tcW w:w="2443" w:type="dxa"/>
            <w:vAlign w:val="top"/>
          </w:tcPr>
          <w:p w14:paraId="6ED101D9">
            <w:pPr>
              <w:pStyle w:val="17"/>
              <w:spacing w:before="141" w:line="287" w:lineRule="auto"/>
              <w:ind w:left="807" w:right="170" w:hanging="630"/>
              <w:rPr>
                <w:color w:val="auto"/>
                <w:highlight w:val="none"/>
              </w:rPr>
            </w:pPr>
            <w:r>
              <w:rPr>
                <w:color w:val="auto"/>
                <w:spacing w:val="-2"/>
                <w:highlight w:val="none"/>
              </w:rPr>
              <w:t>投标人不得存在的其他</w:t>
            </w:r>
            <w:r>
              <w:rPr>
                <w:color w:val="auto"/>
                <w:spacing w:val="-3"/>
                <w:highlight w:val="none"/>
              </w:rPr>
              <w:t>关联情形</w:t>
            </w:r>
          </w:p>
        </w:tc>
        <w:tc>
          <w:tcPr>
            <w:tcW w:w="5664" w:type="dxa"/>
            <w:vAlign w:val="top"/>
          </w:tcPr>
          <w:p w14:paraId="2814F119">
            <w:pPr>
              <w:rPr>
                <w:rFonts w:hint="default" w:ascii="Arial" w:eastAsia="宋体"/>
                <w:color w:val="auto"/>
                <w:sz w:val="21"/>
                <w:highlight w:val="none"/>
                <w:lang w:val="en-US" w:eastAsia="zh-CN"/>
              </w:rPr>
            </w:pPr>
            <w:r>
              <w:rPr>
                <w:rFonts w:hint="eastAsia" w:eastAsia="宋体"/>
                <w:color w:val="auto"/>
                <w:sz w:val="21"/>
                <w:highlight w:val="none"/>
                <w:lang w:val="en-US" w:eastAsia="zh-CN"/>
              </w:rPr>
              <w:t>/</w:t>
            </w:r>
          </w:p>
        </w:tc>
      </w:tr>
      <w:tr w14:paraId="1AF48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185" w:type="dxa"/>
            <w:vAlign w:val="top"/>
          </w:tcPr>
          <w:p w14:paraId="5208B9E4">
            <w:pPr>
              <w:spacing w:line="470" w:lineRule="auto"/>
              <w:rPr>
                <w:rFonts w:ascii="Arial"/>
                <w:color w:val="auto"/>
                <w:sz w:val="21"/>
                <w:highlight w:val="none"/>
              </w:rPr>
            </w:pPr>
          </w:p>
          <w:p w14:paraId="13D0690F">
            <w:pPr>
              <w:pStyle w:val="17"/>
              <w:spacing w:before="68" w:line="239" w:lineRule="auto"/>
              <w:ind w:left="349"/>
              <w:rPr>
                <w:color w:val="auto"/>
                <w:highlight w:val="none"/>
              </w:rPr>
            </w:pPr>
            <w:r>
              <w:rPr>
                <w:color w:val="auto"/>
                <w:spacing w:val="-5"/>
                <w:highlight w:val="none"/>
              </w:rPr>
              <w:t>1.4.4</w:t>
            </w:r>
          </w:p>
        </w:tc>
        <w:tc>
          <w:tcPr>
            <w:tcW w:w="2443" w:type="dxa"/>
            <w:vAlign w:val="top"/>
          </w:tcPr>
          <w:p w14:paraId="62F472DC">
            <w:pPr>
              <w:pStyle w:val="17"/>
              <w:spacing w:before="141" w:line="220" w:lineRule="auto"/>
              <w:ind w:left="177"/>
              <w:rPr>
                <w:color w:val="auto"/>
                <w:highlight w:val="none"/>
              </w:rPr>
            </w:pPr>
            <w:r>
              <w:rPr>
                <w:color w:val="auto"/>
                <w:spacing w:val="-1"/>
                <w:highlight w:val="none"/>
              </w:rPr>
              <w:t>投标人不得存在的其他</w:t>
            </w:r>
          </w:p>
          <w:p w14:paraId="49F3C4CE">
            <w:pPr>
              <w:pStyle w:val="17"/>
              <w:spacing w:before="149" w:line="220" w:lineRule="auto"/>
              <w:ind w:left="178"/>
              <w:rPr>
                <w:color w:val="auto"/>
                <w:highlight w:val="none"/>
              </w:rPr>
            </w:pPr>
            <w:r>
              <w:rPr>
                <w:color w:val="auto"/>
                <w:spacing w:val="-2"/>
                <w:highlight w:val="none"/>
              </w:rPr>
              <w:t>不良状况或不良信用记</w:t>
            </w:r>
          </w:p>
          <w:p w14:paraId="44249428">
            <w:pPr>
              <w:pStyle w:val="17"/>
              <w:spacing w:before="149" w:line="222" w:lineRule="auto"/>
              <w:ind w:left="1120"/>
              <w:rPr>
                <w:color w:val="auto"/>
                <w:highlight w:val="none"/>
              </w:rPr>
            </w:pPr>
            <w:r>
              <w:rPr>
                <w:color w:val="auto"/>
                <w:highlight w:val="none"/>
              </w:rPr>
              <w:t>录</w:t>
            </w:r>
          </w:p>
        </w:tc>
        <w:tc>
          <w:tcPr>
            <w:tcW w:w="5664" w:type="dxa"/>
            <w:vAlign w:val="top"/>
          </w:tcPr>
          <w:p w14:paraId="121F330A">
            <w:pPr>
              <w:rPr>
                <w:rFonts w:ascii="Arial"/>
                <w:color w:val="auto"/>
                <w:sz w:val="21"/>
                <w:highlight w:val="none"/>
              </w:rPr>
            </w:pPr>
            <w:r>
              <w:rPr>
                <w:rFonts w:hint="eastAsia" w:ascii="宋体" w:hAnsi="宋体" w:eastAsia="宋体" w:cs="宋体"/>
                <w:color w:val="auto"/>
                <w:kern w:val="21"/>
                <w:sz w:val="21"/>
                <w:szCs w:val="21"/>
                <w:highlight w:val="none"/>
                <w:lang w:val="en-US" w:eastAsia="zh-CN"/>
              </w:rPr>
              <w:t>在本项目投标期间被广州市交通运输局或增城区交通运输局明令取消、暂停、禁止参与投标且在处罚有效期内。</w:t>
            </w:r>
          </w:p>
        </w:tc>
      </w:tr>
      <w:tr w14:paraId="0CF7A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Merge w:val="restart"/>
            <w:tcBorders>
              <w:bottom w:val="nil"/>
            </w:tcBorders>
            <w:vAlign w:val="top"/>
          </w:tcPr>
          <w:p w14:paraId="671FE1BB">
            <w:pPr>
              <w:spacing w:line="443" w:lineRule="auto"/>
              <w:rPr>
                <w:rFonts w:ascii="Arial"/>
                <w:color w:val="auto"/>
                <w:sz w:val="21"/>
                <w:highlight w:val="none"/>
              </w:rPr>
            </w:pPr>
          </w:p>
          <w:p w14:paraId="545231AF">
            <w:pPr>
              <w:pStyle w:val="17"/>
              <w:spacing w:before="68" w:line="239" w:lineRule="auto"/>
              <w:ind w:left="298"/>
              <w:rPr>
                <w:color w:val="auto"/>
                <w:highlight w:val="none"/>
              </w:rPr>
            </w:pPr>
            <w:r>
              <w:rPr>
                <w:color w:val="auto"/>
                <w:spacing w:val="-4"/>
                <w:highlight w:val="none"/>
              </w:rPr>
              <w:t>1.10.2</w:t>
            </w:r>
          </w:p>
        </w:tc>
        <w:tc>
          <w:tcPr>
            <w:tcW w:w="2443" w:type="dxa"/>
            <w:vMerge w:val="restart"/>
            <w:tcBorders>
              <w:bottom w:val="nil"/>
            </w:tcBorders>
            <w:vAlign w:val="top"/>
          </w:tcPr>
          <w:p w14:paraId="31B8A5B2">
            <w:pPr>
              <w:spacing w:line="243" w:lineRule="auto"/>
              <w:rPr>
                <w:rFonts w:ascii="Arial"/>
                <w:color w:val="auto"/>
                <w:sz w:val="21"/>
                <w:highlight w:val="none"/>
              </w:rPr>
            </w:pPr>
          </w:p>
          <w:p w14:paraId="04A70E6D">
            <w:pPr>
              <w:pStyle w:val="17"/>
              <w:spacing w:before="68" w:line="355" w:lineRule="auto"/>
              <w:ind w:left="805" w:right="170" w:hanging="628"/>
              <w:rPr>
                <w:color w:val="auto"/>
                <w:highlight w:val="none"/>
              </w:rPr>
            </w:pPr>
            <w:r>
              <w:rPr>
                <w:color w:val="auto"/>
                <w:spacing w:val="-2"/>
                <w:highlight w:val="none"/>
              </w:rPr>
              <w:t>投标人在投标预备会前提出问题</w:t>
            </w:r>
          </w:p>
        </w:tc>
        <w:tc>
          <w:tcPr>
            <w:tcW w:w="5664" w:type="dxa"/>
            <w:vAlign w:val="top"/>
          </w:tcPr>
          <w:p w14:paraId="758C5328">
            <w:pPr>
              <w:pStyle w:val="17"/>
              <w:spacing w:before="224" w:line="219" w:lineRule="auto"/>
              <w:ind w:left="123"/>
              <w:rPr>
                <w:color w:val="auto"/>
                <w:highlight w:val="none"/>
              </w:rPr>
            </w:pPr>
            <w:r>
              <w:rPr>
                <w:color w:val="auto"/>
                <w:spacing w:val="-3"/>
                <w:highlight w:val="none"/>
              </w:rPr>
              <w:t>时间：</w:t>
            </w:r>
            <w:r>
              <w:rPr>
                <w:rFonts w:hint="eastAsia" w:ascii="宋体" w:hAnsi="宋体" w:eastAsia="宋体" w:cs="宋体"/>
                <w:color w:val="auto"/>
                <w:kern w:val="21"/>
                <w:sz w:val="21"/>
                <w:szCs w:val="21"/>
                <w:highlight w:val="none"/>
                <w:lang w:val="en-US" w:eastAsia="zh-CN"/>
              </w:rPr>
              <w:t>不召开投标预备会</w:t>
            </w:r>
          </w:p>
        </w:tc>
      </w:tr>
      <w:tr w14:paraId="55370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Merge w:val="continue"/>
            <w:tcBorders>
              <w:top w:val="nil"/>
            </w:tcBorders>
            <w:vAlign w:val="top"/>
          </w:tcPr>
          <w:p w14:paraId="415170D3">
            <w:pPr>
              <w:rPr>
                <w:rFonts w:ascii="Arial"/>
                <w:color w:val="auto"/>
                <w:sz w:val="21"/>
                <w:highlight w:val="none"/>
              </w:rPr>
            </w:pPr>
          </w:p>
        </w:tc>
        <w:tc>
          <w:tcPr>
            <w:tcW w:w="2443" w:type="dxa"/>
            <w:vMerge w:val="continue"/>
            <w:tcBorders>
              <w:top w:val="nil"/>
            </w:tcBorders>
            <w:vAlign w:val="top"/>
          </w:tcPr>
          <w:p w14:paraId="4EAEC108">
            <w:pPr>
              <w:rPr>
                <w:rFonts w:ascii="Arial"/>
                <w:color w:val="auto"/>
                <w:sz w:val="21"/>
                <w:highlight w:val="none"/>
              </w:rPr>
            </w:pPr>
          </w:p>
        </w:tc>
        <w:tc>
          <w:tcPr>
            <w:tcW w:w="5664" w:type="dxa"/>
            <w:vAlign w:val="top"/>
          </w:tcPr>
          <w:p w14:paraId="73FBCE48">
            <w:pPr>
              <w:pStyle w:val="17"/>
              <w:spacing w:before="225" w:line="220" w:lineRule="auto"/>
              <w:ind w:left="115"/>
              <w:rPr>
                <w:color w:val="auto"/>
                <w:highlight w:val="none"/>
              </w:rPr>
            </w:pPr>
            <w:r>
              <w:rPr>
                <w:color w:val="auto"/>
                <w:spacing w:val="-1"/>
                <w:highlight w:val="none"/>
              </w:rPr>
              <w:t>形式：</w:t>
            </w:r>
            <w:r>
              <w:rPr>
                <w:rFonts w:hint="eastAsia" w:ascii="宋体" w:hAnsi="宋体" w:eastAsia="宋体" w:cs="宋体"/>
                <w:color w:val="auto"/>
                <w:kern w:val="21"/>
                <w:sz w:val="21"/>
                <w:szCs w:val="21"/>
                <w:highlight w:val="none"/>
                <w:lang w:val="en-US" w:eastAsia="zh-CN"/>
              </w:rPr>
              <w:t>不召开投标预备会</w:t>
            </w:r>
          </w:p>
        </w:tc>
      </w:tr>
      <w:tr w14:paraId="5E55F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4" w:hRule="atLeast"/>
        </w:trPr>
        <w:tc>
          <w:tcPr>
            <w:tcW w:w="1185" w:type="dxa"/>
            <w:vAlign w:val="top"/>
          </w:tcPr>
          <w:p w14:paraId="33BFC2C6">
            <w:pPr>
              <w:spacing w:line="299" w:lineRule="auto"/>
              <w:rPr>
                <w:rFonts w:ascii="Arial"/>
                <w:color w:val="auto"/>
                <w:sz w:val="21"/>
                <w:highlight w:val="none"/>
              </w:rPr>
            </w:pPr>
          </w:p>
          <w:p w14:paraId="0F857257">
            <w:pPr>
              <w:spacing w:line="299" w:lineRule="auto"/>
              <w:rPr>
                <w:rFonts w:ascii="Arial"/>
                <w:color w:val="auto"/>
                <w:sz w:val="21"/>
                <w:highlight w:val="none"/>
              </w:rPr>
            </w:pPr>
          </w:p>
          <w:p w14:paraId="033D30A4">
            <w:pPr>
              <w:spacing w:line="299" w:lineRule="auto"/>
              <w:rPr>
                <w:rFonts w:ascii="Arial"/>
                <w:color w:val="auto"/>
                <w:sz w:val="21"/>
                <w:highlight w:val="none"/>
              </w:rPr>
            </w:pPr>
          </w:p>
          <w:p w14:paraId="69AA4FF6">
            <w:pPr>
              <w:spacing w:line="299" w:lineRule="auto"/>
              <w:rPr>
                <w:rFonts w:ascii="Arial"/>
                <w:color w:val="auto"/>
                <w:sz w:val="21"/>
                <w:highlight w:val="none"/>
              </w:rPr>
            </w:pPr>
          </w:p>
          <w:p w14:paraId="68BAA5C5">
            <w:pPr>
              <w:pStyle w:val="17"/>
              <w:spacing w:before="68" w:line="239" w:lineRule="auto"/>
              <w:ind w:left="403"/>
              <w:rPr>
                <w:color w:val="auto"/>
                <w:highlight w:val="none"/>
              </w:rPr>
            </w:pPr>
            <w:r>
              <w:rPr>
                <w:color w:val="auto"/>
                <w:spacing w:val="-6"/>
                <w:highlight w:val="none"/>
              </w:rPr>
              <w:t>1.11</w:t>
            </w:r>
          </w:p>
        </w:tc>
        <w:tc>
          <w:tcPr>
            <w:tcW w:w="2443" w:type="dxa"/>
            <w:vAlign w:val="top"/>
          </w:tcPr>
          <w:p w14:paraId="2F6FBBDB">
            <w:pPr>
              <w:spacing w:line="299" w:lineRule="auto"/>
              <w:rPr>
                <w:rFonts w:ascii="Arial"/>
                <w:color w:val="auto"/>
                <w:sz w:val="21"/>
                <w:highlight w:val="none"/>
              </w:rPr>
            </w:pPr>
          </w:p>
          <w:p w14:paraId="7D8A30E3">
            <w:pPr>
              <w:spacing w:line="299" w:lineRule="auto"/>
              <w:rPr>
                <w:rFonts w:ascii="Arial"/>
                <w:color w:val="auto"/>
                <w:sz w:val="21"/>
                <w:highlight w:val="none"/>
              </w:rPr>
            </w:pPr>
          </w:p>
          <w:p w14:paraId="4149EBE1">
            <w:pPr>
              <w:spacing w:line="299" w:lineRule="auto"/>
              <w:rPr>
                <w:rFonts w:ascii="Arial"/>
                <w:color w:val="auto"/>
                <w:sz w:val="21"/>
                <w:highlight w:val="none"/>
              </w:rPr>
            </w:pPr>
          </w:p>
          <w:p w14:paraId="592E48AB">
            <w:pPr>
              <w:spacing w:line="299" w:lineRule="auto"/>
              <w:rPr>
                <w:rFonts w:ascii="Arial"/>
                <w:color w:val="auto"/>
                <w:sz w:val="21"/>
                <w:highlight w:val="none"/>
              </w:rPr>
            </w:pPr>
          </w:p>
          <w:p w14:paraId="0DD05014">
            <w:pPr>
              <w:pStyle w:val="17"/>
              <w:spacing w:before="68" w:line="220" w:lineRule="auto"/>
              <w:ind w:left="1017"/>
              <w:rPr>
                <w:color w:val="auto"/>
                <w:highlight w:val="none"/>
              </w:rPr>
            </w:pPr>
            <w:r>
              <w:rPr>
                <w:color w:val="auto"/>
                <w:spacing w:val="-3"/>
                <w:highlight w:val="none"/>
              </w:rPr>
              <w:t>分包</w:t>
            </w:r>
          </w:p>
        </w:tc>
        <w:tc>
          <w:tcPr>
            <w:tcW w:w="5664" w:type="dxa"/>
            <w:vAlign w:val="top"/>
          </w:tcPr>
          <w:p w14:paraId="1E0BC863">
            <w:pPr>
              <w:pStyle w:val="17"/>
              <w:spacing w:before="271" w:line="352" w:lineRule="auto"/>
              <w:ind w:left="114" w:right="107" w:firstLine="1"/>
              <w:rPr>
                <w:color w:val="auto"/>
                <w:highlight w:val="none"/>
              </w:rPr>
            </w:pPr>
            <w:r>
              <w:rPr>
                <w:color w:val="auto"/>
                <w:spacing w:val="-1"/>
                <w:highlight w:val="none"/>
              </w:rPr>
              <w:t>投标人拟在中标后将中标项目的部分工程进行分包的，应符</w:t>
            </w:r>
            <w:r>
              <w:rPr>
                <w:color w:val="auto"/>
                <w:spacing w:val="-8"/>
                <w:highlight w:val="none"/>
              </w:rPr>
              <w:t>合以下规定：</w:t>
            </w:r>
          </w:p>
          <w:p w14:paraId="6C5EB00B">
            <w:pPr>
              <w:pStyle w:val="17"/>
              <w:spacing w:line="286" w:lineRule="auto"/>
              <w:ind w:left="114" w:right="199" w:firstLine="3"/>
              <w:rPr>
                <w:color w:val="auto"/>
                <w:highlight w:val="none"/>
              </w:rPr>
            </w:pPr>
            <w:r>
              <w:rPr>
                <w:color w:val="auto"/>
                <w:spacing w:val="-2"/>
                <w:highlight w:val="none"/>
              </w:rPr>
              <w:t>（1）分包内容满足项目专用合同条款第</w:t>
            </w:r>
            <w:r>
              <w:rPr>
                <w:color w:val="auto"/>
                <w:spacing w:val="-24"/>
                <w:highlight w:val="none"/>
              </w:rPr>
              <w:t xml:space="preserve"> </w:t>
            </w:r>
            <w:r>
              <w:rPr>
                <w:color w:val="auto"/>
                <w:spacing w:val="-2"/>
                <w:highlight w:val="none"/>
              </w:rPr>
              <w:t>4.3.2</w:t>
            </w:r>
            <w:r>
              <w:rPr>
                <w:color w:val="auto"/>
                <w:spacing w:val="-41"/>
                <w:highlight w:val="none"/>
              </w:rPr>
              <w:t xml:space="preserve"> </w:t>
            </w:r>
            <w:r>
              <w:rPr>
                <w:color w:val="auto"/>
                <w:spacing w:val="-2"/>
                <w:highlight w:val="none"/>
              </w:rPr>
              <w:t>项的相关要</w:t>
            </w:r>
            <w:r>
              <w:rPr>
                <w:color w:val="auto"/>
                <w:spacing w:val="-15"/>
                <w:highlight w:val="none"/>
              </w:rPr>
              <w:t>求；</w:t>
            </w:r>
          </w:p>
          <w:p w14:paraId="57CF6C7D">
            <w:pPr>
              <w:pStyle w:val="17"/>
              <w:spacing w:before="148" w:line="286" w:lineRule="auto"/>
              <w:ind w:left="129" w:right="199" w:hanging="11"/>
              <w:rPr>
                <w:color w:val="auto"/>
                <w:highlight w:val="none"/>
              </w:rPr>
            </w:pPr>
            <w:r>
              <w:rPr>
                <w:color w:val="auto"/>
                <w:spacing w:val="-2"/>
                <w:highlight w:val="none"/>
              </w:rPr>
              <w:t>（2）分包人的资格条件满足项目专用合同条款第</w:t>
            </w:r>
            <w:r>
              <w:rPr>
                <w:color w:val="auto"/>
                <w:spacing w:val="-24"/>
                <w:highlight w:val="none"/>
              </w:rPr>
              <w:t xml:space="preserve"> </w:t>
            </w:r>
            <w:r>
              <w:rPr>
                <w:color w:val="auto"/>
                <w:spacing w:val="-2"/>
                <w:highlight w:val="none"/>
              </w:rPr>
              <w:t>4.3.3</w:t>
            </w:r>
            <w:r>
              <w:rPr>
                <w:color w:val="auto"/>
                <w:spacing w:val="-41"/>
                <w:highlight w:val="none"/>
              </w:rPr>
              <w:t xml:space="preserve"> </w:t>
            </w:r>
            <w:r>
              <w:rPr>
                <w:color w:val="auto"/>
                <w:spacing w:val="-2"/>
                <w:highlight w:val="none"/>
              </w:rPr>
              <w:t>项</w:t>
            </w:r>
            <w:r>
              <w:rPr>
                <w:color w:val="auto"/>
                <w:spacing w:val="-8"/>
                <w:highlight w:val="none"/>
              </w:rPr>
              <w:t>的相关要求。</w:t>
            </w:r>
          </w:p>
        </w:tc>
      </w:tr>
      <w:tr w14:paraId="68B7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482DEE2C">
            <w:pPr>
              <w:spacing w:line="272" w:lineRule="auto"/>
              <w:rPr>
                <w:rFonts w:ascii="Arial"/>
                <w:color w:val="auto"/>
                <w:sz w:val="21"/>
                <w:highlight w:val="none"/>
              </w:rPr>
            </w:pPr>
          </w:p>
          <w:p w14:paraId="1B3753F4">
            <w:pPr>
              <w:pStyle w:val="17"/>
              <w:spacing w:before="69" w:line="239" w:lineRule="auto"/>
              <w:ind w:left="442"/>
              <w:rPr>
                <w:color w:val="auto"/>
                <w:highlight w:val="none"/>
              </w:rPr>
            </w:pPr>
            <w:r>
              <w:rPr>
                <w:color w:val="auto"/>
                <w:spacing w:val="-4"/>
                <w:highlight w:val="none"/>
              </w:rPr>
              <w:t>2.1</w:t>
            </w:r>
          </w:p>
        </w:tc>
        <w:tc>
          <w:tcPr>
            <w:tcW w:w="2443" w:type="dxa"/>
            <w:vAlign w:val="top"/>
          </w:tcPr>
          <w:p w14:paraId="0E8CD99A">
            <w:pPr>
              <w:pStyle w:val="17"/>
              <w:spacing w:before="143" w:line="220" w:lineRule="auto"/>
              <w:ind w:left="177"/>
              <w:rPr>
                <w:color w:val="auto"/>
                <w:highlight w:val="none"/>
              </w:rPr>
            </w:pPr>
            <w:r>
              <w:rPr>
                <w:color w:val="auto"/>
                <w:spacing w:val="-1"/>
                <w:highlight w:val="none"/>
              </w:rPr>
              <w:t>构成招标文件的其他资</w:t>
            </w:r>
          </w:p>
          <w:p w14:paraId="37023895">
            <w:pPr>
              <w:pStyle w:val="17"/>
              <w:spacing w:before="150" w:line="220" w:lineRule="auto"/>
              <w:ind w:left="1119"/>
              <w:rPr>
                <w:color w:val="auto"/>
                <w:highlight w:val="none"/>
              </w:rPr>
            </w:pPr>
            <w:r>
              <w:rPr>
                <w:color w:val="auto"/>
                <w:highlight w:val="none"/>
              </w:rPr>
              <w:t>料</w:t>
            </w:r>
          </w:p>
        </w:tc>
        <w:tc>
          <w:tcPr>
            <w:tcW w:w="5664" w:type="dxa"/>
            <w:vAlign w:val="center"/>
          </w:tcPr>
          <w:p w14:paraId="2577484C">
            <w:pPr>
              <w:jc w:val="both"/>
              <w:rPr>
                <w:rFonts w:ascii="Arial"/>
                <w:color w:val="auto"/>
                <w:sz w:val="21"/>
                <w:highlight w:val="none"/>
              </w:rPr>
            </w:pPr>
            <w:r>
              <w:rPr>
                <w:rFonts w:hint="eastAsia" w:ascii="宋体" w:hAnsi="宋体" w:eastAsia="宋体" w:cs="宋体"/>
                <w:color w:val="auto"/>
                <w:kern w:val="0"/>
                <w:sz w:val="21"/>
                <w:szCs w:val="21"/>
                <w:highlight w:val="none"/>
              </w:rPr>
              <w:t>补遗书（如有）</w:t>
            </w:r>
          </w:p>
        </w:tc>
      </w:tr>
      <w:tr w14:paraId="56F8C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185" w:type="dxa"/>
            <w:vAlign w:val="top"/>
          </w:tcPr>
          <w:p w14:paraId="0F90281C">
            <w:pPr>
              <w:pStyle w:val="17"/>
              <w:spacing w:before="226" w:line="239" w:lineRule="auto"/>
              <w:ind w:left="336"/>
              <w:rPr>
                <w:color w:val="auto"/>
                <w:highlight w:val="none"/>
              </w:rPr>
            </w:pPr>
            <w:r>
              <w:rPr>
                <w:color w:val="auto"/>
                <w:spacing w:val="-3"/>
                <w:highlight w:val="none"/>
              </w:rPr>
              <w:t>2.2.1</w:t>
            </w:r>
          </w:p>
        </w:tc>
        <w:tc>
          <w:tcPr>
            <w:tcW w:w="2443" w:type="dxa"/>
            <w:vAlign w:val="top"/>
          </w:tcPr>
          <w:p w14:paraId="35720D19">
            <w:pPr>
              <w:pStyle w:val="17"/>
              <w:spacing w:before="226" w:line="220" w:lineRule="auto"/>
              <w:ind w:left="177"/>
              <w:rPr>
                <w:color w:val="auto"/>
                <w:highlight w:val="none"/>
              </w:rPr>
            </w:pPr>
            <w:r>
              <w:rPr>
                <w:color w:val="auto"/>
                <w:spacing w:val="-1"/>
                <w:highlight w:val="none"/>
              </w:rPr>
              <w:t>投标人要求澄清招标文</w:t>
            </w:r>
            <w:r>
              <w:rPr>
                <w:color w:val="auto"/>
                <w:highlight w:val="none"/>
              </w:rPr>
              <w:t>件</w:t>
            </w:r>
          </w:p>
        </w:tc>
        <w:tc>
          <w:tcPr>
            <w:tcW w:w="5664" w:type="dxa"/>
            <w:vAlign w:val="top"/>
          </w:tcPr>
          <w:p w14:paraId="3B272B1C">
            <w:pPr>
              <w:pStyle w:val="17"/>
              <w:spacing w:before="225" w:line="220" w:lineRule="auto"/>
              <w:ind w:left="123"/>
              <w:rPr>
                <w:color w:val="auto"/>
                <w:spacing w:val="-2"/>
                <w:highlight w:val="none"/>
              </w:rPr>
            </w:pPr>
            <w:r>
              <w:rPr>
                <w:color w:val="auto"/>
                <w:spacing w:val="-2"/>
                <w:highlight w:val="none"/>
              </w:rPr>
              <w:t>时间：递交投标文件截止之日</w:t>
            </w:r>
            <w:r>
              <w:rPr>
                <w:color w:val="auto"/>
                <w:spacing w:val="-101"/>
                <w:highlight w:val="none"/>
              </w:rPr>
              <w:t xml:space="preserve"> </w:t>
            </w:r>
            <w:r>
              <w:rPr>
                <w:rFonts w:hint="eastAsia"/>
                <w:color w:val="auto"/>
                <w:spacing w:val="52"/>
                <w:highlight w:val="none"/>
                <w:u w:val="single" w:color="auto"/>
                <w:lang w:val="en-US" w:eastAsia="zh-CN"/>
              </w:rPr>
              <w:t>18</w:t>
            </w:r>
            <w:r>
              <w:rPr>
                <w:color w:val="auto"/>
                <w:spacing w:val="-92"/>
                <w:highlight w:val="none"/>
              </w:rPr>
              <w:t xml:space="preserve"> </w:t>
            </w:r>
            <w:r>
              <w:rPr>
                <w:color w:val="auto"/>
                <w:spacing w:val="-2"/>
                <w:highlight w:val="none"/>
              </w:rPr>
              <w:t>天前</w:t>
            </w:r>
          </w:p>
          <w:p w14:paraId="192EC6A4">
            <w:pPr>
              <w:pStyle w:val="17"/>
              <w:spacing w:before="225" w:line="220" w:lineRule="auto"/>
              <w:ind w:left="123"/>
              <w:rPr>
                <w:color w:val="auto"/>
                <w:spacing w:val="-2"/>
                <w:highlight w:val="none"/>
              </w:rPr>
            </w:pPr>
            <w:r>
              <w:rPr>
                <w:color w:val="auto"/>
                <w:spacing w:val="-3"/>
                <w:highlight w:val="none"/>
              </w:rPr>
              <w:t>形式：</w:t>
            </w:r>
            <w:r>
              <w:rPr>
                <w:rFonts w:hint="eastAsia" w:ascii="宋体" w:hAnsi="宋体" w:eastAsia="宋体" w:cs="宋体"/>
                <w:color w:val="auto"/>
                <w:spacing w:val="7"/>
                <w:sz w:val="21"/>
                <w:szCs w:val="21"/>
                <w:highlight w:val="none"/>
                <w:u w:val="single"/>
                <w:lang w:val="en-US" w:eastAsia="zh-CN"/>
              </w:rPr>
              <w:t>投标人若对招标文件有疑问的，可在规定的时间内通过广州交易集团有限公司（广州公共资源交易中心）</w:t>
            </w:r>
            <w:r>
              <w:rPr>
                <w:rFonts w:hint="eastAsia" w:ascii="宋体" w:hAnsi="宋体" w:eastAsia="宋体" w:cs="宋体"/>
                <w:color w:val="auto"/>
                <w:spacing w:val="7"/>
                <w:sz w:val="21"/>
                <w:szCs w:val="21"/>
                <w:highlight w:val="none"/>
                <w:u w:val="single"/>
              </w:rPr>
              <w:t>网</w:t>
            </w:r>
            <w:r>
              <w:rPr>
                <w:rFonts w:hint="eastAsia" w:ascii="宋体" w:hAnsi="宋体" w:eastAsia="宋体" w:cs="宋体"/>
                <w:color w:val="auto"/>
                <w:spacing w:val="7"/>
                <w:sz w:val="21"/>
                <w:szCs w:val="21"/>
                <w:highlight w:val="none"/>
                <w:u w:val="single"/>
                <w:lang w:val="en-US" w:eastAsia="zh-CN"/>
              </w:rPr>
              <w:t>站进入提问区域将问题提交给招标人或招标代理人（实名制）。</w:t>
            </w:r>
          </w:p>
        </w:tc>
      </w:tr>
    </w:tbl>
    <w:p w14:paraId="076BEEFA">
      <w:pPr>
        <w:pStyle w:val="3"/>
        <w:spacing w:line="313" w:lineRule="auto"/>
        <w:rPr>
          <w:color w:val="auto"/>
          <w:highlight w:val="none"/>
        </w:rPr>
      </w:pPr>
    </w:p>
    <w:p w14:paraId="413D52F0">
      <w:pPr>
        <w:pStyle w:val="3"/>
        <w:spacing w:line="313" w:lineRule="auto"/>
        <w:rPr>
          <w:color w:val="auto"/>
          <w:highlight w:val="none"/>
        </w:rPr>
      </w:pPr>
    </w:p>
    <w:p w14:paraId="4521CE55">
      <w:pPr>
        <w:spacing w:line="233" w:lineRule="auto"/>
        <w:rPr>
          <w:rFonts w:ascii="宋体" w:hAnsi="宋体" w:eastAsia="宋体" w:cs="宋体"/>
          <w:color w:val="auto"/>
          <w:sz w:val="18"/>
          <w:szCs w:val="18"/>
          <w:highlight w:val="none"/>
        </w:rPr>
        <w:sectPr>
          <w:headerReference r:id="rId20" w:type="default"/>
          <w:footerReference r:id="rId21" w:type="default"/>
          <w:pgSz w:w="11905" w:h="16840"/>
          <w:pgMar w:top="1182" w:right="0" w:bottom="1171" w:left="0" w:header="849" w:footer="937" w:gutter="0"/>
          <w:pgNumType w:fmt="decimal"/>
          <w:cols w:space="720" w:num="1"/>
        </w:sectPr>
      </w:pPr>
    </w:p>
    <w:p w14:paraId="1F07E4A1">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258"/>
        <w:gridCol w:w="5849"/>
      </w:tblGrid>
      <w:tr w14:paraId="7473C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1FB3C1F1">
            <w:pPr>
              <w:pStyle w:val="17"/>
              <w:spacing w:before="181" w:line="220" w:lineRule="auto"/>
              <w:ind w:left="284"/>
              <w:rPr>
                <w:color w:val="auto"/>
                <w:highlight w:val="none"/>
              </w:rPr>
            </w:pPr>
            <w:r>
              <w:rPr>
                <w:b/>
                <w:bCs/>
                <w:color w:val="auto"/>
                <w:spacing w:val="-6"/>
                <w:highlight w:val="none"/>
              </w:rPr>
              <w:t>条款号</w:t>
            </w:r>
          </w:p>
        </w:tc>
        <w:tc>
          <w:tcPr>
            <w:tcW w:w="2258" w:type="dxa"/>
            <w:vAlign w:val="top"/>
          </w:tcPr>
          <w:p w14:paraId="07870D88">
            <w:pPr>
              <w:pStyle w:val="17"/>
              <w:spacing w:before="181" w:line="220" w:lineRule="auto"/>
              <w:ind w:left="807"/>
              <w:rPr>
                <w:color w:val="auto"/>
                <w:highlight w:val="none"/>
              </w:rPr>
            </w:pPr>
            <w:r>
              <w:rPr>
                <w:b/>
                <w:bCs/>
                <w:color w:val="auto"/>
                <w:spacing w:val="-5"/>
                <w:highlight w:val="none"/>
              </w:rPr>
              <w:t>条款名称</w:t>
            </w:r>
          </w:p>
        </w:tc>
        <w:tc>
          <w:tcPr>
            <w:tcW w:w="5849" w:type="dxa"/>
            <w:vAlign w:val="top"/>
          </w:tcPr>
          <w:p w14:paraId="0BDF65A6">
            <w:pPr>
              <w:pStyle w:val="17"/>
              <w:spacing w:before="181" w:line="220" w:lineRule="auto"/>
              <w:ind w:left="2417"/>
              <w:rPr>
                <w:color w:val="auto"/>
                <w:highlight w:val="none"/>
              </w:rPr>
            </w:pPr>
            <w:r>
              <w:rPr>
                <w:b/>
                <w:bCs/>
                <w:color w:val="auto"/>
                <w:spacing w:val="-5"/>
                <w:highlight w:val="none"/>
              </w:rPr>
              <w:t>编列内容</w:t>
            </w:r>
          </w:p>
        </w:tc>
      </w:tr>
      <w:tr w14:paraId="69FB6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18B72E41">
            <w:pPr>
              <w:spacing w:line="268" w:lineRule="auto"/>
              <w:rPr>
                <w:rFonts w:ascii="Arial"/>
                <w:color w:val="auto"/>
                <w:sz w:val="21"/>
                <w:highlight w:val="none"/>
              </w:rPr>
            </w:pPr>
          </w:p>
          <w:p w14:paraId="1A323596">
            <w:pPr>
              <w:pStyle w:val="17"/>
              <w:spacing w:before="68" w:line="239" w:lineRule="auto"/>
              <w:ind w:left="336"/>
              <w:rPr>
                <w:color w:val="auto"/>
                <w:highlight w:val="none"/>
              </w:rPr>
            </w:pPr>
            <w:r>
              <w:rPr>
                <w:color w:val="auto"/>
                <w:spacing w:val="-3"/>
                <w:highlight w:val="none"/>
              </w:rPr>
              <w:t>2.2.2</w:t>
            </w:r>
          </w:p>
        </w:tc>
        <w:tc>
          <w:tcPr>
            <w:tcW w:w="2258" w:type="dxa"/>
            <w:vAlign w:val="top"/>
          </w:tcPr>
          <w:p w14:paraId="6A82529C">
            <w:pPr>
              <w:pStyle w:val="17"/>
              <w:spacing w:before="138" w:line="220" w:lineRule="auto"/>
              <w:ind w:left="176"/>
              <w:rPr>
                <w:color w:val="auto"/>
                <w:highlight w:val="none"/>
              </w:rPr>
            </w:pPr>
            <w:r>
              <w:rPr>
                <w:color w:val="auto"/>
                <w:spacing w:val="-1"/>
                <w:highlight w:val="none"/>
              </w:rPr>
              <w:t>招标文件澄清发出的形</w:t>
            </w:r>
            <w:r>
              <w:rPr>
                <w:color w:val="auto"/>
                <w:highlight w:val="none"/>
              </w:rPr>
              <w:t>式</w:t>
            </w:r>
          </w:p>
        </w:tc>
        <w:tc>
          <w:tcPr>
            <w:tcW w:w="5849" w:type="dxa"/>
            <w:vAlign w:val="top"/>
          </w:tcPr>
          <w:p w14:paraId="23183836">
            <w:pPr>
              <w:pStyle w:val="17"/>
              <w:spacing w:before="68" w:line="220" w:lineRule="auto"/>
              <w:ind w:left="113"/>
              <w:rPr>
                <w:color w:val="auto"/>
                <w:highlight w:val="none"/>
                <w:u w:val="single"/>
              </w:rPr>
            </w:pPr>
            <w:r>
              <w:rPr>
                <w:rFonts w:hint="eastAsia" w:ascii="宋体" w:hAnsi="宋体" w:eastAsia="宋体" w:cs="宋体"/>
                <w:color w:val="auto"/>
                <w:kern w:val="21"/>
                <w:sz w:val="21"/>
                <w:szCs w:val="21"/>
                <w:highlight w:val="none"/>
                <w:u w:val="single"/>
                <w:lang w:val="en-US" w:eastAsia="zh-CN"/>
              </w:rPr>
              <w:t>招标文件的澄清将在广州交易集团有限公司（广州公共资源交易中心）网站项目答疑纪要栏目发布给所有正式投标人（只有正式投标人才能下载答疑纪要，具体位置为投标人登录交易中心网站→我是投标人（供应商）→建设工程业务→招标答疑（实名制）→下载答疑纪要，请各投标人自行下载），但不指明澄清问题的来源。若因投标人原因未能及时在网站下载或未能获取澄清的，后果由投标人自行承担；澄清文件为招标文件的组成部分，对所有投标人均具有约束力。</w:t>
            </w:r>
          </w:p>
        </w:tc>
      </w:tr>
      <w:tr w14:paraId="64427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6EF52265">
            <w:pPr>
              <w:spacing w:line="284" w:lineRule="auto"/>
              <w:rPr>
                <w:rFonts w:ascii="Arial"/>
                <w:color w:val="auto"/>
                <w:sz w:val="21"/>
                <w:highlight w:val="none"/>
              </w:rPr>
            </w:pPr>
          </w:p>
          <w:p w14:paraId="5E4B37EA">
            <w:pPr>
              <w:pStyle w:val="17"/>
              <w:spacing w:before="68" w:line="239" w:lineRule="auto"/>
              <w:ind w:left="336"/>
              <w:rPr>
                <w:color w:val="auto"/>
                <w:highlight w:val="none"/>
              </w:rPr>
            </w:pPr>
            <w:r>
              <w:rPr>
                <w:color w:val="auto"/>
                <w:spacing w:val="-3"/>
                <w:highlight w:val="none"/>
              </w:rPr>
              <w:t>2.2.3</w:t>
            </w:r>
          </w:p>
        </w:tc>
        <w:tc>
          <w:tcPr>
            <w:tcW w:w="2258" w:type="dxa"/>
            <w:vAlign w:val="top"/>
          </w:tcPr>
          <w:p w14:paraId="2D3DFFAD">
            <w:pPr>
              <w:pStyle w:val="17"/>
              <w:spacing w:before="68" w:line="353" w:lineRule="auto"/>
              <w:ind w:left="908" w:right="170" w:hanging="731"/>
              <w:rPr>
                <w:color w:val="auto"/>
                <w:highlight w:val="none"/>
              </w:rPr>
            </w:pPr>
            <w:r>
              <w:rPr>
                <w:color w:val="auto"/>
                <w:spacing w:val="-2"/>
                <w:highlight w:val="none"/>
              </w:rPr>
              <w:t>投标人确认收到招标文件澄清</w:t>
            </w:r>
          </w:p>
        </w:tc>
        <w:tc>
          <w:tcPr>
            <w:tcW w:w="5849" w:type="dxa"/>
            <w:vAlign w:val="top"/>
          </w:tcPr>
          <w:p w14:paraId="7DD0791F">
            <w:pPr>
              <w:pStyle w:val="17"/>
              <w:spacing w:before="68" w:line="220" w:lineRule="auto"/>
              <w:ind w:left="113"/>
              <w:rPr>
                <w:color w:val="auto"/>
                <w:highlight w:val="none"/>
              </w:rPr>
            </w:pPr>
            <w:r>
              <w:rPr>
                <w:color w:val="auto"/>
                <w:spacing w:val="-1"/>
                <w:highlight w:val="none"/>
              </w:rPr>
              <w:t>投标人应注意及时浏览网上发出的澄清，因投标人自身原因未及时获知澄清内容而导致的任何后果将由投标人自行承</w:t>
            </w:r>
            <w:r>
              <w:rPr>
                <w:color w:val="auto"/>
                <w:spacing w:val="-10"/>
                <w:highlight w:val="none"/>
              </w:rPr>
              <w:t>担。</w:t>
            </w:r>
          </w:p>
        </w:tc>
      </w:tr>
      <w:tr w14:paraId="58DB7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3C816171">
            <w:pPr>
              <w:spacing w:line="270" w:lineRule="auto"/>
              <w:rPr>
                <w:rFonts w:ascii="Arial"/>
                <w:color w:val="auto"/>
                <w:sz w:val="21"/>
                <w:highlight w:val="none"/>
              </w:rPr>
            </w:pPr>
          </w:p>
          <w:p w14:paraId="39CAB78F">
            <w:pPr>
              <w:pStyle w:val="17"/>
              <w:spacing w:before="68" w:line="239" w:lineRule="auto"/>
              <w:ind w:left="336"/>
              <w:rPr>
                <w:color w:val="auto"/>
                <w:highlight w:val="none"/>
              </w:rPr>
            </w:pPr>
            <w:r>
              <w:rPr>
                <w:color w:val="auto"/>
                <w:spacing w:val="-3"/>
                <w:highlight w:val="none"/>
              </w:rPr>
              <w:t>2.3.1</w:t>
            </w:r>
          </w:p>
        </w:tc>
        <w:tc>
          <w:tcPr>
            <w:tcW w:w="2258" w:type="dxa"/>
            <w:vAlign w:val="top"/>
          </w:tcPr>
          <w:p w14:paraId="42B008F5">
            <w:pPr>
              <w:pStyle w:val="17"/>
              <w:spacing w:before="140" w:line="220" w:lineRule="auto"/>
              <w:ind w:left="176"/>
              <w:rPr>
                <w:color w:val="auto"/>
                <w:highlight w:val="none"/>
              </w:rPr>
            </w:pPr>
            <w:r>
              <w:rPr>
                <w:color w:val="auto"/>
                <w:spacing w:val="-1"/>
                <w:highlight w:val="none"/>
              </w:rPr>
              <w:t>招标文件修改发出的形</w:t>
            </w:r>
            <w:r>
              <w:rPr>
                <w:color w:val="auto"/>
                <w:highlight w:val="none"/>
              </w:rPr>
              <w:t>式</w:t>
            </w:r>
          </w:p>
        </w:tc>
        <w:tc>
          <w:tcPr>
            <w:tcW w:w="5849" w:type="dxa"/>
            <w:vAlign w:val="top"/>
          </w:tcPr>
          <w:p w14:paraId="36EB8BBF">
            <w:pPr>
              <w:pStyle w:val="17"/>
              <w:spacing w:before="68" w:line="220" w:lineRule="auto"/>
              <w:ind w:left="113"/>
              <w:rPr>
                <w:color w:val="auto"/>
                <w:highlight w:val="none"/>
              </w:rPr>
            </w:pPr>
            <w:r>
              <w:rPr>
                <w:rFonts w:hint="eastAsia" w:ascii="宋体" w:hAnsi="宋体" w:eastAsia="宋体" w:cs="宋体"/>
                <w:color w:val="auto"/>
                <w:kern w:val="21"/>
                <w:sz w:val="21"/>
                <w:szCs w:val="21"/>
                <w:highlight w:val="none"/>
                <w:u w:val="single"/>
                <w:lang w:val="en-US" w:eastAsia="zh-CN"/>
              </w:rPr>
              <w:t>招标文件的修改将在广州交易集团有限公司（广州公共资源交易中心）网站项目答疑纪要栏目发布给所有正式投标人（只有正式投标人才能下载答疑纪要，具体位置为投标人登录交易中心网站→我是投标人（供应商）→建设工程业务→招标答疑（实名制）→下载答疑纪要，请各投标人自行下载）。若因投标人原因未能及时在网站下载或未能获取</w:t>
            </w:r>
            <w:r>
              <w:rPr>
                <w:rFonts w:hint="eastAsia" w:cs="宋体"/>
                <w:color w:val="auto"/>
                <w:kern w:val="21"/>
                <w:sz w:val="21"/>
                <w:szCs w:val="21"/>
                <w:highlight w:val="none"/>
                <w:u w:val="single"/>
                <w:lang w:val="en-US" w:eastAsia="zh-CN"/>
              </w:rPr>
              <w:t>招</w:t>
            </w:r>
            <w:r>
              <w:rPr>
                <w:rFonts w:hint="eastAsia" w:ascii="宋体" w:hAnsi="宋体" w:eastAsia="宋体" w:cs="宋体"/>
                <w:color w:val="auto"/>
                <w:kern w:val="21"/>
                <w:sz w:val="21"/>
                <w:szCs w:val="21"/>
                <w:highlight w:val="none"/>
                <w:u w:val="single"/>
                <w:lang w:val="en-US" w:eastAsia="zh-CN"/>
              </w:rPr>
              <w:t>标文件修</w:t>
            </w:r>
            <w:r>
              <w:rPr>
                <w:rFonts w:hint="eastAsia" w:cs="宋体"/>
                <w:color w:val="auto"/>
                <w:kern w:val="21"/>
                <w:sz w:val="21"/>
                <w:szCs w:val="21"/>
                <w:highlight w:val="none"/>
                <w:u w:val="single"/>
                <w:lang w:val="en-US" w:eastAsia="zh-CN"/>
              </w:rPr>
              <w:t>改</w:t>
            </w:r>
            <w:r>
              <w:rPr>
                <w:rFonts w:hint="eastAsia" w:ascii="宋体" w:hAnsi="宋体" w:eastAsia="宋体" w:cs="宋体"/>
                <w:color w:val="auto"/>
                <w:kern w:val="21"/>
                <w:sz w:val="21"/>
                <w:szCs w:val="21"/>
                <w:highlight w:val="none"/>
                <w:u w:val="single"/>
                <w:lang w:val="en-US" w:eastAsia="zh-CN"/>
              </w:rPr>
              <w:t>的，后果由投标人自行承担；修</w:t>
            </w:r>
            <w:r>
              <w:rPr>
                <w:rFonts w:hint="eastAsia" w:cs="宋体"/>
                <w:color w:val="auto"/>
                <w:kern w:val="21"/>
                <w:sz w:val="21"/>
                <w:szCs w:val="21"/>
                <w:highlight w:val="none"/>
                <w:u w:val="single"/>
                <w:lang w:val="en-US" w:eastAsia="zh-CN"/>
              </w:rPr>
              <w:t>改</w:t>
            </w:r>
            <w:r>
              <w:rPr>
                <w:rFonts w:hint="eastAsia" w:ascii="宋体" w:hAnsi="宋体" w:eastAsia="宋体" w:cs="宋体"/>
                <w:color w:val="auto"/>
                <w:kern w:val="21"/>
                <w:sz w:val="21"/>
                <w:szCs w:val="21"/>
                <w:highlight w:val="none"/>
                <w:u w:val="single"/>
                <w:lang w:val="en-US" w:eastAsia="zh-CN"/>
              </w:rPr>
              <w:t>文件为招标文件的组成部分，对所有投标人均具有约束力。</w:t>
            </w:r>
          </w:p>
        </w:tc>
      </w:tr>
      <w:tr w14:paraId="32CA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85" w:type="dxa"/>
            <w:vAlign w:val="top"/>
          </w:tcPr>
          <w:p w14:paraId="37C02345">
            <w:pPr>
              <w:spacing w:line="291" w:lineRule="auto"/>
              <w:rPr>
                <w:rFonts w:ascii="Arial"/>
                <w:color w:val="auto"/>
                <w:sz w:val="21"/>
                <w:highlight w:val="none"/>
              </w:rPr>
            </w:pPr>
          </w:p>
          <w:p w14:paraId="6C4A5D9C">
            <w:pPr>
              <w:spacing w:line="292" w:lineRule="auto"/>
              <w:rPr>
                <w:rFonts w:ascii="Arial"/>
                <w:color w:val="auto"/>
                <w:sz w:val="21"/>
                <w:highlight w:val="none"/>
              </w:rPr>
            </w:pPr>
          </w:p>
          <w:p w14:paraId="25206CD2">
            <w:pPr>
              <w:pStyle w:val="17"/>
              <w:spacing w:before="69" w:line="239" w:lineRule="auto"/>
              <w:ind w:left="336"/>
              <w:rPr>
                <w:color w:val="auto"/>
                <w:highlight w:val="none"/>
              </w:rPr>
            </w:pPr>
            <w:r>
              <w:rPr>
                <w:color w:val="auto"/>
                <w:spacing w:val="-3"/>
                <w:highlight w:val="none"/>
              </w:rPr>
              <w:t>2.3.2</w:t>
            </w:r>
          </w:p>
        </w:tc>
        <w:tc>
          <w:tcPr>
            <w:tcW w:w="2258" w:type="dxa"/>
            <w:vAlign w:val="top"/>
          </w:tcPr>
          <w:p w14:paraId="3EBBBE7C">
            <w:pPr>
              <w:spacing w:line="385" w:lineRule="auto"/>
              <w:rPr>
                <w:rFonts w:ascii="Arial"/>
                <w:color w:val="auto"/>
                <w:sz w:val="21"/>
                <w:highlight w:val="none"/>
              </w:rPr>
            </w:pPr>
          </w:p>
          <w:p w14:paraId="7989042F">
            <w:pPr>
              <w:pStyle w:val="17"/>
              <w:spacing w:before="68" w:line="353" w:lineRule="auto"/>
              <w:ind w:left="908" w:right="170" w:hanging="731"/>
              <w:rPr>
                <w:color w:val="auto"/>
                <w:highlight w:val="none"/>
              </w:rPr>
            </w:pPr>
            <w:r>
              <w:rPr>
                <w:color w:val="auto"/>
                <w:spacing w:val="-2"/>
                <w:highlight w:val="none"/>
              </w:rPr>
              <w:t>投标人确认收到招标文件修改</w:t>
            </w:r>
          </w:p>
        </w:tc>
        <w:tc>
          <w:tcPr>
            <w:tcW w:w="5849" w:type="dxa"/>
            <w:vAlign w:val="top"/>
          </w:tcPr>
          <w:p w14:paraId="321C3870">
            <w:pPr>
              <w:pStyle w:val="17"/>
              <w:spacing w:before="68" w:line="220" w:lineRule="auto"/>
              <w:ind w:left="113"/>
              <w:rPr>
                <w:color w:val="auto"/>
                <w:highlight w:val="none"/>
              </w:rPr>
            </w:pPr>
            <w:r>
              <w:rPr>
                <w:color w:val="auto"/>
                <w:spacing w:val="-1"/>
                <w:highlight w:val="none"/>
              </w:rPr>
              <w:t>投标人应注意及时浏览网上发出的修改，因投标人自身原因未及时获知修改内容而导致的任何后果将由投标人自行承</w:t>
            </w:r>
          </w:p>
          <w:p w14:paraId="4E30766C">
            <w:pPr>
              <w:pStyle w:val="17"/>
              <w:spacing w:line="220" w:lineRule="auto"/>
              <w:ind w:left="113"/>
              <w:rPr>
                <w:color w:val="auto"/>
                <w:highlight w:val="none"/>
              </w:rPr>
            </w:pPr>
            <w:r>
              <w:rPr>
                <w:color w:val="auto"/>
                <w:spacing w:val="-10"/>
                <w:highlight w:val="none"/>
              </w:rPr>
              <w:t>担。</w:t>
            </w:r>
          </w:p>
        </w:tc>
      </w:tr>
      <w:tr w14:paraId="15C31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67D986EF">
            <w:pPr>
              <w:pStyle w:val="17"/>
              <w:spacing w:before="224" w:line="239" w:lineRule="auto"/>
              <w:ind w:left="338"/>
              <w:rPr>
                <w:color w:val="auto"/>
                <w:highlight w:val="none"/>
              </w:rPr>
            </w:pPr>
            <w:r>
              <w:rPr>
                <w:color w:val="auto"/>
                <w:spacing w:val="-3"/>
                <w:highlight w:val="none"/>
              </w:rPr>
              <w:t>3.1.1</w:t>
            </w:r>
          </w:p>
        </w:tc>
        <w:tc>
          <w:tcPr>
            <w:tcW w:w="2258" w:type="dxa"/>
            <w:vAlign w:val="top"/>
          </w:tcPr>
          <w:p w14:paraId="750800A0">
            <w:pPr>
              <w:pStyle w:val="17"/>
              <w:spacing w:before="224" w:line="220" w:lineRule="auto"/>
              <w:ind w:left="387"/>
              <w:rPr>
                <w:color w:val="auto"/>
                <w:highlight w:val="none"/>
              </w:rPr>
            </w:pPr>
            <w:r>
              <w:rPr>
                <w:color w:val="auto"/>
                <w:spacing w:val="-2"/>
                <w:highlight w:val="none"/>
              </w:rPr>
              <w:t>投标文件密封形式</w:t>
            </w:r>
          </w:p>
        </w:tc>
        <w:tc>
          <w:tcPr>
            <w:tcW w:w="5849" w:type="dxa"/>
            <w:vAlign w:val="top"/>
          </w:tcPr>
          <w:p w14:paraId="4A1A84A9">
            <w:pPr>
              <w:pStyle w:val="17"/>
              <w:spacing w:before="224" w:line="220" w:lineRule="auto"/>
              <w:ind w:left="113"/>
              <w:rPr>
                <w:color w:val="auto"/>
                <w:highlight w:val="none"/>
              </w:rPr>
            </w:pPr>
            <w:r>
              <w:rPr>
                <w:color w:val="auto"/>
                <w:spacing w:val="-2"/>
                <w:highlight w:val="none"/>
              </w:rPr>
              <w:t>双信封</w:t>
            </w:r>
          </w:p>
        </w:tc>
      </w:tr>
      <w:tr w14:paraId="6F604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47DC8ED5">
            <w:pPr>
              <w:spacing w:line="271" w:lineRule="auto"/>
              <w:rPr>
                <w:rFonts w:ascii="Arial"/>
                <w:color w:val="auto"/>
                <w:sz w:val="21"/>
                <w:highlight w:val="none"/>
              </w:rPr>
            </w:pPr>
          </w:p>
          <w:p w14:paraId="6D411B1F">
            <w:pPr>
              <w:pStyle w:val="17"/>
              <w:spacing w:before="68" w:line="239" w:lineRule="auto"/>
              <w:ind w:left="338"/>
              <w:rPr>
                <w:color w:val="auto"/>
                <w:highlight w:val="none"/>
              </w:rPr>
            </w:pPr>
            <w:r>
              <w:rPr>
                <w:color w:val="auto"/>
                <w:spacing w:val="-3"/>
                <w:highlight w:val="none"/>
              </w:rPr>
              <w:t>3.1.1</w:t>
            </w:r>
          </w:p>
        </w:tc>
        <w:tc>
          <w:tcPr>
            <w:tcW w:w="2258" w:type="dxa"/>
            <w:vAlign w:val="top"/>
          </w:tcPr>
          <w:p w14:paraId="5E6673DD">
            <w:pPr>
              <w:pStyle w:val="17"/>
              <w:spacing w:before="140" w:line="220" w:lineRule="auto"/>
              <w:ind w:left="177"/>
              <w:rPr>
                <w:color w:val="auto"/>
                <w:highlight w:val="none"/>
              </w:rPr>
            </w:pPr>
            <w:r>
              <w:rPr>
                <w:color w:val="auto"/>
                <w:spacing w:val="-1"/>
                <w:highlight w:val="none"/>
              </w:rPr>
              <w:t>构成投标文件的其他资</w:t>
            </w:r>
            <w:r>
              <w:rPr>
                <w:color w:val="auto"/>
                <w:highlight w:val="none"/>
              </w:rPr>
              <w:t>料</w:t>
            </w:r>
          </w:p>
        </w:tc>
        <w:tc>
          <w:tcPr>
            <w:tcW w:w="5849" w:type="dxa"/>
            <w:vAlign w:val="center"/>
          </w:tcPr>
          <w:p w14:paraId="2BFAD53E">
            <w:pPr>
              <w:autoSpaceDE w:val="0"/>
              <w:autoSpaceDN w:val="0"/>
              <w:adjustRightInd w:val="0"/>
              <w:ind w:right="-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（1）招标文件规定需要提供的资料；</w:t>
            </w:r>
          </w:p>
          <w:p w14:paraId="501819FC">
            <w:pPr>
              <w:jc w:val="both"/>
              <w:rPr>
                <w:rFonts w:ascii="Arial"/>
                <w:color w:val="auto"/>
                <w:sz w:val="21"/>
                <w:highlight w:val="none"/>
              </w:rPr>
            </w:pPr>
            <w:r>
              <w:rPr>
                <w:rFonts w:hint="eastAsia" w:ascii="宋体" w:hAnsi="宋体" w:eastAsia="宋体" w:cs="宋体"/>
                <w:color w:val="auto"/>
                <w:kern w:val="0"/>
                <w:sz w:val="21"/>
                <w:szCs w:val="21"/>
                <w:highlight w:val="none"/>
              </w:rPr>
              <w:t>（2）投标人认为需要补充的材料。</w:t>
            </w:r>
          </w:p>
        </w:tc>
      </w:tr>
      <w:tr w14:paraId="225CB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0A00DBD4">
            <w:pPr>
              <w:pStyle w:val="17"/>
              <w:spacing w:before="224" w:line="239" w:lineRule="auto"/>
              <w:ind w:left="338"/>
              <w:rPr>
                <w:color w:val="auto"/>
                <w:highlight w:val="none"/>
              </w:rPr>
            </w:pPr>
            <w:r>
              <w:rPr>
                <w:color w:val="auto"/>
                <w:spacing w:val="-3"/>
                <w:highlight w:val="none"/>
              </w:rPr>
              <w:t>3.2.1</w:t>
            </w:r>
          </w:p>
        </w:tc>
        <w:tc>
          <w:tcPr>
            <w:tcW w:w="2258" w:type="dxa"/>
            <w:vAlign w:val="top"/>
          </w:tcPr>
          <w:p w14:paraId="52EC5DD7">
            <w:pPr>
              <w:pStyle w:val="17"/>
              <w:spacing w:before="224" w:line="220" w:lineRule="auto"/>
              <w:ind w:left="176"/>
              <w:rPr>
                <w:color w:val="auto"/>
                <w:highlight w:val="none"/>
              </w:rPr>
            </w:pPr>
            <w:r>
              <w:rPr>
                <w:color w:val="auto"/>
                <w:spacing w:val="-1"/>
                <w:highlight w:val="none"/>
              </w:rPr>
              <w:t>增值税税金的计算方法</w:t>
            </w:r>
          </w:p>
        </w:tc>
        <w:tc>
          <w:tcPr>
            <w:tcW w:w="5849" w:type="dxa"/>
            <w:vAlign w:val="center"/>
          </w:tcPr>
          <w:p w14:paraId="203CA255">
            <w:pPr>
              <w:jc w:val="both"/>
              <w:rPr>
                <w:rFonts w:hint="eastAsia" w:ascii="Arial" w:eastAsia="宋体"/>
                <w:color w:val="auto"/>
                <w:sz w:val="21"/>
                <w:highlight w:val="none"/>
                <w:lang w:val="en-US" w:eastAsia="zh-CN"/>
              </w:rPr>
            </w:pPr>
            <w:r>
              <w:rPr>
                <w:rFonts w:hint="eastAsia" w:ascii="宋体" w:hAnsi="宋体" w:eastAsia="宋体" w:cs="宋体"/>
                <w:color w:val="auto"/>
                <w:kern w:val="0"/>
                <w:sz w:val="21"/>
                <w:szCs w:val="21"/>
                <w:highlight w:val="none"/>
              </w:rPr>
              <w:t>按现行有关法律、法规规定计算</w:t>
            </w:r>
            <w:r>
              <w:rPr>
                <w:rFonts w:hint="eastAsia" w:ascii="宋体" w:hAnsi="宋体" w:eastAsia="宋体" w:cs="宋体"/>
                <w:color w:val="auto"/>
                <w:kern w:val="0"/>
                <w:sz w:val="21"/>
                <w:szCs w:val="21"/>
                <w:highlight w:val="none"/>
                <w:lang w:eastAsia="zh-CN"/>
              </w:rPr>
              <w:t>。</w:t>
            </w:r>
          </w:p>
        </w:tc>
      </w:tr>
      <w:tr w14:paraId="75B3A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9" w:hRule="atLeast"/>
        </w:trPr>
        <w:tc>
          <w:tcPr>
            <w:tcW w:w="1185" w:type="dxa"/>
            <w:vAlign w:val="top"/>
          </w:tcPr>
          <w:p w14:paraId="1CCD9741">
            <w:pPr>
              <w:spacing w:line="247" w:lineRule="auto"/>
              <w:rPr>
                <w:rFonts w:ascii="Arial"/>
                <w:color w:val="auto"/>
                <w:sz w:val="21"/>
                <w:highlight w:val="none"/>
              </w:rPr>
            </w:pPr>
          </w:p>
          <w:p w14:paraId="46F44E89">
            <w:pPr>
              <w:spacing w:line="247" w:lineRule="auto"/>
              <w:rPr>
                <w:rFonts w:ascii="Arial"/>
                <w:color w:val="auto"/>
                <w:sz w:val="21"/>
                <w:highlight w:val="none"/>
              </w:rPr>
            </w:pPr>
          </w:p>
          <w:p w14:paraId="28E65E1C">
            <w:pPr>
              <w:spacing w:line="247" w:lineRule="auto"/>
              <w:rPr>
                <w:rFonts w:ascii="Arial"/>
                <w:color w:val="auto"/>
                <w:sz w:val="21"/>
                <w:highlight w:val="none"/>
              </w:rPr>
            </w:pPr>
          </w:p>
          <w:p w14:paraId="7C3A4F1E">
            <w:pPr>
              <w:spacing w:line="248" w:lineRule="auto"/>
              <w:rPr>
                <w:rFonts w:ascii="Arial"/>
                <w:color w:val="auto"/>
                <w:sz w:val="21"/>
                <w:highlight w:val="none"/>
              </w:rPr>
            </w:pPr>
          </w:p>
          <w:p w14:paraId="09A83F36">
            <w:pPr>
              <w:pStyle w:val="17"/>
              <w:spacing w:before="68" w:line="239" w:lineRule="auto"/>
              <w:ind w:left="338"/>
              <w:rPr>
                <w:color w:val="auto"/>
                <w:highlight w:val="none"/>
              </w:rPr>
            </w:pPr>
            <w:r>
              <w:rPr>
                <w:color w:val="auto"/>
                <w:spacing w:val="-3"/>
                <w:highlight w:val="none"/>
              </w:rPr>
              <w:t>3.2.1</w:t>
            </w:r>
          </w:p>
        </w:tc>
        <w:tc>
          <w:tcPr>
            <w:tcW w:w="2258" w:type="dxa"/>
            <w:vAlign w:val="top"/>
          </w:tcPr>
          <w:p w14:paraId="286E9360">
            <w:pPr>
              <w:spacing w:line="247" w:lineRule="auto"/>
              <w:rPr>
                <w:rFonts w:ascii="Arial"/>
                <w:color w:val="auto"/>
                <w:sz w:val="21"/>
                <w:highlight w:val="none"/>
              </w:rPr>
            </w:pPr>
          </w:p>
          <w:p w14:paraId="280CBF1E">
            <w:pPr>
              <w:spacing w:line="247" w:lineRule="auto"/>
              <w:rPr>
                <w:rFonts w:ascii="Arial"/>
                <w:color w:val="auto"/>
                <w:sz w:val="21"/>
                <w:highlight w:val="none"/>
              </w:rPr>
            </w:pPr>
          </w:p>
          <w:p w14:paraId="36C93F4A">
            <w:pPr>
              <w:spacing w:line="247" w:lineRule="auto"/>
              <w:rPr>
                <w:rFonts w:ascii="Arial"/>
                <w:color w:val="auto"/>
                <w:sz w:val="21"/>
                <w:highlight w:val="none"/>
              </w:rPr>
            </w:pPr>
          </w:p>
          <w:p w14:paraId="4B98B9E4">
            <w:pPr>
              <w:spacing w:line="248" w:lineRule="auto"/>
              <w:rPr>
                <w:rFonts w:ascii="Arial"/>
                <w:color w:val="auto"/>
                <w:sz w:val="21"/>
                <w:highlight w:val="none"/>
              </w:rPr>
            </w:pPr>
          </w:p>
          <w:p w14:paraId="74D8914D">
            <w:pPr>
              <w:pStyle w:val="17"/>
              <w:spacing w:before="69" w:line="220" w:lineRule="auto"/>
              <w:ind w:left="177"/>
              <w:rPr>
                <w:color w:val="auto"/>
                <w:highlight w:val="none"/>
              </w:rPr>
            </w:pPr>
            <w:r>
              <w:rPr>
                <w:color w:val="auto"/>
                <w:spacing w:val="-1"/>
                <w:highlight w:val="none"/>
              </w:rPr>
              <w:t>工程量清单的填写方式</w:t>
            </w:r>
          </w:p>
        </w:tc>
        <w:tc>
          <w:tcPr>
            <w:tcW w:w="5849" w:type="dxa"/>
            <w:vAlign w:val="top"/>
          </w:tcPr>
          <w:p w14:paraId="4D8825A4">
            <w:pPr>
              <w:pStyle w:val="17"/>
              <w:spacing w:before="68" w:line="220" w:lineRule="auto"/>
              <w:ind w:left="113"/>
              <w:rPr>
                <w:color w:val="auto"/>
                <w:highlight w:val="none"/>
              </w:rPr>
            </w:pPr>
            <w:r>
              <w:rPr>
                <w:rFonts w:hint="eastAsia"/>
                <w:color w:val="auto"/>
                <w:spacing w:val="-1"/>
                <w:highlight w:val="none"/>
                <w:lang w:eastAsia="zh-CN"/>
              </w:rPr>
              <w:t>☑</w:t>
            </w:r>
            <w:r>
              <w:rPr>
                <w:color w:val="auto"/>
                <w:spacing w:val="-1"/>
                <w:highlight w:val="none"/>
              </w:rPr>
              <w:t>投标人按照招标人提供的工程量固化清单电</w:t>
            </w:r>
            <w:r>
              <w:rPr>
                <w:color w:val="auto"/>
                <w:spacing w:val="-2"/>
                <w:highlight w:val="none"/>
              </w:rPr>
              <w:t>子文件填写</w:t>
            </w:r>
          </w:p>
          <w:p w14:paraId="2A897A83">
            <w:pPr>
              <w:pStyle w:val="17"/>
              <w:spacing w:before="151" w:line="286" w:lineRule="auto"/>
              <w:ind w:left="112" w:right="107" w:firstLine="3"/>
              <w:rPr>
                <w:color w:val="auto"/>
                <w:highlight w:val="none"/>
              </w:rPr>
            </w:pPr>
            <w:r>
              <w:rPr>
                <w:color w:val="auto"/>
                <w:spacing w:val="-1"/>
                <w:highlight w:val="none"/>
              </w:rPr>
              <w:t>工程量清单，招标人提供固化清单的形式</w:t>
            </w:r>
            <w:r>
              <w:rPr>
                <w:rFonts w:hint="eastAsia" w:ascii="宋体" w:hAnsi="宋体" w:eastAsia="宋体" w:cs="宋体"/>
                <w:color w:val="auto"/>
                <w:kern w:val="0"/>
                <w:sz w:val="21"/>
                <w:szCs w:val="21"/>
                <w:highlight w:val="none"/>
                <w:u w:val="single"/>
              </w:rPr>
              <w:t>在</w:t>
            </w:r>
            <w:r>
              <w:rPr>
                <w:rFonts w:hint="eastAsia" w:ascii="宋体" w:hAnsi="宋体" w:eastAsia="宋体" w:cs="宋体"/>
                <w:color w:val="auto"/>
                <w:kern w:val="0"/>
                <w:sz w:val="21"/>
                <w:szCs w:val="21"/>
                <w:highlight w:val="none"/>
                <w:u w:val="single"/>
                <w:lang w:val="en-US" w:eastAsia="zh-CN"/>
              </w:rPr>
              <w:t>广州交易集团有限公司（广州公共资源交易中心）</w:t>
            </w:r>
            <w:r>
              <w:rPr>
                <w:rFonts w:hint="eastAsia" w:ascii="宋体" w:hAnsi="宋体" w:eastAsia="宋体" w:cs="宋体"/>
                <w:color w:val="auto"/>
                <w:kern w:val="0"/>
                <w:sz w:val="21"/>
                <w:szCs w:val="21"/>
                <w:highlight w:val="none"/>
                <w:u w:val="single"/>
              </w:rPr>
              <w:t>网</w:t>
            </w:r>
            <w:r>
              <w:rPr>
                <w:rFonts w:hint="eastAsia" w:ascii="宋体" w:hAnsi="宋体" w:eastAsia="宋体" w:cs="宋体"/>
                <w:color w:val="auto"/>
                <w:kern w:val="0"/>
                <w:sz w:val="21"/>
                <w:szCs w:val="21"/>
                <w:highlight w:val="none"/>
                <w:u w:val="single"/>
                <w:lang w:val="en-US" w:eastAsia="zh-CN"/>
              </w:rPr>
              <w:t>站</w:t>
            </w:r>
            <w:r>
              <w:rPr>
                <w:rFonts w:hint="eastAsia" w:ascii="宋体" w:hAnsi="宋体" w:eastAsia="宋体" w:cs="宋体"/>
                <w:color w:val="auto"/>
                <w:kern w:val="0"/>
                <w:sz w:val="21"/>
                <w:szCs w:val="21"/>
                <w:highlight w:val="none"/>
                <w:u w:val="single"/>
              </w:rPr>
              <w:t>（http://www.gzggzy.cn）</w:t>
            </w:r>
            <w:r>
              <w:rPr>
                <w:rFonts w:hint="eastAsia" w:ascii="宋体" w:hAnsi="宋体" w:eastAsia="宋体" w:cs="宋体"/>
                <w:color w:val="auto"/>
                <w:kern w:val="0"/>
                <w:sz w:val="21"/>
                <w:szCs w:val="21"/>
                <w:highlight w:val="none"/>
                <w:u w:val="single"/>
                <w:lang w:val="en-US" w:eastAsia="zh-CN"/>
              </w:rPr>
              <w:t>发布</w:t>
            </w:r>
            <w:r>
              <w:rPr>
                <w:rFonts w:hint="eastAsia" w:cs="宋体"/>
                <w:color w:val="auto"/>
                <w:kern w:val="0"/>
                <w:sz w:val="21"/>
                <w:szCs w:val="21"/>
                <w:highlight w:val="none"/>
                <w:u w:val="single"/>
                <w:lang w:val="en-US" w:eastAsia="zh-CN"/>
              </w:rPr>
              <w:t>。</w:t>
            </w:r>
          </w:p>
          <w:p w14:paraId="5F112209">
            <w:pPr>
              <w:pStyle w:val="17"/>
              <w:spacing w:before="148" w:line="286" w:lineRule="auto"/>
              <w:ind w:left="114" w:right="304" w:firstLine="19"/>
              <w:rPr>
                <w:color w:val="auto"/>
                <w:highlight w:val="none"/>
              </w:rPr>
            </w:pPr>
            <w:r>
              <w:rPr>
                <w:color w:val="auto"/>
                <w:spacing w:val="-1"/>
                <w:highlight w:val="none"/>
              </w:rPr>
              <w:t>□投标人按照招标人提供的书面工程量清单</w:t>
            </w:r>
            <w:r>
              <w:rPr>
                <w:color w:val="auto"/>
                <w:spacing w:val="-2"/>
                <w:highlight w:val="none"/>
              </w:rPr>
              <w:t>填写工程量清</w:t>
            </w:r>
            <w:r>
              <w:rPr>
                <w:color w:val="auto"/>
                <w:highlight w:val="none"/>
              </w:rPr>
              <w:t>单</w:t>
            </w:r>
          </w:p>
        </w:tc>
      </w:tr>
      <w:tr w14:paraId="3A07D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14350DED">
            <w:pPr>
              <w:spacing w:line="348" w:lineRule="auto"/>
              <w:rPr>
                <w:rFonts w:ascii="Arial"/>
                <w:color w:val="auto"/>
                <w:sz w:val="21"/>
                <w:highlight w:val="none"/>
              </w:rPr>
            </w:pPr>
          </w:p>
          <w:p w14:paraId="2106DF26">
            <w:pPr>
              <w:pStyle w:val="17"/>
              <w:spacing w:before="68" w:line="239" w:lineRule="auto"/>
              <w:ind w:left="338"/>
              <w:rPr>
                <w:color w:val="auto"/>
                <w:highlight w:val="none"/>
              </w:rPr>
            </w:pPr>
            <w:r>
              <w:rPr>
                <w:color w:val="auto"/>
                <w:spacing w:val="-3"/>
                <w:highlight w:val="none"/>
              </w:rPr>
              <w:t>3.2.3</w:t>
            </w:r>
          </w:p>
        </w:tc>
        <w:tc>
          <w:tcPr>
            <w:tcW w:w="2258" w:type="dxa"/>
            <w:vAlign w:val="top"/>
          </w:tcPr>
          <w:p w14:paraId="29436E6C">
            <w:pPr>
              <w:spacing w:line="348" w:lineRule="auto"/>
              <w:rPr>
                <w:rFonts w:ascii="Arial"/>
                <w:color w:val="auto"/>
                <w:sz w:val="21"/>
                <w:highlight w:val="none"/>
              </w:rPr>
            </w:pPr>
          </w:p>
          <w:p w14:paraId="46279035">
            <w:pPr>
              <w:pStyle w:val="17"/>
              <w:spacing w:before="69" w:line="218" w:lineRule="auto"/>
              <w:ind w:left="803"/>
              <w:rPr>
                <w:color w:val="auto"/>
                <w:highlight w:val="none"/>
              </w:rPr>
            </w:pPr>
            <w:r>
              <w:rPr>
                <w:color w:val="auto"/>
                <w:spacing w:val="-2"/>
                <w:highlight w:val="none"/>
              </w:rPr>
              <w:t>报价方式</w:t>
            </w:r>
          </w:p>
        </w:tc>
        <w:tc>
          <w:tcPr>
            <w:tcW w:w="5849" w:type="dxa"/>
            <w:vAlign w:val="top"/>
          </w:tcPr>
          <w:p w14:paraId="4079CC04">
            <w:pPr>
              <w:pStyle w:val="17"/>
              <w:spacing w:before="219" w:line="218" w:lineRule="auto"/>
              <w:ind w:left="134"/>
              <w:rPr>
                <w:color w:val="auto"/>
                <w:highlight w:val="none"/>
              </w:rPr>
            </w:pPr>
            <w:r>
              <w:rPr>
                <w:rFonts w:hint="eastAsia"/>
                <w:color w:val="auto"/>
                <w:spacing w:val="-7"/>
                <w:highlight w:val="none"/>
                <w:lang w:eastAsia="zh-CN"/>
              </w:rPr>
              <w:t>☑</w:t>
            </w:r>
            <w:r>
              <w:rPr>
                <w:color w:val="auto"/>
                <w:spacing w:val="-7"/>
                <w:highlight w:val="none"/>
              </w:rPr>
              <w:t>单价</w:t>
            </w:r>
          </w:p>
          <w:p w14:paraId="5BD228EB">
            <w:pPr>
              <w:pStyle w:val="17"/>
              <w:spacing w:before="151" w:line="218" w:lineRule="auto"/>
              <w:ind w:left="134"/>
              <w:rPr>
                <w:color w:val="auto"/>
                <w:highlight w:val="none"/>
              </w:rPr>
            </w:pPr>
            <w:r>
              <w:rPr>
                <w:color w:val="auto"/>
                <w:spacing w:val="-7"/>
                <w:highlight w:val="none"/>
              </w:rPr>
              <w:t>□总价</w:t>
            </w:r>
          </w:p>
        </w:tc>
      </w:tr>
      <w:tr w14:paraId="69642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08B0B069">
            <w:pPr>
              <w:spacing w:line="343" w:lineRule="auto"/>
              <w:rPr>
                <w:rFonts w:ascii="Arial"/>
                <w:color w:val="auto"/>
                <w:sz w:val="21"/>
                <w:highlight w:val="none"/>
              </w:rPr>
            </w:pPr>
          </w:p>
          <w:p w14:paraId="26AC386E">
            <w:pPr>
              <w:pStyle w:val="17"/>
              <w:spacing w:before="68" w:line="239" w:lineRule="auto"/>
              <w:ind w:left="338"/>
              <w:rPr>
                <w:color w:val="auto"/>
                <w:highlight w:val="none"/>
              </w:rPr>
            </w:pPr>
            <w:r>
              <w:rPr>
                <w:color w:val="auto"/>
                <w:spacing w:val="-3"/>
                <w:highlight w:val="none"/>
              </w:rPr>
              <w:t>3.2.6</w:t>
            </w:r>
          </w:p>
        </w:tc>
        <w:tc>
          <w:tcPr>
            <w:tcW w:w="2258" w:type="dxa"/>
            <w:vAlign w:val="top"/>
          </w:tcPr>
          <w:p w14:paraId="38A0A91B">
            <w:pPr>
              <w:spacing w:line="327" w:lineRule="auto"/>
              <w:rPr>
                <w:rFonts w:ascii="Arial"/>
                <w:color w:val="auto"/>
                <w:sz w:val="21"/>
                <w:highlight w:val="none"/>
              </w:rPr>
            </w:pPr>
          </w:p>
          <w:p w14:paraId="345C84FD">
            <w:pPr>
              <w:pStyle w:val="17"/>
              <w:spacing w:before="69" w:line="232" w:lineRule="auto"/>
              <w:ind w:left="441"/>
              <w:rPr>
                <w:color w:val="auto"/>
                <w:sz w:val="10"/>
                <w:szCs w:val="10"/>
                <w:highlight w:val="none"/>
              </w:rPr>
            </w:pPr>
            <w:r>
              <w:rPr>
                <w:color w:val="auto"/>
                <w:spacing w:val="-1"/>
                <w:highlight w:val="none"/>
              </w:rPr>
              <w:t>是否接受调价函</w:t>
            </w:r>
          </w:p>
        </w:tc>
        <w:tc>
          <w:tcPr>
            <w:tcW w:w="5849" w:type="dxa"/>
            <w:vAlign w:val="top"/>
          </w:tcPr>
          <w:p w14:paraId="4D029EDB">
            <w:pPr>
              <w:pStyle w:val="17"/>
              <w:spacing w:before="213" w:line="317" w:lineRule="auto"/>
              <w:ind w:left="134" w:right="5134"/>
              <w:rPr>
                <w:color w:val="auto"/>
                <w:highlight w:val="none"/>
              </w:rPr>
            </w:pPr>
            <w:r>
              <w:rPr>
                <w:color w:val="auto"/>
                <w:spacing w:val="-15"/>
                <w:highlight w:val="none"/>
              </w:rPr>
              <w:t>□是</w:t>
            </w:r>
            <w:r>
              <w:rPr>
                <w:rFonts w:hint="eastAsia"/>
                <w:color w:val="auto"/>
                <w:spacing w:val="-15"/>
                <w:highlight w:val="none"/>
                <w:lang w:eastAsia="zh-CN"/>
              </w:rPr>
              <w:t>☑</w:t>
            </w:r>
            <w:r>
              <w:rPr>
                <w:color w:val="auto"/>
                <w:spacing w:val="-15"/>
                <w:highlight w:val="none"/>
              </w:rPr>
              <w:t>否</w:t>
            </w:r>
          </w:p>
        </w:tc>
      </w:tr>
      <w:tr w14:paraId="2D973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185" w:type="dxa"/>
            <w:vAlign w:val="top"/>
          </w:tcPr>
          <w:p w14:paraId="16189EDE">
            <w:pPr>
              <w:spacing w:line="251" w:lineRule="auto"/>
              <w:rPr>
                <w:rFonts w:ascii="Arial"/>
                <w:color w:val="auto"/>
                <w:sz w:val="21"/>
                <w:highlight w:val="none"/>
              </w:rPr>
            </w:pPr>
          </w:p>
          <w:p w14:paraId="3748BD16">
            <w:pPr>
              <w:pStyle w:val="17"/>
              <w:spacing w:before="68" w:line="239" w:lineRule="auto"/>
              <w:ind w:left="338"/>
              <w:rPr>
                <w:color w:val="auto"/>
                <w:highlight w:val="none"/>
              </w:rPr>
            </w:pPr>
            <w:r>
              <w:rPr>
                <w:color w:val="auto"/>
                <w:spacing w:val="-3"/>
                <w:highlight w:val="none"/>
              </w:rPr>
              <w:t>3.2.8</w:t>
            </w:r>
          </w:p>
        </w:tc>
        <w:tc>
          <w:tcPr>
            <w:tcW w:w="2258" w:type="dxa"/>
            <w:vAlign w:val="top"/>
          </w:tcPr>
          <w:p w14:paraId="56635F9A">
            <w:pPr>
              <w:spacing w:line="251" w:lineRule="auto"/>
              <w:rPr>
                <w:rFonts w:ascii="Arial"/>
                <w:color w:val="auto"/>
                <w:sz w:val="21"/>
                <w:highlight w:val="none"/>
              </w:rPr>
            </w:pPr>
          </w:p>
          <w:p w14:paraId="3FD2D5AD">
            <w:pPr>
              <w:pStyle w:val="17"/>
              <w:spacing w:before="68" w:line="218" w:lineRule="auto"/>
              <w:ind w:left="597"/>
              <w:rPr>
                <w:color w:val="auto"/>
                <w:highlight w:val="none"/>
              </w:rPr>
            </w:pPr>
            <w:r>
              <w:rPr>
                <w:color w:val="auto"/>
                <w:spacing w:val="-2"/>
                <w:highlight w:val="none"/>
              </w:rPr>
              <w:t>最高投标限价</w:t>
            </w:r>
          </w:p>
        </w:tc>
        <w:tc>
          <w:tcPr>
            <w:tcW w:w="5849" w:type="dxa"/>
            <w:vAlign w:val="top"/>
          </w:tcPr>
          <w:p w14:paraId="0EBA5A70">
            <w:pPr>
              <w:pStyle w:val="17"/>
              <w:spacing w:before="68" w:line="349" w:lineRule="auto"/>
              <w:ind w:left="114" w:right="115"/>
              <w:rPr>
                <w:color w:val="auto"/>
                <w:sz w:val="10"/>
                <w:szCs w:val="10"/>
                <w:highlight w:val="none"/>
              </w:rPr>
            </w:pPr>
            <w:r>
              <w:rPr>
                <w:color w:val="auto"/>
                <w:spacing w:val="-1"/>
                <w:highlight w:val="none"/>
              </w:rPr>
              <w:t>最高投标限价</w:t>
            </w:r>
            <w:r>
              <w:rPr>
                <w:rFonts w:hint="eastAsia" w:ascii="宋体" w:hAnsi="宋体" w:eastAsia="宋体" w:cs="宋体"/>
                <w:b w:val="0"/>
                <w:color w:val="auto"/>
                <w:kern w:val="0"/>
                <w:sz w:val="21"/>
                <w:szCs w:val="21"/>
                <w:highlight w:val="none"/>
                <w:u w:val="single"/>
                <w:lang w:val="en-US" w:eastAsia="zh-CN"/>
              </w:rPr>
              <w:t>210458367</w:t>
            </w:r>
            <w:r>
              <w:rPr>
                <w:color w:val="auto"/>
                <w:spacing w:val="-1"/>
                <w:highlight w:val="none"/>
              </w:rPr>
              <w:t>元</w:t>
            </w:r>
            <w:r>
              <w:rPr>
                <w:rFonts w:hint="eastAsia"/>
                <w:color w:val="auto"/>
                <w:spacing w:val="-1"/>
                <w:highlight w:val="none"/>
                <w:lang w:eastAsia="zh-CN"/>
              </w:rPr>
              <w:t>。</w:t>
            </w:r>
            <w:r>
              <w:rPr>
                <w:color w:val="auto"/>
                <w:spacing w:val="-1"/>
                <w:highlight w:val="none"/>
                <w:u w:val="none" w:color="auto"/>
              </w:rPr>
              <w:t>其中</w:t>
            </w:r>
            <w:r>
              <w:rPr>
                <w:rFonts w:hint="eastAsia"/>
                <w:color w:val="auto"/>
                <w:spacing w:val="-1"/>
                <w:highlight w:val="none"/>
                <w:u w:val="none" w:color="auto"/>
                <w:lang w:eastAsia="zh-CN"/>
              </w:rPr>
              <w:t>：</w:t>
            </w:r>
            <w:r>
              <w:rPr>
                <w:color w:val="auto"/>
                <w:spacing w:val="-1"/>
                <w:highlight w:val="none"/>
                <w:u w:val="none" w:color="auto"/>
              </w:rPr>
              <w:t>安全生产</w:t>
            </w:r>
            <w:r>
              <w:rPr>
                <w:color w:val="auto"/>
                <w:spacing w:val="-2"/>
                <w:highlight w:val="none"/>
                <w:u w:val="none" w:color="auto"/>
              </w:rPr>
              <w:t>费</w:t>
            </w:r>
            <w:r>
              <w:rPr>
                <w:rFonts w:hint="eastAsia" w:ascii="宋体" w:hAnsi="宋体" w:eastAsia="宋体" w:cs="宋体"/>
                <w:color w:val="auto"/>
                <w:kern w:val="0"/>
                <w:sz w:val="21"/>
                <w:szCs w:val="21"/>
                <w:highlight w:val="none"/>
                <w:u w:val="single"/>
                <w:lang w:val="en-US" w:eastAsia="zh-CN"/>
              </w:rPr>
              <w:t>2812397</w:t>
            </w:r>
            <w:r>
              <w:rPr>
                <w:color w:val="auto"/>
                <w:spacing w:val="-2"/>
                <w:highlight w:val="none"/>
                <w:u w:val="single" w:color="auto"/>
              </w:rPr>
              <w:t>元</w:t>
            </w:r>
            <w:r>
              <w:rPr>
                <w:rFonts w:hint="eastAsia"/>
                <w:color w:val="auto"/>
                <w:spacing w:val="-2"/>
                <w:highlight w:val="none"/>
                <w:u w:val="none" w:color="auto"/>
                <w:lang w:eastAsia="zh-CN"/>
              </w:rPr>
              <w:t>，</w:t>
            </w:r>
            <w:r>
              <w:rPr>
                <w:rFonts w:hint="eastAsia" w:ascii="宋体" w:hAnsi="宋体" w:eastAsia="宋体" w:cs="宋体"/>
                <w:color w:val="auto"/>
                <w:kern w:val="0"/>
                <w:sz w:val="21"/>
                <w:szCs w:val="21"/>
                <w:highlight w:val="none"/>
                <w:lang w:val="en-US" w:eastAsia="zh-CN"/>
              </w:rPr>
              <w:t>该费用各投标单位在报价时按上述金额填报，固定不变</w:t>
            </w:r>
            <w:r>
              <w:rPr>
                <w:rFonts w:hint="eastAsia" w:cs="宋体"/>
                <w:color w:val="auto"/>
                <w:kern w:val="0"/>
                <w:sz w:val="21"/>
                <w:szCs w:val="21"/>
                <w:highlight w:val="none"/>
                <w:lang w:val="en-US" w:eastAsia="zh-CN"/>
              </w:rPr>
              <w:t>。</w:t>
            </w:r>
          </w:p>
        </w:tc>
      </w:tr>
    </w:tbl>
    <w:p w14:paraId="667C89F8">
      <w:pPr>
        <w:spacing w:before="136" w:line="219" w:lineRule="auto"/>
        <w:ind w:left="1421"/>
        <w:rPr>
          <w:rFonts w:ascii="宋体" w:hAnsi="宋体" w:eastAsia="宋体" w:cs="宋体"/>
          <w:color w:val="auto"/>
          <w:sz w:val="18"/>
          <w:szCs w:val="18"/>
          <w:highlight w:val="none"/>
        </w:rPr>
      </w:pPr>
    </w:p>
    <w:p w14:paraId="69987847">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07990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55D31F75">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43B85874">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141FF83D">
            <w:pPr>
              <w:pStyle w:val="17"/>
              <w:spacing w:before="181" w:line="220" w:lineRule="auto"/>
              <w:ind w:left="2417"/>
              <w:rPr>
                <w:color w:val="auto"/>
                <w:highlight w:val="none"/>
              </w:rPr>
            </w:pPr>
            <w:r>
              <w:rPr>
                <w:b/>
                <w:bCs/>
                <w:color w:val="auto"/>
                <w:spacing w:val="-5"/>
                <w:highlight w:val="none"/>
              </w:rPr>
              <w:t>编列内容</w:t>
            </w:r>
          </w:p>
        </w:tc>
      </w:tr>
      <w:tr w14:paraId="62CC0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185" w:type="dxa"/>
            <w:vAlign w:val="top"/>
          </w:tcPr>
          <w:p w14:paraId="4B1EF1F6">
            <w:pPr>
              <w:spacing w:line="296" w:lineRule="auto"/>
              <w:rPr>
                <w:rFonts w:ascii="Arial"/>
                <w:color w:val="auto"/>
                <w:sz w:val="21"/>
                <w:highlight w:val="none"/>
              </w:rPr>
            </w:pPr>
          </w:p>
          <w:p w14:paraId="46A9E9D7">
            <w:pPr>
              <w:pStyle w:val="17"/>
              <w:spacing w:before="68" w:line="239" w:lineRule="auto"/>
              <w:ind w:left="338"/>
              <w:rPr>
                <w:color w:val="auto"/>
                <w:highlight w:val="none"/>
              </w:rPr>
            </w:pPr>
            <w:r>
              <w:rPr>
                <w:color w:val="auto"/>
                <w:spacing w:val="-3"/>
                <w:highlight w:val="none"/>
              </w:rPr>
              <w:t>3.2.9</w:t>
            </w:r>
          </w:p>
        </w:tc>
        <w:tc>
          <w:tcPr>
            <w:tcW w:w="2443" w:type="dxa"/>
            <w:vAlign w:val="top"/>
          </w:tcPr>
          <w:p w14:paraId="0D67E32C">
            <w:pPr>
              <w:spacing w:line="296" w:lineRule="auto"/>
              <w:rPr>
                <w:rFonts w:ascii="Arial"/>
                <w:color w:val="auto"/>
                <w:sz w:val="21"/>
                <w:highlight w:val="none"/>
              </w:rPr>
            </w:pPr>
          </w:p>
          <w:p w14:paraId="3869456E">
            <w:pPr>
              <w:pStyle w:val="17"/>
              <w:spacing w:before="68" w:line="218" w:lineRule="auto"/>
              <w:ind w:left="282"/>
              <w:rPr>
                <w:color w:val="auto"/>
                <w:highlight w:val="none"/>
              </w:rPr>
            </w:pPr>
            <w:r>
              <w:rPr>
                <w:color w:val="auto"/>
                <w:spacing w:val="-2"/>
                <w:highlight w:val="none"/>
              </w:rPr>
              <w:t>投标报价的其他要求</w:t>
            </w:r>
          </w:p>
        </w:tc>
        <w:tc>
          <w:tcPr>
            <w:tcW w:w="5664" w:type="dxa"/>
            <w:vAlign w:val="center"/>
          </w:tcPr>
          <w:p w14:paraId="556F114E">
            <w:pPr>
              <w:jc w:val="both"/>
              <w:rPr>
                <w:rFonts w:ascii="Arial"/>
                <w:color w:val="auto"/>
                <w:sz w:val="21"/>
                <w:highlight w:val="none"/>
              </w:rPr>
            </w:pPr>
            <w:r>
              <w:rPr>
                <w:rFonts w:hint="eastAsia" w:ascii="宋体" w:hAnsi="宋体" w:eastAsia="宋体" w:cs="宋体"/>
                <w:color w:val="auto"/>
                <w:kern w:val="0"/>
                <w:sz w:val="21"/>
                <w:szCs w:val="21"/>
                <w:highlight w:val="none"/>
                <w:lang w:val="en-US" w:eastAsia="zh-CN"/>
              </w:rPr>
              <w:t>见第五章工程量清单说明</w:t>
            </w:r>
          </w:p>
        </w:tc>
      </w:tr>
      <w:tr w14:paraId="31B2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85" w:type="dxa"/>
            <w:vAlign w:val="top"/>
          </w:tcPr>
          <w:p w14:paraId="01264AEE">
            <w:pPr>
              <w:spacing w:line="288" w:lineRule="auto"/>
              <w:rPr>
                <w:rFonts w:ascii="Arial"/>
                <w:color w:val="auto"/>
                <w:sz w:val="21"/>
                <w:highlight w:val="none"/>
              </w:rPr>
            </w:pPr>
          </w:p>
          <w:p w14:paraId="06ABBE6E">
            <w:pPr>
              <w:pStyle w:val="17"/>
              <w:spacing w:before="69" w:line="239" w:lineRule="auto"/>
              <w:ind w:left="338"/>
              <w:rPr>
                <w:color w:val="auto"/>
                <w:highlight w:val="none"/>
              </w:rPr>
            </w:pPr>
            <w:r>
              <w:rPr>
                <w:color w:val="auto"/>
                <w:spacing w:val="-3"/>
                <w:highlight w:val="none"/>
              </w:rPr>
              <w:t>3.3.1</w:t>
            </w:r>
          </w:p>
        </w:tc>
        <w:tc>
          <w:tcPr>
            <w:tcW w:w="2443" w:type="dxa"/>
            <w:vAlign w:val="top"/>
          </w:tcPr>
          <w:p w14:paraId="4798BE9D">
            <w:pPr>
              <w:spacing w:line="289" w:lineRule="auto"/>
              <w:rPr>
                <w:rFonts w:ascii="Arial"/>
                <w:color w:val="auto"/>
                <w:sz w:val="21"/>
                <w:highlight w:val="none"/>
              </w:rPr>
            </w:pPr>
          </w:p>
          <w:p w14:paraId="0EE4C2A4">
            <w:pPr>
              <w:pStyle w:val="17"/>
              <w:spacing w:before="68" w:line="220" w:lineRule="auto"/>
              <w:ind w:left="702"/>
              <w:rPr>
                <w:color w:val="auto"/>
                <w:highlight w:val="none"/>
              </w:rPr>
            </w:pPr>
            <w:r>
              <w:rPr>
                <w:color w:val="auto"/>
                <w:spacing w:val="-2"/>
                <w:highlight w:val="none"/>
              </w:rPr>
              <w:t>投标有效期</w:t>
            </w:r>
          </w:p>
        </w:tc>
        <w:tc>
          <w:tcPr>
            <w:tcW w:w="5664" w:type="dxa"/>
            <w:vAlign w:val="top"/>
          </w:tcPr>
          <w:p w14:paraId="5D22B8B8">
            <w:pPr>
              <w:spacing w:line="288" w:lineRule="auto"/>
              <w:rPr>
                <w:rFonts w:ascii="Arial"/>
                <w:color w:val="auto"/>
                <w:sz w:val="21"/>
                <w:highlight w:val="none"/>
              </w:rPr>
            </w:pPr>
          </w:p>
          <w:p w14:paraId="4E2B7D08">
            <w:pPr>
              <w:pStyle w:val="17"/>
              <w:spacing w:before="68" w:line="220" w:lineRule="auto"/>
              <w:ind w:left="147"/>
              <w:rPr>
                <w:color w:val="auto"/>
                <w:highlight w:val="none"/>
              </w:rPr>
            </w:pPr>
            <w:r>
              <w:rPr>
                <w:color w:val="auto"/>
                <w:spacing w:val="-3"/>
                <w:highlight w:val="none"/>
              </w:rPr>
              <w:t>自投标人提交投标文件截止之日起计算</w:t>
            </w:r>
            <w:r>
              <w:rPr>
                <w:color w:val="auto"/>
                <w:spacing w:val="-3"/>
                <w:highlight w:val="none"/>
                <w:u w:val="single" w:color="auto"/>
              </w:rPr>
              <w:t xml:space="preserve"> </w:t>
            </w:r>
            <w:r>
              <w:rPr>
                <w:rFonts w:hint="eastAsia"/>
                <w:color w:val="auto"/>
                <w:spacing w:val="-3"/>
                <w:highlight w:val="none"/>
                <w:u w:val="single" w:color="auto"/>
                <w:lang w:val="en-US" w:eastAsia="zh-CN"/>
              </w:rPr>
              <w:t xml:space="preserve">120 </w:t>
            </w:r>
            <w:r>
              <w:rPr>
                <w:color w:val="auto"/>
                <w:spacing w:val="-3"/>
                <w:highlight w:val="none"/>
              </w:rPr>
              <w:t>日</w:t>
            </w:r>
          </w:p>
        </w:tc>
      </w:tr>
      <w:tr w14:paraId="3C165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4" w:hRule="atLeast"/>
        </w:trPr>
        <w:tc>
          <w:tcPr>
            <w:tcW w:w="1185" w:type="dxa"/>
            <w:vAlign w:val="top"/>
          </w:tcPr>
          <w:p w14:paraId="66DD464E">
            <w:pPr>
              <w:spacing w:line="247" w:lineRule="auto"/>
              <w:rPr>
                <w:rFonts w:ascii="Arial"/>
                <w:color w:val="auto"/>
                <w:sz w:val="21"/>
                <w:highlight w:val="none"/>
              </w:rPr>
            </w:pPr>
          </w:p>
          <w:p w14:paraId="65B0E4C4">
            <w:pPr>
              <w:spacing w:line="247" w:lineRule="auto"/>
              <w:rPr>
                <w:rFonts w:ascii="Arial"/>
                <w:color w:val="auto"/>
                <w:sz w:val="21"/>
                <w:highlight w:val="none"/>
              </w:rPr>
            </w:pPr>
          </w:p>
          <w:p w14:paraId="723FF71B">
            <w:pPr>
              <w:spacing w:line="247" w:lineRule="auto"/>
              <w:rPr>
                <w:rFonts w:ascii="Arial"/>
                <w:color w:val="auto"/>
                <w:sz w:val="21"/>
                <w:highlight w:val="none"/>
              </w:rPr>
            </w:pPr>
          </w:p>
          <w:p w14:paraId="0261B59C">
            <w:pPr>
              <w:spacing w:line="247" w:lineRule="auto"/>
              <w:rPr>
                <w:rFonts w:ascii="Arial"/>
                <w:color w:val="auto"/>
                <w:sz w:val="21"/>
                <w:highlight w:val="none"/>
              </w:rPr>
            </w:pPr>
          </w:p>
          <w:p w14:paraId="5AC5105B">
            <w:pPr>
              <w:spacing w:line="247" w:lineRule="auto"/>
              <w:rPr>
                <w:rFonts w:ascii="Arial"/>
                <w:color w:val="auto"/>
                <w:sz w:val="21"/>
                <w:highlight w:val="none"/>
              </w:rPr>
            </w:pPr>
          </w:p>
          <w:p w14:paraId="55A40C50">
            <w:pPr>
              <w:spacing w:line="247" w:lineRule="auto"/>
              <w:rPr>
                <w:rFonts w:ascii="Arial"/>
                <w:color w:val="auto"/>
                <w:sz w:val="21"/>
                <w:highlight w:val="none"/>
              </w:rPr>
            </w:pPr>
          </w:p>
          <w:p w14:paraId="70BF2C8A">
            <w:pPr>
              <w:spacing w:line="247" w:lineRule="auto"/>
              <w:rPr>
                <w:rFonts w:ascii="Arial"/>
                <w:color w:val="auto"/>
                <w:sz w:val="21"/>
                <w:highlight w:val="none"/>
              </w:rPr>
            </w:pPr>
          </w:p>
          <w:p w14:paraId="0906AA63">
            <w:pPr>
              <w:spacing w:line="247" w:lineRule="auto"/>
              <w:rPr>
                <w:rFonts w:ascii="Arial"/>
                <w:color w:val="auto"/>
                <w:sz w:val="21"/>
                <w:highlight w:val="none"/>
              </w:rPr>
            </w:pPr>
          </w:p>
          <w:p w14:paraId="2C0EFE65">
            <w:pPr>
              <w:spacing w:line="247" w:lineRule="auto"/>
              <w:rPr>
                <w:rFonts w:ascii="Arial"/>
                <w:color w:val="auto"/>
                <w:sz w:val="21"/>
                <w:highlight w:val="none"/>
              </w:rPr>
            </w:pPr>
          </w:p>
          <w:p w14:paraId="199648B0">
            <w:pPr>
              <w:spacing w:line="247" w:lineRule="auto"/>
              <w:rPr>
                <w:rFonts w:ascii="Arial"/>
                <w:color w:val="auto"/>
                <w:sz w:val="21"/>
                <w:highlight w:val="none"/>
              </w:rPr>
            </w:pPr>
          </w:p>
          <w:p w14:paraId="357F6244">
            <w:pPr>
              <w:spacing w:line="248" w:lineRule="auto"/>
              <w:rPr>
                <w:rFonts w:ascii="Arial"/>
                <w:color w:val="auto"/>
                <w:sz w:val="21"/>
                <w:highlight w:val="none"/>
              </w:rPr>
            </w:pPr>
          </w:p>
          <w:p w14:paraId="31C5D9F8">
            <w:pPr>
              <w:spacing w:line="248" w:lineRule="auto"/>
              <w:rPr>
                <w:rFonts w:ascii="Arial"/>
                <w:color w:val="auto"/>
                <w:sz w:val="21"/>
                <w:highlight w:val="none"/>
              </w:rPr>
            </w:pPr>
          </w:p>
          <w:p w14:paraId="1323B134">
            <w:pPr>
              <w:spacing w:line="248" w:lineRule="auto"/>
              <w:rPr>
                <w:rFonts w:ascii="Arial"/>
                <w:color w:val="auto"/>
                <w:sz w:val="21"/>
                <w:highlight w:val="none"/>
              </w:rPr>
            </w:pPr>
          </w:p>
          <w:p w14:paraId="44E001BB">
            <w:pPr>
              <w:spacing w:line="248" w:lineRule="auto"/>
              <w:rPr>
                <w:rFonts w:ascii="Arial"/>
                <w:color w:val="auto"/>
                <w:sz w:val="21"/>
                <w:highlight w:val="none"/>
              </w:rPr>
            </w:pPr>
          </w:p>
          <w:p w14:paraId="0FB7F381">
            <w:pPr>
              <w:spacing w:line="248" w:lineRule="auto"/>
              <w:rPr>
                <w:rFonts w:ascii="Arial"/>
                <w:color w:val="auto"/>
                <w:sz w:val="21"/>
                <w:highlight w:val="none"/>
              </w:rPr>
            </w:pPr>
          </w:p>
          <w:p w14:paraId="78CC207B">
            <w:pPr>
              <w:spacing w:line="248" w:lineRule="auto"/>
              <w:rPr>
                <w:rFonts w:ascii="Arial"/>
                <w:color w:val="auto"/>
                <w:sz w:val="21"/>
                <w:highlight w:val="none"/>
              </w:rPr>
            </w:pPr>
          </w:p>
          <w:p w14:paraId="650087B3">
            <w:pPr>
              <w:spacing w:line="248" w:lineRule="auto"/>
              <w:rPr>
                <w:rFonts w:ascii="Arial"/>
                <w:color w:val="auto"/>
                <w:sz w:val="21"/>
                <w:highlight w:val="none"/>
              </w:rPr>
            </w:pPr>
          </w:p>
          <w:p w14:paraId="576F6476">
            <w:pPr>
              <w:spacing w:line="248" w:lineRule="auto"/>
              <w:rPr>
                <w:rFonts w:ascii="Arial"/>
                <w:color w:val="auto"/>
                <w:sz w:val="21"/>
                <w:highlight w:val="none"/>
              </w:rPr>
            </w:pPr>
          </w:p>
          <w:p w14:paraId="0BEAD41A">
            <w:pPr>
              <w:spacing w:line="248" w:lineRule="auto"/>
              <w:rPr>
                <w:rFonts w:ascii="Arial"/>
                <w:color w:val="auto"/>
                <w:sz w:val="21"/>
                <w:highlight w:val="none"/>
              </w:rPr>
            </w:pPr>
          </w:p>
          <w:p w14:paraId="686E4BF0">
            <w:pPr>
              <w:pStyle w:val="17"/>
              <w:spacing w:before="68" w:line="239" w:lineRule="auto"/>
              <w:ind w:left="338"/>
              <w:rPr>
                <w:color w:val="auto"/>
                <w:highlight w:val="none"/>
              </w:rPr>
            </w:pPr>
            <w:r>
              <w:rPr>
                <w:color w:val="auto"/>
                <w:spacing w:val="-3"/>
                <w:highlight w:val="none"/>
              </w:rPr>
              <w:t>3.4.1</w:t>
            </w:r>
          </w:p>
        </w:tc>
        <w:tc>
          <w:tcPr>
            <w:tcW w:w="2443" w:type="dxa"/>
            <w:vAlign w:val="top"/>
          </w:tcPr>
          <w:p w14:paraId="25EE7523">
            <w:pPr>
              <w:spacing w:line="246" w:lineRule="auto"/>
              <w:rPr>
                <w:rFonts w:ascii="Arial"/>
                <w:color w:val="auto"/>
                <w:sz w:val="21"/>
                <w:highlight w:val="none"/>
              </w:rPr>
            </w:pPr>
          </w:p>
          <w:p w14:paraId="0E8E8440">
            <w:pPr>
              <w:spacing w:line="246" w:lineRule="auto"/>
              <w:rPr>
                <w:rFonts w:ascii="Arial"/>
                <w:color w:val="auto"/>
                <w:sz w:val="21"/>
                <w:highlight w:val="none"/>
              </w:rPr>
            </w:pPr>
          </w:p>
          <w:p w14:paraId="3D08D1E5">
            <w:pPr>
              <w:spacing w:line="246" w:lineRule="auto"/>
              <w:rPr>
                <w:rFonts w:ascii="Arial"/>
                <w:color w:val="auto"/>
                <w:sz w:val="21"/>
                <w:highlight w:val="none"/>
              </w:rPr>
            </w:pPr>
          </w:p>
          <w:p w14:paraId="12A2E453">
            <w:pPr>
              <w:spacing w:line="246" w:lineRule="auto"/>
              <w:rPr>
                <w:rFonts w:ascii="Arial"/>
                <w:color w:val="auto"/>
                <w:sz w:val="21"/>
                <w:highlight w:val="none"/>
              </w:rPr>
            </w:pPr>
          </w:p>
          <w:p w14:paraId="34C58777">
            <w:pPr>
              <w:spacing w:line="246" w:lineRule="auto"/>
              <w:rPr>
                <w:rFonts w:ascii="Arial"/>
                <w:color w:val="auto"/>
                <w:sz w:val="21"/>
                <w:highlight w:val="none"/>
              </w:rPr>
            </w:pPr>
          </w:p>
          <w:p w14:paraId="494EFAD7">
            <w:pPr>
              <w:spacing w:line="246" w:lineRule="auto"/>
              <w:rPr>
                <w:rFonts w:ascii="Arial"/>
                <w:color w:val="auto"/>
                <w:sz w:val="21"/>
                <w:highlight w:val="none"/>
              </w:rPr>
            </w:pPr>
          </w:p>
          <w:p w14:paraId="788EC158">
            <w:pPr>
              <w:spacing w:line="247" w:lineRule="auto"/>
              <w:rPr>
                <w:rFonts w:ascii="Arial"/>
                <w:color w:val="auto"/>
                <w:sz w:val="21"/>
                <w:highlight w:val="none"/>
              </w:rPr>
            </w:pPr>
          </w:p>
          <w:p w14:paraId="0B4A9803">
            <w:pPr>
              <w:spacing w:line="247" w:lineRule="auto"/>
              <w:rPr>
                <w:rFonts w:ascii="Arial"/>
                <w:color w:val="auto"/>
                <w:sz w:val="21"/>
                <w:highlight w:val="none"/>
              </w:rPr>
            </w:pPr>
          </w:p>
          <w:p w14:paraId="0BD62433">
            <w:pPr>
              <w:spacing w:line="247" w:lineRule="auto"/>
              <w:rPr>
                <w:rFonts w:ascii="Arial"/>
                <w:color w:val="auto"/>
                <w:sz w:val="21"/>
                <w:highlight w:val="none"/>
              </w:rPr>
            </w:pPr>
          </w:p>
          <w:p w14:paraId="62DA3AE9">
            <w:pPr>
              <w:spacing w:line="247" w:lineRule="auto"/>
              <w:rPr>
                <w:rFonts w:ascii="Arial"/>
                <w:color w:val="auto"/>
                <w:sz w:val="21"/>
                <w:highlight w:val="none"/>
              </w:rPr>
            </w:pPr>
          </w:p>
          <w:p w14:paraId="43C6873A">
            <w:pPr>
              <w:spacing w:line="247" w:lineRule="auto"/>
              <w:rPr>
                <w:rFonts w:ascii="Arial"/>
                <w:color w:val="auto"/>
                <w:sz w:val="21"/>
                <w:highlight w:val="none"/>
              </w:rPr>
            </w:pPr>
          </w:p>
          <w:p w14:paraId="051BF023">
            <w:pPr>
              <w:spacing w:line="247" w:lineRule="auto"/>
              <w:rPr>
                <w:rFonts w:ascii="Arial"/>
                <w:color w:val="auto"/>
                <w:sz w:val="21"/>
                <w:highlight w:val="none"/>
              </w:rPr>
            </w:pPr>
          </w:p>
          <w:p w14:paraId="0E053D36">
            <w:pPr>
              <w:spacing w:line="247" w:lineRule="auto"/>
              <w:rPr>
                <w:rFonts w:ascii="Arial"/>
                <w:color w:val="auto"/>
                <w:sz w:val="21"/>
                <w:highlight w:val="none"/>
              </w:rPr>
            </w:pPr>
          </w:p>
          <w:p w14:paraId="582A3235">
            <w:pPr>
              <w:spacing w:line="247" w:lineRule="auto"/>
              <w:rPr>
                <w:rFonts w:ascii="Arial"/>
                <w:color w:val="auto"/>
                <w:sz w:val="21"/>
                <w:highlight w:val="none"/>
              </w:rPr>
            </w:pPr>
          </w:p>
          <w:p w14:paraId="1C4399AF">
            <w:pPr>
              <w:spacing w:line="247" w:lineRule="auto"/>
              <w:rPr>
                <w:rFonts w:ascii="Arial"/>
                <w:color w:val="auto"/>
                <w:sz w:val="21"/>
                <w:highlight w:val="none"/>
              </w:rPr>
            </w:pPr>
          </w:p>
          <w:p w14:paraId="10A9947C">
            <w:pPr>
              <w:spacing w:line="247" w:lineRule="auto"/>
              <w:rPr>
                <w:rFonts w:ascii="Arial"/>
                <w:color w:val="auto"/>
                <w:sz w:val="21"/>
                <w:highlight w:val="none"/>
              </w:rPr>
            </w:pPr>
          </w:p>
          <w:p w14:paraId="0F7E9216">
            <w:pPr>
              <w:spacing w:line="247" w:lineRule="auto"/>
              <w:rPr>
                <w:rFonts w:ascii="Arial"/>
                <w:color w:val="auto"/>
                <w:sz w:val="21"/>
                <w:highlight w:val="none"/>
              </w:rPr>
            </w:pPr>
          </w:p>
          <w:p w14:paraId="7996EE5B">
            <w:pPr>
              <w:spacing w:line="247" w:lineRule="auto"/>
              <w:rPr>
                <w:rFonts w:ascii="Arial"/>
                <w:color w:val="auto"/>
                <w:sz w:val="21"/>
                <w:highlight w:val="none"/>
              </w:rPr>
            </w:pPr>
          </w:p>
          <w:p w14:paraId="56240CBE">
            <w:pPr>
              <w:spacing w:line="247" w:lineRule="auto"/>
              <w:rPr>
                <w:rFonts w:ascii="Arial"/>
                <w:color w:val="auto"/>
                <w:sz w:val="21"/>
                <w:highlight w:val="none"/>
              </w:rPr>
            </w:pPr>
          </w:p>
          <w:p w14:paraId="62287C7C">
            <w:pPr>
              <w:pStyle w:val="17"/>
              <w:spacing w:before="68" w:line="234" w:lineRule="auto"/>
              <w:ind w:left="650"/>
              <w:rPr>
                <w:color w:val="auto"/>
                <w:sz w:val="10"/>
                <w:szCs w:val="10"/>
                <w:highlight w:val="none"/>
              </w:rPr>
            </w:pPr>
            <w:r>
              <w:rPr>
                <w:color w:val="auto"/>
                <w:spacing w:val="-2"/>
                <w:highlight w:val="none"/>
              </w:rPr>
              <w:t>投标保证金</w:t>
            </w:r>
          </w:p>
        </w:tc>
        <w:tc>
          <w:tcPr>
            <w:tcW w:w="5664" w:type="dxa"/>
            <w:vAlign w:val="top"/>
          </w:tcPr>
          <w:p w14:paraId="538D84C6">
            <w:pPr>
              <w:pStyle w:val="17"/>
              <w:spacing w:before="139" w:line="220" w:lineRule="auto"/>
              <w:ind w:left="116"/>
              <w:rPr>
                <w:color w:val="auto"/>
                <w:highlight w:val="none"/>
              </w:rPr>
            </w:pPr>
            <w:r>
              <w:rPr>
                <w:color w:val="auto"/>
                <w:spacing w:val="-4"/>
                <w:highlight w:val="none"/>
              </w:rPr>
              <w:t>是否要求投标人递交投标保证金：</w:t>
            </w:r>
          </w:p>
          <w:p w14:paraId="6700A561">
            <w:pPr>
              <w:pStyle w:val="17"/>
              <w:spacing w:before="134" w:line="233" w:lineRule="auto"/>
              <w:ind w:left="134"/>
              <w:rPr>
                <w:color w:val="auto"/>
                <w:sz w:val="10"/>
                <w:szCs w:val="10"/>
                <w:highlight w:val="none"/>
              </w:rPr>
            </w:pPr>
            <w:r>
              <w:rPr>
                <w:color w:val="auto"/>
                <w:spacing w:val="-1"/>
                <w:highlight w:val="none"/>
              </w:rPr>
              <w:t>□要求，投标保证金的金额：</w:t>
            </w:r>
            <w:r>
              <w:rPr>
                <w:color w:val="auto"/>
                <w:spacing w:val="-1"/>
                <w:position w:val="10"/>
                <w:sz w:val="10"/>
                <w:szCs w:val="10"/>
                <w:highlight w:val="none"/>
                <w:u w:val="single" w:color="auto"/>
              </w:rPr>
              <w:t xml:space="preserve">                                   </w:t>
            </w:r>
          </w:p>
          <w:p w14:paraId="2929776E">
            <w:pPr>
              <w:pStyle w:val="17"/>
              <w:spacing w:before="149" w:line="219" w:lineRule="auto"/>
              <w:ind w:left="134"/>
              <w:rPr>
                <w:color w:val="auto"/>
                <w:highlight w:val="none"/>
              </w:rPr>
            </w:pPr>
            <w:r>
              <w:rPr>
                <w:color w:val="auto"/>
                <w:spacing w:val="-1"/>
                <w:highlight w:val="none"/>
              </w:rPr>
              <w:t>□按投标人在广东省交通运输厅最新年度发布</w:t>
            </w:r>
            <w:r>
              <w:rPr>
                <w:color w:val="auto"/>
                <w:spacing w:val="-2"/>
                <w:highlight w:val="none"/>
              </w:rPr>
              <w:t>的广东省公</w:t>
            </w:r>
          </w:p>
          <w:p w14:paraId="07CA69AD">
            <w:pPr>
              <w:pStyle w:val="17"/>
              <w:spacing w:before="151" w:line="285" w:lineRule="auto"/>
              <w:ind w:left="114" w:right="115"/>
              <w:rPr>
                <w:color w:val="auto"/>
                <w:highlight w:val="none"/>
              </w:rPr>
            </w:pPr>
            <w:r>
              <w:rPr>
                <w:color w:val="auto"/>
                <w:spacing w:val="-1"/>
                <w:highlight w:val="none"/>
              </w:rPr>
              <w:t>路工程从业单位信用等级（信用等级类别应</w:t>
            </w:r>
            <w:r>
              <w:rPr>
                <w:color w:val="auto"/>
                <w:spacing w:val="-2"/>
                <w:highlight w:val="none"/>
              </w:rPr>
              <w:t>与招标相应的标</w:t>
            </w:r>
            <w:r>
              <w:rPr>
                <w:color w:val="auto"/>
                <w:spacing w:val="-1"/>
                <w:highlight w:val="none"/>
              </w:rPr>
              <w:t>段类别对应）减免投标保证金，减免幅度如下:</w:t>
            </w:r>
          </w:p>
          <w:p w14:paraId="1E529BBF">
            <w:pPr>
              <w:spacing w:line="14" w:lineRule="exact"/>
              <w:rPr>
                <w:color w:val="auto"/>
                <w:highlight w:val="none"/>
              </w:rPr>
            </w:pPr>
          </w:p>
          <w:tbl>
            <w:tblPr>
              <w:tblStyle w:val="16"/>
              <w:tblW w:w="520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1"/>
              <w:gridCol w:w="1094"/>
              <w:gridCol w:w="1003"/>
              <w:gridCol w:w="809"/>
              <w:gridCol w:w="784"/>
            </w:tblGrid>
            <w:tr w14:paraId="6288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511" w:type="dxa"/>
                  <w:vAlign w:val="top"/>
                </w:tcPr>
                <w:p w14:paraId="4C6FC6E4">
                  <w:pPr>
                    <w:pStyle w:val="17"/>
                    <w:spacing w:before="183" w:line="218" w:lineRule="auto"/>
                    <w:ind w:left="115"/>
                    <w:rPr>
                      <w:color w:val="auto"/>
                      <w:highlight w:val="none"/>
                    </w:rPr>
                  </w:pPr>
                  <w:r>
                    <w:rPr>
                      <w:color w:val="auto"/>
                      <w:spacing w:val="-2"/>
                      <w:highlight w:val="none"/>
                    </w:rPr>
                    <w:t>信用评价等级</w:t>
                  </w:r>
                </w:p>
              </w:tc>
              <w:tc>
                <w:tcPr>
                  <w:tcW w:w="1094" w:type="dxa"/>
                  <w:vAlign w:val="top"/>
                </w:tcPr>
                <w:p w14:paraId="24802887">
                  <w:pPr>
                    <w:pStyle w:val="17"/>
                    <w:spacing w:before="215" w:line="184" w:lineRule="auto"/>
                    <w:ind w:left="439"/>
                    <w:rPr>
                      <w:color w:val="auto"/>
                      <w:highlight w:val="none"/>
                    </w:rPr>
                  </w:pPr>
                  <w:r>
                    <w:rPr>
                      <w:color w:val="auto"/>
                      <w:highlight w:val="none"/>
                    </w:rPr>
                    <w:t>AA</w:t>
                  </w:r>
                </w:p>
              </w:tc>
              <w:tc>
                <w:tcPr>
                  <w:tcW w:w="1003" w:type="dxa"/>
                  <w:vAlign w:val="top"/>
                </w:tcPr>
                <w:p w14:paraId="48D4F11A">
                  <w:pPr>
                    <w:pStyle w:val="17"/>
                    <w:spacing w:before="215" w:line="184" w:lineRule="auto"/>
                    <w:ind w:left="448"/>
                    <w:rPr>
                      <w:color w:val="auto"/>
                      <w:highlight w:val="none"/>
                    </w:rPr>
                  </w:pPr>
                  <w:r>
                    <w:rPr>
                      <w:color w:val="auto"/>
                      <w:highlight w:val="none"/>
                    </w:rPr>
                    <w:t>A</w:t>
                  </w:r>
                </w:p>
              </w:tc>
              <w:tc>
                <w:tcPr>
                  <w:tcW w:w="809" w:type="dxa"/>
                  <w:vAlign w:val="top"/>
                </w:tcPr>
                <w:p w14:paraId="24A0DF96">
                  <w:pPr>
                    <w:pStyle w:val="17"/>
                    <w:spacing w:before="217" w:line="182" w:lineRule="auto"/>
                    <w:ind w:left="353"/>
                    <w:rPr>
                      <w:color w:val="auto"/>
                      <w:highlight w:val="none"/>
                    </w:rPr>
                  </w:pPr>
                  <w:r>
                    <w:rPr>
                      <w:color w:val="auto"/>
                      <w:highlight w:val="none"/>
                    </w:rPr>
                    <w:t>B</w:t>
                  </w:r>
                </w:p>
              </w:tc>
              <w:tc>
                <w:tcPr>
                  <w:tcW w:w="784" w:type="dxa"/>
                  <w:vAlign w:val="top"/>
                </w:tcPr>
                <w:p w14:paraId="0AAE321D">
                  <w:pPr>
                    <w:pStyle w:val="17"/>
                    <w:spacing w:before="216" w:line="183" w:lineRule="auto"/>
                    <w:ind w:left="343"/>
                    <w:rPr>
                      <w:color w:val="auto"/>
                      <w:highlight w:val="none"/>
                    </w:rPr>
                  </w:pPr>
                  <w:r>
                    <w:rPr>
                      <w:color w:val="auto"/>
                      <w:highlight w:val="none"/>
                    </w:rPr>
                    <w:t>C</w:t>
                  </w:r>
                </w:p>
              </w:tc>
            </w:tr>
            <w:tr w14:paraId="70EDA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11" w:type="dxa"/>
                  <w:vAlign w:val="top"/>
                </w:tcPr>
                <w:p w14:paraId="2074C0D0">
                  <w:pPr>
                    <w:pStyle w:val="17"/>
                    <w:spacing w:before="140" w:line="287" w:lineRule="auto"/>
                    <w:ind w:left="120" w:right="138" w:hanging="2"/>
                    <w:rPr>
                      <w:color w:val="auto"/>
                      <w:highlight w:val="none"/>
                    </w:rPr>
                  </w:pPr>
                  <w:r>
                    <w:rPr>
                      <w:color w:val="auto"/>
                      <w:spacing w:val="-2"/>
                      <w:highlight w:val="none"/>
                    </w:rPr>
                    <w:t>投标保证金减</w:t>
                  </w:r>
                  <w:r>
                    <w:rPr>
                      <w:color w:val="auto"/>
                      <w:spacing w:val="-3"/>
                      <w:highlight w:val="none"/>
                    </w:rPr>
                    <w:t>免幅度</w:t>
                  </w:r>
                </w:p>
              </w:tc>
              <w:tc>
                <w:tcPr>
                  <w:tcW w:w="1094" w:type="dxa"/>
                  <w:vAlign w:val="top"/>
                </w:tcPr>
                <w:p w14:paraId="36478C26">
                  <w:pPr>
                    <w:spacing w:line="268" w:lineRule="auto"/>
                    <w:rPr>
                      <w:rFonts w:ascii="Arial"/>
                      <w:color w:val="auto"/>
                      <w:sz w:val="21"/>
                      <w:highlight w:val="none"/>
                    </w:rPr>
                  </w:pPr>
                </w:p>
                <w:p w14:paraId="446B6A93">
                  <w:pPr>
                    <w:pStyle w:val="17"/>
                    <w:spacing w:before="69"/>
                    <w:ind w:left="135"/>
                    <w:rPr>
                      <w:color w:val="auto"/>
                      <w:highlight w:val="none"/>
                    </w:rPr>
                  </w:pPr>
                  <w:r>
                    <w:rPr>
                      <w:color w:val="auto"/>
                      <w:spacing w:val="-2"/>
                      <w:highlight w:val="none"/>
                    </w:rPr>
                    <w:t>50%-100%</w:t>
                  </w:r>
                </w:p>
              </w:tc>
              <w:tc>
                <w:tcPr>
                  <w:tcW w:w="1003" w:type="dxa"/>
                  <w:vAlign w:val="top"/>
                </w:tcPr>
                <w:p w14:paraId="16753CEF">
                  <w:pPr>
                    <w:spacing w:line="268" w:lineRule="auto"/>
                    <w:rPr>
                      <w:rFonts w:ascii="Arial"/>
                      <w:color w:val="auto"/>
                      <w:sz w:val="21"/>
                      <w:highlight w:val="none"/>
                    </w:rPr>
                  </w:pPr>
                </w:p>
                <w:p w14:paraId="2F3B54E2">
                  <w:pPr>
                    <w:pStyle w:val="17"/>
                    <w:spacing w:before="69"/>
                    <w:ind w:left="155"/>
                    <w:rPr>
                      <w:color w:val="auto"/>
                      <w:highlight w:val="none"/>
                    </w:rPr>
                  </w:pPr>
                  <w:r>
                    <w:rPr>
                      <w:color w:val="auto"/>
                      <w:spacing w:val="-4"/>
                      <w:highlight w:val="none"/>
                    </w:rPr>
                    <w:t>10%-50%</w:t>
                  </w:r>
                </w:p>
              </w:tc>
              <w:tc>
                <w:tcPr>
                  <w:tcW w:w="809" w:type="dxa"/>
                  <w:vAlign w:val="top"/>
                </w:tcPr>
                <w:p w14:paraId="1C950838">
                  <w:pPr>
                    <w:spacing w:line="268" w:lineRule="auto"/>
                    <w:rPr>
                      <w:rFonts w:ascii="Arial"/>
                      <w:color w:val="auto"/>
                      <w:sz w:val="21"/>
                      <w:highlight w:val="none"/>
                    </w:rPr>
                  </w:pPr>
                </w:p>
                <w:p w14:paraId="383E8DDB">
                  <w:pPr>
                    <w:pStyle w:val="17"/>
                    <w:spacing w:before="69"/>
                    <w:ind w:left="308"/>
                    <w:rPr>
                      <w:color w:val="auto"/>
                      <w:highlight w:val="none"/>
                    </w:rPr>
                  </w:pPr>
                  <w:r>
                    <w:rPr>
                      <w:color w:val="auto"/>
                      <w:spacing w:val="-5"/>
                      <w:highlight w:val="none"/>
                    </w:rPr>
                    <w:t>0%</w:t>
                  </w:r>
                </w:p>
              </w:tc>
              <w:tc>
                <w:tcPr>
                  <w:tcW w:w="784" w:type="dxa"/>
                  <w:vAlign w:val="top"/>
                </w:tcPr>
                <w:p w14:paraId="3134243E">
                  <w:pPr>
                    <w:spacing w:line="268" w:lineRule="auto"/>
                    <w:rPr>
                      <w:rFonts w:ascii="Arial"/>
                      <w:color w:val="auto"/>
                      <w:sz w:val="21"/>
                      <w:highlight w:val="none"/>
                    </w:rPr>
                  </w:pPr>
                </w:p>
                <w:p w14:paraId="69EC7EA5">
                  <w:pPr>
                    <w:pStyle w:val="17"/>
                    <w:spacing w:before="69"/>
                    <w:ind w:left="294"/>
                    <w:rPr>
                      <w:color w:val="auto"/>
                      <w:highlight w:val="none"/>
                    </w:rPr>
                  </w:pPr>
                  <w:r>
                    <w:rPr>
                      <w:color w:val="auto"/>
                      <w:spacing w:val="-5"/>
                      <w:highlight w:val="none"/>
                    </w:rPr>
                    <w:t>0%</w:t>
                  </w:r>
                </w:p>
              </w:tc>
            </w:tr>
            <w:tr w14:paraId="78AD4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511" w:type="dxa"/>
                  <w:vAlign w:val="top"/>
                </w:tcPr>
                <w:p w14:paraId="36A1F373">
                  <w:pPr>
                    <w:pStyle w:val="17"/>
                    <w:spacing w:before="142" w:line="288" w:lineRule="auto"/>
                    <w:ind w:left="115" w:right="138"/>
                    <w:rPr>
                      <w:color w:val="auto"/>
                      <w:highlight w:val="none"/>
                    </w:rPr>
                  </w:pPr>
                  <w:r>
                    <w:rPr>
                      <w:color w:val="auto"/>
                      <w:spacing w:val="-2"/>
                      <w:highlight w:val="none"/>
                    </w:rPr>
                    <w:t>减免后的投标保证金金额</w:t>
                  </w:r>
                </w:p>
              </w:tc>
              <w:tc>
                <w:tcPr>
                  <w:tcW w:w="1094" w:type="dxa"/>
                  <w:vAlign w:val="top"/>
                </w:tcPr>
                <w:p w14:paraId="03E9B419">
                  <w:pPr>
                    <w:rPr>
                      <w:rFonts w:ascii="Arial"/>
                      <w:color w:val="auto"/>
                      <w:sz w:val="21"/>
                      <w:highlight w:val="none"/>
                    </w:rPr>
                  </w:pPr>
                </w:p>
              </w:tc>
              <w:tc>
                <w:tcPr>
                  <w:tcW w:w="1003" w:type="dxa"/>
                  <w:vAlign w:val="top"/>
                </w:tcPr>
                <w:p w14:paraId="03AA004D">
                  <w:pPr>
                    <w:rPr>
                      <w:rFonts w:ascii="Arial"/>
                      <w:color w:val="auto"/>
                      <w:sz w:val="21"/>
                      <w:highlight w:val="none"/>
                    </w:rPr>
                  </w:pPr>
                </w:p>
              </w:tc>
              <w:tc>
                <w:tcPr>
                  <w:tcW w:w="809" w:type="dxa"/>
                  <w:vAlign w:val="top"/>
                </w:tcPr>
                <w:p w14:paraId="19F7A5DF">
                  <w:pPr>
                    <w:rPr>
                      <w:rFonts w:ascii="Arial"/>
                      <w:color w:val="auto"/>
                      <w:sz w:val="21"/>
                      <w:highlight w:val="none"/>
                    </w:rPr>
                  </w:pPr>
                </w:p>
              </w:tc>
              <w:tc>
                <w:tcPr>
                  <w:tcW w:w="784" w:type="dxa"/>
                  <w:vAlign w:val="top"/>
                </w:tcPr>
                <w:p w14:paraId="6E2A2801">
                  <w:pPr>
                    <w:rPr>
                      <w:rFonts w:ascii="Arial"/>
                      <w:color w:val="auto"/>
                      <w:sz w:val="21"/>
                      <w:highlight w:val="none"/>
                    </w:rPr>
                  </w:pPr>
                </w:p>
              </w:tc>
            </w:tr>
          </w:tbl>
          <w:p w14:paraId="4EC89A4A">
            <w:pPr>
              <w:pStyle w:val="17"/>
              <w:spacing w:before="123" w:line="233" w:lineRule="auto"/>
              <w:ind w:left="134"/>
              <w:rPr>
                <w:color w:val="auto"/>
                <w:highlight w:val="none"/>
              </w:rPr>
            </w:pPr>
            <w:r>
              <w:rPr>
                <w:color w:val="auto"/>
                <w:spacing w:val="-2"/>
                <w:highlight w:val="none"/>
              </w:rPr>
              <w:t>□无失信记录</w:t>
            </w:r>
            <w:r>
              <w:rPr>
                <w:color w:val="auto"/>
                <w:spacing w:val="-25"/>
                <w:position w:val="10"/>
                <w:sz w:val="10"/>
                <w:szCs w:val="10"/>
                <w:highlight w:val="none"/>
              </w:rPr>
              <w:t xml:space="preserve"> </w:t>
            </w:r>
            <w:r>
              <w:rPr>
                <w:color w:val="auto"/>
                <w:spacing w:val="-2"/>
                <w:highlight w:val="none"/>
              </w:rPr>
              <w:t>的中小微企业，给予减免投标保证金，减</w:t>
            </w:r>
          </w:p>
          <w:p w14:paraId="44E8D5B1">
            <w:pPr>
              <w:pStyle w:val="17"/>
              <w:spacing w:before="136" w:line="232" w:lineRule="auto"/>
              <w:ind w:left="118"/>
              <w:rPr>
                <w:color w:val="auto"/>
                <w:highlight w:val="none"/>
              </w:rPr>
            </w:pPr>
            <w:r>
              <w:rPr>
                <w:color w:val="auto"/>
                <w:spacing w:val="-1"/>
                <w:highlight w:val="none"/>
              </w:rPr>
              <w:t>免</w:t>
            </w:r>
            <w:r>
              <w:rPr>
                <w:color w:val="auto"/>
                <w:spacing w:val="-1"/>
                <w:highlight w:val="none"/>
                <w:u w:val="single" w:color="auto"/>
              </w:rPr>
              <w:t xml:space="preserve">   </w:t>
            </w:r>
            <w:r>
              <w:rPr>
                <w:color w:val="auto"/>
                <w:spacing w:val="-85"/>
                <w:highlight w:val="none"/>
              </w:rPr>
              <w:t xml:space="preserve"> </w:t>
            </w:r>
            <w:r>
              <w:rPr>
                <w:color w:val="auto"/>
                <w:spacing w:val="-1"/>
                <w:highlight w:val="none"/>
              </w:rPr>
              <w:t>%缴纳投标保证金，减免后投标保证金金额：</w:t>
            </w:r>
            <w:r>
              <w:rPr>
                <w:color w:val="auto"/>
                <w:spacing w:val="-1"/>
                <w:highlight w:val="none"/>
                <w:u w:val="single" w:color="auto"/>
              </w:rPr>
              <w:t xml:space="preserve">    </w:t>
            </w:r>
            <w:r>
              <w:rPr>
                <w:color w:val="auto"/>
                <w:spacing w:val="-1"/>
                <w:highlight w:val="none"/>
              </w:rPr>
              <w:t>。</w:t>
            </w:r>
          </w:p>
          <w:p w14:paraId="51F510D4">
            <w:pPr>
              <w:pStyle w:val="17"/>
              <w:spacing w:before="149" w:line="220" w:lineRule="auto"/>
              <w:ind w:left="116"/>
              <w:rPr>
                <w:color w:val="auto"/>
                <w:highlight w:val="none"/>
              </w:rPr>
            </w:pPr>
            <w:r>
              <w:rPr>
                <w:color w:val="auto"/>
                <w:spacing w:val="-1"/>
                <w:highlight w:val="none"/>
              </w:rPr>
              <w:t>如同时满足以上信用等级和中小微企业减免投标保证金的</w:t>
            </w:r>
          </w:p>
          <w:p w14:paraId="2C1D6408">
            <w:pPr>
              <w:pStyle w:val="17"/>
              <w:spacing w:before="152" w:line="351" w:lineRule="auto"/>
              <w:ind w:left="117" w:right="107" w:hanging="3"/>
              <w:rPr>
                <w:color w:val="auto"/>
                <w:highlight w:val="none"/>
              </w:rPr>
            </w:pPr>
            <w:r>
              <w:rPr>
                <w:color w:val="auto"/>
                <w:spacing w:val="-1"/>
                <w:highlight w:val="none"/>
              </w:rPr>
              <w:t>情形，则以减免后投标保证金金额较少的为准。以联合体形</w:t>
            </w:r>
            <w:r>
              <w:rPr>
                <w:color w:val="auto"/>
                <w:spacing w:val="-2"/>
                <w:highlight w:val="none"/>
              </w:rPr>
              <w:t>式参加投标的，以上减免情形以联合体牵头人为准。</w:t>
            </w:r>
          </w:p>
          <w:p w14:paraId="7704F2B7">
            <w:pPr>
              <w:pStyle w:val="17"/>
              <w:spacing w:before="2" w:line="351" w:lineRule="auto"/>
              <w:ind w:left="137" w:right="107" w:hanging="22"/>
              <w:rPr>
                <w:color w:val="auto"/>
                <w:highlight w:val="none"/>
              </w:rPr>
            </w:pPr>
            <w:r>
              <w:rPr>
                <w:color w:val="auto"/>
                <w:spacing w:val="-9"/>
                <w:highlight w:val="none"/>
              </w:rPr>
              <w:t>投标保证金可采用的其他形式：</w:t>
            </w:r>
            <w:r>
              <w:rPr>
                <w:color w:val="auto"/>
                <w:spacing w:val="-9"/>
                <w:highlight w:val="none"/>
                <w:u w:val="single" w:color="auto"/>
              </w:rPr>
              <w:t>汇票、信用证、保证保险（含</w:t>
            </w:r>
            <w:r>
              <w:rPr>
                <w:color w:val="auto"/>
                <w:spacing w:val="-2"/>
                <w:highlight w:val="none"/>
                <w:u w:val="single" w:color="auto"/>
              </w:rPr>
              <w:t>电子保证保险）、电子保函、银行本票或其他合法形式</w:t>
            </w:r>
            <w:r>
              <w:rPr>
                <w:color w:val="auto"/>
                <w:spacing w:val="-2"/>
                <w:highlight w:val="none"/>
              </w:rPr>
              <w:t>。</w:t>
            </w:r>
          </w:p>
          <w:p w14:paraId="2E99845E">
            <w:pPr>
              <w:pStyle w:val="17"/>
              <w:spacing w:line="220" w:lineRule="auto"/>
              <w:ind w:left="114"/>
              <w:rPr>
                <w:color w:val="auto"/>
                <w:highlight w:val="none"/>
              </w:rPr>
            </w:pPr>
            <w:r>
              <w:rPr>
                <w:color w:val="auto"/>
                <w:spacing w:val="-4"/>
                <w:highlight w:val="none"/>
              </w:rPr>
              <w:t>招标人指定的开户银行及账号如下：</w:t>
            </w:r>
          </w:p>
          <w:p w14:paraId="597B21B6">
            <w:pPr>
              <w:pStyle w:val="17"/>
              <w:spacing w:before="149" w:line="220" w:lineRule="auto"/>
              <w:ind w:left="116"/>
              <w:rPr>
                <w:color w:val="auto"/>
                <w:highlight w:val="none"/>
              </w:rPr>
            </w:pPr>
            <w:r>
              <w:rPr>
                <w:color w:val="auto"/>
                <w:spacing w:val="-3"/>
                <w:highlight w:val="none"/>
              </w:rPr>
              <w:t>账户名称</w:t>
            </w:r>
            <w:r>
              <w:rPr>
                <w:color w:val="auto"/>
                <w:spacing w:val="-1"/>
                <w:highlight w:val="none"/>
              </w:rPr>
              <w:t>：</w:t>
            </w:r>
            <w:r>
              <w:rPr>
                <w:color w:val="auto"/>
                <w:highlight w:val="none"/>
                <w:u w:val="single" w:color="auto"/>
              </w:rPr>
              <w:t xml:space="preserve">            </w:t>
            </w:r>
            <w:r>
              <w:rPr>
                <w:color w:val="auto"/>
                <w:spacing w:val="-1"/>
                <w:highlight w:val="none"/>
              </w:rPr>
              <w:t>；</w:t>
            </w:r>
          </w:p>
          <w:p w14:paraId="19EF27E6">
            <w:pPr>
              <w:pStyle w:val="17"/>
              <w:spacing w:before="151" w:line="220" w:lineRule="auto"/>
              <w:ind w:left="114"/>
              <w:rPr>
                <w:color w:val="auto"/>
                <w:highlight w:val="none"/>
              </w:rPr>
            </w:pPr>
            <w:r>
              <w:rPr>
                <w:color w:val="auto"/>
                <w:spacing w:val="-2"/>
                <w:highlight w:val="none"/>
              </w:rPr>
              <w:t>开户银行</w:t>
            </w:r>
            <w:r>
              <w:rPr>
                <w:color w:val="auto"/>
                <w:spacing w:val="-1"/>
                <w:highlight w:val="none"/>
              </w:rPr>
              <w:t>：</w:t>
            </w:r>
            <w:r>
              <w:rPr>
                <w:color w:val="auto"/>
                <w:highlight w:val="none"/>
                <w:u w:val="single" w:color="auto"/>
              </w:rPr>
              <w:t xml:space="preserve">            </w:t>
            </w:r>
            <w:r>
              <w:rPr>
                <w:color w:val="auto"/>
                <w:spacing w:val="-1"/>
                <w:highlight w:val="none"/>
              </w:rPr>
              <w:t>；</w:t>
            </w:r>
          </w:p>
          <w:p w14:paraId="65E8E822">
            <w:pPr>
              <w:pStyle w:val="17"/>
              <w:spacing w:before="149" w:line="221" w:lineRule="auto"/>
              <w:ind w:left="116"/>
              <w:rPr>
                <w:color w:val="auto"/>
                <w:highlight w:val="none"/>
              </w:rPr>
            </w:pPr>
            <w:r>
              <w:rPr>
                <w:color w:val="auto"/>
                <w:spacing w:val="-13"/>
                <w:highlight w:val="none"/>
              </w:rPr>
              <w:t>账</w:t>
            </w:r>
            <w:r>
              <w:rPr>
                <w:color w:val="auto"/>
                <w:spacing w:val="3"/>
                <w:highlight w:val="none"/>
              </w:rPr>
              <w:t xml:space="preserve">    </w:t>
            </w:r>
            <w:r>
              <w:rPr>
                <w:color w:val="auto"/>
                <w:spacing w:val="-13"/>
                <w:highlight w:val="none"/>
              </w:rPr>
              <w:t>号</w:t>
            </w:r>
            <w:r>
              <w:rPr>
                <w:color w:val="auto"/>
                <w:highlight w:val="none"/>
              </w:rPr>
              <w:t>：</w:t>
            </w:r>
            <w:r>
              <w:rPr>
                <w:color w:val="auto"/>
                <w:highlight w:val="none"/>
                <w:u w:val="single" w:color="auto"/>
              </w:rPr>
              <w:t xml:space="preserve">            </w:t>
            </w:r>
            <w:r>
              <w:rPr>
                <w:color w:val="auto"/>
                <w:highlight w:val="none"/>
              </w:rPr>
              <w:t>；</w:t>
            </w:r>
          </w:p>
          <w:p w14:paraId="75BB0427">
            <w:pPr>
              <w:pStyle w:val="17"/>
              <w:spacing w:before="148" w:line="220" w:lineRule="auto"/>
              <w:ind w:left="114"/>
              <w:rPr>
                <w:color w:val="auto"/>
                <w:highlight w:val="none"/>
              </w:rPr>
            </w:pPr>
            <w:r>
              <w:rPr>
                <w:color w:val="auto"/>
                <w:spacing w:val="-1"/>
                <w:highlight w:val="none"/>
              </w:rPr>
              <w:t>财务联系人及电话：</w:t>
            </w:r>
            <w:r>
              <w:rPr>
                <w:color w:val="auto"/>
                <w:spacing w:val="-1"/>
                <w:highlight w:val="none"/>
                <w:u w:val="single" w:color="auto"/>
              </w:rPr>
              <w:t xml:space="preserve">            </w:t>
            </w:r>
            <w:r>
              <w:rPr>
                <w:color w:val="auto"/>
                <w:spacing w:val="-1"/>
                <w:highlight w:val="none"/>
              </w:rPr>
              <w:t>。</w:t>
            </w:r>
          </w:p>
          <w:p w14:paraId="2F82268D">
            <w:pPr>
              <w:pStyle w:val="17"/>
              <w:spacing w:before="150" w:line="288" w:lineRule="auto"/>
              <w:ind w:left="115" w:right="107" w:hanging="3"/>
              <w:rPr>
                <w:color w:val="auto"/>
                <w:highlight w:val="none"/>
              </w:rPr>
            </w:pPr>
            <w:r>
              <w:rPr>
                <w:color w:val="auto"/>
                <w:spacing w:val="-1"/>
                <w:highlight w:val="none"/>
              </w:rPr>
              <w:t>采用现金或支票方式：投标保证金到达招标人指定账户时间</w:t>
            </w:r>
            <w:r>
              <w:rPr>
                <w:color w:val="auto"/>
                <w:spacing w:val="-3"/>
                <w:highlight w:val="none"/>
              </w:rPr>
              <w:t>为：递交投标文件截止时间前（以到账时间为准</w:t>
            </w:r>
            <w:r>
              <w:rPr>
                <w:color w:val="auto"/>
                <w:spacing w:val="2"/>
                <w:highlight w:val="none"/>
              </w:rPr>
              <w:t>）；</w:t>
            </w:r>
          </w:p>
        </w:tc>
      </w:tr>
    </w:tbl>
    <w:p w14:paraId="5026E9D0">
      <w:pPr>
        <w:pStyle w:val="3"/>
        <w:spacing w:line="300" w:lineRule="auto"/>
        <w:rPr>
          <w:color w:val="auto"/>
          <w:highlight w:val="none"/>
        </w:rPr>
      </w:pPr>
    </w:p>
    <w:p w14:paraId="45B647CC">
      <w:pPr>
        <w:spacing w:line="217" w:lineRule="auto"/>
        <w:rPr>
          <w:rFonts w:ascii="宋体" w:hAnsi="宋体" w:eastAsia="宋体" w:cs="宋体"/>
          <w:color w:val="auto"/>
          <w:sz w:val="18"/>
          <w:szCs w:val="18"/>
          <w:highlight w:val="none"/>
        </w:rPr>
        <w:sectPr>
          <w:headerReference r:id="rId22" w:type="default"/>
          <w:footerReference r:id="rId23" w:type="default"/>
          <w:pgSz w:w="11905" w:h="16840"/>
          <w:pgMar w:top="1182" w:right="0" w:bottom="1171" w:left="0" w:header="849" w:footer="937" w:gutter="0"/>
          <w:pgNumType w:fmt="decimal"/>
          <w:cols w:space="720" w:num="1"/>
        </w:sectPr>
      </w:pPr>
    </w:p>
    <w:p w14:paraId="7EB5FE14">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5A9A1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44C35757">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2AF0C593">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3A76C6E4">
            <w:pPr>
              <w:pStyle w:val="17"/>
              <w:spacing w:before="181" w:line="220" w:lineRule="auto"/>
              <w:ind w:left="2417"/>
              <w:rPr>
                <w:color w:val="auto"/>
                <w:highlight w:val="none"/>
              </w:rPr>
            </w:pPr>
            <w:r>
              <w:rPr>
                <w:b/>
                <w:bCs/>
                <w:color w:val="auto"/>
                <w:spacing w:val="-5"/>
                <w:highlight w:val="none"/>
              </w:rPr>
              <w:t>编列内容</w:t>
            </w:r>
          </w:p>
        </w:tc>
      </w:tr>
      <w:tr w14:paraId="53BE4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1185" w:type="dxa"/>
            <w:vAlign w:val="top"/>
          </w:tcPr>
          <w:p w14:paraId="562AF465">
            <w:pPr>
              <w:rPr>
                <w:rFonts w:ascii="Arial"/>
                <w:color w:val="auto"/>
                <w:sz w:val="21"/>
                <w:highlight w:val="none"/>
              </w:rPr>
            </w:pPr>
          </w:p>
        </w:tc>
        <w:tc>
          <w:tcPr>
            <w:tcW w:w="2443" w:type="dxa"/>
            <w:vAlign w:val="top"/>
          </w:tcPr>
          <w:p w14:paraId="6E5709E9">
            <w:pPr>
              <w:rPr>
                <w:rFonts w:ascii="Arial"/>
                <w:color w:val="auto"/>
                <w:sz w:val="21"/>
                <w:highlight w:val="none"/>
              </w:rPr>
            </w:pPr>
          </w:p>
        </w:tc>
        <w:tc>
          <w:tcPr>
            <w:tcW w:w="5664" w:type="dxa"/>
            <w:vAlign w:val="top"/>
          </w:tcPr>
          <w:p w14:paraId="547ECE70">
            <w:pPr>
              <w:pStyle w:val="17"/>
              <w:spacing w:before="136" w:line="352" w:lineRule="auto"/>
              <w:ind w:left="113" w:right="107" w:hanging="1"/>
              <w:jc w:val="both"/>
              <w:rPr>
                <w:color w:val="auto"/>
                <w:highlight w:val="none"/>
              </w:rPr>
            </w:pPr>
            <w:r>
              <w:rPr>
                <w:color w:val="auto"/>
                <w:spacing w:val="-1"/>
                <w:highlight w:val="none"/>
              </w:rPr>
              <w:t>采用银行保函时：必须由投标人的基本账户开具，若基本账户银行不能开具，可由上级银行出具并附相关证明材料，否则视为无效。且银行保函原件在递交投标文件截止时间之前</w:t>
            </w:r>
            <w:r>
              <w:rPr>
                <w:color w:val="auto"/>
                <w:spacing w:val="-2"/>
                <w:highlight w:val="none"/>
              </w:rPr>
              <w:t>单独密封递交，其扫描件放在投标文件中。</w:t>
            </w:r>
          </w:p>
          <w:p w14:paraId="2BEBED48">
            <w:pPr>
              <w:pStyle w:val="17"/>
              <w:spacing w:line="218" w:lineRule="auto"/>
              <w:ind w:left="112"/>
              <w:rPr>
                <w:color w:val="auto"/>
                <w:highlight w:val="none"/>
              </w:rPr>
            </w:pPr>
            <w:r>
              <w:rPr>
                <w:color w:val="auto"/>
                <w:spacing w:val="-1"/>
                <w:highlight w:val="none"/>
              </w:rPr>
              <w:t>采用其他形式时：</w:t>
            </w:r>
            <w:r>
              <w:rPr>
                <w:color w:val="auto"/>
                <w:spacing w:val="-1"/>
                <w:highlight w:val="none"/>
                <w:u w:val="single" w:color="auto"/>
              </w:rPr>
              <w:t xml:space="preserve">            </w:t>
            </w:r>
            <w:r>
              <w:rPr>
                <w:color w:val="auto"/>
                <w:spacing w:val="-1"/>
                <w:highlight w:val="none"/>
              </w:rPr>
              <w:t>。</w:t>
            </w:r>
          </w:p>
          <w:p w14:paraId="4404925F">
            <w:pPr>
              <w:pStyle w:val="17"/>
              <w:spacing w:before="150" w:line="221" w:lineRule="auto"/>
              <w:ind w:left="134"/>
              <w:rPr>
                <w:color w:val="auto"/>
                <w:highlight w:val="none"/>
              </w:rPr>
            </w:pPr>
            <w:r>
              <w:rPr>
                <w:rFonts w:hint="eastAsia"/>
                <w:color w:val="auto"/>
                <w:spacing w:val="-6"/>
                <w:highlight w:val="none"/>
                <w:lang w:eastAsia="zh-CN"/>
              </w:rPr>
              <w:t>☑</w:t>
            </w:r>
            <w:r>
              <w:rPr>
                <w:color w:val="auto"/>
                <w:spacing w:val="-6"/>
                <w:highlight w:val="none"/>
              </w:rPr>
              <w:t>不要求</w:t>
            </w:r>
          </w:p>
        </w:tc>
      </w:tr>
      <w:tr w14:paraId="49A02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4" w:hRule="atLeast"/>
        </w:trPr>
        <w:tc>
          <w:tcPr>
            <w:tcW w:w="1185" w:type="dxa"/>
            <w:vAlign w:val="top"/>
          </w:tcPr>
          <w:p w14:paraId="1303CF08">
            <w:pPr>
              <w:spacing w:line="252" w:lineRule="auto"/>
              <w:rPr>
                <w:rFonts w:ascii="Arial"/>
                <w:strike/>
                <w:dstrike w:val="0"/>
                <w:color w:val="auto"/>
                <w:sz w:val="21"/>
                <w:highlight w:val="none"/>
              </w:rPr>
            </w:pPr>
          </w:p>
          <w:p w14:paraId="77CF8054">
            <w:pPr>
              <w:spacing w:line="252" w:lineRule="auto"/>
              <w:rPr>
                <w:rFonts w:ascii="Arial"/>
                <w:strike/>
                <w:dstrike w:val="0"/>
                <w:color w:val="auto"/>
                <w:sz w:val="21"/>
                <w:highlight w:val="none"/>
              </w:rPr>
            </w:pPr>
          </w:p>
          <w:p w14:paraId="06D83CE7">
            <w:pPr>
              <w:spacing w:line="252" w:lineRule="auto"/>
              <w:rPr>
                <w:rFonts w:ascii="Arial"/>
                <w:strike/>
                <w:dstrike w:val="0"/>
                <w:color w:val="auto"/>
                <w:sz w:val="21"/>
                <w:highlight w:val="none"/>
              </w:rPr>
            </w:pPr>
          </w:p>
          <w:p w14:paraId="00CD1977">
            <w:pPr>
              <w:spacing w:line="252" w:lineRule="auto"/>
              <w:rPr>
                <w:rFonts w:ascii="Arial"/>
                <w:strike/>
                <w:dstrike w:val="0"/>
                <w:color w:val="auto"/>
                <w:sz w:val="21"/>
                <w:highlight w:val="none"/>
              </w:rPr>
            </w:pPr>
          </w:p>
          <w:p w14:paraId="13941BA3">
            <w:pPr>
              <w:spacing w:line="252" w:lineRule="auto"/>
              <w:rPr>
                <w:rFonts w:ascii="Arial"/>
                <w:strike/>
                <w:dstrike w:val="0"/>
                <w:color w:val="auto"/>
                <w:sz w:val="21"/>
                <w:highlight w:val="none"/>
              </w:rPr>
            </w:pPr>
          </w:p>
          <w:p w14:paraId="45F66C0F">
            <w:pPr>
              <w:spacing w:line="253" w:lineRule="auto"/>
              <w:rPr>
                <w:rFonts w:ascii="Arial"/>
                <w:strike/>
                <w:dstrike w:val="0"/>
                <w:color w:val="auto"/>
                <w:sz w:val="21"/>
                <w:highlight w:val="none"/>
              </w:rPr>
            </w:pPr>
          </w:p>
          <w:p w14:paraId="054328CB">
            <w:pPr>
              <w:spacing w:line="253" w:lineRule="auto"/>
              <w:rPr>
                <w:rFonts w:ascii="Arial"/>
                <w:strike/>
                <w:dstrike w:val="0"/>
                <w:color w:val="auto"/>
                <w:sz w:val="21"/>
                <w:highlight w:val="none"/>
              </w:rPr>
            </w:pPr>
          </w:p>
          <w:p w14:paraId="0B3C6D10">
            <w:pPr>
              <w:spacing w:line="253" w:lineRule="auto"/>
              <w:rPr>
                <w:rFonts w:ascii="Arial"/>
                <w:strike/>
                <w:dstrike w:val="0"/>
                <w:color w:val="auto"/>
                <w:sz w:val="21"/>
                <w:highlight w:val="none"/>
              </w:rPr>
            </w:pPr>
          </w:p>
          <w:p w14:paraId="5D31CE1B">
            <w:pPr>
              <w:spacing w:line="253" w:lineRule="auto"/>
              <w:rPr>
                <w:rFonts w:ascii="Arial"/>
                <w:strike/>
                <w:dstrike w:val="0"/>
                <w:color w:val="auto"/>
                <w:sz w:val="21"/>
                <w:highlight w:val="none"/>
              </w:rPr>
            </w:pPr>
          </w:p>
          <w:p w14:paraId="596642C7">
            <w:pPr>
              <w:spacing w:line="253" w:lineRule="auto"/>
              <w:rPr>
                <w:rFonts w:ascii="Arial"/>
                <w:strike/>
                <w:dstrike w:val="0"/>
                <w:color w:val="auto"/>
                <w:sz w:val="21"/>
                <w:highlight w:val="none"/>
              </w:rPr>
            </w:pPr>
          </w:p>
          <w:p w14:paraId="35859F45">
            <w:pPr>
              <w:pStyle w:val="17"/>
              <w:spacing w:before="69" w:line="239" w:lineRule="auto"/>
              <w:ind w:left="338"/>
              <w:rPr>
                <w:strike/>
                <w:dstrike w:val="0"/>
                <w:color w:val="auto"/>
                <w:highlight w:val="none"/>
              </w:rPr>
            </w:pPr>
            <w:r>
              <w:rPr>
                <w:strike/>
                <w:dstrike w:val="0"/>
                <w:color w:val="auto"/>
                <w:spacing w:val="-3"/>
                <w:highlight w:val="none"/>
              </w:rPr>
              <w:t>3.4.3</w:t>
            </w:r>
          </w:p>
        </w:tc>
        <w:tc>
          <w:tcPr>
            <w:tcW w:w="2443" w:type="dxa"/>
            <w:vAlign w:val="top"/>
          </w:tcPr>
          <w:p w14:paraId="7CA1DA2D">
            <w:pPr>
              <w:spacing w:line="258" w:lineRule="auto"/>
              <w:rPr>
                <w:rFonts w:ascii="Arial"/>
                <w:strike/>
                <w:dstrike w:val="0"/>
                <w:color w:val="auto"/>
                <w:sz w:val="21"/>
                <w:highlight w:val="none"/>
              </w:rPr>
            </w:pPr>
          </w:p>
          <w:p w14:paraId="7F1A2493">
            <w:pPr>
              <w:spacing w:line="258" w:lineRule="auto"/>
              <w:rPr>
                <w:rFonts w:ascii="Arial"/>
                <w:strike/>
                <w:dstrike w:val="0"/>
                <w:color w:val="auto"/>
                <w:sz w:val="21"/>
                <w:highlight w:val="none"/>
              </w:rPr>
            </w:pPr>
          </w:p>
          <w:p w14:paraId="228D66DB">
            <w:pPr>
              <w:spacing w:line="258" w:lineRule="auto"/>
              <w:rPr>
                <w:rFonts w:ascii="Arial"/>
                <w:strike/>
                <w:dstrike w:val="0"/>
                <w:color w:val="auto"/>
                <w:sz w:val="21"/>
                <w:highlight w:val="none"/>
              </w:rPr>
            </w:pPr>
          </w:p>
          <w:p w14:paraId="3B819D6E">
            <w:pPr>
              <w:spacing w:line="258" w:lineRule="auto"/>
              <w:rPr>
                <w:rFonts w:ascii="Arial"/>
                <w:strike/>
                <w:dstrike w:val="0"/>
                <w:color w:val="auto"/>
                <w:sz w:val="21"/>
                <w:highlight w:val="none"/>
              </w:rPr>
            </w:pPr>
          </w:p>
          <w:p w14:paraId="59FE1E55">
            <w:pPr>
              <w:spacing w:line="259" w:lineRule="auto"/>
              <w:rPr>
                <w:rFonts w:ascii="Arial"/>
                <w:strike/>
                <w:dstrike w:val="0"/>
                <w:color w:val="auto"/>
                <w:sz w:val="21"/>
                <w:highlight w:val="none"/>
              </w:rPr>
            </w:pPr>
          </w:p>
          <w:p w14:paraId="15E94605">
            <w:pPr>
              <w:spacing w:line="259" w:lineRule="auto"/>
              <w:rPr>
                <w:rFonts w:ascii="Arial"/>
                <w:strike/>
                <w:dstrike w:val="0"/>
                <w:color w:val="auto"/>
                <w:sz w:val="21"/>
                <w:highlight w:val="none"/>
              </w:rPr>
            </w:pPr>
          </w:p>
          <w:p w14:paraId="7B1E49F2">
            <w:pPr>
              <w:spacing w:line="259" w:lineRule="auto"/>
              <w:rPr>
                <w:rFonts w:ascii="Arial"/>
                <w:strike/>
                <w:dstrike w:val="0"/>
                <w:color w:val="auto"/>
                <w:sz w:val="21"/>
                <w:highlight w:val="none"/>
              </w:rPr>
            </w:pPr>
          </w:p>
          <w:p w14:paraId="23D95F0C">
            <w:pPr>
              <w:spacing w:line="259" w:lineRule="auto"/>
              <w:rPr>
                <w:rFonts w:ascii="Arial"/>
                <w:strike/>
                <w:dstrike w:val="0"/>
                <w:color w:val="auto"/>
                <w:sz w:val="21"/>
                <w:highlight w:val="none"/>
              </w:rPr>
            </w:pPr>
          </w:p>
          <w:p w14:paraId="0459304F">
            <w:pPr>
              <w:spacing w:line="259" w:lineRule="auto"/>
              <w:rPr>
                <w:rFonts w:ascii="Arial"/>
                <w:strike/>
                <w:dstrike w:val="0"/>
                <w:color w:val="auto"/>
                <w:sz w:val="21"/>
                <w:highlight w:val="none"/>
              </w:rPr>
            </w:pPr>
          </w:p>
          <w:p w14:paraId="4A65EA6E">
            <w:pPr>
              <w:pStyle w:val="17"/>
              <w:spacing w:before="68" w:line="220" w:lineRule="auto"/>
              <w:ind w:left="177"/>
              <w:rPr>
                <w:strike/>
                <w:dstrike w:val="0"/>
                <w:color w:val="auto"/>
                <w:highlight w:val="none"/>
              </w:rPr>
            </w:pPr>
            <w:r>
              <w:rPr>
                <w:strike/>
                <w:dstrike w:val="0"/>
                <w:color w:val="auto"/>
                <w:spacing w:val="-1"/>
                <w:highlight w:val="none"/>
              </w:rPr>
              <w:t>投标保证金的利息计算</w:t>
            </w:r>
          </w:p>
          <w:p w14:paraId="33D5591C">
            <w:pPr>
              <w:pStyle w:val="17"/>
              <w:spacing w:before="150" w:line="220" w:lineRule="auto"/>
              <w:ind w:left="1020"/>
              <w:rPr>
                <w:strike/>
                <w:dstrike w:val="0"/>
                <w:color w:val="auto"/>
                <w:highlight w:val="none"/>
              </w:rPr>
            </w:pPr>
            <w:r>
              <w:rPr>
                <w:strike/>
                <w:dstrike w:val="0"/>
                <w:color w:val="auto"/>
                <w:spacing w:val="-4"/>
                <w:highlight w:val="none"/>
              </w:rPr>
              <w:t>原则</w:t>
            </w:r>
          </w:p>
        </w:tc>
        <w:tc>
          <w:tcPr>
            <w:tcW w:w="5664" w:type="dxa"/>
            <w:vAlign w:val="top"/>
          </w:tcPr>
          <w:p w14:paraId="2465EF7C">
            <w:pPr>
              <w:pStyle w:val="17"/>
              <w:spacing w:before="194" w:line="234" w:lineRule="auto"/>
              <w:ind w:left="114"/>
              <w:rPr>
                <w:strike/>
                <w:dstrike w:val="0"/>
                <w:color w:val="auto"/>
                <w:sz w:val="10"/>
                <w:szCs w:val="10"/>
                <w:highlight w:val="none"/>
              </w:rPr>
            </w:pPr>
            <w:r>
              <w:rPr>
                <w:strike/>
                <w:dstrike w:val="0"/>
                <w:color w:val="auto"/>
                <w:spacing w:val="-2"/>
                <w:highlight w:val="none"/>
              </w:rPr>
              <w:t>方式一：</w:t>
            </w:r>
          </w:p>
          <w:p w14:paraId="7D73BC4A">
            <w:pPr>
              <w:pStyle w:val="17"/>
              <w:spacing w:before="148" w:line="286" w:lineRule="auto"/>
              <w:ind w:left="114" w:right="216" w:firstLine="4"/>
              <w:rPr>
                <w:strike/>
                <w:dstrike w:val="0"/>
                <w:color w:val="auto"/>
                <w:highlight w:val="none"/>
              </w:rPr>
            </w:pPr>
            <w:r>
              <w:rPr>
                <w:strike/>
                <w:dstrike w:val="0"/>
                <w:color w:val="auto"/>
                <w:spacing w:val="-1"/>
                <w:highlight w:val="none"/>
              </w:rPr>
              <w:t>（1）计算利息的起始日期为投标截止当日</w:t>
            </w:r>
            <w:r>
              <w:rPr>
                <w:strike/>
                <w:dstrike w:val="0"/>
                <w:color w:val="auto"/>
                <w:spacing w:val="-2"/>
                <w:highlight w:val="none"/>
              </w:rPr>
              <w:t>，终止日期为招</w:t>
            </w:r>
            <w:r>
              <w:rPr>
                <w:strike/>
                <w:dstrike w:val="0"/>
                <w:color w:val="auto"/>
                <w:spacing w:val="-3"/>
                <w:highlight w:val="none"/>
              </w:rPr>
              <w:t>标人退还投标保证金日期的前一日；</w:t>
            </w:r>
          </w:p>
          <w:p w14:paraId="3670C08D">
            <w:pPr>
              <w:pStyle w:val="17"/>
              <w:spacing w:before="148" w:line="308" w:lineRule="auto"/>
              <w:ind w:left="113" w:right="107" w:firstLine="5"/>
              <w:rPr>
                <w:strike/>
                <w:dstrike w:val="0"/>
                <w:color w:val="auto"/>
                <w:highlight w:val="none"/>
              </w:rPr>
            </w:pPr>
            <w:r>
              <w:rPr>
                <w:strike/>
                <w:dstrike w:val="0"/>
                <w:color w:val="auto"/>
                <w:spacing w:val="-1"/>
                <w:highlight w:val="none"/>
              </w:rPr>
              <w:t>（2）投标保证金的利息按照第（1)款所述计息时间段内招标人指定汇入银行公告的活期存款利率计付，并扣除招标人</w:t>
            </w:r>
            <w:r>
              <w:rPr>
                <w:strike/>
                <w:dstrike w:val="0"/>
                <w:color w:val="auto"/>
                <w:spacing w:val="-8"/>
                <w:highlight w:val="none"/>
              </w:rPr>
              <w:t>汇款手续费；</w:t>
            </w:r>
          </w:p>
          <w:p w14:paraId="43BB87EF">
            <w:pPr>
              <w:pStyle w:val="17"/>
              <w:spacing w:before="149" w:line="220" w:lineRule="auto"/>
              <w:ind w:left="118"/>
              <w:rPr>
                <w:strike/>
                <w:dstrike w:val="0"/>
                <w:color w:val="auto"/>
                <w:highlight w:val="none"/>
              </w:rPr>
            </w:pPr>
            <w:r>
              <w:rPr>
                <w:strike/>
                <w:dstrike w:val="0"/>
                <w:color w:val="auto"/>
                <w:spacing w:val="-3"/>
                <w:highlight w:val="none"/>
              </w:rPr>
              <w:t>（3）利息金额计算至分位，分以下尾数四舍五入；</w:t>
            </w:r>
          </w:p>
          <w:p w14:paraId="5E910199">
            <w:pPr>
              <w:pStyle w:val="17"/>
              <w:spacing w:before="152" w:line="285" w:lineRule="auto"/>
              <w:ind w:left="117" w:right="208" w:firstLine="1"/>
              <w:rPr>
                <w:strike/>
                <w:dstrike w:val="0"/>
                <w:color w:val="auto"/>
                <w:highlight w:val="none"/>
              </w:rPr>
            </w:pPr>
            <w:r>
              <w:rPr>
                <w:strike/>
                <w:dstrike w:val="0"/>
                <w:color w:val="auto"/>
                <w:spacing w:val="-1"/>
                <w:highlight w:val="none"/>
              </w:rPr>
              <w:t>（4）投标人在接到招标人的退还投标保证金通知后，在提交相关资料的同时须按通知规定将利息等额增值税发票提</w:t>
            </w:r>
          </w:p>
          <w:p w14:paraId="36FB22A3">
            <w:pPr>
              <w:pStyle w:val="17"/>
              <w:spacing w:before="150" w:line="286" w:lineRule="auto"/>
              <w:ind w:left="114" w:right="107" w:firstLine="3"/>
              <w:rPr>
                <w:strike/>
                <w:dstrike w:val="0"/>
                <w:color w:val="auto"/>
                <w:highlight w:val="none"/>
              </w:rPr>
            </w:pPr>
            <w:r>
              <w:rPr>
                <w:strike/>
                <w:dstrike w:val="0"/>
                <w:color w:val="auto"/>
                <w:spacing w:val="-1"/>
                <w:highlight w:val="none"/>
              </w:rPr>
              <w:t>交给招标人，如未提供利息等额增值税发票将视为投标人主</w:t>
            </w:r>
            <w:r>
              <w:rPr>
                <w:strike/>
                <w:dstrike w:val="0"/>
                <w:color w:val="auto"/>
                <w:spacing w:val="-4"/>
                <w:highlight w:val="none"/>
              </w:rPr>
              <w:t>动放弃，不予支付利息。</w:t>
            </w:r>
          </w:p>
          <w:p w14:paraId="201A8F55">
            <w:pPr>
              <w:pStyle w:val="17"/>
              <w:spacing w:before="135" w:line="234" w:lineRule="auto"/>
              <w:ind w:left="114"/>
              <w:rPr>
                <w:strike/>
                <w:dstrike w:val="0"/>
                <w:color w:val="auto"/>
                <w:sz w:val="10"/>
                <w:szCs w:val="10"/>
                <w:highlight w:val="none"/>
              </w:rPr>
            </w:pPr>
            <w:r>
              <w:rPr>
                <w:strike/>
                <w:dstrike w:val="0"/>
                <w:color w:val="auto"/>
                <w:spacing w:val="-2"/>
                <w:highlight w:val="none"/>
              </w:rPr>
              <w:t>方式二：</w:t>
            </w:r>
          </w:p>
          <w:p w14:paraId="1012E689">
            <w:pPr>
              <w:pStyle w:val="17"/>
              <w:spacing w:before="147" w:line="220" w:lineRule="auto"/>
              <w:ind w:left="114"/>
              <w:rPr>
                <w:strike/>
                <w:dstrike w:val="0"/>
                <w:color w:val="auto"/>
                <w:highlight w:val="none"/>
              </w:rPr>
            </w:pPr>
            <w:r>
              <w:rPr>
                <w:strike/>
                <w:dstrike w:val="0"/>
                <w:color w:val="auto"/>
                <w:spacing w:val="-2"/>
                <w:highlight w:val="none"/>
              </w:rPr>
              <w:t>利息退还方式按</w:t>
            </w:r>
            <w:r>
              <w:rPr>
                <w:strike/>
                <w:dstrike w:val="0"/>
                <w:color w:val="auto"/>
                <w:spacing w:val="-2"/>
                <w:highlight w:val="none"/>
                <w:u w:val="single" w:color="auto"/>
              </w:rPr>
              <w:t xml:space="preserve">      </w:t>
            </w:r>
            <w:r>
              <w:rPr>
                <w:strike/>
                <w:dstrike w:val="0"/>
                <w:color w:val="auto"/>
                <w:spacing w:val="-91"/>
                <w:highlight w:val="none"/>
              </w:rPr>
              <w:t xml:space="preserve"> </w:t>
            </w:r>
            <w:r>
              <w:rPr>
                <w:strike/>
                <w:dstrike w:val="0"/>
                <w:color w:val="auto"/>
                <w:spacing w:val="-2"/>
                <w:highlight w:val="none"/>
              </w:rPr>
              <w:t>公共资源交易中心规定办理。</w:t>
            </w:r>
          </w:p>
        </w:tc>
      </w:tr>
      <w:tr w14:paraId="6AFE8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1185" w:type="dxa"/>
            <w:vAlign w:val="top"/>
          </w:tcPr>
          <w:p w14:paraId="660597F7">
            <w:pPr>
              <w:spacing w:line="285" w:lineRule="auto"/>
              <w:rPr>
                <w:rFonts w:ascii="Arial"/>
                <w:strike/>
                <w:dstrike w:val="0"/>
                <w:color w:val="auto"/>
                <w:sz w:val="21"/>
                <w:highlight w:val="none"/>
                <w:u w:val="none"/>
              </w:rPr>
            </w:pPr>
          </w:p>
          <w:p w14:paraId="66C4999A">
            <w:pPr>
              <w:spacing w:line="286" w:lineRule="auto"/>
              <w:rPr>
                <w:rFonts w:ascii="Arial"/>
                <w:strike/>
                <w:dstrike w:val="0"/>
                <w:color w:val="auto"/>
                <w:sz w:val="21"/>
                <w:highlight w:val="none"/>
                <w:u w:val="none"/>
              </w:rPr>
            </w:pPr>
          </w:p>
          <w:p w14:paraId="424463C3">
            <w:pPr>
              <w:spacing w:line="286" w:lineRule="auto"/>
              <w:rPr>
                <w:rFonts w:ascii="Arial"/>
                <w:strike/>
                <w:dstrike w:val="0"/>
                <w:color w:val="auto"/>
                <w:sz w:val="21"/>
                <w:highlight w:val="none"/>
                <w:u w:val="none"/>
              </w:rPr>
            </w:pPr>
          </w:p>
          <w:p w14:paraId="51ACC2A4">
            <w:pPr>
              <w:spacing w:line="286" w:lineRule="auto"/>
              <w:rPr>
                <w:rFonts w:ascii="Arial"/>
                <w:strike/>
                <w:dstrike w:val="0"/>
                <w:color w:val="auto"/>
                <w:sz w:val="21"/>
                <w:highlight w:val="none"/>
                <w:u w:val="none"/>
              </w:rPr>
            </w:pPr>
          </w:p>
          <w:p w14:paraId="08328D6B">
            <w:pPr>
              <w:pStyle w:val="17"/>
              <w:spacing w:before="68" w:line="239" w:lineRule="auto"/>
              <w:ind w:left="338"/>
              <w:rPr>
                <w:strike/>
                <w:dstrike w:val="0"/>
                <w:color w:val="auto"/>
                <w:highlight w:val="none"/>
                <w:u w:val="none"/>
              </w:rPr>
            </w:pPr>
            <w:r>
              <w:rPr>
                <w:strike/>
                <w:dstrike w:val="0"/>
                <w:color w:val="auto"/>
                <w:spacing w:val="-3"/>
                <w:highlight w:val="none"/>
                <w:u w:val="none"/>
              </w:rPr>
              <w:t>3.4.4</w:t>
            </w:r>
          </w:p>
        </w:tc>
        <w:tc>
          <w:tcPr>
            <w:tcW w:w="2443" w:type="dxa"/>
            <w:vAlign w:val="top"/>
          </w:tcPr>
          <w:p w14:paraId="1633C7AB">
            <w:pPr>
              <w:spacing w:line="314" w:lineRule="auto"/>
              <w:rPr>
                <w:rFonts w:ascii="Arial"/>
                <w:strike/>
                <w:dstrike w:val="0"/>
                <w:color w:val="auto"/>
                <w:sz w:val="21"/>
                <w:highlight w:val="none"/>
                <w:u w:val="none"/>
              </w:rPr>
            </w:pPr>
          </w:p>
          <w:p w14:paraId="646C6764">
            <w:pPr>
              <w:spacing w:line="314" w:lineRule="auto"/>
              <w:rPr>
                <w:rFonts w:ascii="Arial"/>
                <w:strike/>
                <w:dstrike w:val="0"/>
                <w:color w:val="auto"/>
                <w:sz w:val="21"/>
                <w:highlight w:val="none"/>
                <w:u w:val="none"/>
              </w:rPr>
            </w:pPr>
          </w:p>
          <w:p w14:paraId="49778211">
            <w:pPr>
              <w:spacing w:line="315" w:lineRule="auto"/>
              <w:rPr>
                <w:rFonts w:ascii="Arial"/>
                <w:strike/>
                <w:dstrike w:val="0"/>
                <w:color w:val="auto"/>
                <w:sz w:val="21"/>
                <w:highlight w:val="none"/>
                <w:u w:val="none"/>
              </w:rPr>
            </w:pPr>
          </w:p>
          <w:p w14:paraId="10E85049">
            <w:pPr>
              <w:pStyle w:val="17"/>
              <w:spacing w:before="68" w:line="355" w:lineRule="auto"/>
              <w:ind w:left="596" w:right="170" w:hanging="420"/>
              <w:rPr>
                <w:strike/>
                <w:dstrike w:val="0"/>
                <w:color w:val="auto"/>
                <w:highlight w:val="none"/>
                <w:u w:val="none"/>
              </w:rPr>
            </w:pPr>
            <w:r>
              <w:rPr>
                <w:strike/>
                <w:dstrike w:val="0"/>
                <w:color w:val="auto"/>
                <w:spacing w:val="-1"/>
                <w:highlight w:val="none"/>
                <w:u w:val="none"/>
              </w:rPr>
              <w:t>其他可以不予退还投标</w:t>
            </w:r>
            <w:r>
              <w:rPr>
                <w:strike/>
                <w:dstrike w:val="0"/>
                <w:color w:val="auto"/>
                <w:spacing w:val="-2"/>
                <w:highlight w:val="none"/>
                <w:u w:val="none"/>
              </w:rPr>
              <w:t>保证金的情形</w:t>
            </w:r>
          </w:p>
        </w:tc>
        <w:tc>
          <w:tcPr>
            <w:tcW w:w="5664" w:type="dxa"/>
            <w:vAlign w:val="top"/>
          </w:tcPr>
          <w:p w14:paraId="13BE0C69">
            <w:pPr>
              <w:pStyle w:val="17"/>
              <w:spacing w:before="219" w:line="220" w:lineRule="auto"/>
              <w:ind w:left="118"/>
              <w:rPr>
                <w:strike/>
                <w:dstrike w:val="0"/>
                <w:color w:val="auto"/>
                <w:highlight w:val="none"/>
                <w:u w:val="none"/>
              </w:rPr>
            </w:pPr>
            <w:r>
              <w:rPr>
                <w:strike/>
                <w:dstrike w:val="0"/>
                <w:color w:val="auto"/>
                <w:spacing w:val="-3"/>
                <w:highlight w:val="none"/>
                <w:u w:val="none"/>
              </w:rPr>
              <w:t>（4）串通投标；或</w:t>
            </w:r>
          </w:p>
          <w:p w14:paraId="2EECCDC0">
            <w:pPr>
              <w:pStyle w:val="17"/>
              <w:spacing w:before="150" w:line="285" w:lineRule="auto"/>
              <w:ind w:left="113" w:right="210" w:firstLine="5"/>
              <w:rPr>
                <w:strike/>
                <w:dstrike w:val="0"/>
                <w:color w:val="auto"/>
                <w:highlight w:val="none"/>
                <w:u w:val="none"/>
              </w:rPr>
            </w:pPr>
            <w:r>
              <w:rPr>
                <w:strike/>
                <w:dstrike w:val="0"/>
                <w:color w:val="auto"/>
                <w:spacing w:val="-1"/>
                <w:highlight w:val="none"/>
                <w:u w:val="none"/>
              </w:rPr>
              <w:t>（5）评标、中标候选人公示、签订合同前等环节因作假而被取消中标资格；或</w:t>
            </w:r>
          </w:p>
          <w:p w14:paraId="3890F712">
            <w:pPr>
              <w:pStyle w:val="17"/>
              <w:spacing w:before="150" w:line="220" w:lineRule="auto"/>
              <w:ind w:left="118"/>
              <w:rPr>
                <w:strike/>
                <w:dstrike w:val="0"/>
                <w:color w:val="auto"/>
                <w:highlight w:val="none"/>
                <w:u w:val="none"/>
              </w:rPr>
            </w:pPr>
            <w:r>
              <w:rPr>
                <w:strike/>
                <w:dstrike w:val="0"/>
                <w:color w:val="auto"/>
                <w:spacing w:val="-2"/>
                <w:highlight w:val="none"/>
                <w:u w:val="none"/>
              </w:rPr>
              <w:t>（6）因投诉属实取消投标资格的；或</w:t>
            </w:r>
          </w:p>
          <w:p w14:paraId="0FACF6BC">
            <w:pPr>
              <w:pStyle w:val="17"/>
              <w:spacing w:before="149" w:line="321" w:lineRule="auto"/>
              <w:ind w:left="125" w:right="839" w:hanging="7"/>
              <w:rPr>
                <w:strike/>
                <w:dstrike w:val="0"/>
                <w:color w:val="auto"/>
                <w:highlight w:val="none"/>
                <w:u w:val="none"/>
              </w:rPr>
            </w:pPr>
            <w:r>
              <w:rPr>
                <w:strike/>
                <w:dstrike w:val="0"/>
                <w:color w:val="auto"/>
                <w:spacing w:val="-1"/>
                <w:highlight w:val="none"/>
                <w:u w:val="none"/>
              </w:rPr>
              <w:t>（7）其他违反规定、妨碍公平竞争准则的行</w:t>
            </w:r>
            <w:r>
              <w:rPr>
                <w:strike/>
                <w:dstrike w:val="0"/>
                <w:color w:val="auto"/>
                <w:spacing w:val="-2"/>
                <w:highlight w:val="none"/>
                <w:u w:val="none"/>
              </w:rPr>
              <w:t>为；或</w:t>
            </w:r>
            <w:r>
              <w:rPr>
                <w:strike/>
                <w:dstrike w:val="0"/>
                <w:color w:val="auto"/>
                <w:spacing w:val="-6"/>
                <w:highlight w:val="none"/>
                <w:u w:val="none"/>
              </w:rPr>
              <w:t>……</w:t>
            </w:r>
          </w:p>
        </w:tc>
      </w:tr>
      <w:tr w14:paraId="585C3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68A3242B">
            <w:pPr>
              <w:spacing w:line="258" w:lineRule="auto"/>
              <w:rPr>
                <w:rFonts w:ascii="Arial"/>
                <w:color w:val="auto"/>
                <w:sz w:val="21"/>
                <w:highlight w:val="none"/>
              </w:rPr>
            </w:pPr>
          </w:p>
          <w:p w14:paraId="3136530C">
            <w:pPr>
              <w:pStyle w:val="17"/>
              <w:spacing w:before="68" w:line="288" w:lineRule="exact"/>
              <w:ind w:left="392"/>
              <w:rPr>
                <w:color w:val="auto"/>
                <w:sz w:val="10"/>
                <w:szCs w:val="10"/>
                <w:highlight w:val="none"/>
              </w:rPr>
            </w:pPr>
            <w:r>
              <w:rPr>
                <w:color w:val="auto"/>
                <w:spacing w:val="-3"/>
                <w:highlight w:val="none"/>
              </w:rPr>
              <w:t>3.5</w:t>
            </w:r>
          </w:p>
        </w:tc>
        <w:tc>
          <w:tcPr>
            <w:tcW w:w="2443" w:type="dxa"/>
            <w:vAlign w:val="top"/>
          </w:tcPr>
          <w:p w14:paraId="58D6D3EB">
            <w:pPr>
              <w:pStyle w:val="17"/>
              <w:spacing w:before="142" w:line="220" w:lineRule="auto"/>
              <w:ind w:left="184"/>
              <w:rPr>
                <w:color w:val="auto"/>
                <w:highlight w:val="none"/>
              </w:rPr>
            </w:pPr>
            <w:r>
              <w:rPr>
                <w:color w:val="auto"/>
                <w:spacing w:val="-2"/>
                <w:highlight w:val="none"/>
              </w:rPr>
              <w:t>资格审查资料的特殊要</w:t>
            </w:r>
          </w:p>
          <w:p w14:paraId="15BE975F">
            <w:pPr>
              <w:pStyle w:val="17"/>
              <w:spacing w:before="149" w:line="221" w:lineRule="auto"/>
              <w:ind w:left="1121"/>
              <w:rPr>
                <w:color w:val="auto"/>
                <w:highlight w:val="none"/>
              </w:rPr>
            </w:pPr>
            <w:r>
              <w:rPr>
                <w:color w:val="auto"/>
                <w:highlight w:val="none"/>
              </w:rPr>
              <w:t>求</w:t>
            </w:r>
          </w:p>
        </w:tc>
        <w:tc>
          <w:tcPr>
            <w:tcW w:w="5664" w:type="dxa"/>
            <w:vAlign w:val="top"/>
          </w:tcPr>
          <w:p w14:paraId="21504C7D">
            <w:pPr>
              <w:pStyle w:val="17"/>
              <w:spacing w:before="143" w:line="220" w:lineRule="auto"/>
              <w:ind w:left="134"/>
              <w:rPr>
                <w:color w:val="auto"/>
                <w:highlight w:val="none"/>
              </w:rPr>
            </w:pPr>
            <w:r>
              <w:rPr>
                <w:rFonts w:hint="eastAsia"/>
                <w:color w:val="auto"/>
                <w:spacing w:val="-8"/>
                <w:highlight w:val="none"/>
                <w:lang w:eastAsia="zh-CN"/>
              </w:rPr>
              <w:t>☑</w:t>
            </w:r>
            <w:r>
              <w:rPr>
                <w:color w:val="auto"/>
                <w:spacing w:val="-8"/>
                <w:highlight w:val="none"/>
              </w:rPr>
              <w:t>无</w:t>
            </w:r>
          </w:p>
          <w:p w14:paraId="519C81F3">
            <w:pPr>
              <w:pStyle w:val="17"/>
              <w:spacing w:before="149" w:line="220" w:lineRule="auto"/>
              <w:ind w:left="134"/>
              <w:rPr>
                <w:color w:val="auto"/>
                <w:highlight w:val="none"/>
              </w:rPr>
            </w:pPr>
            <w:r>
              <w:rPr>
                <w:color w:val="auto"/>
                <w:spacing w:val="-4"/>
                <w:highlight w:val="none"/>
              </w:rPr>
              <w:t>□有，具体要求：</w:t>
            </w:r>
            <w:r>
              <w:rPr>
                <w:color w:val="auto"/>
                <w:highlight w:val="none"/>
                <w:u w:val="single" w:color="auto"/>
              </w:rPr>
              <w:t xml:space="preserve">          </w:t>
            </w:r>
          </w:p>
        </w:tc>
      </w:tr>
      <w:tr w14:paraId="60C5F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185" w:type="dxa"/>
            <w:vAlign w:val="top"/>
          </w:tcPr>
          <w:p w14:paraId="46226F5E">
            <w:pPr>
              <w:spacing w:line="258" w:lineRule="auto"/>
              <w:rPr>
                <w:rFonts w:ascii="Arial"/>
                <w:strike/>
                <w:dstrike w:val="0"/>
                <w:color w:val="auto"/>
                <w:sz w:val="21"/>
                <w:highlight w:val="none"/>
              </w:rPr>
            </w:pPr>
          </w:p>
          <w:p w14:paraId="7145569A">
            <w:pPr>
              <w:pStyle w:val="17"/>
              <w:spacing w:before="68" w:line="288" w:lineRule="exact"/>
              <w:ind w:left="286"/>
              <w:rPr>
                <w:strike/>
                <w:dstrike w:val="0"/>
                <w:color w:val="auto"/>
                <w:sz w:val="10"/>
                <w:szCs w:val="10"/>
                <w:highlight w:val="none"/>
              </w:rPr>
            </w:pPr>
            <w:r>
              <w:rPr>
                <w:strike/>
                <w:dstrike w:val="0"/>
                <w:color w:val="auto"/>
                <w:spacing w:val="-2"/>
                <w:position w:val="-1"/>
                <w:highlight w:val="none"/>
              </w:rPr>
              <w:t>3.5.2</w:t>
            </w:r>
          </w:p>
        </w:tc>
        <w:tc>
          <w:tcPr>
            <w:tcW w:w="2443" w:type="dxa"/>
            <w:vAlign w:val="top"/>
          </w:tcPr>
          <w:p w14:paraId="37B8E520">
            <w:pPr>
              <w:pStyle w:val="17"/>
              <w:spacing w:before="142" w:line="220" w:lineRule="auto"/>
              <w:ind w:left="174"/>
              <w:rPr>
                <w:strike/>
                <w:dstrike w:val="0"/>
                <w:color w:val="auto"/>
                <w:highlight w:val="none"/>
              </w:rPr>
            </w:pPr>
            <w:r>
              <w:rPr>
                <w:strike/>
                <w:dstrike w:val="0"/>
                <w:color w:val="auto"/>
                <w:spacing w:val="-1"/>
                <w:highlight w:val="none"/>
              </w:rPr>
              <w:t>近年财务状况的年份要</w:t>
            </w:r>
          </w:p>
          <w:p w14:paraId="59765AF9">
            <w:pPr>
              <w:pStyle w:val="17"/>
              <w:spacing w:before="149" w:line="221" w:lineRule="auto"/>
              <w:ind w:left="1121"/>
              <w:rPr>
                <w:strike/>
                <w:dstrike w:val="0"/>
                <w:color w:val="auto"/>
                <w:highlight w:val="none"/>
              </w:rPr>
            </w:pPr>
            <w:r>
              <w:rPr>
                <w:strike/>
                <w:dstrike w:val="0"/>
                <w:color w:val="auto"/>
                <w:highlight w:val="none"/>
              </w:rPr>
              <w:t>求</w:t>
            </w:r>
          </w:p>
        </w:tc>
        <w:tc>
          <w:tcPr>
            <w:tcW w:w="5664" w:type="dxa"/>
            <w:vAlign w:val="top"/>
          </w:tcPr>
          <w:p w14:paraId="3CEF5719">
            <w:pPr>
              <w:spacing w:line="273" w:lineRule="auto"/>
              <w:rPr>
                <w:rFonts w:ascii="Arial"/>
                <w:strike/>
                <w:dstrike w:val="0"/>
                <w:color w:val="auto"/>
                <w:sz w:val="21"/>
                <w:highlight w:val="none"/>
              </w:rPr>
            </w:pPr>
          </w:p>
          <w:p w14:paraId="4B2272A7">
            <w:pPr>
              <w:pStyle w:val="17"/>
              <w:tabs>
                <w:tab w:val="left" w:pos="735"/>
              </w:tabs>
              <w:spacing w:before="68" w:line="220" w:lineRule="auto"/>
              <w:ind w:left="105"/>
              <w:rPr>
                <w:strike/>
                <w:dstrike w:val="0"/>
                <w:color w:val="auto"/>
                <w:highlight w:val="none"/>
              </w:rPr>
            </w:pPr>
            <w:r>
              <w:rPr>
                <w:strike/>
                <w:dstrike w:val="0"/>
                <w:color w:val="auto"/>
                <w:highlight w:val="none"/>
                <w:u w:val="single" w:color="auto"/>
              </w:rPr>
              <w:tab/>
            </w:r>
            <w:r>
              <w:rPr>
                <w:strike/>
                <w:dstrike w:val="0"/>
                <w:color w:val="auto"/>
                <w:spacing w:val="-95"/>
                <w:highlight w:val="none"/>
              </w:rPr>
              <w:t xml:space="preserve"> </w:t>
            </w:r>
            <w:r>
              <w:rPr>
                <w:strike/>
                <w:dstrike w:val="0"/>
                <w:color w:val="auto"/>
                <w:spacing w:val="-2"/>
                <w:highlight w:val="none"/>
              </w:rPr>
              <w:t>年-</w:t>
            </w:r>
            <w:r>
              <w:rPr>
                <w:strike/>
                <w:dstrike w:val="0"/>
                <w:color w:val="auto"/>
                <w:spacing w:val="-2"/>
                <w:highlight w:val="none"/>
                <w:u w:val="single" w:color="auto"/>
              </w:rPr>
              <w:t xml:space="preserve">      </w:t>
            </w:r>
            <w:r>
              <w:rPr>
                <w:strike/>
                <w:dstrike w:val="0"/>
                <w:color w:val="auto"/>
                <w:spacing w:val="-96"/>
                <w:highlight w:val="none"/>
              </w:rPr>
              <w:t xml:space="preserve"> </w:t>
            </w:r>
            <w:r>
              <w:rPr>
                <w:strike/>
                <w:dstrike w:val="0"/>
                <w:color w:val="auto"/>
                <w:spacing w:val="-2"/>
                <w:highlight w:val="none"/>
              </w:rPr>
              <w:t>年（近三个年度）</w:t>
            </w:r>
          </w:p>
        </w:tc>
      </w:tr>
    </w:tbl>
    <w:p w14:paraId="2DB8F448">
      <w:pPr>
        <w:pStyle w:val="3"/>
        <w:spacing w:line="252" w:lineRule="auto"/>
        <w:rPr>
          <w:color w:val="auto"/>
          <w:highlight w:val="none"/>
        </w:rPr>
      </w:pPr>
    </w:p>
    <w:p w14:paraId="04879F66">
      <w:pPr>
        <w:pStyle w:val="3"/>
        <w:spacing w:line="252" w:lineRule="auto"/>
        <w:rPr>
          <w:color w:val="auto"/>
          <w:highlight w:val="none"/>
        </w:rPr>
      </w:pPr>
    </w:p>
    <w:p w14:paraId="05C6B70B">
      <w:pPr>
        <w:spacing w:line="217" w:lineRule="auto"/>
        <w:rPr>
          <w:rFonts w:ascii="宋体" w:hAnsi="宋体" w:eastAsia="宋体" w:cs="宋体"/>
          <w:color w:val="auto"/>
          <w:sz w:val="18"/>
          <w:szCs w:val="18"/>
          <w:highlight w:val="none"/>
        </w:rPr>
        <w:sectPr>
          <w:headerReference r:id="rId24" w:type="default"/>
          <w:footerReference r:id="rId25" w:type="default"/>
          <w:pgSz w:w="11905" w:h="16840"/>
          <w:pgMar w:top="1182" w:right="0" w:bottom="1171" w:left="0" w:header="849" w:footer="936" w:gutter="0"/>
          <w:pgNumType w:fmt="decimal"/>
          <w:cols w:space="720" w:num="1"/>
        </w:sectPr>
      </w:pPr>
    </w:p>
    <w:p w14:paraId="0C57FA43">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02FB9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1E586360">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617ACD4C">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3D95D02E">
            <w:pPr>
              <w:pStyle w:val="17"/>
              <w:spacing w:before="181" w:line="220" w:lineRule="auto"/>
              <w:ind w:left="2417"/>
              <w:rPr>
                <w:color w:val="auto"/>
                <w:highlight w:val="none"/>
              </w:rPr>
            </w:pPr>
            <w:r>
              <w:rPr>
                <w:b/>
                <w:bCs/>
                <w:color w:val="auto"/>
                <w:spacing w:val="-5"/>
                <w:highlight w:val="none"/>
              </w:rPr>
              <w:t>编列内容</w:t>
            </w:r>
          </w:p>
        </w:tc>
      </w:tr>
      <w:tr w14:paraId="09A0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3" w:hRule="atLeast"/>
        </w:trPr>
        <w:tc>
          <w:tcPr>
            <w:tcW w:w="1185" w:type="dxa"/>
            <w:vAlign w:val="top"/>
          </w:tcPr>
          <w:p w14:paraId="4527C93F">
            <w:pPr>
              <w:spacing w:line="241" w:lineRule="auto"/>
              <w:rPr>
                <w:rFonts w:ascii="Arial"/>
                <w:color w:val="auto"/>
                <w:sz w:val="21"/>
                <w:highlight w:val="none"/>
              </w:rPr>
            </w:pPr>
          </w:p>
          <w:p w14:paraId="7D21610D">
            <w:pPr>
              <w:spacing w:line="241" w:lineRule="auto"/>
              <w:rPr>
                <w:rFonts w:ascii="Arial"/>
                <w:color w:val="auto"/>
                <w:sz w:val="21"/>
                <w:highlight w:val="none"/>
              </w:rPr>
            </w:pPr>
          </w:p>
          <w:p w14:paraId="1BA6D797">
            <w:pPr>
              <w:spacing w:line="241" w:lineRule="auto"/>
              <w:rPr>
                <w:rFonts w:ascii="Arial"/>
                <w:color w:val="auto"/>
                <w:sz w:val="21"/>
                <w:highlight w:val="none"/>
              </w:rPr>
            </w:pPr>
          </w:p>
          <w:p w14:paraId="4546F3C4">
            <w:pPr>
              <w:spacing w:line="241" w:lineRule="auto"/>
              <w:rPr>
                <w:rFonts w:ascii="Arial"/>
                <w:color w:val="auto"/>
                <w:sz w:val="21"/>
                <w:highlight w:val="none"/>
              </w:rPr>
            </w:pPr>
          </w:p>
          <w:p w14:paraId="5FD02FDC">
            <w:pPr>
              <w:spacing w:line="241" w:lineRule="auto"/>
              <w:rPr>
                <w:rFonts w:ascii="Arial"/>
                <w:color w:val="auto"/>
                <w:sz w:val="21"/>
                <w:highlight w:val="none"/>
              </w:rPr>
            </w:pPr>
          </w:p>
          <w:p w14:paraId="7FE1E000">
            <w:pPr>
              <w:spacing w:line="241" w:lineRule="auto"/>
              <w:rPr>
                <w:rFonts w:ascii="Arial"/>
                <w:color w:val="auto"/>
                <w:sz w:val="21"/>
                <w:highlight w:val="none"/>
              </w:rPr>
            </w:pPr>
          </w:p>
          <w:p w14:paraId="1998088C">
            <w:pPr>
              <w:pStyle w:val="17"/>
              <w:spacing w:before="68" w:line="286" w:lineRule="exact"/>
              <w:ind w:left="286"/>
              <w:rPr>
                <w:color w:val="auto"/>
                <w:sz w:val="10"/>
                <w:szCs w:val="10"/>
                <w:highlight w:val="none"/>
              </w:rPr>
            </w:pPr>
            <w:r>
              <w:rPr>
                <w:color w:val="auto"/>
                <w:spacing w:val="-2"/>
                <w:position w:val="-1"/>
                <w:highlight w:val="none"/>
              </w:rPr>
              <w:t>3.5.3</w:t>
            </w:r>
          </w:p>
        </w:tc>
        <w:tc>
          <w:tcPr>
            <w:tcW w:w="2443" w:type="dxa"/>
            <w:vAlign w:val="top"/>
          </w:tcPr>
          <w:p w14:paraId="49A1D08F">
            <w:pPr>
              <w:spacing w:line="252" w:lineRule="auto"/>
              <w:rPr>
                <w:rFonts w:ascii="Arial"/>
                <w:color w:val="auto"/>
                <w:sz w:val="21"/>
                <w:highlight w:val="none"/>
              </w:rPr>
            </w:pPr>
          </w:p>
          <w:p w14:paraId="65B7B251">
            <w:pPr>
              <w:spacing w:line="252" w:lineRule="auto"/>
              <w:rPr>
                <w:rFonts w:ascii="Arial"/>
                <w:color w:val="auto"/>
                <w:sz w:val="21"/>
                <w:highlight w:val="none"/>
              </w:rPr>
            </w:pPr>
          </w:p>
          <w:p w14:paraId="392B0851">
            <w:pPr>
              <w:spacing w:line="253" w:lineRule="auto"/>
              <w:rPr>
                <w:rFonts w:ascii="Arial"/>
                <w:color w:val="auto"/>
                <w:sz w:val="21"/>
                <w:highlight w:val="none"/>
              </w:rPr>
            </w:pPr>
          </w:p>
          <w:p w14:paraId="1B2E90A0">
            <w:pPr>
              <w:spacing w:line="253" w:lineRule="auto"/>
              <w:rPr>
                <w:rFonts w:ascii="Arial"/>
                <w:color w:val="auto"/>
                <w:sz w:val="21"/>
                <w:highlight w:val="none"/>
              </w:rPr>
            </w:pPr>
          </w:p>
          <w:p w14:paraId="226517DC">
            <w:pPr>
              <w:spacing w:line="253" w:lineRule="auto"/>
              <w:rPr>
                <w:rFonts w:ascii="Arial"/>
                <w:color w:val="auto"/>
                <w:sz w:val="21"/>
                <w:highlight w:val="none"/>
              </w:rPr>
            </w:pPr>
          </w:p>
          <w:p w14:paraId="77500BBA">
            <w:pPr>
              <w:pStyle w:val="17"/>
              <w:spacing w:before="68" w:line="349" w:lineRule="auto"/>
              <w:ind w:left="543" w:right="170" w:hanging="369"/>
              <w:rPr>
                <w:color w:val="auto"/>
                <w:sz w:val="10"/>
                <w:szCs w:val="10"/>
                <w:highlight w:val="none"/>
              </w:rPr>
            </w:pPr>
            <w:r>
              <w:rPr>
                <w:color w:val="auto"/>
                <w:spacing w:val="-1"/>
                <w:highlight w:val="none"/>
              </w:rPr>
              <w:t>近年完成的类似项目情况的时间要求</w:t>
            </w:r>
          </w:p>
        </w:tc>
        <w:tc>
          <w:tcPr>
            <w:tcW w:w="5664" w:type="dxa"/>
            <w:vAlign w:val="top"/>
          </w:tcPr>
          <w:p w14:paraId="2EA38627">
            <w:pPr>
              <w:pStyle w:val="17"/>
              <w:spacing w:before="135" w:line="345" w:lineRule="auto"/>
              <w:ind w:left="112" w:right="107" w:firstLine="3"/>
              <w:rPr>
                <w:color w:val="auto"/>
                <w:highlight w:val="none"/>
              </w:rPr>
            </w:pPr>
            <w:r>
              <w:rPr>
                <w:rFonts w:hint="eastAsia"/>
                <w:color w:val="auto"/>
                <w:highlight w:val="none"/>
                <w:u w:val="single" w:color="auto"/>
                <w:lang w:val="en-US" w:eastAsia="zh-CN"/>
              </w:rPr>
              <w:t>2021</w:t>
            </w:r>
            <w:r>
              <w:rPr>
                <w:color w:val="auto"/>
                <w:spacing w:val="-95"/>
                <w:highlight w:val="none"/>
              </w:rPr>
              <w:t xml:space="preserve"> </w:t>
            </w:r>
            <w:r>
              <w:rPr>
                <w:color w:val="auto"/>
                <w:spacing w:val="-5"/>
                <w:highlight w:val="none"/>
              </w:rPr>
              <w:t>年</w:t>
            </w:r>
            <w:r>
              <w:rPr>
                <w:rFonts w:hint="eastAsia"/>
                <w:color w:val="auto"/>
                <w:spacing w:val="-5"/>
                <w:highlight w:val="none"/>
                <w:u w:val="single" w:color="auto"/>
                <w:lang w:val="en-US" w:eastAsia="zh-CN"/>
              </w:rPr>
              <w:t>1</w:t>
            </w:r>
            <w:r>
              <w:rPr>
                <w:color w:val="auto"/>
                <w:spacing w:val="-5"/>
                <w:highlight w:val="none"/>
              </w:rPr>
              <w:t>月</w:t>
            </w:r>
            <w:r>
              <w:rPr>
                <w:rFonts w:hint="eastAsia"/>
                <w:color w:val="auto"/>
                <w:spacing w:val="-5"/>
                <w:highlight w:val="none"/>
                <w:u w:val="single" w:color="auto"/>
                <w:lang w:val="en-US" w:eastAsia="zh-CN"/>
              </w:rPr>
              <w:t>1</w:t>
            </w:r>
            <w:r>
              <w:rPr>
                <w:color w:val="auto"/>
                <w:spacing w:val="-61"/>
                <w:highlight w:val="none"/>
              </w:rPr>
              <w:t xml:space="preserve"> </w:t>
            </w:r>
            <w:r>
              <w:rPr>
                <w:color w:val="auto"/>
                <w:spacing w:val="-5"/>
                <w:highlight w:val="none"/>
              </w:rPr>
              <w:t>日至投标文件递交截止之日止（近五年</w:t>
            </w:r>
            <w:r>
              <w:rPr>
                <w:color w:val="auto"/>
                <w:spacing w:val="-43"/>
                <w:highlight w:val="none"/>
              </w:rPr>
              <w:t>），</w:t>
            </w:r>
            <w:r>
              <w:rPr>
                <w:color w:val="auto"/>
                <w:highlight w:val="none"/>
                <w:u w:val="single" w:color="auto"/>
              </w:rPr>
              <w:t>以</w:t>
            </w:r>
          </w:p>
          <w:p w14:paraId="3CEF00E3">
            <w:pPr>
              <w:pStyle w:val="17"/>
              <w:spacing w:before="2" w:line="285" w:lineRule="auto"/>
              <w:ind w:left="116" w:right="107" w:firstLine="438"/>
              <w:rPr>
                <w:color w:val="auto"/>
                <w:highlight w:val="none"/>
              </w:rPr>
            </w:pPr>
            <w:r>
              <w:rPr>
                <w:rFonts w:hint="eastAsia"/>
                <w:color w:val="auto"/>
                <w:spacing w:val="-2"/>
                <w:highlight w:val="none"/>
                <w:lang w:eastAsia="zh-CN"/>
              </w:rPr>
              <w:t>☑</w:t>
            </w:r>
            <w:r>
              <w:rPr>
                <w:color w:val="auto"/>
                <w:spacing w:val="-2"/>
                <w:highlight w:val="none"/>
                <w:u w:val="single" w:color="auto"/>
              </w:rPr>
              <w:t>“全国公路建设市场监督管理系统”上的交工验收或</w:t>
            </w:r>
            <w:r>
              <w:rPr>
                <w:color w:val="auto"/>
                <w:spacing w:val="-1"/>
                <w:highlight w:val="none"/>
                <w:u w:val="single" w:color="auto"/>
              </w:rPr>
              <w:t>未交工验收一次性竣工验收的时间为准。</w:t>
            </w:r>
          </w:p>
          <w:p w14:paraId="002351E7">
            <w:pPr>
              <w:pStyle w:val="17"/>
              <w:spacing w:before="148" w:line="308" w:lineRule="auto"/>
              <w:ind w:left="114" w:right="107" w:firstLine="439"/>
              <w:rPr>
                <w:color w:val="auto"/>
                <w:highlight w:val="none"/>
              </w:rPr>
            </w:pPr>
            <w:r>
              <w:rPr>
                <w:color w:val="auto"/>
                <w:spacing w:val="-2"/>
                <w:highlight w:val="none"/>
              </w:rPr>
              <w:t>□</w:t>
            </w:r>
            <w:r>
              <w:rPr>
                <w:color w:val="auto"/>
                <w:spacing w:val="-2"/>
                <w:highlight w:val="none"/>
                <w:u w:val="single" w:color="auto"/>
              </w:rPr>
              <w:t>“全国公路建设市场监督管理系统”或省级交通运输</w:t>
            </w:r>
            <w:r>
              <w:rPr>
                <w:color w:val="auto"/>
                <w:spacing w:val="-1"/>
                <w:highlight w:val="none"/>
                <w:u w:val="single" w:color="auto"/>
              </w:rPr>
              <w:t>主管部门“公路建设市场监督管理系统”上的交工验收或未交工验收一次性竣工验收的时间</w:t>
            </w:r>
            <w:r>
              <w:rPr>
                <w:color w:val="auto"/>
                <w:spacing w:val="-1"/>
                <w:highlight w:val="none"/>
              </w:rPr>
              <w:t>。</w:t>
            </w:r>
          </w:p>
          <w:p w14:paraId="51900FB7">
            <w:pPr>
              <w:pStyle w:val="17"/>
              <w:spacing w:before="149" w:line="219" w:lineRule="auto"/>
              <w:ind w:left="554"/>
              <w:rPr>
                <w:color w:val="auto"/>
                <w:highlight w:val="none"/>
              </w:rPr>
            </w:pPr>
            <w:r>
              <w:rPr>
                <w:color w:val="auto"/>
                <w:spacing w:val="-3"/>
                <w:highlight w:val="none"/>
              </w:rPr>
              <w:t>□</w:t>
            </w:r>
            <w:r>
              <w:rPr>
                <w:color w:val="auto"/>
                <w:spacing w:val="-3"/>
                <w:highlight w:val="none"/>
                <w:u w:val="single" w:color="auto"/>
              </w:rPr>
              <w:t>XX</w:t>
            </w:r>
            <w:r>
              <w:rPr>
                <w:color w:val="auto"/>
                <w:spacing w:val="-42"/>
                <w:highlight w:val="none"/>
                <w:u w:val="single" w:color="auto"/>
              </w:rPr>
              <w:t xml:space="preserve"> </w:t>
            </w:r>
            <w:r>
              <w:rPr>
                <w:color w:val="auto"/>
                <w:spacing w:val="-3"/>
                <w:highlight w:val="none"/>
                <w:u w:val="single" w:color="auto"/>
              </w:rPr>
              <w:t>证明材料签发时间为准。</w:t>
            </w:r>
          </w:p>
        </w:tc>
      </w:tr>
      <w:tr w14:paraId="4A6C7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50B5E983">
            <w:pPr>
              <w:spacing w:line="268" w:lineRule="auto"/>
              <w:rPr>
                <w:rFonts w:ascii="Arial"/>
                <w:color w:val="auto"/>
                <w:sz w:val="21"/>
                <w:highlight w:val="none"/>
              </w:rPr>
            </w:pPr>
          </w:p>
          <w:p w14:paraId="6E5A47F7">
            <w:pPr>
              <w:pStyle w:val="17"/>
              <w:spacing w:before="69" w:line="239" w:lineRule="auto"/>
              <w:ind w:left="338"/>
              <w:rPr>
                <w:color w:val="auto"/>
                <w:highlight w:val="none"/>
              </w:rPr>
            </w:pPr>
            <w:r>
              <w:rPr>
                <w:color w:val="auto"/>
                <w:spacing w:val="-3"/>
                <w:highlight w:val="none"/>
              </w:rPr>
              <w:t>3.6.1</w:t>
            </w:r>
          </w:p>
        </w:tc>
        <w:tc>
          <w:tcPr>
            <w:tcW w:w="2443" w:type="dxa"/>
            <w:vAlign w:val="top"/>
          </w:tcPr>
          <w:p w14:paraId="1DE285A7">
            <w:pPr>
              <w:pStyle w:val="17"/>
              <w:spacing w:before="139" w:line="220" w:lineRule="auto"/>
              <w:ind w:left="178"/>
              <w:rPr>
                <w:color w:val="auto"/>
                <w:highlight w:val="none"/>
              </w:rPr>
            </w:pPr>
            <w:r>
              <w:rPr>
                <w:color w:val="auto"/>
                <w:spacing w:val="-2"/>
                <w:highlight w:val="none"/>
              </w:rPr>
              <w:t>是否允许递交备选投标</w:t>
            </w:r>
          </w:p>
          <w:p w14:paraId="6AD17552">
            <w:pPr>
              <w:pStyle w:val="17"/>
              <w:spacing w:before="150" w:line="220" w:lineRule="auto"/>
              <w:ind w:left="1016"/>
              <w:rPr>
                <w:color w:val="auto"/>
                <w:highlight w:val="none"/>
              </w:rPr>
            </w:pPr>
            <w:r>
              <w:rPr>
                <w:color w:val="auto"/>
                <w:spacing w:val="-3"/>
                <w:highlight w:val="none"/>
              </w:rPr>
              <w:t>方案</w:t>
            </w:r>
          </w:p>
        </w:tc>
        <w:tc>
          <w:tcPr>
            <w:tcW w:w="5664" w:type="dxa"/>
            <w:vAlign w:val="top"/>
          </w:tcPr>
          <w:p w14:paraId="3AA316F2">
            <w:pPr>
              <w:pStyle w:val="17"/>
              <w:spacing w:before="138" w:line="288" w:lineRule="auto"/>
              <w:ind w:left="134" w:right="4714"/>
              <w:rPr>
                <w:color w:val="auto"/>
                <w:highlight w:val="none"/>
              </w:rPr>
            </w:pPr>
            <w:r>
              <w:rPr>
                <w:rFonts w:hint="eastAsia"/>
                <w:color w:val="auto"/>
                <w:spacing w:val="-8"/>
                <w:highlight w:val="none"/>
                <w:lang w:eastAsia="zh-CN"/>
              </w:rPr>
              <w:t>☑</w:t>
            </w:r>
            <w:r>
              <w:rPr>
                <w:color w:val="auto"/>
                <w:spacing w:val="-8"/>
                <w:highlight w:val="none"/>
              </w:rPr>
              <w:t>不允许</w:t>
            </w:r>
            <w:r>
              <w:rPr>
                <w:color w:val="auto"/>
                <w:spacing w:val="-7"/>
                <w:highlight w:val="none"/>
              </w:rPr>
              <w:t>□允许</w:t>
            </w:r>
          </w:p>
        </w:tc>
      </w:tr>
      <w:tr w14:paraId="43888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2" w:hRule="atLeast"/>
        </w:trPr>
        <w:tc>
          <w:tcPr>
            <w:tcW w:w="1185" w:type="dxa"/>
            <w:vAlign w:val="top"/>
          </w:tcPr>
          <w:p w14:paraId="44B2B9ED">
            <w:pPr>
              <w:spacing w:line="243" w:lineRule="auto"/>
              <w:rPr>
                <w:rFonts w:ascii="Arial"/>
                <w:color w:val="auto"/>
                <w:sz w:val="21"/>
                <w:highlight w:val="none"/>
              </w:rPr>
            </w:pPr>
          </w:p>
          <w:p w14:paraId="77C5ABA8">
            <w:pPr>
              <w:spacing w:line="243" w:lineRule="auto"/>
              <w:rPr>
                <w:rFonts w:ascii="Arial"/>
                <w:color w:val="auto"/>
                <w:sz w:val="21"/>
                <w:highlight w:val="none"/>
              </w:rPr>
            </w:pPr>
          </w:p>
          <w:p w14:paraId="4C9C73F4">
            <w:pPr>
              <w:spacing w:line="243" w:lineRule="auto"/>
              <w:rPr>
                <w:rFonts w:ascii="Arial"/>
                <w:color w:val="auto"/>
                <w:sz w:val="21"/>
                <w:highlight w:val="none"/>
              </w:rPr>
            </w:pPr>
          </w:p>
          <w:p w14:paraId="21468B75">
            <w:pPr>
              <w:spacing w:line="243" w:lineRule="auto"/>
              <w:rPr>
                <w:rFonts w:ascii="Arial"/>
                <w:color w:val="auto"/>
                <w:sz w:val="21"/>
                <w:highlight w:val="none"/>
              </w:rPr>
            </w:pPr>
          </w:p>
          <w:p w14:paraId="07B9FA3E">
            <w:pPr>
              <w:spacing w:line="243" w:lineRule="auto"/>
              <w:rPr>
                <w:rFonts w:ascii="Arial"/>
                <w:color w:val="auto"/>
                <w:sz w:val="21"/>
                <w:highlight w:val="none"/>
              </w:rPr>
            </w:pPr>
          </w:p>
          <w:p w14:paraId="4AC16FA1">
            <w:pPr>
              <w:spacing w:line="243" w:lineRule="auto"/>
              <w:rPr>
                <w:rFonts w:ascii="Arial"/>
                <w:color w:val="auto"/>
                <w:sz w:val="21"/>
                <w:highlight w:val="none"/>
              </w:rPr>
            </w:pPr>
          </w:p>
          <w:p w14:paraId="20188598">
            <w:pPr>
              <w:spacing w:line="243" w:lineRule="auto"/>
              <w:rPr>
                <w:rFonts w:ascii="Arial"/>
                <w:color w:val="auto"/>
                <w:sz w:val="21"/>
                <w:highlight w:val="none"/>
              </w:rPr>
            </w:pPr>
          </w:p>
          <w:p w14:paraId="1B08B1B9">
            <w:pPr>
              <w:spacing w:line="243" w:lineRule="auto"/>
              <w:rPr>
                <w:rFonts w:ascii="Arial"/>
                <w:color w:val="auto"/>
                <w:sz w:val="21"/>
                <w:highlight w:val="none"/>
              </w:rPr>
            </w:pPr>
          </w:p>
          <w:p w14:paraId="58136419">
            <w:pPr>
              <w:spacing w:line="243" w:lineRule="auto"/>
              <w:rPr>
                <w:rFonts w:ascii="Arial"/>
                <w:color w:val="auto"/>
                <w:sz w:val="21"/>
                <w:highlight w:val="none"/>
              </w:rPr>
            </w:pPr>
          </w:p>
          <w:p w14:paraId="5BFE5E4B">
            <w:pPr>
              <w:spacing w:line="243" w:lineRule="auto"/>
              <w:rPr>
                <w:rFonts w:ascii="Arial"/>
                <w:color w:val="auto"/>
                <w:sz w:val="21"/>
                <w:highlight w:val="none"/>
              </w:rPr>
            </w:pPr>
          </w:p>
          <w:p w14:paraId="48372EB9">
            <w:pPr>
              <w:spacing w:line="243" w:lineRule="auto"/>
              <w:rPr>
                <w:rFonts w:ascii="Arial"/>
                <w:color w:val="auto"/>
                <w:sz w:val="21"/>
                <w:highlight w:val="none"/>
              </w:rPr>
            </w:pPr>
          </w:p>
          <w:p w14:paraId="386AC3E5">
            <w:pPr>
              <w:spacing w:line="244" w:lineRule="auto"/>
              <w:rPr>
                <w:rFonts w:ascii="Arial"/>
                <w:color w:val="auto"/>
                <w:sz w:val="21"/>
                <w:highlight w:val="none"/>
              </w:rPr>
            </w:pPr>
          </w:p>
          <w:p w14:paraId="3CDC31BD">
            <w:pPr>
              <w:spacing w:line="244" w:lineRule="auto"/>
              <w:rPr>
                <w:rFonts w:ascii="Arial"/>
                <w:color w:val="auto"/>
                <w:sz w:val="21"/>
                <w:highlight w:val="none"/>
              </w:rPr>
            </w:pPr>
          </w:p>
          <w:p w14:paraId="48D40049">
            <w:pPr>
              <w:spacing w:line="244" w:lineRule="auto"/>
              <w:rPr>
                <w:rFonts w:ascii="Arial"/>
                <w:color w:val="auto"/>
                <w:sz w:val="21"/>
                <w:highlight w:val="none"/>
              </w:rPr>
            </w:pPr>
          </w:p>
          <w:p w14:paraId="238EF9A9">
            <w:pPr>
              <w:spacing w:line="244" w:lineRule="auto"/>
              <w:rPr>
                <w:rFonts w:ascii="Arial"/>
                <w:color w:val="auto"/>
                <w:sz w:val="21"/>
                <w:highlight w:val="none"/>
              </w:rPr>
            </w:pPr>
          </w:p>
          <w:p w14:paraId="0F80DE12">
            <w:pPr>
              <w:pStyle w:val="17"/>
              <w:spacing w:before="69" w:line="239" w:lineRule="auto"/>
              <w:ind w:left="338"/>
              <w:rPr>
                <w:color w:val="auto"/>
                <w:highlight w:val="none"/>
              </w:rPr>
            </w:pPr>
            <w:r>
              <w:rPr>
                <w:color w:val="auto"/>
                <w:spacing w:val="-3"/>
                <w:highlight w:val="none"/>
              </w:rPr>
              <w:t>3.7.4</w:t>
            </w:r>
          </w:p>
        </w:tc>
        <w:tc>
          <w:tcPr>
            <w:tcW w:w="2443" w:type="dxa"/>
            <w:vAlign w:val="top"/>
          </w:tcPr>
          <w:p w14:paraId="4FF8C8FA">
            <w:pPr>
              <w:spacing w:line="243" w:lineRule="auto"/>
              <w:rPr>
                <w:rFonts w:ascii="Arial"/>
                <w:color w:val="auto"/>
                <w:sz w:val="21"/>
                <w:highlight w:val="none"/>
              </w:rPr>
            </w:pPr>
          </w:p>
          <w:p w14:paraId="64ABAD7B">
            <w:pPr>
              <w:spacing w:line="243" w:lineRule="auto"/>
              <w:rPr>
                <w:rFonts w:ascii="Arial"/>
                <w:color w:val="auto"/>
                <w:sz w:val="21"/>
                <w:highlight w:val="none"/>
              </w:rPr>
            </w:pPr>
          </w:p>
          <w:p w14:paraId="79085876">
            <w:pPr>
              <w:spacing w:line="243" w:lineRule="auto"/>
              <w:rPr>
                <w:rFonts w:ascii="Arial"/>
                <w:color w:val="auto"/>
                <w:sz w:val="21"/>
                <w:highlight w:val="none"/>
              </w:rPr>
            </w:pPr>
          </w:p>
          <w:p w14:paraId="70D2DDF3">
            <w:pPr>
              <w:spacing w:line="243" w:lineRule="auto"/>
              <w:rPr>
                <w:rFonts w:ascii="Arial"/>
                <w:color w:val="auto"/>
                <w:sz w:val="21"/>
                <w:highlight w:val="none"/>
              </w:rPr>
            </w:pPr>
          </w:p>
          <w:p w14:paraId="6F186421">
            <w:pPr>
              <w:spacing w:line="243" w:lineRule="auto"/>
              <w:rPr>
                <w:rFonts w:ascii="Arial"/>
                <w:color w:val="auto"/>
                <w:sz w:val="21"/>
                <w:highlight w:val="none"/>
              </w:rPr>
            </w:pPr>
          </w:p>
          <w:p w14:paraId="152B4F92">
            <w:pPr>
              <w:spacing w:line="243" w:lineRule="auto"/>
              <w:rPr>
                <w:rFonts w:ascii="Arial"/>
                <w:color w:val="auto"/>
                <w:sz w:val="21"/>
                <w:highlight w:val="none"/>
              </w:rPr>
            </w:pPr>
          </w:p>
          <w:p w14:paraId="4AB240A7">
            <w:pPr>
              <w:spacing w:line="243" w:lineRule="auto"/>
              <w:rPr>
                <w:rFonts w:ascii="Arial"/>
                <w:color w:val="auto"/>
                <w:sz w:val="21"/>
                <w:highlight w:val="none"/>
              </w:rPr>
            </w:pPr>
          </w:p>
          <w:p w14:paraId="289D32CA">
            <w:pPr>
              <w:spacing w:line="243" w:lineRule="auto"/>
              <w:rPr>
                <w:rFonts w:ascii="Arial"/>
                <w:color w:val="auto"/>
                <w:sz w:val="21"/>
                <w:highlight w:val="none"/>
              </w:rPr>
            </w:pPr>
          </w:p>
          <w:p w14:paraId="0349F906">
            <w:pPr>
              <w:spacing w:line="243" w:lineRule="auto"/>
              <w:rPr>
                <w:rFonts w:ascii="Arial"/>
                <w:color w:val="auto"/>
                <w:sz w:val="21"/>
                <w:highlight w:val="none"/>
              </w:rPr>
            </w:pPr>
          </w:p>
          <w:p w14:paraId="7E133F66">
            <w:pPr>
              <w:spacing w:line="243" w:lineRule="auto"/>
              <w:rPr>
                <w:rFonts w:ascii="Arial"/>
                <w:color w:val="auto"/>
                <w:sz w:val="21"/>
                <w:highlight w:val="none"/>
              </w:rPr>
            </w:pPr>
          </w:p>
          <w:p w14:paraId="58363809">
            <w:pPr>
              <w:spacing w:line="243" w:lineRule="auto"/>
              <w:rPr>
                <w:rFonts w:ascii="Arial"/>
                <w:color w:val="auto"/>
                <w:sz w:val="21"/>
                <w:highlight w:val="none"/>
              </w:rPr>
            </w:pPr>
          </w:p>
          <w:p w14:paraId="5B9033AB">
            <w:pPr>
              <w:spacing w:line="244" w:lineRule="auto"/>
              <w:rPr>
                <w:rFonts w:ascii="Arial"/>
                <w:color w:val="auto"/>
                <w:sz w:val="21"/>
                <w:highlight w:val="none"/>
              </w:rPr>
            </w:pPr>
          </w:p>
          <w:p w14:paraId="1F2488F3">
            <w:pPr>
              <w:spacing w:line="244" w:lineRule="auto"/>
              <w:rPr>
                <w:rFonts w:ascii="Arial"/>
                <w:color w:val="auto"/>
                <w:sz w:val="21"/>
                <w:highlight w:val="none"/>
              </w:rPr>
            </w:pPr>
          </w:p>
          <w:p w14:paraId="154CD23C">
            <w:pPr>
              <w:spacing w:line="244" w:lineRule="auto"/>
              <w:rPr>
                <w:rFonts w:ascii="Arial"/>
                <w:color w:val="auto"/>
                <w:sz w:val="21"/>
                <w:highlight w:val="none"/>
              </w:rPr>
            </w:pPr>
          </w:p>
          <w:p w14:paraId="133D3974">
            <w:pPr>
              <w:spacing w:line="244" w:lineRule="auto"/>
              <w:rPr>
                <w:rFonts w:ascii="Arial"/>
                <w:color w:val="auto"/>
                <w:sz w:val="21"/>
                <w:highlight w:val="none"/>
              </w:rPr>
            </w:pPr>
          </w:p>
          <w:p w14:paraId="6BBA245D">
            <w:pPr>
              <w:pStyle w:val="17"/>
              <w:spacing w:before="68" w:line="220" w:lineRule="auto"/>
              <w:ind w:left="282"/>
              <w:rPr>
                <w:color w:val="auto"/>
                <w:highlight w:val="none"/>
              </w:rPr>
            </w:pPr>
            <w:r>
              <w:rPr>
                <w:color w:val="auto"/>
                <w:spacing w:val="-2"/>
                <w:highlight w:val="none"/>
              </w:rPr>
              <w:t>投标文件的其他要求</w:t>
            </w:r>
          </w:p>
        </w:tc>
        <w:tc>
          <w:tcPr>
            <w:tcW w:w="5664" w:type="dxa"/>
            <w:vAlign w:val="top"/>
          </w:tcPr>
          <w:p w14:paraId="25F37FC4">
            <w:pPr>
              <w:pStyle w:val="17"/>
              <w:spacing w:before="135" w:line="345" w:lineRule="auto"/>
              <w:ind w:left="112" w:right="107" w:firstLine="3"/>
              <w:rPr>
                <w:color w:val="auto"/>
                <w:highlight w:val="none"/>
              </w:rPr>
            </w:pPr>
            <w:r>
              <w:rPr>
                <w:color w:val="auto"/>
                <w:spacing w:val="-1"/>
                <w:highlight w:val="none"/>
              </w:rPr>
              <w:t>投标文件包括盖有电子公章的加密电子投标文件。投标人可制作非加密的电子投标文件（PDF</w:t>
            </w:r>
            <w:r>
              <w:rPr>
                <w:color w:val="auto"/>
                <w:spacing w:val="-43"/>
                <w:highlight w:val="none"/>
              </w:rPr>
              <w:t xml:space="preserve"> </w:t>
            </w:r>
            <w:r>
              <w:rPr>
                <w:color w:val="auto"/>
                <w:spacing w:val="-1"/>
                <w:highlight w:val="none"/>
              </w:rPr>
              <w:t>格式</w:t>
            </w:r>
            <w:r>
              <w:rPr>
                <w:color w:val="auto"/>
                <w:spacing w:val="3"/>
                <w:highlight w:val="none"/>
              </w:rPr>
              <w:t>），</w:t>
            </w:r>
            <w:r>
              <w:rPr>
                <w:color w:val="auto"/>
                <w:spacing w:val="-1"/>
                <w:highlight w:val="none"/>
              </w:rPr>
              <w:t>包括第一个信封（商务及技术文件）和第二个信封（报价文件</w:t>
            </w:r>
            <w:r>
              <w:rPr>
                <w:color w:val="auto"/>
                <w:spacing w:val="1"/>
                <w:highlight w:val="none"/>
              </w:rPr>
              <w:t>），</w:t>
            </w:r>
            <w:r>
              <w:rPr>
                <w:color w:val="auto"/>
                <w:spacing w:val="-1"/>
                <w:highlight w:val="none"/>
              </w:rPr>
              <w:t>其中第二</w:t>
            </w:r>
            <w:r>
              <w:rPr>
                <w:color w:val="auto"/>
                <w:highlight w:val="none"/>
              </w:rPr>
              <w:t>个信封（报价文件）还需包含工程量清单电</w:t>
            </w:r>
            <w:r>
              <w:rPr>
                <w:color w:val="auto"/>
                <w:spacing w:val="-1"/>
                <w:highlight w:val="none"/>
              </w:rPr>
              <w:t>子文件（EXCEL格式）。第一个信封和第二个信封分别刻入独立的光盘或</w:t>
            </w:r>
            <w:r>
              <w:rPr>
                <w:color w:val="auto"/>
                <w:spacing w:val="-36"/>
                <w:highlight w:val="none"/>
              </w:rPr>
              <w:t xml:space="preserve"> </w:t>
            </w:r>
            <w:r>
              <w:rPr>
                <w:color w:val="auto"/>
                <w:spacing w:val="-1"/>
                <w:highlight w:val="none"/>
              </w:rPr>
              <w:t>U盘，在招标公告规定的时间、地点提交备用。刻录好的第一个信封和第二个信封的光盘或</w:t>
            </w:r>
            <w:r>
              <w:rPr>
                <w:color w:val="auto"/>
                <w:spacing w:val="-50"/>
                <w:highlight w:val="none"/>
              </w:rPr>
              <w:t xml:space="preserve"> </w:t>
            </w:r>
            <w:r>
              <w:rPr>
                <w:color w:val="auto"/>
                <w:spacing w:val="-1"/>
                <w:highlight w:val="none"/>
              </w:rPr>
              <w:t>U</w:t>
            </w:r>
            <w:r>
              <w:rPr>
                <w:color w:val="auto"/>
                <w:spacing w:val="-51"/>
                <w:highlight w:val="none"/>
              </w:rPr>
              <w:t xml:space="preserve"> </w:t>
            </w:r>
            <w:r>
              <w:rPr>
                <w:color w:val="auto"/>
                <w:spacing w:val="-1"/>
                <w:highlight w:val="none"/>
              </w:rPr>
              <w:t>盘分别密封在各自独立的密封袋中，并在封口处加盖投标人单位公章。密封袋上应写明项目名称（第</w:t>
            </w:r>
            <w:r>
              <w:rPr>
                <w:color w:val="auto"/>
                <w:spacing w:val="-101"/>
                <w:highlight w:val="none"/>
              </w:rPr>
              <w:t xml:space="preserve"> </w:t>
            </w:r>
            <w:r>
              <w:rPr>
                <w:color w:val="auto"/>
                <w:spacing w:val="52"/>
                <w:highlight w:val="none"/>
                <w:u w:val="single" w:color="auto"/>
              </w:rPr>
              <w:t xml:space="preserve">  </w:t>
            </w:r>
            <w:r>
              <w:rPr>
                <w:color w:val="auto"/>
                <w:spacing w:val="-97"/>
                <w:highlight w:val="none"/>
              </w:rPr>
              <w:t xml:space="preserve"> </w:t>
            </w:r>
            <w:r>
              <w:rPr>
                <w:color w:val="auto"/>
                <w:spacing w:val="-1"/>
                <w:highlight w:val="none"/>
              </w:rPr>
              <w:t>个信封）和招标人名称。递交的光盘或</w:t>
            </w:r>
            <w:r>
              <w:rPr>
                <w:color w:val="auto"/>
                <w:spacing w:val="-49"/>
                <w:highlight w:val="none"/>
              </w:rPr>
              <w:t xml:space="preserve"> </w:t>
            </w:r>
            <w:r>
              <w:rPr>
                <w:color w:val="auto"/>
                <w:spacing w:val="-1"/>
                <w:highlight w:val="none"/>
              </w:rPr>
              <w:t>U</w:t>
            </w:r>
            <w:r>
              <w:rPr>
                <w:color w:val="auto"/>
                <w:spacing w:val="-2"/>
                <w:highlight w:val="none"/>
              </w:rPr>
              <w:t>盘不得加密。光盘或</w:t>
            </w:r>
            <w:r>
              <w:rPr>
                <w:color w:val="auto"/>
                <w:spacing w:val="-30"/>
                <w:highlight w:val="none"/>
              </w:rPr>
              <w:t xml:space="preserve"> </w:t>
            </w:r>
            <w:r>
              <w:rPr>
                <w:color w:val="auto"/>
                <w:spacing w:val="-2"/>
                <w:highlight w:val="none"/>
              </w:rPr>
              <w:t>U</w:t>
            </w:r>
            <w:r>
              <w:rPr>
                <w:color w:val="auto"/>
                <w:spacing w:val="-45"/>
                <w:highlight w:val="none"/>
              </w:rPr>
              <w:t xml:space="preserve"> </w:t>
            </w:r>
            <w:r>
              <w:rPr>
                <w:color w:val="auto"/>
                <w:spacing w:val="-2"/>
                <w:highlight w:val="none"/>
              </w:rPr>
              <w:t>盘无法读取或导入的，则视为未提交备用投标文件光盘或</w:t>
            </w:r>
            <w:r>
              <w:rPr>
                <w:color w:val="auto"/>
                <w:spacing w:val="-43"/>
                <w:highlight w:val="none"/>
              </w:rPr>
              <w:t xml:space="preserve"> </w:t>
            </w:r>
            <w:r>
              <w:rPr>
                <w:color w:val="auto"/>
                <w:spacing w:val="-2"/>
                <w:highlight w:val="none"/>
              </w:rPr>
              <w:t>U</w:t>
            </w:r>
            <w:r>
              <w:rPr>
                <w:color w:val="auto"/>
                <w:spacing w:val="-44"/>
                <w:highlight w:val="none"/>
              </w:rPr>
              <w:t xml:space="preserve"> </w:t>
            </w:r>
            <w:r>
              <w:rPr>
                <w:color w:val="auto"/>
                <w:spacing w:val="-2"/>
                <w:highlight w:val="none"/>
              </w:rPr>
              <w:t>盘。备用光盘或</w:t>
            </w:r>
            <w:r>
              <w:rPr>
                <w:color w:val="auto"/>
                <w:spacing w:val="-50"/>
                <w:highlight w:val="none"/>
              </w:rPr>
              <w:t xml:space="preserve"> </w:t>
            </w:r>
            <w:r>
              <w:rPr>
                <w:color w:val="auto"/>
                <w:spacing w:val="-2"/>
                <w:highlight w:val="none"/>
              </w:rPr>
              <w:t>U</w:t>
            </w:r>
            <w:r>
              <w:rPr>
                <w:color w:val="auto"/>
                <w:spacing w:val="-43"/>
                <w:highlight w:val="none"/>
              </w:rPr>
              <w:t xml:space="preserve"> </w:t>
            </w:r>
            <w:r>
              <w:rPr>
                <w:color w:val="auto"/>
                <w:spacing w:val="-2"/>
                <w:highlight w:val="none"/>
              </w:rPr>
              <w:t>盘仅限于系统技术</w:t>
            </w:r>
            <w:r>
              <w:rPr>
                <w:color w:val="auto"/>
                <w:spacing w:val="-1"/>
                <w:highlight w:val="none"/>
              </w:rPr>
              <w:t>问题导致电子文件损坏或无法解密的情况时，由系统开发人员确认后使用，如果投标人没有按规定通过交易平台递交电</w:t>
            </w:r>
            <w:r>
              <w:rPr>
                <w:color w:val="auto"/>
                <w:spacing w:val="-2"/>
                <w:highlight w:val="none"/>
              </w:rPr>
              <w:t>子投标文件的，不再读取提交的光盘或</w:t>
            </w:r>
            <w:r>
              <w:rPr>
                <w:color w:val="auto"/>
                <w:spacing w:val="-30"/>
                <w:highlight w:val="none"/>
              </w:rPr>
              <w:t xml:space="preserve"> </w:t>
            </w:r>
            <w:r>
              <w:rPr>
                <w:color w:val="auto"/>
                <w:spacing w:val="-2"/>
                <w:highlight w:val="none"/>
              </w:rPr>
              <w:t>U</w:t>
            </w:r>
            <w:r>
              <w:rPr>
                <w:color w:val="auto"/>
                <w:spacing w:val="-45"/>
                <w:highlight w:val="none"/>
              </w:rPr>
              <w:t xml:space="preserve"> </w:t>
            </w:r>
            <w:r>
              <w:rPr>
                <w:color w:val="auto"/>
                <w:spacing w:val="-2"/>
                <w:highlight w:val="none"/>
              </w:rPr>
              <w:t>盘。是否递交备用光盘或</w:t>
            </w:r>
            <w:r>
              <w:rPr>
                <w:color w:val="auto"/>
                <w:spacing w:val="-32"/>
                <w:highlight w:val="none"/>
              </w:rPr>
              <w:t xml:space="preserve"> </w:t>
            </w:r>
            <w:r>
              <w:rPr>
                <w:color w:val="auto"/>
                <w:spacing w:val="-2"/>
                <w:highlight w:val="none"/>
              </w:rPr>
              <w:t>U</w:t>
            </w:r>
            <w:r>
              <w:rPr>
                <w:color w:val="auto"/>
                <w:spacing w:val="-43"/>
                <w:highlight w:val="none"/>
              </w:rPr>
              <w:t xml:space="preserve"> </w:t>
            </w:r>
            <w:r>
              <w:rPr>
                <w:color w:val="auto"/>
                <w:spacing w:val="-2"/>
                <w:highlight w:val="none"/>
              </w:rPr>
              <w:t>盘由投标人自行选择，系统技术问题导致电子文件损坏或无法解密的情况出现时，未递交备用光盘或</w:t>
            </w:r>
            <w:r>
              <w:rPr>
                <w:color w:val="auto"/>
                <w:spacing w:val="-32"/>
                <w:highlight w:val="none"/>
              </w:rPr>
              <w:t xml:space="preserve"> </w:t>
            </w:r>
            <w:r>
              <w:rPr>
                <w:color w:val="auto"/>
                <w:spacing w:val="-2"/>
                <w:highlight w:val="none"/>
              </w:rPr>
              <w:t>U</w:t>
            </w:r>
            <w:r>
              <w:rPr>
                <w:color w:val="auto"/>
                <w:spacing w:val="-43"/>
                <w:highlight w:val="none"/>
              </w:rPr>
              <w:t xml:space="preserve"> </w:t>
            </w:r>
            <w:r>
              <w:rPr>
                <w:color w:val="auto"/>
                <w:spacing w:val="-2"/>
                <w:highlight w:val="none"/>
              </w:rPr>
              <w:t>盘的投标人自行承担相关风险。第二信封的光盘或</w:t>
            </w:r>
            <w:r>
              <w:rPr>
                <w:color w:val="auto"/>
                <w:spacing w:val="-32"/>
                <w:highlight w:val="none"/>
              </w:rPr>
              <w:t xml:space="preserve"> </w:t>
            </w:r>
            <w:r>
              <w:rPr>
                <w:color w:val="auto"/>
                <w:spacing w:val="-2"/>
                <w:highlight w:val="none"/>
              </w:rPr>
              <w:t>U</w:t>
            </w:r>
            <w:r>
              <w:rPr>
                <w:color w:val="auto"/>
                <w:spacing w:val="-43"/>
                <w:highlight w:val="none"/>
              </w:rPr>
              <w:t xml:space="preserve"> </w:t>
            </w:r>
            <w:r>
              <w:rPr>
                <w:color w:val="auto"/>
                <w:spacing w:val="-2"/>
                <w:highlight w:val="none"/>
              </w:rPr>
              <w:t>盘在第一信封</w:t>
            </w:r>
            <w:r>
              <w:rPr>
                <w:color w:val="auto"/>
                <w:spacing w:val="-1"/>
                <w:highlight w:val="none"/>
              </w:rPr>
              <w:t>开标完成后，由交易中心见证人员密封至封标室，待第一信</w:t>
            </w:r>
            <w:r>
              <w:rPr>
                <w:color w:val="auto"/>
                <w:spacing w:val="-2"/>
                <w:highlight w:val="none"/>
              </w:rPr>
              <w:t>封评审完毕后由交易中心见证人员取出。</w:t>
            </w:r>
          </w:p>
        </w:tc>
      </w:tr>
      <w:tr w14:paraId="7F131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185" w:type="dxa"/>
            <w:vAlign w:val="top"/>
          </w:tcPr>
          <w:p w14:paraId="55ABB7F0">
            <w:pPr>
              <w:spacing w:line="273" w:lineRule="auto"/>
              <w:rPr>
                <w:rFonts w:ascii="Arial"/>
                <w:color w:val="auto"/>
                <w:sz w:val="21"/>
                <w:highlight w:val="none"/>
              </w:rPr>
            </w:pPr>
          </w:p>
          <w:p w14:paraId="16B3FC4C">
            <w:pPr>
              <w:pStyle w:val="17"/>
              <w:spacing w:before="68" w:line="239" w:lineRule="auto"/>
              <w:ind w:left="444"/>
              <w:rPr>
                <w:color w:val="auto"/>
                <w:highlight w:val="none"/>
              </w:rPr>
            </w:pPr>
            <w:r>
              <w:rPr>
                <w:color w:val="auto"/>
                <w:spacing w:val="-5"/>
                <w:highlight w:val="none"/>
              </w:rPr>
              <w:t>5.1</w:t>
            </w:r>
          </w:p>
        </w:tc>
        <w:tc>
          <w:tcPr>
            <w:tcW w:w="2443" w:type="dxa"/>
            <w:vAlign w:val="top"/>
          </w:tcPr>
          <w:p w14:paraId="678059EF">
            <w:pPr>
              <w:spacing w:line="273" w:lineRule="auto"/>
              <w:rPr>
                <w:rFonts w:ascii="Arial"/>
                <w:color w:val="auto"/>
                <w:sz w:val="21"/>
                <w:highlight w:val="none"/>
              </w:rPr>
            </w:pPr>
          </w:p>
          <w:p w14:paraId="0546C80B">
            <w:pPr>
              <w:pStyle w:val="17"/>
              <w:spacing w:before="68" w:line="220" w:lineRule="auto"/>
              <w:ind w:left="490"/>
              <w:rPr>
                <w:color w:val="auto"/>
                <w:highlight w:val="none"/>
              </w:rPr>
            </w:pPr>
            <w:r>
              <w:rPr>
                <w:color w:val="auto"/>
                <w:spacing w:val="-2"/>
                <w:highlight w:val="none"/>
              </w:rPr>
              <w:t>开标时间和地点</w:t>
            </w:r>
          </w:p>
        </w:tc>
        <w:tc>
          <w:tcPr>
            <w:tcW w:w="5664" w:type="dxa"/>
            <w:vAlign w:val="top"/>
          </w:tcPr>
          <w:p w14:paraId="5FB71E19">
            <w:pPr>
              <w:pStyle w:val="17"/>
              <w:spacing w:before="142" w:line="288" w:lineRule="auto"/>
              <w:ind w:left="112" w:right="107" w:firstLine="3"/>
              <w:rPr>
                <w:color w:val="auto"/>
                <w:spacing w:val="-2"/>
                <w:highlight w:val="none"/>
              </w:rPr>
            </w:pPr>
            <w:r>
              <w:rPr>
                <w:color w:val="auto"/>
                <w:spacing w:val="-1"/>
                <w:highlight w:val="none"/>
              </w:rPr>
              <w:t>投标文件第一个信封（商务及技术文件）开标时间：同投标</w:t>
            </w:r>
            <w:r>
              <w:rPr>
                <w:color w:val="auto"/>
                <w:spacing w:val="-2"/>
                <w:highlight w:val="none"/>
              </w:rPr>
              <w:t>截止时间</w:t>
            </w:r>
          </w:p>
          <w:p w14:paraId="25217090">
            <w:pPr>
              <w:pStyle w:val="17"/>
              <w:spacing w:before="138" w:line="220" w:lineRule="auto"/>
              <w:ind w:left="115"/>
              <w:rPr>
                <w:color w:val="auto"/>
                <w:highlight w:val="none"/>
              </w:rPr>
            </w:pPr>
            <w:r>
              <w:rPr>
                <w:color w:val="auto"/>
                <w:spacing w:val="-1"/>
                <w:highlight w:val="none"/>
              </w:rPr>
              <w:t>投标文件第一个信封（商务及技术文件）开标地点：同递交</w:t>
            </w:r>
          </w:p>
          <w:p w14:paraId="7931370E">
            <w:pPr>
              <w:pStyle w:val="17"/>
              <w:spacing w:before="149" w:line="220" w:lineRule="auto"/>
              <w:ind w:left="115"/>
              <w:rPr>
                <w:color w:val="auto"/>
                <w:spacing w:val="-2"/>
                <w:highlight w:val="none"/>
              </w:rPr>
            </w:pPr>
            <w:r>
              <w:rPr>
                <w:color w:val="auto"/>
                <w:spacing w:val="-2"/>
                <w:highlight w:val="none"/>
              </w:rPr>
              <w:t>投标文件地点</w:t>
            </w:r>
          </w:p>
        </w:tc>
      </w:tr>
    </w:tbl>
    <w:p w14:paraId="612C4C34">
      <w:pPr>
        <w:spacing w:line="233" w:lineRule="auto"/>
        <w:rPr>
          <w:rFonts w:ascii="宋体" w:hAnsi="宋体" w:eastAsia="宋体" w:cs="宋体"/>
          <w:color w:val="auto"/>
          <w:sz w:val="18"/>
          <w:szCs w:val="18"/>
          <w:highlight w:val="none"/>
        </w:rPr>
        <w:sectPr>
          <w:headerReference r:id="rId26" w:type="default"/>
          <w:footerReference r:id="rId27" w:type="default"/>
          <w:pgSz w:w="11905" w:h="16840"/>
          <w:pgMar w:top="1182" w:right="0" w:bottom="1171" w:left="0" w:header="849" w:footer="936" w:gutter="0"/>
          <w:pgNumType w:fmt="decimal"/>
          <w:cols w:space="720" w:num="1"/>
        </w:sectPr>
      </w:pPr>
    </w:p>
    <w:p w14:paraId="5EC20C56">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1B5EC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523AD9D4">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400E44D1">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00408A83">
            <w:pPr>
              <w:pStyle w:val="17"/>
              <w:spacing w:before="181" w:line="220" w:lineRule="auto"/>
              <w:ind w:left="2417"/>
              <w:rPr>
                <w:color w:val="auto"/>
                <w:highlight w:val="none"/>
              </w:rPr>
            </w:pPr>
            <w:r>
              <w:rPr>
                <w:b/>
                <w:bCs/>
                <w:color w:val="auto"/>
                <w:spacing w:val="-5"/>
                <w:highlight w:val="none"/>
              </w:rPr>
              <w:t>编列内容</w:t>
            </w:r>
          </w:p>
        </w:tc>
      </w:tr>
      <w:tr w14:paraId="0F063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4" w:hRule="atLeast"/>
        </w:trPr>
        <w:tc>
          <w:tcPr>
            <w:tcW w:w="1185" w:type="dxa"/>
            <w:vAlign w:val="top"/>
          </w:tcPr>
          <w:p w14:paraId="56F89E77">
            <w:pPr>
              <w:rPr>
                <w:rFonts w:ascii="Arial"/>
                <w:color w:val="auto"/>
                <w:sz w:val="21"/>
                <w:highlight w:val="none"/>
              </w:rPr>
            </w:pPr>
          </w:p>
        </w:tc>
        <w:tc>
          <w:tcPr>
            <w:tcW w:w="2443" w:type="dxa"/>
            <w:vAlign w:val="top"/>
          </w:tcPr>
          <w:p w14:paraId="6F053347">
            <w:pPr>
              <w:rPr>
                <w:rFonts w:ascii="Arial"/>
                <w:color w:val="auto"/>
                <w:sz w:val="21"/>
                <w:highlight w:val="none"/>
              </w:rPr>
            </w:pPr>
          </w:p>
        </w:tc>
        <w:tc>
          <w:tcPr>
            <w:tcW w:w="5664" w:type="dxa"/>
            <w:vAlign w:val="top"/>
          </w:tcPr>
          <w:p w14:paraId="64886D69">
            <w:pPr>
              <w:pStyle w:val="17"/>
              <w:spacing w:before="149" w:line="352" w:lineRule="auto"/>
              <w:ind w:left="114" w:right="107"/>
              <w:rPr>
                <w:color w:val="auto"/>
                <w:highlight w:val="none"/>
              </w:rPr>
            </w:pPr>
            <w:r>
              <w:rPr>
                <w:color w:val="auto"/>
                <w:spacing w:val="-9"/>
                <w:highlight w:val="none"/>
              </w:rPr>
              <w:t>投标文件第二个信封（报价文件）开标时间：</w:t>
            </w:r>
            <w:r>
              <w:rPr>
                <w:color w:val="auto"/>
                <w:spacing w:val="-9"/>
                <w:highlight w:val="none"/>
                <w:u w:val="single" w:color="auto"/>
              </w:rPr>
              <w:t>第一个信封（商</w:t>
            </w:r>
            <w:r>
              <w:rPr>
                <w:color w:val="auto"/>
                <w:spacing w:val="-1"/>
                <w:highlight w:val="none"/>
                <w:u w:val="single" w:color="auto"/>
              </w:rPr>
              <w:t>务及技术文件）评审结束后，另行通知</w:t>
            </w:r>
          </w:p>
          <w:p w14:paraId="2A88740D">
            <w:pPr>
              <w:pStyle w:val="17"/>
              <w:spacing w:before="1" w:line="287" w:lineRule="auto"/>
              <w:ind w:left="112" w:right="107" w:firstLine="3"/>
              <w:rPr>
                <w:color w:val="auto"/>
                <w:spacing w:val="-1"/>
                <w:highlight w:val="none"/>
                <w:u w:val="single" w:color="auto"/>
              </w:rPr>
            </w:pPr>
            <w:r>
              <w:rPr>
                <w:color w:val="auto"/>
                <w:spacing w:val="-1"/>
                <w:highlight w:val="none"/>
              </w:rPr>
              <w:t>投标文件第二个信封（报价文件）开标地点：</w:t>
            </w:r>
            <w:r>
              <w:rPr>
                <w:color w:val="auto"/>
                <w:spacing w:val="-1"/>
                <w:highlight w:val="none"/>
                <w:u w:val="single" w:color="auto"/>
              </w:rPr>
              <w:t>同递交投标文件地点，另行通知</w:t>
            </w:r>
          </w:p>
          <w:p w14:paraId="3508ED73">
            <w:pPr>
              <w:pStyle w:val="17"/>
              <w:spacing w:before="1" w:line="287" w:lineRule="auto"/>
              <w:ind w:left="112" w:right="107" w:firstLine="3"/>
              <w:rPr>
                <w:color w:val="auto"/>
                <w:spacing w:val="-1"/>
                <w:highlight w:val="none"/>
                <w:u w:val="single" w:color="auto"/>
              </w:rPr>
            </w:pPr>
            <w:r>
              <w:rPr>
                <w:rFonts w:hint="eastAsia" w:ascii="宋体" w:hAnsi="宋体" w:eastAsia="宋体" w:cs="宋体"/>
                <w:color w:val="auto"/>
                <w:kern w:val="0"/>
                <w:sz w:val="21"/>
                <w:szCs w:val="21"/>
                <w:highlight w:val="none"/>
                <w:u w:val="single"/>
              </w:rPr>
              <w:t>投标人需对开标情况记录表进行签名确认。未参加开标会的视为默认开标结果。</w:t>
            </w:r>
          </w:p>
        </w:tc>
      </w:tr>
      <w:tr w14:paraId="4EE0F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1185" w:type="dxa"/>
            <w:vAlign w:val="top"/>
          </w:tcPr>
          <w:p w14:paraId="2D5D1123">
            <w:pPr>
              <w:spacing w:line="252" w:lineRule="auto"/>
              <w:rPr>
                <w:rFonts w:ascii="Arial"/>
                <w:color w:val="auto"/>
                <w:sz w:val="21"/>
                <w:highlight w:val="none"/>
              </w:rPr>
            </w:pPr>
          </w:p>
          <w:p w14:paraId="1D404CF2">
            <w:pPr>
              <w:spacing w:line="253" w:lineRule="auto"/>
              <w:rPr>
                <w:rFonts w:ascii="Arial"/>
                <w:color w:val="auto"/>
                <w:sz w:val="21"/>
                <w:highlight w:val="none"/>
              </w:rPr>
            </w:pPr>
          </w:p>
          <w:p w14:paraId="1D12CB65">
            <w:pPr>
              <w:spacing w:line="253" w:lineRule="auto"/>
              <w:rPr>
                <w:rFonts w:ascii="Arial"/>
                <w:color w:val="auto"/>
                <w:sz w:val="21"/>
                <w:highlight w:val="none"/>
              </w:rPr>
            </w:pPr>
          </w:p>
          <w:p w14:paraId="6C52A4C1">
            <w:pPr>
              <w:pStyle w:val="17"/>
              <w:spacing w:before="68" w:line="239" w:lineRule="auto"/>
              <w:ind w:left="338"/>
              <w:rPr>
                <w:color w:val="auto"/>
                <w:highlight w:val="none"/>
              </w:rPr>
            </w:pPr>
            <w:r>
              <w:rPr>
                <w:color w:val="auto"/>
                <w:spacing w:val="-3"/>
                <w:highlight w:val="none"/>
              </w:rPr>
              <w:t>5.2.1</w:t>
            </w:r>
          </w:p>
        </w:tc>
        <w:tc>
          <w:tcPr>
            <w:tcW w:w="2443" w:type="dxa"/>
            <w:vAlign w:val="top"/>
          </w:tcPr>
          <w:p w14:paraId="219704AB">
            <w:pPr>
              <w:spacing w:line="262" w:lineRule="auto"/>
              <w:rPr>
                <w:rFonts w:ascii="Arial"/>
                <w:color w:val="auto"/>
                <w:sz w:val="21"/>
                <w:highlight w:val="none"/>
              </w:rPr>
            </w:pPr>
          </w:p>
          <w:p w14:paraId="166A0C4D">
            <w:pPr>
              <w:spacing w:line="262" w:lineRule="auto"/>
              <w:rPr>
                <w:rFonts w:ascii="Arial"/>
                <w:color w:val="auto"/>
                <w:sz w:val="21"/>
                <w:highlight w:val="none"/>
              </w:rPr>
            </w:pPr>
          </w:p>
          <w:p w14:paraId="3C4D4B9A">
            <w:pPr>
              <w:pStyle w:val="17"/>
              <w:spacing w:before="69" w:line="414" w:lineRule="auto"/>
              <w:ind w:left="281" w:right="119" w:hanging="168"/>
              <w:rPr>
                <w:color w:val="auto"/>
                <w:highlight w:val="none"/>
              </w:rPr>
            </w:pPr>
            <w:r>
              <w:rPr>
                <w:color w:val="auto"/>
                <w:spacing w:val="-10"/>
                <w:highlight w:val="none"/>
              </w:rPr>
              <w:t>投标文件第一个信封（商</w:t>
            </w:r>
            <w:r>
              <w:rPr>
                <w:color w:val="auto"/>
                <w:spacing w:val="-1"/>
                <w:highlight w:val="none"/>
              </w:rPr>
              <w:t>务及技术文件）开标</w:t>
            </w:r>
          </w:p>
        </w:tc>
        <w:tc>
          <w:tcPr>
            <w:tcW w:w="5664" w:type="dxa"/>
            <w:vAlign w:val="top"/>
          </w:tcPr>
          <w:p w14:paraId="0ADF6D69">
            <w:pPr>
              <w:pStyle w:val="17"/>
              <w:spacing w:before="128" w:line="382" w:lineRule="auto"/>
              <w:ind w:left="112" w:right="97" w:firstLine="6"/>
              <w:jc w:val="both"/>
              <w:rPr>
                <w:color w:val="auto"/>
                <w:highlight w:val="none"/>
              </w:rPr>
            </w:pPr>
            <w:r>
              <w:rPr>
                <w:color w:val="auto"/>
                <w:spacing w:val="3"/>
                <w:highlight w:val="none"/>
              </w:rPr>
              <w:t>（6）投标人解密。招标人应在第一个信封（商务及技术文</w:t>
            </w:r>
            <w:r>
              <w:rPr>
                <w:color w:val="auto"/>
                <w:spacing w:val="-1"/>
                <w:highlight w:val="none"/>
              </w:rPr>
              <w:t>件）开标现场宣布解密的开始时间，投标人应在系统通知解</w:t>
            </w:r>
            <w:r>
              <w:rPr>
                <w:color w:val="auto"/>
                <w:spacing w:val="2"/>
                <w:highlight w:val="none"/>
              </w:rPr>
              <w:t>密开始后</w:t>
            </w:r>
            <w:r>
              <w:rPr>
                <w:color w:val="auto"/>
                <w:spacing w:val="-91"/>
                <w:highlight w:val="none"/>
              </w:rPr>
              <w:t xml:space="preserve"> </w:t>
            </w:r>
            <w:r>
              <w:rPr>
                <w:color w:val="auto"/>
                <w:spacing w:val="3"/>
                <w:highlight w:val="none"/>
                <w:u w:val="single" w:color="auto"/>
              </w:rPr>
              <w:t xml:space="preserve"> </w:t>
            </w:r>
            <w:r>
              <w:rPr>
                <w:rFonts w:hint="eastAsia"/>
                <w:color w:val="auto"/>
                <w:spacing w:val="3"/>
                <w:highlight w:val="none"/>
                <w:u w:val="single" w:color="auto"/>
                <w:lang w:val="en-US" w:eastAsia="zh-CN"/>
              </w:rPr>
              <w:t>60</w:t>
            </w:r>
            <w:r>
              <w:rPr>
                <w:color w:val="auto"/>
                <w:spacing w:val="3"/>
                <w:highlight w:val="none"/>
                <w:u w:val="single" w:color="auto"/>
              </w:rPr>
              <w:t xml:space="preserve"> </w:t>
            </w:r>
            <w:r>
              <w:rPr>
                <w:color w:val="auto"/>
                <w:spacing w:val="-93"/>
                <w:highlight w:val="none"/>
              </w:rPr>
              <w:t xml:space="preserve"> </w:t>
            </w:r>
            <w:r>
              <w:rPr>
                <w:color w:val="auto"/>
                <w:spacing w:val="2"/>
                <w:highlight w:val="none"/>
              </w:rPr>
              <w:t>分钟内对所递交的第一个信封（商务及技术</w:t>
            </w:r>
            <w:r>
              <w:rPr>
                <w:color w:val="auto"/>
                <w:spacing w:val="-5"/>
                <w:highlight w:val="none"/>
              </w:rPr>
              <w:t>文件）进行解密。</w:t>
            </w:r>
          </w:p>
        </w:tc>
      </w:tr>
      <w:tr w14:paraId="5BDCD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1185" w:type="dxa"/>
            <w:vAlign w:val="top"/>
          </w:tcPr>
          <w:p w14:paraId="1FA25DF5">
            <w:pPr>
              <w:spacing w:line="252" w:lineRule="auto"/>
              <w:rPr>
                <w:rFonts w:ascii="Arial"/>
                <w:color w:val="auto"/>
                <w:sz w:val="21"/>
                <w:highlight w:val="none"/>
              </w:rPr>
            </w:pPr>
          </w:p>
          <w:p w14:paraId="265BCD2D">
            <w:pPr>
              <w:spacing w:line="253" w:lineRule="auto"/>
              <w:rPr>
                <w:rFonts w:ascii="Arial"/>
                <w:color w:val="auto"/>
                <w:sz w:val="21"/>
                <w:highlight w:val="none"/>
              </w:rPr>
            </w:pPr>
          </w:p>
          <w:p w14:paraId="43CBEE58">
            <w:pPr>
              <w:spacing w:line="253" w:lineRule="auto"/>
              <w:rPr>
                <w:rFonts w:ascii="Arial"/>
                <w:color w:val="auto"/>
                <w:sz w:val="21"/>
                <w:highlight w:val="none"/>
              </w:rPr>
            </w:pPr>
          </w:p>
          <w:p w14:paraId="4622964D">
            <w:pPr>
              <w:pStyle w:val="17"/>
              <w:spacing w:before="68" w:line="239" w:lineRule="auto"/>
              <w:ind w:left="338"/>
              <w:rPr>
                <w:color w:val="auto"/>
                <w:highlight w:val="none"/>
              </w:rPr>
            </w:pPr>
            <w:r>
              <w:rPr>
                <w:color w:val="auto"/>
                <w:spacing w:val="-3"/>
                <w:highlight w:val="none"/>
              </w:rPr>
              <w:t>5.2.3</w:t>
            </w:r>
          </w:p>
        </w:tc>
        <w:tc>
          <w:tcPr>
            <w:tcW w:w="2443" w:type="dxa"/>
            <w:vAlign w:val="top"/>
          </w:tcPr>
          <w:p w14:paraId="0A3A531A">
            <w:pPr>
              <w:spacing w:line="262" w:lineRule="auto"/>
              <w:rPr>
                <w:rFonts w:ascii="Arial"/>
                <w:color w:val="auto"/>
                <w:sz w:val="21"/>
                <w:highlight w:val="none"/>
              </w:rPr>
            </w:pPr>
          </w:p>
          <w:p w14:paraId="4104034F">
            <w:pPr>
              <w:spacing w:line="263" w:lineRule="auto"/>
              <w:rPr>
                <w:rFonts w:ascii="Arial"/>
                <w:color w:val="auto"/>
                <w:sz w:val="21"/>
                <w:highlight w:val="none"/>
              </w:rPr>
            </w:pPr>
          </w:p>
          <w:p w14:paraId="4A62ACD8">
            <w:pPr>
              <w:pStyle w:val="17"/>
              <w:spacing w:before="68" w:line="413" w:lineRule="auto"/>
              <w:ind w:left="596" w:right="115" w:hanging="483"/>
              <w:rPr>
                <w:color w:val="auto"/>
                <w:highlight w:val="none"/>
              </w:rPr>
            </w:pPr>
            <w:r>
              <w:rPr>
                <w:color w:val="auto"/>
                <w:spacing w:val="-10"/>
                <w:highlight w:val="none"/>
              </w:rPr>
              <w:t>投标文件第二个信封（报</w:t>
            </w:r>
            <w:r>
              <w:rPr>
                <w:color w:val="auto"/>
                <w:spacing w:val="-2"/>
                <w:highlight w:val="none"/>
              </w:rPr>
              <w:t>价文件）开标</w:t>
            </w:r>
          </w:p>
        </w:tc>
        <w:tc>
          <w:tcPr>
            <w:tcW w:w="5664" w:type="dxa"/>
            <w:vAlign w:val="top"/>
          </w:tcPr>
          <w:p w14:paraId="62F17B2F">
            <w:pPr>
              <w:pStyle w:val="17"/>
              <w:spacing w:before="127" w:line="382" w:lineRule="auto"/>
              <w:ind w:left="112" w:right="105" w:firstLine="6"/>
              <w:jc w:val="both"/>
              <w:rPr>
                <w:color w:val="auto"/>
                <w:highlight w:val="none"/>
              </w:rPr>
            </w:pPr>
            <w:r>
              <w:rPr>
                <w:color w:val="auto"/>
                <w:spacing w:val="3"/>
                <w:highlight w:val="none"/>
              </w:rPr>
              <w:t>（7）投标人解密。招标人宣布第二个信封（报价文件）解</w:t>
            </w:r>
            <w:r>
              <w:rPr>
                <w:color w:val="auto"/>
                <w:spacing w:val="2"/>
                <w:highlight w:val="none"/>
              </w:rPr>
              <w:t>密开始时间，投标人应在系统通知解密开始后</w:t>
            </w:r>
            <w:r>
              <w:rPr>
                <w:color w:val="auto"/>
                <w:spacing w:val="2"/>
                <w:highlight w:val="none"/>
                <w:u w:val="single" w:color="auto"/>
              </w:rPr>
              <w:t xml:space="preserve"> </w:t>
            </w:r>
            <w:r>
              <w:rPr>
                <w:rFonts w:hint="eastAsia"/>
                <w:color w:val="auto"/>
                <w:spacing w:val="2"/>
                <w:highlight w:val="none"/>
                <w:u w:val="single" w:color="auto"/>
                <w:lang w:val="en-US" w:eastAsia="zh-CN"/>
              </w:rPr>
              <w:t>60</w:t>
            </w:r>
            <w:r>
              <w:rPr>
                <w:color w:val="auto"/>
                <w:spacing w:val="2"/>
                <w:highlight w:val="none"/>
                <w:u w:val="single" w:color="auto"/>
              </w:rPr>
              <w:t xml:space="preserve"> </w:t>
            </w:r>
            <w:r>
              <w:rPr>
                <w:color w:val="auto"/>
                <w:spacing w:val="-77"/>
                <w:highlight w:val="none"/>
              </w:rPr>
              <w:t xml:space="preserve"> </w:t>
            </w:r>
            <w:r>
              <w:rPr>
                <w:color w:val="auto"/>
                <w:spacing w:val="2"/>
                <w:highlight w:val="none"/>
              </w:rPr>
              <w:t>分钟内</w:t>
            </w:r>
            <w:r>
              <w:rPr>
                <w:color w:val="auto"/>
                <w:spacing w:val="-1"/>
                <w:highlight w:val="none"/>
              </w:rPr>
              <w:t>对通过第一个信封（商务及技术文件）评审的对应标段的第</w:t>
            </w:r>
            <w:r>
              <w:rPr>
                <w:color w:val="auto"/>
                <w:spacing w:val="-3"/>
                <w:highlight w:val="none"/>
              </w:rPr>
              <w:t>二个信封（报价文件）进行解密。</w:t>
            </w:r>
          </w:p>
        </w:tc>
      </w:tr>
      <w:tr w14:paraId="47A6C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185" w:type="dxa"/>
            <w:vAlign w:val="top"/>
          </w:tcPr>
          <w:p w14:paraId="4A975D01">
            <w:pPr>
              <w:spacing w:line="335" w:lineRule="auto"/>
              <w:rPr>
                <w:rFonts w:ascii="Arial"/>
                <w:color w:val="auto"/>
                <w:sz w:val="21"/>
                <w:highlight w:val="none"/>
              </w:rPr>
            </w:pPr>
          </w:p>
          <w:p w14:paraId="27067A34">
            <w:pPr>
              <w:pStyle w:val="17"/>
              <w:spacing w:before="68" w:line="239" w:lineRule="auto"/>
              <w:ind w:left="336"/>
              <w:rPr>
                <w:color w:val="auto"/>
                <w:highlight w:val="none"/>
              </w:rPr>
            </w:pPr>
            <w:r>
              <w:rPr>
                <w:color w:val="auto"/>
                <w:spacing w:val="-2"/>
                <w:highlight w:val="none"/>
              </w:rPr>
              <w:t>6.1.1</w:t>
            </w:r>
          </w:p>
        </w:tc>
        <w:tc>
          <w:tcPr>
            <w:tcW w:w="2443" w:type="dxa"/>
            <w:vAlign w:val="top"/>
          </w:tcPr>
          <w:p w14:paraId="06391F4B">
            <w:pPr>
              <w:spacing w:line="327" w:lineRule="auto"/>
              <w:rPr>
                <w:rFonts w:ascii="Arial"/>
                <w:color w:val="auto"/>
                <w:sz w:val="21"/>
                <w:highlight w:val="none"/>
              </w:rPr>
            </w:pPr>
          </w:p>
          <w:p w14:paraId="2E597F5B">
            <w:pPr>
              <w:pStyle w:val="17"/>
              <w:spacing w:before="68" w:line="233" w:lineRule="auto"/>
              <w:ind w:left="331"/>
              <w:rPr>
                <w:color w:val="auto"/>
                <w:sz w:val="10"/>
                <w:szCs w:val="10"/>
                <w:highlight w:val="none"/>
              </w:rPr>
            </w:pPr>
            <w:r>
              <w:rPr>
                <w:color w:val="auto"/>
                <w:spacing w:val="-1"/>
                <w:highlight w:val="none"/>
              </w:rPr>
              <w:t>评标委员会的组建</w:t>
            </w:r>
          </w:p>
        </w:tc>
        <w:tc>
          <w:tcPr>
            <w:tcW w:w="5664" w:type="dxa"/>
            <w:vAlign w:val="top"/>
          </w:tcPr>
          <w:p w14:paraId="6BFF5A5E">
            <w:pPr>
              <w:pStyle w:val="17"/>
              <w:spacing w:line="233" w:lineRule="auto"/>
              <w:ind w:left="119"/>
              <w:rPr>
                <w:color w:val="auto"/>
                <w:highlight w:val="none"/>
              </w:rPr>
            </w:pPr>
            <w:r>
              <w:rPr>
                <w:color w:val="auto"/>
                <w:spacing w:val="-1"/>
                <w:highlight w:val="none"/>
              </w:rPr>
              <w:t>评标委员会构成：</w:t>
            </w:r>
            <w:r>
              <w:rPr>
                <w:rFonts w:hint="eastAsia" w:ascii="宋体" w:hAnsi="宋体" w:eastAsia="宋体" w:cs="宋体"/>
                <w:color w:val="auto"/>
                <w:kern w:val="0"/>
                <w:sz w:val="21"/>
                <w:szCs w:val="21"/>
                <w:highlight w:val="none"/>
                <w:u w:val="single"/>
                <w:lang w:val="en-US" w:eastAsia="zh-CN"/>
              </w:rPr>
              <w:t>9</w:t>
            </w:r>
            <w:r>
              <w:rPr>
                <w:rFonts w:hint="eastAsia" w:ascii="宋体" w:hAnsi="宋体" w:cs="宋体"/>
                <w:color w:val="auto"/>
                <w:kern w:val="2"/>
                <w:sz w:val="21"/>
                <w:szCs w:val="21"/>
                <w:highlight w:val="none"/>
                <w:lang w:val="en-US" w:eastAsia="zh-CN"/>
              </w:rPr>
              <w:t>人，其中招标人代表</w:t>
            </w:r>
            <w:r>
              <w:rPr>
                <w:rFonts w:hint="eastAsia" w:ascii="宋体" w:hAnsi="宋体" w:cs="宋体"/>
                <w:color w:val="auto"/>
                <w:kern w:val="2"/>
                <w:sz w:val="21"/>
                <w:szCs w:val="21"/>
                <w:highlight w:val="none"/>
                <w:u w:val="single"/>
                <w:lang w:val="en-US" w:eastAsia="zh-CN"/>
              </w:rPr>
              <w:t>3</w:t>
            </w:r>
            <w:r>
              <w:rPr>
                <w:rFonts w:hint="eastAsia" w:ascii="宋体" w:hAnsi="宋体" w:cs="宋体"/>
                <w:color w:val="auto"/>
                <w:kern w:val="2"/>
                <w:sz w:val="21"/>
                <w:szCs w:val="21"/>
                <w:highlight w:val="none"/>
                <w:lang w:val="en-US" w:eastAsia="zh-CN"/>
              </w:rPr>
              <w:t>人，评标专家</w:t>
            </w:r>
            <w:r>
              <w:rPr>
                <w:rFonts w:hint="default" w:ascii="宋体" w:hAnsi="宋体" w:cs="宋体"/>
                <w:color w:val="auto"/>
                <w:kern w:val="2"/>
                <w:sz w:val="21"/>
                <w:szCs w:val="21"/>
                <w:highlight w:val="none"/>
                <w:u w:val="single"/>
                <w:lang w:val="en-US" w:eastAsia="zh-CN"/>
              </w:rPr>
              <w:t>6</w:t>
            </w:r>
            <w:r>
              <w:rPr>
                <w:rFonts w:hint="eastAsia" w:ascii="宋体" w:hAnsi="宋体" w:cs="宋体"/>
                <w:color w:val="auto"/>
                <w:kern w:val="2"/>
                <w:sz w:val="21"/>
                <w:szCs w:val="21"/>
                <w:highlight w:val="none"/>
                <w:lang w:val="en-US" w:eastAsia="zh-CN"/>
              </w:rPr>
              <w:t>人</w:t>
            </w:r>
            <w:r>
              <w:rPr>
                <w:color w:val="auto"/>
                <w:spacing w:val="-6"/>
                <w:highlight w:val="none"/>
              </w:rPr>
              <w:t>。</w:t>
            </w:r>
          </w:p>
          <w:p w14:paraId="242114BE">
            <w:pPr>
              <w:pStyle w:val="17"/>
              <w:spacing w:line="218" w:lineRule="auto"/>
              <w:ind w:left="112"/>
              <w:rPr>
                <w:color w:val="auto"/>
                <w:highlight w:val="none"/>
              </w:rPr>
            </w:pPr>
            <w:r>
              <w:rPr>
                <w:color w:val="auto"/>
                <w:spacing w:val="-2"/>
                <w:highlight w:val="none"/>
              </w:rPr>
              <w:t>评标专家确定方式：依法从相应评标专家库中随机抽取。</w:t>
            </w:r>
          </w:p>
        </w:tc>
      </w:tr>
      <w:tr w14:paraId="5E38C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644E9D1D">
            <w:pPr>
              <w:spacing w:line="271" w:lineRule="auto"/>
              <w:rPr>
                <w:rFonts w:ascii="Arial"/>
                <w:color w:val="auto"/>
                <w:sz w:val="21"/>
                <w:highlight w:val="none"/>
              </w:rPr>
            </w:pPr>
          </w:p>
          <w:p w14:paraId="3E2936AE">
            <w:pPr>
              <w:pStyle w:val="17"/>
              <w:spacing w:before="68" w:line="239" w:lineRule="auto"/>
              <w:ind w:left="336"/>
              <w:rPr>
                <w:color w:val="auto"/>
                <w:highlight w:val="none"/>
              </w:rPr>
            </w:pPr>
            <w:r>
              <w:rPr>
                <w:color w:val="auto"/>
                <w:spacing w:val="-2"/>
                <w:highlight w:val="none"/>
              </w:rPr>
              <w:t>6.3.2</w:t>
            </w:r>
          </w:p>
        </w:tc>
        <w:tc>
          <w:tcPr>
            <w:tcW w:w="2443" w:type="dxa"/>
            <w:vAlign w:val="top"/>
          </w:tcPr>
          <w:p w14:paraId="18D9CDF2">
            <w:pPr>
              <w:pStyle w:val="17"/>
              <w:spacing w:before="141" w:line="287" w:lineRule="auto"/>
              <w:ind w:left="698" w:right="170" w:hanging="524"/>
              <w:rPr>
                <w:color w:val="auto"/>
                <w:highlight w:val="none"/>
              </w:rPr>
            </w:pPr>
            <w:r>
              <w:rPr>
                <w:color w:val="auto"/>
                <w:spacing w:val="-1"/>
                <w:highlight w:val="none"/>
              </w:rPr>
              <w:t>评标委员会推荐中标候</w:t>
            </w:r>
            <w:r>
              <w:rPr>
                <w:color w:val="auto"/>
                <w:spacing w:val="-2"/>
                <w:highlight w:val="none"/>
              </w:rPr>
              <w:t>选人的人数</w:t>
            </w:r>
          </w:p>
        </w:tc>
        <w:tc>
          <w:tcPr>
            <w:tcW w:w="5664" w:type="dxa"/>
            <w:vAlign w:val="top"/>
          </w:tcPr>
          <w:p w14:paraId="002F49C6">
            <w:pPr>
              <w:spacing w:line="256" w:lineRule="auto"/>
              <w:rPr>
                <w:rFonts w:ascii="Arial"/>
                <w:color w:val="auto"/>
                <w:sz w:val="21"/>
                <w:highlight w:val="none"/>
              </w:rPr>
            </w:pPr>
          </w:p>
          <w:p w14:paraId="1FA48DD4">
            <w:pPr>
              <w:pStyle w:val="17"/>
              <w:spacing w:before="68" w:line="232" w:lineRule="auto"/>
              <w:ind w:left="118"/>
              <w:rPr>
                <w:rFonts w:hint="eastAsia" w:eastAsia="宋体"/>
                <w:color w:val="auto"/>
                <w:highlight w:val="none"/>
                <w:lang w:eastAsia="zh-CN"/>
              </w:rPr>
            </w:pPr>
            <w:r>
              <w:rPr>
                <w:rFonts w:hint="eastAsia" w:ascii="宋体" w:hAnsi="宋体" w:eastAsia="宋体" w:cs="宋体"/>
                <w:color w:val="auto"/>
                <w:sz w:val="21"/>
                <w:szCs w:val="21"/>
                <w:highlight w:val="none"/>
              </w:rPr>
              <w:t>推荐的中标候选人的人数为3名</w:t>
            </w:r>
            <w:r>
              <w:rPr>
                <w:rFonts w:hint="eastAsia" w:ascii="宋体" w:hAnsi="宋体" w:eastAsia="宋体" w:cs="宋体"/>
                <w:color w:val="auto"/>
                <w:sz w:val="21"/>
                <w:szCs w:val="21"/>
                <w:highlight w:val="none"/>
                <w:lang w:eastAsia="zh-CN"/>
              </w:rPr>
              <w:t>。</w:t>
            </w:r>
          </w:p>
        </w:tc>
      </w:tr>
      <w:tr w14:paraId="1CB3A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1185" w:type="dxa"/>
            <w:vAlign w:val="top"/>
          </w:tcPr>
          <w:p w14:paraId="01391EAF">
            <w:pPr>
              <w:spacing w:line="266" w:lineRule="auto"/>
              <w:rPr>
                <w:rFonts w:ascii="Arial"/>
                <w:color w:val="auto"/>
                <w:sz w:val="21"/>
                <w:highlight w:val="none"/>
              </w:rPr>
            </w:pPr>
          </w:p>
          <w:p w14:paraId="5D0A60D6">
            <w:pPr>
              <w:spacing w:line="267" w:lineRule="auto"/>
              <w:rPr>
                <w:rFonts w:ascii="Arial"/>
                <w:color w:val="auto"/>
                <w:sz w:val="21"/>
                <w:highlight w:val="none"/>
              </w:rPr>
            </w:pPr>
          </w:p>
          <w:p w14:paraId="3E19355E">
            <w:pPr>
              <w:spacing w:line="267" w:lineRule="auto"/>
              <w:rPr>
                <w:rFonts w:ascii="Arial"/>
                <w:color w:val="auto"/>
                <w:sz w:val="21"/>
                <w:highlight w:val="none"/>
              </w:rPr>
            </w:pPr>
          </w:p>
          <w:p w14:paraId="44A018A7">
            <w:pPr>
              <w:spacing w:line="267" w:lineRule="auto"/>
              <w:rPr>
                <w:rFonts w:ascii="Arial"/>
                <w:color w:val="auto"/>
                <w:sz w:val="21"/>
                <w:highlight w:val="none"/>
              </w:rPr>
            </w:pPr>
          </w:p>
          <w:p w14:paraId="08D8E162">
            <w:pPr>
              <w:pStyle w:val="17"/>
              <w:spacing w:before="69" w:line="239" w:lineRule="auto"/>
              <w:ind w:left="445"/>
              <w:rPr>
                <w:color w:val="auto"/>
                <w:highlight w:val="none"/>
              </w:rPr>
            </w:pPr>
            <w:r>
              <w:rPr>
                <w:color w:val="auto"/>
                <w:spacing w:val="-5"/>
                <w:highlight w:val="none"/>
              </w:rPr>
              <w:t>7.1</w:t>
            </w:r>
          </w:p>
        </w:tc>
        <w:tc>
          <w:tcPr>
            <w:tcW w:w="2443" w:type="dxa"/>
            <w:vAlign w:val="top"/>
          </w:tcPr>
          <w:p w14:paraId="7B79AC11">
            <w:pPr>
              <w:spacing w:line="289" w:lineRule="auto"/>
              <w:rPr>
                <w:rFonts w:ascii="Arial"/>
                <w:color w:val="auto"/>
                <w:sz w:val="21"/>
                <w:highlight w:val="none"/>
              </w:rPr>
            </w:pPr>
          </w:p>
          <w:p w14:paraId="385A7ED2">
            <w:pPr>
              <w:spacing w:line="289" w:lineRule="auto"/>
              <w:rPr>
                <w:rFonts w:ascii="Arial"/>
                <w:color w:val="auto"/>
                <w:sz w:val="21"/>
                <w:highlight w:val="none"/>
              </w:rPr>
            </w:pPr>
          </w:p>
          <w:p w14:paraId="7988E466">
            <w:pPr>
              <w:spacing w:line="290" w:lineRule="auto"/>
              <w:rPr>
                <w:rFonts w:ascii="Arial"/>
                <w:color w:val="auto"/>
                <w:sz w:val="21"/>
                <w:highlight w:val="none"/>
              </w:rPr>
            </w:pPr>
          </w:p>
          <w:p w14:paraId="7186BABD">
            <w:pPr>
              <w:pStyle w:val="17"/>
              <w:spacing w:before="68" w:line="219" w:lineRule="auto"/>
              <w:ind w:left="195"/>
              <w:rPr>
                <w:color w:val="auto"/>
                <w:highlight w:val="none"/>
              </w:rPr>
            </w:pPr>
            <w:r>
              <w:rPr>
                <w:color w:val="auto"/>
                <w:spacing w:val="-3"/>
                <w:highlight w:val="none"/>
              </w:rPr>
              <w:t>中标候选人公示媒介及</w:t>
            </w:r>
          </w:p>
          <w:p w14:paraId="72D85DC9">
            <w:pPr>
              <w:pStyle w:val="17"/>
              <w:spacing w:before="150" w:line="220" w:lineRule="auto"/>
              <w:ind w:left="1017"/>
              <w:rPr>
                <w:color w:val="auto"/>
                <w:highlight w:val="none"/>
              </w:rPr>
            </w:pPr>
            <w:r>
              <w:rPr>
                <w:color w:val="auto"/>
                <w:spacing w:val="-3"/>
                <w:highlight w:val="none"/>
              </w:rPr>
              <w:t>期限</w:t>
            </w:r>
          </w:p>
        </w:tc>
        <w:tc>
          <w:tcPr>
            <w:tcW w:w="5664" w:type="dxa"/>
            <w:vAlign w:val="top"/>
          </w:tcPr>
          <w:p w14:paraId="4FB6A1F9">
            <w:pPr>
              <w:pStyle w:val="17"/>
              <w:spacing w:line="233" w:lineRule="auto"/>
              <w:ind w:left="119"/>
              <w:rPr>
                <w:rFonts w:hint="eastAsia"/>
                <w:color w:val="auto"/>
                <w:spacing w:val="-5"/>
                <w:highlight w:val="none"/>
                <w:u w:val="single" w:color="auto"/>
              </w:rPr>
            </w:pPr>
            <w:r>
              <w:rPr>
                <w:color w:val="auto"/>
                <w:spacing w:val="-5"/>
                <w:highlight w:val="none"/>
              </w:rPr>
              <w:t>公示媒介：广东省招标投标监管网、</w:t>
            </w:r>
            <w:r>
              <w:rPr>
                <w:color w:val="auto"/>
                <w:spacing w:val="-5"/>
                <w:highlight w:val="none"/>
                <w:u w:val="single" w:color="auto"/>
              </w:rPr>
              <w:t xml:space="preserve"> </w:t>
            </w:r>
            <w:r>
              <w:rPr>
                <w:rFonts w:hint="eastAsia"/>
                <w:color w:val="auto"/>
                <w:spacing w:val="-5"/>
                <w:highlight w:val="none"/>
                <w:u w:val="single" w:color="auto"/>
                <w:lang w:val="en-US" w:eastAsia="zh-CN"/>
              </w:rPr>
              <w:t>广州交易集团有限公司（广州公共资源交易中心）</w:t>
            </w:r>
            <w:r>
              <w:rPr>
                <w:rFonts w:hint="eastAsia"/>
                <w:color w:val="auto"/>
                <w:spacing w:val="-5"/>
                <w:highlight w:val="none"/>
                <w:u w:val="single" w:color="auto"/>
              </w:rPr>
              <w:t>、中国招标投标公共服务平台</w:t>
            </w:r>
          </w:p>
          <w:p w14:paraId="1F0FD9DC">
            <w:pPr>
              <w:pStyle w:val="17"/>
              <w:spacing w:line="233" w:lineRule="auto"/>
              <w:ind w:left="119"/>
              <w:rPr>
                <w:rFonts w:hint="eastAsia"/>
                <w:color w:val="auto"/>
                <w:spacing w:val="-7"/>
                <w:highlight w:val="none"/>
              </w:rPr>
            </w:pPr>
            <w:r>
              <w:rPr>
                <w:color w:val="auto"/>
                <w:spacing w:val="-7"/>
                <w:highlight w:val="none"/>
              </w:rPr>
              <w:t>公示期限：</w:t>
            </w:r>
            <w:r>
              <w:rPr>
                <w:color w:val="auto"/>
                <w:spacing w:val="-7"/>
                <w:highlight w:val="none"/>
                <w:u w:val="single" w:color="auto"/>
              </w:rPr>
              <w:t>3</w:t>
            </w:r>
            <w:r>
              <w:rPr>
                <w:color w:val="auto"/>
                <w:spacing w:val="-53"/>
                <w:highlight w:val="none"/>
                <w:u w:val="single" w:color="auto"/>
              </w:rPr>
              <w:t xml:space="preserve"> </w:t>
            </w:r>
            <w:r>
              <w:rPr>
                <w:color w:val="auto"/>
                <w:spacing w:val="-61"/>
                <w:highlight w:val="none"/>
              </w:rPr>
              <w:t xml:space="preserve"> </w:t>
            </w:r>
            <w:r>
              <w:rPr>
                <w:color w:val="auto"/>
                <w:spacing w:val="-7"/>
                <w:highlight w:val="none"/>
              </w:rPr>
              <w:t>日</w:t>
            </w:r>
            <w:r>
              <w:rPr>
                <w:rFonts w:hint="eastAsia"/>
                <w:color w:val="auto"/>
                <w:spacing w:val="-7"/>
                <w:highlight w:val="none"/>
                <w:lang w:eastAsia="zh-CN"/>
              </w:rPr>
              <w:t>（</w:t>
            </w:r>
            <w:r>
              <w:rPr>
                <w:rFonts w:hint="eastAsia"/>
                <w:color w:val="auto"/>
                <w:spacing w:val="-7"/>
                <w:highlight w:val="none"/>
              </w:rPr>
              <w:t>公示期间的最后一日是法定休假日的，公示期限应当延长至法定休假日结束的次日</w:t>
            </w:r>
            <w:r>
              <w:rPr>
                <w:rFonts w:hint="eastAsia"/>
                <w:color w:val="auto"/>
                <w:spacing w:val="-7"/>
                <w:highlight w:val="none"/>
                <w:lang w:eastAsia="zh-CN"/>
              </w:rPr>
              <w:t>）</w:t>
            </w:r>
            <w:r>
              <w:rPr>
                <w:rFonts w:hint="eastAsia"/>
                <w:color w:val="auto"/>
                <w:spacing w:val="-7"/>
                <w:highlight w:val="none"/>
              </w:rPr>
              <w:t>。</w:t>
            </w:r>
          </w:p>
          <w:p w14:paraId="729F4F99">
            <w:pPr>
              <w:pStyle w:val="17"/>
              <w:spacing w:line="233" w:lineRule="auto"/>
              <w:ind w:left="119"/>
              <w:rPr>
                <w:color w:val="auto"/>
                <w:highlight w:val="none"/>
              </w:rPr>
            </w:pPr>
            <w:r>
              <w:rPr>
                <w:color w:val="auto"/>
                <w:spacing w:val="-2"/>
                <w:highlight w:val="none"/>
              </w:rPr>
              <w:t>公示的其他内容</w:t>
            </w:r>
            <w:r>
              <w:rPr>
                <w:color w:val="auto"/>
                <w:spacing w:val="-10"/>
                <w:position w:val="10"/>
                <w:sz w:val="10"/>
                <w:szCs w:val="10"/>
                <w:highlight w:val="none"/>
              </w:rPr>
              <w:t xml:space="preserve"> </w:t>
            </w:r>
            <w:r>
              <w:rPr>
                <w:color w:val="auto"/>
                <w:spacing w:val="-2"/>
                <w:highlight w:val="none"/>
              </w:rPr>
              <w:t>：</w:t>
            </w:r>
            <w:r>
              <w:rPr>
                <w:color w:val="auto"/>
                <w:spacing w:val="-2"/>
                <w:highlight w:val="none"/>
                <w:u w:val="single" w:color="auto"/>
              </w:rPr>
              <w:t>中标候选人的投标文件、评标报告（含资审结果）、最新年度</w:t>
            </w:r>
            <w:r>
              <w:rPr>
                <w:color w:val="auto"/>
                <w:spacing w:val="-33"/>
                <w:highlight w:val="none"/>
                <w:u w:val="single" w:color="auto"/>
              </w:rPr>
              <w:t xml:space="preserve"> </w:t>
            </w:r>
            <w:r>
              <w:rPr>
                <w:color w:val="auto"/>
                <w:spacing w:val="-2"/>
                <w:highlight w:val="none"/>
                <w:u w:val="single" w:color="auto"/>
              </w:rPr>
              <w:t>AA、A</w:t>
            </w:r>
            <w:r>
              <w:rPr>
                <w:color w:val="auto"/>
                <w:spacing w:val="-41"/>
                <w:highlight w:val="none"/>
                <w:u w:val="single" w:color="auto"/>
              </w:rPr>
              <w:t xml:space="preserve"> </w:t>
            </w:r>
            <w:r>
              <w:rPr>
                <w:color w:val="auto"/>
                <w:spacing w:val="-2"/>
                <w:highlight w:val="none"/>
                <w:u w:val="single" w:color="auto"/>
              </w:rPr>
              <w:t>级投标人的信用等级使用情况</w:t>
            </w:r>
            <w:r>
              <w:rPr>
                <w:color w:val="auto"/>
                <w:spacing w:val="-1"/>
                <w:highlight w:val="none"/>
                <w:u w:val="single" w:color="auto"/>
              </w:rPr>
              <w:t>及所有承诺使用最新年度</w:t>
            </w:r>
            <w:r>
              <w:rPr>
                <w:color w:val="auto"/>
                <w:spacing w:val="-52"/>
                <w:highlight w:val="none"/>
                <w:u w:val="single" w:color="auto"/>
              </w:rPr>
              <w:t xml:space="preserve"> </w:t>
            </w:r>
            <w:r>
              <w:rPr>
                <w:color w:val="auto"/>
                <w:spacing w:val="-1"/>
                <w:highlight w:val="none"/>
                <w:u w:val="single" w:color="auto"/>
              </w:rPr>
              <w:t>AA、A</w:t>
            </w:r>
            <w:r>
              <w:rPr>
                <w:color w:val="auto"/>
                <w:spacing w:val="-40"/>
                <w:highlight w:val="none"/>
                <w:u w:val="single" w:color="auto"/>
              </w:rPr>
              <w:t xml:space="preserve"> </w:t>
            </w:r>
            <w:r>
              <w:rPr>
                <w:color w:val="auto"/>
                <w:spacing w:val="-1"/>
                <w:highlight w:val="none"/>
                <w:u w:val="single" w:color="auto"/>
              </w:rPr>
              <w:t>级投标人</w:t>
            </w:r>
            <w:r>
              <w:rPr>
                <w:color w:val="auto"/>
                <w:spacing w:val="-2"/>
                <w:highlight w:val="none"/>
                <w:u w:val="single" w:color="auto"/>
              </w:rPr>
              <w:t>的年度信用等级使</w:t>
            </w:r>
            <w:r>
              <w:rPr>
                <w:color w:val="auto"/>
                <w:spacing w:val="-3"/>
                <w:highlight w:val="none"/>
                <w:u w:val="single" w:color="auto"/>
              </w:rPr>
              <w:t>用情况</w:t>
            </w:r>
            <w:r>
              <w:rPr>
                <w:color w:val="auto"/>
                <w:spacing w:val="-3"/>
                <w:highlight w:val="none"/>
              </w:rPr>
              <w:t>。</w:t>
            </w:r>
          </w:p>
        </w:tc>
      </w:tr>
      <w:tr w14:paraId="5F391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85" w:type="dxa"/>
            <w:shd w:val="clear" w:color="auto" w:fill="auto"/>
            <w:vAlign w:val="top"/>
          </w:tcPr>
          <w:p w14:paraId="71FA2497">
            <w:pPr>
              <w:spacing w:line="268" w:lineRule="auto"/>
              <w:rPr>
                <w:rFonts w:ascii="Arial"/>
                <w:color w:val="auto"/>
                <w:sz w:val="21"/>
                <w:highlight w:val="none"/>
              </w:rPr>
            </w:pPr>
          </w:p>
          <w:p w14:paraId="25C440B8">
            <w:pPr>
              <w:pStyle w:val="17"/>
              <w:spacing w:before="68" w:line="239" w:lineRule="auto"/>
              <w:ind w:left="445" w:leftChars="0"/>
              <w:rPr>
                <w:rFonts w:ascii="宋体" w:hAnsi="宋体" w:eastAsia="宋体" w:cs="宋体"/>
                <w:snapToGrid w:val="0"/>
                <w:color w:val="auto"/>
                <w:kern w:val="0"/>
                <w:sz w:val="21"/>
                <w:szCs w:val="21"/>
                <w:highlight w:val="none"/>
                <w:lang w:val="en-US" w:eastAsia="en-US" w:bidi="ar-SA"/>
              </w:rPr>
            </w:pPr>
            <w:r>
              <w:rPr>
                <w:color w:val="auto"/>
                <w:spacing w:val="-5"/>
                <w:highlight w:val="none"/>
              </w:rPr>
              <w:t>7.4</w:t>
            </w:r>
          </w:p>
        </w:tc>
        <w:tc>
          <w:tcPr>
            <w:tcW w:w="2443" w:type="dxa"/>
            <w:shd w:val="clear" w:color="auto" w:fill="auto"/>
            <w:vAlign w:val="top"/>
          </w:tcPr>
          <w:p w14:paraId="24D541F6">
            <w:pPr>
              <w:pStyle w:val="17"/>
              <w:spacing w:before="138" w:line="288" w:lineRule="auto"/>
              <w:ind w:left="809" w:leftChars="0" w:right="170" w:rightChars="0" w:hanging="631" w:firstLineChars="0"/>
              <w:rPr>
                <w:rFonts w:ascii="宋体" w:hAnsi="宋体" w:eastAsia="宋体" w:cs="宋体"/>
                <w:snapToGrid w:val="0"/>
                <w:color w:val="auto"/>
                <w:kern w:val="0"/>
                <w:sz w:val="21"/>
                <w:szCs w:val="21"/>
                <w:highlight w:val="none"/>
                <w:lang w:val="en-US" w:eastAsia="en-US" w:bidi="ar-SA"/>
              </w:rPr>
            </w:pPr>
            <w:r>
              <w:rPr>
                <w:color w:val="auto"/>
                <w:spacing w:val="-2"/>
                <w:highlight w:val="none"/>
              </w:rPr>
              <w:t>是否授权评标委员会确</w:t>
            </w:r>
            <w:r>
              <w:rPr>
                <w:color w:val="auto"/>
                <w:spacing w:val="-3"/>
                <w:highlight w:val="none"/>
              </w:rPr>
              <w:t>定中标人</w:t>
            </w:r>
          </w:p>
        </w:tc>
        <w:tc>
          <w:tcPr>
            <w:tcW w:w="5664" w:type="dxa"/>
            <w:shd w:val="clear" w:color="auto" w:fill="auto"/>
            <w:vAlign w:val="top"/>
          </w:tcPr>
          <w:p w14:paraId="31C447AE">
            <w:pPr>
              <w:pStyle w:val="17"/>
              <w:spacing w:before="138" w:line="223" w:lineRule="auto"/>
              <w:ind w:left="134"/>
              <w:rPr>
                <w:color w:val="auto"/>
                <w:highlight w:val="none"/>
              </w:rPr>
            </w:pPr>
            <w:r>
              <w:rPr>
                <w:color w:val="auto"/>
                <w:spacing w:val="-8"/>
                <w:highlight w:val="none"/>
              </w:rPr>
              <w:t>□是</w:t>
            </w:r>
          </w:p>
          <w:p w14:paraId="4A270BAD">
            <w:pPr>
              <w:pStyle w:val="17"/>
              <w:spacing w:before="146" w:line="220" w:lineRule="auto"/>
              <w:ind w:left="134" w:leftChars="0"/>
              <w:rPr>
                <w:rFonts w:ascii="宋体" w:hAnsi="宋体" w:eastAsia="宋体" w:cs="宋体"/>
                <w:snapToGrid w:val="0"/>
                <w:color w:val="auto"/>
                <w:kern w:val="0"/>
                <w:sz w:val="21"/>
                <w:szCs w:val="21"/>
                <w:highlight w:val="none"/>
                <w:lang w:val="en-US" w:eastAsia="en-US" w:bidi="ar-SA"/>
              </w:rPr>
            </w:pPr>
            <w:r>
              <w:rPr>
                <w:rFonts w:hint="eastAsia"/>
                <w:color w:val="auto"/>
                <w:spacing w:val="-8"/>
                <w:highlight w:val="none"/>
                <w:lang w:eastAsia="zh-CN"/>
              </w:rPr>
              <w:t>☑</w:t>
            </w:r>
            <w:r>
              <w:rPr>
                <w:color w:val="auto"/>
                <w:spacing w:val="-8"/>
                <w:highlight w:val="none"/>
              </w:rPr>
              <w:t>否</w:t>
            </w:r>
          </w:p>
        </w:tc>
      </w:tr>
      <w:tr w14:paraId="033AA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85" w:type="dxa"/>
            <w:shd w:val="clear" w:color="auto" w:fill="auto"/>
            <w:vAlign w:val="top"/>
          </w:tcPr>
          <w:p w14:paraId="3D7B3A00">
            <w:pPr>
              <w:spacing w:line="349" w:lineRule="auto"/>
              <w:rPr>
                <w:rFonts w:ascii="Arial"/>
                <w:color w:val="auto"/>
                <w:sz w:val="21"/>
                <w:highlight w:val="none"/>
              </w:rPr>
            </w:pPr>
          </w:p>
          <w:p w14:paraId="361E66B3">
            <w:pPr>
              <w:pStyle w:val="17"/>
              <w:spacing w:before="68" w:line="239" w:lineRule="auto"/>
              <w:ind w:left="445" w:leftChars="0"/>
              <w:rPr>
                <w:rFonts w:ascii="宋体" w:hAnsi="宋体" w:eastAsia="宋体" w:cs="宋体"/>
                <w:snapToGrid w:val="0"/>
                <w:color w:val="auto"/>
                <w:kern w:val="0"/>
                <w:sz w:val="21"/>
                <w:szCs w:val="21"/>
                <w:highlight w:val="none"/>
                <w:lang w:val="en-US" w:eastAsia="en-US" w:bidi="ar-SA"/>
              </w:rPr>
            </w:pPr>
            <w:r>
              <w:rPr>
                <w:color w:val="auto"/>
                <w:spacing w:val="-5"/>
                <w:highlight w:val="none"/>
              </w:rPr>
              <w:t>7.5</w:t>
            </w:r>
          </w:p>
        </w:tc>
        <w:tc>
          <w:tcPr>
            <w:tcW w:w="2443" w:type="dxa"/>
            <w:shd w:val="clear" w:color="auto" w:fill="auto"/>
            <w:vAlign w:val="top"/>
          </w:tcPr>
          <w:p w14:paraId="2E560A7F">
            <w:pPr>
              <w:spacing w:line="249" w:lineRule="auto"/>
              <w:rPr>
                <w:rFonts w:ascii="Arial"/>
                <w:color w:val="auto"/>
                <w:sz w:val="21"/>
                <w:highlight w:val="none"/>
              </w:rPr>
            </w:pPr>
          </w:p>
          <w:p w14:paraId="0BF035CD">
            <w:pPr>
              <w:pStyle w:val="17"/>
              <w:spacing w:before="68" w:line="354" w:lineRule="auto"/>
              <w:ind w:left="489" w:leftChars="0" w:right="170" w:rightChars="0" w:hanging="294" w:firstLineChars="0"/>
              <w:rPr>
                <w:rFonts w:ascii="宋体" w:hAnsi="宋体" w:eastAsia="宋体" w:cs="宋体"/>
                <w:snapToGrid w:val="0"/>
                <w:color w:val="auto"/>
                <w:kern w:val="0"/>
                <w:sz w:val="21"/>
                <w:szCs w:val="21"/>
                <w:highlight w:val="none"/>
                <w:lang w:val="en-US" w:eastAsia="en-US" w:bidi="ar-SA"/>
              </w:rPr>
            </w:pPr>
            <w:r>
              <w:rPr>
                <w:color w:val="auto"/>
                <w:spacing w:val="-3"/>
                <w:highlight w:val="none"/>
              </w:rPr>
              <w:t>中标通知书和中标结果</w:t>
            </w:r>
            <w:r>
              <w:rPr>
                <w:color w:val="auto"/>
                <w:spacing w:val="-2"/>
                <w:highlight w:val="none"/>
              </w:rPr>
              <w:t>通知发出的形式</w:t>
            </w:r>
          </w:p>
        </w:tc>
        <w:tc>
          <w:tcPr>
            <w:tcW w:w="5664" w:type="dxa"/>
            <w:shd w:val="clear" w:color="auto" w:fill="auto"/>
            <w:vAlign w:val="top"/>
          </w:tcPr>
          <w:p w14:paraId="7568F0B3">
            <w:pPr>
              <w:pStyle w:val="17"/>
              <w:spacing w:before="139" w:line="352" w:lineRule="auto"/>
              <w:ind w:left="113" w:leftChars="0" w:right="194" w:rightChars="0"/>
              <w:rPr>
                <w:rFonts w:hint="eastAsia" w:ascii="宋体" w:hAnsi="宋体" w:eastAsia="宋体" w:cs="宋体"/>
                <w:snapToGrid w:val="0"/>
                <w:color w:val="auto"/>
                <w:kern w:val="0"/>
                <w:sz w:val="21"/>
                <w:szCs w:val="21"/>
                <w:highlight w:val="none"/>
                <w:lang w:val="en-US" w:eastAsia="zh-CN" w:bidi="ar-SA"/>
              </w:rPr>
            </w:pPr>
            <w:r>
              <w:rPr>
                <w:color w:val="auto"/>
                <w:spacing w:val="-2"/>
                <w:highlight w:val="none"/>
              </w:rPr>
              <w:t>中标通知书以电子形式发出；中标结果在广东省招标</w:t>
            </w:r>
            <w:r>
              <w:rPr>
                <w:color w:val="auto"/>
                <w:spacing w:val="-4"/>
                <w:highlight w:val="none"/>
              </w:rPr>
              <w:t>投标监管网及</w:t>
            </w:r>
            <w:r>
              <w:rPr>
                <w:rFonts w:hint="eastAsia" w:ascii="宋体" w:hAnsi="宋体" w:eastAsia="宋体" w:cs="宋体"/>
                <w:color w:val="auto"/>
                <w:sz w:val="21"/>
                <w:szCs w:val="21"/>
                <w:highlight w:val="none"/>
                <w:u w:val="single"/>
                <w:lang w:val="en-US" w:eastAsia="zh-CN"/>
              </w:rPr>
              <w:t>广州</w:t>
            </w:r>
            <w:r>
              <w:rPr>
                <w:color w:val="auto"/>
                <w:spacing w:val="-90"/>
                <w:highlight w:val="none"/>
              </w:rPr>
              <w:t xml:space="preserve"> </w:t>
            </w:r>
            <w:r>
              <w:rPr>
                <w:color w:val="auto"/>
                <w:spacing w:val="-4"/>
                <w:highlight w:val="none"/>
              </w:rPr>
              <w:t>公共资源交易中心网站</w:t>
            </w:r>
            <w:r>
              <w:rPr>
                <w:rFonts w:hint="eastAsia"/>
                <w:color w:val="auto"/>
                <w:highlight w:val="none"/>
                <w:lang w:eastAsia="zh-CN"/>
              </w:rPr>
              <w:t>、</w:t>
            </w:r>
            <w:r>
              <w:rPr>
                <w:rFonts w:hint="eastAsia" w:ascii="宋体" w:hAnsi="宋体" w:eastAsia="宋体" w:cs="宋体"/>
                <w:color w:val="auto"/>
                <w:sz w:val="21"/>
                <w:szCs w:val="21"/>
                <w:highlight w:val="none"/>
                <w:u w:val="single"/>
              </w:rPr>
              <w:t>中国招标投标公共服务平台</w:t>
            </w:r>
            <w:r>
              <w:rPr>
                <w:color w:val="auto"/>
                <w:spacing w:val="-4"/>
                <w:highlight w:val="none"/>
              </w:rPr>
              <w:t>发</w:t>
            </w:r>
            <w:r>
              <w:rPr>
                <w:color w:val="auto"/>
                <w:spacing w:val="-5"/>
                <w:highlight w:val="none"/>
              </w:rPr>
              <w:t>布。</w:t>
            </w:r>
          </w:p>
        </w:tc>
      </w:tr>
      <w:tr w14:paraId="2A985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85" w:type="dxa"/>
            <w:shd w:val="clear" w:color="auto" w:fill="auto"/>
            <w:vAlign w:val="top"/>
          </w:tcPr>
          <w:p w14:paraId="578224C4">
            <w:pPr>
              <w:spacing w:line="469" w:lineRule="auto"/>
              <w:rPr>
                <w:rFonts w:ascii="Arial"/>
                <w:color w:val="auto"/>
                <w:sz w:val="21"/>
                <w:highlight w:val="none"/>
              </w:rPr>
            </w:pPr>
          </w:p>
          <w:p w14:paraId="6F2C6F37">
            <w:pPr>
              <w:pStyle w:val="17"/>
              <w:spacing w:before="68" w:line="239" w:lineRule="auto"/>
              <w:ind w:left="445" w:leftChars="0"/>
              <w:rPr>
                <w:rFonts w:ascii="宋体" w:hAnsi="宋体" w:eastAsia="宋体" w:cs="宋体"/>
                <w:snapToGrid w:val="0"/>
                <w:color w:val="auto"/>
                <w:kern w:val="0"/>
                <w:sz w:val="21"/>
                <w:szCs w:val="21"/>
                <w:highlight w:val="none"/>
                <w:lang w:val="en-US" w:eastAsia="en-US" w:bidi="ar-SA"/>
              </w:rPr>
            </w:pPr>
            <w:r>
              <w:rPr>
                <w:color w:val="auto"/>
                <w:spacing w:val="-5"/>
                <w:highlight w:val="none"/>
              </w:rPr>
              <w:t>7.6</w:t>
            </w:r>
          </w:p>
        </w:tc>
        <w:tc>
          <w:tcPr>
            <w:tcW w:w="2443" w:type="dxa"/>
            <w:shd w:val="clear" w:color="auto" w:fill="auto"/>
            <w:vAlign w:val="top"/>
          </w:tcPr>
          <w:p w14:paraId="283C8281">
            <w:pPr>
              <w:spacing w:line="269" w:lineRule="auto"/>
              <w:rPr>
                <w:rFonts w:ascii="Arial"/>
                <w:color w:val="auto"/>
                <w:sz w:val="21"/>
                <w:highlight w:val="none"/>
              </w:rPr>
            </w:pPr>
          </w:p>
          <w:p w14:paraId="4F8875F2">
            <w:pPr>
              <w:pStyle w:val="17"/>
              <w:spacing w:before="69" w:line="354" w:lineRule="auto"/>
              <w:ind w:left="908" w:leftChars="0" w:right="380" w:rightChars="0" w:hanging="503" w:firstLineChars="0"/>
              <w:rPr>
                <w:rFonts w:ascii="宋体" w:hAnsi="宋体" w:eastAsia="宋体" w:cs="宋体"/>
                <w:snapToGrid w:val="0"/>
                <w:color w:val="auto"/>
                <w:kern w:val="0"/>
                <w:sz w:val="21"/>
                <w:szCs w:val="21"/>
                <w:highlight w:val="none"/>
                <w:lang w:val="en-US" w:eastAsia="en-US" w:bidi="ar-SA"/>
              </w:rPr>
            </w:pPr>
            <w:r>
              <w:rPr>
                <w:color w:val="auto"/>
                <w:spacing w:val="-4"/>
                <w:highlight w:val="none"/>
              </w:rPr>
              <w:t>中标结果公告媒介</w:t>
            </w:r>
            <w:r>
              <w:rPr>
                <w:color w:val="auto"/>
                <w:spacing w:val="-2"/>
                <w:highlight w:val="none"/>
              </w:rPr>
              <w:t>及期限</w:t>
            </w:r>
          </w:p>
        </w:tc>
        <w:tc>
          <w:tcPr>
            <w:tcW w:w="5664" w:type="dxa"/>
            <w:shd w:val="clear" w:color="auto" w:fill="auto"/>
            <w:vAlign w:val="top"/>
          </w:tcPr>
          <w:p w14:paraId="6F8D4BFE">
            <w:pPr>
              <w:pStyle w:val="17"/>
              <w:spacing w:before="139" w:line="352" w:lineRule="auto"/>
              <w:ind w:left="113" w:right="194"/>
              <w:rPr>
                <w:rFonts w:hint="eastAsia" w:eastAsia="宋体"/>
                <w:color w:val="auto"/>
                <w:highlight w:val="none"/>
                <w:lang w:eastAsia="zh-CN"/>
              </w:rPr>
            </w:pPr>
            <w:r>
              <w:rPr>
                <w:color w:val="auto"/>
                <w:spacing w:val="-8"/>
                <w:highlight w:val="none"/>
              </w:rPr>
              <w:t>广东省招标投标监管网、</w:t>
            </w:r>
            <w:r>
              <w:rPr>
                <w:rFonts w:hint="eastAsia" w:ascii="宋体" w:hAnsi="宋体" w:eastAsia="宋体" w:cs="宋体"/>
                <w:color w:val="auto"/>
                <w:sz w:val="21"/>
                <w:szCs w:val="21"/>
                <w:highlight w:val="none"/>
                <w:u w:val="single"/>
                <w:lang w:val="en-US" w:eastAsia="zh-CN"/>
              </w:rPr>
              <w:t>广州</w:t>
            </w:r>
            <w:r>
              <w:rPr>
                <w:color w:val="auto"/>
                <w:spacing w:val="-8"/>
                <w:highlight w:val="none"/>
                <w:u w:val="single" w:color="auto"/>
              </w:rPr>
              <w:t>公共资源交易中心</w:t>
            </w:r>
            <w:r>
              <w:rPr>
                <w:color w:val="auto"/>
                <w:spacing w:val="-68"/>
                <w:highlight w:val="none"/>
                <w:u w:val="single" w:color="auto"/>
              </w:rPr>
              <w:t xml:space="preserve"> </w:t>
            </w:r>
            <w:r>
              <w:rPr>
                <w:color w:val="auto"/>
                <w:spacing w:val="-80"/>
                <w:highlight w:val="none"/>
              </w:rPr>
              <w:t xml:space="preserve"> </w:t>
            </w:r>
            <w:r>
              <w:rPr>
                <w:color w:val="auto"/>
                <w:spacing w:val="-8"/>
                <w:highlight w:val="none"/>
              </w:rPr>
              <w:t>网</w:t>
            </w:r>
            <w:r>
              <w:rPr>
                <w:color w:val="auto"/>
                <w:highlight w:val="none"/>
              </w:rPr>
              <w:t>站</w:t>
            </w:r>
            <w:r>
              <w:rPr>
                <w:rFonts w:hint="eastAsia"/>
                <w:color w:val="auto"/>
                <w:highlight w:val="none"/>
                <w:lang w:eastAsia="zh-CN"/>
              </w:rPr>
              <w:t>、</w:t>
            </w:r>
            <w:r>
              <w:rPr>
                <w:rFonts w:hint="eastAsia" w:ascii="宋体" w:hAnsi="宋体" w:eastAsia="宋体" w:cs="宋体"/>
                <w:color w:val="auto"/>
                <w:sz w:val="21"/>
                <w:szCs w:val="21"/>
                <w:highlight w:val="none"/>
                <w:u w:val="single"/>
              </w:rPr>
              <w:t>中国招标投标公共服务平台</w:t>
            </w:r>
          </w:p>
          <w:p w14:paraId="30D696F6">
            <w:pPr>
              <w:pStyle w:val="17"/>
              <w:spacing w:line="218" w:lineRule="auto"/>
              <w:ind w:left="119"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公告期限：</w:t>
            </w:r>
            <w:r>
              <w:rPr>
                <w:rFonts w:hint="eastAsia"/>
                <w:color w:val="auto"/>
                <w:spacing w:val="-2"/>
                <w:highlight w:val="none"/>
                <w:u w:val="single" w:color="auto"/>
                <w:lang w:val="en-US" w:eastAsia="zh-CN"/>
              </w:rPr>
              <w:t>1</w:t>
            </w:r>
            <w:r>
              <w:rPr>
                <w:color w:val="auto"/>
                <w:spacing w:val="-2"/>
                <w:highlight w:val="none"/>
              </w:rPr>
              <w:t>日</w:t>
            </w:r>
          </w:p>
        </w:tc>
      </w:tr>
    </w:tbl>
    <w:p w14:paraId="386EBBB3">
      <w:pPr>
        <w:pStyle w:val="3"/>
        <w:spacing w:line="280" w:lineRule="auto"/>
        <w:rPr>
          <w:color w:val="auto"/>
          <w:highlight w:val="none"/>
        </w:rPr>
      </w:pPr>
    </w:p>
    <w:p w14:paraId="3CC10A91">
      <w:pPr>
        <w:spacing w:line="233" w:lineRule="auto"/>
        <w:rPr>
          <w:rFonts w:ascii="宋体" w:hAnsi="宋体" w:eastAsia="宋体" w:cs="宋体"/>
          <w:color w:val="auto"/>
          <w:sz w:val="18"/>
          <w:szCs w:val="18"/>
          <w:highlight w:val="none"/>
        </w:rPr>
        <w:sectPr>
          <w:headerReference r:id="rId28" w:type="default"/>
          <w:footerReference r:id="rId29" w:type="default"/>
          <w:pgSz w:w="11905" w:h="16840"/>
          <w:pgMar w:top="1182" w:right="0" w:bottom="1171" w:left="0" w:header="849" w:footer="937" w:gutter="0"/>
          <w:pgNumType w:fmt="decimal"/>
          <w:cols w:space="720" w:num="1"/>
        </w:sectPr>
      </w:pPr>
    </w:p>
    <w:p w14:paraId="02236466">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2CF8E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5FE42DFA">
            <w:pPr>
              <w:pStyle w:val="17"/>
              <w:spacing w:before="181" w:line="220" w:lineRule="auto"/>
              <w:ind w:left="284"/>
              <w:rPr>
                <w:color w:val="auto"/>
                <w:highlight w:val="none"/>
              </w:rPr>
            </w:pPr>
            <w:r>
              <w:rPr>
                <w:b/>
                <w:bCs/>
                <w:color w:val="auto"/>
                <w:spacing w:val="-6"/>
                <w:highlight w:val="none"/>
              </w:rPr>
              <w:t>条款号</w:t>
            </w:r>
          </w:p>
        </w:tc>
        <w:tc>
          <w:tcPr>
            <w:tcW w:w="2443" w:type="dxa"/>
            <w:vAlign w:val="top"/>
          </w:tcPr>
          <w:p w14:paraId="66F7FF33">
            <w:pPr>
              <w:pStyle w:val="17"/>
              <w:spacing w:before="181" w:line="220" w:lineRule="auto"/>
              <w:ind w:left="807"/>
              <w:rPr>
                <w:color w:val="auto"/>
                <w:highlight w:val="none"/>
              </w:rPr>
            </w:pPr>
            <w:r>
              <w:rPr>
                <w:b/>
                <w:bCs/>
                <w:color w:val="auto"/>
                <w:spacing w:val="-5"/>
                <w:highlight w:val="none"/>
              </w:rPr>
              <w:t>条款名称</w:t>
            </w:r>
          </w:p>
        </w:tc>
        <w:tc>
          <w:tcPr>
            <w:tcW w:w="5664" w:type="dxa"/>
            <w:vAlign w:val="top"/>
          </w:tcPr>
          <w:p w14:paraId="363341DF">
            <w:pPr>
              <w:pStyle w:val="17"/>
              <w:spacing w:before="181" w:line="220" w:lineRule="auto"/>
              <w:ind w:left="2417"/>
              <w:rPr>
                <w:color w:val="auto"/>
                <w:highlight w:val="none"/>
              </w:rPr>
            </w:pPr>
            <w:r>
              <w:rPr>
                <w:b/>
                <w:bCs/>
                <w:color w:val="auto"/>
                <w:spacing w:val="-5"/>
                <w:highlight w:val="none"/>
              </w:rPr>
              <w:t>编列内容</w:t>
            </w:r>
          </w:p>
        </w:tc>
      </w:tr>
      <w:tr w14:paraId="23311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6" w:hRule="atLeast"/>
        </w:trPr>
        <w:tc>
          <w:tcPr>
            <w:tcW w:w="1185" w:type="dxa"/>
            <w:vAlign w:val="top"/>
          </w:tcPr>
          <w:p w14:paraId="2B9787CA">
            <w:pPr>
              <w:spacing w:line="251" w:lineRule="auto"/>
              <w:rPr>
                <w:rFonts w:ascii="Arial"/>
                <w:color w:val="auto"/>
                <w:sz w:val="21"/>
                <w:highlight w:val="none"/>
              </w:rPr>
            </w:pPr>
          </w:p>
          <w:p w14:paraId="49307A95">
            <w:pPr>
              <w:spacing w:line="251" w:lineRule="auto"/>
              <w:rPr>
                <w:rFonts w:ascii="Arial"/>
                <w:color w:val="auto"/>
                <w:sz w:val="21"/>
                <w:highlight w:val="none"/>
              </w:rPr>
            </w:pPr>
          </w:p>
          <w:p w14:paraId="47548365">
            <w:pPr>
              <w:spacing w:line="251" w:lineRule="auto"/>
              <w:rPr>
                <w:rFonts w:ascii="Arial"/>
                <w:color w:val="auto"/>
                <w:sz w:val="21"/>
                <w:highlight w:val="none"/>
              </w:rPr>
            </w:pPr>
          </w:p>
          <w:p w14:paraId="7F003C23">
            <w:pPr>
              <w:spacing w:line="251" w:lineRule="auto"/>
              <w:rPr>
                <w:rFonts w:ascii="Arial"/>
                <w:color w:val="auto"/>
                <w:sz w:val="21"/>
                <w:highlight w:val="none"/>
              </w:rPr>
            </w:pPr>
          </w:p>
          <w:p w14:paraId="2448D445">
            <w:pPr>
              <w:spacing w:line="251" w:lineRule="auto"/>
              <w:rPr>
                <w:rFonts w:ascii="Arial"/>
                <w:color w:val="auto"/>
                <w:sz w:val="21"/>
                <w:highlight w:val="none"/>
              </w:rPr>
            </w:pPr>
          </w:p>
          <w:p w14:paraId="37204FB7">
            <w:pPr>
              <w:spacing w:line="251" w:lineRule="auto"/>
              <w:rPr>
                <w:rFonts w:ascii="Arial"/>
                <w:color w:val="auto"/>
                <w:sz w:val="21"/>
                <w:highlight w:val="none"/>
              </w:rPr>
            </w:pPr>
          </w:p>
          <w:p w14:paraId="73B9D311">
            <w:pPr>
              <w:spacing w:line="251" w:lineRule="auto"/>
              <w:rPr>
                <w:rFonts w:ascii="Arial"/>
                <w:color w:val="auto"/>
                <w:sz w:val="21"/>
                <w:highlight w:val="none"/>
              </w:rPr>
            </w:pPr>
          </w:p>
          <w:p w14:paraId="43E5358D">
            <w:pPr>
              <w:spacing w:line="251" w:lineRule="auto"/>
              <w:rPr>
                <w:rFonts w:ascii="Arial"/>
                <w:color w:val="auto"/>
                <w:sz w:val="21"/>
                <w:highlight w:val="none"/>
              </w:rPr>
            </w:pPr>
          </w:p>
          <w:p w14:paraId="4317CF28">
            <w:pPr>
              <w:spacing w:line="251" w:lineRule="auto"/>
              <w:rPr>
                <w:rFonts w:ascii="Arial"/>
                <w:color w:val="auto"/>
                <w:sz w:val="21"/>
                <w:highlight w:val="none"/>
              </w:rPr>
            </w:pPr>
          </w:p>
          <w:p w14:paraId="0948A491">
            <w:pPr>
              <w:pStyle w:val="17"/>
              <w:spacing w:before="68" w:line="239" w:lineRule="auto"/>
              <w:ind w:left="339"/>
              <w:rPr>
                <w:color w:val="auto"/>
                <w:highlight w:val="none"/>
              </w:rPr>
            </w:pPr>
            <w:r>
              <w:rPr>
                <w:color w:val="auto"/>
                <w:spacing w:val="-3"/>
                <w:highlight w:val="none"/>
              </w:rPr>
              <w:t>7.7.1</w:t>
            </w:r>
          </w:p>
        </w:tc>
        <w:tc>
          <w:tcPr>
            <w:tcW w:w="2443" w:type="dxa"/>
            <w:vAlign w:val="top"/>
          </w:tcPr>
          <w:p w14:paraId="4A9AE7B7">
            <w:pPr>
              <w:spacing w:line="251" w:lineRule="auto"/>
              <w:rPr>
                <w:rFonts w:ascii="Arial"/>
                <w:color w:val="auto"/>
                <w:sz w:val="21"/>
                <w:highlight w:val="none"/>
              </w:rPr>
            </w:pPr>
          </w:p>
          <w:p w14:paraId="69A2A265">
            <w:pPr>
              <w:spacing w:line="251" w:lineRule="auto"/>
              <w:rPr>
                <w:rFonts w:ascii="Arial"/>
                <w:color w:val="auto"/>
                <w:sz w:val="21"/>
                <w:highlight w:val="none"/>
              </w:rPr>
            </w:pPr>
          </w:p>
          <w:p w14:paraId="3F4AFA07">
            <w:pPr>
              <w:spacing w:line="251" w:lineRule="auto"/>
              <w:rPr>
                <w:rFonts w:ascii="Arial"/>
                <w:color w:val="auto"/>
                <w:sz w:val="21"/>
                <w:highlight w:val="none"/>
              </w:rPr>
            </w:pPr>
          </w:p>
          <w:p w14:paraId="1F39BF5D">
            <w:pPr>
              <w:spacing w:line="251" w:lineRule="auto"/>
              <w:rPr>
                <w:rFonts w:ascii="Arial"/>
                <w:color w:val="auto"/>
                <w:sz w:val="21"/>
                <w:highlight w:val="none"/>
              </w:rPr>
            </w:pPr>
          </w:p>
          <w:p w14:paraId="0699DA9C">
            <w:pPr>
              <w:spacing w:line="251" w:lineRule="auto"/>
              <w:rPr>
                <w:rFonts w:ascii="Arial"/>
                <w:color w:val="auto"/>
                <w:sz w:val="21"/>
                <w:highlight w:val="none"/>
              </w:rPr>
            </w:pPr>
          </w:p>
          <w:p w14:paraId="4F154A7B">
            <w:pPr>
              <w:spacing w:line="251" w:lineRule="auto"/>
              <w:rPr>
                <w:rFonts w:ascii="Arial"/>
                <w:color w:val="auto"/>
                <w:sz w:val="21"/>
                <w:highlight w:val="none"/>
              </w:rPr>
            </w:pPr>
          </w:p>
          <w:p w14:paraId="3CC90E51">
            <w:pPr>
              <w:spacing w:line="251" w:lineRule="auto"/>
              <w:rPr>
                <w:rFonts w:ascii="Arial"/>
                <w:color w:val="auto"/>
                <w:sz w:val="21"/>
                <w:highlight w:val="none"/>
              </w:rPr>
            </w:pPr>
          </w:p>
          <w:p w14:paraId="03C45872">
            <w:pPr>
              <w:spacing w:line="251" w:lineRule="auto"/>
              <w:rPr>
                <w:rFonts w:ascii="Arial"/>
                <w:color w:val="auto"/>
                <w:sz w:val="21"/>
                <w:highlight w:val="none"/>
              </w:rPr>
            </w:pPr>
          </w:p>
          <w:p w14:paraId="780D8097">
            <w:pPr>
              <w:spacing w:line="251" w:lineRule="auto"/>
              <w:rPr>
                <w:rFonts w:ascii="Arial"/>
                <w:color w:val="auto"/>
                <w:sz w:val="21"/>
                <w:highlight w:val="none"/>
              </w:rPr>
            </w:pPr>
          </w:p>
          <w:p w14:paraId="27B70BF3">
            <w:pPr>
              <w:pStyle w:val="17"/>
              <w:spacing w:before="68" w:line="220" w:lineRule="auto"/>
              <w:ind w:left="703"/>
              <w:rPr>
                <w:color w:val="auto"/>
                <w:highlight w:val="none"/>
              </w:rPr>
            </w:pPr>
            <w:r>
              <w:rPr>
                <w:color w:val="auto"/>
                <w:spacing w:val="-2"/>
                <w:highlight w:val="none"/>
              </w:rPr>
              <w:t>履约保证金</w:t>
            </w:r>
          </w:p>
        </w:tc>
        <w:tc>
          <w:tcPr>
            <w:tcW w:w="5664" w:type="dxa"/>
            <w:vAlign w:val="top"/>
          </w:tcPr>
          <w:p w14:paraId="01406414">
            <w:pPr>
              <w:pStyle w:val="17"/>
              <w:spacing w:before="142" w:line="220" w:lineRule="auto"/>
              <w:ind w:left="116"/>
              <w:rPr>
                <w:color w:val="auto"/>
                <w:highlight w:val="none"/>
              </w:rPr>
            </w:pPr>
            <w:r>
              <w:rPr>
                <w:color w:val="auto"/>
                <w:spacing w:val="-4"/>
                <w:highlight w:val="none"/>
              </w:rPr>
              <w:t>是否要求中标人提交履约保证金：</w:t>
            </w:r>
          </w:p>
          <w:p w14:paraId="04AC24E0">
            <w:pPr>
              <w:pStyle w:val="17"/>
              <w:spacing w:before="148" w:line="219" w:lineRule="auto"/>
              <w:ind w:left="134"/>
              <w:rPr>
                <w:color w:val="auto"/>
                <w:highlight w:val="none"/>
              </w:rPr>
            </w:pPr>
            <w:r>
              <w:rPr>
                <w:color w:val="auto"/>
                <w:spacing w:val="-2"/>
                <w:highlight w:val="none"/>
              </w:rPr>
              <w:t>□要求，履约保证金形式：</w:t>
            </w:r>
            <w:r>
              <w:rPr>
                <w:color w:val="auto"/>
                <w:spacing w:val="-2"/>
                <w:highlight w:val="none"/>
                <w:u w:val="single" w:color="auto"/>
              </w:rPr>
              <w:t>由投标人自主选择采用现金（或</w:t>
            </w:r>
          </w:p>
          <w:p w14:paraId="4E110EF1">
            <w:pPr>
              <w:pStyle w:val="17"/>
              <w:spacing w:before="136" w:line="352" w:lineRule="auto"/>
              <w:ind w:left="116" w:right="1670" w:hanging="2"/>
              <w:rPr>
                <w:color w:val="auto"/>
                <w:highlight w:val="none"/>
              </w:rPr>
            </w:pPr>
            <w:r>
              <w:rPr>
                <w:color w:val="auto"/>
                <w:spacing w:val="-1"/>
                <w:highlight w:val="none"/>
                <w:u w:val="single" w:color="auto"/>
              </w:rPr>
              <w:t>支票）、或银行保函、或其他合法形式。</w:t>
            </w:r>
            <w:r>
              <w:rPr>
                <w:color w:val="auto"/>
                <w:spacing w:val="-2"/>
                <w:highlight w:val="none"/>
              </w:rPr>
              <w:t>履约保证金金额：</w:t>
            </w:r>
            <w:r>
              <w:rPr>
                <w:color w:val="auto"/>
                <w:spacing w:val="-2"/>
                <w:highlight w:val="none"/>
                <w:u w:val="single" w:color="auto"/>
              </w:rPr>
              <w:t xml:space="preserve">   </w:t>
            </w:r>
            <w:r>
              <w:rPr>
                <w:color w:val="auto"/>
                <w:spacing w:val="-101"/>
                <w:highlight w:val="none"/>
              </w:rPr>
              <w:t xml:space="preserve"> </w:t>
            </w:r>
            <w:r>
              <w:rPr>
                <w:color w:val="auto"/>
                <w:spacing w:val="-2"/>
                <w:highlight w:val="none"/>
              </w:rPr>
              <w:t>%签约合同价。</w:t>
            </w:r>
          </w:p>
          <w:p w14:paraId="236EC940">
            <w:pPr>
              <w:pStyle w:val="17"/>
              <w:spacing w:before="14" w:line="285" w:lineRule="auto"/>
              <w:ind w:left="114" w:right="49" w:firstLine="20"/>
              <w:rPr>
                <w:color w:val="auto"/>
                <w:highlight w:val="none"/>
              </w:rPr>
            </w:pPr>
            <w:r>
              <w:rPr>
                <w:color w:val="auto"/>
                <w:spacing w:val="-4"/>
                <w:highlight w:val="none"/>
              </w:rPr>
              <w:t>□广东省交通运输厅最新年度的信用评价为</w:t>
            </w:r>
            <w:r>
              <w:rPr>
                <w:color w:val="auto"/>
                <w:spacing w:val="-40"/>
                <w:highlight w:val="none"/>
              </w:rPr>
              <w:t xml:space="preserve"> </w:t>
            </w:r>
            <w:r>
              <w:rPr>
                <w:color w:val="auto"/>
                <w:spacing w:val="-4"/>
                <w:highlight w:val="none"/>
              </w:rPr>
              <w:t>AA</w:t>
            </w:r>
            <w:r>
              <w:rPr>
                <w:color w:val="auto"/>
                <w:spacing w:val="-48"/>
                <w:highlight w:val="none"/>
              </w:rPr>
              <w:t xml:space="preserve"> </w:t>
            </w:r>
            <w:r>
              <w:rPr>
                <w:color w:val="auto"/>
                <w:spacing w:val="-4"/>
                <w:highlight w:val="none"/>
              </w:rPr>
              <w:t>级的投标人，给予减少履约保证金，减少后的履约保证金金额</w:t>
            </w:r>
            <w:r>
              <w:rPr>
                <w:color w:val="auto"/>
                <w:spacing w:val="-12"/>
                <w:position w:val="10"/>
                <w:sz w:val="10"/>
                <w:szCs w:val="10"/>
                <w:highlight w:val="none"/>
              </w:rPr>
              <w:t xml:space="preserve"> </w:t>
            </w:r>
            <w:r>
              <w:rPr>
                <w:color w:val="auto"/>
                <w:spacing w:val="-4"/>
                <w:highlight w:val="none"/>
              </w:rPr>
              <w:t>:</w:t>
            </w:r>
            <w:r>
              <w:rPr>
                <w:color w:val="auto"/>
                <w:spacing w:val="48"/>
                <w:highlight w:val="none"/>
              </w:rPr>
              <w:t xml:space="preserve"> </w:t>
            </w:r>
            <w:r>
              <w:rPr>
                <w:color w:val="auto"/>
                <w:highlight w:val="none"/>
                <w:u w:val="single" w:color="auto"/>
              </w:rPr>
              <w:t xml:space="preserve">    </w:t>
            </w:r>
          </w:p>
          <w:p w14:paraId="56CD93C1">
            <w:pPr>
              <w:pStyle w:val="17"/>
              <w:spacing w:before="152" w:line="285" w:lineRule="auto"/>
              <w:ind w:left="114" w:right="140" w:firstLine="20"/>
              <w:rPr>
                <w:color w:val="auto"/>
                <w:highlight w:val="none"/>
              </w:rPr>
            </w:pPr>
            <w:r>
              <w:rPr>
                <w:color w:val="auto"/>
                <w:spacing w:val="-4"/>
                <w:highlight w:val="none"/>
              </w:rPr>
              <w:t>□广东省交通运输厅最新年度的信用评价为</w:t>
            </w:r>
            <w:r>
              <w:rPr>
                <w:color w:val="auto"/>
                <w:spacing w:val="-39"/>
                <w:highlight w:val="none"/>
              </w:rPr>
              <w:t xml:space="preserve"> </w:t>
            </w:r>
            <w:r>
              <w:rPr>
                <w:color w:val="auto"/>
                <w:spacing w:val="-4"/>
                <w:highlight w:val="none"/>
              </w:rPr>
              <w:t>A</w:t>
            </w:r>
            <w:r>
              <w:rPr>
                <w:color w:val="auto"/>
                <w:spacing w:val="-40"/>
                <w:highlight w:val="none"/>
              </w:rPr>
              <w:t xml:space="preserve"> </w:t>
            </w:r>
            <w:r>
              <w:rPr>
                <w:color w:val="auto"/>
                <w:spacing w:val="-4"/>
                <w:highlight w:val="none"/>
              </w:rPr>
              <w:t>级的投标人，给予减少履约保证金，减少后的履约保证金金额</w:t>
            </w:r>
            <w:r>
              <w:rPr>
                <w:color w:val="auto"/>
                <w:spacing w:val="-12"/>
                <w:position w:val="10"/>
                <w:sz w:val="10"/>
                <w:szCs w:val="10"/>
                <w:highlight w:val="none"/>
              </w:rPr>
              <w:t xml:space="preserve"> </w:t>
            </w:r>
            <w:r>
              <w:rPr>
                <w:color w:val="auto"/>
                <w:spacing w:val="-4"/>
                <w:highlight w:val="none"/>
              </w:rPr>
              <w:t>:</w:t>
            </w:r>
            <w:r>
              <w:rPr>
                <w:color w:val="auto"/>
                <w:spacing w:val="48"/>
                <w:highlight w:val="none"/>
              </w:rPr>
              <w:t xml:space="preserve"> </w:t>
            </w:r>
            <w:r>
              <w:rPr>
                <w:color w:val="auto"/>
                <w:highlight w:val="none"/>
                <w:u w:val="single" w:color="auto"/>
              </w:rPr>
              <w:t xml:space="preserve">    </w:t>
            </w:r>
          </w:p>
          <w:p w14:paraId="5B6294D0">
            <w:pPr>
              <w:pStyle w:val="17"/>
              <w:spacing w:before="149" w:line="286" w:lineRule="auto"/>
              <w:ind w:left="112" w:right="107"/>
              <w:rPr>
                <w:color w:val="auto"/>
                <w:highlight w:val="none"/>
              </w:rPr>
            </w:pPr>
            <w:r>
              <w:rPr>
                <w:color w:val="auto"/>
                <w:spacing w:val="-1"/>
                <w:highlight w:val="none"/>
              </w:rPr>
              <w:t>采用银行保函时，出具履约担保的银行级别：投标人公司注册所在地的股份制商业银行或城市商业银行或农村商业银</w:t>
            </w:r>
          </w:p>
          <w:p w14:paraId="737F0179">
            <w:pPr>
              <w:pStyle w:val="17"/>
              <w:spacing w:before="150" w:line="219" w:lineRule="auto"/>
              <w:ind w:left="116"/>
              <w:rPr>
                <w:color w:val="auto"/>
                <w:highlight w:val="none"/>
              </w:rPr>
            </w:pPr>
            <w:r>
              <w:rPr>
                <w:color w:val="auto"/>
                <w:spacing w:val="-3"/>
                <w:highlight w:val="none"/>
              </w:rPr>
              <w:t>行或全国性国有商业银行的分支机构。</w:t>
            </w:r>
          </w:p>
          <w:p w14:paraId="6A132BB3">
            <w:pPr>
              <w:pStyle w:val="17"/>
              <w:spacing w:before="151" w:line="221" w:lineRule="auto"/>
              <w:ind w:left="134"/>
              <w:rPr>
                <w:color w:val="auto"/>
                <w:highlight w:val="none"/>
              </w:rPr>
            </w:pPr>
            <w:r>
              <w:rPr>
                <w:rFonts w:hint="eastAsia"/>
                <w:color w:val="auto"/>
                <w:spacing w:val="-6"/>
                <w:highlight w:val="none"/>
                <w:lang w:eastAsia="zh-CN"/>
              </w:rPr>
              <w:t>☑</w:t>
            </w:r>
            <w:r>
              <w:rPr>
                <w:color w:val="auto"/>
                <w:spacing w:val="-6"/>
                <w:highlight w:val="none"/>
              </w:rPr>
              <w:t>不要求</w:t>
            </w:r>
          </w:p>
        </w:tc>
      </w:tr>
      <w:tr w14:paraId="5CD8D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1185" w:type="dxa"/>
            <w:vAlign w:val="center"/>
          </w:tcPr>
          <w:p w14:paraId="4D594A7F">
            <w:pPr>
              <w:pStyle w:val="17"/>
              <w:spacing w:before="68" w:line="239" w:lineRule="auto"/>
              <w:jc w:val="center"/>
              <w:rPr>
                <w:color w:val="auto"/>
                <w:highlight w:val="none"/>
              </w:rPr>
            </w:pPr>
            <w:r>
              <w:rPr>
                <w:color w:val="auto"/>
                <w:spacing w:val="-2"/>
                <w:highlight w:val="none"/>
              </w:rPr>
              <w:t>8.5.1</w:t>
            </w:r>
          </w:p>
        </w:tc>
        <w:tc>
          <w:tcPr>
            <w:tcW w:w="2443" w:type="dxa"/>
            <w:vAlign w:val="center"/>
          </w:tcPr>
          <w:p w14:paraId="572C3949">
            <w:pPr>
              <w:pStyle w:val="17"/>
              <w:spacing w:before="68" w:line="220" w:lineRule="auto"/>
              <w:jc w:val="center"/>
              <w:rPr>
                <w:color w:val="auto"/>
                <w:highlight w:val="none"/>
              </w:rPr>
            </w:pPr>
            <w:r>
              <w:rPr>
                <w:color w:val="auto"/>
                <w:spacing w:val="-2"/>
                <w:highlight w:val="none"/>
              </w:rPr>
              <w:t>监督部门</w:t>
            </w:r>
          </w:p>
        </w:tc>
        <w:tc>
          <w:tcPr>
            <w:tcW w:w="5664" w:type="dxa"/>
            <w:vAlign w:val="center"/>
          </w:tcPr>
          <w:p w14:paraId="3D066D88">
            <w:pPr>
              <w:pStyle w:val="17"/>
              <w:spacing w:before="92" w:line="232" w:lineRule="auto"/>
              <w:ind w:left="114"/>
              <w:jc w:val="both"/>
              <w:rPr>
                <w:color w:val="auto"/>
                <w:highlight w:val="none"/>
              </w:rPr>
            </w:pPr>
            <w:r>
              <w:rPr>
                <w:color w:val="auto"/>
                <w:spacing w:val="-2"/>
                <w:highlight w:val="none"/>
              </w:rPr>
              <w:t>监督部门</w:t>
            </w:r>
            <w:r>
              <w:rPr>
                <w:color w:val="auto"/>
                <w:spacing w:val="-71"/>
                <w:highlight w:val="none"/>
              </w:rPr>
              <w:t>:</w:t>
            </w:r>
            <w:r>
              <w:rPr>
                <w:color w:val="auto"/>
                <w:spacing w:val="48"/>
                <w:highlight w:val="none"/>
              </w:rPr>
              <w:t xml:space="preserve"> </w:t>
            </w:r>
            <w:r>
              <w:rPr>
                <w:rFonts w:hint="eastAsia"/>
                <w:color w:val="auto"/>
                <w:highlight w:val="none"/>
                <w:u w:val="single" w:color="auto"/>
              </w:rPr>
              <w:t>广州市增城区交通运输局</w:t>
            </w:r>
          </w:p>
          <w:p w14:paraId="433D6FC3">
            <w:pPr>
              <w:pStyle w:val="17"/>
              <w:spacing w:before="109" w:line="222" w:lineRule="auto"/>
              <w:ind w:left="137"/>
              <w:jc w:val="both"/>
              <w:rPr>
                <w:color w:val="auto"/>
                <w:highlight w:val="none"/>
              </w:rPr>
            </w:pPr>
            <w:r>
              <w:rPr>
                <w:color w:val="auto"/>
                <w:spacing w:val="-6"/>
                <w:highlight w:val="none"/>
              </w:rPr>
              <w:t>电话：</w:t>
            </w:r>
            <w:r>
              <w:rPr>
                <w:color w:val="auto"/>
                <w:spacing w:val="-6"/>
                <w:highlight w:val="none"/>
                <w:u w:val="single" w:color="auto"/>
              </w:rPr>
              <w:t xml:space="preserve"> </w:t>
            </w:r>
            <w:r>
              <w:rPr>
                <w:rFonts w:hint="eastAsia"/>
                <w:color w:val="auto"/>
                <w:spacing w:val="-6"/>
                <w:highlight w:val="none"/>
                <w:u w:val="single" w:color="auto"/>
              </w:rPr>
              <w:t>020-82635583</w:t>
            </w:r>
            <w:r>
              <w:rPr>
                <w:color w:val="auto"/>
                <w:spacing w:val="-7"/>
                <w:highlight w:val="none"/>
                <w:u w:val="single" w:color="auto"/>
              </w:rPr>
              <w:t xml:space="preserve"> </w:t>
            </w:r>
          </w:p>
          <w:p w14:paraId="11223899">
            <w:pPr>
              <w:pStyle w:val="17"/>
              <w:spacing w:before="107" w:line="219" w:lineRule="auto"/>
              <w:ind w:left="111"/>
              <w:jc w:val="both"/>
              <w:rPr>
                <w:color w:val="auto"/>
                <w:highlight w:val="none"/>
              </w:rPr>
            </w:pPr>
            <w:r>
              <w:rPr>
                <w:color w:val="auto"/>
                <w:spacing w:val="-3"/>
                <w:highlight w:val="none"/>
              </w:rPr>
              <w:t>传真：</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43E48817">
            <w:pPr>
              <w:pStyle w:val="17"/>
              <w:spacing w:before="110" w:line="220" w:lineRule="auto"/>
              <w:ind w:left="113"/>
              <w:jc w:val="both"/>
              <w:rPr>
                <w:color w:val="auto"/>
                <w:highlight w:val="none"/>
                <w:u w:val="single" w:color="auto"/>
              </w:rPr>
            </w:pPr>
            <w:r>
              <w:rPr>
                <w:color w:val="auto"/>
                <w:spacing w:val="-2"/>
                <w:highlight w:val="none"/>
              </w:rPr>
              <w:t>通信地址：</w:t>
            </w:r>
            <w:r>
              <w:rPr>
                <w:rFonts w:hint="eastAsia"/>
                <w:color w:val="auto"/>
                <w:highlight w:val="none"/>
                <w:u w:val="single" w:color="auto"/>
              </w:rPr>
              <w:t>广州市增城区荔城街园圃路52号</w:t>
            </w:r>
          </w:p>
          <w:p w14:paraId="6FB31C9F">
            <w:pPr>
              <w:pStyle w:val="17"/>
              <w:spacing w:before="109" w:line="220" w:lineRule="auto"/>
              <w:ind w:left="128"/>
              <w:jc w:val="both"/>
              <w:rPr>
                <w:color w:val="auto"/>
                <w:highlight w:val="none"/>
              </w:rPr>
            </w:pPr>
            <w:r>
              <w:rPr>
                <w:color w:val="auto"/>
                <w:spacing w:val="-4"/>
                <w:highlight w:val="none"/>
              </w:rPr>
              <w:t>邮政编码：</w:t>
            </w:r>
            <w:r>
              <w:rPr>
                <w:rFonts w:hint="eastAsia"/>
                <w:color w:val="auto"/>
                <w:spacing w:val="-4"/>
                <w:highlight w:val="none"/>
                <w:u w:val="single" w:color="auto"/>
              </w:rPr>
              <w:t>511300</w:t>
            </w:r>
          </w:p>
        </w:tc>
      </w:tr>
      <w:tr w14:paraId="40BC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185" w:type="dxa"/>
            <w:vAlign w:val="top"/>
          </w:tcPr>
          <w:p w14:paraId="2D6CC98A">
            <w:pPr>
              <w:pStyle w:val="17"/>
              <w:spacing w:before="264"/>
              <w:ind w:left="545"/>
              <w:rPr>
                <w:color w:val="auto"/>
                <w:highlight w:val="none"/>
              </w:rPr>
            </w:pPr>
            <w:r>
              <w:rPr>
                <w:color w:val="auto"/>
                <w:highlight w:val="none"/>
              </w:rPr>
              <w:t>9</w:t>
            </w:r>
          </w:p>
        </w:tc>
        <w:tc>
          <w:tcPr>
            <w:tcW w:w="2443" w:type="dxa"/>
            <w:vAlign w:val="top"/>
          </w:tcPr>
          <w:p w14:paraId="35EFDBC4">
            <w:pPr>
              <w:pStyle w:val="17"/>
              <w:spacing w:before="264" w:line="219" w:lineRule="auto"/>
              <w:ind w:left="178"/>
              <w:rPr>
                <w:color w:val="auto"/>
                <w:highlight w:val="none"/>
              </w:rPr>
            </w:pPr>
            <w:r>
              <w:rPr>
                <w:color w:val="auto"/>
                <w:spacing w:val="-2"/>
                <w:highlight w:val="none"/>
              </w:rPr>
              <w:t>是否采用电子招标投标</w:t>
            </w:r>
          </w:p>
        </w:tc>
        <w:tc>
          <w:tcPr>
            <w:tcW w:w="5664" w:type="dxa"/>
            <w:vAlign w:val="top"/>
          </w:tcPr>
          <w:p w14:paraId="6C74DB86">
            <w:pPr>
              <w:pStyle w:val="17"/>
              <w:spacing w:before="85" w:line="220" w:lineRule="auto"/>
              <w:ind w:left="134"/>
              <w:rPr>
                <w:color w:val="auto"/>
                <w:highlight w:val="none"/>
              </w:rPr>
            </w:pPr>
            <w:r>
              <w:rPr>
                <w:color w:val="auto"/>
                <w:spacing w:val="-8"/>
                <w:highlight w:val="none"/>
              </w:rPr>
              <w:t>□否</w:t>
            </w:r>
          </w:p>
          <w:p w14:paraId="2812DE62">
            <w:pPr>
              <w:pStyle w:val="17"/>
              <w:spacing w:before="49" w:line="225" w:lineRule="auto"/>
              <w:ind w:left="124"/>
              <w:rPr>
                <w:color w:val="auto"/>
                <w:spacing w:val="2"/>
                <w:highlight w:val="none"/>
              </w:rPr>
            </w:pPr>
            <w:r>
              <w:rPr>
                <w:rFonts w:hint="eastAsia"/>
                <w:color w:val="auto"/>
                <w:spacing w:val="-8"/>
                <w:highlight w:val="none"/>
                <w:lang w:eastAsia="zh-CN"/>
              </w:rPr>
              <w:t>☑</w:t>
            </w:r>
            <w:r>
              <w:rPr>
                <w:color w:val="auto"/>
                <w:spacing w:val="2"/>
                <w:highlight w:val="none"/>
              </w:rPr>
              <w:t>是，电子招标投标的其他要求：</w:t>
            </w:r>
          </w:p>
          <w:p w14:paraId="5B57B2E1">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有关无纸化项目电子招投标的操作手册，投标人可自行在</w:t>
            </w:r>
            <w:r>
              <w:rPr>
                <w:rFonts w:hint="eastAsia" w:ascii="宋体" w:hAnsi="宋体" w:eastAsia="宋体" w:cs="宋体"/>
                <w:color w:val="auto"/>
                <w:kern w:val="0"/>
                <w:sz w:val="21"/>
                <w:szCs w:val="21"/>
                <w:highlight w:val="none"/>
                <w:lang w:val="en-US" w:eastAsia="zh-CN"/>
              </w:rPr>
              <w:t>广州交易集团有限公司（广州公共资源交易中心）</w:t>
            </w:r>
            <w:r>
              <w:rPr>
                <w:rFonts w:hint="eastAsia" w:ascii="宋体" w:hAnsi="宋体" w:eastAsia="宋体" w:cs="宋体"/>
                <w:color w:val="auto"/>
                <w:sz w:val="21"/>
                <w:szCs w:val="21"/>
                <w:highlight w:val="none"/>
              </w:rPr>
              <w:t>网站相关栏目（</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HYPERLINK"http://www.gzggzy.cn/cms/index.html?siteId=1"</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首页</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&gt;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HYPERLINK"http://www.gzggzy.cn/cms/html/wz/view/index/layout2/bszy.html?siteId=1&amp;channelId=689"</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服务指南</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&gt;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HYPERLINK"http://www.gzggzy.cn/cms/wz/view/index/layout2/fwzn_xtbz.jsp?siteId=1&amp;channelId=88"</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系统帮助</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&gt;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HYPERLINK"http://www.gzggzy.cn/cms/wz/view/index/layout2/fwzn_xtbz.jsp?siteId=1&amp;channelId=942"</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操作手册</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）下载。</w:t>
            </w:r>
          </w:p>
          <w:p w14:paraId="546FDB34">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电子招标投标解密失败及突发情况的补救措施：</w:t>
            </w:r>
          </w:p>
          <w:p w14:paraId="047A47AF">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1、按照交易平台关于全流程电子化项目的相关指南进行操作。详见：</w:t>
            </w:r>
            <w:r>
              <w:rPr>
                <w:rFonts w:hint="eastAsia" w:ascii="宋体" w:hAnsi="宋体" w:eastAsia="宋体" w:cs="宋体"/>
                <w:color w:val="auto"/>
                <w:kern w:val="0"/>
                <w:sz w:val="21"/>
                <w:szCs w:val="21"/>
                <w:highlight w:val="none"/>
                <w:lang w:val="en-US" w:eastAsia="zh-CN"/>
              </w:rPr>
              <w:t>广州交易集团有限公司（广州公共资源交易中心）</w:t>
            </w:r>
            <w:r>
              <w:rPr>
                <w:rFonts w:hint="eastAsia" w:ascii="宋体" w:hAnsi="宋体" w:eastAsia="宋体" w:cs="宋体"/>
                <w:color w:val="auto"/>
                <w:sz w:val="21"/>
                <w:szCs w:val="21"/>
                <w:highlight w:val="none"/>
                <w:lang w:eastAsia="zh-CN"/>
              </w:rPr>
              <w:t>网站发布的关于交通公路工程项目操作手册</w:t>
            </w:r>
            <w:r>
              <w:rPr>
                <w:rFonts w:hint="eastAsia" w:ascii="宋体" w:hAnsi="宋体" w:eastAsia="宋体" w:cs="宋体"/>
                <w:color w:val="auto"/>
                <w:sz w:val="21"/>
                <w:szCs w:val="21"/>
                <w:highlight w:val="none"/>
              </w:rPr>
              <w:t>。</w:t>
            </w:r>
          </w:p>
          <w:p w14:paraId="1A7C333B">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2、补救方案</w:t>
            </w:r>
          </w:p>
          <w:p w14:paraId="0B11588B">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（1）投标文件解密失败的补救方案：</w:t>
            </w:r>
          </w:p>
          <w:p w14:paraId="163FDE1A">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在规定时间内，因投标人之外原因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指网络瘫痪、服务器损坏、交易系统故障短期无法恢复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导致的电子投标文件解密失败，在开标现场读取纸质版投标文件内容，继续开标程序。评标委员会对其投标文件的评审以纸质版投标文件内容为准。因投标人之外原因解密失败且未递交电子光盘的，视为撤回投标文件。</w:t>
            </w:r>
          </w:p>
          <w:p w14:paraId="58A86272">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（2）评标时突发情况的补救方案</w:t>
            </w:r>
          </w:p>
          <w:p w14:paraId="68CE917D">
            <w:pPr>
              <w:autoSpaceDE w:val="0"/>
              <w:autoSpaceDN w:val="0"/>
              <w:adjustRightInd w:val="0"/>
              <w:spacing w:before="26"/>
              <w:ind w:left="218" w:leftChars="103" w:right="147" w:hanging="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若遇不可抗力发生（指网络瘫痪、服务器损坏、交易系统故障短期无法恢复等因素），由评标委员会开启投标人递交的全部纸质版投标文件，并按纸质版投标文件内容进行评审。</w:t>
            </w:r>
          </w:p>
          <w:p w14:paraId="73BA0421">
            <w:pPr>
              <w:pStyle w:val="17"/>
              <w:spacing w:before="49" w:line="225" w:lineRule="auto"/>
              <w:ind w:left="124"/>
              <w:rPr>
                <w:color w:val="auto"/>
                <w:spacing w:val="2"/>
                <w:highlight w:val="none"/>
              </w:rPr>
            </w:pPr>
            <w:r>
              <w:rPr>
                <w:rFonts w:hint="eastAsia" w:ascii="宋体" w:hAnsi="宋体" w:eastAsia="宋体" w:cs="宋体"/>
                <w:color w:val="auto"/>
                <w:sz w:val="21"/>
                <w:szCs w:val="21"/>
                <w:highlight w:val="none"/>
              </w:rPr>
              <w:t>（3）除发生上述情况外，开标评标均以投标人通过交易平台网上递交的电子投标文件为准。</w:t>
            </w:r>
          </w:p>
        </w:tc>
      </w:tr>
      <w:tr w14:paraId="1E642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2" w:type="dxa"/>
            <w:gridSpan w:val="3"/>
            <w:vAlign w:val="top"/>
          </w:tcPr>
          <w:p w14:paraId="53B476D0">
            <w:pPr>
              <w:pStyle w:val="17"/>
              <w:spacing w:before="141" w:line="220" w:lineRule="auto"/>
              <w:ind w:left="127"/>
              <w:rPr>
                <w:color w:val="auto"/>
                <w:highlight w:val="none"/>
              </w:rPr>
            </w:pPr>
            <w:r>
              <w:rPr>
                <w:b/>
                <w:bCs/>
                <w:color w:val="auto"/>
                <w:spacing w:val="-4"/>
                <w:highlight w:val="none"/>
              </w:rPr>
              <w:t>需要补充的其他内容</w:t>
            </w:r>
          </w:p>
        </w:tc>
      </w:tr>
      <w:tr w14:paraId="34F13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6D387FB9">
            <w:pPr>
              <w:pStyle w:val="17"/>
              <w:spacing w:before="302" w:line="239" w:lineRule="auto"/>
              <w:ind w:left="349" w:leftChars="0"/>
              <w:rPr>
                <w:color w:val="auto"/>
                <w:highlight w:val="none"/>
              </w:rPr>
            </w:pPr>
            <w:r>
              <w:rPr>
                <w:rFonts w:hint="eastAsia"/>
                <w:color w:val="auto"/>
                <w:spacing w:val="-5"/>
                <w:highlight w:val="none"/>
                <w:lang w:val="en-US" w:eastAsia="zh-CN"/>
              </w:rPr>
              <w:t>1.4</w:t>
            </w:r>
          </w:p>
        </w:tc>
        <w:tc>
          <w:tcPr>
            <w:tcW w:w="8107" w:type="dxa"/>
            <w:gridSpan w:val="2"/>
            <w:vAlign w:val="top"/>
          </w:tcPr>
          <w:p w14:paraId="614805FA">
            <w:pPr>
              <w:pStyle w:val="17"/>
              <w:spacing w:before="302" w:line="220" w:lineRule="auto"/>
              <w:ind w:left="110" w:leftChars="0"/>
              <w:rPr>
                <w:color w:val="auto"/>
                <w:highlight w:val="none"/>
              </w:rPr>
            </w:pPr>
            <w:r>
              <w:rPr>
                <w:rFonts w:hint="eastAsia"/>
                <w:color w:val="auto"/>
                <w:spacing w:val="-3"/>
                <w:highlight w:val="none"/>
                <w:lang w:val="en-US" w:eastAsia="zh-CN"/>
              </w:rPr>
              <w:t>删除原1.4 投标人资格要求（适用于已进行资格预审的）。</w:t>
            </w:r>
          </w:p>
        </w:tc>
      </w:tr>
      <w:tr w14:paraId="427AE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7BE4BFB1">
            <w:pPr>
              <w:pStyle w:val="17"/>
              <w:spacing w:before="302" w:line="239" w:lineRule="auto"/>
              <w:ind w:left="349" w:leftChars="0"/>
              <w:rPr>
                <w:color w:val="auto"/>
                <w:spacing w:val="-5"/>
                <w:highlight w:val="none"/>
              </w:rPr>
            </w:pPr>
            <w:r>
              <w:rPr>
                <w:rFonts w:hint="eastAsia"/>
                <w:color w:val="auto"/>
                <w:spacing w:val="-5"/>
                <w:highlight w:val="none"/>
                <w:lang w:val="en-US" w:eastAsia="zh-CN"/>
              </w:rPr>
              <w:t>1.4</w:t>
            </w:r>
          </w:p>
        </w:tc>
        <w:tc>
          <w:tcPr>
            <w:tcW w:w="8107" w:type="dxa"/>
            <w:gridSpan w:val="2"/>
            <w:vAlign w:val="top"/>
          </w:tcPr>
          <w:p w14:paraId="5A7B7ED2">
            <w:pPr>
              <w:pStyle w:val="17"/>
              <w:spacing w:before="302" w:line="220" w:lineRule="auto"/>
              <w:ind w:left="110" w:leftChars="0"/>
              <w:rPr>
                <w:color w:val="auto"/>
                <w:spacing w:val="-3"/>
                <w:highlight w:val="none"/>
              </w:rPr>
            </w:pPr>
            <w:r>
              <w:rPr>
                <w:rFonts w:hint="eastAsia" w:cs="宋体"/>
                <w:bCs/>
                <w:color w:val="auto"/>
                <w:sz w:val="21"/>
                <w:szCs w:val="21"/>
                <w:highlight w:val="none"/>
                <w:lang w:val="en-US" w:eastAsia="zh-CN"/>
              </w:rPr>
              <w:t>删除原1.4投标人资格要求（适用于未进行资格预审的）</w:t>
            </w:r>
            <w:r>
              <w:rPr>
                <w:color w:val="auto"/>
                <w:spacing w:val="-3"/>
                <w:highlight w:val="none"/>
              </w:rPr>
              <w:t>中</w:t>
            </w:r>
            <w:r>
              <w:rPr>
                <w:rFonts w:hint="eastAsia"/>
                <w:color w:val="auto"/>
                <w:spacing w:val="-3"/>
                <w:highlight w:val="none"/>
                <w:lang w:eastAsia="zh-CN"/>
              </w:rPr>
              <w:t>的</w:t>
            </w:r>
            <w:r>
              <w:rPr>
                <w:rFonts w:hint="eastAsia" w:cs="宋体"/>
                <w:bCs/>
                <w:color w:val="auto"/>
                <w:sz w:val="21"/>
                <w:szCs w:val="21"/>
                <w:highlight w:val="none"/>
                <w:lang w:val="en-US" w:eastAsia="zh-CN"/>
              </w:rPr>
              <w:t>（2）财务要求：见投标人须知前附表。</w:t>
            </w:r>
          </w:p>
        </w:tc>
      </w:tr>
      <w:tr w14:paraId="7A2FA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shd w:val="clear" w:color="auto" w:fill="auto"/>
            <w:vAlign w:val="top"/>
          </w:tcPr>
          <w:p w14:paraId="0529B9BC">
            <w:pPr>
              <w:pStyle w:val="17"/>
              <w:spacing w:before="302" w:line="239" w:lineRule="auto"/>
              <w:ind w:left="349" w:leftChars="0"/>
              <w:rPr>
                <w:rFonts w:ascii="宋体" w:hAnsi="宋体" w:eastAsia="宋体" w:cs="宋体"/>
                <w:snapToGrid w:val="0"/>
                <w:color w:val="auto"/>
                <w:kern w:val="0"/>
                <w:sz w:val="21"/>
                <w:szCs w:val="21"/>
                <w:highlight w:val="none"/>
                <w:lang w:val="en-US" w:eastAsia="en-US" w:bidi="ar-SA"/>
              </w:rPr>
            </w:pPr>
            <w:r>
              <w:rPr>
                <w:color w:val="auto"/>
                <w:spacing w:val="-5"/>
                <w:highlight w:val="none"/>
              </w:rPr>
              <w:t>1.4.4</w:t>
            </w:r>
          </w:p>
        </w:tc>
        <w:tc>
          <w:tcPr>
            <w:tcW w:w="8107" w:type="dxa"/>
            <w:gridSpan w:val="2"/>
            <w:shd w:val="clear" w:color="auto" w:fill="auto"/>
            <w:vAlign w:val="top"/>
          </w:tcPr>
          <w:p w14:paraId="5E047ABC">
            <w:pPr>
              <w:pStyle w:val="17"/>
              <w:spacing w:before="302" w:line="220" w:lineRule="auto"/>
              <w:ind w:left="110" w:leftChars="0"/>
              <w:rPr>
                <w:rFonts w:ascii="宋体" w:hAnsi="宋体" w:eastAsia="宋体" w:cs="宋体"/>
                <w:snapToGrid w:val="0"/>
                <w:color w:val="auto"/>
                <w:kern w:val="0"/>
                <w:sz w:val="21"/>
                <w:szCs w:val="21"/>
                <w:highlight w:val="none"/>
                <w:lang w:val="en-US" w:eastAsia="en-US" w:bidi="ar-SA"/>
              </w:rPr>
            </w:pPr>
            <w:r>
              <w:rPr>
                <w:color w:val="auto"/>
                <w:spacing w:val="-3"/>
                <w:highlight w:val="none"/>
              </w:rPr>
              <w:t>第</w:t>
            </w:r>
            <w:r>
              <w:rPr>
                <w:color w:val="auto"/>
                <w:spacing w:val="-12"/>
                <w:highlight w:val="none"/>
              </w:rPr>
              <w:t xml:space="preserve"> </w:t>
            </w:r>
            <w:r>
              <w:rPr>
                <w:color w:val="auto"/>
                <w:spacing w:val="-3"/>
                <w:highlight w:val="none"/>
              </w:rPr>
              <w:t>1.4.4</w:t>
            </w:r>
            <w:r>
              <w:rPr>
                <w:color w:val="auto"/>
                <w:spacing w:val="-41"/>
                <w:highlight w:val="none"/>
              </w:rPr>
              <w:t xml:space="preserve"> </w:t>
            </w:r>
            <w:r>
              <w:rPr>
                <w:color w:val="auto"/>
                <w:spacing w:val="-3"/>
                <w:highlight w:val="none"/>
              </w:rPr>
              <w:t>项中（1）目中的“招标项目所在地”指“广东省”。</w:t>
            </w:r>
          </w:p>
        </w:tc>
      </w:tr>
      <w:tr w14:paraId="5D3BE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shd w:val="clear" w:color="auto" w:fill="auto"/>
            <w:vAlign w:val="center"/>
          </w:tcPr>
          <w:p w14:paraId="0DE9CCD0">
            <w:pPr>
              <w:pStyle w:val="17"/>
              <w:spacing w:before="302" w:line="239" w:lineRule="auto"/>
              <w:ind w:left="349" w:leftChars="0"/>
              <w:jc w:val="both"/>
              <w:rPr>
                <w:color w:val="auto"/>
                <w:spacing w:val="-5"/>
                <w:highlight w:val="none"/>
              </w:rPr>
            </w:pPr>
            <w:r>
              <w:rPr>
                <w:rFonts w:hint="eastAsia"/>
                <w:color w:val="auto"/>
                <w:spacing w:val="-5"/>
                <w:highlight w:val="none"/>
                <w:lang w:val="en-US" w:eastAsia="zh-CN"/>
              </w:rPr>
              <w:t>2.1</w:t>
            </w:r>
          </w:p>
        </w:tc>
        <w:tc>
          <w:tcPr>
            <w:tcW w:w="8107" w:type="dxa"/>
            <w:gridSpan w:val="2"/>
            <w:shd w:val="clear" w:color="auto" w:fill="auto"/>
            <w:vAlign w:val="top"/>
          </w:tcPr>
          <w:p w14:paraId="2CF41B0B">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投标</w:t>
            </w:r>
            <w:r>
              <w:rPr>
                <w:rFonts w:hint="eastAsia" w:ascii="宋体" w:hAnsi="宋体" w:eastAsia="宋体" w:cs="宋体"/>
                <w:bCs/>
                <w:snapToGrid w:val="0"/>
                <w:color w:val="auto"/>
                <w:kern w:val="0"/>
                <w:sz w:val="21"/>
                <w:szCs w:val="21"/>
                <w:highlight w:val="none"/>
                <w:lang w:val="en-US" w:eastAsia="zh-CN" w:bidi="ar-SA"/>
              </w:rPr>
              <w:t>人须知正文第2.1项内容修改如下：</w:t>
            </w:r>
          </w:p>
          <w:p w14:paraId="39FB6C0D">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2.1 招标文件的组成</w:t>
            </w:r>
          </w:p>
          <w:p w14:paraId="5C2876D9">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本招标文件包括：</w:t>
            </w:r>
          </w:p>
          <w:p w14:paraId="2EA837E2">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（1）</w:t>
            </w:r>
            <w:r>
              <w:rPr>
                <w:rFonts w:hint="eastAsia" w:ascii="宋体" w:hAnsi="宋体" w:eastAsia="宋体" w:cs="宋体"/>
                <w:bCs/>
                <w:color w:val="auto"/>
                <w:sz w:val="21"/>
                <w:szCs w:val="21"/>
                <w:highlight w:val="none"/>
                <w:lang w:val="en-US" w:eastAsia="zh-CN"/>
              </w:rPr>
              <w:t>招标</w:t>
            </w:r>
            <w:r>
              <w:rPr>
                <w:rFonts w:hint="eastAsia" w:ascii="宋体" w:hAnsi="宋体" w:eastAsia="宋体" w:cs="宋体"/>
                <w:bCs/>
                <w:snapToGrid w:val="0"/>
                <w:color w:val="auto"/>
                <w:kern w:val="0"/>
                <w:sz w:val="21"/>
                <w:szCs w:val="21"/>
                <w:highlight w:val="none"/>
                <w:lang w:val="en-US" w:eastAsia="zh-CN" w:bidi="ar-SA"/>
              </w:rPr>
              <w:t>公告；</w:t>
            </w:r>
          </w:p>
          <w:p w14:paraId="22D30527">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（2）投标人须知；</w:t>
            </w:r>
          </w:p>
          <w:p w14:paraId="4517FC6C">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（3）评标办法；</w:t>
            </w:r>
          </w:p>
          <w:p w14:paraId="142D0EB9">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（4）合同</w:t>
            </w:r>
            <w:r>
              <w:rPr>
                <w:rFonts w:hint="eastAsia" w:ascii="宋体" w:hAnsi="宋体" w:eastAsia="宋体" w:cs="宋体"/>
                <w:bCs/>
                <w:color w:val="auto"/>
                <w:sz w:val="21"/>
                <w:szCs w:val="21"/>
                <w:highlight w:val="none"/>
                <w:lang w:val="en-US" w:eastAsia="zh-CN"/>
              </w:rPr>
              <w:t>条款</w:t>
            </w:r>
            <w:r>
              <w:rPr>
                <w:rFonts w:hint="eastAsia" w:ascii="宋体" w:hAnsi="宋体" w:eastAsia="宋体" w:cs="宋体"/>
                <w:bCs/>
                <w:snapToGrid w:val="0"/>
                <w:color w:val="auto"/>
                <w:kern w:val="0"/>
                <w:sz w:val="21"/>
                <w:szCs w:val="21"/>
                <w:highlight w:val="none"/>
                <w:lang w:val="en-US" w:eastAsia="zh-CN" w:bidi="ar-SA"/>
              </w:rPr>
              <w:t>及格式；</w:t>
            </w:r>
          </w:p>
          <w:p w14:paraId="501F3C02">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（5）工程量清单；</w:t>
            </w:r>
          </w:p>
          <w:p w14:paraId="581F9B2E">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（6）图纸；</w:t>
            </w:r>
          </w:p>
          <w:p w14:paraId="79628BC7">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（7）技术规范；</w:t>
            </w:r>
          </w:p>
          <w:p w14:paraId="3C362403">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（8）工程量</w:t>
            </w:r>
            <w:r>
              <w:rPr>
                <w:rFonts w:hint="eastAsia" w:ascii="宋体" w:hAnsi="宋体" w:eastAsia="宋体" w:cs="宋体"/>
                <w:bCs/>
                <w:color w:val="auto"/>
                <w:sz w:val="21"/>
                <w:szCs w:val="21"/>
                <w:highlight w:val="none"/>
                <w:lang w:val="en-US" w:eastAsia="zh-CN"/>
              </w:rPr>
              <w:t>清单</w:t>
            </w:r>
            <w:r>
              <w:rPr>
                <w:rFonts w:hint="eastAsia" w:ascii="宋体" w:hAnsi="宋体" w:eastAsia="宋体" w:cs="宋体"/>
                <w:bCs/>
                <w:snapToGrid w:val="0"/>
                <w:color w:val="auto"/>
                <w:kern w:val="0"/>
                <w:sz w:val="21"/>
                <w:szCs w:val="21"/>
                <w:highlight w:val="none"/>
                <w:lang w:val="en-US" w:eastAsia="zh-CN" w:bidi="ar-SA"/>
              </w:rPr>
              <w:t>计量规则；</w:t>
            </w:r>
          </w:p>
          <w:p w14:paraId="58FFB683">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（9）投标文件格式；</w:t>
            </w:r>
          </w:p>
          <w:p w14:paraId="0AB343ED">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（10）投标人</w:t>
            </w:r>
            <w:r>
              <w:rPr>
                <w:rFonts w:hint="eastAsia" w:ascii="宋体" w:hAnsi="宋体" w:eastAsia="宋体" w:cs="宋体"/>
                <w:bCs/>
                <w:color w:val="auto"/>
                <w:sz w:val="21"/>
                <w:szCs w:val="21"/>
                <w:highlight w:val="none"/>
                <w:lang w:val="en-US" w:eastAsia="zh-CN"/>
              </w:rPr>
              <w:t>须知</w:t>
            </w:r>
            <w:r>
              <w:rPr>
                <w:rFonts w:hint="eastAsia" w:ascii="宋体" w:hAnsi="宋体" w:eastAsia="宋体" w:cs="宋体"/>
                <w:bCs/>
                <w:snapToGrid w:val="0"/>
                <w:color w:val="auto"/>
                <w:kern w:val="0"/>
                <w:sz w:val="21"/>
                <w:szCs w:val="21"/>
                <w:highlight w:val="none"/>
                <w:lang w:val="en-US" w:eastAsia="zh-CN" w:bidi="ar-SA"/>
              </w:rPr>
              <w:t>前附表规定的其他资料。</w:t>
            </w:r>
          </w:p>
          <w:p w14:paraId="433083D9">
            <w:pPr>
              <w:autoSpaceDE w:val="0"/>
              <w:autoSpaceDN w:val="0"/>
              <w:adjustRightInd w:val="0"/>
              <w:spacing w:before="26"/>
              <w:ind w:left="218" w:leftChars="103" w:right="147" w:hanging="2"/>
              <w:rPr>
                <w:rFonts w:hint="eastAsia" w:ascii="宋体" w:hAnsi="宋体" w:eastAsia="宋体" w:cs="宋体"/>
                <w:bCs/>
                <w:snapToGrid w:val="0"/>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snapToGrid w:val="0"/>
                <w:color w:val="auto"/>
                <w:kern w:val="0"/>
                <w:sz w:val="21"/>
                <w:szCs w:val="21"/>
                <w:highlight w:val="none"/>
                <w:lang w:val="en-US" w:eastAsia="zh-CN" w:bidi="ar-SA"/>
              </w:rPr>
              <w:t>本章第 1.10 款、第 2.2 款和第 2.3 款对招标文件所作的澄清、修改，构成招标文件的组成部分。</w:t>
            </w:r>
          </w:p>
          <w:p w14:paraId="587A6F65">
            <w:pPr>
              <w:autoSpaceDE w:val="0"/>
              <w:autoSpaceDN w:val="0"/>
              <w:adjustRightInd w:val="0"/>
              <w:spacing w:before="26"/>
              <w:ind w:left="218" w:leftChars="103" w:right="147" w:hanging="2"/>
              <w:rPr>
                <w:color w:val="auto"/>
                <w:spacing w:val="-3"/>
                <w:highlight w:val="none"/>
              </w:rPr>
            </w:pPr>
            <w:r>
              <w:rPr>
                <w:rFonts w:hint="eastAsia" w:ascii="宋体" w:hAnsi="宋体" w:eastAsia="宋体" w:cs="宋体"/>
                <w:bCs/>
                <w:snapToGrid w:val="0"/>
                <w:color w:val="auto"/>
                <w:kern w:val="0"/>
                <w:sz w:val="21"/>
                <w:szCs w:val="21"/>
                <w:highlight w:val="none"/>
                <w:lang w:val="en-US" w:eastAsia="zh-CN" w:bidi="ar-SA"/>
              </w:rPr>
              <w:t>当招标文件、招标文件的澄清或修改等在同一内容的表述上不一致时，以最后发出的书面文件为准。</w:t>
            </w:r>
          </w:p>
        </w:tc>
      </w:tr>
      <w:tr w14:paraId="1114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625297FC">
            <w:pPr>
              <w:jc w:val="center"/>
              <w:rPr>
                <w:color w:val="auto"/>
                <w:spacing w:val="-5"/>
                <w:highlight w:val="none"/>
              </w:rPr>
            </w:pPr>
            <w:r>
              <w:rPr>
                <w:rFonts w:hint="eastAsia" w:ascii="宋体" w:hAnsi="宋体" w:eastAsia="宋体" w:cs="宋体"/>
                <w:color w:val="auto"/>
                <w:sz w:val="21"/>
                <w:szCs w:val="21"/>
                <w:highlight w:val="none"/>
              </w:rPr>
              <w:t>2.2.1</w:t>
            </w:r>
          </w:p>
        </w:tc>
        <w:tc>
          <w:tcPr>
            <w:tcW w:w="8107" w:type="dxa"/>
            <w:gridSpan w:val="2"/>
            <w:vAlign w:val="top"/>
          </w:tcPr>
          <w:p w14:paraId="75DA88AE">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投标人须知正文第2.2.1项内容修改如下：</w:t>
            </w:r>
          </w:p>
          <w:p w14:paraId="3D04E4EE">
            <w:pPr>
              <w:autoSpaceDE w:val="0"/>
              <w:autoSpaceDN w:val="0"/>
              <w:adjustRightInd w:val="0"/>
              <w:spacing w:before="26"/>
              <w:ind w:left="212" w:leftChars="101" w:right="147" w:rightChars="0" w:firstLine="426" w:firstLineChars="0"/>
              <w:rPr>
                <w:color w:val="auto"/>
                <w:spacing w:val="-3"/>
                <w:highlight w:val="none"/>
              </w:rPr>
            </w:pPr>
            <w:r>
              <w:rPr>
                <w:rFonts w:hint="eastAsia" w:ascii="宋体" w:hAnsi="宋体" w:eastAsia="宋体" w:cs="宋体"/>
                <w:bCs/>
                <w:color w:val="auto"/>
                <w:sz w:val="21"/>
                <w:szCs w:val="21"/>
                <w:highlight w:val="none"/>
                <w:lang w:val="en-US" w:eastAsia="zh-CN"/>
              </w:rPr>
              <w:t>投标人应仔细阅读和检查招标文件的全部内容。如发现缺页或附件不全，应及时向招标人提出，以便补齐。如有疑问，应在投标须知前附表规定的时间在</w:t>
            </w:r>
            <w:r>
              <w:rPr>
                <w:rFonts w:hint="eastAsia" w:ascii="宋体" w:hAnsi="宋体" w:eastAsia="宋体" w:cs="宋体"/>
                <w:color w:val="auto"/>
                <w:sz w:val="21"/>
                <w:szCs w:val="21"/>
                <w:highlight w:val="none"/>
                <w:u w:val="single"/>
                <w:lang w:val="en-US" w:eastAsia="zh-CN"/>
              </w:rPr>
              <w:t>广州交易集团有限公司（广州公共资源交易中心）网站</w:t>
            </w:r>
            <w:r>
              <w:rPr>
                <w:rFonts w:hint="eastAsia" w:ascii="宋体" w:hAnsi="宋体" w:eastAsia="宋体" w:cs="宋体"/>
                <w:bCs/>
                <w:color w:val="auto"/>
                <w:sz w:val="21"/>
                <w:szCs w:val="21"/>
                <w:highlight w:val="none"/>
                <w:lang w:val="en-US" w:eastAsia="zh-CN"/>
              </w:rPr>
              <w:t>上提出，要求招标人对招标文件予以澄清。</w:t>
            </w:r>
          </w:p>
        </w:tc>
      </w:tr>
      <w:tr w14:paraId="33BF3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32B8059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8107" w:type="dxa"/>
            <w:gridSpan w:val="2"/>
            <w:vAlign w:val="top"/>
          </w:tcPr>
          <w:p w14:paraId="77D3EF0D">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投标人须知正文第2.2.2项内容修改如下：</w:t>
            </w:r>
          </w:p>
          <w:p w14:paraId="59E85436">
            <w:pPr>
              <w:autoSpaceDE w:val="0"/>
              <w:autoSpaceDN w:val="0"/>
              <w:adjustRightInd w:val="0"/>
              <w:spacing w:before="26"/>
              <w:ind w:left="212" w:leftChars="101" w:right="147" w:rightChars="0" w:firstLine="426"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招标文件的澄清以投标人须知前附表规定的形式发给所有潜在投标人，但不指明澄清问题的来源。澄清发出的时间距本章第4.2.1项规定的投标截止时间不足15日，且澄清内容可能影响投标文件编制的，将相应延长投标截止时间。</w:t>
            </w:r>
          </w:p>
        </w:tc>
      </w:tr>
      <w:tr w14:paraId="77A4C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7C655E4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2.2.4</w:t>
            </w:r>
          </w:p>
        </w:tc>
        <w:tc>
          <w:tcPr>
            <w:tcW w:w="8107" w:type="dxa"/>
            <w:gridSpan w:val="2"/>
            <w:vAlign w:val="top"/>
          </w:tcPr>
          <w:p w14:paraId="2171BB8E">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投标人须知正文第2.2.4项内容修改如下：</w:t>
            </w:r>
          </w:p>
          <w:p w14:paraId="49F551F7">
            <w:pPr>
              <w:autoSpaceDE w:val="0"/>
              <w:autoSpaceDN w:val="0"/>
              <w:adjustRightInd w:val="0"/>
              <w:spacing w:before="26"/>
              <w:ind w:left="212" w:leftChars="101" w:right="147" w:rightChars="0" w:firstLine="426"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除非招标人认为确有必要答复，否则，招标人有权拒绝回复投标人在本章第2.2.1项规定的时间后的任何澄清要求。</w:t>
            </w:r>
          </w:p>
        </w:tc>
      </w:tr>
      <w:tr w14:paraId="00797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540A199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2.3.1</w:t>
            </w:r>
          </w:p>
        </w:tc>
        <w:tc>
          <w:tcPr>
            <w:tcW w:w="8107" w:type="dxa"/>
            <w:gridSpan w:val="2"/>
            <w:vAlign w:val="top"/>
          </w:tcPr>
          <w:p w14:paraId="3B4A15AF">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投标人须知正文第2.3.1项内容修改如下：</w:t>
            </w:r>
          </w:p>
          <w:p w14:paraId="6C891891">
            <w:pPr>
              <w:autoSpaceDE w:val="0"/>
              <w:autoSpaceDN w:val="0"/>
              <w:adjustRightInd w:val="0"/>
              <w:spacing w:before="26"/>
              <w:ind w:left="212" w:leftChars="101" w:right="147" w:rightChars="0" w:firstLine="426"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人以投标人须知前附表规定的形式发出招标文件修改通知。修改招标文件的时间距本章第4.2.1项规定的投标截止时间不足15日，且修改内容可能影响投标文件编制的，将相应延长投标截止时间，具体时间将在招标文件的修改、补充通知中予以明确。</w:t>
            </w:r>
          </w:p>
        </w:tc>
      </w:tr>
      <w:tr w14:paraId="5B681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10C7610E">
            <w:pPr>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2.4</w:t>
            </w:r>
          </w:p>
        </w:tc>
        <w:tc>
          <w:tcPr>
            <w:tcW w:w="8107" w:type="dxa"/>
            <w:gridSpan w:val="2"/>
            <w:vAlign w:val="top"/>
          </w:tcPr>
          <w:p w14:paraId="4E0FCD69">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投标人须知正文第2.4项内容修改如下：</w:t>
            </w:r>
          </w:p>
          <w:p w14:paraId="0AEE69D9">
            <w:pPr>
              <w:autoSpaceDE w:val="0"/>
              <w:autoSpaceDN w:val="0"/>
              <w:adjustRightInd w:val="0"/>
              <w:spacing w:before="26"/>
              <w:ind w:left="212" w:leftChars="101" w:right="147" w:rightChars="0" w:firstLine="426"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投标人或其他利害关系人对招标文件有异议的，应在投标截止时间1</w:t>
            </w:r>
            <w:r>
              <w:rPr>
                <w:rFonts w:hint="eastAsia" w:ascii="宋体"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日前在</w:t>
            </w:r>
            <w:r>
              <w:rPr>
                <w:rFonts w:hint="eastAsia" w:ascii="宋体" w:hAnsi="宋体" w:eastAsia="宋体" w:cs="宋体"/>
                <w:color w:val="auto"/>
                <w:sz w:val="21"/>
                <w:szCs w:val="21"/>
                <w:highlight w:val="none"/>
                <w:u w:val="single"/>
                <w:lang w:val="en-US" w:eastAsia="zh-CN"/>
              </w:rPr>
              <w:t>广州交易集团有限公司（广州公共资源交易中心）网站</w:t>
            </w:r>
            <w:r>
              <w:rPr>
                <w:rFonts w:hint="eastAsia" w:ascii="宋体" w:hAnsi="宋体" w:eastAsia="宋体" w:cs="宋体"/>
                <w:bCs/>
                <w:color w:val="auto"/>
                <w:sz w:val="21"/>
                <w:szCs w:val="21"/>
                <w:highlight w:val="none"/>
              </w:rPr>
              <w:t>上提出。招标人将在收到异议之日起3日内作出答复；作出答复前，将暂停招标投标活动。</w:t>
            </w:r>
          </w:p>
        </w:tc>
      </w:tr>
      <w:tr w14:paraId="22C5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48600D8C">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3.1.1</w:t>
            </w:r>
          </w:p>
        </w:tc>
        <w:tc>
          <w:tcPr>
            <w:tcW w:w="8107" w:type="dxa"/>
            <w:gridSpan w:val="2"/>
            <w:vAlign w:val="center"/>
          </w:tcPr>
          <w:p w14:paraId="55379F6D">
            <w:pPr>
              <w:autoSpaceDE w:val="0"/>
              <w:autoSpaceDN w:val="0"/>
              <w:adjustRightInd w:val="0"/>
              <w:spacing w:before="26"/>
              <w:ind w:left="218" w:leftChars="103" w:right="147" w:hanging="2"/>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投标人须知正文第3.1.1项内容修改如下：</w:t>
            </w:r>
          </w:p>
          <w:p w14:paraId="40253AA0">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投标文件应包括下列内容：</w:t>
            </w:r>
          </w:p>
          <w:p w14:paraId="1D7C7953">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3.1.1 投标文件应包括下列内容：</w:t>
            </w:r>
          </w:p>
          <w:p w14:paraId="3AD1467F">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第一个信封（商务及技术文件）：</w:t>
            </w:r>
          </w:p>
          <w:p w14:paraId="0FAE8612">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（1）投标函及投标函附录；</w:t>
            </w:r>
          </w:p>
          <w:p w14:paraId="19E76A12">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（2）法定代表人身份证明或附有法定代表人身份证明的授权委托书；</w:t>
            </w:r>
          </w:p>
          <w:p w14:paraId="6B342BB2">
            <w:pPr>
              <w:autoSpaceDE w:val="0"/>
              <w:autoSpaceDN w:val="0"/>
              <w:adjustRightInd w:val="0"/>
              <w:spacing w:before="30"/>
              <w:ind w:left="218" w:leftChars="103" w:right="-20" w:hanging="2"/>
              <w:rPr>
                <w:rFonts w:hint="eastAsia" w:ascii="宋体" w:hAnsi="宋体" w:eastAsia="宋体" w:cs="宋体"/>
                <w:bCs/>
                <w:strike/>
                <w:dstrike w:val="0"/>
                <w:color w:val="auto"/>
                <w:sz w:val="21"/>
                <w:szCs w:val="21"/>
                <w:highlight w:val="none"/>
              </w:rPr>
            </w:pPr>
            <w:r>
              <w:rPr>
                <w:rFonts w:hint="eastAsia" w:ascii="宋体" w:hAnsi="宋体" w:eastAsia="宋体" w:cs="宋体"/>
                <w:bCs/>
                <w:strike/>
                <w:dstrike w:val="0"/>
                <w:color w:val="auto"/>
                <w:sz w:val="21"/>
                <w:szCs w:val="21"/>
                <w:highlight w:val="none"/>
              </w:rPr>
              <w:t>（3）联合体协议书；</w:t>
            </w:r>
          </w:p>
          <w:p w14:paraId="72EC2AF5">
            <w:pPr>
              <w:autoSpaceDE w:val="0"/>
              <w:autoSpaceDN w:val="0"/>
              <w:adjustRightInd w:val="0"/>
              <w:spacing w:before="30"/>
              <w:ind w:left="218" w:leftChars="103" w:right="-20" w:hanging="2"/>
              <w:rPr>
                <w:rFonts w:hint="eastAsia" w:ascii="宋体" w:hAnsi="宋体" w:eastAsia="宋体" w:cs="宋体"/>
                <w:bCs/>
                <w:strike/>
                <w:dstrike w:val="0"/>
                <w:color w:val="auto"/>
                <w:sz w:val="21"/>
                <w:szCs w:val="21"/>
                <w:highlight w:val="none"/>
              </w:rPr>
            </w:pPr>
            <w:r>
              <w:rPr>
                <w:rFonts w:hint="eastAsia" w:ascii="宋体" w:hAnsi="宋体" w:eastAsia="宋体" w:cs="宋体"/>
                <w:bCs/>
                <w:strike/>
                <w:dstrike w:val="0"/>
                <w:color w:val="auto"/>
                <w:sz w:val="21"/>
                <w:szCs w:val="21"/>
                <w:highlight w:val="none"/>
              </w:rPr>
              <w:t>（4）投标保证金；</w:t>
            </w:r>
          </w:p>
          <w:p w14:paraId="6C6D21D0">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（5）施工组织设计</w:t>
            </w:r>
            <w:r>
              <w:rPr>
                <w:rFonts w:hint="eastAsia" w:ascii="宋体" w:hAnsi="宋体" w:eastAsia="宋体" w:cs="宋体"/>
                <w:bCs/>
                <w:strike/>
                <w:dstrike w:val="0"/>
                <w:color w:val="auto"/>
                <w:sz w:val="21"/>
                <w:szCs w:val="21"/>
                <w:highlight w:val="none"/>
              </w:rPr>
              <w:t>及承包人项目管理方案</w:t>
            </w:r>
            <w:r>
              <w:rPr>
                <w:rFonts w:hint="eastAsia" w:ascii="宋体" w:hAnsi="宋体" w:eastAsia="宋体" w:cs="宋体"/>
                <w:bCs/>
                <w:color w:val="auto"/>
                <w:sz w:val="21"/>
                <w:szCs w:val="21"/>
                <w:highlight w:val="none"/>
              </w:rPr>
              <w:t>；</w:t>
            </w:r>
          </w:p>
          <w:p w14:paraId="4653527A">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（6）项目管理机构；</w:t>
            </w:r>
          </w:p>
          <w:p w14:paraId="6924EBB3">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（7）资格审查资料；</w:t>
            </w:r>
          </w:p>
          <w:p w14:paraId="4BE96817">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（8）投标人须知前附表规定的其他资料。</w:t>
            </w:r>
          </w:p>
          <w:p w14:paraId="08ABF66C">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第二个信封（报价文件）：</w:t>
            </w:r>
          </w:p>
          <w:p w14:paraId="6A9E3895">
            <w:pPr>
              <w:autoSpaceDE w:val="0"/>
              <w:autoSpaceDN w:val="0"/>
              <w:adjustRightInd w:val="0"/>
              <w:spacing w:before="30"/>
              <w:ind w:left="218" w:leftChars="103" w:right="-20" w:hanging="2"/>
              <w:rPr>
                <w:rFonts w:hint="eastAsia" w:ascii="宋体" w:hAnsi="宋体" w:eastAsia="宋体" w:cs="宋体"/>
                <w:bCs/>
                <w:strike/>
                <w:dstrike w:val="0"/>
                <w:color w:val="auto"/>
                <w:sz w:val="21"/>
                <w:szCs w:val="21"/>
                <w:highlight w:val="none"/>
              </w:rPr>
            </w:pPr>
            <w:r>
              <w:rPr>
                <w:rFonts w:hint="eastAsia" w:ascii="宋体" w:hAnsi="宋体" w:eastAsia="宋体" w:cs="宋体"/>
                <w:bCs/>
                <w:strike/>
                <w:dstrike w:val="0"/>
                <w:color w:val="auto"/>
                <w:sz w:val="21"/>
                <w:szCs w:val="21"/>
                <w:highlight w:val="none"/>
              </w:rPr>
              <w:t>（1）调价函及调价后的工程量清单（如有）；</w:t>
            </w:r>
          </w:p>
          <w:p w14:paraId="34773C07">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（2）投标函；</w:t>
            </w:r>
          </w:p>
          <w:p w14:paraId="2C8C28AF">
            <w:pPr>
              <w:autoSpaceDE w:val="0"/>
              <w:autoSpaceDN w:val="0"/>
              <w:adjustRightInd w:val="0"/>
              <w:spacing w:before="30"/>
              <w:ind w:left="218" w:leftChars="103" w:right="-20" w:hanging="2"/>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（3）已标价工程量清单。</w:t>
            </w:r>
          </w:p>
          <w:p w14:paraId="52420C0D">
            <w:pPr>
              <w:autoSpaceDE w:val="0"/>
              <w:autoSpaceDN w:val="0"/>
              <w:adjustRightInd w:val="0"/>
              <w:spacing w:before="30"/>
              <w:ind w:left="218" w:leftChars="103" w:right="-20" w:rightChars="0" w:hanging="2"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删除</w:t>
            </w:r>
            <w:r>
              <w:rPr>
                <w:rFonts w:hint="eastAsia" w:ascii="宋体" w:hAnsi="宋体" w:eastAsia="宋体" w:cs="宋体"/>
                <w:bCs/>
                <w:color w:val="auto"/>
                <w:sz w:val="21"/>
                <w:szCs w:val="21"/>
                <w:highlight w:val="none"/>
                <w:lang w:val="en-US" w:eastAsia="zh-CN"/>
              </w:rPr>
              <w:t>投标人须知正文第</w:t>
            </w:r>
            <w:r>
              <w:rPr>
                <w:rFonts w:hint="eastAsia" w:ascii="宋体" w:hAnsi="宋体" w:eastAsia="宋体" w:cs="宋体"/>
                <w:bCs/>
                <w:color w:val="auto"/>
                <w:sz w:val="21"/>
                <w:szCs w:val="21"/>
                <w:highlight w:val="none"/>
              </w:rPr>
              <w:t>3.1.2、3.1.3</w:t>
            </w:r>
            <w:r>
              <w:rPr>
                <w:rFonts w:hint="eastAsia" w:ascii="宋体" w:hAnsi="宋体" w:eastAsia="宋体" w:cs="宋体"/>
                <w:bCs/>
                <w:color w:val="auto"/>
                <w:sz w:val="21"/>
                <w:szCs w:val="21"/>
                <w:highlight w:val="none"/>
                <w:lang w:val="en-US" w:eastAsia="zh-CN"/>
              </w:rPr>
              <w:t>项</w:t>
            </w:r>
            <w:r>
              <w:rPr>
                <w:rFonts w:hint="eastAsia" w:ascii="宋体" w:hAnsi="宋体" w:eastAsia="宋体" w:cs="宋体"/>
                <w:bCs/>
                <w:color w:val="auto"/>
                <w:sz w:val="21"/>
                <w:szCs w:val="21"/>
                <w:highlight w:val="none"/>
              </w:rPr>
              <w:t>内容。</w:t>
            </w:r>
          </w:p>
        </w:tc>
      </w:tr>
      <w:tr w14:paraId="32689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68CF16D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3.1.2、3.1.3</w:t>
            </w:r>
          </w:p>
        </w:tc>
        <w:tc>
          <w:tcPr>
            <w:tcW w:w="8107" w:type="dxa"/>
            <w:gridSpan w:val="2"/>
            <w:vAlign w:val="center"/>
          </w:tcPr>
          <w:p w14:paraId="46FBE08D">
            <w:pPr>
              <w:autoSpaceDE w:val="0"/>
              <w:autoSpaceDN w:val="0"/>
              <w:adjustRightInd w:val="0"/>
              <w:spacing w:before="26"/>
              <w:ind w:right="147" w:rightChars="0" w:firstLine="210" w:firstLineChars="1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删除</w:t>
            </w:r>
            <w:r>
              <w:rPr>
                <w:color w:val="auto"/>
                <w:spacing w:val="-3"/>
                <w:highlight w:val="none"/>
              </w:rPr>
              <w:t>原</w:t>
            </w:r>
            <w:r>
              <w:rPr>
                <w:rFonts w:hint="eastAsia" w:ascii="宋体" w:hAnsi="宋体" w:eastAsia="宋体" w:cs="宋体"/>
                <w:bCs/>
                <w:color w:val="auto"/>
                <w:sz w:val="21"/>
                <w:szCs w:val="21"/>
                <w:highlight w:val="none"/>
              </w:rPr>
              <w:t>3.1.2、3.1.3</w:t>
            </w:r>
            <w:r>
              <w:rPr>
                <w:color w:val="auto"/>
                <w:spacing w:val="-3"/>
                <w:highlight w:val="none"/>
              </w:rPr>
              <w:t>条款内容</w:t>
            </w:r>
            <w:r>
              <w:rPr>
                <w:rFonts w:hint="eastAsia" w:ascii="宋体" w:hAnsi="宋体" w:eastAsia="宋体" w:cs="宋体"/>
                <w:bCs/>
                <w:color w:val="auto"/>
                <w:sz w:val="21"/>
                <w:szCs w:val="21"/>
                <w:highlight w:val="none"/>
              </w:rPr>
              <w:t>。</w:t>
            </w:r>
          </w:p>
        </w:tc>
      </w:tr>
      <w:tr w14:paraId="0A4FD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0199D816">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3.2.1</w:t>
            </w:r>
          </w:p>
        </w:tc>
        <w:tc>
          <w:tcPr>
            <w:tcW w:w="8107" w:type="dxa"/>
            <w:gridSpan w:val="2"/>
            <w:vAlign w:val="center"/>
          </w:tcPr>
          <w:p w14:paraId="4269DEB9">
            <w:pPr>
              <w:autoSpaceDE w:val="0"/>
              <w:autoSpaceDN w:val="0"/>
              <w:adjustRightInd w:val="0"/>
              <w:spacing w:before="26"/>
              <w:ind w:right="147" w:rightChars="0" w:firstLine="210" w:firstLineChars="1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删除</w:t>
            </w:r>
            <w:r>
              <w:rPr>
                <w:color w:val="auto"/>
                <w:spacing w:val="-3"/>
                <w:highlight w:val="none"/>
              </w:rPr>
              <w:t>原</w:t>
            </w:r>
            <w:r>
              <w:rPr>
                <w:rFonts w:hint="eastAsia" w:ascii="宋体" w:hAnsi="宋体" w:eastAsia="宋体" w:cs="宋体"/>
                <w:bCs/>
                <w:color w:val="auto"/>
                <w:sz w:val="21"/>
                <w:szCs w:val="21"/>
                <w:highlight w:val="none"/>
                <w:lang w:val="en-US" w:eastAsia="zh-CN"/>
              </w:rPr>
              <w:t>3.2.1方式二</w:t>
            </w:r>
            <w:r>
              <w:rPr>
                <w:color w:val="auto"/>
                <w:spacing w:val="-3"/>
                <w:highlight w:val="none"/>
              </w:rPr>
              <w:t>条款</w:t>
            </w:r>
            <w:r>
              <w:rPr>
                <w:rFonts w:hint="eastAsia" w:ascii="宋体" w:hAnsi="宋体" w:eastAsia="宋体" w:cs="宋体"/>
                <w:bCs/>
                <w:color w:val="auto"/>
                <w:sz w:val="21"/>
                <w:szCs w:val="21"/>
                <w:highlight w:val="none"/>
              </w:rPr>
              <w:t>内容。</w:t>
            </w:r>
          </w:p>
        </w:tc>
      </w:tr>
      <w:tr w14:paraId="68C50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shd w:val="clear" w:color="auto" w:fill="auto"/>
            <w:vAlign w:val="center"/>
          </w:tcPr>
          <w:p w14:paraId="085C2A21">
            <w:pPr>
              <w:autoSpaceDE w:val="0"/>
              <w:autoSpaceDN w:val="0"/>
              <w:adjustRightInd w:val="0"/>
              <w:spacing w:before="26"/>
              <w:ind w:right="147" w:rightChars="0" w:firstLine="210" w:firstLineChars="10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3.2.6</w:t>
            </w:r>
          </w:p>
        </w:tc>
        <w:tc>
          <w:tcPr>
            <w:tcW w:w="8107" w:type="dxa"/>
            <w:gridSpan w:val="2"/>
            <w:shd w:val="clear" w:color="auto" w:fill="auto"/>
            <w:vAlign w:val="center"/>
          </w:tcPr>
          <w:p w14:paraId="7E4A3DC0">
            <w:pPr>
              <w:autoSpaceDE w:val="0"/>
              <w:autoSpaceDN w:val="0"/>
              <w:adjustRightInd w:val="0"/>
              <w:spacing w:before="26"/>
              <w:ind w:right="147" w:rightChars="0" w:firstLine="210" w:firstLineChars="100"/>
              <w:jc w:val="both"/>
              <w:rPr>
                <w:rFonts w:hint="eastAsia" w:ascii="宋体" w:hAnsi="宋体" w:eastAsia="宋体" w:cs="宋体"/>
                <w:bCs/>
                <w:snapToGrid w:val="0"/>
                <w:color w:val="auto"/>
                <w:kern w:val="0"/>
                <w:sz w:val="21"/>
                <w:szCs w:val="21"/>
                <w:highlight w:val="none"/>
                <w:lang w:val="en-US" w:eastAsia="en-US" w:bidi="ar-SA"/>
              </w:rPr>
            </w:pPr>
            <w:r>
              <w:rPr>
                <w:rFonts w:hint="eastAsia" w:ascii="宋体" w:hAnsi="宋体" w:eastAsia="宋体" w:cs="宋体"/>
                <w:bCs/>
                <w:color w:val="auto"/>
                <w:sz w:val="21"/>
                <w:szCs w:val="21"/>
                <w:highlight w:val="none"/>
                <w:lang w:val="en-US" w:eastAsia="zh-CN"/>
              </w:rPr>
              <w:t>删除原3.2.6条款内容</w:t>
            </w:r>
          </w:p>
        </w:tc>
      </w:tr>
      <w:tr w14:paraId="436F0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0E14C007">
            <w:pPr>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8107" w:type="dxa"/>
            <w:gridSpan w:val="2"/>
            <w:vAlign w:val="center"/>
          </w:tcPr>
          <w:p w14:paraId="1C520399">
            <w:pPr>
              <w:autoSpaceDE w:val="0"/>
              <w:autoSpaceDN w:val="0"/>
              <w:adjustRightInd w:val="0"/>
              <w:spacing w:before="26"/>
              <w:ind w:right="147" w:rightChars="0" w:firstLine="210" w:firstLineChars="100"/>
              <w:jc w:val="both"/>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删除</w:t>
            </w:r>
            <w:r>
              <w:rPr>
                <w:color w:val="auto"/>
                <w:spacing w:val="-3"/>
                <w:highlight w:val="none"/>
              </w:rPr>
              <w:t>原</w:t>
            </w:r>
            <w:r>
              <w:rPr>
                <w:rFonts w:hint="eastAsia" w:ascii="宋体" w:hAnsi="宋体" w:eastAsia="宋体" w:cs="宋体"/>
                <w:bCs/>
                <w:color w:val="auto"/>
                <w:sz w:val="21"/>
                <w:szCs w:val="21"/>
                <w:highlight w:val="none"/>
                <w:lang w:val="en-US" w:eastAsia="zh-CN"/>
              </w:rPr>
              <w:t>3.4</w:t>
            </w:r>
            <w:r>
              <w:rPr>
                <w:color w:val="auto"/>
                <w:spacing w:val="-3"/>
                <w:highlight w:val="none"/>
              </w:rPr>
              <w:t>条款</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eastAsia="zh-CN"/>
              </w:rPr>
              <w:t>。</w:t>
            </w:r>
          </w:p>
        </w:tc>
      </w:tr>
      <w:tr w14:paraId="47779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center"/>
          </w:tcPr>
          <w:p w14:paraId="5EB9171E">
            <w:pPr>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3.5</w:t>
            </w:r>
          </w:p>
        </w:tc>
        <w:tc>
          <w:tcPr>
            <w:tcW w:w="8107" w:type="dxa"/>
            <w:gridSpan w:val="2"/>
            <w:vAlign w:val="center"/>
          </w:tcPr>
          <w:p w14:paraId="5D5A6430">
            <w:pPr>
              <w:autoSpaceDE w:val="0"/>
              <w:autoSpaceDN w:val="0"/>
              <w:adjustRightInd w:val="0"/>
              <w:spacing w:before="26"/>
              <w:ind w:right="147" w:rightChars="0" w:firstLine="210" w:firstLineChars="100"/>
              <w:jc w:val="both"/>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删除</w:t>
            </w:r>
            <w:r>
              <w:rPr>
                <w:color w:val="auto"/>
                <w:spacing w:val="-3"/>
                <w:highlight w:val="none"/>
              </w:rPr>
              <w:t>原</w:t>
            </w:r>
            <w:r>
              <w:rPr>
                <w:rFonts w:hint="eastAsia" w:ascii="宋体" w:hAnsi="宋体" w:eastAsia="宋体" w:cs="宋体"/>
                <w:bCs/>
                <w:color w:val="auto"/>
                <w:sz w:val="21"/>
                <w:szCs w:val="21"/>
                <w:highlight w:val="none"/>
                <w:lang w:val="en-US" w:eastAsia="zh-CN"/>
              </w:rPr>
              <w:t>3.5资格审查资料（适用于已进行资格预审的）</w:t>
            </w:r>
            <w:r>
              <w:rPr>
                <w:color w:val="auto"/>
                <w:spacing w:val="-3"/>
                <w:highlight w:val="none"/>
              </w:rPr>
              <w:t>条款</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eastAsia="zh-CN"/>
              </w:rPr>
              <w:t>。</w:t>
            </w:r>
          </w:p>
        </w:tc>
      </w:tr>
      <w:tr w14:paraId="456B9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04B1A7ED">
            <w:pPr>
              <w:pStyle w:val="17"/>
              <w:spacing w:before="303" w:line="239" w:lineRule="auto"/>
              <w:ind w:left="338"/>
              <w:rPr>
                <w:color w:val="auto"/>
                <w:highlight w:val="none"/>
              </w:rPr>
            </w:pPr>
            <w:r>
              <w:rPr>
                <w:color w:val="auto"/>
                <w:spacing w:val="-3"/>
                <w:highlight w:val="none"/>
              </w:rPr>
              <w:t>3.5.2</w:t>
            </w:r>
          </w:p>
        </w:tc>
        <w:tc>
          <w:tcPr>
            <w:tcW w:w="8107" w:type="dxa"/>
            <w:gridSpan w:val="2"/>
            <w:vAlign w:val="top"/>
          </w:tcPr>
          <w:p w14:paraId="0CB064AF">
            <w:pPr>
              <w:pStyle w:val="17"/>
              <w:spacing w:before="287" w:line="233" w:lineRule="auto"/>
              <w:ind w:left="111"/>
              <w:rPr>
                <w:color w:val="auto"/>
                <w:highlight w:val="none"/>
              </w:rPr>
            </w:pPr>
            <w:r>
              <w:rPr>
                <w:rFonts w:hint="eastAsia" w:ascii="宋体" w:hAnsi="宋体" w:eastAsia="宋体" w:cs="宋体"/>
                <w:color w:val="auto"/>
                <w:spacing w:val="13"/>
                <w:sz w:val="21"/>
                <w:szCs w:val="21"/>
                <w:highlight w:val="none"/>
                <w:lang w:val="en-US" w:eastAsia="zh-CN"/>
              </w:rPr>
              <w:t>本项目不需提供</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9"/>
                <w:sz w:val="21"/>
                <w:szCs w:val="21"/>
                <w:highlight w:val="none"/>
              </w:rPr>
              <w:t>近年财务状况表”</w:t>
            </w:r>
            <w:r>
              <w:rPr>
                <w:rFonts w:hint="eastAsia" w:ascii="宋体" w:hAnsi="宋体" w:eastAsia="宋体" w:cs="宋体"/>
                <w:color w:val="auto"/>
                <w:spacing w:val="9"/>
                <w:sz w:val="21"/>
                <w:szCs w:val="21"/>
                <w:highlight w:val="none"/>
                <w:lang w:val="en-US" w:eastAsia="zh-CN"/>
              </w:rPr>
              <w:t>,</w:t>
            </w:r>
            <w:r>
              <w:rPr>
                <w:rFonts w:hint="eastAsia" w:ascii="宋体" w:hAnsi="宋体" w:eastAsia="宋体" w:cs="宋体"/>
                <w:bCs/>
                <w:color w:val="auto"/>
                <w:sz w:val="21"/>
                <w:szCs w:val="21"/>
                <w:highlight w:val="none"/>
              </w:rPr>
              <w:t>删除</w:t>
            </w:r>
            <w:r>
              <w:rPr>
                <w:color w:val="auto"/>
                <w:spacing w:val="-3"/>
                <w:highlight w:val="none"/>
              </w:rPr>
              <w:t>原</w:t>
            </w:r>
            <w:r>
              <w:rPr>
                <w:color w:val="auto"/>
                <w:spacing w:val="-24"/>
                <w:highlight w:val="none"/>
              </w:rPr>
              <w:t xml:space="preserve"> </w:t>
            </w:r>
            <w:r>
              <w:rPr>
                <w:color w:val="auto"/>
                <w:spacing w:val="6"/>
                <w:highlight w:val="none"/>
              </w:rPr>
              <w:t>3.5.2(</w:t>
            </w:r>
            <w:r>
              <w:rPr>
                <w:rFonts w:hint="eastAsia"/>
                <w:color w:val="auto"/>
                <w:spacing w:val="6"/>
                <w:highlight w:val="none"/>
                <w:lang w:val="en-US" w:eastAsia="zh-CN"/>
              </w:rPr>
              <w:t>a</w:t>
            </w:r>
            <w:r>
              <w:rPr>
                <w:color w:val="auto"/>
                <w:spacing w:val="6"/>
                <w:highlight w:val="none"/>
              </w:rPr>
              <w:t>)</w:t>
            </w:r>
            <w:r>
              <w:rPr>
                <w:rFonts w:hint="eastAsia"/>
                <w:color w:val="auto"/>
                <w:spacing w:val="6"/>
                <w:highlight w:val="none"/>
                <w:lang w:val="en-US" w:eastAsia="zh-CN"/>
              </w:rPr>
              <w:t>、</w:t>
            </w:r>
            <w:r>
              <w:rPr>
                <w:color w:val="auto"/>
                <w:spacing w:val="6"/>
                <w:highlight w:val="none"/>
              </w:rPr>
              <w:t>3.5.2(</w:t>
            </w:r>
            <w:r>
              <w:rPr>
                <w:rFonts w:hint="eastAsia"/>
                <w:color w:val="auto"/>
                <w:spacing w:val="6"/>
                <w:highlight w:val="none"/>
                <w:lang w:val="en-US" w:eastAsia="zh-CN"/>
              </w:rPr>
              <w:t>b</w:t>
            </w:r>
            <w:r>
              <w:rPr>
                <w:color w:val="auto"/>
                <w:spacing w:val="6"/>
                <w:highlight w:val="none"/>
              </w:rPr>
              <w:t>)</w:t>
            </w:r>
            <w:r>
              <w:rPr>
                <w:color w:val="auto"/>
                <w:spacing w:val="-3"/>
                <w:highlight w:val="none"/>
              </w:rPr>
              <w:t>条款</w:t>
            </w:r>
            <w:r>
              <w:rPr>
                <w:rFonts w:hint="eastAsia" w:ascii="宋体" w:hAnsi="宋体" w:eastAsia="宋体" w:cs="宋体"/>
                <w:bCs/>
                <w:color w:val="auto"/>
                <w:sz w:val="21"/>
                <w:szCs w:val="21"/>
                <w:highlight w:val="none"/>
              </w:rPr>
              <w:t>内容</w:t>
            </w:r>
            <w:r>
              <w:rPr>
                <w:color w:val="auto"/>
                <w:spacing w:val="6"/>
                <w:highlight w:val="none"/>
              </w:rPr>
              <w:t>。</w:t>
            </w:r>
          </w:p>
        </w:tc>
      </w:tr>
      <w:tr w14:paraId="3D5D3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185" w:type="dxa"/>
            <w:vAlign w:val="top"/>
          </w:tcPr>
          <w:p w14:paraId="393349D7">
            <w:pPr>
              <w:pStyle w:val="17"/>
              <w:spacing w:before="304" w:line="239" w:lineRule="auto"/>
              <w:ind w:left="338"/>
              <w:rPr>
                <w:color w:val="auto"/>
                <w:highlight w:val="none"/>
              </w:rPr>
            </w:pPr>
            <w:r>
              <w:rPr>
                <w:color w:val="auto"/>
                <w:spacing w:val="-3"/>
                <w:highlight w:val="none"/>
              </w:rPr>
              <w:t>3.5.3</w:t>
            </w:r>
          </w:p>
        </w:tc>
        <w:tc>
          <w:tcPr>
            <w:tcW w:w="8107" w:type="dxa"/>
            <w:gridSpan w:val="2"/>
            <w:vAlign w:val="top"/>
          </w:tcPr>
          <w:p w14:paraId="52C8FD94">
            <w:pPr>
              <w:pStyle w:val="17"/>
              <w:spacing w:before="288" w:line="233" w:lineRule="auto"/>
              <w:ind w:left="111"/>
              <w:rPr>
                <w:color w:val="auto"/>
                <w:highlight w:val="none"/>
              </w:rPr>
            </w:pPr>
            <w:r>
              <w:rPr>
                <w:color w:val="auto"/>
                <w:spacing w:val="6"/>
                <w:highlight w:val="none"/>
              </w:rPr>
              <w:t>本项目使用投标人须知</w:t>
            </w:r>
            <w:r>
              <w:rPr>
                <w:color w:val="auto"/>
                <w:spacing w:val="-24"/>
                <w:highlight w:val="none"/>
              </w:rPr>
              <w:t xml:space="preserve"> </w:t>
            </w:r>
            <w:r>
              <w:rPr>
                <w:color w:val="auto"/>
                <w:spacing w:val="6"/>
                <w:highlight w:val="none"/>
              </w:rPr>
              <w:t>3.5.3(</w:t>
            </w:r>
            <w:r>
              <w:rPr>
                <w:rFonts w:hint="eastAsia"/>
                <w:color w:val="auto"/>
                <w:spacing w:val="6"/>
                <w:highlight w:val="none"/>
                <w:lang w:val="en-US" w:eastAsia="zh-CN"/>
              </w:rPr>
              <w:t>a</w:t>
            </w:r>
            <w:r>
              <w:rPr>
                <w:color w:val="auto"/>
                <w:spacing w:val="6"/>
                <w:highlight w:val="none"/>
              </w:rPr>
              <w:t>)款正文内容。</w:t>
            </w:r>
          </w:p>
        </w:tc>
      </w:tr>
      <w:tr w14:paraId="4B2C0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0AF5EEDA">
            <w:pPr>
              <w:pStyle w:val="17"/>
              <w:spacing w:before="304" w:line="239" w:lineRule="auto"/>
              <w:ind w:left="338"/>
              <w:rPr>
                <w:color w:val="auto"/>
                <w:highlight w:val="none"/>
              </w:rPr>
            </w:pPr>
            <w:r>
              <w:rPr>
                <w:color w:val="auto"/>
                <w:spacing w:val="-3"/>
                <w:highlight w:val="none"/>
              </w:rPr>
              <w:t>3.5.5</w:t>
            </w:r>
          </w:p>
        </w:tc>
        <w:tc>
          <w:tcPr>
            <w:tcW w:w="8107" w:type="dxa"/>
            <w:gridSpan w:val="2"/>
            <w:vAlign w:val="top"/>
          </w:tcPr>
          <w:p w14:paraId="4287100E">
            <w:pPr>
              <w:pStyle w:val="17"/>
              <w:spacing w:before="288" w:line="233" w:lineRule="auto"/>
              <w:ind w:left="111"/>
              <w:rPr>
                <w:color w:val="auto"/>
                <w:highlight w:val="none"/>
              </w:rPr>
            </w:pPr>
            <w:r>
              <w:rPr>
                <w:color w:val="auto"/>
                <w:spacing w:val="6"/>
                <w:highlight w:val="none"/>
              </w:rPr>
              <w:t>本项目使用投标人须知</w:t>
            </w:r>
            <w:r>
              <w:rPr>
                <w:color w:val="auto"/>
                <w:spacing w:val="-24"/>
                <w:highlight w:val="none"/>
              </w:rPr>
              <w:t xml:space="preserve"> </w:t>
            </w:r>
            <w:r>
              <w:rPr>
                <w:color w:val="auto"/>
                <w:spacing w:val="6"/>
                <w:highlight w:val="none"/>
              </w:rPr>
              <w:t>3.5.5(</w:t>
            </w:r>
            <w:r>
              <w:rPr>
                <w:rFonts w:hint="eastAsia"/>
                <w:color w:val="auto"/>
                <w:spacing w:val="6"/>
                <w:highlight w:val="none"/>
                <w:lang w:val="en-US" w:eastAsia="zh-CN"/>
              </w:rPr>
              <w:t>a</w:t>
            </w:r>
            <w:r>
              <w:rPr>
                <w:color w:val="auto"/>
                <w:spacing w:val="6"/>
                <w:highlight w:val="none"/>
              </w:rPr>
              <w:t>)款正文内容。</w:t>
            </w:r>
          </w:p>
        </w:tc>
      </w:tr>
      <w:tr w14:paraId="47435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185" w:type="dxa"/>
            <w:vAlign w:val="center"/>
          </w:tcPr>
          <w:p w14:paraId="0B9AFB5D">
            <w:pPr>
              <w:pStyle w:val="17"/>
              <w:spacing w:before="68" w:line="288" w:lineRule="exact"/>
              <w:jc w:val="center"/>
              <w:rPr>
                <w:color w:val="auto"/>
                <w:sz w:val="10"/>
                <w:szCs w:val="10"/>
                <w:highlight w:val="none"/>
              </w:rPr>
            </w:pPr>
            <w:r>
              <w:rPr>
                <w:color w:val="auto"/>
                <w:spacing w:val="-2"/>
                <w:position w:val="-1"/>
                <w:highlight w:val="none"/>
              </w:rPr>
              <w:t>3.5.6</w:t>
            </w:r>
          </w:p>
        </w:tc>
        <w:tc>
          <w:tcPr>
            <w:tcW w:w="8107" w:type="dxa"/>
            <w:gridSpan w:val="2"/>
            <w:vAlign w:val="center"/>
          </w:tcPr>
          <w:p w14:paraId="3C1F0EC9">
            <w:pPr>
              <w:pStyle w:val="17"/>
              <w:spacing w:before="69" w:line="220" w:lineRule="auto"/>
              <w:ind w:firstLine="204" w:firstLineChars="100"/>
              <w:jc w:val="both"/>
              <w:rPr>
                <w:color w:val="auto"/>
                <w:highlight w:val="none"/>
              </w:rPr>
            </w:pPr>
            <w:r>
              <w:rPr>
                <w:color w:val="auto"/>
                <w:spacing w:val="-3"/>
                <w:highlight w:val="none"/>
              </w:rPr>
              <w:t>删除原 3.5.6 条款内容。</w:t>
            </w:r>
          </w:p>
        </w:tc>
      </w:tr>
      <w:tr w14:paraId="285B2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185" w:type="dxa"/>
            <w:vAlign w:val="center"/>
          </w:tcPr>
          <w:p w14:paraId="52881F33">
            <w:pPr>
              <w:pStyle w:val="17"/>
              <w:spacing w:before="68" w:line="286" w:lineRule="exact"/>
              <w:jc w:val="center"/>
              <w:rPr>
                <w:color w:val="auto"/>
                <w:sz w:val="10"/>
                <w:szCs w:val="10"/>
                <w:highlight w:val="none"/>
              </w:rPr>
            </w:pPr>
            <w:r>
              <w:rPr>
                <w:color w:val="auto"/>
                <w:spacing w:val="-2"/>
                <w:position w:val="-1"/>
                <w:highlight w:val="none"/>
              </w:rPr>
              <w:t>3.5.7</w:t>
            </w:r>
          </w:p>
        </w:tc>
        <w:tc>
          <w:tcPr>
            <w:tcW w:w="8107" w:type="dxa"/>
            <w:gridSpan w:val="2"/>
            <w:vAlign w:val="center"/>
          </w:tcPr>
          <w:p w14:paraId="1106FCC3">
            <w:pPr>
              <w:pStyle w:val="17"/>
              <w:spacing w:before="69" w:line="220" w:lineRule="auto"/>
              <w:ind w:firstLine="204" w:firstLineChars="100"/>
              <w:jc w:val="both"/>
              <w:rPr>
                <w:color w:val="auto"/>
                <w:highlight w:val="none"/>
              </w:rPr>
            </w:pPr>
            <w:r>
              <w:rPr>
                <w:color w:val="auto"/>
                <w:spacing w:val="-3"/>
                <w:highlight w:val="none"/>
              </w:rPr>
              <w:t>删除原 3.5.7</w:t>
            </w:r>
            <w:r>
              <w:rPr>
                <w:color w:val="auto"/>
                <w:spacing w:val="-41"/>
                <w:highlight w:val="none"/>
              </w:rPr>
              <w:t xml:space="preserve"> </w:t>
            </w:r>
            <w:r>
              <w:rPr>
                <w:color w:val="auto"/>
                <w:spacing w:val="-3"/>
                <w:highlight w:val="none"/>
              </w:rPr>
              <w:t>条款内容。</w:t>
            </w:r>
          </w:p>
        </w:tc>
      </w:tr>
      <w:tr w14:paraId="4E9C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trPr>
        <w:tc>
          <w:tcPr>
            <w:tcW w:w="1185" w:type="dxa"/>
            <w:vAlign w:val="top"/>
          </w:tcPr>
          <w:p w14:paraId="207B2519">
            <w:pPr>
              <w:spacing w:line="265" w:lineRule="auto"/>
              <w:rPr>
                <w:rFonts w:ascii="Arial"/>
                <w:strike/>
                <w:dstrike w:val="0"/>
                <w:color w:val="auto"/>
                <w:sz w:val="21"/>
                <w:highlight w:val="none"/>
              </w:rPr>
            </w:pPr>
          </w:p>
          <w:p w14:paraId="127F0028">
            <w:pPr>
              <w:spacing w:line="265" w:lineRule="auto"/>
              <w:rPr>
                <w:rFonts w:ascii="Arial"/>
                <w:strike/>
                <w:dstrike w:val="0"/>
                <w:color w:val="auto"/>
                <w:sz w:val="21"/>
                <w:highlight w:val="none"/>
              </w:rPr>
            </w:pPr>
          </w:p>
          <w:p w14:paraId="6A6D31B5">
            <w:pPr>
              <w:pStyle w:val="17"/>
              <w:spacing w:before="68" w:line="239" w:lineRule="auto"/>
              <w:ind w:left="286"/>
              <w:rPr>
                <w:strike/>
                <w:dstrike w:val="0"/>
                <w:color w:val="auto"/>
                <w:highlight w:val="none"/>
              </w:rPr>
            </w:pPr>
            <w:r>
              <w:rPr>
                <w:strike/>
                <w:dstrike w:val="0"/>
                <w:color w:val="auto"/>
                <w:spacing w:val="-2"/>
                <w:highlight w:val="none"/>
              </w:rPr>
              <w:t>3.5.12</w:t>
            </w:r>
          </w:p>
        </w:tc>
        <w:tc>
          <w:tcPr>
            <w:tcW w:w="8107" w:type="dxa"/>
            <w:gridSpan w:val="2"/>
            <w:vAlign w:val="top"/>
          </w:tcPr>
          <w:p w14:paraId="14B5E8EF">
            <w:pPr>
              <w:pStyle w:val="17"/>
              <w:spacing w:before="200" w:line="220" w:lineRule="auto"/>
              <w:ind w:left="113"/>
              <w:rPr>
                <w:strike/>
                <w:dstrike w:val="0"/>
                <w:color w:val="auto"/>
                <w:highlight w:val="none"/>
              </w:rPr>
            </w:pPr>
            <w:r>
              <w:rPr>
                <w:strike/>
                <w:dstrike w:val="0"/>
                <w:color w:val="auto"/>
                <w:spacing w:val="-4"/>
                <w:highlight w:val="none"/>
              </w:rPr>
              <w:t>投标人须知正文增加第</w:t>
            </w:r>
            <w:r>
              <w:rPr>
                <w:strike/>
                <w:dstrike w:val="0"/>
                <w:color w:val="auto"/>
                <w:spacing w:val="-28"/>
                <w:highlight w:val="none"/>
              </w:rPr>
              <w:t xml:space="preserve"> </w:t>
            </w:r>
            <w:r>
              <w:rPr>
                <w:strike/>
                <w:dstrike w:val="0"/>
                <w:color w:val="auto"/>
                <w:spacing w:val="-4"/>
                <w:highlight w:val="none"/>
              </w:rPr>
              <w:t>3.5.12</w:t>
            </w:r>
            <w:r>
              <w:rPr>
                <w:strike/>
                <w:dstrike w:val="0"/>
                <w:color w:val="auto"/>
                <w:spacing w:val="-42"/>
                <w:highlight w:val="none"/>
              </w:rPr>
              <w:t xml:space="preserve"> </w:t>
            </w:r>
            <w:r>
              <w:rPr>
                <w:strike/>
                <w:dstrike w:val="0"/>
                <w:color w:val="auto"/>
                <w:spacing w:val="-4"/>
                <w:highlight w:val="none"/>
              </w:rPr>
              <w:t>项内容：</w:t>
            </w:r>
          </w:p>
          <w:p w14:paraId="1B01FA4A">
            <w:pPr>
              <w:pStyle w:val="17"/>
              <w:spacing w:before="150" w:line="316" w:lineRule="auto"/>
              <w:ind w:left="113" w:right="118"/>
              <w:rPr>
                <w:strike/>
                <w:dstrike w:val="0"/>
                <w:color w:val="auto"/>
                <w:highlight w:val="none"/>
              </w:rPr>
            </w:pPr>
            <w:r>
              <w:rPr>
                <w:strike/>
                <w:dstrike w:val="0"/>
                <w:color w:val="auto"/>
                <w:spacing w:val="-3"/>
                <w:highlight w:val="none"/>
              </w:rPr>
              <w:t>投标人在资格预审申请文件中填报的项目经理</w:t>
            </w:r>
            <w:r>
              <w:rPr>
                <w:strike/>
                <w:dstrike w:val="0"/>
                <w:color w:val="auto"/>
                <w:spacing w:val="-3"/>
                <w:highlight w:val="none"/>
                <w:u w:val="single" w:color="auto"/>
              </w:rPr>
              <w:t>（以及备选人，如有）</w:t>
            </w:r>
            <w:r>
              <w:rPr>
                <w:strike/>
                <w:dstrike w:val="0"/>
                <w:color w:val="auto"/>
                <w:spacing w:val="-3"/>
                <w:highlight w:val="none"/>
              </w:rPr>
              <w:t>和项目总工</w:t>
            </w:r>
            <w:r>
              <w:rPr>
                <w:strike/>
                <w:dstrike w:val="0"/>
                <w:color w:val="auto"/>
                <w:spacing w:val="-3"/>
                <w:highlight w:val="none"/>
                <w:u w:val="single" w:color="auto"/>
              </w:rPr>
              <w:t>（以及</w:t>
            </w:r>
            <w:r>
              <w:rPr>
                <w:strike/>
                <w:dstrike w:val="0"/>
                <w:color w:val="auto"/>
                <w:highlight w:val="none"/>
                <w:u w:val="single" w:color="auto"/>
              </w:rPr>
              <w:t>备选人，如有）</w:t>
            </w:r>
            <w:r>
              <w:rPr>
                <w:strike/>
                <w:dstrike w:val="0"/>
                <w:color w:val="auto"/>
                <w:highlight w:val="none"/>
              </w:rPr>
              <w:t>在投标阶段原则上不允许更换，特殊情况可除外：</w:t>
            </w:r>
            <w:r>
              <w:rPr>
                <w:strike/>
                <w:dstrike w:val="0"/>
                <w:color w:val="auto"/>
                <w:highlight w:val="none"/>
                <w:u w:val="single" w:color="auto"/>
              </w:rPr>
              <w:t xml:space="preserve"> </w:t>
            </w:r>
            <w:r>
              <w:rPr>
                <w:strike/>
                <w:dstrike w:val="0"/>
                <w:color w:val="auto"/>
                <w:spacing w:val="-1"/>
                <w:highlight w:val="none"/>
                <w:u w:val="single" w:color="auto"/>
              </w:rPr>
              <w:t xml:space="preserve">           </w:t>
            </w:r>
            <w:r>
              <w:rPr>
                <w:strike/>
                <w:dstrike w:val="0"/>
                <w:color w:val="auto"/>
                <w:spacing w:val="-1"/>
                <w:highlight w:val="none"/>
              </w:rPr>
              <w:t>。</w:t>
            </w:r>
          </w:p>
        </w:tc>
      </w:tr>
      <w:tr w14:paraId="4F922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185" w:type="dxa"/>
            <w:vAlign w:val="center"/>
          </w:tcPr>
          <w:p w14:paraId="6966EE12">
            <w:pPr>
              <w:pStyle w:val="17"/>
              <w:spacing w:before="68" w:line="239" w:lineRule="auto"/>
              <w:jc w:val="center"/>
              <w:rPr>
                <w:rFonts w:hint="default" w:eastAsia="宋体"/>
                <w:color w:val="auto"/>
                <w:spacing w:val="-2"/>
                <w:highlight w:val="none"/>
                <w:lang w:val="en-US" w:eastAsia="zh-CN"/>
              </w:rPr>
            </w:pPr>
            <w:r>
              <w:rPr>
                <w:rFonts w:hint="eastAsia"/>
                <w:color w:val="auto"/>
                <w:spacing w:val="-2"/>
                <w:highlight w:val="none"/>
                <w:lang w:val="en-US" w:eastAsia="zh-CN"/>
              </w:rPr>
              <w:t>4.3.3</w:t>
            </w:r>
          </w:p>
        </w:tc>
        <w:tc>
          <w:tcPr>
            <w:tcW w:w="8107" w:type="dxa"/>
            <w:gridSpan w:val="2"/>
            <w:vAlign w:val="top"/>
          </w:tcPr>
          <w:p w14:paraId="66509906">
            <w:pPr>
              <w:pStyle w:val="17"/>
              <w:spacing w:before="239" w:line="220" w:lineRule="auto"/>
              <w:ind w:left="113"/>
              <w:rPr>
                <w:rFonts w:hint="eastAsia"/>
                <w:color w:val="auto"/>
                <w:spacing w:val="-3"/>
                <w:highlight w:val="none"/>
                <w:lang w:eastAsia="zh-CN"/>
              </w:rPr>
            </w:pPr>
            <w:r>
              <w:rPr>
                <w:rFonts w:hint="eastAsia" w:ascii="宋体" w:hAnsi="宋体" w:eastAsia="宋体" w:cs="宋体"/>
                <w:bCs/>
                <w:color w:val="auto"/>
                <w:sz w:val="21"/>
                <w:szCs w:val="21"/>
                <w:highlight w:val="none"/>
                <w:lang w:val="en-US" w:eastAsia="zh-CN"/>
              </w:rPr>
              <w:t>投标人须知正文第</w:t>
            </w:r>
            <w:r>
              <w:rPr>
                <w:color w:val="auto"/>
                <w:spacing w:val="-3"/>
                <w:highlight w:val="none"/>
              </w:rPr>
              <w:t xml:space="preserve"> </w:t>
            </w:r>
            <w:r>
              <w:rPr>
                <w:rFonts w:hint="eastAsia"/>
                <w:color w:val="auto"/>
                <w:spacing w:val="-3"/>
                <w:highlight w:val="none"/>
                <w:lang w:val="en-US" w:eastAsia="zh-CN"/>
              </w:rPr>
              <w:t>4.3.3</w:t>
            </w:r>
            <w:r>
              <w:rPr>
                <w:rFonts w:hint="eastAsia" w:ascii="宋体" w:hAnsi="宋体" w:eastAsia="宋体" w:cs="宋体"/>
                <w:bCs/>
                <w:color w:val="auto"/>
                <w:sz w:val="21"/>
                <w:szCs w:val="21"/>
                <w:highlight w:val="none"/>
                <w:lang w:val="en-US" w:eastAsia="zh-CN"/>
              </w:rPr>
              <w:t>项内容修改如下：</w:t>
            </w:r>
          </w:p>
          <w:p w14:paraId="67E5F7B9">
            <w:pPr>
              <w:pStyle w:val="17"/>
              <w:spacing w:before="150" w:line="316" w:lineRule="auto"/>
              <w:ind w:left="113" w:right="118"/>
              <w:rPr>
                <w:rFonts w:hint="eastAsia"/>
                <w:color w:val="auto"/>
                <w:spacing w:val="-3"/>
                <w:highlight w:val="none"/>
                <w:lang w:val="en-US" w:eastAsia="zh-CN"/>
              </w:rPr>
            </w:pPr>
            <w:r>
              <w:rPr>
                <w:color w:val="auto"/>
                <w:spacing w:val="-3"/>
                <w:highlight w:val="none"/>
              </w:rPr>
              <w:t xml:space="preserve"> </w:t>
            </w:r>
            <w:r>
              <w:rPr>
                <w:rFonts w:hint="eastAsia"/>
                <w:color w:val="auto"/>
                <w:spacing w:val="-3"/>
                <w:highlight w:val="none"/>
                <w:lang w:val="en-US" w:eastAsia="zh-CN"/>
              </w:rPr>
              <w:t>4.3.3</w:t>
            </w:r>
            <w:r>
              <w:rPr>
                <w:color w:val="auto"/>
                <w:spacing w:val="-41"/>
                <w:highlight w:val="none"/>
              </w:rPr>
              <w:t xml:space="preserve"> </w:t>
            </w:r>
            <w:r>
              <w:rPr>
                <w:rFonts w:hint="eastAsia" w:ascii="宋体" w:hAnsi="宋体" w:eastAsia="宋体" w:cs="宋体"/>
                <w:color w:val="auto"/>
                <w:sz w:val="21"/>
                <w:szCs w:val="21"/>
                <w:highlight w:val="none"/>
                <w:lang w:val="en-US" w:eastAsia="zh-CN"/>
              </w:rPr>
              <w:t>在投标截止后，投标人在投标文件中填报的投标有效期终止日前，投标人不能撤回投标文件，否则招标人有权就其撤回行为报告政府主管部门载入不良信用记录。</w:t>
            </w:r>
          </w:p>
        </w:tc>
      </w:tr>
      <w:tr w14:paraId="4CCA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185" w:type="dxa"/>
            <w:vAlign w:val="center"/>
          </w:tcPr>
          <w:p w14:paraId="453A4A97">
            <w:pPr>
              <w:pStyle w:val="17"/>
              <w:spacing w:before="68" w:line="239" w:lineRule="auto"/>
              <w:jc w:val="center"/>
              <w:rPr>
                <w:rFonts w:hint="default" w:eastAsia="宋体"/>
                <w:color w:val="auto"/>
                <w:spacing w:val="-2"/>
                <w:highlight w:val="none"/>
                <w:lang w:val="en-US" w:eastAsia="zh-CN"/>
              </w:rPr>
            </w:pPr>
            <w:r>
              <w:rPr>
                <w:rFonts w:hint="eastAsia" w:ascii="宋体" w:hAnsi="宋体" w:eastAsia="宋体" w:cs="宋体"/>
                <w:color w:val="auto"/>
                <w:kern w:val="0"/>
                <w:sz w:val="21"/>
                <w:szCs w:val="21"/>
                <w:highlight w:val="none"/>
                <w:lang w:bidi="ar"/>
              </w:rPr>
              <w:t>4.4、4.5、4.6</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4.7</w:t>
            </w:r>
          </w:p>
        </w:tc>
        <w:tc>
          <w:tcPr>
            <w:tcW w:w="8107" w:type="dxa"/>
            <w:gridSpan w:val="2"/>
            <w:vAlign w:val="top"/>
          </w:tcPr>
          <w:p w14:paraId="0A68C929">
            <w:pPr>
              <w:autoSpaceDE w:val="0"/>
              <w:autoSpaceDN w:val="0"/>
              <w:adjustRightInd w:val="0"/>
              <w:spacing w:before="26"/>
              <w:ind w:left="218" w:leftChars="103" w:right="147" w:hanging="2"/>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投标人须知正文增加第4.4、4.5、4.6项，内容如下：</w:t>
            </w:r>
          </w:p>
          <w:p w14:paraId="6070F8EA">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4.4迟交的投标文件</w:t>
            </w:r>
          </w:p>
          <w:p w14:paraId="7235DCB1">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4.4.1投标截止时间到达后，电子评标系统将不允许投标人上传投标文件。</w:t>
            </w:r>
          </w:p>
          <w:p w14:paraId="37141B14">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4.5投标文件的补充、修改与撤回</w:t>
            </w:r>
          </w:p>
          <w:p w14:paraId="1D286D12">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4.5.1投标人在递交投标文件截止时间前，可以撤回或替换已递交的投标文件。</w:t>
            </w:r>
          </w:p>
          <w:p w14:paraId="448EBD88">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4.5.2在递交投标文件截止时间后，投标人不得补充、修改和更换投标文件。</w:t>
            </w:r>
          </w:p>
          <w:p w14:paraId="2E85D2E2">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4.5.3在递交投标文件截止时间后，投标人在投标文件格式中规定的有效期终止日前，投标人不能撤回投标文件，否则其投标担保将不予退还，且招标人有权就其撤回行为报告政府主管部门载入不良信用记录。</w:t>
            </w:r>
          </w:p>
          <w:p w14:paraId="4B16E1CD">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4.6投标信息录入</w:t>
            </w:r>
          </w:p>
          <w:p w14:paraId="3C19A608">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4.6.1投标人应在上传电子投标文件前将投标人的相关信息在</w:t>
            </w:r>
            <w:r>
              <w:rPr>
                <w:rFonts w:hint="eastAsia" w:ascii="宋体" w:hAnsi="宋体" w:eastAsia="宋体" w:cs="宋体"/>
                <w:color w:val="auto"/>
                <w:sz w:val="21"/>
                <w:szCs w:val="21"/>
                <w:highlight w:val="none"/>
                <w:u w:val="single"/>
                <w:lang w:val="en-US" w:eastAsia="zh-CN"/>
              </w:rPr>
              <w:t>广州交易集团有限公司（广州公共资源交易中心）</w:t>
            </w:r>
            <w:r>
              <w:rPr>
                <w:rFonts w:hint="eastAsia" w:ascii="宋体" w:hAnsi="宋体" w:eastAsia="宋体" w:cs="宋体"/>
                <w:color w:val="auto"/>
                <w:sz w:val="21"/>
                <w:szCs w:val="21"/>
                <w:highlight w:val="none"/>
                <w:lang w:val="en-US" w:eastAsia="zh-CN"/>
              </w:rPr>
              <w:t>信息系统中录入完毕。</w:t>
            </w:r>
          </w:p>
          <w:p w14:paraId="486BB4E8">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4.7投标文件的解密</w:t>
            </w:r>
          </w:p>
          <w:p w14:paraId="33EAF06E">
            <w:pPr>
              <w:autoSpaceDE w:val="0"/>
              <w:autoSpaceDN w:val="0"/>
              <w:adjustRightInd w:val="0"/>
              <w:spacing w:before="26"/>
              <w:ind w:left="212" w:leftChars="101" w:right="147" w:firstLine="426"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4.7.1递交投标文件截止时间到达后的1小时内为投标人对电子投标文件解密时间。</w:t>
            </w:r>
          </w:p>
          <w:p w14:paraId="64C688AA">
            <w:pPr>
              <w:pStyle w:val="17"/>
              <w:spacing w:before="150" w:line="316" w:lineRule="auto"/>
              <w:ind w:left="113" w:right="118" w:firstLine="420" w:firstLineChars="200"/>
              <w:rPr>
                <w:color w:val="auto"/>
                <w:spacing w:val="-3"/>
                <w:highlight w:val="none"/>
              </w:rPr>
            </w:pPr>
            <w:r>
              <w:rPr>
                <w:rFonts w:hint="eastAsia" w:ascii="宋体" w:hAnsi="宋体" w:eastAsia="宋体" w:cs="宋体"/>
                <w:color w:val="auto"/>
                <w:sz w:val="21"/>
                <w:szCs w:val="21"/>
                <w:highlight w:val="none"/>
                <w:lang w:val="en-US" w:eastAsia="zh-CN"/>
              </w:rPr>
              <w:t>4.7.2投标人须在规定解密时间内使用制作该投标文件的机构业务数字证书对投标文件进行解密。逾期未解密的电子投标文件将被否决。</w:t>
            </w:r>
          </w:p>
        </w:tc>
      </w:tr>
      <w:tr w14:paraId="23B08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185" w:type="dxa"/>
            <w:vAlign w:val="center"/>
          </w:tcPr>
          <w:p w14:paraId="518F35BB">
            <w:pPr>
              <w:pStyle w:val="17"/>
              <w:spacing w:before="150" w:line="316" w:lineRule="auto"/>
              <w:ind w:right="118" w:rightChars="0"/>
              <w:jc w:val="center"/>
              <w:rPr>
                <w:rFonts w:hint="eastAsia" w:ascii="宋体" w:hAnsi="宋体" w:eastAsia="宋体" w:cs="宋体"/>
                <w:color w:val="auto"/>
                <w:kern w:val="0"/>
                <w:sz w:val="21"/>
                <w:szCs w:val="21"/>
                <w:highlight w:val="none"/>
                <w:lang w:bidi="ar"/>
              </w:rPr>
            </w:pPr>
            <w:r>
              <w:rPr>
                <w:rFonts w:hint="eastAsia"/>
                <w:color w:val="auto"/>
                <w:spacing w:val="-3"/>
                <w:highlight w:val="none"/>
                <w:lang w:val="en-US" w:eastAsia="zh-CN"/>
              </w:rPr>
              <w:t>5.2.1</w:t>
            </w:r>
          </w:p>
        </w:tc>
        <w:tc>
          <w:tcPr>
            <w:tcW w:w="8107" w:type="dxa"/>
            <w:gridSpan w:val="2"/>
            <w:vAlign w:val="center"/>
          </w:tcPr>
          <w:p w14:paraId="46C68F85">
            <w:pPr>
              <w:pStyle w:val="17"/>
              <w:spacing w:before="239" w:line="220" w:lineRule="auto"/>
              <w:ind w:left="113"/>
              <w:rPr>
                <w:rFonts w:hint="eastAsia"/>
                <w:color w:val="auto"/>
                <w:spacing w:val="-3"/>
                <w:highlight w:val="none"/>
                <w:lang w:val="en-US" w:eastAsia="zh-CN"/>
              </w:rPr>
            </w:pPr>
            <w:r>
              <w:rPr>
                <w:rFonts w:hint="eastAsia"/>
                <w:color w:val="auto"/>
                <w:spacing w:val="-3"/>
                <w:highlight w:val="none"/>
                <w:lang w:val="en-US" w:eastAsia="zh-CN"/>
              </w:rPr>
              <w:t>投标人须知正文第5.2.1项中（8）修改如下：</w:t>
            </w:r>
          </w:p>
          <w:p w14:paraId="27D18E2B">
            <w:pPr>
              <w:pStyle w:val="17"/>
              <w:spacing w:before="150" w:line="316" w:lineRule="auto"/>
              <w:ind w:right="118" w:rightChars="0"/>
              <w:jc w:val="both"/>
              <w:rPr>
                <w:rFonts w:hint="eastAsia" w:ascii="宋体" w:hAnsi="宋体" w:eastAsia="宋体" w:cs="宋体"/>
                <w:color w:val="auto"/>
                <w:sz w:val="21"/>
                <w:szCs w:val="21"/>
                <w:highlight w:val="none"/>
                <w:lang w:val="en-US" w:eastAsia="zh-CN"/>
              </w:rPr>
            </w:pPr>
            <w:r>
              <w:rPr>
                <w:rFonts w:hint="eastAsia"/>
                <w:color w:val="auto"/>
                <w:spacing w:val="-3"/>
                <w:highlight w:val="none"/>
                <w:lang w:val="en-US" w:eastAsia="zh-CN"/>
              </w:rPr>
              <w:t>（8）公布投标人名称、</w:t>
            </w:r>
            <w:r>
              <w:rPr>
                <w:rFonts w:hint="eastAsia"/>
                <w:strike/>
                <w:dstrike w:val="0"/>
                <w:color w:val="auto"/>
                <w:spacing w:val="-3"/>
                <w:highlight w:val="none"/>
                <w:lang w:val="en-US" w:eastAsia="zh-CN"/>
              </w:rPr>
              <w:t>投标保证金递交情况</w:t>
            </w:r>
            <w:r>
              <w:rPr>
                <w:rFonts w:hint="eastAsia"/>
                <w:color w:val="auto"/>
                <w:spacing w:val="-3"/>
                <w:highlight w:val="none"/>
                <w:lang w:val="en-US" w:eastAsia="zh-CN"/>
              </w:rPr>
              <w:t>、解密情况及其他内容， 并记录在案。</w:t>
            </w:r>
          </w:p>
        </w:tc>
      </w:tr>
      <w:tr w14:paraId="37012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185" w:type="dxa"/>
            <w:vAlign w:val="top"/>
          </w:tcPr>
          <w:p w14:paraId="7DC01A8B">
            <w:pPr>
              <w:spacing w:line="283" w:lineRule="auto"/>
              <w:rPr>
                <w:rFonts w:ascii="Arial"/>
                <w:color w:val="auto"/>
                <w:sz w:val="21"/>
                <w:highlight w:val="none"/>
              </w:rPr>
            </w:pPr>
          </w:p>
          <w:p w14:paraId="1D2A4D03">
            <w:pPr>
              <w:spacing w:line="284" w:lineRule="auto"/>
              <w:rPr>
                <w:rFonts w:ascii="Arial"/>
                <w:color w:val="auto"/>
                <w:sz w:val="21"/>
                <w:highlight w:val="none"/>
              </w:rPr>
            </w:pPr>
          </w:p>
          <w:p w14:paraId="7A644C30">
            <w:pPr>
              <w:pStyle w:val="17"/>
              <w:spacing w:before="68" w:line="239" w:lineRule="auto"/>
              <w:ind w:left="445"/>
              <w:rPr>
                <w:color w:val="auto"/>
                <w:highlight w:val="none"/>
              </w:rPr>
            </w:pPr>
            <w:r>
              <w:rPr>
                <w:color w:val="auto"/>
                <w:spacing w:val="-5"/>
                <w:highlight w:val="none"/>
              </w:rPr>
              <w:t>7.5</w:t>
            </w:r>
          </w:p>
        </w:tc>
        <w:tc>
          <w:tcPr>
            <w:tcW w:w="8107" w:type="dxa"/>
            <w:gridSpan w:val="2"/>
            <w:vAlign w:val="top"/>
          </w:tcPr>
          <w:p w14:paraId="091E43EA">
            <w:pPr>
              <w:pStyle w:val="17"/>
              <w:spacing w:before="239" w:line="220" w:lineRule="auto"/>
              <w:ind w:left="113"/>
              <w:rPr>
                <w:color w:val="auto"/>
                <w:highlight w:val="none"/>
              </w:rPr>
            </w:pPr>
            <w:r>
              <w:rPr>
                <w:color w:val="auto"/>
                <w:spacing w:val="-3"/>
                <w:highlight w:val="none"/>
              </w:rPr>
              <w:t>投标人须知正文第</w:t>
            </w:r>
            <w:r>
              <w:rPr>
                <w:color w:val="auto"/>
                <w:spacing w:val="-34"/>
                <w:highlight w:val="none"/>
              </w:rPr>
              <w:t xml:space="preserve"> </w:t>
            </w:r>
            <w:r>
              <w:rPr>
                <w:color w:val="auto"/>
                <w:spacing w:val="-3"/>
                <w:highlight w:val="none"/>
              </w:rPr>
              <w:t>7.5</w:t>
            </w:r>
            <w:r>
              <w:rPr>
                <w:color w:val="auto"/>
                <w:spacing w:val="-44"/>
                <w:highlight w:val="none"/>
              </w:rPr>
              <w:t xml:space="preserve"> </w:t>
            </w:r>
            <w:r>
              <w:rPr>
                <w:color w:val="auto"/>
                <w:spacing w:val="-3"/>
                <w:highlight w:val="none"/>
              </w:rPr>
              <w:t>款的内容增加项号</w:t>
            </w:r>
            <w:r>
              <w:rPr>
                <w:color w:val="auto"/>
                <w:spacing w:val="-39"/>
                <w:highlight w:val="none"/>
              </w:rPr>
              <w:t xml:space="preserve"> </w:t>
            </w:r>
            <w:r>
              <w:rPr>
                <w:color w:val="auto"/>
                <w:spacing w:val="-3"/>
                <w:highlight w:val="none"/>
              </w:rPr>
              <w:t>7.5.1，另增加</w:t>
            </w:r>
            <w:r>
              <w:rPr>
                <w:color w:val="auto"/>
                <w:spacing w:val="-39"/>
                <w:highlight w:val="none"/>
              </w:rPr>
              <w:t xml:space="preserve"> </w:t>
            </w:r>
            <w:r>
              <w:rPr>
                <w:color w:val="auto"/>
                <w:spacing w:val="-3"/>
                <w:highlight w:val="none"/>
              </w:rPr>
              <w:t>7.5.2</w:t>
            </w:r>
            <w:r>
              <w:rPr>
                <w:color w:val="auto"/>
                <w:spacing w:val="-41"/>
                <w:highlight w:val="none"/>
              </w:rPr>
              <w:t xml:space="preserve"> </w:t>
            </w:r>
            <w:r>
              <w:rPr>
                <w:color w:val="auto"/>
                <w:spacing w:val="-3"/>
                <w:highlight w:val="none"/>
              </w:rPr>
              <w:t>项内容：</w:t>
            </w:r>
          </w:p>
          <w:p w14:paraId="2AC76517">
            <w:pPr>
              <w:pStyle w:val="17"/>
              <w:spacing w:before="135" w:line="338" w:lineRule="auto"/>
              <w:ind w:left="114" w:right="108"/>
              <w:rPr>
                <w:color w:val="auto"/>
                <w:highlight w:val="none"/>
              </w:rPr>
            </w:pPr>
            <w:r>
              <w:rPr>
                <w:color w:val="auto"/>
                <w:spacing w:val="-1"/>
                <w:highlight w:val="none"/>
              </w:rPr>
              <w:t>7.5.2</w:t>
            </w:r>
            <w:r>
              <w:rPr>
                <w:color w:val="auto"/>
                <w:spacing w:val="-72"/>
                <w:highlight w:val="none"/>
                <w:u w:val="single" w:color="auto"/>
              </w:rPr>
              <w:t xml:space="preserve"> </w:t>
            </w:r>
            <w:r>
              <w:rPr>
                <w:color w:val="auto"/>
                <w:spacing w:val="-1"/>
                <w:highlight w:val="none"/>
                <w:u w:val="single" w:color="auto"/>
              </w:rPr>
              <w:t>中标人</w:t>
            </w:r>
            <w:r>
              <w:rPr>
                <w:color w:val="auto"/>
                <w:spacing w:val="-1"/>
                <w:highlight w:val="none"/>
              </w:rPr>
              <w:t>在领取中标通知书前需向</w:t>
            </w:r>
            <w:r>
              <w:rPr>
                <w:color w:val="auto"/>
                <w:spacing w:val="-105"/>
                <w:highlight w:val="none"/>
              </w:rPr>
              <w:t xml:space="preserve"> </w:t>
            </w:r>
            <w:r>
              <w:rPr>
                <w:color w:val="auto"/>
                <w:highlight w:val="none"/>
                <w:u w:val="single" w:color="auto"/>
              </w:rPr>
              <w:t xml:space="preserve"> </w:t>
            </w:r>
            <w:r>
              <w:rPr>
                <w:rFonts w:hint="eastAsia" w:ascii="宋体" w:hAnsi="宋体" w:eastAsia="宋体" w:cs="宋体"/>
                <w:color w:val="auto"/>
                <w:sz w:val="21"/>
                <w:szCs w:val="21"/>
                <w:highlight w:val="none"/>
                <w:u w:val="single"/>
                <w:lang w:val="en-US" w:eastAsia="zh-CN"/>
              </w:rPr>
              <w:t>广州</w:t>
            </w:r>
            <w:r>
              <w:rPr>
                <w:color w:val="auto"/>
                <w:highlight w:val="none"/>
                <w:u w:val="single" w:color="auto"/>
              </w:rPr>
              <w:t xml:space="preserve"> </w:t>
            </w:r>
            <w:r>
              <w:rPr>
                <w:color w:val="auto"/>
                <w:spacing w:val="-88"/>
                <w:highlight w:val="none"/>
              </w:rPr>
              <w:t xml:space="preserve"> </w:t>
            </w:r>
            <w:r>
              <w:rPr>
                <w:color w:val="auto"/>
                <w:spacing w:val="-1"/>
                <w:highlight w:val="none"/>
              </w:rPr>
              <w:t>公共资源交易中心缴纳公共资源</w:t>
            </w:r>
            <w:r>
              <w:rPr>
                <w:color w:val="auto"/>
                <w:spacing w:val="-3"/>
                <w:highlight w:val="none"/>
              </w:rPr>
              <w:t>交易服务费，具体按</w:t>
            </w:r>
            <w:r>
              <w:rPr>
                <w:color w:val="auto"/>
                <w:spacing w:val="-89"/>
                <w:highlight w:val="none"/>
              </w:rPr>
              <w:t xml:space="preserve"> </w:t>
            </w:r>
            <w:r>
              <w:rPr>
                <w:rFonts w:hint="eastAsia" w:ascii="宋体" w:hAnsi="宋体" w:eastAsia="宋体" w:cs="宋体"/>
                <w:color w:val="auto"/>
                <w:sz w:val="21"/>
                <w:szCs w:val="21"/>
                <w:highlight w:val="none"/>
                <w:u w:val="single"/>
                <w:lang w:val="en-US" w:eastAsia="zh-CN"/>
              </w:rPr>
              <w:t>广州</w:t>
            </w:r>
            <w:r>
              <w:rPr>
                <w:color w:val="auto"/>
                <w:spacing w:val="-90"/>
                <w:highlight w:val="none"/>
              </w:rPr>
              <w:t xml:space="preserve"> </w:t>
            </w:r>
            <w:r>
              <w:rPr>
                <w:color w:val="auto"/>
                <w:spacing w:val="-3"/>
                <w:highlight w:val="none"/>
              </w:rPr>
              <w:t>公共资源交易中心相关规定执行。</w:t>
            </w:r>
            <w:r>
              <w:rPr>
                <w:rFonts w:hint="eastAsia" w:ascii="宋体" w:hAnsi="宋体" w:eastAsia="宋体" w:cs="宋体"/>
                <w:color w:val="auto"/>
                <w:sz w:val="21"/>
                <w:szCs w:val="21"/>
                <w:highlight w:val="none"/>
                <w:u w:val="single"/>
                <w:lang w:val="en-US" w:eastAsia="zh-CN"/>
              </w:rPr>
              <w:t>该费用包含在投标报价中，发包人不另行计量支付</w:t>
            </w:r>
            <w:r>
              <w:rPr>
                <w:rFonts w:hint="eastAsia" w:ascii="宋体" w:hAnsi="宋体" w:eastAsia="宋体" w:cs="宋体"/>
                <w:b w:val="0"/>
                <w:color w:val="auto"/>
                <w:kern w:val="2"/>
                <w:sz w:val="21"/>
                <w:szCs w:val="21"/>
                <w:highlight w:val="none"/>
                <w:u w:val="single"/>
                <w:lang w:val="en-US" w:eastAsia="zh-CN" w:bidi="ar-SA"/>
              </w:rPr>
              <w:t>。</w:t>
            </w:r>
          </w:p>
        </w:tc>
      </w:tr>
      <w:tr w14:paraId="31BB6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185" w:type="dxa"/>
            <w:vAlign w:val="center"/>
          </w:tcPr>
          <w:p w14:paraId="3ACC41FC">
            <w:pPr>
              <w:spacing w:line="360" w:lineRule="auto"/>
              <w:jc w:val="center"/>
              <w:outlineLvl w:val="1"/>
              <w:rPr>
                <w:color w:val="auto"/>
                <w:spacing w:val="-5"/>
                <w:highlight w:val="none"/>
              </w:rPr>
            </w:pPr>
            <w:bookmarkStart w:id="10" w:name="_Toc28619"/>
            <w:r>
              <w:rPr>
                <w:rFonts w:hint="eastAsia" w:ascii="宋体" w:hAnsi="宋体" w:eastAsia="宋体" w:cs="宋体"/>
                <w:color w:val="auto"/>
                <w:sz w:val="21"/>
                <w:szCs w:val="21"/>
                <w:highlight w:val="none"/>
                <w:lang w:val="en-US" w:eastAsia="zh-CN"/>
              </w:rPr>
              <w:t>7.7</w:t>
            </w:r>
            <w:bookmarkEnd w:id="10"/>
          </w:p>
        </w:tc>
        <w:tc>
          <w:tcPr>
            <w:tcW w:w="8107" w:type="dxa"/>
            <w:gridSpan w:val="2"/>
            <w:vAlign w:val="center"/>
          </w:tcPr>
          <w:p w14:paraId="7EA0B7DD">
            <w:pPr>
              <w:autoSpaceDE/>
              <w:autoSpaceDN/>
              <w:adjustRightInd/>
              <w:spacing w:before="65" w:line="228" w:lineRule="auto"/>
              <w:ind w:left="124" w:leftChars="0" w:right="0" w:firstLine="0" w:firstLineChars="0"/>
              <w:jc w:val="both"/>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投标人须知正文第7.7款内容修改如下：</w:t>
            </w:r>
          </w:p>
          <w:p w14:paraId="3DF08B02">
            <w:pPr>
              <w:autoSpaceDE/>
              <w:autoSpaceDN/>
              <w:adjustRightInd/>
              <w:spacing w:before="65" w:line="228" w:lineRule="auto"/>
              <w:ind w:left="124" w:leftChars="0" w:right="0" w:rightChars="0" w:firstLine="0" w:firstLineChars="0"/>
              <w:jc w:val="both"/>
              <w:rPr>
                <w:color w:val="auto"/>
                <w:spacing w:val="-1"/>
                <w:highlight w:val="none"/>
              </w:rPr>
            </w:pPr>
            <w:r>
              <w:rPr>
                <w:rFonts w:hint="eastAsia" w:ascii="宋体" w:hAnsi="宋体" w:eastAsia="宋体" w:cs="宋体"/>
                <w:b w:val="0"/>
                <w:color w:val="auto"/>
                <w:spacing w:val="3"/>
                <w:kern w:val="2"/>
                <w:sz w:val="21"/>
                <w:szCs w:val="21"/>
                <w:highlight w:val="none"/>
                <w:lang w:val="en-US" w:eastAsia="zh-CN" w:bidi="ar-SA"/>
              </w:rPr>
              <w:t>本项目不设置履约保证金。</w:t>
            </w:r>
          </w:p>
        </w:tc>
      </w:tr>
      <w:tr w14:paraId="4B6C5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1185" w:type="dxa"/>
            <w:vAlign w:val="center"/>
          </w:tcPr>
          <w:p w14:paraId="61C87AF4">
            <w:pPr>
              <w:spacing w:line="360" w:lineRule="auto"/>
              <w:jc w:val="center"/>
              <w:outlineLvl w:val="1"/>
              <w:rPr>
                <w:rFonts w:hint="eastAsia" w:ascii="宋体" w:hAnsi="宋体" w:eastAsia="宋体" w:cs="宋体"/>
                <w:color w:val="auto"/>
                <w:sz w:val="21"/>
                <w:szCs w:val="21"/>
                <w:highlight w:val="none"/>
                <w:lang w:val="en-US" w:eastAsia="zh-CN"/>
              </w:rPr>
            </w:pPr>
            <w:bookmarkStart w:id="11" w:name="_Toc19379"/>
            <w:r>
              <w:rPr>
                <w:rFonts w:hint="eastAsia" w:ascii="宋体" w:hAnsi="宋体" w:eastAsia="宋体" w:cs="宋体"/>
                <w:color w:val="auto"/>
                <w:sz w:val="21"/>
                <w:szCs w:val="21"/>
                <w:highlight w:val="none"/>
                <w:lang w:val="en-US" w:eastAsia="zh-CN"/>
              </w:rPr>
              <w:t>7.8.1</w:t>
            </w:r>
            <w:bookmarkEnd w:id="11"/>
          </w:p>
        </w:tc>
        <w:tc>
          <w:tcPr>
            <w:tcW w:w="8107" w:type="dxa"/>
            <w:gridSpan w:val="2"/>
            <w:vAlign w:val="top"/>
          </w:tcPr>
          <w:p w14:paraId="5B6D7D04">
            <w:pPr>
              <w:autoSpaceDE/>
              <w:autoSpaceDN/>
              <w:adjustRightInd/>
              <w:spacing w:before="65" w:line="228" w:lineRule="auto"/>
              <w:ind w:left="124" w:leftChars="0" w:right="0" w:firstLine="0" w:firstLineChars="0"/>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投标人须知正文第7.8.1项内容修改如下：</w:t>
            </w:r>
          </w:p>
          <w:p w14:paraId="0341BD65">
            <w:pPr>
              <w:autoSpaceDE/>
              <w:autoSpaceDN/>
              <w:adjustRightInd/>
              <w:spacing w:before="65" w:line="228" w:lineRule="auto"/>
              <w:ind w:left="124" w:leftChars="0" w:right="0" w:rightChars="0" w:firstLine="432" w:firstLineChars="200"/>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招标人和中标人原则上应当自中标通知书发出之日起30日内，根据招标文件和中标人的投标文件订立书面合同，且需公告合同相关信息。中标人无正当理由拒签合同，在签订合同时向招标人提出附加条件，招标人取消其中标资格；给招标人造成损失的，中标人还应予以赔偿。</w:t>
            </w:r>
          </w:p>
        </w:tc>
      </w:tr>
      <w:tr w14:paraId="1FD12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185" w:type="dxa"/>
            <w:vAlign w:val="center"/>
          </w:tcPr>
          <w:p w14:paraId="65002E11">
            <w:pPr>
              <w:spacing w:line="360" w:lineRule="auto"/>
              <w:jc w:val="center"/>
              <w:outlineLvl w:val="1"/>
              <w:rPr>
                <w:rFonts w:hint="default" w:ascii="宋体" w:hAnsi="宋体" w:eastAsia="宋体" w:cs="宋体"/>
                <w:color w:val="auto"/>
                <w:sz w:val="21"/>
                <w:szCs w:val="21"/>
                <w:highlight w:val="none"/>
                <w:lang w:val="en-US" w:eastAsia="zh-CN"/>
              </w:rPr>
            </w:pPr>
            <w:bookmarkStart w:id="12" w:name="_Toc26277"/>
            <w:r>
              <w:rPr>
                <w:rFonts w:hint="eastAsia" w:ascii="宋体" w:hAnsi="宋体" w:eastAsia="宋体" w:cs="宋体"/>
                <w:color w:val="auto"/>
                <w:sz w:val="21"/>
                <w:szCs w:val="21"/>
                <w:highlight w:val="none"/>
                <w:lang w:val="en-US" w:eastAsia="zh-CN"/>
              </w:rPr>
              <w:t>7.8.2</w:t>
            </w:r>
            <w:bookmarkEnd w:id="12"/>
          </w:p>
        </w:tc>
        <w:tc>
          <w:tcPr>
            <w:tcW w:w="8107" w:type="dxa"/>
            <w:gridSpan w:val="2"/>
            <w:vAlign w:val="top"/>
          </w:tcPr>
          <w:p w14:paraId="22ECF0A1">
            <w:pPr>
              <w:autoSpaceDE/>
              <w:autoSpaceDN/>
              <w:adjustRightInd/>
              <w:spacing w:before="65" w:line="228" w:lineRule="auto"/>
              <w:ind w:left="124" w:leftChars="0" w:right="0" w:firstLine="0" w:firstLineChars="0"/>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投标人须知正文第7.8.2项内容修改如下：</w:t>
            </w:r>
          </w:p>
          <w:p w14:paraId="560D6A42">
            <w:pPr>
              <w:autoSpaceDE/>
              <w:autoSpaceDN/>
              <w:adjustRightInd/>
              <w:spacing w:before="65" w:line="228" w:lineRule="auto"/>
              <w:ind w:left="124" w:leftChars="0" w:right="0" w:firstLine="432" w:firstLineChars="200"/>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发出中标通知书后，招标人无正当理由拒签合同，或在签订合同时向中标人提出附加条件的，给中标人造成损失的，还应赔偿损失。</w:t>
            </w:r>
          </w:p>
        </w:tc>
      </w:tr>
      <w:tr w14:paraId="26E03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185" w:type="dxa"/>
            <w:vAlign w:val="center"/>
          </w:tcPr>
          <w:p w14:paraId="323507F6">
            <w:pPr>
              <w:spacing w:line="360" w:lineRule="auto"/>
              <w:jc w:val="center"/>
              <w:outlineLvl w:val="1"/>
              <w:rPr>
                <w:rFonts w:hint="default" w:ascii="宋体" w:hAnsi="宋体" w:eastAsia="宋体" w:cs="宋体"/>
                <w:color w:val="auto"/>
                <w:sz w:val="21"/>
                <w:szCs w:val="21"/>
                <w:highlight w:val="none"/>
                <w:lang w:val="en-US" w:eastAsia="zh-CN"/>
              </w:rPr>
            </w:pPr>
            <w:bookmarkStart w:id="13" w:name="_Toc17468"/>
            <w:r>
              <w:rPr>
                <w:rFonts w:hint="eastAsia" w:ascii="宋体" w:hAnsi="宋体" w:eastAsia="宋体" w:cs="宋体"/>
                <w:color w:val="auto"/>
                <w:sz w:val="21"/>
                <w:szCs w:val="21"/>
                <w:highlight w:val="none"/>
                <w:lang w:val="en-US" w:eastAsia="zh-CN"/>
              </w:rPr>
              <w:t>7.8.3</w:t>
            </w:r>
            <w:bookmarkEnd w:id="13"/>
          </w:p>
        </w:tc>
        <w:tc>
          <w:tcPr>
            <w:tcW w:w="8107" w:type="dxa"/>
            <w:gridSpan w:val="2"/>
            <w:vAlign w:val="center"/>
          </w:tcPr>
          <w:p w14:paraId="4EB8E22A">
            <w:pPr>
              <w:autoSpaceDE/>
              <w:autoSpaceDN/>
              <w:adjustRightInd/>
              <w:spacing w:before="65" w:line="228" w:lineRule="auto"/>
              <w:ind w:left="124" w:leftChars="0" w:right="0" w:rightChars="0" w:firstLine="0" w:firstLineChars="0"/>
              <w:jc w:val="both"/>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删除原7.8.3条款内容。</w:t>
            </w:r>
          </w:p>
        </w:tc>
      </w:tr>
      <w:tr w14:paraId="38F39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1185" w:type="dxa"/>
            <w:vAlign w:val="center"/>
          </w:tcPr>
          <w:p w14:paraId="4A9BEC7C">
            <w:pPr>
              <w:spacing w:line="360" w:lineRule="auto"/>
              <w:jc w:val="center"/>
              <w:outlineLvl w:val="1"/>
              <w:rPr>
                <w:rFonts w:hint="default" w:ascii="宋体" w:hAnsi="宋体" w:eastAsia="宋体" w:cs="宋体"/>
                <w:color w:val="auto"/>
                <w:sz w:val="21"/>
                <w:szCs w:val="21"/>
                <w:highlight w:val="none"/>
                <w:lang w:val="en-US" w:eastAsia="zh-CN"/>
              </w:rPr>
            </w:pPr>
            <w:bookmarkStart w:id="14" w:name="_Toc12515"/>
            <w:r>
              <w:rPr>
                <w:rFonts w:hint="eastAsia" w:ascii="宋体" w:hAnsi="宋体" w:eastAsia="宋体" w:cs="宋体"/>
                <w:color w:val="auto"/>
                <w:sz w:val="21"/>
                <w:szCs w:val="21"/>
                <w:highlight w:val="none"/>
                <w:lang w:val="en-US" w:eastAsia="zh-CN"/>
              </w:rPr>
              <w:t>7.8.4</w:t>
            </w:r>
            <w:bookmarkEnd w:id="14"/>
          </w:p>
        </w:tc>
        <w:tc>
          <w:tcPr>
            <w:tcW w:w="8107" w:type="dxa"/>
            <w:gridSpan w:val="2"/>
            <w:vAlign w:val="center"/>
          </w:tcPr>
          <w:p w14:paraId="7ADE6CFB">
            <w:pPr>
              <w:autoSpaceDE/>
              <w:autoSpaceDN/>
              <w:adjustRightInd/>
              <w:spacing w:before="65" w:line="228" w:lineRule="auto"/>
              <w:ind w:left="124" w:leftChars="0" w:right="0" w:rightChars="0" w:firstLine="0" w:firstLineChars="0"/>
              <w:jc w:val="both"/>
              <w:rPr>
                <w:rFonts w:hint="eastAsia" w:ascii="宋体" w:hAnsi="宋体" w:eastAsia="宋体" w:cs="宋体"/>
                <w:b w:val="0"/>
                <w:color w:val="auto"/>
                <w:spacing w:val="3"/>
                <w:kern w:val="2"/>
                <w:sz w:val="21"/>
                <w:szCs w:val="21"/>
                <w:highlight w:val="none"/>
                <w:lang w:val="en-US" w:eastAsia="zh-CN" w:bidi="ar-SA"/>
              </w:rPr>
            </w:pPr>
            <w:r>
              <w:rPr>
                <w:rFonts w:hint="eastAsia" w:ascii="宋体" w:hAnsi="宋体" w:eastAsia="宋体" w:cs="宋体"/>
                <w:b w:val="0"/>
                <w:color w:val="auto"/>
                <w:spacing w:val="3"/>
                <w:kern w:val="2"/>
                <w:sz w:val="21"/>
                <w:szCs w:val="21"/>
                <w:highlight w:val="none"/>
                <w:lang w:val="en-US" w:eastAsia="zh-CN" w:bidi="ar-SA"/>
              </w:rPr>
              <w:t>删除原7.8.4条款内容。</w:t>
            </w:r>
          </w:p>
        </w:tc>
      </w:tr>
      <w:tr w14:paraId="79259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0" w:hRule="atLeast"/>
        </w:trPr>
        <w:tc>
          <w:tcPr>
            <w:tcW w:w="1185" w:type="dxa"/>
            <w:vAlign w:val="top"/>
          </w:tcPr>
          <w:p w14:paraId="17FCFC3D">
            <w:pPr>
              <w:spacing w:line="288" w:lineRule="auto"/>
              <w:rPr>
                <w:rFonts w:ascii="Arial"/>
                <w:color w:val="auto"/>
                <w:sz w:val="21"/>
                <w:highlight w:val="none"/>
              </w:rPr>
            </w:pPr>
          </w:p>
          <w:p w14:paraId="39D81E78">
            <w:pPr>
              <w:spacing w:line="288" w:lineRule="auto"/>
              <w:rPr>
                <w:rFonts w:ascii="Arial"/>
                <w:color w:val="auto"/>
                <w:sz w:val="21"/>
                <w:highlight w:val="none"/>
              </w:rPr>
            </w:pPr>
          </w:p>
          <w:p w14:paraId="609D9D18">
            <w:pPr>
              <w:spacing w:line="289" w:lineRule="auto"/>
              <w:rPr>
                <w:rFonts w:ascii="Arial"/>
                <w:color w:val="auto"/>
                <w:sz w:val="21"/>
                <w:highlight w:val="none"/>
              </w:rPr>
            </w:pPr>
          </w:p>
          <w:p w14:paraId="20D36861">
            <w:pPr>
              <w:pStyle w:val="17"/>
              <w:spacing w:before="68" w:line="288" w:lineRule="exact"/>
              <w:ind w:left="287"/>
              <w:rPr>
                <w:color w:val="auto"/>
                <w:sz w:val="10"/>
                <w:szCs w:val="10"/>
                <w:highlight w:val="none"/>
              </w:rPr>
            </w:pPr>
            <w:r>
              <w:rPr>
                <w:color w:val="auto"/>
                <w:spacing w:val="-2"/>
                <w:position w:val="-1"/>
                <w:highlight w:val="none"/>
              </w:rPr>
              <w:t>7.8.6</w:t>
            </w:r>
          </w:p>
        </w:tc>
        <w:tc>
          <w:tcPr>
            <w:tcW w:w="8107" w:type="dxa"/>
            <w:gridSpan w:val="2"/>
            <w:vAlign w:val="top"/>
          </w:tcPr>
          <w:p w14:paraId="2AC9E9D4">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6"/>
                <w:highlight w:val="none"/>
              </w:rPr>
              <w:t>投标</w:t>
            </w:r>
            <w:r>
              <w:rPr>
                <w:color w:val="auto"/>
                <w:spacing w:val="-4"/>
                <w:highlight w:val="none"/>
              </w:rPr>
              <w:t>人须知正文增加第</w:t>
            </w:r>
            <w:r>
              <w:rPr>
                <w:color w:val="auto"/>
                <w:spacing w:val="-33"/>
                <w:highlight w:val="none"/>
              </w:rPr>
              <w:t xml:space="preserve"> </w:t>
            </w:r>
            <w:r>
              <w:rPr>
                <w:color w:val="auto"/>
                <w:spacing w:val="-4"/>
                <w:highlight w:val="none"/>
              </w:rPr>
              <w:t>7.8.6</w:t>
            </w:r>
            <w:r>
              <w:rPr>
                <w:color w:val="auto"/>
                <w:spacing w:val="-42"/>
                <w:highlight w:val="none"/>
              </w:rPr>
              <w:t xml:space="preserve"> </w:t>
            </w:r>
            <w:r>
              <w:rPr>
                <w:color w:val="auto"/>
                <w:spacing w:val="-4"/>
                <w:highlight w:val="none"/>
              </w:rPr>
              <w:t>项内容：</w:t>
            </w:r>
          </w:p>
          <w:p w14:paraId="16C36EC9">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spacing w:val="-3"/>
                <w:highlight w:val="none"/>
              </w:rPr>
            </w:pPr>
            <w:r>
              <w:rPr>
                <w:color w:val="auto"/>
                <w:spacing w:val="-3"/>
                <w:highlight w:val="none"/>
              </w:rPr>
              <w:t>7.8.6 在</w:t>
            </w:r>
            <w:r>
              <w:rPr>
                <w:color w:val="auto"/>
                <w:highlight w:val="none"/>
              </w:rPr>
              <w:t>签订</w:t>
            </w:r>
            <w:r>
              <w:rPr>
                <w:color w:val="auto"/>
                <w:spacing w:val="-3"/>
                <w:highlight w:val="none"/>
              </w:rPr>
              <w:t>合同前，招标人对中标人的工程量清单报价进行核定。如存在不平衡报价或</w:t>
            </w:r>
            <w:r>
              <w:rPr>
                <w:color w:val="auto"/>
                <w:spacing w:val="-1"/>
                <w:highlight w:val="none"/>
              </w:rPr>
              <w:t>其他</w:t>
            </w:r>
            <w:r>
              <w:rPr>
                <w:color w:val="auto"/>
                <w:spacing w:val="-3"/>
                <w:highlight w:val="none"/>
              </w:rPr>
              <w:t>错误，在保持投标总价不变的前提下，招标人按以下原则处理：</w:t>
            </w:r>
          </w:p>
          <w:p w14:paraId="2721D377">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rFonts w:hint="eastAsia"/>
                <w:color w:val="auto"/>
                <w:spacing w:val="-3"/>
                <w:highlight w:val="none"/>
              </w:rPr>
            </w:pPr>
            <w:r>
              <w:rPr>
                <w:rFonts w:hint="eastAsia"/>
                <w:color w:val="auto"/>
                <w:spacing w:val="-3"/>
                <w:highlight w:val="none"/>
              </w:rPr>
              <w:t>1、若</w:t>
            </w:r>
            <w:r>
              <w:rPr>
                <w:rFonts w:hint="eastAsia"/>
                <w:color w:val="auto"/>
                <w:highlight w:val="none"/>
              </w:rPr>
              <w:t>中标人</w:t>
            </w:r>
            <w:r>
              <w:rPr>
                <w:rFonts w:hint="eastAsia"/>
                <w:color w:val="auto"/>
                <w:spacing w:val="-3"/>
                <w:highlight w:val="none"/>
              </w:rPr>
              <w:t>的工程量清单报价，超过如下范围：招标人招标清单预算相应单价与（1-中标人中标价下浮率）乘积的85%～115%，则视为存在不平衡报价。</w:t>
            </w:r>
          </w:p>
          <w:p w14:paraId="58072ADB">
            <w:pPr>
              <w:pStyle w:val="17"/>
              <w:keepNext w:val="0"/>
              <w:keepLines w:val="0"/>
              <w:pageBreakBefore w:val="0"/>
              <w:widowControl/>
              <w:kinsoku w:val="0"/>
              <w:wordWrap/>
              <w:overflowPunct/>
              <w:topLinePunct w:val="0"/>
              <w:autoSpaceDE w:val="0"/>
              <w:autoSpaceDN w:val="0"/>
              <w:bidi w:val="0"/>
              <w:adjustRightInd w:val="0"/>
              <w:snapToGrid w:val="0"/>
              <w:spacing w:line="338" w:lineRule="auto"/>
              <w:ind w:left="114" w:right="108"/>
              <w:textAlignment w:val="baseline"/>
              <w:rPr>
                <w:rFonts w:hint="eastAsia"/>
                <w:color w:val="auto"/>
                <w:spacing w:val="-3"/>
                <w:highlight w:val="none"/>
              </w:rPr>
            </w:pPr>
            <w:r>
              <w:rPr>
                <w:rFonts w:hint="eastAsia"/>
                <w:color w:val="auto"/>
                <w:spacing w:val="-3"/>
                <w:highlight w:val="none"/>
              </w:rPr>
              <w:t>2、如果存在不平衡报价，招标人将在保证投标总价不变的前提下，按以下原则调整其工程量清单报价（不随报价调整的除外）：（1）招标人招标清单预算相应单价×（1-中标人中标价下浮率）为基准进行调整；（2）按上述算术修正和本款调整后，对以百分比计取的非固定报价项目的报价也应作相应的修正。</w:t>
            </w:r>
          </w:p>
          <w:p w14:paraId="4F4422C0">
            <w:pPr>
              <w:pStyle w:val="17"/>
              <w:keepNext w:val="0"/>
              <w:keepLines w:val="0"/>
              <w:pageBreakBefore w:val="0"/>
              <w:widowControl/>
              <w:kinsoku w:val="0"/>
              <w:wordWrap/>
              <w:overflowPunct/>
              <w:topLinePunct w:val="0"/>
              <w:autoSpaceDE w:val="0"/>
              <w:autoSpaceDN w:val="0"/>
              <w:bidi w:val="0"/>
              <w:adjustRightInd w:val="0"/>
              <w:snapToGrid w:val="0"/>
              <w:spacing w:line="338" w:lineRule="auto"/>
              <w:ind w:left="114" w:right="108"/>
              <w:textAlignment w:val="baseline"/>
              <w:rPr>
                <w:color w:val="auto"/>
                <w:highlight w:val="none"/>
              </w:rPr>
            </w:pPr>
            <w:r>
              <w:rPr>
                <w:rFonts w:hint="eastAsia"/>
                <w:color w:val="auto"/>
                <w:spacing w:val="-3"/>
                <w:highlight w:val="none"/>
              </w:rPr>
              <w:t>3、为使调整后的投标总价保持不变，对处于招标人招标清单预算相应单价与（1-中标人中标价下浮率）乘积的85%～115%内的报价，招标人有权根据本款第1条调整原则进行报价调整。</w:t>
            </w:r>
          </w:p>
        </w:tc>
      </w:tr>
      <w:tr w14:paraId="7E1F5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1" w:hRule="atLeast"/>
        </w:trPr>
        <w:tc>
          <w:tcPr>
            <w:tcW w:w="1185" w:type="dxa"/>
            <w:vAlign w:val="top"/>
          </w:tcPr>
          <w:p w14:paraId="32C02458">
            <w:pPr>
              <w:spacing w:line="266" w:lineRule="auto"/>
              <w:rPr>
                <w:rFonts w:ascii="Arial"/>
                <w:color w:val="auto"/>
                <w:sz w:val="21"/>
                <w:highlight w:val="none"/>
              </w:rPr>
            </w:pPr>
          </w:p>
          <w:p w14:paraId="7FB325E0">
            <w:pPr>
              <w:spacing w:line="266" w:lineRule="auto"/>
              <w:rPr>
                <w:rFonts w:ascii="Arial"/>
                <w:color w:val="auto"/>
                <w:sz w:val="21"/>
                <w:highlight w:val="none"/>
              </w:rPr>
            </w:pPr>
          </w:p>
          <w:p w14:paraId="2ED6CB05">
            <w:pPr>
              <w:spacing w:line="266" w:lineRule="auto"/>
              <w:rPr>
                <w:rFonts w:ascii="Arial"/>
                <w:color w:val="auto"/>
                <w:sz w:val="21"/>
                <w:highlight w:val="none"/>
              </w:rPr>
            </w:pPr>
          </w:p>
          <w:p w14:paraId="4D6A4D6F">
            <w:pPr>
              <w:spacing w:line="266" w:lineRule="auto"/>
              <w:rPr>
                <w:rFonts w:ascii="Arial"/>
                <w:color w:val="auto"/>
                <w:sz w:val="21"/>
                <w:highlight w:val="none"/>
              </w:rPr>
            </w:pPr>
          </w:p>
          <w:p w14:paraId="365900FD">
            <w:pPr>
              <w:spacing w:line="266" w:lineRule="auto"/>
              <w:rPr>
                <w:rFonts w:ascii="Arial"/>
                <w:color w:val="auto"/>
                <w:sz w:val="21"/>
                <w:highlight w:val="none"/>
              </w:rPr>
            </w:pPr>
          </w:p>
          <w:p w14:paraId="4CC5391D">
            <w:pPr>
              <w:spacing w:line="266" w:lineRule="auto"/>
              <w:rPr>
                <w:rFonts w:ascii="Arial"/>
                <w:color w:val="auto"/>
                <w:sz w:val="21"/>
                <w:highlight w:val="none"/>
              </w:rPr>
            </w:pPr>
          </w:p>
          <w:p w14:paraId="007CCF57">
            <w:pPr>
              <w:spacing w:line="266" w:lineRule="auto"/>
              <w:rPr>
                <w:rFonts w:ascii="Arial"/>
                <w:color w:val="auto"/>
                <w:sz w:val="21"/>
                <w:highlight w:val="none"/>
              </w:rPr>
            </w:pPr>
          </w:p>
          <w:p w14:paraId="08BEAE61">
            <w:pPr>
              <w:pStyle w:val="17"/>
              <w:spacing w:before="68"/>
              <w:ind w:left="508"/>
              <w:rPr>
                <w:color w:val="auto"/>
                <w:highlight w:val="none"/>
              </w:rPr>
            </w:pPr>
            <w:r>
              <w:rPr>
                <w:color w:val="auto"/>
                <w:spacing w:val="-6"/>
                <w:highlight w:val="none"/>
              </w:rPr>
              <w:t>10</w:t>
            </w:r>
          </w:p>
        </w:tc>
        <w:tc>
          <w:tcPr>
            <w:tcW w:w="8107" w:type="dxa"/>
            <w:gridSpan w:val="2"/>
            <w:vAlign w:val="top"/>
          </w:tcPr>
          <w:p w14:paraId="54F110C1">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2"/>
                <w:highlight w:val="none"/>
              </w:rPr>
              <w:t>在</w:t>
            </w:r>
            <w:r>
              <w:rPr>
                <w:color w:val="auto"/>
                <w:spacing w:val="-16"/>
                <w:highlight w:val="none"/>
              </w:rPr>
              <w:t xml:space="preserve"> </w:t>
            </w:r>
            <w:r>
              <w:rPr>
                <w:color w:val="auto"/>
                <w:spacing w:val="-2"/>
                <w:highlight w:val="none"/>
              </w:rPr>
              <w:t>10.1</w:t>
            </w:r>
            <w:r>
              <w:rPr>
                <w:color w:val="auto"/>
                <w:spacing w:val="-44"/>
                <w:highlight w:val="none"/>
              </w:rPr>
              <w:t xml:space="preserve"> </w:t>
            </w:r>
            <w:r>
              <w:rPr>
                <w:color w:val="auto"/>
                <w:spacing w:val="-2"/>
                <w:highlight w:val="none"/>
              </w:rPr>
              <w:t>款后增加如下条款：10.2</w:t>
            </w:r>
            <w:r>
              <w:rPr>
                <w:color w:val="auto"/>
                <w:spacing w:val="-44"/>
                <w:highlight w:val="none"/>
              </w:rPr>
              <w:t xml:space="preserve"> </w:t>
            </w:r>
            <w:r>
              <w:rPr>
                <w:color w:val="auto"/>
                <w:spacing w:val="-2"/>
                <w:highlight w:val="none"/>
              </w:rPr>
              <w:t>款、10.3</w:t>
            </w:r>
            <w:r>
              <w:rPr>
                <w:color w:val="auto"/>
                <w:spacing w:val="-44"/>
                <w:highlight w:val="none"/>
              </w:rPr>
              <w:t xml:space="preserve"> </w:t>
            </w:r>
            <w:r>
              <w:rPr>
                <w:color w:val="auto"/>
                <w:spacing w:val="-2"/>
                <w:highlight w:val="none"/>
              </w:rPr>
              <w:t>款、10.4</w:t>
            </w:r>
            <w:r>
              <w:rPr>
                <w:color w:val="auto"/>
                <w:spacing w:val="-44"/>
                <w:highlight w:val="none"/>
              </w:rPr>
              <w:t xml:space="preserve"> </w:t>
            </w:r>
            <w:r>
              <w:rPr>
                <w:color w:val="auto"/>
                <w:spacing w:val="-2"/>
                <w:highlight w:val="none"/>
              </w:rPr>
              <w:t>款、10.5</w:t>
            </w:r>
            <w:r>
              <w:rPr>
                <w:color w:val="auto"/>
                <w:spacing w:val="-45"/>
                <w:highlight w:val="none"/>
              </w:rPr>
              <w:t xml:space="preserve"> </w:t>
            </w:r>
            <w:r>
              <w:rPr>
                <w:color w:val="auto"/>
                <w:spacing w:val="-2"/>
                <w:highlight w:val="none"/>
              </w:rPr>
              <w:t>款、10.6</w:t>
            </w:r>
            <w:r>
              <w:rPr>
                <w:color w:val="auto"/>
                <w:spacing w:val="-44"/>
                <w:highlight w:val="none"/>
              </w:rPr>
              <w:t xml:space="preserve"> </w:t>
            </w:r>
            <w:r>
              <w:rPr>
                <w:color w:val="auto"/>
                <w:spacing w:val="-2"/>
                <w:highlight w:val="none"/>
              </w:rPr>
              <w:t>款、10.7</w:t>
            </w:r>
            <w:r>
              <w:rPr>
                <w:color w:val="auto"/>
                <w:spacing w:val="-44"/>
                <w:highlight w:val="none"/>
              </w:rPr>
              <w:t xml:space="preserve"> </w:t>
            </w:r>
            <w:r>
              <w:rPr>
                <w:color w:val="auto"/>
                <w:spacing w:val="-2"/>
                <w:highlight w:val="none"/>
              </w:rPr>
              <w:t>款、</w:t>
            </w:r>
            <w:r>
              <w:rPr>
                <w:color w:val="auto"/>
                <w:spacing w:val="-6"/>
                <w:highlight w:val="none"/>
              </w:rPr>
              <w:t>10.8</w:t>
            </w:r>
            <w:r>
              <w:rPr>
                <w:color w:val="auto"/>
                <w:spacing w:val="-41"/>
                <w:highlight w:val="none"/>
              </w:rPr>
              <w:t xml:space="preserve"> </w:t>
            </w:r>
            <w:r>
              <w:rPr>
                <w:color w:val="auto"/>
                <w:spacing w:val="-6"/>
                <w:highlight w:val="none"/>
              </w:rPr>
              <w:t>款。</w:t>
            </w:r>
          </w:p>
          <w:p w14:paraId="4F300ADC">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6"/>
                <w:highlight w:val="none"/>
              </w:rPr>
              <w:t>10.2</w:t>
            </w:r>
            <w:r>
              <w:rPr>
                <w:color w:val="auto"/>
                <w:spacing w:val="-36"/>
                <w:highlight w:val="none"/>
              </w:rPr>
              <w:t xml:space="preserve"> </w:t>
            </w:r>
            <w:r>
              <w:rPr>
                <w:color w:val="auto"/>
                <w:spacing w:val="-3"/>
                <w:highlight w:val="none"/>
              </w:rPr>
              <w:t>信用</w:t>
            </w:r>
            <w:r>
              <w:rPr>
                <w:color w:val="auto"/>
                <w:spacing w:val="-6"/>
                <w:highlight w:val="none"/>
              </w:rPr>
              <w:t>等级的确定原则：</w:t>
            </w:r>
          </w:p>
          <w:p w14:paraId="6FFE7C1F">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spacing w:val="-5"/>
                <w:highlight w:val="none"/>
              </w:rPr>
            </w:pPr>
            <w:r>
              <w:rPr>
                <w:color w:val="auto"/>
                <w:highlight w:val="none"/>
              </w:rPr>
              <w:t xml:space="preserve">10.2.1 </w:t>
            </w:r>
            <w:r>
              <w:rPr>
                <w:color w:val="auto"/>
                <w:spacing w:val="-3"/>
                <w:highlight w:val="none"/>
              </w:rPr>
              <w:t>招标</w:t>
            </w:r>
            <w:r>
              <w:rPr>
                <w:color w:val="auto"/>
                <w:highlight w:val="none"/>
              </w:rPr>
              <w:t>文件中的信用等级指的是广东省交通运输厅最新年</w:t>
            </w:r>
            <w:r>
              <w:rPr>
                <w:color w:val="auto"/>
                <w:spacing w:val="-1"/>
                <w:highlight w:val="none"/>
              </w:rPr>
              <w:t>度发布的公路工程从业</w:t>
            </w:r>
            <w:r>
              <w:rPr>
                <w:color w:val="auto"/>
                <w:spacing w:val="2"/>
                <w:highlight w:val="none"/>
              </w:rPr>
              <w:t>单位信用评价等级（</w:t>
            </w:r>
            <w:r>
              <w:rPr>
                <w:rFonts w:hint="eastAsia"/>
                <w:color w:val="auto"/>
                <w:spacing w:val="2"/>
                <w:highlight w:val="none"/>
                <w:lang w:val="en-US" w:eastAsia="zh-CN"/>
              </w:rPr>
              <w:t>土建</w:t>
            </w:r>
            <w:r>
              <w:rPr>
                <w:color w:val="auto"/>
                <w:spacing w:val="2"/>
                <w:highlight w:val="none"/>
                <w:u w:val="none" w:color="auto"/>
              </w:rPr>
              <w:t>施工单位</w:t>
            </w:r>
            <w:r>
              <w:rPr>
                <w:color w:val="auto"/>
                <w:spacing w:val="2"/>
                <w:highlight w:val="none"/>
              </w:rPr>
              <w:t>)。如无广东省最新年度信用等级而有上一年度广东省</w:t>
            </w:r>
            <w:r>
              <w:rPr>
                <w:color w:val="auto"/>
                <w:spacing w:val="-3"/>
                <w:highlight w:val="none"/>
              </w:rPr>
              <w:t>信用等级的，则其原信用等级可延续一年，但在递交资审申请文件（资格后审的为投标文件）时信用等级的使用次数应按上一年度公布的信用评价结果顺延上一年度的使用次数。同一投标人在同一招标项目中参与多个标段投标时，信用等级使用次数按标段独立计算，累计使用次数不得超过广东省交通运输厅信用评价结果应用规则规定的上限。具</w:t>
            </w:r>
            <w:r>
              <w:rPr>
                <w:color w:val="auto"/>
                <w:spacing w:val="-5"/>
                <w:highlight w:val="none"/>
              </w:rPr>
              <w:t>体使用次数有关规定如下：</w:t>
            </w:r>
          </w:p>
          <w:p w14:paraId="07A115F5">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2"/>
                <w:highlight w:val="none"/>
              </w:rPr>
              <w:t>1.</w:t>
            </w:r>
            <w:r>
              <w:rPr>
                <w:color w:val="auto"/>
                <w:highlight w:val="none"/>
              </w:rPr>
              <w:t>对于</w:t>
            </w:r>
            <w:r>
              <w:rPr>
                <w:color w:val="auto"/>
                <w:spacing w:val="-3"/>
                <w:highlight w:val="none"/>
              </w:rPr>
              <w:t>信用</w:t>
            </w:r>
            <w:r>
              <w:rPr>
                <w:color w:val="auto"/>
                <w:spacing w:val="-2"/>
                <w:highlight w:val="none"/>
              </w:rPr>
              <w:t>等级为</w:t>
            </w:r>
            <w:r>
              <w:rPr>
                <w:color w:val="auto"/>
                <w:spacing w:val="-51"/>
                <w:highlight w:val="none"/>
              </w:rPr>
              <w:t xml:space="preserve"> </w:t>
            </w:r>
            <w:r>
              <w:rPr>
                <w:color w:val="auto"/>
                <w:spacing w:val="-2"/>
                <w:highlight w:val="none"/>
              </w:rPr>
              <w:t>AA</w:t>
            </w:r>
            <w:r>
              <w:rPr>
                <w:color w:val="auto"/>
                <w:spacing w:val="-41"/>
                <w:highlight w:val="none"/>
              </w:rPr>
              <w:t xml:space="preserve"> </w:t>
            </w:r>
            <w:r>
              <w:rPr>
                <w:color w:val="auto"/>
                <w:spacing w:val="-2"/>
                <w:highlight w:val="none"/>
              </w:rPr>
              <w:t>级的从业单位:</w:t>
            </w:r>
          </w:p>
          <w:p w14:paraId="4152BA07">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2"/>
                <w:highlight w:val="none"/>
              </w:rPr>
              <w:t>(1)仅</w:t>
            </w:r>
            <w:r>
              <w:rPr>
                <w:color w:val="auto"/>
                <w:spacing w:val="-3"/>
                <w:highlight w:val="none"/>
              </w:rPr>
              <w:t>最新</w:t>
            </w:r>
            <w:r>
              <w:rPr>
                <w:color w:val="auto"/>
                <w:spacing w:val="2"/>
                <w:highlight w:val="none"/>
              </w:rPr>
              <w:t>一年度信用等级为</w:t>
            </w:r>
            <w:r>
              <w:rPr>
                <w:color w:val="auto"/>
                <w:spacing w:val="-51"/>
                <w:highlight w:val="none"/>
              </w:rPr>
              <w:t xml:space="preserve"> </w:t>
            </w:r>
            <w:r>
              <w:rPr>
                <w:color w:val="auto"/>
                <w:highlight w:val="none"/>
              </w:rPr>
              <w:t>AA</w:t>
            </w:r>
            <w:r>
              <w:rPr>
                <w:color w:val="auto"/>
                <w:spacing w:val="-38"/>
                <w:highlight w:val="none"/>
              </w:rPr>
              <w:t xml:space="preserve"> </w:t>
            </w:r>
            <w:r>
              <w:rPr>
                <w:color w:val="auto"/>
                <w:spacing w:val="2"/>
                <w:highlight w:val="none"/>
              </w:rPr>
              <w:t>级的从业单位在参加广东省公路工程</w:t>
            </w:r>
            <w:r>
              <w:rPr>
                <w:color w:val="auto"/>
                <w:spacing w:val="1"/>
                <w:highlight w:val="none"/>
              </w:rPr>
              <w:t>建设项目投标活动（以递交资格预审申请文件或资格后审递交投标文件时间为准）时，可申请使用</w:t>
            </w:r>
            <w:r>
              <w:rPr>
                <w:color w:val="auto"/>
                <w:spacing w:val="-30"/>
                <w:highlight w:val="none"/>
              </w:rPr>
              <w:t xml:space="preserve"> </w:t>
            </w:r>
            <w:r>
              <w:rPr>
                <w:color w:val="auto"/>
                <w:highlight w:val="none"/>
              </w:rPr>
              <w:t>AA</w:t>
            </w:r>
            <w:r>
              <w:rPr>
                <w:color w:val="auto"/>
                <w:spacing w:val="-4"/>
                <w:highlight w:val="none"/>
              </w:rPr>
              <w:t>级分值</w:t>
            </w:r>
            <w:r>
              <w:rPr>
                <w:color w:val="auto"/>
                <w:spacing w:val="-43"/>
                <w:highlight w:val="none"/>
              </w:rPr>
              <w:t xml:space="preserve"> </w:t>
            </w:r>
            <w:r>
              <w:rPr>
                <w:color w:val="auto"/>
                <w:spacing w:val="-4"/>
                <w:highlight w:val="none"/>
              </w:rPr>
              <w:t>8</w:t>
            </w:r>
            <w:r>
              <w:rPr>
                <w:color w:val="auto"/>
                <w:spacing w:val="-39"/>
                <w:highlight w:val="none"/>
              </w:rPr>
              <w:t xml:space="preserve"> </w:t>
            </w:r>
            <w:r>
              <w:rPr>
                <w:color w:val="auto"/>
                <w:spacing w:val="-4"/>
                <w:highlight w:val="none"/>
              </w:rPr>
              <w:t>次，用完</w:t>
            </w:r>
            <w:r>
              <w:rPr>
                <w:color w:val="auto"/>
                <w:spacing w:val="-43"/>
                <w:highlight w:val="none"/>
              </w:rPr>
              <w:t xml:space="preserve"> </w:t>
            </w:r>
            <w:r>
              <w:rPr>
                <w:color w:val="auto"/>
                <w:spacing w:val="-4"/>
                <w:highlight w:val="none"/>
              </w:rPr>
              <w:t>8</w:t>
            </w:r>
            <w:r>
              <w:rPr>
                <w:color w:val="auto"/>
                <w:spacing w:val="-39"/>
                <w:highlight w:val="none"/>
              </w:rPr>
              <w:t xml:space="preserve"> </w:t>
            </w:r>
            <w:r>
              <w:rPr>
                <w:color w:val="auto"/>
                <w:spacing w:val="-4"/>
                <w:highlight w:val="none"/>
              </w:rPr>
              <w:t>次后信用等级分值将按</w:t>
            </w:r>
            <w:r>
              <w:rPr>
                <w:color w:val="auto"/>
                <w:spacing w:val="-50"/>
                <w:highlight w:val="none"/>
              </w:rPr>
              <w:t xml:space="preserve"> </w:t>
            </w:r>
            <w:r>
              <w:rPr>
                <w:color w:val="auto"/>
                <w:spacing w:val="-4"/>
                <w:highlight w:val="none"/>
              </w:rPr>
              <w:t>A</w:t>
            </w:r>
            <w:r>
              <w:rPr>
                <w:color w:val="auto"/>
                <w:spacing w:val="-42"/>
                <w:highlight w:val="none"/>
              </w:rPr>
              <w:t xml:space="preserve"> </w:t>
            </w:r>
            <w:r>
              <w:rPr>
                <w:color w:val="auto"/>
                <w:spacing w:val="-4"/>
                <w:highlight w:val="none"/>
              </w:rPr>
              <w:t>级</w:t>
            </w:r>
            <w:r>
              <w:rPr>
                <w:color w:val="auto"/>
                <w:spacing w:val="-5"/>
                <w:highlight w:val="none"/>
              </w:rPr>
              <w:t>分值取定；</w:t>
            </w:r>
          </w:p>
          <w:p w14:paraId="34783596">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4"/>
                <w:highlight w:val="none"/>
              </w:rPr>
              <w:t>(2)</w:t>
            </w:r>
            <w:r>
              <w:rPr>
                <w:color w:val="auto"/>
                <w:highlight w:val="none"/>
              </w:rPr>
              <w:t>连续</w:t>
            </w:r>
            <w:r>
              <w:rPr>
                <w:color w:val="auto"/>
                <w:spacing w:val="-4"/>
                <w:highlight w:val="none"/>
              </w:rPr>
              <w:t>最近两个年度信用等级为</w:t>
            </w:r>
            <w:r>
              <w:rPr>
                <w:color w:val="auto"/>
                <w:spacing w:val="-46"/>
                <w:highlight w:val="none"/>
              </w:rPr>
              <w:t xml:space="preserve"> </w:t>
            </w:r>
            <w:r>
              <w:rPr>
                <w:color w:val="auto"/>
                <w:spacing w:val="-4"/>
                <w:highlight w:val="none"/>
              </w:rPr>
              <w:t>AA</w:t>
            </w:r>
            <w:r>
              <w:rPr>
                <w:color w:val="auto"/>
                <w:spacing w:val="-42"/>
                <w:highlight w:val="none"/>
              </w:rPr>
              <w:t xml:space="preserve"> </w:t>
            </w:r>
            <w:r>
              <w:rPr>
                <w:color w:val="auto"/>
                <w:spacing w:val="-4"/>
                <w:highlight w:val="none"/>
              </w:rPr>
              <w:t>级的单位在参加广东省公路工程投标活动（以递交</w:t>
            </w:r>
            <w:r>
              <w:rPr>
                <w:color w:val="auto"/>
                <w:spacing w:val="3"/>
                <w:highlight w:val="none"/>
              </w:rPr>
              <w:t>资格预审申请文件或资格后审递交投标文件时间为准）时，可申请使用</w:t>
            </w:r>
            <w:r>
              <w:rPr>
                <w:color w:val="auto"/>
                <w:spacing w:val="-44"/>
                <w:highlight w:val="none"/>
              </w:rPr>
              <w:t xml:space="preserve"> </w:t>
            </w:r>
            <w:r>
              <w:rPr>
                <w:color w:val="auto"/>
                <w:highlight w:val="none"/>
              </w:rPr>
              <w:t>AA</w:t>
            </w:r>
            <w:r>
              <w:rPr>
                <w:color w:val="auto"/>
                <w:spacing w:val="-37"/>
                <w:highlight w:val="none"/>
              </w:rPr>
              <w:t xml:space="preserve"> </w:t>
            </w:r>
            <w:r>
              <w:rPr>
                <w:color w:val="auto"/>
                <w:spacing w:val="3"/>
                <w:highlight w:val="none"/>
              </w:rPr>
              <w:t>级分值</w:t>
            </w:r>
            <w:r>
              <w:rPr>
                <w:color w:val="auto"/>
                <w:spacing w:val="-24"/>
                <w:highlight w:val="none"/>
              </w:rPr>
              <w:t xml:space="preserve"> </w:t>
            </w:r>
            <w:r>
              <w:rPr>
                <w:color w:val="auto"/>
                <w:spacing w:val="3"/>
                <w:highlight w:val="none"/>
              </w:rPr>
              <w:t>12</w:t>
            </w:r>
            <w:r>
              <w:rPr>
                <w:color w:val="auto"/>
                <w:spacing w:val="-5"/>
                <w:highlight w:val="none"/>
              </w:rPr>
              <w:t>次，用完</w:t>
            </w:r>
            <w:r>
              <w:rPr>
                <w:color w:val="auto"/>
                <w:spacing w:val="-23"/>
                <w:highlight w:val="none"/>
              </w:rPr>
              <w:t xml:space="preserve"> </w:t>
            </w:r>
            <w:r>
              <w:rPr>
                <w:color w:val="auto"/>
                <w:spacing w:val="-5"/>
                <w:highlight w:val="none"/>
              </w:rPr>
              <w:t>12</w:t>
            </w:r>
            <w:r>
              <w:rPr>
                <w:color w:val="auto"/>
                <w:spacing w:val="-39"/>
                <w:highlight w:val="none"/>
              </w:rPr>
              <w:t xml:space="preserve"> </w:t>
            </w:r>
            <w:r>
              <w:rPr>
                <w:color w:val="auto"/>
                <w:spacing w:val="-5"/>
                <w:highlight w:val="none"/>
              </w:rPr>
              <w:t>次后信用等级分值将按</w:t>
            </w:r>
            <w:r>
              <w:rPr>
                <w:color w:val="auto"/>
                <w:spacing w:val="-51"/>
                <w:highlight w:val="none"/>
              </w:rPr>
              <w:t xml:space="preserve"> </w:t>
            </w:r>
            <w:r>
              <w:rPr>
                <w:color w:val="auto"/>
                <w:spacing w:val="-5"/>
                <w:highlight w:val="none"/>
              </w:rPr>
              <w:t>A</w:t>
            </w:r>
            <w:r>
              <w:rPr>
                <w:color w:val="auto"/>
                <w:spacing w:val="-40"/>
                <w:highlight w:val="none"/>
              </w:rPr>
              <w:t xml:space="preserve"> </w:t>
            </w:r>
            <w:r>
              <w:rPr>
                <w:color w:val="auto"/>
                <w:spacing w:val="-5"/>
                <w:highlight w:val="none"/>
              </w:rPr>
              <w:t>级取定；</w:t>
            </w:r>
          </w:p>
          <w:p w14:paraId="502D7297">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1"/>
                <w:highlight w:val="none"/>
              </w:rPr>
              <w:t>2.对于</w:t>
            </w:r>
            <w:r>
              <w:rPr>
                <w:color w:val="auto"/>
                <w:spacing w:val="-3"/>
                <w:highlight w:val="none"/>
              </w:rPr>
              <w:t>信用</w:t>
            </w:r>
            <w:r>
              <w:rPr>
                <w:color w:val="auto"/>
                <w:spacing w:val="-1"/>
                <w:highlight w:val="none"/>
              </w:rPr>
              <w:t>等级为</w:t>
            </w:r>
            <w:r>
              <w:rPr>
                <w:color w:val="auto"/>
                <w:spacing w:val="-35"/>
                <w:highlight w:val="none"/>
              </w:rPr>
              <w:t xml:space="preserve"> </w:t>
            </w:r>
            <w:r>
              <w:rPr>
                <w:color w:val="auto"/>
                <w:spacing w:val="-1"/>
                <w:highlight w:val="none"/>
              </w:rPr>
              <w:t>A</w:t>
            </w:r>
            <w:r>
              <w:rPr>
                <w:color w:val="auto"/>
                <w:spacing w:val="-40"/>
                <w:highlight w:val="none"/>
              </w:rPr>
              <w:t xml:space="preserve"> </w:t>
            </w:r>
            <w:r>
              <w:rPr>
                <w:color w:val="auto"/>
                <w:spacing w:val="-1"/>
                <w:highlight w:val="none"/>
              </w:rPr>
              <w:t>级的从业单位:当年度信用等级</w:t>
            </w:r>
            <w:r>
              <w:rPr>
                <w:color w:val="auto"/>
                <w:spacing w:val="-50"/>
                <w:highlight w:val="none"/>
              </w:rPr>
              <w:t xml:space="preserve"> </w:t>
            </w:r>
            <w:r>
              <w:rPr>
                <w:color w:val="auto"/>
                <w:spacing w:val="-1"/>
                <w:highlight w:val="none"/>
              </w:rPr>
              <w:t>A</w:t>
            </w:r>
            <w:r>
              <w:rPr>
                <w:color w:val="auto"/>
                <w:spacing w:val="-40"/>
                <w:highlight w:val="none"/>
              </w:rPr>
              <w:t xml:space="preserve"> </w:t>
            </w:r>
            <w:r>
              <w:rPr>
                <w:color w:val="auto"/>
                <w:spacing w:val="-1"/>
                <w:highlight w:val="none"/>
              </w:rPr>
              <w:t>级单位在参加广东省公路工程建</w:t>
            </w:r>
            <w:r>
              <w:rPr>
                <w:color w:val="auto"/>
                <w:spacing w:val="-2"/>
                <w:highlight w:val="none"/>
              </w:rPr>
              <w:t>设项目招投标活动（以递交资格预审申请文件或资格后审递交投标文件时间为准）时，</w:t>
            </w:r>
            <w:r>
              <w:rPr>
                <w:color w:val="auto"/>
                <w:spacing w:val="-4"/>
                <w:highlight w:val="none"/>
              </w:rPr>
              <w:t>可申请使用</w:t>
            </w:r>
            <w:r>
              <w:rPr>
                <w:color w:val="auto"/>
                <w:spacing w:val="-50"/>
                <w:highlight w:val="none"/>
              </w:rPr>
              <w:t xml:space="preserve"> </w:t>
            </w:r>
            <w:r>
              <w:rPr>
                <w:color w:val="auto"/>
                <w:spacing w:val="-4"/>
                <w:highlight w:val="none"/>
              </w:rPr>
              <w:t>A</w:t>
            </w:r>
            <w:r>
              <w:rPr>
                <w:color w:val="auto"/>
                <w:spacing w:val="-41"/>
                <w:highlight w:val="none"/>
              </w:rPr>
              <w:t xml:space="preserve"> </w:t>
            </w:r>
            <w:r>
              <w:rPr>
                <w:color w:val="auto"/>
                <w:spacing w:val="-4"/>
                <w:highlight w:val="none"/>
              </w:rPr>
              <w:t>级分值</w:t>
            </w:r>
            <w:r>
              <w:rPr>
                <w:color w:val="auto"/>
                <w:spacing w:val="-29"/>
                <w:highlight w:val="none"/>
              </w:rPr>
              <w:t xml:space="preserve"> </w:t>
            </w:r>
            <w:r>
              <w:rPr>
                <w:color w:val="auto"/>
                <w:spacing w:val="-4"/>
                <w:highlight w:val="none"/>
              </w:rPr>
              <w:t>12</w:t>
            </w:r>
            <w:r>
              <w:rPr>
                <w:color w:val="auto"/>
                <w:spacing w:val="-39"/>
                <w:highlight w:val="none"/>
              </w:rPr>
              <w:t xml:space="preserve"> </w:t>
            </w:r>
            <w:r>
              <w:rPr>
                <w:color w:val="auto"/>
                <w:spacing w:val="-4"/>
                <w:highlight w:val="none"/>
              </w:rPr>
              <w:t>次，用完</w:t>
            </w:r>
            <w:r>
              <w:rPr>
                <w:color w:val="auto"/>
                <w:spacing w:val="-29"/>
                <w:highlight w:val="none"/>
              </w:rPr>
              <w:t xml:space="preserve"> </w:t>
            </w:r>
            <w:r>
              <w:rPr>
                <w:color w:val="auto"/>
                <w:spacing w:val="-4"/>
                <w:highlight w:val="none"/>
              </w:rPr>
              <w:t>12</w:t>
            </w:r>
            <w:r>
              <w:rPr>
                <w:color w:val="auto"/>
                <w:spacing w:val="-40"/>
                <w:highlight w:val="none"/>
              </w:rPr>
              <w:t xml:space="preserve"> </w:t>
            </w:r>
            <w:r>
              <w:rPr>
                <w:color w:val="auto"/>
                <w:spacing w:val="-4"/>
                <w:highlight w:val="none"/>
              </w:rPr>
              <w:t>次后信用等级分值将按</w:t>
            </w:r>
            <w:r>
              <w:rPr>
                <w:color w:val="auto"/>
                <w:spacing w:val="-49"/>
                <w:highlight w:val="none"/>
              </w:rPr>
              <w:t xml:space="preserve"> </w:t>
            </w:r>
            <w:r>
              <w:rPr>
                <w:color w:val="auto"/>
                <w:spacing w:val="-4"/>
                <w:highlight w:val="none"/>
              </w:rPr>
              <w:t>B</w:t>
            </w:r>
            <w:r>
              <w:rPr>
                <w:color w:val="auto"/>
                <w:spacing w:val="-41"/>
                <w:highlight w:val="none"/>
              </w:rPr>
              <w:t xml:space="preserve"> </w:t>
            </w:r>
            <w:r>
              <w:rPr>
                <w:color w:val="auto"/>
                <w:spacing w:val="-4"/>
                <w:highlight w:val="none"/>
              </w:rPr>
              <w:t>级分值取定。</w:t>
            </w:r>
          </w:p>
          <w:p w14:paraId="4986DF97">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highlight w:val="none"/>
              </w:rPr>
            </w:pPr>
            <w:r>
              <w:rPr>
                <w:color w:val="auto"/>
                <w:spacing w:val="1"/>
                <w:highlight w:val="none"/>
              </w:rPr>
              <w:t>3.</w:t>
            </w:r>
            <w:r>
              <w:rPr>
                <w:color w:val="auto"/>
                <w:highlight w:val="none"/>
              </w:rPr>
              <w:t>当年度</w:t>
            </w:r>
            <w:r>
              <w:rPr>
                <w:color w:val="auto"/>
                <w:spacing w:val="1"/>
                <w:highlight w:val="none"/>
              </w:rPr>
              <w:t>信用等级为</w:t>
            </w:r>
            <w:r>
              <w:rPr>
                <w:color w:val="auto"/>
                <w:spacing w:val="-45"/>
                <w:highlight w:val="none"/>
              </w:rPr>
              <w:t xml:space="preserve"> </w:t>
            </w:r>
            <w:r>
              <w:rPr>
                <w:color w:val="auto"/>
                <w:highlight w:val="none"/>
              </w:rPr>
              <w:t>AA</w:t>
            </w:r>
            <w:r>
              <w:rPr>
                <w:color w:val="auto"/>
                <w:spacing w:val="1"/>
                <w:highlight w:val="none"/>
              </w:rPr>
              <w:t>、A</w:t>
            </w:r>
            <w:r>
              <w:rPr>
                <w:color w:val="auto"/>
                <w:spacing w:val="-40"/>
                <w:highlight w:val="none"/>
              </w:rPr>
              <w:t xml:space="preserve"> </w:t>
            </w:r>
            <w:r>
              <w:rPr>
                <w:color w:val="auto"/>
                <w:spacing w:val="1"/>
                <w:highlight w:val="none"/>
              </w:rPr>
              <w:t>级的从业单位未承诺使用的</w:t>
            </w:r>
            <w:r>
              <w:rPr>
                <w:color w:val="auto"/>
                <w:highlight w:val="none"/>
              </w:rPr>
              <w:t>信用等级分值的，AA</w:t>
            </w:r>
            <w:r>
              <w:rPr>
                <w:color w:val="auto"/>
                <w:spacing w:val="-40"/>
                <w:highlight w:val="none"/>
              </w:rPr>
              <w:t xml:space="preserve"> </w:t>
            </w:r>
            <w:r>
              <w:rPr>
                <w:color w:val="auto"/>
                <w:highlight w:val="none"/>
              </w:rPr>
              <w:t>级信用等</w:t>
            </w:r>
            <w:r>
              <w:rPr>
                <w:color w:val="auto"/>
                <w:spacing w:val="-3"/>
                <w:highlight w:val="none"/>
              </w:rPr>
              <w:t>级企业按</w:t>
            </w:r>
            <w:r>
              <w:rPr>
                <w:color w:val="auto"/>
                <w:spacing w:val="-50"/>
                <w:highlight w:val="none"/>
              </w:rPr>
              <w:t xml:space="preserve"> </w:t>
            </w:r>
            <w:r>
              <w:rPr>
                <w:color w:val="auto"/>
                <w:spacing w:val="-3"/>
                <w:highlight w:val="none"/>
              </w:rPr>
              <w:t>A</w:t>
            </w:r>
            <w:r>
              <w:rPr>
                <w:color w:val="auto"/>
                <w:spacing w:val="-41"/>
                <w:highlight w:val="none"/>
              </w:rPr>
              <w:t xml:space="preserve"> </w:t>
            </w:r>
            <w:r>
              <w:rPr>
                <w:color w:val="auto"/>
                <w:spacing w:val="-3"/>
                <w:highlight w:val="none"/>
              </w:rPr>
              <w:t>级对待、A</w:t>
            </w:r>
            <w:r>
              <w:rPr>
                <w:color w:val="auto"/>
                <w:spacing w:val="-42"/>
                <w:highlight w:val="none"/>
              </w:rPr>
              <w:t xml:space="preserve"> </w:t>
            </w:r>
            <w:r>
              <w:rPr>
                <w:color w:val="auto"/>
                <w:spacing w:val="-3"/>
                <w:highlight w:val="none"/>
              </w:rPr>
              <w:t>级信用等级企业按</w:t>
            </w:r>
            <w:r>
              <w:rPr>
                <w:color w:val="auto"/>
                <w:spacing w:val="-49"/>
                <w:highlight w:val="none"/>
              </w:rPr>
              <w:t xml:space="preserve"> </w:t>
            </w:r>
            <w:r>
              <w:rPr>
                <w:color w:val="auto"/>
                <w:spacing w:val="-3"/>
                <w:highlight w:val="none"/>
              </w:rPr>
              <w:t>B</w:t>
            </w:r>
            <w:r>
              <w:rPr>
                <w:color w:val="auto"/>
                <w:spacing w:val="-41"/>
                <w:highlight w:val="none"/>
              </w:rPr>
              <w:t xml:space="preserve"> </w:t>
            </w:r>
            <w:r>
              <w:rPr>
                <w:color w:val="auto"/>
                <w:spacing w:val="-4"/>
                <w:highlight w:val="none"/>
              </w:rPr>
              <w:t>级对待。</w:t>
            </w:r>
          </w:p>
          <w:p w14:paraId="7CF884E4">
            <w:pPr>
              <w:pStyle w:val="17"/>
              <w:keepNext w:val="0"/>
              <w:keepLines w:val="0"/>
              <w:pageBreakBefore w:val="0"/>
              <w:widowControl/>
              <w:kinsoku w:val="0"/>
              <w:wordWrap/>
              <w:overflowPunct/>
              <w:topLinePunct w:val="0"/>
              <w:autoSpaceDE w:val="0"/>
              <w:autoSpaceDN w:val="0"/>
              <w:bidi w:val="0"/>
              <w:adjustRightInd w:val="0"/>
              <w:snapToGrid w:val="0"/>
              <w:spacing w:line="335" w:lineRule="auto"/>
              <w:ind w:left="110" w:right="107" w:firstLine="15"/>
              <w:jc w:val="both"/>
              <w:textAlignment w:val="baseline"/>
              <w:rPr>
                <w:color w:val="auto"/>
                <w:spacing w:val="-5"/>
                <w:highlight w:val="none"/>
              </w:rPr>
            </w:pPr>
            <w:r>
              <w:rPr>
                <w:color w:val="auto"/>
                <w:spacing w:val="-2"/>
                <w:highlight w:val="none"/>
              </w:rPr>
              <w:t>4.若从业</w:t>
            </w:r>
            <w:r>
              <w:rPr>
                <w:color w:val="auto"/>
                <w:highlight w:val="none"/>
              </w:rPr>
              <w:t>企业</w:t>
            </w:r>
            <w:r>
              <w:rPr>
                <w:color w:val="auto"/>
                <w:spacing w:val="-2"/>
                <w:highlight w:val="none"/>
              </w:rPr>
              <w:t>在信用评价年度信用等级由</w:t>
            </w:r>
            <w:r>
              <w:rPr>
                <w:color w:val="auto"/>
                <w:spacing w:val="-50"/>
                <w:highlight w:val="none"/>
              </w:rPr>
              <w:t xml:space="preserve"> </w:t>
            </w:r>
            <w:r>
              <w:rPr>
                <w:color w:val="auto"/>
                <w:spacing w:val="-2"/>
                <w:highlight w:val="none"/>
              </w:rPr>
              <w:t>AA</w:t>
            </w:r>
            <w:r>
              <w:rPr>
                <w:color w:val="auto"/>
                <w:spacing w:val="-29"/>
                <w:highlight w:val="none"/>
              </w:rPr>
              <w:t xml:space="preserve"> </w:t>
            </w:r>
            <w:r>
              <w:rPr>
                <w:color w:val="auto"/>
                <w:spacing w:val="-2"/>
                <w:highlight w:val="none"/>
              </w:rPr>
              <w:t>降级为</w:t>
            </w:r>
            <w:r>
              <w:rPr>
                <w:color w:val="auto"/>
                <w:spacing w:val="-51"/>
                <w:highlight w:val="none"/>
              </w:rPr>
              <w:t xml:space="preserve"> </w:t>
            </w:r>
            <w:r>
              <w:rPr>
                <w:color w:val="auto"/>
                <w:spacing w:val="-2"/>
                <w:highlight w:val="none"/>
              </w:rPr>
              <w:t>A</w:t>
            </w:r>
            <w:r>
              <w:rPr>
                <w:color w:val="auto"/>
                <w:spacing w:val="-41"/>
                <w:highlight w:val="none"/>
              </w:rPr>
              <w:t xml:space="preserve"> </w:t>
            </w:r>
            <w:r>
              <w:rPr>
                <w:color w:val="auto"/>
                <w:spacing w:val="-2"/>
                <w:highlight w:val="none"/>
              </w:rPr>
              <w:t>级时，A</w:t>
            </w:r>
            <w:r>
              <w:rPr>
                <w:color w:val="auto"/>
                <w:spacing w:val="-3"/>
                <w:highlight w:val="none"/>
              </w:rPr>
              <w:t>A</w:t>
            </w:r>
            <w:r>
              <w:rPr>
                <w:color w:val="auto"/>
                <w:spacing w:val="-40"/>
                <w:highlight w:val="none"/>
              </w:rPr>
              <w:t xml:space="preserve"> </w:t>
            </w:r>
            <w:r>
              <w:rPr>
                <w:color w:val="auto"/>
                <w:spacing w:val="-3"/>
                <w:highlight w:val="none"/>
              </w:rPr>
              <w:t>级信用等级已使用次数纳入</w:t>
            </w:r>
            <w:r>
              <w:rPr>
                <w:color w:val="auto"/>
                <w:spacing w:val="-51"/>
                <w:highlight w:val="none"/>
              </w:rPr>
              <w:t xml:space="preserve"> </w:t>
            </w:r>
            <w:r>
              <w:rPr>
                <w:color w:val="auto"/>
                <w:spacing w:val="-3"/>
                <w:highlight w:val="none"/>
              </w:rPr>
              <w:t>A</w:t>
            </w:r>
            <w:r>
              <w:rPr>
                <w:color w:val="auto"/>
                <w:spacing w:val="-42"/>
                <w:highlight w:val="none"/>
              </w:rPr>
              <w:t xml:space="preserve"> </w:t>
            </w:r>
            <w:r>
              <w:rPr>
                <w:color w:val="auto"/>
                <w:spacing w:val="-3"/>
                <w:highlight w:val="none"/>
              </w:rPr>
              <w:t>级信用等级使用次数合并累计。</w:t>
            </w:r>
          </w:p>
        </w:tc>
      </w:tr>
    </w:tbl>
    <w:p w14:paraId="78C6ACB4">
      <w:pPr>
        <w:pStyle w:val="3"/>
        <w:spacing w:line="277" w:lineRule="auto"/>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8107"/>
      </w:tblGrid>
      <w:tr w14:paraId="620CC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3" w:hRule="atLeast"/>
        </w:trPr>
        <w:tc>
          <w:tcPr>
            <w:tcW w:w="1185" w:type="dxa"/>
            <w:vAlign w:val="top"/>
          </w:tcPr>
          <w:p w14:paraId="69FEDDD1">
            <w:pPr>
              <w:rPr>
                <w:rFonts w:ascii="Arial"/>
                <w:color w:val="auto"/>
                <w:sz w:val="21"/>
                <w:highlight w:val="none"/>
              </w:rPr>
            </w:pPr>
          </w:p>
        </w:tc>
        <w:tc>
          <w:tcPr>
            <w:tcW w:w="8107" w:type="dxa"/>
            <w:vAlign w:val="top"/>
          </w:tcPr>
          <w:p w14:paraId="599B334C">
            <w:pPr>
              <w:pStyle w:val="17"/>
              <w:spacing w:before="151" w:line="325" w:lineRule="auto"/>
              <w:ind w:left="109" w:right="47" w:firstLine="16"/>
              <w:rPr>
                <w:color w:val="auto"/>
                <w:highlight w:val="none"/>
              </w:rPr>
            </w:pPr>
            <w:r>
              <w:rPr>
                <w:color w:val="auto"/>
                <w:spacing w:val="-1"/>
                <w:highlight w:val="none"/>
              </w:rPr>
              <w:t>10.2.2 信用等级延续</w:t>
            </w:r>
            <w:r>
              <w:rPr>
                <w:color w:val="auto"/>
                <w:spacing w:val="-29"/>
                <w:highlight w:val="none"/>
              </w:rPr>
              <w:t xml:space="preserve"> </w:t>
            </w:r>
            <w:r>
              <w:rPr>
                <w:color w:val="auto"/>
                <w:spacing w:val="-1"/>
                <w:highlight w:val="none"/>
              </w:rPr>
              <w:t>1</w:t>
            </w:r>
            <w:r>
              <w:rPr>
                <w:color w:val="auto"/>
                <w:spacing w:val="-42"/>
                <w:highlight w:val="none"/>
              </w:rPr>
              <w:t xml:space="preserve"> </w:t>
            </w:r>
            <w:r>
              <w:rPr>
                <w:color w:val="auto"/>
                <w:spacing w:val="-1"/>
                <w:highlight w:val="none"/>
              </w:rPr>
              <w:t>年后仍无信用评价等级的，按照初次进入广东省确定，</w:t>
            </w:r>
            <w:r>
              <w:rPr>
                <w:color w:val="auto"/>
                <w:spacing w:val="-2"/>
                <w:highlight w:val="none"/>
              </w:rPr>
              <w:t>原则上</w:t>
            </w:r>
            <w:r>
              <w:rPr>
                <w:color w:val="auto"/>
                <w:spacing w:val="-3"/>
                <w:highlight w:val="none"/>
              </w:rPr>
              <w:t>按</w:t>
            </w:r>
            <w:r>
              <w:rPr>
                <w:color w:val="auto"/>
                <w:spacing w:val="-46"/>
                <w:highlight w:val="none"/>
              </w:rPr>
              <w:t xml:space="preserve"> </w:t>
            </w:r>
            <w:r>
              <w:rPr>
                <w:color w:val="auto"/>
                <w:spacing w:val="-3"/>
                <w:highlight w:val="none"/>
              </w:rPr>
              <w:t>B</w:t>
            </w:r>
            <w:r>
              <w:rPr>
                <w:color w:val="auto"/>
                <w:spacing w:val="-41"/>
                <w:highlight w:val="none"/>
              </w:rPr>
              <w:t xml:space="preserve"> </w:t>
            </w:r>
            <w:r>
              <w:rPr>
                <w:color w:val="auto"/>
                <w:spacing w:val="-3"/>
                <w:highlight w:val="none"/>
              </w:rPr>
              <w:t>级对待，但下列情况除外：最新年度的全国公路从业单位（施工单位）信用评价结</w:t>
            </w:r>
            <w:r>
              <w:rPr>
                <w:color w:val="auto"/>
                <w:spacing w:val="-7"/>
                <w:highlight w:val="none"/>
              </w:rPr>
              <w:t>果为</w:t>
            </w:r>
            <w:r>
              <w:rPr>
                <w:color w:val="auto"/>
                <w:spacing w:val="-46"/>
                <w:highlight w:val="none"/>
              </w:rPr>
              <w:t xml:space="preserve"> </w:t>
            </w:r>
            <w:r>
              <w:rPr>
                <w:color w:val="auto"/>
                <w:spacing w:val="-7"/>
                <w:highlight w:val="none"/>
              </w:rPr>
              <w:t>C</w:t>
            </w:r>
            <w:r>
              <w:rPr>
                <w:color w:val="auto"/>
                <w:spacing w:val="-41"/>
                <w:highlight w:val="none"/>
              </w:rPr>
              <w:t xml:space="preserve"> </w:t>
            </w:r>
            <w:r>
              <w:rPr>
                <w:color w:val="auto"/>
                <w:spacing w:val="-7"/>
                <w:highlight w:val="none"/>
              </w:rPr>
              <w:t>级或</w:t>
            </w:r>
            <w:r>
              <w:rPr>
                <w:color w:val="auto"/>
                <w:spacing w:val="-48"/>
                <w:highlight w:val="none"/>
              </w:rPr>
              <w:t xml:space="preserve"> </w:t>
            </w:r>
            <w:r>
              <w:rPr>
                <w:color w:val="auto"/>
                <w:spacing w:val="-7"/>
                <w:highlight w:val="none"/>
              </w:rPr>
              <w:t>D</w:t>
            </w:r>
            <w:r>
              <w:rPr>
                <w:color w:val="auto"/>
                <w:spacing w:val="-41"/>
                <w:highlight w:val="none"/>
              </w:rPr>
              <w:t xml:space="preserve"> </w:t>
            </w:r>
            <w:r>
              <w:rPr>
                <w:color w:val="auto"/>
                <w:spacing w:val="-7"/>
                <w:highlight w:val="none"/>
              </w:rPr>
              <w:t>级的，则按最新年度的全国公路从业单位（施工单位）信用</w:t>
            </w:r>
            <w:r>
              <w:rPr>
                <w:color w:val="auto"/>
                <w:spacing w:val="-8"/>
                <w:highlight w:val="none"/>
              </w:rPr>
              <w:t>评价结果对待；</w:t>
            </w:r>
            <w:r>
              <w:rPr>
                <w:color w:val="auto"/>
                <w:spacing w:val="-3"/>
                <w:highlight w:val="none"/>
              </w:rPr>
              <w:t>或最新年度的全国公路从业单位（施工单位）信用评价结</w:t>
            </w:r>
            <w:r>
              <w:rPr>
                <w:color w:val="auto"/>
                <w:spacing w:val="-4"/>
                <w:highlight w:val="none"/>
              </w:rPr>
              <w:t>果未被评为</w:t>
            </w:r>
            <w:r>
              <w:rPr>
                <w:color w:val="auto"/>
                <w:spacing w:val="-45"/>
                <w:highlight w:val="none"/>
              </w:rPr>
              <w:t xml:space="preserve"> </w:t>
            </w:r>
            <w:r>
              <w:rPr>
                <w:color w:val="auto"/>
                <w:spacing w:val="-4"/>
                <w:highlight w:val="none"/>
              </w:rPr>
              <w:t>C</w:t>
            </w:r>
            <w:r>
              <w:rPr>
                <w:color w:val="auto"/>
                <w:spacing w:val="-42"/>
                <w:highlight w:val="none"/>
              </w:rPr>
              <w:t xml:space="preserve"> </w:t>
            </w:r>
            <w:r>
              <w:rPr>
                <w:color w:val="auto"/>
                <w:spacing w:val="-4"/>
                <w:highlight w:val="none"/>
              </w:rPr>
              <w:t>级或</w:t>
            </w:r>
            <w:r>
              <w:rPr>
                <w:color w:val="auto"/>
                <w:spacing w:val="-48"/>
                <w:highlight w:val="none"/>
              </w:rPr>
              <w:t xml:space="preserve"> </w:t>
            </w:r>
            <w:r>
              <w:rPr>
                <w:color w:val="auto"/>
                <w:spacing w:val="-4"/>
                <w:highlight w:val="none"/>
              </w:rPr>
              <w:t>D</w:t>
            </w:r>
            <w:r>
              <w:rPr>
                <w:color w:val="auto"/>
                <w:spacing w:val="-41"/>
                <w:highlight w:val="none"/>
              </w:rPr>
              <w:t xml:space="preserve"> </w:t>
            </w:r>
            <w:r>
              <w:rPr>
                <w:color w:val="auto"/>
                <w:spacing w:val="-4"/>
                <w:highlight w:val="none"/>
              </w:rPr>
              <w:t>级的，但</w:t>
            </w:r>
            <w:r>
              <w:rPr>
                <w:color w:val="auto"/>
                <w:spacing w:val="-3"/>
                <w:highlight w:val="none"/>
              </w:rPr>
              <w:t>在广东省最近年度原评价等级为</w:t>
            </w:r>
            <w:r>
              <w:rPr>
                <w:color w:val="auto"/>
                <w:spacing w:val="-36"/>
                <w:highlight w:val="none"/>
              </w:rPr>
              <w:t xml:space="preserve"> </w:t>
            </w:r>
            <w:r>
              <w:rPr>
                <w:color w:val="auto"/>
                <w:spacing w:val="-3"/>
                <w:highlight w:val="none"/>
              </w:rPr>
              <w:t>D</w:t>
            </w:r>
            <w:r>
              <w:rPr>
                <w:color w:val="auto"/>
                <w:spacing w:val="-41"/>
                <w:highlight w:val="none"/>
              </w:rPr>
              <w:t xml:space="preserve"> </w:t>
            </w:r>
            <w:r>
              <w:rPr>
                <w:color w:val="auto"/>
                <w:spacing w:val="-3"/>
                <w:highlight w:val="none"/>
              </w:rPr>
              <w:t>级的，则按</w:t>
            </w:r>
            <w:r>
              <w:rPr>
                <w:color w:val="auto"/>
                <w:spacing w:val="-46"/>
                <w:highlight w:val="none"/>
              </w:rPr>
              <w:t xml:space="preserve"> </w:t>
            </w:r>
            <w:r>
              <w:rPr>
                <w:color w:val="auto"/>
                <w:spacing w:val="-3"/>
                <w:highlight w:val="none"/>
              </w:rPr>
              <w:t>C</w:t>
            </w:r>
            <w:r>
              <w:rPr>
                <w:color w:val="auto"/>
                <w:spacing w:val="-41"/>
                <w:highlight w:val="none"/>
              </w:rPr>
              <w:t xml:space="preserve"> </w:t>
            </w:r>
            <w:r>
              <w:rPr>
                <w:color w:val="auto"/>
                <w:spacing w:val="-3"/>
                <w:highlight w:val="none"/>
              </w:rPr>
              <w:t>级对待。</w:t>
            </w:r>
          </w:p>
          <w:p w14:paraId="3DB859F4">
            <w:pPr>
              <w:pStyle w:val="17"/>
              <w:spacing w:before="149" w:line="330" w:lineRule="auto"/>
              <w:ind w:left="110" w:right="104" w:firstLine="15"/>
              <w:rPr>
                <w:color w:val="auto"/>
                <w:highlight w:val="none"/>
              </w:rPr>
            </w:pPr>
            <w:r>
              <w:rPr>
                <w:color w:val="auto"/>
                <w:spacing w:val="-2"/>
                <w:highlight w:val="none"/>
              </w:rPr>
              <w:t>10.2.3  AA、A</w:t>
            </w:r>
            <w:r>
              <w:rPr>
                <w:color w:val="auto"/>
                <w:spacing w:val="-27"/>
                <w:highlight w:val="none"/>
              </w:rPr>
              <w:t xml:space="preserve"> </w:t>
            </w:r>
            <w:r>
              <w:rPr>
                <w:color w:val="auto"/>
                <w:spacing w:val="-2"/>
                <w:highlight w:val="none"/>
              </w:rPr>
              <w:t>级单位是指使用广东省信用评价等级申请承诺书的单位。提交申请承诺</w:t>
            </w:r>
            <w:r>
              <w:rPr>
                <w:color w:val="auto"/>
                <w:spacing w:val="-4"/>
                <w:highlight w:val="none"/>
              </w:rPr>
              <w:t>书未使用</w:t>
            </w:r>
            <w:r>
              <w:rPr>
                <w:color w:val="auto"/>
                <w:spacing w:val="-42"/>
                <w:highlight w:val="none"/>
              </w:rPr>
              <w:t xml:space="preserve"> </w:t>
            </w:r>
            <w:r>
              <w:rPr>
                <w:color w:val="auto"/>
                <w:spacing w:val="-4"/>
                <w:highlight w:val="none"/>
              </w:rPr>
              <w:t>AA、A</w:t>
            </w:r>
            <w:r>
              <w:rPr>
                <w:color w:val="auto"/>
                <w:spacing w:val="-34"/>
                <w:highlight w:val="none"/>
              </w:rPr>
              <w:t xml:space="preserve"> </w:t>
            </w:r>
            <w:r>
              <w:rPr>
                <w:color w:val="auto"/>
                <w:spacing w:val="-4"/>
                <w:highlight w:val="none"/>
              </w:rPr>
              <w:t>时，在评标过程中，AA</w:t>
            </w:r>
            <w:r>
              <w:rPr>
                <w:color w:val="auto"/>
                <w:spacing w:val="-43"/>
                <w:highlight w:val="none"/>
              </w:rPr>
              <w:t xml:space="preserve"> </w:t>
            </w:r>
            <w:r>
              <w:rPr>
                <w:color w:val="auto"/>
                <w:spacing w:val="-4"/>
                <w:highlight w:val="none"/>
              </w:rPr>
              <w:t>级信用等级企业按</w:t>
            </w:r>
            <w:r>
              <w:rPr>
                <w:color w:val="auto"/>
                <w:spacing w:val="-50"/>
                <w:highlight w:val="none"/>
              </w:rPr>
              <w:t xml:space="preserve"> </w:t>
            </w:r>
            <w:r>
              <w:rPr>
                <w:color w:val="auto"/>
                <w:spacing w:val="-4"/>
                <w:highlight w:val="none"/>
              </w:rPr>
              <w:t>A</w:t>
            </w:r>
            <w:r>
              <w:rPr>
                <w:color w:val="auto"/>
                <w:spacing w:val="-41"/>
                <w:highlight w:val="none"/>
              </w:rPr>
              <w:t xml:space="preserve"> </w:t>
            </w:r>
            <w:r>
              <w:rPr>
                <w:color w:val="auto"/>
                <w:spacing w:val="-4"/>
                <w:highlight w:val="none"/>
              </w:rPr>
              <w:t>级对待、A</w:t>
            </w:r>
            <w:r>
              <w:rPr>
                <w:color w:val="auto"/>
                <w:spacing w:val="-40"/>
                <w:highlight w:val="none"/>
              </w:rPr>
              <w:t xml:space="preserve"> </w:t>
            </w:r>
            <w:r>
              <w:rPr>
                <w:color w:val="auto"/>
                <w:spacing w:val="-4"/>
                <w:highlight w:val="none"/>
              </w:rPr>
              <w:t>级信用等级企业</w:t>
            </w:r>
            <w:r>
              <w:rPr>
                <w:color w:val="auto"/>
                <w:spacing w:val="-5"/>
                <w:highlight w:val="none"/>
              </w:rPr>
              <w:t>按</w:t>
            </w:r>
            <w:r>
              <w:rPr>
                <w:color w:val="auto"/>
                <w:spacing w:val="-49"/>
                <w:highlight w:val="none"/>
              </w:rPr>
              <w:t xml:space="preserve"> </w:t>
            </w:r>
            <w:r>
              <w:rPr>
                <w:color w:val="auto"/>
                <w:spacing w:val="-5"/>
                <w:highlight w:val="none"/>
              </w:rPr>
              <w:t>B</w:t>
            </w:r>
            <w:r>
              <w:rPr>
                <w:color w:val="auto"/>
                <w:spacing w:val="-41"/>
                <w:highlight w:val="none"/>
              </w:rPr>
              <w:t xml:space="preserve"> </w:t>
            </w:r>
            <w:r>
              <w:rPr>
                <w:color w:val="auto"/>
                <w:spacing w:val="-5"/>
                <w:highlight w:val="none"/>
              </w:rPr>
              <w:t>级对待。（注： 属于资格预审项目的</w:t>
            </w:r>
            <w:r>
              <w:rPr>
                <w:color w:val="auto"/>
                <w:spacing w:val="-6"/>
                <w:highlight w:val="none"/>
              </w:rPr>
              <w:t>，以资格预审申请文件的为准。当出现跨年度</w:t>
            </w:r>
            <w:r>
              <w:rPr>
                <w:color w:val="auto"/>
                <w:spacing w:val="-3"/>
                <w:highlight w:val="none"/>
              </w:rPr>
              <w:t>信用等级时，以投标人资格预审时申请使用信用等级与投标文件递交截止日的信用等级作比较，按“就低原则”认定等级，即降低等级的按低等级认定、升高等级的仍维持资审时的申请等级。）</w:t>
            </w:r>
          </w:p>
          <w:p w14:paraId="38B0B1F6">
            <w:pPr>
              <w:pStyle w:val="17"/>
              <w:spacing w:before="148" w:line="319" w:lineRule="auto"/>
              <w:ind w:left="114" w:right="105" w:firstLine="11"/>
              <w:rPr>
                <w:color w:val="auto"/>
                <w:highlight w:val="none"/>
              </w:rPr>
            </w:pPr>
            <w:r>
              <w:rPr>
                <w:color w:val="auto"/>
                <w:highlight w:val="none"/>
              </w:rPr>
              <w:t>10.2.4 在招标评标中，信用评价等级采用按次、按标段或标类</w:t>
            </w:r>
            <w:r>
              <w:rPr>
                <w:color w:val="auto"/>
                <w:spacing w:val="-1"/>
                <w:highlight w:val="none"/>
              </w:rPr>
              <w:t>（指资格预审时未明确</w:t>
            </w:r>
            <w:r>
              <w:rPr>
                <w:color w:val="auto"/>
                <w:spacing w:val="-3"/>
                <w:highlight w:val="none"/>
              </w:rPr>
              <w:t>具体标段的情形）申请使用的原则，即在同一次招标中的多个标段的投标，可自愿对其</w:t>
            </w:r>
            <w:r>
              <w:rPr>
                <w:color w:val="auto"/>
                <w:spacing w:val="-6"/>
                <w:highlight w:val="none"/>
              </w:rPr>
              <w:t>中部分或全部标段申请使用</w:t>
            </w:r>
            <w:r>
              <w:rPr>
                <w:color w:val="auto"/>
                <w:spacing w:val="-51"/>
                <w:highlight w:val="none"/>
              </w:rPr>
              <w:t xml:space="preserve"> </w:t>
            </w:r>
            <w:r>
              <w:rPr>
                <w:color w:val="auto"/>
                <w:spacing w:val="-6"/>
                <w:highlight w:val="none"/>
              </w:rPr>
              <w:t>AA</w:t>
            </w:r>
            <w:r>
              <w:rPr>
                <w:color w:val="auto"/>
                <w:spacing w:val="-41"/>
                <w:highlight w:val="none"/>
              </w:rPr>
              <w:t xml:space="preserve"> </w:t>
            </w:r>
            <w:r>
              <w:rPr>
                <w:color w:val="auto"/>
                <w:spacing w:val="-6"/>
                <w:highlight w:val="none"/>
              </w:rPr>
              <w:t>或</w:t>
            </w:r>
            <w:r>
              <w:rPr>
                <w:color w:val="auto"/>
                <w:spacing w:val="-51"/>
                <w:highlight w:val="none"/>
              </w:rPr>
              <w:t xml:space="preserve"> </w:t>
            </w:r>
            <w:r>
              <w:rPr>
                <w:color w:val="auto"/>
                <w:spacing w:val="-6"/>
                <w:highlight w:val="none"/>
              </w:rPr>
              <w:t>A</w:t>
            </w:r>
            <w:r>
              <w:rPr>
                <w:color w:val="auto"/>
                <w:spacing w:val="-41"/>
                <w:highlight w:val="none"/>
              </w:rPr>
              <w:t xml:space="preserve"> </w:t>
            </w:r>
            <w:r>
              <w:rPr>
                <w:color w:val="auto"/>
                <w:spacing w:val="-6"/>
                <w:highlight w:val="none"/>
              </w:rPr>
              <w:t>级信用等级，无论中标与否，均应根据</w:t>
            </w:r>
            <w:r>
              <w:rPr>
                <w:color w:val="auto"/>
                <w:spacing w:val="-7"/>
                <w:highlight w:val="none"/>
              </w:rPr>
              <w:t>递交投标（或</w:t>
            </w:r>
            <w:r>
              <w:rPr>
                <w:color w:val="auto"/>
                <w:spacing w:val="-1"/>
                <w:highlight w:val="none"/>
              </w:rPr>
              <w:t>申请）文件情况按标段计算使用次数（非投标人原因导致招标失败</w:t>
            </w:r>
            <w:r>
              <w:rPr>
                <w:color w:val="auto"/>
                <w:spacing w:val="-2"/>
                <w:highlight w:val="none"/>
              </w:rPr>
              <w:t>的情况除外）。</w:t>
            </w:r>
          </w:p>
          <w:p w14:paraId="1D0A274E">
            <w:pPr>
              <w:pStyle w:val="17"/>
              <w:spacing w:before="139" w:line="351" w:lineRule="auto"/>
              <w:ind w:left="111" w:right="127" w:firstLine="24"/>
              <w:rPr>
                <w:color w:val="auto"/>
                <w:highlight w:val="none"/>
              </w:rPr>
            </w:pPr>
            <w:r>
              <w:rPr>
                <w:color w:val="auto"/>
                <w:highlight w:val="none"/>
              </w:rPr>
              <w:t>10.3 如果推荐的第一中标候选人放弃中标、因不可抗力提出不</w:t>
            </w:r>
            <w:r>
              <w:rPr>
                <w:color w:val="auto"/>
                <w:spacing w:val="-1"/>
                <w:highlight w:val="none"/>
              </w:rPr>
              <w:t>能履行合同、或因被投</w:t>
            </w:r>
            <w:r>
              <w:rPr>
                <w:color w:val="auto"/>
                <w:spacing w:val="-3"/>
                <w:highlight w:val="none"/>
              </w:rPr>
              <w:t>诉经查证属实取消中标资格的，</w:t>
            </w:r>
            <w:r>
              <w:rPr>
                <w:color w:val="auto"/>
                <w:spacing w:val="-1"/>
                <w:highlight w:val="none"/>
              </w:rPr>
              <w:t>招标人可以确定排名第二的中标候选人为中标人,或重新组织招标，以</w:t>
            </w:r>
            <w:r>
              <w:rPr>
                <w:color w:val="auto"/>
                <w:spacing w:val="-8"/>
                <w:highlight w:val="none"/>
              </w:rPr>
              <w:t>此类推。</w:t>
            </w:r>
          </w:p>
          <w:p w14:paraId="326BB4C5">
            <w:pPr>
              <w:pStyle w:val="17"/>
              <w:spacing w:before="1" w:line="307" w:lineRule="auto"/>
              <w:ind w:left="111" w:right="106" w:firstLine="14"/>
              <w:rPr>
                <w:color w:val="auto"/>
                <w:highlight w:val="none"/>
              </w:rPr>
            </w:pPr>
            <w:r>
              <w:rPr>
                <w:color w:val="auto"/>
                <w:spacing w:val="-2"/>
                <w:highlight w:val="none"/>
              </w:rPr>
              <w:t>10.4 如果开标后至中标通知书发出前，第一中标候选人发生投标人须知</w:t>
            </w:r>
            <w:r>
              <w:rPr>
                <w:color w:val="auto"/>
                <w:spacing w:val="-26"/>
                <w:highlight w:val="none"/>
              </w:rPr>
              <w:t xml:space="preserve"> </w:t>
            </w:r>
            <w:r>
              <w:rPr>
                <w:color w:val="auto"/>
                <w:spacing w:val="-2"/>
                <w:highlight w:val="none"/>
              </w:rPr>
              <w:t>1.4.4（1）至</w:t>
            </w:r>
            <w:r>
              <w:rPr>
                <w:color w:val="auto"/>
                <w:highlight w:val="none"/>
              </w:rPr>
              <w:t>（7）的情形及中标候选人信用等级被广东省交通运输厅</w:t>
            </w:r>
            <w:r>
              <w:rPr>
                <w:color w:val="auto"/>
                <w:spacing w:val="-1"/>
                <w:highlight w:val="none"/>
              </w:rPr>
              <w:t>直接降为</w:t>
            </w:r>
            <w:r>
              <w:rPr>
                <w:color w:val="auto"/>
                <w:spacing w:val="-45"/>
                <w:highlight w:val="none"/>
              </w:rPr>
              <w:t xml:space="preserve"> </w:t>
            </w:r>
            <w:r>
              <w:rPr>
                <w:color w:val="auto"/>
                <w:spacing w:val="-1"/>
                <w:highlight w:val="none"/>
              </w:rPr>
              <w:t>D</w:t>
            </w:r>
            <w:r>
              <w:rPr>
                <w:color w:val="auto"/>
                <w:spacing w:val="-41"/>
                <w:highlight w:val="none"/>
              </w:rPr>
              <w:t xml:space="preserve"> </w:t>
            </w:r>
            <w:r>
              <w:rPr>
                <w:color w:val="auto"/>
                <w:spacing w:val="-1"/>
                <w:highlight w:val="none"/>
              </w:rPr>
              <w:t>级的情形，则取消其中标资格，招标人按推荐中标候选人排名顺序依次确定中标人，或重新组织</w:t>
            </w:r>
            <w:r>
              <w:rPr>
                <w:color w:val="auto"/>
                <w:spacing w:val="-2"/>
                <w:highlight w:val="none"/>
              </w:rPr>
              <w:t>招标。</w:t>
            </w:r>
          </w:p>
          <w:p w14:paraId="0CF48602">
            <w:pPr>
              <w:pStyle w:val="17"/>
              <w:spacing w:before="136" w:line="312" w:lineRule="auto"/>
              <w:ind w:left="113" w:right="105" w:firstLine="13"/>
              <w:rPr>
                <w:color w:val="auto"/>
                <w:highlight w:val="none"/>
              </w:rPr>
            </w:pPr>
            <w:r>
              <w:rPr>
                <w:color w:val="auto"/>
                <w:highlight w:val="none"/>
              </w:rPr>
              <w:t>10.5 本招标文件中所有 “类似工程”</w:t>
            </w:r>
            <w:r>
              <w:rPr>
                <w:rFonts w:hint="eastAsia"/>
                <w:color w:val="auto"/>
                <w:highlight w:val="none"/>
              </w:rPr>
              <w:t>均指</w:t>
            </w:r>
            <w:r>
              <w:rPr>
                <w:rFonts w:hint="eastAsia"/>
                <w:color w:val="auto"/>
                <w:highlight w:val="none"/>
                <w:u w:val="single" w:color="auto"/>
              </w:rPr>
              <w:t>新建或改、扩建一级或以上等级公路施工项目。</w:t>
            </w:r>
            <w:r>
              <w:rPr>
                <w:color w:val="auto"/>
                <w:spacing w:val="-3"/>
                <w:highlight w:val="none"/>
                <w:u w:val="single" w:color="auto"/>
              </w:rPr>
              <w:t>在采用新建公路项目完工业绩时，对于同公路等级改、扩建中的新建桥梁或隧道</w:t>
            </w:r>
            <w:r>
              <w:rPr>
                <w:color w:val="auto"/>
                <w:spacing w:val="-2"/>
                <w:highlight w:val="none"/>
                <w:u w:val="single" w:color="auto"/>
              </w:rPr>
              <w:t>工程业绩也应认可。</w:t>
            </w:r>
          </w:p>
          <w:p w14:paraId="6267D2C0">
            <w:pPr>
              <w:pStyle w:val="17"/>
              <w:spacing w:line="292" w:lineRule="auto"/>
              <w:ind w:left="109" w:right="107" w:firstLine="16"/>
              <w:rPr>
                <w:color w:val="auto"/>
                <w:highlight w:val="none"/>
              </w:rPr>
            </w:pPr>
            <w:r>
              <w:rPr>
                <w:color w:val="auto"/>
                <w:spacing w:val="-3"/>
                <w:highlight w:val="none"/>
              </w:rPr>
              <w:t xml:space="preserve">10.6 </w:t>
            </w:r>
            <w:r>
              <w:rPr>
                <w:rFonts w:hint="eastAsia"/>
                <w:color w:val="auto"/>
                <w:spacing w:val="-3"/>
                <w:highlight w:val="none"/>
              </w:rPr>
              <w:t>招标文件中如无特别说明，业绩里程累计长度均不扣除桥隧等构造物长度。</w:t>
            </w:r>
          </w:p>
        </w:tc>
      </w:tr>
    </w:tbl>
    <w:p w14:paraId="603B56C9">
      <w:pPr>
        <w:pStyle w:val="3"/>
        <w:rPr>
          <w:color w:val="auto"/>
          <w:highlight w:val="none"/>
        </w:rPr>
      </w:pPr>
    </w:p>
    <w:p w14:paraId="4183CC0D">
      <w:pPr>
        <w:spacing w:line="234" w:lineRule="exact"/>
        <w:rPr>
          <w:color w:val="auto"/>
          <w:highlight w:val="none"/>
        </w:rPr>
      </w:pPr>
    </w:p>
    <w:p w14:paraId="1EED53C4">
      <w:pPr>
        <w:spacing w:line="217" w:lineRule="auto"/>
        <w:rPr>
          <w:rFonts w:ascii="宋体" w:hAnsi="宋体" w:eastAsia="宋体" w:cs="宋体"/>
          <w:color w:val="auto"/>
          <w:sz w:val="18"/>
          <w:szCs w:val="18"/>
          <w:highlight w:val="none"/>
        </w:rPr>
        <w:sectPr>
          <w:headerReference r:id="rId30" w:type="default"/>
          <w:footerReference r:id="rId31" w:type="default"/>
          <w:pgSz w:w="11905" w:h="16840"/>
          <w:pgMar w:top="1182" w:right="0" w:bottom="1171" w:left="0" w:header="849" w:footer="937" w:gutter="0"/>
          <w:pgNumType w:fmt="decimal"/>
          <w:cols w:space="720" w:num="1"/>
        </w:sectPr>
      </w:pPr>
    </w:p>
    <w:p w14:paraId="1B55C6D6">
      <w:pPr>
        <w:spacing w:line="234" w:lineRule="exact"/>
        <w:rPr>
          <w:color w:val="auto"/>
          <w:highlight w:val="none"/>
        </w:rPr>
      </w:pPr>
    </w:p>
    <w:p w14:paraId="60C216D1">
      <w:pPr>
        <w:spacing w:before="88" w:line="241" w:lineRule="auto"/>
        <w:ind w:left="3420"/>
        <w:rPr>
          <w:rFonts w:ascii="宋体" w:hAnsi="宋体" w:eastAsia="宋体" w:cs="宋体"/>
          <w:color w:val="auto"/>
          <w:sz w:val="13"/>
          <w:szCs w:val="13"/>
          <w:highlight w:val="none"/>
        </w:rPr>
      </w:pPr>
      <w:r>
        <w:rPr>
          <w:rFonts w:ascii="宋体" w:hAnsi="宋体" w:eastAsia="宋体" w:cs="宋体"/>
          <w:b/>
          <w:bCs/>
          <w:color w:val="auto"/>
          <w:spacing w:val="-4"/>
          <w:sz w:val="27"/>
          <w:szCs w:val="27"/>
          <w:highlight w:val="none"/>
        </w:rPr>
        <w:t>附录</w:t>
      </w:r>
      <w:r>
        <w:rPr>
          <w:rFonts w:ascii="宋体" w:hAnsi="宋体" w:eastAsia="宋体" w:cs="宋体"/>
          <w:color w:val="auto"/>
          <w:spacing w:val="-27"/>
          <w:sz w:val="27"/>
          <w:szCs w:val="27"/>
          <w:highlight w:val="none"/>
        </w:rPr>
        <w:t xml:space="preserve"> </w:t>
      </w:r>
      <w:r>
        <w:rPr>
          <w:rFonts w:ascii="宋体" w:hAnsi="宋体" w:eastAsia="宋体" w:cs="宋体"/>
          <w:b/>
          <w:bCs/>
          <w:color w:val="auto"/>
          <w:spacing w:val="-4"/>
          <w:sz w:val="27"/>
          <w:szCs w:val="27"/>
          <w:highlight w:val="none"/>
        </w:rPr>
        <w:t>1</w:t>
      </w:r>
      <w:r>
        <w:rPr>
          <w:rFonts w:ascii="宋体" w:hAnsi="宋体" w:eastAsia="宋体" w:cs="宋体"/>
          <w:color w:val="auto"/>
          <w:spacing w:val="-4"/>
          <w:sz w:val="27"/>
          <w:szCs w:val="27"/>
          <w:highlight w:val="none"/>
        </w:rPr>
        <w:t xml:space="preserve">  </w:t>
      </w:r>
      <w:r>
        <w:rPr>
          <w:rFonts w:ascii="宋体" w:hAnsi="宋体" w:eastAsia="宋体" w:cs="宋体"/>
          <w:b/>
          <w:bCs/>
          <w:color w:val="auto"/>
          <w:spacing w:val="-4"/>
          <w:sz w:val="27"/>
          <w:szCs w:val="27"/>
          <w:highlight w:val="none"/>
        </w:rPr>
        <w:t>资格审查条件（资质最低条件）</w:t>
      </w:r>
      <w:r>
        <w:rPr>
          <w:rFonts w:ascii="宋体" w:hAnsi="宋体" w:eastAsia="宋体" w:cs="宋体"/>
          <w:color w:val="auto"/>
          <w:spacing w:val="28"/>
          <w:sz w:val="27"/>
          <w:szCs w:val="27"/>
          <w:highlight w:val="none"/>
        </w:rPr>
        <w:t xml:space="preserve"> </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7"/>
      </w:tblGrid>
      <w:tr w14:paraId="27F77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9" w:hRule="atLeast"/>
          <w:jc w:val="center"/>
        </w:trPr>
        <w:tc>
          <w:tcPr>
            <w:tcW w:w="9257" w:type="dxa"/>
            <w:noWrap w:val="0"/>
            <w:vAlign w:val="center"/>
          </w:tcPr>
          <w:p w14:paraId="706F1D52">
            <w:pPr>
              <w:adjustRightInd w:val="0"/>
              <w:snapToGrid w:val="0"/>
              <w:spacing w:line="36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施工企业资质等级要求</w:t>
            </w:r>
          </w:p>
        </w:tc>
      </w:tr>
      <w:tr w14:paraId="33E64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00" w:hRule="exact"/>
          <w:jc w:val="center"/>
        </w:trPr>
        <w:tc>
          <w:tcPr>
            <w:tcW w:w="9257" w:type="dxa"/>
            <w:noWrap w:val="0"/>
            <w:vAlign w:val="center"/>
          </w:tcPr>
          <w:p w14:paraId="4E539182">
            <w:pPr>
              <w:spacing w:line="360" w:lineRule="exac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1、中华人民共和国国内注册成立的独立企业法人；</w:t>
            </w:r>
          </w:p>
          <w:p w14:paraId="48737955">
            <w:pPr>
              <w:spacing w:line="360" w:lineRule="exac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2、具备建设行政主管部门核发的公路工程施工总承包二级（或以上）资质；</w:t>
            </w:r>
          </w:p>
          <w:p w14:paraId="192C14B8">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3、具有有效的安全生产许可证。</w:t>
            </w:r>
          </w:p>
        </w:tc>
      </w:tr>
    </w:tbl>
    <w:p w14:paraId="35EF1DD1">
      <w:pPr>
        <w:pStyle w:val="3"/>
        <w:spacing w:line="247" w:lineRule="auto"/>
        <w:rPr>
          <w:color w:val="auto"/>
          <w:highlight w:val="none"/>
        </w:rPr>
      </w:pPr>
    </w:p>
    <w:p w14:paraId="256EC6E3">
      <w:pPr>
        <w:spacing w:before="49" w:line="219" w:lineRule="auto"/>
        <w:ind w:left="1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注：投标人应根据投标文件第二章“投标人</w:t>
      </w:r>
      <w:r>
        <w:rPr>
          <w:rFonts w:ascii="宋体" w:hAnsi="宋体" w:eastAsia="宋体" w:cs="宋体"/>
          <w:color w:val="auto"/>
          <w:spacing w:val="-2"/>
          <w:sz w:val="21"/>
          <w:szCs w:val="21"/>
          <w:highlight w:val="none"/>
        </w:rPr>
        <w:t>须知”第</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3.5.1</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项的要求附相关证明材料。</w:t>
      </w:r>
    </w:p>
    <w:p w14:paraId="54680781">
      <w:pPr>
        <w:pStyle w:val="3"/>
        <w:spacing w:line="261" w:lineRule="auto"/>
        <w:rPr>
          <w:color w:val="auto"/>
          <w:highlight w:val="none"/>
        </w:rPr>
      </w:pPr>
    </w:p>
    <w:p w14:paraId="5BBADD3D">
      <w:pPr>
        <w:pStyle w:val="3"/>
        <w:spacing w:line="293" w:lineRule="auto"/>
        <w:rPr>
          <w:color w:val="auto"/>
          <w:highlight w:val="none"/>
        </w:rPr>
      </w:pPr>
    </w:p>
    <w:p w14:paraId="6C3D102E">
      <w:pPr>
        <w:spacing w:before="88" w:line="241" w:lineRule="auto"/>
        <w:ind w:left="3420"/>
        <w:rPr>
          <w:rFonts w:ascii="宋体" w:hAnsi="宋体" w:eastAsia="宋体" w:cs="宋体"/>
          <w:color w:val="auto"/>
          <w:sz w:val="13"/>
          <w:szCs w:val="13"/>
          <w:highlight w:val="none"/>
        </w:rPr>
      </w:pPr>
      <w:r>
        <w:rPr>
          <w:rFonts w:ascii="宋体" w:hAnsi="宋体" w:eastAsia="宋体" w:cs="宋体"/>
          <w:b/>
          <w:bCs/>
          <w:color w:val="auto"/>
          <w:spacing w:val="-3"/>
          <w:sz w:val="27"/>
          <w:szCs w:val="27"/>
          <w:highlight w:val="none"/>
        </w:rPr>
        <w:t>附录</w:t>
      </w:r>
      <w:r>
        <w:rPr>
          <w:rFonts w:ascii="宋体" w:hAnsi="宋体" w:eastAsia="宋体" w:cs="宋体"/>
          <w:color w:val="auto"/>
          <w:spacing w:val="-47"/>
          <w:sz w:val="27"/>
          <w:szCs w:val="27"/>
          <w:highlight w:val="none"/>
        </w:rPr>
        <w:t xml:space="preserve"> </w:t>
      </w:r>
      <w:r>
        <w:rPr>
          <w:rFonts w:ascii="宋体" w:hAnsi="宋体" w:eastAsia="宋体" w:cs="宋体"/>
          <w:b/>
          <w:bCs/>
          <w:color w:val="auto"/>
          <w:spacing w:val="-3"/>
          <w:sz w:val="27"/>
          <w:szCs w:val="27"/>
          <w:highlight w:val="none"/>
        </w:rPr>
        <w:t>2</w:t>
      </w:r>
      <w:r>
        <w:rPr>
          <w:rFonts w:ascii="宋体" w:hAnsi="宋体" w:eastAsia="宋体" w:cs="宋体"/>
          <w:color w:val="auto"/>
          <w:spacing w:val="-3"/>
          <w:sz w:val="27"/>
          <w:szCs w:val="27"/>
          <w:highlight w:val="none"/>
        </w:rPr>
        <w:t xml:space="preserve">  </w:t>
      </w:r>
      <w:r>
        <w:rPr>
          <w:rFonts w:ascii="宋体" w:hAnsi="宋体" w:eastAsia="宋体" w:cs="宋体"/>
          <w:b/>
          <w:bCs/>
          <w:color w:val="auto"/>
          <w:spacing w:val="-3"/>
          <w:sz w:val="27"/>
          <w:szCs w:val="27"/>
          <w:highlight w:val="none"/>
        </w:rPr>
        <w:t>资格审查条件（财务最低要求）</w:t>
      </w:r>
    </w:p>
    <w:p w14:paraId="0F3AFB32">
      <w:pPr>
        <w:spacing w:line="122" w:lineRule="exact"/>
        <w:rPr>
          <w:color w:val="auto"/>
          <w:highlight w:val="none"/>
        </w:rPr>
      </w:pP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05"/>
      </w:tblGrid>
      <w:tr w14:paraId="1AE4A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9305" w:type="dxa"/>
            <w:noWrap w:val="0"/>
            <w:vAlign w:val="center"/>
          </w:tcPr>
          <w:p w14:paraId="73E12A38">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财务要求</w:t>
            </w:r>
          </w:p>
        </w:tc>
      </w:tr>
      <w:tr w14:paraId="019F0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4" w:hRule="atLeast"/>
          <w:jc w:val="center"/>
        </w:trPr>
        <w:tc>
          <w:tcPr>
            <w:tcW w:w="9305" w:type="dxa"/>
            <w:noWrap w:val="0"/>
            <w:vAlign w:val="center"/>
          </w:tcPr>
          <w:p w14:paraId="1B19DCE9">
            <w:pPr>
              <w:spacing w:line="36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无。</w:t>
            </w:r>
          </w:p>
        </w:tc>
      </w:tr>
    </w:tbl>
    <w:p w14:paraId="10DF2AAD">
      <w:pPr>
        <w:spacing w:before="48"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3185BCA1">
      <w:pPr>
        <w:spacing w:before="57" w:line="247" w:lineRule="auto"/>
        <w:ind w:left="1425" w:right="1414" w:firstLine="1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1、企业净资产、营运资金是按最新年度（近三个年度的最后一年，下同）的数据计算得出。近三个</w:t>
      </w:r>
      <w:r>
        <w:rPr>
          <w:rFonts w:ascii="宋体" w:hAnsi="宋体" w:eastAsia="宋体" w:cs="宋体"/>
          <w:strike/>
          <w:dstrike w:val="0"/>
          <w:color w:val="auto"/>
          <w:spacing w:val="-1"/>
          <w:sz w:val="21"/>
          <w:szCs w:val="21"/>
          <w:highlight w:val="none"/>
        </w:rPr>
        <w:t>年度是指</w:t>
      </w:r>
      <w:r>
        <w:rPr>
          <w:rFonts w:ascii="宋体" w:hAnsi="宋体" w:eastAsia="宋体" w:cs="宋体"/>
          <w:strike/>
          <w:dstrike w:val="0"/>
          <w:color w:val="auto"/>
          <w:spacing w:val="-1"/>
          <w:sz w:val="21"/>
          <w:szCs w:val="21"/>
          <w:highlight w:val="none"/>
          <w:u w:val="single" w:color="auto"/>
        </w:rPr>
        <w:t xml:space="preserve">            </w:t>
      </w:r>
      <w:r>
        <w:rPr>
          <w:rFonts w:ascii="宋体" w:hAnsi="宋体" w:eastAsia="宋体" w:cs="宋体"/>
          <w:strike/>
          <w:dstrike w:val="0"/>
          <w:color w:val="auto"/>
          <w:spacing w:val="-1"/>
          <w:sz w:val="21"/>
          <w:szCs w:val="21"/>
          <w:highlight w:val="none"/>
        </w:rPr>
        <w:t>。</w:t>
      </w:r>
    </w:p>
    <w:p w14:paraId="4DA0766B">
      <w:pPr>
        <w:spacing w:before="62" w:line="247" w:lineRule="auto"/>
        <w:ind w:left="1424" w:right="1414" w:firstLine="2"/>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2、以联合体形式投标的，财务最低要求中的第</w:t>
      </w:r>
      <w:r>
        <w:rPr>
          <w:rFonts w:ascii="宋体" w:hAnsi="宋体" w:eastAsia="宋体" w:cs="宋体"/>
          <w:strike/>
          <w:dstrike w:val="0"/>
          <w:color w:val="auto"/>
          <w:spacing w:val="-30"/>
          <w:sz w:val="21"/>
          <w:szCs w:val="21"/>
          <w:highlight w:val="none"/>
        </w:rPr>
        <w:t xml:space="preserve"> </w:t>
      </w:r>
      <w:r>
        <w:rPr>
          <w:rFonts w:ascii="宋体" w:hAnsi="宋体" w:eastAsia="宋体" w:cs="宋体"/>
          <w:strike/>
          <w:dstrike w:val="0"/>
          <w:color w:val="auto"/>
          <w:spacing w:val="-2"/>
          <w:sz w:val="21"/>
          <w:szCs w:val="21"/>
          <w:highlight w:val="none"/>
        </w:rPr>
        <w:t>1、2、3</w:t>
      </w:r>
      <w:r>
        <w:rPr>
          <w:rFonts w:ascii="宋体" w:hAnsi="宋体" w:eastAsia="宋体" w:cs="宋体"/>
          <w:strike/>
          <w:dstrike w:val="0"/>
          <w:color w:val="auto"/>
          <w:spacing w:val="-40"/>
          <w:sz w:val="21"/>
          <w:szCs w:val="21"/>
          <w:highlight w:val="none"/>
        </w:rPr>
        <w:t xml:space="preserve"> </w:t>
      </w:r>
      <w:r>
        <w:rPr>
          <w:rFonts w:ascii="宋体" w:hAnsi="宋体" w:eastAsia="宋体" w:cs="宋体"/>
          <w:strike/>
          <w:dstrike w:val="0"/>
          <w:color w:val="auto"/>
          <w:spacing w:val="-2"/>
          <w:sz w:val="21"/>
          <w:szCs w:val="21"/>
          <w:highlight w:val="none"/>
        </w:rPr>
        <w:t>项</w:t>
      </w:r>
      <w:r>
        <w:rPr>
          <w:rFonts w:ascii="宋体" w:hAnsi="宋体" w:eastAsia="宋体" w:cs="宋体"/>
          <w:strike/>
          <w:dstrike w:val="0"/>
          <w:color w:val="auto"/>
          <w:spacing w:val="-3"/>
          <w:sz w:val="21"/>
          <w:szCs w:val="21"/>
          <w:highlight w:val="none"/>
        </w:rPr>
        <w:t>其财务能力以所有成员（含牵头人）合并</w:t>
      </w:r>
      <w:r>
        <w:rPr>
          <w:rFonts w:ascii="宋体" w:hAnsi="宋体" w:eastAsia="宋体" w:cs="宋体"/>
          <w:strike/>
          <w:dstrike w:val="0"/>
          <w:color w:val="auto"/>
          <w:spacing w:val="-5"/>
          <w:sz w:val="21"/>
          <w:szCs w:val="21"/>
          <w:highlight w:val="none"/>
        </w:rPr>
        <w:t>加总计算为准。</w:t>
      </w:r>
    </w:p>
    <w:p w14:paraId="13B6F4DB">
      <w:pPr>
        <w:spacing w:before="62" w:line="219" w:lineRule="auto"/>
        <w:ind w:left="1428"/>
        <w:rPr>
          <w:rFonts w:ascii="宋体" w:hAnsi="宋体" w:eastAsia="宋体" w:cs="宋体"/>
          <w:color w:val="auto"/>
          <w:sz w:val="21"/>
          <w:szCs w:val="21"/>
          <w:highlight w:val="none"/>
        </w:rPr>
      </w:pPr>
      <w:r>
        <w:rPr>
          <w:rFonts w:ascii="宋体" w:hAnsi="宋体" w:eastAsia="宋体" w:cs="宋体"/>
          <w:strike/>
          <w:dstrike w:val="0"/>
          <w:color w:val="auto"/>
          <w:spacing w:val="-2"/>
          <w:sz w:val="21"/>
          <w:szCs w:val="21"/>
          <w:highlight w:val="none"/>
        </w:rPr>
        <w:t>3、投标人应根据招标文件第二章“投标人须知”第</w:t>
      </w:r>
      <w:r>
        <w:rPr>
          <w:rFonts w:ascii="宋体" w:hAnsi="宋体" w:eastAsia="宋体" w:cs="宋体"/>
          <w:strike/>
          <w:dstrike w:val="0"/>
          <w:color w:val="auto"/>
          <w:spacing w:val="-25"/>
          <w:sz w:val="21"/>
          <w:szCs w:val="21"/>
          <w:highlight w:val="none"/>
        </w:rPr>
        <w:t xml:space="preserve"> </w:t>
      </w:r>
      <w:r>
        <w:rPr>
          <w:rFonts w:ascii="宋体" w:hAnsi="宋体" w:eastAsia="宋体" w:cs="宋体"/>
          <w:strike/>
          <w:dstrike w:val="0"/>
          <w:color w:val="auto"/>
          <w:spacing w:val="-2"/>
          <w:sz w:val="21"/>
          <w:szCs w:val="21"/>
          <w:highlight w:val="none"/>
        </w:rPr>
        <w:t>3.5.2</w:t>
      </w:r>
      <w:r>
        <w:rPr>
          <w:rFonts w:ascii="宋体" w:hAnsi="宋体" w:eastAsia="宋体" w:cs="宋体"/>
          <w:strike/>
          <w:dstrike w:val="0"/>
          <w:color w:val="auto"/>
          <w:spacing w:val="-42"/>
          <w:sz w:val="21"/>
          <w:szCs w:val="21"/>
          <w:highlight w:val="none"/>
        </w:rPr>
        <w:t xml:space="preserve"> </w:t>
      </w:r>
      <w:r>
        <w:rPr>
          <w:rFonts w:ascii="宋体" w:hAnsi="宋体" w:eastAsia="宋体" w:cs="宋体"/>
          <w:strike/>
          <w:dstrike w:val="0"/>
          <w:color w:val="auto"/>
          <w:spacing w:val="-2"/>
          <w:sz w:val="21"/>
          <w:szCs w:val="21"/>
          <w:highlight w:val="none"/>
        </w:rPr>
        <w:t>项的要求附相关证明材料。</w:t>
      </w:r>
    </w:p>
    <w:p w14:paraId="14971891">
      <w:pPr>
        <w:pStyle w:val="3"/>
        <w:spacing w:line="250" w:lineRule="auto"/>
        <w:rPr>
          <w:color w:val="auto"/>
          <w:highlight w:val="none"/>
        </w:rPr>
      </w:pPr>
    </w:p>
    <w:p w14:paraId="5F18E5F0">
      <w:pPr>
        <w:pStyle w:val="3"/>
        <w:spacing w:line="250" w:lineRule="auto"/>
        <w:rPr>
          <w:color w:val="auto"/>
          <w:highlight w:val="none"/>
        </w:rPr>
      </w:pPr>
    </w:p>
    <w:p w14:paraId="4714C9FA">
      <w:pPr>
        <w:pStyle w:val="3"/>
        <w:spacing w:line="250" w:lineRule="auto"/>
        <w:rPr>
          <w:color w:val="auto"/>
          <w:highlight w:val="none"/>
        </w:rPr>
      </w:pPr>
    </w:p>
    <w:p w14:paraId="01833421">
      <w:pPr>
        <w:pStyle w:val="3"/>
        <w:spacing w:line="250" w:lineRule="auto"/>
        <w:rPr>
          <w:color w:val="auto"/>
          <w:highlight w:val="none"/>
        </w:rPr>
      </w:pPr>
    </w:p>
    <w:p w14:paraId="2CAD7458">
      <w:pPr>
        <w:pStyle w:val="3"/>
        <w:spacing w:line="250" w:lineRule="auto"/>
        <w:rPr>
          <w:color w:val="auto"/>
          <w:highlight w:val="none"/>
        </w:rPr>
      </w:pPr>
    </w:p>
    <w:p w14:paraId="1DF6B9DB">
      <w:pPr>
        <w:pStyle w:val="3"/>
        <w:spacing w:line="250" w:lineRule="auto"/>
        <w:rPr>
          <w:color w:val="auto"/>
          <w:highlight w:val="none"/>
        </w:rPr>
      </w:pPr>
    </w:p>
    <w:p w14:paraId="7240B831">
      <w:pPr>
        <w:pStyle w:val="3"/>
        <w:spacing w:line="250" w:lineRule="auto"/>
        <w:rPr>
          <w:color w:val="auto"/>
          <w:highlight w:val="none"/>
        </w:rPr>
      </w:pPr>
    </w:p>
    <w:p w14:paraId="714F3D33">
      <w:pPr>
        <w:pStyle w:val="3"/>
        <w:spacing w:line="250" w:lineRule="auto"/>
        <w:rPr>
          <w:color w:val="auto"/>
          <w:highlight w:val="none"/>
        </w:rPr>
      </w:pPr>
    </w:p>
    <w:p w14:paraId="698C14DA">
      <w:pPr>
        <w:pStyle w:val="3"/>
        <w:spacing w:line="250" w:lineRule="auto"/>
        <w:rPr>
          <w:color w:val="auto"/>
          <w:highlight w:val="none"/>
        </w:rPr>
      </w:pPr>
    </w:p>
    <w:p w14:paraId="693795CF">
      <w:pPr>
        <w:pStyle w:val="3"/>
        <w:spacing w:line="250" w:lineRule="auto"/>
        <w:rPr>
          <w:color w:val="auto"/>
          <w:highlight w:val="none"/>
        </w:rPr>
      </w:pPr>
    </w:p>
    <w:p w14:paraId="232AC857">
      <w:pPr>
        <w:pStyle w:val="3"/>
        <w:spacing w:line="251" w:lineRule="auto"/>
        <w:rPr>
          <w:color w:val="auto"/>
          <w:highlight w:val="none"/>
        </w:rPr>
      </w:pPr>
    </w:p>
    <w:p w14:paraId="7667F61E">
      <w:pPr>
        <w:pStyle w:val="3"/>
        <w:spacing w:line="251" w:lineRule="auto"/>
        <w:rPr>
          <w:color w:val="auto"/>
          <w:highlight w:val="none"/>
        </w:rPr>
      </w:pPr>
    </w:p>
    <w:p w14:paraId="2F3C8168">
      <w:pPr>
        <w:pStyle w:val="3"/>
        <w:spacing w:line="251" w:lineRule="auto"/>
        <w:rPr>
          <w:color w:val="auto"/>
          <w:highlight w:val="none"/>
        </w:rPr>
      </w:pPr>
    </w:p>
    <w:p w14:paraId="681D77F9">
      <w:pPr>
        <w:pStyle w:val="3"/>
        <w:spacing w:line="251" w:lineRule="auto"/>
        <w:rPr>
          <w:color w:val="auto"/>
          <w:highlight w:val="none"/>
        </w:rPr>
      </w:pPr>
    </w:p>
    <w:p w14:paraId="51C066F9">
      <w:pPr>
        <w:pStyle w:val="3"/>
        <w:spacing w:line="251" w:lineRule="auto"/>
        <w:rPr>
          <w:color w:val="auto"/>
          <w:highlight w:val="none"/>
        </w:rPr>
      </w:pPr>
    </w:p>
    <w:p w14:paraId="391C015B">
      <w:pPr>
        <w:pStyle w:val="3"/>
        <w:spacing w:line="251" w:lineRule="auto"/>
        <w:rPr>
          <w:color w:val="auto"/>
          <w:highlight w:val="none"/>
        </w:rPr>
      </w:pPr>
    </w:p>
    <w:p w14:paraId="3F67AB21">
      <w:pPr>
        <w:pStyle w:val="3"/>
        <w:spacing w:line="251" w:lineRule="auto"/>
        <w:rPr>
          <w:color w:val="auto"/>
          <w:highlight w:val="none"/>
        </w:rPr>
      </w:pPr>
    </w:p>
    <w:p w14:paraId="081EAA01">
      <w:pPr>
        <w:pStyle w:val="3"/>
        <w:spacing w:line="251" w:lineRule="auto"/>
        <w:rPr>
          <w:color w:val="auto"/>
          <w:highlight w:val="none"/>
        </w:rPr>
      </w:pPr>
    </w:p>
    <w:p w14:paraId="378DFC5D">
      <w:pPr>
        <w:pStyle w:val="3"/>
        <w:spacing w:line="251" w:lineRule="auto"/>
        <w:rPr>
          <w:color w:val="auto"/>
          <w:highlight w:val="none"/>
        </w:rPr>
      </w:pPr>
    </w:p>
    <w:p w14:paraId="4C1DA64D">
      <w:pPr>
        <w:pStyle w:val="3"/>
        <w:spacing w:line="251" w:lineRule="auto"/>
        <w:rPr>
          <w:color w:val="auto"/>
          <w:highlight w:val="none"/>
        </w:rPr>
      </w:pPr>
    </w:p>
    <w:p w14:paraId="15004057">
      <w:pPr>
        <w:spacing w:line="217" w:lineRule="auto"/>
        <w:rPr>
          <w:rFonts w:ascii="宋体" w:hAnsi="宋体" w:eastAsia="宋体" w:cs="宋体"/>
          <w:color w:val="auto"/>
          <w:sz w:val="18"/>
          <w:szCs w:val="18"/>
          <w:highlight w:val="none"/>
        </w:rPr>
        <w:sectPr>
          <w:headerReference r:id="rId32" w:type="default"/>
          <w:footerReference r:id="rId33" w:type="default"/>
          <w:pgSz w:w="11905" w:h="16840"/>
          <w:pgMar w:top="1182" w:right="0" w:bottom="1171" w:left="0" w:header="849" w:footer="937" w:gutter="0"/>
          <w:pgNumType w:fmt="decimal"/>
          <w:cols w:space="720" w:num="1"/>
        </w:sectPr>
      </w:pPr>
    </w:p>
    <w:p w14:paraId="7C943004">
      <w:pPr>
        <w:pStyle w:val="3"/>
        <w:spacing w:line="293" w:lineRule="auto"/>
        <w:rPr>
          <w:color w:val="auto"/>
          <w:highlight w:val="none"/>
        </w:rPr>
      </w:pPr>
    </w:p>
    <w:p w14:paraId="345657E6">
      <w:pPr>
        <w:spacing w:before="88" w:line="241" w:lineRule="auto"/>
        <w:ind w:left="3491"/>
        <w:rPr>
          <w:rFonts w:ascii="宋体" w:hAnsi="宋体" w:eastAsia="宋体" w:cs="宋体"/>
          <w:color w:val="auto"/>
          <w:sz w:val="13"/>
          <w:szCs w:val="13"/>
          <w:highlight w:val="none"/>
        </w:rPr>
      </w:pPr>
      <w:r>
        <w:rPr>
          <w:rFonts w:ascii="宋体" w:hAnsi="宋体" w:eastAsia="宋体" w:cs="宋体"/>
          <w:b/>
          <w:bCs/>
          <w:color w:val="auto"/>
          <w:spacing w:val="-4"/>
          <w:sz w:val="27"/>
          <w:szCs w:val="27"/>
          <w:highlight w:val="none"/>
        </w:rPr>
        <w:t>附录</w:t>
      </w:r>
      <w:r>
        <w:rPr>
          <w:rFonts w:ascii="宋体" w:hAnsi="宋体" w:eastAsia="宋体" w:cs="宋体"/>
          <w:color w:val="auto"/>
          <w:spacing w:val="-39"/>
          <w:sz w:val="27"/>
          <w:szCs w:val="27"/>
          <w:highlight w:val="none"/>
        </w:rPr>
        <w:t xml:space="preserve"> </w:t>
      </w:r>
      <w:r>
        <w:rPr>
          <w:rFonts w:ascii="宋体" w:hAnsi="宋体" w:eastAsia="宋体" w:cs="宋体"/>
          <w:b/>
          <w:bCs/>
          <w:color w:val="auto"/>
          <w:spacing w:val="-4"/>
          <w:sz w:val="27"/>
          <w:szCs w:val="27"/>
          <w:highlight w:val="none"/>
        </w:rPr>
        <w:t>3</w:t>
      </w:r>
      <w:r>
        <w:rPr>
          <w:rFonts w:ascii="宋体" w:hAnsi="宋体" w:eastAsia="宋体" w:cs="宋体"/>
          <w:color w:val="auto"/>
          <w:spacing w:val="-4"/>
          <w:sz w:val="27"/>
          <w:szCs w:val="27"/>
          <w:highlight w:val="none"/>
        </w:rPr>
        <w:t xml:space="preserve"> </w:t>
      </w:r>
      <w:r>
        <w:rPr>
          <w:rFonts w:ascii="宋体" w:hAnsi="宋体" w:eastAsia="宋体" w:cs="宋体"/>
          <w:b/>
          <w:bCs/>
          <w:color w:val="auto"/>
          <w:spacing w:val="-4"/>
          <w:sz w:val="27"/>
          <w:szCs w:val="27"/>
          <w:highlight w:val="none"/>
        </w:rPr>
        <w:t>资格审查条件（业绩最低要求）</w:t>
      </w:r>
      <w:r>
        <w:rPr>
          <w:rFonts w:ascii="宋体" w:hAnsi="宋体" w:eastAsia="宋体" w:cs="宋体"/>
          <w:color w:val="auto"/>
          <w:spacing w:val="29"/>
          <w:sz w:val="27"/>
          <w:szCs w:val="27"/>
          <w:highlight w:val="none"/>
        </w:rPr>
        <w:t xml:space="preserve"> </w:t>
      </w:r>
    </w:p>
    <w:p w14:paraId="228230A7">
      <w:pPr>
        <w:spacing w:line="122" w:lineRule="exact"/>
        <w:rPr>
          <w:color w:val="auto"/>
          <w:highlight w:val="none"/>
        </w:rPr>
      </w:pP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9"/>
      </w:tblGrid>
      <w:tr w14:paraId="451D6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5" w:hRule="atLeast"/>
          <w:jc w:val="center"/>
        </w:trPr>
        <w:tc>
          <w:tcPr>
            <w:tcW w:w="9299" w:type="dxa"/>
            <w:noWrap w:val="0"/>
            <w:vAlign w:val="center"/>
          </w:tcPr>
          <w:p w14:paraId="32AC41C3">
            <w:pPr>
              <w:adjustRightInd w:val="0"/>
              <w:snapToGrid w:val="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业绩要求</w:t>
            </w:r>
          </w:p>
        </w:tc>
      </w:tr>
      <w:tr w14:paraId="64167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7" w:hRule="atLeast"/>
          <w:jc w:val="center"/>
        </w:trPr>
        <w:tc>
          <w:tcPr>
            <w:tcW w:w="9299" w:type="dxa"/>
            <w:noWrap w:val="0"/>
            <w:vAlign w:val="center"/>
          </w:tcPr>
          <w:p w14:paraId="0FCED196">
            <w:pPr>
              <w:spacing w:line="36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近五年内（202</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年1月1日至投标截止日），成功完成：</w:t>
            </w:r>
          </w:p>
          <w:p w14:paraId="340C95AC">
            <w:pPr>
              <w:spacing w:line="36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（1）类似工程路基桥涵工程至少</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个标段，且累计里程</w:t>
            </w:r>
            <w:r>
              <w:rPr>
                <w:rFonts w:hint="eastAsia" w:asciiTheme="minorEastAsia" w:hAnsiTheme="minorEastAsia" w:eastAsiaTheme="minorEastAsia" w:cstheme="minorEastAsia"/>
                <w:color w:val="auto"/>
                <w:szCs w:val="21"/>
                <w:highlight w:val="none"/>
                <w:lang w:eastAsia="zh-CN"/>
              </w:rPr>
              <w:t>不小于</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km；</w:t>
            </w:r>
          </w:p>
          <w:p w14:paraId="7A175EC4">
            <w:pPr>
              <w:spacing w:line="36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（2）桥长不小于</w:t>
            </w:r>
            <w:r>
              <w:rPr>
                <w:rFonts w:hint="eastAsia" w:asciiTheme="minorEastAsia" w:hAnsiTheme="minorEastAsia" w:eastAsiaTheme="minorEastAsia" w:cstheme="minorEastAsia"/>
                <w:color w:val="auto"/>
                <w:szCs w:val="21"/>
                <w:highlight w:val="none"/>
                <w:lang w:val="en-US" w:eastAsia="zh-CN"/>
              </w:rPr>
              <w:t>300</w:t>
            </w:r>
            <w:r>
              <w:rPr>
                <w:rFonts w:hint="eastAsia" w:asciiTheme="minorEastAsia" w:hAnsiTheme="minorEastAsia" w:eastAsiaTheme="minorEastAsia" w:cstheme="minorEastAsia"/>
                <w:color w:val="auto"/>
                <w:szCs w:val="21"/>
                <w:highlight w:val="none"/>
              </w:rPr>
              <w:t>m的类似工程桥梁</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座，且主孔单孔跨径不小于</w:t>
            </w:r>
            <w:r>
              <w:rPr>
                <w:rFonts w:hint="eastAsia" w:asciiTheme="minorEastAsia" w:hAnsiTheme="minorEastAsia" w:eastAsiaTheme="minorEastAsia" w:cstheme="minorEastAsia"/>
                <w:color w:val="auto"/>
                <w:szCs w:val="21"/>
                <w:highlight w:val="none"/>
                <w:lang w:val="en-US" w:eastAsia="zh-CN"/>
              </w:rPr>
              <w:t>50</w:t>
            </w:r>
            <w:r>
              <w:rPr>
                <w:rFonts w:hint="eastAsia" w:asciiTheme="minorEastAsia" w:hAnsiTheme="minorEastAsia" w:eastAsiaTheme="minorEastAsia" w:cstheme="minorEastAsia"/>
                <w:color w:val="auto"/>
                <w:szCs w:val="21"/>
                <w:highlight w:val="none"/>
              </w:rPr>
              <w:t>m。</w:t>
            </w:r>
          </w:p>
        </w:tc>
      </w:tr>
    </w:tbl>
    <w:p w14:paraId="0B197878">
      <w:pPr>
        <w:spacing w:before="4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00A7A4EB">
      <w:pPr>
        <w:keepNext w:val="0"/>
        <w:keepLines w:val="0"/>
        <w:pageBreakBefore w:val="0"/>
        <w:widowControl/>
        <w:kinsoku w:val="0"/>
        <w:wordWrap/>
        <w:overflowPunct/>
        <w:topLinePunct w:val="0"/>
        <w:autoSpaceDE w:val="0"/>
        <w:autoSpaceDN w:val="0"/>
        <w:bidi w:val="0"/>
        <w:adjustRightInd w:val="0"/>
        <w:snapToGrid w:val="0"/>
        <w:spacing w:before="57" w:line="360" w:lineRule="auto"/>
        <w:ind w:left="1439"/>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1、本附录所要求的业绩仅限中华人民共和国境</w:t>
      </w:r>
      <w:r>
        <w:rPr>
          <w:rFonts w:ascii="宋体" w:hAnsi="宋体" w:eastAsia="宋体" w:cs="宋体"/>
          <w:color w:val="auto"/>
          <w:spacing w:val="-3"/>
          <w:sz w:val="21"/>
          <w:szCs w:val="21"/>
          <w:highlight w:val="none"/>
        </w:rPr>
        <w:t>内业绩。</w:t>
      </w:r>
    </w:p>
    <w:p w14:paraId="0C625EFF">
      <w:pPr>
        <w:keepNext w:val="0"/>
        <w:keepLines w:val="0"/>
        <w:pageBreakBefore w:val="0"/>
        <w:widowControl/>
        <w:kinsoku w:val="0"/>
        <w:wordWrap/>
        <w:overflowPunct/>
        <w:topLinePunct w:val="0"/>
        <w:autoSpaceDE w:val="0"/>
        <w:autoSpaceDN w:val="0"/>
        <w:bidi w:val="0"/>
        <w:adjustRightInd w:val="0"/>
        <w:snapToGrid w:val="0"/>
        <w:spacing w:before="62" w:line="360" w:lineRule="auto"/>
        <w:ind w:left="1426"/>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2、同一工程项目同时满足</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项或多项业绩要求条件的，可分</w:t>
      </w:r>
      <w:r>
        <w:rPr>
          <w:rFonts w:ascii="宋体" w:hAnsi="宋体" w:eastAsia="宋体" w:cs="宋体"/>
          <w:color w:val="auto"/>
          <w:spacing w:val="-3"/>
          <w:sz w:val="21"/>
          <w:szCs w:val="21"/>
          <w:highlight w:val="none"/>
        </w:rPr>
        <w:t>别计。</w:t>
      </w:r>
    </w:p>
    <w:p w14:paraId="5FAB2F53">
      <w:pPr>
        <w:keepNext w:val="0"/>
        <w:keepLines w:val="0"/>
        <w:pageBreakBefore w:val="0"/>
        <w:widowControl/>
        <w:kinsoku w:val="0"/>
        <w:wordWrap/>
        <w:overflowPunct/>
        <w:topLinePunct w:val="0"/>
        <w:autoSpaceDE w:val="0"/>
        <w:autoSpaceDN w:val="0"/>
        <w:bidi w:val="0"/>
        <w:adjustRightInd w:val="0"/>
        <w:snapToGrid w:val="0"/>
        <w:spacing w:before="61" w:line="360" w:lineRule="auto"/>
        <w:ind w:left="1428"/>
        <w:textAlignment w:val="baseline"/>
        <w:rPr>
          <w:rFonts w:ascii="宋体" w:hAnsi="宋体" w:eastAsia="宋体" w:cs="宋体"/>
          <w:color w:val="auto"/>
          <w:spacing w:val="-2"/>
          <w:sz w:val="21"/>
          <w:szCs w:val="21"/>
          <w:highlight w:val="none"/>
        </w:rPr>
      </w:pPr>
      <w:r>
        <w:rPr>
          <w:rFonts w:ascii="宋体" w:hAnsi="宋体" w:eastAsia="宋体" w:cs="宋体"/>
          <w:color w:val="auto"/>
          <w:spacing w:val="1"/>
          <w:sz w:val="21"/>
          <w:szCs w:val="21"/>
          <w:highlight w:val="none"/>
        </w:rPr>
        <w:t>3、本表要求业绩指由投标人承接并完成的业绩,投标人上级单位（如</w:t>
      </w:r>
      <w:r>
        <w:rPr>
          <w:rFonts w:ascii="宋体" w:hAnsi="宋体" w:eastAsia="宋体" w:cs="宋体"/>
          <w:color w:val="auto"/>
          <w:sz w:val="21"/>
          <w:szCs w:val="21"/>
          <w:highlight w:val="none"/>
        </w:rPr>
        <w:t>总公司、集团公司等）的业绩</w:t>
      </w:r>
      <w:r>
        <w:rPr>
          <w:rFonts w:ascii="宋体" w:hAnsi="宋体" w:eastAsia="宋体" w:cs="宋体"/>
          <w:color w:val="auto"/>
          <w:spacing w:val="-2"/>
          <w:sz w:val="21"/>
          <w:szCs w:val="21"/>
          <w:highlight w:val="none"/>
        </w:rPr>
        <w:t>和</w:t>
      </w:r>
    </w:p>
    <w:p w14:paraId="085C27AE">
      <w:pPr>
        <w:keepNext w:val="0"/>
        <w:keepLines w:val="0"/>
        <w:pageBreakBefore w:val="0"/>
        <w:widowControl/>
        <w:kinsoku w:val="0"/>
        <w:wordWrap/>
        <w:overflowPunct/>
        <w:topLinePunct w:val="0"/>
        <w:autoSpaceDE w:val="0"/>
        <w:autoSpaceDN w:val="0"/>
        <w:bidi w:val="0"/>
        <w:adjustRightInd w:val="0"/>
        <w:snapToGrid w:val="0"/>
        <w:spacing w:before="61" w:line="360" w:lineRule="auto"/>
        <w:ind w:left="1428"/>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投标人具备独立法人资格的下属机构的业绩均不予认定。</w:t>
      </w:r>
    </w:p>
    <w:p w14:paraId="6CB1A225">
      <w:pPr>
        <w:keepNext w:val="0"/>
        <w:keepLines w:val="0"/>
        <w:pageBreakBefore w:val="0"/>
        <w:widowControl/>
        <w:kinsoku w:val="0"/>
        <w:wordWrap/>
        <w:overflowPunct/>
        <w:topLinePunct w:val="0"/>
        <w:autoSpaceDE w:val="0"/>
        <w:autoSpaceDN w:val="0"/>
        <w:bidi w:val="0"/>
        <w:adjustRightInd w:val="0"/>
        <w:snapToGrid w:val="0"/>
        <w:spacing w:before="48" w:line="360" w:lineRule="auto"/>
        <w:ind w:left="1423"/>
        <w:textAlignment w:val="baseline"/>
        <w:rPr>
          <w:rFonts w:ascii="宋体" w:hAnsi="宋体" w:eastAsia="宋体" w:cs="宋体"/>
          <w:color w:val="auto"/>
          <w:sz w:val="21"/>
          <w:szCs w:val="21"/>
          <w:highlight w:val="none"/>
        </w:rPr>
      </w:pPr>
      <w:r>
        <w:rPr>
          <w:rFonts w:ascii="宋体" w:hAnsi="宋体" w:eastAsia="宋体" w:cs="宋体"/>
          <w:strike/>
          <w:dstrike w:val="0"/>
          <w:color w:val="auto"/>
          <w:sz w:val="21"/>
          <w:szCs w:val="21"/>
          <w:highlight w:val="none"/>
        </w:rPr>
        <w:t>4、若为联合体投标，投标人业绩的资格审查条件和加分条件（如有）的认定原</w:t>
      </w:r>
      <w:r>
        <w:rPr>
          <w:rFonts w:ascii="宋体" w:hAnsi="宋体" w:eastAsia="宋体" w:cs="宋体"/>
          <w:strike/>
          <w:dstrike w:val="0"/>
          <w:color w:val="auto"/>
          <w:spacing w:val="-1"/>
          <w:sz w:val="21"/>
          <w:szCs w:val="21"/>
          <w:highlight w:val="none"/>
        </w:rPr>
        <w:t>则如下</w:t>
      </w:r>
      <w:r>
        <w:rPr>
          <w:rFonts w:ascii="宋体" w:hAnsi="宋体" w:eastAsia="宋体" w:cs="宋体"/>
          <w:strike/>
          <w:dstrike w:val="0"/>
          <w:color w:val="auto"/>
          <w:spacing w:val="-23"/>
          <w:position w:val="10"/>
          <w:sz w:val="10"/>
          <w:szCs w:val="10"/>
          <w:highlight w:val="none"/>
        </w:rPr>
        <w:t xml:space="preserve"> </w:t>
      </w:r>
      <w:r>
        <w:rPr>
          <w:rFonts w:ascii="宋体" w:hAnsi="宋体" w:eastAsia="宋体" w:cs="宋体"/>
          <w:strike/>
          <w:dstrike w:val="0"/>
          <w:color w:val="auto"/>
          <w:spacing w:val="-1"/>
          <w:sz w:val="21"/>
          <w:szCs w:val="21"/>
          <w:highlight w:val="none"/>
        </w:rPr>
        <w:t>:</w:t>
      </w:r>
      <w:r>
        <w:rPr>
          <w:rFonts w:hint="eastAsia" w:ascii="宋体" w:hAnsi="宋体" w:eastAsia="宋体" w:cs="宋体"/>
          <w:strike/>
          <w:dstrike w:val="0"/>
          <w:color w:val="auto"/>
          <w:spacing w:val="-1"/>
          <w:sz w:val="21"/>
          <w:szCs w:val="21"/>
          <w:highlight w:val="none"/>
          <w:u w:val="single"/>
          <w:lang w:val="en-US" w:eastAsia="zh-CN"/>
        </w:rPr>
        <w:t xml:space="preserve">   </w:t>
      </w:r>
      <w:r>
        <w:rPr>
          <w:rFonts w:ascii="宋体" w:hAnsi="宋体" w:eastAsia="宋体" w:cs="宋体"/>
          <w:strike/>
          <w:dstrike w:val="0"/>
          <w:color w:val="auto"/>
          <w:position w:val="-1"/>
          <w:sz w:val="21"/>
          <w:szCs w:val="21"/>
          <w:highlight w:val="none"/>
        </w:rPr>
        <w:t>。</w:t>
      </w:r>
    </w:p>
    <w:p w14:paraId="39EDE04A">
      <w:pPr>
        <w:keepNext w:val="0"/>
        <w:keepLines w:val="0"/>
        <w:pageBreakBefore w:val="0"/>
        <w:widowControl/>
        <w:kinsoku w:val="0"/>
        <w:wordWrap/>
        <w:overflowPunct/>
        <w:topLinePunct w:val="0"/>
        <w:autoSpaceDE w:val="0"/>
        <w:autoSpaceDN w:val="0"/>
        <w:bidi w:val="0"/>
        <w:adjustRightInd w:val="0"/>
        <w:snapToGrid w:val="0"/>
        <w:spacing w:before="130" w:line="360" w:lineRule="auto"/>
        <w:ind w:left="1424" w:right="1414" w:firstLine="4"/>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5、若投标人提供的业绩证明为联合体业绩，则按投标人须知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项要求的证明</w:t>
      </w:r>
      <w:r>
        <w:rPr>
          <w:rFonts w:ascii="宋体" w:hAnsi="宋体" w:eastAsia="宋体" w:cs="宋体"/>
          <w:color w:val="auto"/>
          <w:spacing w:val="-3"/>
          <w:sz w:val="21"/>
          <w:szCs w:val="21"/>
          <w:highlight w:val="none"/>
        </w:rPr>
        <w:t>材料体现其完成的</w:t>
      </w:r>
      <w:r>
        <w:rPr>
          <w:rFonts w:ascii="宋体" w:hAnsi="宋体" w:eastAsia="宋体" w:cs="宋体"/>
          <w:color w:val="auto"/>
          <w:spacing w:val="-1"/>
          <w:sz w:val="21"/>
          <w:szCs w:val="21"/>
          <w:highlight w:val="none"/>
        </w:rPr>
        <w:t>相关专项工程的工程量认定，无法界定其完成的相关专项工程的工程量，此业绩不予认定。</w:t>
      </w:r>
    </w:p>
    <w:p w14:paraId="48D7DE1E">
      <w:pPr>
        <w:pStyle w:val="3"/>
        <w:spacing w:line="242" w:lineRule="auto"/>
        <w:ind w:firstLine="1442" w:firstLineChars="700"/>
        <w:rPr>
          <w:color w:val="auto"/>
          <w:highlight w:val="none"/>
        </w:rPr>
      </w:pPr>
      <w:r>
        <w:rPr>
          <w:rFonts w:ascii="宋体" w:hAnsi="宋体" w:eastAsia="宋体" w:cs="宋体"/>
          <w:color w:val="auto"/>
          <w:spacing w:val="-2"/>
          <w:sz w:val="21"/>
          <w:szCs w:val="21"/>
          <w:highlight w:val="none"/>
        </w:rPr>
        <w:t>6、投标人应根据招标文件第二章“投标人须知”第</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3.5.3</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项的要求附相关证明材料。</w:t>
      </w:r>
    </w:p>
    <w:p w14:paraId="22F92CE5">
      <w:pPr>
        <w:pStyle w:val="3"/>
        <w:spacing w:line="293" w:lineRule="auto"/>
        <w:rPr>
          <w:color w:val="auto"/>
          <w:highlight w:val="none"/>
        </w:rPr>
      </w:pPr>
    </w:p>
    <w:p w14:paraId="1C9F4931">
      <w:pPr>
        <w:spacing w:before="88" w:line="241" w:lineRule="auto"/>
        <w:ind w:left="3420"/>
        <w:rPr>
          <w:rFonts w:ascii="宋体" w:hAnsi="宋体" w:eastAsia="宋体" w:cs="宋体"/>
          <w:b/>
          <w:bCs/>
          <w:color w:val="auto"/>
          <w:spacing w:val="-3"/>
          <w:sz w:val="27"/>
          <w:szCs w:val="27"/>
          <w:highlight w:val="none"/>
        </w:rPr>
      </w:pPr>
    </w:p>
    <w:p w14:paraId="61C46289">
      <w:pPr>
        <w:spacing w:before="88" w:line="241" w:lineRule="auto"/>
        <w:ind w:left="3420"/>
        <w:rPr>
          <w:rFonts w:ascii="宋体" w:hAnsi="宋体" w:eastAsia="宋体" w:cs="宋体"/>
          <w:color w:val="auto"/>
          <w:sz w:val="13"/>
          <w:szCs w:val="13"/>
          <w:highlight w:val="none"/>
        </w:rPr>
      </w:pPr>
      <w:r>
        <w:rPr>
          <w:rFonts w:ascii="宋体" w:hAnsi="宋体" w:eastAsia="宋体" w:cs="宋体"/>
          <w:b/>
          <w:bCs/>
          <w:color w:val="auto"/>
          <w:spacing w:val="-3"/>
          <w:sz w:val="27"/>
          <w:szCs w:val="27"/>
          <w:highlight w:val="none"/>
        </w:rPr>
        <w:t>附录</w:t>
      </w:r>
      <w:r>
        <w:rPr>
          <w:rFonts w:ascii="宋体" w:hAnsi="宋体" w:eastAsia="宋体" w:cs="宋体"/>
          <w:color w:val="auto"/>
          <w:spacing w:val="-47"/>
          <w:sz w:val="27"/>
          <w:szCs w:val="27"/>
          <w:highlight w:val="none"/>
        </w:rPr>
        <w:t xml:space="preserve"> </w:t>
      </w:r>
      <w:r>
        <w:rPr>
          <w:rFonts w:ascii="宋体" w:hAnsi="宋体" w:eastAsia="宋体" w:cs="宋体"/>
          <w:b/>
          <w:bCs/>
          <w:color w:val="auto"/>
          <w:spacing w:val="-3"/>
          <w:sz w:val="27"/>
          <w:szCs w:val="27"/>
          <w:highlight w:val="none"/>
        </w:rPr>
        <w:t>4</w:t>
      </w:r>
      <w:r>
        <w:rPr>
          <w:rFonts w:ascii="宋体" w:hAnsi="宋体" w:eastAsia="宋体" w:cs="宋体"/>
          <w:color w:val="auto"/>
          <w:spacing w:val="-3"/>
          <w:sz w:val="27"/>
          <w:szCs w:val="27"/>
          <w:highlight w:val="none"/>
        </w:rPr>
        <w:t xml:space="preserve">  </w:t>
      </w:r>
      <w:r>
        <w:rPr>
          <w:rFonts w:ascii="宋体" w:hAnsi="宋体" w:eastAsia="宋体" w:cs="宋体"/>
          <w:b/>
          <w:bCs/>
          <w:color w:val="auto"/>
          <w:spacing w:val="-3"/>
          <w:sz w:val="27"/>
          <w:szCs w:val="27"/>
          <w:highlight w:val="none"/>
        </w:rPr>
        <w:t>资格审查条件（信誉最低要求）</w:t>
      </w:r>
      <w:r>
        <w:rPr>
          <w:rFonts w:ascii="宋体" w:hAnsi="宋体" w:eastAsia="宋体" w:cs="宋体"/>
          <w:color w:val="auto"/>
          <w:spacing w:val="28"/>
          <w:sz w:val="27"/>
          <w:szCs w:val="27"/>
          <w:highlight w:val="none"/>
        </w:rPr>
        <w:t xml:space="preserve"> </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2"/>
      </w:tblGrid>
      <w:tr w14:paraId="3C28C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9252" w:type="dxa"/>
            <w:noWrap w:val="0"/>
            <w:vAlign w:val="center"/>
          </w:tcPr>
          <w:p w14:paraId="67587C15">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信誉要求</w:t>
            </w:r>
          </w:p>
        </w:tc>
      </w:tr>
      <w:tr w14:paraId="04970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5" w:hRule="atLeast"/>
          <w:jc w:val="center"/>
        </w:trPr>
        <w:tc>
          <w:tcPr>
            <w:tcW w:w="9252" w:type="dxa"/>
            <w:noWrap w:val="0"/>
            <w:vAlign w:val="center"/>
          </w:tcPr>
          <w:p w14:paraId="3B0BD8FD">
            <w:pPr>
              <w:spacing w:line="360" w:lineRule="exact"/>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在最新年度广东省公路工程从业单位 （土建施工单位） 信用评价（含无最新年度而上一年度有信用评价） 中，信用等级未被评为 D 级；</w:t>
            </w:r>
          </w:p>
          <w:p w14:paraId="209624DB">
            <w:pPr>
              <w:spacing w:line="36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初次进入广东省的投标人，在最新年度的全国公路从业单位 （施工单位） 信用评价结果中未被评为 D 级。</w:t>
            </w:r>
          </w:p>
        </w:tc>
      </w:tr>
    </w:tbl>
    <w:p w14:paraId="61A9D09B">
      <w:pPr>
        <w:spacing w:before="37"/>
        <w:rPr>
          <w:color w:val="auto"/>
          <w:highlight w:val="none"/>
        </w:rPr>
      </w:pPr>
    </w:p>
    <w:p w14:paraId="0BC6F66A">
      <w:pPr>
        <w:spacing w:before="48" w:line="219" w:lineRule="auto"/>
        <w:ind w:left="1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注：信用等级的确定原则遵遁投标人须知前附表</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10.2</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款的</w:t>
      </w:r>
      <w:r>
        <w:rPr>
          <w:rFonts w:ascii="宋体" w:hAnsi="宋体" w:eastAsia="宋体" w:cs="宋体"/>
          <w:color w:val="auto"/>
          <w:spacing w:val="-3"/>
          <w:sz w:val="21"/>
          <w:szCs w:val="21"/>
          <w:highlight w:val="none"/>
        </w:rPr>
        <w:t>规定。</w:t>
      </w:r>
    </w:p>
    <w:p w14:paraId="7F570A7F">
      <w:pPr>
        <w:pStyle w:val="3"/>
        <w:spacing w:line="244" w:lineRule="auto"/>
        <w:rPr>
          <w:color w:val="auto"/>
          <w:highlight w:val="none"/>
        </w:rPr>
      </w:pPr>
    </w:p>
    <w:p w14:paraId="5D20619D">
      <w:pPr>
        <w:pStyle w:val="3"/>
        <w:spacing w:line="244" w:lineRule="auto"/>
        <w:rPr>
          <w:color w:val="auto"/>
          <w:highlight w:val="none"/>
        </w:rPr>
      </w:pPr>
    </w:p>
    <w:p w14:paraId="6AC8763C">
      <w:pPr>
        <w:pStyle w:val="3"/>
        <w:spacing w:line="244" w:lineRule="auto"/>
        <w:rPr>
          <w:color w:val="auto"/>
          <w:highlight w:val="none"/>
        </w:rPr>
      </w:pPr>
    </w:p>
    <w:p w14:paraId="543541C5">
      <w:pPr>
        <w:pStyle w:val="3"/>
        <w:spacing w:line="244" w:lineRule="auto"/>
        <w:rPr>
          <w:color w:val="auto"/>
          <w:highlight w:val="none"/>
        </w:rPr>
      </w:pPr>
    </w:p>
    <w:p w14:paraId="2355D34C">
      <w:pPr>
        <w:pStyle w:val="3"/>
        <w:spacing w:line="244" w:lineRule="auto"/>
        <w:rPr>
          <w:color w:val="auto"/>
          <w:highlight w:val="none"/>
        </w:rPr>
      </w:pPr>
    </w:p>
    <w:p w14:paraId="4F8A05E7">
      <w:pPr>
        <w:pStyle w:val="3"/>
        <w:spacing w:line="244" w:lineRule="auto"/>
        <w:rPr>
          <w:color w:val="auto"/>
          <w:highlight w:val="none"/>
        </w:rPr>
      </w:pPr>
    </w:p>
    <w:p w14:paraId="5E454947">
      <w:pPr>
        <w:pStyle w:val="3"/>
        <w:spacing w:line="244" w:lineRule="auto"/>
        <w:rPr>
          <w:color w:val="auto"/>
          <w:highlight w:val="none"/>
        </w:rPr>
      </w:pPr>
    </w:p>
    <w:p w14:paraId="2DBA6140">
      <w:pPr>
        <w:pStyle w:val="3"/>
        <w:spacing w:line="244" w:lineRule="auto"/>
        <w:rPr>
          <w:color w:val="auto"/>
          <w:highlight w:val="none"/>
        </w:rPr>
      </w:pPr>
    </w:p>
    <w:p w14:paraId="1EADC5EC">
      <w:pPr>
        <w:pStyle w:val="3"/>
        <w:spacing w:line="244" w:lineRule="auto"/>
        <w:rPr>
          <w:color w:val="auto"/>
          <w:highlight w:val="none"/>
        </w:rPr>
      </w:pPr>
    </w:p>
    <w:p w14:paraId="4B58ED26">
      <w:pPr>
        <w:pStyle w:val="3"/>
        <w:spacing w:line="244" w:lineRule="auto"/>
        <w:rPr>
          <w:color w:val="auto"/>
          <w:highlight w:val="none"/>
        </w:rPr>
      </w:pPr>
    </w:p>
    <w:p w14:paraId="01884196">
      <w:pPr>
        <w:pStyle w:val="3"/>
        <w:spacing w:line="244" w:lineRule="auto"/>
        <w:rPr>
          <w:color w:val="auto"/>
          <w:highlight w:val="none"/>
        </w:rPr>
      </w:pPr>
    </w:p>
    <w:p w14:paraId="45A9BD17">
      <w:pPr>
        <w:pStyle w:val="3"/>
        <w:spacing w:line="244" w:lineRule="auto"/>
        <w:rPr>
          <w:color w:val="auto"/>
          <w:highlight w:val="none"/>
        </w:rPr>
      </w:pPr>
    </w:p>
    <w:p w14:paraId="5A1DBFE4">
      <w:pPr>
        <w:pStyle w:val="3"/>
        <w:spacing w:line="244" w:lineRule="auto"/>
        <w:rPr>
          <w:color w:val="auto"/>
          <w:highlight w:val="none"/>
        </w:rPr>
      </w:pPr>
    </w:p>
    <w:p w14:paraId="3F075228">
      <w:pPr>
        <w:pStyle w:val="3"/>
        <w:spacing w:line="293" w:lineRule="auto"/>
        <w:rPr>
          <w:color w:val="auto"/>
          <w:highlight w:val="none"/>
        </w:rPr>
      </w:pPr>
    </w:p>
    <w:p w14:paraId="41E2FEFF">
      <w:pPr>
        <w:spacing w:before="88" w:line="241" w:lineRule="auto"/>
        <w:ind w:left="1453"/>
        <w:rPr>
          <w:rFonts w:ascii="宋体" w:hAnsi="宋体" w:eastAsia="宋体" w:cs="宋体"/>
          <w:color w:val="auto"/>
          <w:sz w:val="13"/>
          <w:szCs w:val="13"/>
          <w:highlight w:val="none"/>
        </w:rPr>
      </w:pPr>
      <w:r>
        <w:rPr>
          <w:rFonts w:ascii="宋体" w:hAnsi="宋体" w:eastAsia="宋体" w:cs="宋体"/>
          <w:b/>
          <w:bCs/>
          <w:color w:val="auto"/>
          <w:spacing w:val="2"/>
          <w:sz w:val="27"/>
          <w:szCs w:val="27"/>
          <w:highlight w:val="none"/>
        </w:rPr>
        <w:t>附录</w:t>
      </w:r>
      <w:r>
        <w:rPr>
          <w:rFonts w:ascii="宋体" w:hAnsi="宋体" w:eastAsia="宋体" w:cs="宋体"/>
          <w:color w:val="auto"/>
          <w:spacing w:val="-33"/>
          <w:sz w:val="27"/>
          <w:szCs w:val="27"/>
          <w:highlight w:val="none"/>
        </w:rPr>
        <w:t xml:space="preserve"> </w:t>
      </w:r>
      <w:r>
        <w:rPr>
          <w:rFonts w:ascii="宋体" w:hAnsi="宋体" w:eastAsia="宋体" w:cs="宋体"/>
          <w:b/>
          <w:bCs/>
          <w:color w:val="auto"/>
          <w:spacing w:val="2"/>
          <w:sz w:val="27"/>
          <w:szCs w:val="27"/>
          <w:highlight w:val="none"/>
        </w:rPr>
        <w:t>5</w:t>
      </w:r>
      <w:r>
        <w:rPr>
          <w:rFonts w:ascii="宋体" w:hAnsi="宋体" w:eastAsia="宋体" w:cs="宋体"/>
          <w:color w:val="auto"/>
          <w:spacing w:val="2"/>
          <w:sz w:val="27"/>
          <w:szCs w:val="27"/>
          <w:highlight w:val="none"/>
        </w:rPr>
        <w:t xml:space="preserve">  </w:t>
      </w:r>
      <w:r>
        <w:rPr>
          <w:rFonts w:ascii="宋体" w:hAnsi="宋体" w:eastAsia="宋体" w:cs="宋体"/>
          <w:b/>
          <w:bCs/>
          <w:color w:val="auto"/>
          <w:spacing w:val="2"/>
          <w:sz w:val="27"/>
          <w:szCs w:val="27"/>
          <w:highlight w:val="none"/>
        </w:rPr>
        <w:t>资格审查条件（项目经理和项目总工等主要管理人员最低要求）</w:t>
      </w:r>
      <w:r>
        <w:rPr>
          <w:rFonts w:ascii="宋体" w:hAnsi="宋体" w:eastAsia="宋体" w:cs="宋体"/>
          <w:color w:val="auto"/>
          <w:spacing w:val="2"/>
          <w:sz w:val="27"/>
          <w:szCs w:val="27"/>
          <w:highlight w:val="none"/>
        </w:rPr>
        <w:t xml:space="preserve"> </w:t>
      </w:r>
    </w:p>
    <w:p w14:paraId="0770D02E">
      <w:pPr>
        <w:pStyle w:val="3"/>
        <w:spacing w:line="311" w:lineRule="auto"/>
        <w:rPr>
          <w:color w:val="auto"/>
          <w:highlight w:val="none"/>
        </w:rPr>
      </w:pPr>
    </w:p>
    <w:p w14:paraId="574128EC">
      <w:pPr>
        <w:spacing w:line="69"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9"/>
        <w:gridCol w:w="1229"/>
        <w:gridCol w:w="4348"/>
        <w:gridCol w:w="2036"/>
      </w:tblGrid>
      <w:tr w14:paraId="3F0DF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79" w:type="dxa"/>
            <w:vAlign w:val="top"/>
          </w:tcPr>
          <w:p w14:paraId="5D364259">
            <w:pPr>
              <w:pStyle w:val="17"/>
              <w:spacing w:before="207" w:line="221" w:lineRule="auto"/>
              <w:ind w:left="607"/>
              <w:rPr>
                <w:color w:val="auto"/>
                <w:sz w:val="24"/>
                <w:szCs w:val="24"/>
                <w:highlight w:val="none"/>
              </w:rPr>
            </w:pPr>
            <w:r>
              <w:rPr>
                <w:b/>
                <w:bCs/>
                <w:color w:val="auto"/>
                <w:spacing w:val="-6"/>
                <w:sz w:val="24"/>
                <w:szCs w:val="24"/>
                <w:highlight w:val="none"/>
              </w:rPr>
              <w:t>人员</w:t>
            </w:r>
          </w:p>
        </w:tc>
        <w:tc>
          <w:tcPr>
            <w:tcW w:w="1229" w:type="dxa"/>
            <w:vAlign w:val="top"/>
          </w:tcPr>
          <w:p w14:paraId="5261F6A6">
            <w:pPr>
              <w:pStyle w:val="17"/>
              <w:spacing w:before="207" w:line="220" w:lineRule="auto"/>
              <w:ind w:left="381"/>
              <w:rPr>
                <w:color w:val="auto"/>
                <w:sz w:val="24"/>
                <w:szCs w:val="24"/>
                <w:highlight w:val="none"/>
              </w:rPr>
            </w:pPr>
            <w:r>
              <w:rPr>
                <w:b/>
                <w:bCs/>
                <w:color w:val="auto"/>
                <w:spacing w:val="-6"/>
                <w:sz w:val="24"/>
                <w:szCs w:val="24"/>
                <w:highlight w:val="none"/>
              </w:rPr>
              <w:t>数量</w:t>
            </w:r>
          </w:p>
        </w:tc>
        <w:tc>
          <w:tcPr>
            <w:tcW w:w="4348" w:type="dxa"/>
            <w:vAlign w:val="top"/>
          </w:tcPr>
          <w:p w14:paraId="2DEF72AD">
            <w:pPr>
              <w:pStyle w:val="17"/>
              <w:spacing w:before="207" w:line="220" w:lineRule="auto"/>
              <w:ind w:left="1710"/>
              <w:rPr>
                <w:color w:val="auto"/>
                <w:sz w:val="24"/>
                <w:szCs w:val="24"/>
                <w:highlight w:val="none"/>
              </w:rPr>
            </w:pPr>
            <w:r>
              <w:rPr>
                <w:b/>
                <w:bCs/>
                <w:color w:val="auto"/>
                <w:spacing w:val="-6"/>
                <w:sz w:val="24"/>
                <w:szCs w:val="24"/>
                <w:highlight w:val="none"/>
              </w:rPr>
              <w:t>资格要求</w:t>
            </w:r>
          </w:p>
        </w:tc>
        <w:tc>
          <w:tcPr>
            <w:tcW w:w="2036" w:type="dxa"/>
            <w:vAlign w:val="top"/>
          </w:tcPr>
          <w:p w14:paraId="51F479AE">
            <w:pPr>
              <w:pStyle w:val="17"/>
              <w:spacing w:before="207" w:line="220" w:lineRule="auto"/>
              <w:ind w:left="541"/>
              <w:rPr>
                <w:color w:val="auto"/>
                <w:sz w:val="24"/>
                <w:szCs w:val="24"/>
                <w:highlight w:val="none"/>
              </w:rPr>
            </w:pPr>
            <w:r>
              <w:rPr>
                <w:b/>
                <w:bCs/>
                <w:color w:val="auto"/>
                <w:spacing w:val="-4"/>
                <w:sz w:val="24"/>
                <w:szCs w:val="24"/>
                <w:highlight w:val="none"/>
              </w:rPr>
              <w:t>在岗要求</w:t>
            </w:r>
          </w:p>
        </w:tc>
      </w:tr>
      <w:tr w14:paraId="3F51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1679" w:type="dxa"/>
            <w:vAlign w:val="top"/>
          </w:tcPr>
          <w:p w14:paraId="4ED59371">
            <w:pPr>
              <w:spacing w:line="242" w:lineRule="auto"/>
              <w:rPr>
                <w:rFonts w:ascii="Arial"/>
                <w:color w:val="auto"/>
                <w:sz w:val="21"/>
                <w:highlight w:val="none"/>
              </w:rPr>
            </w:pPr>
          </w:p>
          <w:p w14:paraId="2326B891">
            <w:pPr>
              <w:pStyle w:val="17"/>
              <w:spacing w:before="78" w:line="220" w:lineRule="auto"/>
              <w:ind w:left="369"/>
              <w:rPr>
                <w:color w:val="auto"/>
                <w:sz w:val="24"/>
                <w:szCs w:val="24"/>
                <w:highlight w:val="none"/>
              </w:rPr>
            </w:pPr>
            <w:r>
              <w:rPr>
                <w:color w:val="auto"/>
                <w:spacing w:val="-3"/>
                <w:sz w:val="24"/>
                <w:szCs w:val="24"/>
                <w:highlight w:val="none"/>
              </w:rPr>
              <w:t>项目经理</w:t>
            </w:r>
          </w:p>
        </w:tc>
        <w:tc>
          <w:tcPr>
            <w:tcW w:w="1229" w:type="dxa"/>
            <w:vAlign w:val="top"/>
          </w:tcPr>
          <w:p w14:paraId="42F3D8AD">
            <w:pPr>
              <w:spacing w:line="242" w:lineRule="auto"/>
              <w:rPr>
                <w:rFonts w:ascii="Arial"/>
                <w:color w:val="auto"/>
                <w:sz w:val="21"/>
                <w:highlight w:val="none"/>
              </w:rPr>
            </w:pPr>
          </w:p>
          <w:p w14:paraId="69C5B084">
            <w:pPr>
              <w:pStyle w:val="17"/>
              <w:spacing w:before="78" w:line="241" w:lineRule="auto"/>
              <w:ind w:left="577"/>
              <w:rPr>
                <w:color w:val="auto"/>
                <w:sz w:val="24"/>
                <w:szCs w:val="24"/>
                <w:highlight w:val="none"/>
              </w:rPr>
            </w:pPr>
            <w:r>
              <w:rPr>
                <w:color w:val="auto"/>
                <w:sz w:val="24"/>
                <w:szCs w:val="24"/>
                <w:highlight w:val="none"/>
              </w:rPr>
              <w:t>1</w:t>
            </w:r>
          </w:p>
        </w:tc>
        <w:tc>
          <w:tcPr>
            <w:tcW w:w="4348" w:type="dxa"/>
            <w:vMerge w:val="restart"/>
            <w:tcBorders>
              <w:bottom w:val="nil"/>
            </w:tcBorders>
            <w:vAlign w:val="top"/>
          </w:tcPr>
          <w:p w14:paraId="445B60B1">
            <w:pPr>
              <w:pStyle w:val="17"/>
              <w:spacing w:before="166" w:line="310" w:lineRule="auto"/>
              <w:ind w:left="113" w:right="18" w:firstLine="2"/>
              <w:jc w:val="both"/>
              <w:rPr>
                <w:color w:val="auto"/>
                <w:sz w:val="24"/>
                <w:szCs w:val="24"/>
                <w:highlight w:val="none"/>
              </w:rPr>
            </w:pPr>
            <w:r>
              <w:rPr>
                <w:color w:val="auto"/>
                <w:spacing w:val="1"/>
                <w:sz w:val="24"/>
                <w:szCs w:val="24"/>
                <w:highlight w:val="none"/>
              </w:rPr>
              <w:t>路桥相关专业</w:t>
            </w:r>
            <w:r>
              <w:rPr>
                <w:rFonts w:hint="eastAsia"/>
                <w:color w:val="auto"/>
                <w:spacing w:val="1"/>
                <w:sz w:val="24"/>
                <w:szCs w:val="24"/>
                <w:highlight w:val="none"/>
              </w:rPr>
              <w:t>工程师或以上职称</w:t>
            </w:r>
            <w:r>
              <w:rPr>
                <w:color w:val="auto"/>
                <w:spacing w:val="1"/>
                <w:sz w:val="24"/>
                <w:szCs w:val="24"/>
                <w:highlight w:val="none"/>
              </w:rPr>
              <w:t>，</w:t>
            </w:r>
            <w:r>
              <w:rPr>
                <w:color w:val="auto"/>
                <w:spacing w:val="-5"/>
                <w:sz w:val="24"/>
                <w:szCs w:val="24"/>
                <w:highlight w:val="none"/>
              </w:rPr>
              <w:t>并持有住房和城乡建设</w:t>
            </w:r>
            <w:r>
              <w:rPr>
                <w:color w:val="auto"/>
                <w:spacing w:val="7"/>
                <w:sz w:val="24"/>
                <w:szCs w:val="24"/>
                <w:highlight w:val="none"/>
              </w:rPr>
              <w:t>主管部门颁发的公路工程专业</w:t>
            </w:r>
            <w:r>
              <w:rPr>
                <w:rFonts w:hint="eastAsia"/>
                <w:color w:val="auto"/>
                <w:spacing w:val="7"/>
                <w:sz w:val="24"/>
                <w:szCs w:val="24"/>
                <w:highlight w:val="none"/>
                <w:u w:val="single" w:color="auto"/>
              </w:rPr>
              <w:t>壹级</w:t>
            </w:r>
            <w:r>
              <w:rPr>
                <w:color w:val="auto"/>
                <w:spacing w:val="-109"/>
                <w:sz w:val="24"/>
                <w:szCs w:val="24"/>
                <w:highlight w:val="none"/>
                <w:u w:val="single" w:color="auto"/>
              </w:rPr>
              <w:t xml:space="preserve"> </w:t>
            </w:r>
            <w:r>
              <w:rPr>
                <w:color w:val="auto"/>
                <w:spacing w:val="-108"/>
                <w:sz w:val="24"/>
                <w:szCs w:val="24"/>
                <w:highlight w:val="none"/>
              </w:rPr>
              <w:t xml:space="preserve"> </w:t>
            </w:r>
            <w:r>
              <w:rPr>
                <w:color w:val="auto"/>
                <w:spacing w:val="7"/>
                <w:sz w:val="24"/>
                <w:szCs w:val="24"/>
                <w:highlight w:val="none"/>
              </w:rPr>
              <w:t>建</w:t>
            </w:r>
            <w:r>
              <w:rPr>
                <w:color w:val="auto"/>
                <w:spacing w:val="2"/>
                <w:sz w:val="24"/>
                <w:szCs w:val="24"/>
                <w:highlight w:val="none"/>
              </w:rPr>
              <w:t>造师注册证书，具有交通主管部门颁发</w:t>
            </w:r>
            <w:r>
              <w:rPr>
                <w:color w:val="auto"/>
                <w:spacing w:val="-4"/>
                <w:sz w:val="24"/>
                <w:szCs w:val="24"/>
                <w:highlight w:val="none"/>
              </w:rPr>
              <w:t>的有效安全生产“三类人员”B</w:t>
            </w:r>
            <w:r>
              <w:rPr>
                <w:color w:val="auto"/>
                <w:spacing w:val="-39"/>
                <w:sz w:val="24"/>
                <w:szCs w:val="24"/>
                <w:highlight w:val="none"/>
              </w:rPr>
              <w:t xml:space="preserve"> </w:t>
            </w:r>
            <w:r>
              <w:rPr>
                <w:color w:val="auto"/>
                <w:spacing w:val="-4"/>
                <w:sz w:val="24"/>
                <w:szCs w:val="24"/>
                <w:highlight w:val="none"/>
              </w:rPr>
              <w:t>类证书。</w:t>
            </w:r>
          </w:p>
        </w:tc>
        <w:tc>
          <w:tcPr>
            <w:tcW w:w="2036" w:type="dxa"/>
            <w:vMerge w:val="restart"/>
            <w:tcBorders>
              <w:bottom w:val="nil"/>
            </w:tcBorders>
            <w:vAlign w:val="top"/>
          </w:tcPr>
          <w:p w14:paraId="35DDA755">
            <w:pPr>
              <w:spacing w:line="276" w:lineRule="auto"/>
              <w:rPr>
                <w:rFonts w:ascii="Arial"/>
                <w:color w:val="auto"/>
                <w:sz w:val="21"/>
                <w:highlight w:val="none"/>
              </w:rPr>
            </w:pPr>
          </w:p>
          <w:p w14:paraId="24394FE7">
            <w:pPr>
              <w:spacing w:line="276" w:lineRule="auto"/>
              <w:rPr>
                <w:rFonts w:ascii="Arial"/>
                <w:color w:val="auto"/>
                <w:sz w:val="21"/>
                <w:highlight w:val="none"/>
              </w:rPr>
            </w:pPr>
          </w:p>
          <w:p w14:paraId="7D644265">
            <w:pPr>
              <w:pStyle w:val="17"/>
              <w:spacing w:before="78" w:line="324" w:lineRule="auto"/>
              <w:ind w:left="115" w:right="19" w:firstLine="2"/>
              <w:jc w:val="both"/>
              <w:rPr>
                <w:color w:val="auto"/>
                <w:sz w:val="24"/>
                <w:szCs w:val="24"/>
                <w:highlight w:val="none"/>
              </w:rPr>
            </w:pPr>
            <w:r>
              <w:rPr>
                <w:color w:val="auto"/>
                <w:spacing w:val="-21"/>
                <w:sz w:val="24"/>
                <w:szCs w:val="24"/>
                <w:highlight w:val="none"/>
              </w:rPr>
              <w:t>无在岗项目（指目</w:t>
            </w:r>
            <w:r>
              <w:rPr>
                <w:color w:val="auto"/>
                <w:spacing w:val="18"/>
                <w:sz w:val="24"/>
                <w:szCs w:val="24"/>
                <w:highlight w:val="none"/>
              </w:rPr>
              <w:t>前未在其他项目</w:t>
            </w:r>
            <w:r>
              <w:rPr>
                <w:color w:val="auto"/>
                <w:spacing w:val="-14"/>
                <w:sz w:val="24"/>
                <w:szCs w:val="24"/>
                <w:highlight w:val="none"/>
              </w:rPr>
              <w:t>上任职，或虽在其</w:t>
            </w:r>
            <w:r>
              <w:rPr>
                <w:color w:val="auto"/>
                <w:spacing w:val="18"/>
                <w:sz w:val="24"/>
                <w:szCs w:val="24"/>
                <w:highlight w:val="none"/>
              </w:rPr>
              <w:t>他项目上任职但本项目中标后能</w:t>
            </w:r>
            <w:r>
              <w:rPr>
                <w:color w:val="auto"/>
                <w:spacing w:val="-4"/>
                <w:sz w:val="24"/>
                <w:szCs w:val="24"/>
                <w:highlight w:val="none"/>
              </w:rPr>
              <w:t>够从该项目撤离）</w:t>
            </w:r>
          </w:p>
        </w:tc>
      </w:tr>
      <w:tr w14:paraId="7B3F0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679" w:type="dxa"/>
            <w:vAlign w:val="top"/>
          </w:tcPr>
          <w:p w14:paraId="345ACED7">
            <w:pPr>
              <w:spacing w:line="276" w:lineRule="auto"/>
              <w:rPr>
                <w:rFonts w:ascii="Arial"/>
                <w:color w:val="auto"/>
                <w:sz w:val="21"/>
                <w:highlight w:val="none"/>
              </w:rPr>
            </w:pPr>
          </w:p>
          <w:p w14:paraId="15A1FD68">
            <w:pPr>
              <w:pStyle w:val="17"/>
              <w:spacing w:before="78" w:line="327" w:lineRule="auto"/>
              <w:ind w:left="727" w:right="117" w:hanging="598"/>
              <w:rPr>
                <w:color w:val="auto"/>
                <w:sz w:val="24"/>
                <w:szCs w:val="24"/>
                <w:highlight w:val="none"/>
              </w:rPr>
            </w:pPr>
            <w:r>
              <w:rPr>
                <w:color w:val="auto"/>
                <w:spacing w:val="-3"/>
                <w:sz w:val="24"/>
                <w:szCs w:val="24"/>
                <w:highlight w:val="none"/>
              </w:rPr>
              <w:t>项目经理备选</w:t>
            </w:r>
            <w:r>
              <w:rPr>
                <w:color w:val="auto"/>
                <w:sz w:val="24"/>
                <w:szCs w:val="24"/>
                <w:highlight w:val="none"/>
              </w:rPr>
              <w:t>人</w:t>
            </w:r>
          </w:p>
        </w:tc>
        <w:tc>
          <w:tcPr>
            <w:tcW w:w="1229" w:type="dxa"/>
            <w:vAlign w:val="top"/>
          </w:tcPr>
          <w:p w14:paraId="5E92AC37">
            <w:pPr>
              <w:spacing w:line="243" w:lineRule="auto"/>
              <w:rPr>
                <w:rFonts w:ascii="Arial"/>
                <w:color w:val="auto"/>
                <w:sz w:val="21"/>
                <w:highlight w:val="none"/>
              </w:rPr>
            </w:pPr>
          </w:p>
          <w:p w14:paraId="6E8CFF7F">
            <w:pPr>
              <w:spacing w:line="243" w:lineRule="auto"/>
              <w:rPr>
                <w:rFonts w:ascii="Arial"/>
                <w:color w:val="auto"/>
                <w:sz w:val="21"/>
                <w:highlight w:val="none"/>
              </w:rPr>
            </w:pPr>
          </w:p>
          <w:p w14:paraId="2D03B5EB">
            <w:pPr>
              <w:pStyle w:val="17"/>
              <w:spacing w:before="78" w:line="241" w:lineRule="auto"/>
              <w:ind w:left="577"/>
              <w:rPr>
                <w:color w:val="auto"/>
                <w:sz w:val="24"/>
                <w:szCs w:val="24"/>
                <w:highlight w:val="none"/>
              </w:rPr>
            </w:pPr>
            <w:r>
              <w:rPr>
                <w:color w:val="auto"/>
                <w:sz w:val="24"/>
                <w:szCs w:val="24"/>
                <w:highlight w:val="none"/>
              </w:rPr>
              <w:t>1</w:t>
            </w:r>
          </w:p>
        </w:tc>
        <w:tc>
          <w:tcPr>
            <w:tcW w:w="4348" w:type="dxa"/>
            <w:vMerge w:val="continue"/>
            <w:tcBorders>
              <w:top w:val="nil"/>
            </w:tcBorders>
            <w:vAlign w:val="top"/>
          </w:tcPr>
          <w:p w14:paraId="2433AF5E">
            <w:pPr>
              <w:rPr>
                <w:rFonts w:ascii="Arial"/>
                <w:color w:val="auto"/>
                <w:sz w:val="21"/>
                <w:highlight w:val="none"/>
              </w:rPr>
            </w:pPr>
          </w:p>
        </w:tc>
        <w:tc>
          <w:tcPr>
            <w:tcW w:w="2036" w:type="dxa"/>
            <w:vMerge w:val="continue"/>
            <w:tcBorders>
              <w:top w:val="nil"/>
              <w:bottom w:val="nil"/>
            </w:tcBorders>
            <w:vAlign w:val="top"/>
          </w:tcPr>
          <w:p w14:paraId="1661C1EA">
            <w:pPr>
              <w:rPr>
                <w:rFonts w:ascii="Arial"/>
                <w:color w:val="auto"/>
                <w:sz w:val="21"/>
                <w:highlight w:val="none"/>
              </w:rPr>
            </w:pPr>
          </w:p>
        </w:tc>
      </w:tr>
      <w:tr w14:paraId="3506A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1679" w:type="dxa"/>
            <w:vAlign w:val="top"/>
          </w:tcPr>
          <w:p w14:paraId="04B28146">
            <w:pPr>
              <w:spacing w:line="242" w:lineRule="auto"/>
              <w:rPr>
                <w:rFonts w:ascii="Arial"/>
                <w:color w:val="auto"/>
                <w:sz w:val="21"/>
                <w:highlight w:val="none"/>
              </w:rPr>
            </w:pPr>
          </w:p>
          <w:p w14:paraId="121924ED">
            <w:pPr>
              <w:pStyle w:val="17"/>
              <w:spacing w:before="78" w:line="220" w:lineRule="auto"/>
              <w:ind w:left="369"/>
              <w:rPr>
                <w:color w:val="auto"/>
                <w:sz w:val="24"/>
                <w:szCs w:val="24"/>
                <w:highlight w:val="none"/>
              </w:rPr>
            </w:pPr>
            <w:r>
              <w:rPr>
                <w:color w:val="auto"/>
                <w:spacing w:val="-3"/>
                <w:sz w:val="24"/>
                <w:szCs w:val="24"/>
                <w:highlight w:val="none"/>
              </w:rPr>
              <w:t>项目总工</w:t>
            </w:r>
          </w:p>
        </w:tc>
        <w:tc>
          <w:tcPr>
            <w:tcW w:w="1229" w:type="dxa"/>
            <w:vAlign w:val="top"/>
          </w:tcPr>
          <w:p w14:paraId="1807407C">
            <w:pPr>
              <w:spacing w:line="242" w:lineRule="auto"/>
              <w:rPr>
                <w:rFonts w:ascii="Arial"/>
                <w:color w:val="auto"/>
                <w:sz w:val="21"/>
                <w:highlight w:val="none"/>
              </w:rPr>
            </w:pPr>
          </w:p>
          <w:p w14:paraId="15483DB2">
            <w:pPr>
              <w:pStyle w:val="17"/>
              <w:spacing w:before="78" w:line="241" w:lineRule="auto"/>
              <w:ind w:left="577"/>
              <w:rPr>
                <w:color w:val="auto"/>
                <w:sz w:val="24"/>
                <w:szCs w:val="24"/>
                <w:highlight w:val="none"/>
              </w:rPr>
            </w:pPr>
            <w:r>
              <w:rPr>
                <w:color w:val="auto"/>
                <w:sz w:val="24"/>
                <w:szCs w:val="24"/>
                <w:highlight w:val="none"/>
              </w:rPr>
              <w:t>1</w:t>
            </w:r>
          </w:p>
        </w:tc>
        <w:tc>
          <w:tcPr>
            <w:tcW w:w="4348" w:type="dxa"/>
            <w:vMerge w:val="restart"/>
            <w:tcBorders>
              <w:bottom w:val="nil"/>
            </w:tcBorders>
            <w:vAlign w:val="center"/>
          </w:tcPr>
          <w:p w14:paraId="79E08B83">
            <w:pPr>
              <w:pStyle w:val="17"/>
              <w:spacing w:before="78" w:line="325" w:lineRule="auto"/>
              <w:ind w:left="113" w:right="100" w:firstLine="2"/>
              <w:jc w:val="both"/>
              <w:rPr>
                <w:color w:val="auto"/>
                <w:sz w:val="24"/>
                <w:szCs w:val="24"/>
                <w:highlight w:val="none"/>
              </w:rPr>
            </w:pPr>
            <w:r>
              <w:rPr>
                <w:rFonts w:hint="eastAsia"/>
                <w:color w:val="auto"/>
                <w:spacing w:val="2"/>
                <w:sz w:val="24"/>
                <w:szCs w:val="24"/>
                <w:highlight w:val="none"/>
              </w:rPr>
              <w:t>路桥相关专业高级工程师或以上职称</w:t>
            </w:r>
            <w:r>
              <w:rPr>
                <w:color w:val="auto"/>
                <w:spacing w:val="2"/>
                <w:sz w:val="24"/>
                <w:szCs w:val="24"/>
                <w:highlight w:val="none"/>
              </w:rPr>
              <w:t>，</w:t>
            </w:r>
            <w:r>
              <w:rPr>
                <w:rFonts w:hint="eastAsia"/>
                <w:color w:val="auto"/>
                <w:spacing w:val="2"/>
                <w:sz w:val="24"/>
                <w:szCs w:val="24"/>
                <w:highlight w:val="none"/>
              </w:rPr>
              <w:t>具有交通主管部门颁发的有效安全生产“三类人员”B类证书</w:t>
            </w:r>
            <w:r>
              <w:rPr>
                <w:color w:val="auto"/>
                <w:spacing w:val="-3"/>
                <w:sz w:val="24"/>
                <w:szCs w:val="24"/>
                <w:highlight w:val="none"/>
              </w:rPr>
              <w:t>。</w:t>
            </w:r>
          </w:p>
        </w:tc>
        <w:tc>
          <w:tcPr>
            <w:tcW w:w="2036" w:type="dxa"/>
            <w:vMerge w:val="continue"/>
            <w:tcBorders>
              <w:top w:val="nil"/>
              <w:bottom w:val="nil"/>
            </w:tcBorders>
            <w:vAlign w:val="top"/>
          </w:tcPr>
          <w:p w14:paraId="373061F4">
            <w:pPr>
              <w:rPr>
                <w:rFonts w:ascii="Arial"/>
                <w:color w:val="auto"/>
                <w:sz w:val="21"/>
                <w:highlight w:val="none"/>
              </w:rPr>
            </w:pPr>
          </w:p>
        </w:tc>
      </w:tr>
      <w:tr w14:paraId="2DB3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679" w:type="dxa"/>
            <w:vAlign w:val="top"/>
          </w:tcPr>
          <w:p w14:paraId="4A2D5ADD">
            <w:pPr>
              <w:pStyle w:val="17"/>
              <w:spacing w:before="78" w:line="327" w:lineRule="auto"/>
              <w:ind w:left="727" w:right="117" w:hanging="598"/>
              <w:rPr>
                <w:color w:val="auto"/>
                <w:sz w:val="24"/>
                <w:szCs w:val="24"/>
                <w:highlight w:val="none"/>
              </w:rPr>
            </w:pPr>
            <w:r>
              <w:rPr>
                <w:color w:val="auto"/>
                <w:spacing w:val="-3"/>
                <w:sz w:val="24"/>
                <w:szCs w:val="24"/>
                <w:highlight w:val="none"/>
              </w:rPr>
              <w:t>项目总工备选</w:t>
            </w:r>
            <w:r>
              <w:rPr>
                <w:color w:val="auto"/>
                <w:sz w:val="24"/>
                <w:szCs w:val="24"/>
                <w:highlight w:val="none"/>
              </w:rPr>
              <w:t>人</w:t>
            </w:r>
          </w:p>
        </w:tc>
        <w:tc>
          <w:tcPr>
            <w:tcW w:w="1229" w:type="dxa"/>
            <w:vAlign w:val="top"/>
          </w:tcPr>
          <w:p w14:paraId="02ED3EC4">
            <w:pPr>
              <w:spacing w:line="243" w:lineRule="auto"/>
              <w:rPr>
                <w:rFonts w:ascii="Arial"/>
                <w:color w:val="auto"/>
                <w:sz w:val="21"/>
                <w:highlight w:val="none"/>
              </w:rPr>
            </w:pPr>
          </w:p>
          <w:p w14:paraId="4FEC656C">
            <w:pPr>
              <w:pStyle w:val="17"/>
              <w:spacing w:before="78" w:line="241" w:lineRule="auto"/>
              <w:ind w:left="577"/>
              <w:rPr>
                <w:color w:val="auto"/>
                <w:sz w:val="24"/>
                <w:szCs w:val="24"/>
                <w:highlight w:val="none"/>
              </w:rPr>
            </w:pPr>
            <w:r>
              <w:rPr>
                <w:color w:val="auto"/>
                <w:sz w:val="24"/>
                <w:szCs w:val="24"/>
                <w:highlight w:val="none"/>
              </w:rPr>
              <w:t>1</w:t>
            </w:r>
          </w:p>
        </w:tc>
        <w:tc>
          <w:tcPr>
            <w:tcW w:w="4348" w:type="dxa"/>
            <w:vMerge w:val="continue"/>
            <w:tcBorders>
              <w:top w:val="nil"/>
            </w:tcBorders>
            <w:vAlign w:val="top"/>
          </w:tcPr>
          <w:p w14:paraId="727D13B3">
            <w:pPr>
              <w:rPr>
                <w:rFonts w:ascii="Arial"/>
                <w:color w:val="auto"/>
                <w:sz w:val="21"/>
                <w:highlight w:val="none"/>
              </w:rPr>
            </w:pPr>
          </w:p>
        </w:tc>
        <w:tc>
          <w:tcPr>
            <w:tcW w:w="2036" w:type="dxa"/>
            <w:vMerge w:val="continue"/>
            <w:tcBorders>
              <w:top w:val="nil"/>
            </w:tcBorders>
            <w:vAlign w:val="top"/>
          </w:tcPr>
          <w:p w14:paraId="47ECE176">
            <w:pPr>
              <w:rPr>
                <w:rFonts w:ascii="Arial"/>
                <w:color w:val="auto"/>
                <w:sz w:val="21"/>
                <w:highlight w:val="none"/>
              </w:rPr>
            </w:pPr>
          </w:p>
        </w:tc>
      </w:tr>
    </w:tbl>
    <w:p w14:paraId="0889A43F">
      <w:pPr>
        <w:spacing w:before="49"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4151CA61">
      <w:pPr>
        <w:spacing w:before="65" w:line="247" w:lineRule="auto"/>
        <w:ind w:left="1423" w:right="1412" w:firstLine="3"/>
        <w:rPr>
          <w:rFonts w:ascii="宋体" w:hAnsi="宋体" w:eastAsia="宋体" w:cs="宋体"/>
          <w:color w:val="auto"/>
          <w:spacing w:val="-7"/>
          <w:sz w:val="21"/>
          <w:szCs w:val="21"/>
          <w:highlight w:val="none"/>
        </w:rPr>
      </w:pPr>
      <w:r>
        <w:rPr>
          <w:rFonts w:ascii="宋体" w:hAnsi="宋体" w:eastAsia="宋体" w:cs="宋体"/>
          <w:color w:val="auto"/>
          <w:spacing w:val="-2"/>
          <w:sz w:val="21"/>
          <w:szCs w:val="21"/>
          <w:highlight w:val="none"/>
        </w:rPr>
        <w:t>1、</w:t>
      </w:r>
      <w:r>
        <w:rPr>
          <w:rFonts w:ascii="宋体" w:hAnsi="宋体" w:eastAsia="宋体" w:cs="宋体"/>
          <w:color w:val="auto"/>
          <w:spacing w:val="-1"/>
          <w:sz w:val="21"/>
          <w:szCs w:val="21"/>
          <w:highlight w:val="none"/>
        </w:rPr>
        <w:t>资格要求的人员建造师注册证书、安全生产“三类人员”B</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类证书均应在投标人所在单位，否则</w:t>
      </w:r>
      <w:r>
        <w:rPr>
          <w:rFonts w:ascii="宋体" w:hAnsi="宋体" w:eastAsia="宋体" w:cs="宋体"/>
          <w:color w:val="auto"/>
          <w:spacing w:val="-7"/>
          <w:sz w:val="21"/>
          <w:szCs w:val="21"/>
          <w:highlight w:val="none"/>
        </w:rPr>
        <w:t>视为无效。</w:t>
      </w:r>
    </w:p>
    <w:p w14:paraId="7A2087A2">
      <w:pPr>
        <w:spacing w:before="65" w:line="247" w:lineRule="auto"/>
        <w:ind w:left="1423" w:right="1412" w:firstLine="3"/>
        <w:rPr>
          <w:rFonts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lang w:val="en-US" w:eastAsia="zh-CN"/>
        </w:rPr>
        <w:t>2</w:t>
      </w:r>
      <w:r>
        <w:rPr>
          <w:rFonts w:ascii="宋体" w:hAnsi="宋体" w:eastAsia="宋体" w:cs="宋体"/>
          <w:color w:val="auto"/>
          <w:spacing w:val="-7"/>
          <w:sz w:val="21"/>
          <w:szCs w:val="21"/>
          <w:highlight w:val="none"/>
        </w:rPr>
        <w:t>、</w:t>
      </w:r>
      <w:r>
        <w:rPr>
          <w:rFonts w:hint="eastAsia" w:ascii="宋体" w:hAnsi="宋体" w:eastAsia="宋体" w:cs="宋体"/>
          <w:color w:val="auto"/>
          <w:spacing w:val="-7"/>
          <w:sz w:val="21"/>
          <w:szCs w:val="21"/>
          <w:highlight w:val="none"/>
        </w:rPr>
        <w:t>路桥相关专业是指与公路工程相关的专业，包括交通工程、公路工程、路桥工程、市政路桥工程、公路与桥梁工程、道路工程、桥梁工程、道桥工程、交通土建工程、隧道工程等专业</w:t>
      </w:r>
      <w:r>
        <w:rPr>
          <w:rFonts w:ascii="宋体" w:hAnsi="宋体" w:eastAsia="宋体" w:cs="宋体"/>
          <w:color w:val="auto"/>
          <w:spacing w:val="-4"/>
          <w:sz w:val="21"/>
          <w:szCs w:val="21"/>
          <w:highlight w:val="none"/>
        </w:rPr>
        <w:t>。</w:t>
      </w:r>
    </w:p>
    <w:p w14:paraId="39609B31">
      <w:pPr>
        <w:spacing w:before="62" w:line="219" w:lineRule="auto"/>
        <w:ind w:left="1423"/>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val="en-US" w:eastAsia="zh-CN"/>
        </w:rPr>
        <w:t>3</w:t>
      </w:r>
      <w:r>
        <w:rPr>
          <w:rFonts w:ascii="宋体" w:hAnsi="宋体" w:eastAsia="宋体" w:cs="宋体"/>
          <w:color w:val="auto"/>
          <w:spacing w:val="-1"/>
          <w:sz w:val="21"/>
          <w:szCs w:val="21"/>
          <w:highlight w:val="none"/>
        </w:rPr>
        <w:t>、投标人应根据招标文件第二章“投标人须</w:t>
      </w:r>
      <w:r>
        <w:rPr>
          <w:rFonts w:ascii="宋体" w:hAnsi="宋体" w:eastAsia="宋体" w:cs="宋体"/>
          <w:color w:val="auto"/>
          <w:spacing w:val="-2"/>
          <w:sz w:val="21"/>
          <w:szCs w:val="21"/>
          <w:highlight w:val="none"/>
        </w:rPr>
        <w:t>知”第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3.5.5</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项的要求附相关证明材料。</w:t>
      </w:r>
    </w:p>
    <w:p w14:paraId="7420FBB5">
      <w:pPr>
        <w:pStyle w:val="3"/>
        <w:spacing w:line="242" w:lineRule="auto"/>
        <w:rPr>
          <w:color w:val="auto"/>
          <w:highlight w:val="none"/>
        </w:rPr>
      </w:pPr>
    </w:p>
    <w:p w14:paraId="734E3D56">
      <w:pPr>
        <w:pStyle w:val="3"/>
        <w:spacing w:line="242" w:lineRule="auto"/>
        <w:rPr>
          <w:color w:val="auto"/>
          <w:highlight w:val="none"/>
        </w:rPr>
      </w:pPr>
    </w:p>
    <w:p w14:paraId="443DE5EF">
      <w:pPr>
        <w:pStyle w:val="3"/>
        <w:spacing w:line="242" w:lineRule="auto"/>
        <w:rPr>
          <w:color w:val="auto"/>
          <w:highlight w:val="none"/>
        </w:rPr>
      </w:pPr>
    </w:p>
    <w:p w14:paraId="7C9E3A51">
      <w:pPr>
        <w:pStyle w:val="3"/>
        <w:spacing w:line="242" w:lineRule="auto"/>
        <w:rPr>
          <w:color w:val="auto"/>
          <w:highlight w:val="none"/>
        </w:rPr>
      </w:pPr>
    </w:p>
    <w:p w14:paraId="29955345">
      <w:pPr>
        <w:pStyle w:val="3"/>
        <w:spacing w:line="242" w:lineRule="auto"/>
        <w:rPr>
          <w:color w:val="auto"/>
          <w:highlight w:val="none"/>
        </w:rPr>
      </w:pPr>
    </w:p>
    <w:p w14:paraId="5C50D650">
      <w:pPr>
        <w:pStyle w:val="3"/>
        <w:spacing w:line="242" w:lineRule="auto"/>
        <w:rPr>
          <w:color w:val="auto"/>
          <w:highlight w:val="none"/>
        </w:rPr>
      </w:pPr>
    </w:p>
    <w:p w14:paraId="631D8284">
      <w:pPr>
        <w:pStyle w:val="3"/>
        <w:spacing w:line="242" w:lineRule="auto"/>
        <w:rPr>
          <w:color w:val="auto"/>
          <w:highlight w:val="none"/>
        </w:rPr>
      </w:pPr>
    </w:p>
    <w:p w14:paraId="2C957053">
      <w:pPr>
        <w:pStyle w:val="3"/>
        <w:spacing w:line="242" w:lineRule="auto"/>
        <w:rPr>
          <w:color w:val="auto"/>
          <w:highlight w:val="none"/>
        </w:rPr>
      </w:pPr>
    </w:p>
    <w:p w14:paraId="1E71D372">
      <w:pPr>
        <w:pStyle w:val="3"/>
        <w:spacing w:line="242" w:lineRule="auto"/>
        <w:rPr>
          <w:color w:val="auto"/>
          <w:highlight w:val="none"/>
        </w:rPr>
      </w:pPr>
    </w:p>
    <w:p w14:paraId="7C15822C">
      <w:pPr>
        <w:pStyle w:val="3"/>
        <w:spacing w:line="242" w:lineRule="auto"/>
        <w:rPr>
          <w:color w:val="auto"/>
          <w:highlight w:val="none"/>
        </w:rPr>
      </w:pPr>
    </w:p>
    <w:p w14:paraId="68A0887D">
      <w:pPr>
        <w:pStyle w:val="3"/>
        <w:spacing w:line="242" w:lineRule="auto"/>
        <w:rPr>
          <w:color w:val="auto"/>
          <w:highlight w:val="none"/>
        </w:rPr>
      </w:pPr>
    </w:p>
    <w:p w14:paraId="79D059F3">
      <w:pPr>
        <w:rPr>
          <w:rFonts w:ascii="宋体" w:hAnsi="宋体" w:eastAsia="宋体" w:cs="宋体"/>
          <w:b/>
          <w:bCs/>
          <w:color w:val="auto"/>
          <w:spacing w:val="-11"/>
          <w:sz w:val="24"/>
          <w:szCs w:val="24"/>
          <w:highlight w:val="none"/>
        </w:rPr>
      </w:pPr>
      <w:r>
        <w:rPr>
          <w:rFonts w:ascii="宋体" w:hAnsi="宋体" w:eastAsia="宋体" w:cs="宋体"/>
          <w:b/>
          <w:bCs/>
          <w:color w:val="auto"/>
          <w:spacing w:val="-11"/>
          <w:sz w:val="24"/>
          <w:szCs w:val="24"/>
          <w:highlight w:val="none"/>
        </w:rPr>
        <w:br w:type="page"/>
      </w:r>
    </w:p>
    <w:p w14:paraId="26A0A8A8">
      <w:pPr>
        <w:spacing w:before="78" w:line="220" w:lineRule="auto"/>
        <w:ind w:left="1443"/>
        <w:rPr>
          <w:rFonts w:ascii="宋体" w:hAnsi="宋体" w:eastAsia="宋体" w:cs="宋体"/>
          <w:color w:val="auto"/>
          <w:sz w:val="24"/>
          <w:szCs w:val="24"/>
          <w:highlight w:val="none"/>
        </w:rPr>
      </w:pPr>
      <w:r>
        <w:rPr>
          <w:rFonts w:ascii="宋体" w:hAnsi="宋体" w:eastAsia="宋体" w:cs="宋体"/>
          <w:b/>
          <w:bCs/>
          <w:color w:val="auto"/>
          <w:spacing w:val="-11"/>
          <w:sz w:val="24"/>
          <w:szCs w:val="24"/>
          <w:highlight w:val="none"/>
        </w:rPr>
        <w:t>1.</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11"/>
          <w:sz w:val="24"/>
          <w:szCs w:val="24"/>
          <w:highlight w:val="none"/>
        </w:rPr>
        <w:t>总则</w:t>
      </w:r>
    </w:p>
    <w:p w14:paraId="79405900">
      <w:pPr>
        <w:spacing w:before="181" w:line="220" w:lineRule="auto"/>
        <w:ind w:left="144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1.1</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8"/>
          <w:sz w:val="24"/>
          <w:szCs w:val="24"/>
          <w:highlight w:val="none"/>
        </w:rPr>
        <w:t>项目概况</w:t>
      </w:r>
    </w:p>
    <w:p w14:paraId="539718DA">
      <w:pPr>
        <w:spacing w:before="182" w:line="360" w:lineRule="auto"/>
        <w:ind w:left="1426" w:right="1305" w:firstLine="496"/>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1.1.1 根据《中华人民共和国招标投标法》《中华人民共和国招标投标</w:t>
      </w:r>
      <w:r>
        <w:rPr>
          <w:rFonts w:ascii="宋体" w:hAnsi="宋体" w:eastAsia="宋体" w:cs="宋体"/>
          <w:color w:val="auto"/>
          <w:spacing w:val="-6"/>
          <w:sz w:val="24"/>
          <w:szCs w:val="24"/>
          <w:highlight w:val="none"/>
        </w:rPr>
        <w:t>法实施条例》</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《广东省实施&lt;中华人民共和国招标投标法&gt;办法》《公路工程建设项目招标投标管理办</w:t>
      </w:r>
      <w:r>
        <w:rPr>
          <w:rFonts w:ascii="宋体" w:hAnsi="宋体" w:eastAsia="宋体" w:cs="宋体"/>
          <w:color w:val="auto"/>
          <w:spacing w:val="-6"/>
          <w:sz w:val="24"/>
          <w:szCs w:val="24"/>
          <w:highlight w:val="none"/>
        </w:rPr>
        <w:t>法》等有关法律、法规和规章的规定，</w:t>
      </w:r>
      <w:r>
        <w:rPr>
          <w:rFonts w:ascii="宋体" w:hAnsi="宋体" w:eastAsia="宋体" w:cs="宋体"/>
          <w:color w:val="auto"/>
          <w:spacing w:val="52"/>
          <w:sz w:val="24"/>
          <w:szCs w:val="24"/>
          <w:highlight w:val="none"/>
        </w:rPr>
        <w:t xml:space="preserve"> </w:t>
      </w:r>
      <w:r>
        <w:rPr>
          <w:rFonts w:ascii="宋体" w:hAnsi="宋体" w:eastAsia="宋体" w:cs="宋体"/>
          <w:color w:val="auto"/>
          <w:spacing w:val="-6"/>
          <w:sz w:val="24"/>
          <w:szCs w:val="24"/>
          <w:highlight w:val="none"/>
        </w:rPr>
        <w:t>本招标项目已具备招标条件，现对本标</w:t>
      </w:r>
      <w:r>
        <w:rPr>
          <w:rFonts w:ascii="宋体" w:hAnsi="宋体" w:eastAsia="宋体" w:cs="宋体"/>
          <w:color w:val="auto"/>
          <w:spacing w:val="-7"/>
          <w:sz w:val="24"/>
          <w:szCs w:val="24"/>
          <w:highlight w:val="none"/>
        </w:rPr>
        <w:t>段施工进</w:t>
      </w:r>
      <w:r>
        <w:rPr>
          <w:rFonts w:ascii="宋体" w:hAnsi="宋体" w:eastAsia="宋体" w:cs="宋体"/>
          <w:color w:val="auto"/>
          <w:spacing w:val="-9"/>
          <w:sz w:val="24"/>
          <w:szCs w:val="24"/>
          <w:highlight w:val="none"/>
        </w:rPr>
        <w:t>行招标。</w:t>
      </w:r>
    </w:p>
    <w:p w14:paraId="0869D206">
      <w:pPr>
        <w:spacing w:before="1" w:line="218"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1.1.2 本招标项目招标人：见投标人须知前附表。</w:t>
      </w:r>
    </w:p>
    <w:p w14:paraId="6563C27E">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1.1.3 本标段招标代理机构：见投标人须知前附表。</w:t>
      </w:r>
    </w:p>
    <w:p w14:paraId="045539C4">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1.1.4 本招标项目名称：见投标人须知前附表。</w:t>
      </w:r>
    </w:p>
    <w:p w14:paraId="04D0F6FB">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1.1.5 本标段建设地点：见投标人须知前附表。</w:t>
      </w:r>
    </w:p>
    <w:p w14:paraId="042C1ED8">
      <w:pPr>
        <w:spacing w:before="182" w:line="220" w:lineRule="auto"/>
        <w:ind w:left="144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1.2</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招标项目的资金来源和落实情况</w:t>
      </w:r>
    </w:p>
    <w:p w14:paraId="4EAC2E09">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1.2.1 资金来源及比例：见投标人须知前附表。</w:t>
      </w:r>
    </w:p>
    <w:p w14:paraId="700AE657">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1.2.2 资金落实情况：见投标人须知前附表。</w:t>
      </w:r>
    </w:p>
    <w:p w14:paraId="7FA786A0">
      <w:pPr>
        <w:spacing w:before="184" w:line="220" w:lineRule="auto"/>
        <w:ind w:left="144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招标范围、计划工期、质量要求和安全目标</w:t>
      </w:r>
    </w:p>
    <w:p w14:paraId="2971D4D6">
      <w:pPr>
        <w:spacing w:before="181"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1.3.1 招标范围：见投标人须知前附表。</w:t>
      </w:r>
    </w:p>
    <w:p w14:paraId="46B0E7E7">
      <w:pPr>
        <w:spacing w:before="184"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1.3.2 本标段的计划工期：见投标人须知前附表。</w:t>
      </w:r>
    </w:p>
    <w:p w14:paraId="6C784053">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1.3.3 本标段的质量要求：见投标人须知前附表。</w:t>
      </w:r>
    </w:p>
    <w:p w14:paraId="47F233E5">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1.3.4 本标段的安全目标：见投标人须知前附表。</w:t>
      </w:r>
    </w:p>
    <w:p w14:paraId="4D419B61">
      <w:pPr>
        <w:spacing w:before="183" w:line="220" w:lineRule="auto"/>
        <w:ind w:left="1443"/>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1.4</w:t>
      </w:r>
      <w:r>
        <w:rPr>
          <w:rFonts w:ascii="宋体" w:hAnsi="宋体" w:eastAsia="宋体" w:cs="宋体"/>
          <w:strike/>
          <w:dstrike w:val="0"/>
          <w:color w:val="auto"/>
          <w:spacing w:val="-4"/>
          <w:sz w:val="24"/>
          <w:szCs w:val="24"/>
          <w:highlight w:val="none"/>
        </w:rPr>
        <w:t xml:space="preserve"> </w:t>
      </w:r>
      <w:r>
        <w:rPr>
          <w:rFonts w:ascii="宋体" w:hAnsi="宋体" w:eastAsia="宋体" w:cs="宋体"/>
          <w:b/>
          <w:bCs/>
          <w:strike/>
          <w:dstrike w:val="0"/>
          <w:color w:val="auto"/>
          <w:spacing w:val="-4"/>
          <w:sz w:val="24"/>
          <w:szCs w:val="24"/>
          <w:highlight w:val="none"/>
        </w:rPr>
        <w:t>投标人资格要求（适用于已进行资格预审的）</w:t>
      </w:r>
    </w:p>
    <w:p w14:paraId="681FB37C">
      <w:pPr>
        <w:spacing w:before="183" w:line="219" w:lineRule="auto"/>
        <w:ind w:left="190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投标人应是收到招标人发出投标邀请书的单位。</w:t>
      </w:r>
    </w:p>
    <w:p w14:paraId="1811A4C8">
      <w:pPr>
        <w:spacing w:before="183" w:line="220" w:lineRule="auto"/>
        <w:ind w:left="144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1.4</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投标人资格要求（适用于未进行资格预审的）</w:t>
      </w:r>
    </w:p>
    <w:p w14:paraId="627A2C51">
      <w:pPr>
        <w:spacing w:before="182" w:line="219"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1.4.1 投标人应具备承担本标段施工的资质条件、能力和信誉。</w:t>
      </w:r>
    </w:p>
    <w:p w14:paraId="62D69B09">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（1）资质要求：见投标人须知前附表；</w:t>
      </w:r>
    </w:p>
    <w:p w14:paraId="114B042B">
      <w:pPr>
        <w:spacing w:before="184"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（2）财务要求：见投标人须知前附表；</w:t>
      </w:r>
    </w:p>
    <w:p w14:paraId="1E9ABF5E">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（3）业绩要求：见投标人须知前附表；</w:t>
      </w:r>
    </w:p>
    <w:p w14:paraId="6A06729D">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（4）信誉要求：见投标人须知前附表；</w:t>
      </w:r>
    </w:p>
    <w:p w14:paraId="4061AC9E">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（5）项目经理和项目总工等主要管理人员资格：见投标</w:t>
      </w:r>
      <w:r>
        <w:rPr>
          <w:rFonts w:ascii="宋体" w:hAnsi="宋体" w:eastAsia="宋体" w:cs="宋体"/>
          <w:color w:val="auto"/>
          <w:spacing w:val="-3"/>
          <w:sz w:val="24"/>
          <w:szCs w:val="24"/>
          <w:highlight w:val="none"/>
        </w:rPr>
        <w:t>人须知前附表；</w:t>
      </w:r>
    </w:p>
    <w:p w14:paraId="7DAC9192">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（6）其他要求：见投标人须知前附表。</w:t>
      </w:r>
    </w:p>
    <w:p w14:paraId="2694DE5E">
      <w:pPr>
        <w:spacing w:before="183" w:line="219" w:lineRule="auto"/>
        <w:ind w:left="191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需要提交的相关证明材料见本章第</w:t>
      </w:r>
      <w:r>
        <w:rPr>
          <w:rFonts w:ascii="宋体" w:hAnsi="宋体" w:eastAsia="宋体" w:cs="宋体"/>
          <w:color w:val="auto"/>
          <w:spacing w:val="-28"/>
          <w:sz w:val="24"/>
          <w:szCs w:val="24"/>
          <w:highlight w:val="none"/>
        </w:rPr>
        <w:t xml:space="preserve"> </w:t>
      </w:r>
      <w:r>
        <w:rPr>
          <w:rFonts w:ascii="宋体" w:hAnsi="宋体" w:eastAsia="宋体" w:cs="宋体"/>
          <w:color w:val="auto"/>
          <w:spacing w:val="-4"/>
          <w:sz w:val="24"/>
          <w:szCs w:val="24"/>
          <w:highlight w:val="none"/>
        </w:rPr>
        <w:t>3.5</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款的规定。</w:t>
      </w:r>
    </w:p>
    <w:p w14:paraId="527500F9">
      <w:pPr>
        <w:spacing w:before="183" w:line="219"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1.4.2 投标人须知前附表规定接受联</w:t>
      </w:r>
      <w:r>
        <w:rPr>
          <w:rFonts w:ascii="宋体" w:hAnsi="宋体" w:eastAsia="宋体" w:cs="宋体"/>
          <w:color w:val="auto"/>
          <w:spacing w:val="-3"/>
          <w:sz w:val="24"/>
          <w:szCs w:val="24"/>
          <w:highlight w:val="none"/>
        </w:rPr>
        <w:t>合体投标的，联合体除应符合本章第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1.4.1</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项</w:t>
      </w:r>
    </w:p>
    <w:p w14:paraId="7D489A62">
      <w:pPr>
        <w:spacing w:line="219" w:lineRule="auto"/>
        <w:rPr>
          <w:rFonts w:ascii="宋体" w:hAnsi="宋体" w:eastAsia="宋体" w:cs="宋体"/>
          <w:color w:val="auto"/>
          <w:sz w:val="24"/>
          <w:szCs w:val="24"/>
          <w:highlight w:val="none"/>
        </w:rPr>
        <w:sectPr>
          <w:headerReference r:id="rId34" w:type="default"/>
          <w:footerReference r:id="rId35" w:type="default"/>
          <w:pgSz w:w="11905" w:h="16840"/>
          <w:pgMar w:top="1182" w:right="0" w:bottom="1171" w:left="0" w:header="849" w:footer="937" w:gutter="0"/>
          <w:pgNumType w:fmt="decimal"/>
          <w:cols w:space="720" w:num="1"/>
        </w:sectPr>
      </w:pPr>
    </w:p>
    <w:p w14:paraId="5C057687">
      <w:pPr>
        <w:pStyle w:val="3"/>
        <w:spacing w:line="267" w:lineRule="auto"/>
        <w:rPr>
          <w:color w:val="auto"/>
          <w:highlight w:val="none"/>
        </w:rPr>
      </w:pPr>
    </w:p>
    <w:p w14:paraId="42ACBFAE">
      <w:pPr>
        <w:spacing w:before="78" w:line="219" w:lineRule="auto"/>
        <w:ind w:left="142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和投标人须知前附表的要求外，还应遵守以下规定：</w:t>
      </w:r>
    </w:p>
    <w:p w14:paraId="27B6DC21">
      <w:pPr>
        <w:spacing w:before="182" w:line="290" w:lineRule="auto"/>
        <w:ind w:left="1426" w:right="142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（1）联合体各方应按招标文件提供的格式签订联合体协议书，明确联合体牵头人</w:t>
      </w:r>
      <w:r>
        <w:rPr>
          <w:rFonts w:ascii="宋体" w:hAnsi="宋体" w:eastAsia="宋体" w:cs="宋体"/>
          <w:color w:val="auto"/>
          <w:spacing w:val="-3"/>
          <w:sz w:val="24"/>
          <w:szCs w:val="24"/>
          <w:highlight w:val="none"/>
        </w:rPr>
        <w:t>和各方权利义务，并承诺就中标项目向招标人承担连带责任；</w:t>
      </w:r>
    </w:p>
    <w:p w14:paraId="05147BFE">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（2）由同一专业的单位组成的联合体，按照资质等级较低的单位确定资质等级；</w:t>
      </w:r>
    </w:p>
    <w:p w14:paraId="3F6860DD">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（3）联合体各方不得再以自己名义单独或参加其他联合体在同一标段中投标；</w:t>
      </w:r>
    </w:p>
    <w:p w14:paraId="6E10803B">
      <w:pPr>
        <w:spacing w:before="183" w:line="313" w:lineRule="auto"/>
        <w:ind w:left="1427" w:right="1416"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（4）联合体各方应分别按照本招标文件的要求，填写投标文件中的相应表格，并</w:t>
      </w:r>
      <w:r>
        <w:rPr>
          <w:rFonts w:ascii="宋体" w:hAnsi="宋体" w:eastAsia="宋体" w:cs="宋体"/>
          <w:color w:val="auto"/>
          <w:spacing w:val="-2"/>
          <w:sz w:val="24"/>
          <w:szCs w:val="24"/>
          <w:highlight w:val="none"/>
        </w:rPr>
        <w:t>由联合体牵头人负责对联合体各成员的资料进行统一汇总后一并提交给招标人；联合体牵头人所提交的投标文件应认为已代表了联合体各成</w:t>
      </w:r>
      <w:r>
        <w:rPr>
          <w:rFonts w:ascii="宋体" w:hAnsi="宋体" w:eastAsia="宋体" w:cs="宋体"/>
          <w:color w:val="auto"/>
          <w:spacing w:val="-3"/>
          <w:sz w:val="24"/>
          <w:szCs w:val="24"/>
          <w:highlight w:val="none"/>
        </w:rPr>
        <w:t>员的真实情况；</w:t>
      </w:r>
    </w:p>
    <w:p w14:paraId="571F90AF">
      <w:pPr>
        <w:spacing w:before="183" w:line="290" w:lineRule="auto"/>
        <w:ind w:left="1426" w:right="142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（5）联合体各成员在投标、签订合同与履行合同过程中，仍负有连带的和各自的</w:t>
      </w:r>
      <w:r>
        <w:rPr>
          <w:rFonts w:ascii="宋体" w:hAnsi="宋体" w:eastAsia="宋体" w:cs="宋体"/>
          <w:color w:val="auto"/>
          <w:spacing w:val="-8"/>
          <w:sz w:val="24"/>
          <w:szCs w:val="24"/>
          <w:highlight w:val="none"/>
        </w:rPr>
        <w:t>法律责任。</w:t>
      </w:r>
    </w:p>
    <w:p w14:paraId="4D906636">
      <w:pPr>
        <w:spacing w:before="182" w:line="219"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1.4.3 投标人（包括联合体各成员）不得与本标段相关单位存在下</w:t>
      </w:r>
      <w:r>
        <w:rPr>
          <w:rFonts w:ascii="宋体" w:hAnsi="宋体" w:eastAsia="宋体" w:cs="宋体"/>
          <w:color w:val="auto"/>
          <w:spacing w:val="-3"/>
          <w:sz w:val="24"/>
          <w:szCs w:val="24"/>
          <w:highlight w:val="none"/>
        </w:rPr>
        <w:t>列关联关系：</w:t>
      </w:r>
    </w:p>
    <w:p w14:paraId="4B119BFA">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（1）为招标人不具有独立法人资格的附属机构（单位</w:t>
      </w:r>
      <w:r>
        <w:rPr>
          <w:rFonts w:ascii="宋体" w:hAnsi="宋体" w:eastAsia="宋体" w:cs="宋体"/>
          <w:color w:val="auto"/>
          <w:sz w:val="24"/>
          <w:szCs w:val="24"/>
          <w:highlight w:val="none"/>
        </w:rPr>
        <w:t>）；</w:t>
      </w:r>
    </w:p>
    <w:p w14:paraId="5C32814B">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（2）与招标人存在利害关系且可能影响招标公正性；</w:t>
      </w:r>
    </w:p>
    <w:p w14:paraId="7BCC65F8">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（3）与本标段的其他投标人同为一个单位负责人；</w:t>
      </w:r>
    </w:p>
    <w:p w14:paraId="40D32F31">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（4）与本标段的其他投标人存在控股、管理关系；</w:t>
      </w:r>
    </w:p>
    <w:p w14:paraId="05678F6C">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（5）为本标段前期准备提供设计或咨询服务的法人或其任何附属机构（单位）；</w:t>
      </w:r>
    </w:p>
    <w:p w14:paraId="38437A42">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（6）为本标段的监理人；</w:t>
      </w:r>
    </w:p>
    <w:p w14:paraId="1B17E922">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（7）为本标段的代建人；</w:t>
      </w:r>
    </w:p>
    <w:p w14:paraId="6BD8BA76">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（8）为本标段的招标代理机构；</w:t>
      </w:r>
    </w:p>
    <w:p w14:paraId="323FAB79">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（9）与本标段的监理人或代建人或招标代理机构同为一个法定代表人；</w:t>
      </w:r>
    </w:p>
    <w:p w14:paraId="76CA04B2">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（10）与本标段的监理人或代建人或招标代理机构存在控股或</w:t>
      </w:r>
      <w:r>
        <w:rPr>
          <w:rFonts w:ascii="宋体" w:hAnsi="宋体" w:eastAsia="宋体" w:cs="宋体"/>
          <w:color w:val="auto"/>
          <w:spacing w:val="-3"/>
          <w:sz w:val="24"/>
          <w:szCs w:val="24"/>
          <w:highlight w:val="none"/>
        </w:rPr>
        <w:t>参股关系；</w:t>
      </w:r>
    </w:p>
    <w:p w14:paraId="7AA3ACCE">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（11）法律法规或投标人须知前附表规定的其他情形。</w:t>
      </w:r>
    </w:p>
    <w:p w14:paraId="31E97DD6">
      <w:pPr>
        <w:spacing w:before="183"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1.4.4 投标人（包括联合体各成员）不得存在下列不良状况</w:t>
      </w:r>
      <w:r>
        <w:rPr>
          <w:rFonts w:ascii="宋体" w:hAnsi="宋体" w:eastAsia="宋体" w:cs="宋体"/>
          <w:color w:val="auto"/>
          <w:spacing w:val="-3"/>
          <w:sz w:val="24"/>
          <w:szCs w:val="24"/>
          <w:highlight w:val="none"/>
        </w:rPr>
        <w:t>或不良信用记录：</w:t>
      </w:r>
    </w:p>
    <w:p w14:paraId="79212943">
      <w:pPr>
        <w:spacing w:before="182" w:line="290" w:lineRule="auto"/>
        <w:ind w:left="1428" w:right="1427"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（1）被省级及以上交通运输主管部门取消招标项目所在地的投标资格且处于有效</w:t>
      </w:r>
      <w:r>
        <w:rPr>
          <w:rFonts w:ascii="宋体" w:hAnsi="宋体" w:eastAsia="宋体" w:cs="宋体"/>
          <w:color w:val="auto"/>
          <w:spacing w:val="-16"/>
          <w:sz w:val="24"/>
          <w:szCs w:val="24"/>
          <w:highlight w:val="none"/>
        </w:rPr>
        <w:t>期内；</w:t>
      </w:r>
    </w:p>
    <w:p w14:paraId="2918C90A">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（2）被责令停业，暂扣或吊销执照，或吊销资质证书；</w:t>
      </w:r>
    </w:p>
    <w:p w14:paraId="307A75CD">
      <w:pPr>
        <w:spacing w:before="184" w:line="218"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（3）进入清算程序，或被宣告破产，或其</w:t>
      </w:r>
      <w:r>
        <w:rPr>
          <w:rFonts w:ascii="宋体" w:hAnsi="宋体" w:eastAsia="宋体" w:cs="宋体"/>
          <w:color w:val="auto"/>
          <w:spacing w:val="-3"/>
          <w:sz w:val="24"/>
          <w:szCs w:val="24"/>
          <w:highlight w:val="none"/>
        </w:rPr>
        <w:t>他丧失履约能力的情形；</w:t>
      </w:r>
    </w:p>
    <w:p w14:paraId="63AF4E1F">
      <w:pPr>
        <w:spacing w:before="184"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（4）在国家企业信用信息公示系统中被列入严重</w:t>
      </w:r>
      <w:r>
        <w:rPr>
          <w:rFonts w:ascii="宋体" w:hAnsi="宋体" w:eastAsia="宋体" w:cs="宋体"/>
          <w:color w:val="auto"/>
          <w:spacing w:val="-3"/>
          <w:sz w:val="24"/>
          <w:szCs w:val="24"/>
          <w:highlight w:val="none"/>
        </w:rPr>
        <w:t>违法失信名单；</w:t>
      </w:r>
    </w:p>
    <w:p w14:paraId="42F0B3E8">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（5）在“信用中国”网站</w:t>
      </w:r>
      <w:r>
        <w:rPr>
          <w:rStyle w:val="15"/>
          <w:rFonts w:ascii="宋体" w:hAnsi="宋体" w:eastAsia="宋体" w:cs="宋体"/>
          <w:color w:val="auto"/>
          <w:spacing w:val="-3"/>
          <w:sz w:val="24"/>
          <w:szCs w:val="24"/>
          <w:highlight w:val="none"/>
        </w:rPr>
        <w:footnoteReference w:id="4"/>
      </w:r>
      <w:r>
        <w:rPr>
          <w:rFonts w:ascii="宋体" w:hAnsi="宋体" w:eastAsia="宋体" w:cs="宋体"/>
          <w:color w:val="auto"/>
          <w:spacing w:val="-3"/>
          <w:sz w:val="24"/>
          <w:szCs w:val="24"/>
          <w:highlight w:val="none"/>
        </w:rPr>
        <w:t>中被列入失信被执行人名单；</w:t>
      </w:r>
    </w:p>
    <w:p w14:paraId="71DCE693">
      <w:pPr>
        <w:spacing w:before="182" w:line="219" w:lineRule="auto"/>
        <w:ind w:left="1911"/>
        <w:rPr>
          <w:color w:val="auto"/>
          <w:highlight w:val="none"/>
        </w:rPr>
      </w:pPr>
      <w:r>
        <w:rPr>
          <w:rFonts w:ascii="宋体" w:hAnsi="宋体" w:eastAsia="宋体" w:cs="宋体"/>
          <w:color w:val="auto"/>
          <w:spacing w:val="1"/>
          <w:sz w:val="24"/>
          <w:szCs w:val="24"/>
          <w:highlight w:val="none"/>
        </w:rPr>
        <w:t>（6）投标人及其法定代表人、拟委任的项目经理（含备选人，如有）、项目总工</w:t>
      </w:r>
    </w:p>
    <w:p w14:paraId="1F42B81A">
      <w:pPr>
        <w:spacing w:before="78" w:line="220"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（含备选人，如有）在近三年内有行贿犯罪行为的；</w:t>
      </w:r>
    </w:p>
    <w:p w14:paraId="28C396ED">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（7）法律法规或投标人须知前附表规定的其他情</w:t>
      </w:r>
      <w:r>
        <w:rPr>
          <w:rFonts w:ascii="宋体" w:hAnsi="宋体" w:eastAsia="宋体" w:cs="宋体"/>
          <w:color w:val="auto"/>
          <w:spacing w:val="-3"/>
          <w:sz w:val="24"/>
          <w:szCs w:val="24"/>
          <w:highlight w:val="none"/>
        </w:rPr>
        <w:t>形。</w:t>
      </w:r>
    </w:p>
    <w:p w14:paraId="713A5425">
      <w:pPr>
        <w:spacing w:before="183" w:line="360" w:lineRule="auto"/>
        <w:ind w:left="1428" w:right="1416" w:firstLine="494"/>
        <w:jc w:val="both"/>
        <w:rPr>
          <w:rFonts w:ascii="宋体" w:hAnsi="宋体" w:eastAsia="宋体" w:cs="宋体"/>
          <w:color w:val="auto"/>
          <w:sz w:val="12"/>
          <w:szCs w:val="12"/>
          <w:highlight w:val="none"/>
        </w:rPr>
      </w:pPr>
      <w:r>
        <w:rPr>
          <w:rFonts w:ascii="宋体" w:hAnsi="宋体" w:eastAsia="宋体" w:cs="宋体"/>
          <w:color w:val="auto"/>
          <w:spacing w:val="-2"/>
          <w:sz w:val="24"/>
          <w:szCs w:val="24"/>
          <w:highlight w:val="none"/>
        </w:rPr>
        <w:t>1.4.5 投标人（包括联合体各成员）应进入交通运输部“全国公路建设市场监督管理查询系统”中的公路工程施工资质企业名录，且投标人名称和资质与该名录中的相应</w:t>
      </w:r>
      <w:r>
        <w:rPr>
          <w:rFonts w:ascii="宋体" w:hAnsi="宋体" w:eastAsia="宋体" w:cs="宋体"/>
          <w:color w:val="auto"/>
          <w:sz w:val="24"/>
          <w:szCs w:val="24"/>
          <w:highlight w:val="none"/>
        </w:rPr>
        <w:t>企业名称和资质完全一致。投标人不满足本项规定条件</w:t>
      </w:r>
      <w:r>
        <w:rPr>
          <w:rFonts w:ascii="宋体" w:hAnsi="宋体" w:eastAsia="宋体" w:cs="宋体"/>
          <w:color w:val="auto"/>
          <w:spacing w:val="-1"/>
          <w:sz w:val="24"/>
          <w:szCs w:val="24"/>
          <w:highlight w:val="none"/>
        </w:rPr>
        <w:t>的，将被否决投标。</w:t>
      </w:r>
    </w:p>
    <w:p w14:paraId="1AD8AC69">
      <w:pPr>
        <w:spacing w:line="219" w:lineRule="auto"/>
        <w:ind w:left="1443"/>
        <w:rPr>
          <w:rFonts w:ascii="宋体" w:hAnsi="宋体" w:eastAsia="宋体" w:cs="宋体"/>
          <w:color w:val="auto"/>
          <w:sz w:val="24"/>
          <w:szCs w:val="24"/>
          <w:highlight w:val="none"/>
        </w:rPr>
      </w:pPr>
      <w:r>
        <w:rPr>
          <w:rFonts w:ascii="宋体" w:hAnsi="宋体" w:eastAsia="宋体" w:cs="宋体"/>
          <w:b/>
          <w:bCs/>
          <w:color w:val="auto"/>
          <w:spacing w:val="-9"/>
          <w:sz w:val="24"/>
          <w:szCs w:val="24"/>
          <w:highlight w:val="none"/>
        </w:rPr>
        <w:t>1.5</w:t>
      </w:r>
      <w:r>
        <w:rPr>
          <w:rFonts w:ascii="宋体" w:hAnsi="宋体" w:eastAsia="宋体" w:cs="宋体"/>
          <w:color w:val="auto"/>
          <w:spacing w:val="25"/>
          <w:sz w:val="24"/>
          <w:szCs w:val="24"/>
          <w:highlight w:val="none"/>
        </w:rPr>
        <w:t xml:space="preserve"> </w:t>
      </w:r>
      <w:r>
        <w:rPr>
          <w:rFonts w:ascii="宋体" w:hAnsi="宋体" w:eastAsia="宋体" w:cs="宋体"/>
          <w:b/>
          <w:bCs/>
          <w:color w:val="auto"/>
          <w:spacing w:val="-9"/>
          <w:sz w:val="24"/>
          <w:szCs w:val="24"/>
          <w:highlight w:val="none"/>
        </w:rPr>
        <w:t>费用承担</w:t>
      </w:r>
    </w:p>
    <w:p w14:paraId="5F48D798">
      <w:pPr>
        <w:spacing w:before="183"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投标人准备和参加投标活动发生的费用自理。</w:t>
      </w:r>
    </w:p>
    <w:p w14:paraId="6A4E82AE">
      <w:pPr>
        <w:spacing w:before="182" w:line="220" w:lineRule="auto"/>
        <w:ind w:left="1443"/>
        <w:rPr>
          <w:rFonts w:ascii="宋体" w:hAnsi="宋体" w:eastAsia="宋体" w:cs="宋体"/>
          <w:color w:val="auto"/>
          <w:sz w:val="24"/>
          <w:szCs w:val="24"/>
          <w:highlight w:val="none"/>
        </w:rPr>
      </w:pPr>
      <w:r>
        <w:rPr>
          <w:rFonts w:ascii="宋体" w:hAnsi="宋体" w:eastAsia="宋体" w:cs="宋体"/>
          <w:b/>
          <w:bCs/>
          <w:color w:val="auto"/>
          <w:spacing w:val="-9"/>
          <w:sz w:val="24"/>
          <w:szCs w:val="24"/>
          <w:highlight w:val="none"/>
        </w:rPr>
        <w:t>1.6</w:t>
      </w:r>
      <w:r>
        <w:rPr>
          <w:rFonts w:ascii="宋体" w:hAnsi="宋体" w:eastAsia="宋体" w:cs="宋体"/>
          <w:color w:val="auto"/>
          <w:spacing w:val="12"/>
          <w:sz w:val="24"/>
          <w:szCs w:val="24"/>
          <w:highlight w:val="none"/>
        </w:rPr>
        <w:t xml:space="preserve"> </w:t>
      </w:r>
      <w:r>
        <w:rPr>
          <w:rFonts w:ascii="宋体" w:hAnsi="宋体" w:eastAsia="宋体" w:cs="宋体"/>
          <w:b/>
          <w:bCs/>
          <w:color w:val="auto"/>
          <w:spacing w:val="-9"/>
          <w:sz w:val="24"/>
          <w:szCs w:val="24"/>
          <w:highlight w:val="none"/>
        </w:rPr>
        <w:t>保密</w:t>
      </w:r>
    </w:p>
    <w:p w14:paraId="0F35112E">
      <w:pPr>
        <w:spacing w:before="181" w:line="360" w:lineRule="auto"/>
        <w:ind w:left="1430"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参与招标投标活动的各方应对招标文件和投标文件中的商业和技术等秘密保密，否</w:t>
      </w:r>
      <w:r>
        <w:rPr>
          <w:rFonts w:ascii="宋体" w:hAnsi="宋体" w:eastAsia="宋体" w:cs="宋体"/>
          <w:color w:val="auto"/>
          <w:spacing w:val="-4"/>
          <w:sz w:val="24"/>
          <w:szCs w:val="24"/>
          <w:highlight w:val="none"/>
        </w:rPr>
        <w:t>则应承担相应的法律责任。</w:t>
      </w:r>
    </w:p>
    <w:p w14:paraId="44F7A1D4">
      <w:pPr>
        <w:spacing w:before="1" w:line="219" w:lineRule="auto"/>
        <w:ind w:left="144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1.7</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语言文字</w:t>
      </w:r>
    </w:p>
    <w:p w14:paraId="49516A0C">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招标投标文件使用的语言文字为中文。专用术语使用外文</w:t>
      </w:r>
      <w:r>
        <w:rPr>
          <w:rFonts w:ascii="宋体" w:hAnsi="宋体" w:eastAsia="宋体" w:cs="宋体"/>
          <w:color w:val="auto"/>
          <w:spacing w:val="-2"/>
          <w:sz w:val="24"/>
          <w:szCs w:val="24"/>
          <w:highlight w:val="none"/>
        </w:rPr>
        <w:t>的，应附有中文注释。</w:t>
      </w:r>
    </w:p>
    <w:p w14:paraId="1DEE6A4A">
      <w:pPr>
        <w:spacing w:before="184" w:line="220" w:lineRule="auto"/>
        <w:ind w:left="144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1.8</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计量单位</w:t>
      </w:r>
    </w:p>
    <w:p w14:paraId="39219CA1">
      <w:pPr>
        <w:spacing w:before="182" w:line="219"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所有计量均采用中华人民共和国法定计量单</w:t>
      </w:r>
      <w:r>
        <w:rPr>
          <w:rFonts w:ascii="宋体" w:hAnsi="宋体" w:eastAsia="宋体" w:cs="宋体"/>
          <w:color w:val="auto"/>
          <w:spacing w:val="-3"/>
          <w:sz w:val="24"/>
          <w:szCs w:val="24"/>
          <w:highlight w:val="none"/>
        </w:rPr>
        <w:t>位。</w:t>
      </w:r>
    </w:p>
    <w:p w14:paraId="3A2B1F3B">
      <w:pPr>
        <w:spacing w:before="183" w:line="220" w:lineRule="auto"/>
        <w:ind w:left="144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1.9</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8"/>
          <w:sz w:val="24"/>
          <w:szCs w:val="24"/>
          <w:highlight w:val="none"/>
        </w:rPr>
        <w:t>踏勘现场</w:t>
      </w:r>
    </w:p>
    <w:p w14:paraId="1F4D96B6">
      <w:pPr>
        <w:spacing w:before="183" w:line="313" w:lineRule="auto"/>
        <w:ind w:left="1424" w:right="1415" w:firstLine="49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1.9.1 第一章“招标公告”或“投标邀请书”规定组织踏勘现场的，招标人按规定</w:t>
      </w:r>
      <w:r>
        <w:rPr>
          <w:rFonts w:ascii="宋体" w:hAnsi="宋体" w:eastAsia="宋体" w:cs="宋体"/>
          <w:color w:val="auto"/>
          <w:spacing w:val="-6"/>
          <w:sz w:val="24"/>
          <w:szCs w:val="24"/>
          <w:highlight w:val="none"/>
        </w:rPr>
        <w:t>的时间、地点组织投标人踏勘项目现场。部分投标人未按时参加踏勘现场的，</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不影响踏</w:t>
      </w:r>
      <w:r>
        <w:rPr>
          <w:rFonts w:ascii="宋体" w:hAnsi="宋体" w:eastAsia="宋体" w:cs="宋体"/>
          <w:color w:val="auto"/>
          <w:spacing w:val="-1"/>
          <w:sz w:val="24"/>
          <w:szCs w:val="24"/>
          <w:highlight w:val="none"/>
        </w:rPr>
        <w:t>勘现场的正常进行。招标人不得组织单个或</w:t>
      </w:r>
      <w:r>
        <w:rPr>
          <w:rFonts w:ascii="宋体" w:hAnsi="宋体" w:eastAsia="宋体" w:cs="宋体"/>
          <w:color w:val="auto"/>
          <w:spacing w:val="-2"/>
          <w:sz w:val="24"/>
          <w:szCs w:val="24"/>
          <w:highlight w:val="none"/>
        </w:rPr>
        <w:t>部分投标人踏勘项目现场。</w:t>
      </w:r>
    </w:p>
    <w:p w14:paraId="68A4E969">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1.9.2 投标人踏勘现场发生的费用自理。</w:t>
      </w:r>
    </w:p>
    <w:p w14:paraId="3C50738B">
      <w:pPr>
        <w:spacing w:before="184" w:line="290" w:lineRule="auto"/>
        <w:ind w:left="1425" w:right="1416" w:firstLine="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1.9.3 除招标人的原因外，投标人自行负责在踏勘现场中所发生的人员伤亡和财产</w:t>
      </w:r>
      <w:r>
        <w:rPr>
          <w:rFonts w:ascii="宋体" w:hAnsi="宋体" w:eastAsia="宋体" w:cs="宋体"/>
          <w:color w:val="auto"/>
          <w:spacing w:val="-10"/>
          <w:sz w:val="24"/>
          <w:szCs w:val="24"/>
          <w:highlight w:val="none"/>
        </w:rPr>
        <w:t>损失。</w:t>
      </w:r>
    </w:p>
    <w:p w14:paraId="3534F8D6">
      <w:pPr>
        <w:spacing w:before="180" w:line="290" w:lineRule="auto"/>
        <w:ind w:left="1426" w:right="1416" w:firstLine="49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1.9.4 招标人在踏勘现场中介绍的工程场地和相关的周边环境情况，供投标人在编制投标文件时参考，招标人不对投标人据此作出的判断和决策负责。</w:t>
      </w:r>
    </w:p>
    <w:p w14:paraId="04DC10D5">
      <w:pPr>
        <w:spacing w:before="183" w:line="313" w:lineRule="auto"/>
        <w:ind w:left="1425" w:right="1403" w:firstLine="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1.9.5 招标人提供的本合同工程的水文、地质、气象和料场分布、取土场、弃土场</w:t>
      </w:r>
      <w:r>
        <w:rPr>
          <w:rFonts w:ascii="宋体" w:hAnsi="宋体" w:eastAsia="宋体" w:cs="宋体"/>
          <w:color w:val="auto"/>
          <w:spacing w:val="-1"/>
          <w:sz w:val="24"/>
          <w:szCs w:val="24"/>
          <w:highlight w:val="none"/>
        </w:rPr>
        <w:t>位置等参考资料，并不构成合同文件的组成部分，投标人应对自己就</w:t>
      </w:r>
      <w:r>
        <w:rPr>
          <w:rFonts w:ascii="宋体" w:hAnsi="宋体" w:eastAsia="宋体" w:cs="宋体"/>
          <w:color w:val="auto"/>
          <w:spacing w:val="-2"/>
          <w:sz w:val="24"/>
          <w:szCs w:val="24"/>
          <w:highlight w:val="none"/>
        </w:rPr>
        <w:t>上述资料的解释、</w:t>
      </w:r>
      <w:r>
        <w:rPr>
          <w:rFonts w:ascii="宋体" w:hAnsi="宋体" w:eastAsia="宋体" w:cs="宋体"/>
          <w:color w:val="auto"/>
          <w:spacing w:val="-1"/>
          <w:sz w:val="24"/>
          <w:szCs w:val="24"/>
          <w:highlight w:val="none"/>
        </w:rPr>
        <w:t>推论和应用负责，招标人不对投标人据此作出的判</w:t>
      </w:r>
      <w:r>
        <w:rPr>
          <w:rFonts w:ascii="宋体" w:hAnsi="宋体" w:eastAsia="宋体" w:cs="宋体"/>
          <w:color w:val="auto"/>
          <w:spacing w:val="-2"/>
          <w:sz w:val="24"/>
          <w:szCs w:val="24"/>
          <w:highlight w:val="none"/>
        </w:rPr>
        <w:t>断和决策承担任何责任。</w:t>
      </w:r>
    </w:p>
    <w:p w14:paraId="788569EE">
      <w:pPr>
        <w:spacing w:before="182" w:line="219" w:lineRule="auto"/>
        <w:ind w:left="1443"/>
        <w:rPr>
          <w:color w:val="auto"/>
          <w:highlight w:val="none"/>
        </w:rPr>
      </w:pPr>
      <w:r>
        <w:rPr>
          <w:rFonts w:ascii="宋体" w:hAnsi="宋体" w:eastAsia="宋体" w:cs="宋体"/>
          <w:b/>
          <w:bCs/>
          <w:color w:val="auto"/>
          <w:spacing w:val="-5"/>
          <w:sz w:val="24"/>
          <w:szCs w:val="24"/>
          <w:highlight w:val="none"/>
        </w:rPr>
        <w:t>1.10</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投标预备会</w:t>
      </w:r>
    </w:p>
    <w:p w14:paraId="6FE0DF09">
      <w:pPr>
        <w:spacing w:before="78" w:line="289" w:lineRule="auto"/>
        <w:ind w:left="1426" w:right="1422" w:firstLine="49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1.10.1 第一章“招标公告”或“投标邀请书”规定召开投标预备会的，招标人按</w:t>
      </w:r>
      <w:r>
        <w:rPr>
          <w:rFonts w:ascii="宋体" w:hAnsi="宋体" w:eastAsia="宋体" w:cs="宋体"/>
          <w:color w:val="auto"/>
          <w:spacing w:val="-2"/>
          <w:sz w:val="24"/>
          <w:szCs w:val="24"/>
          <w:highlight w:val="none"/>
        </w:rPr>
        <w:t>规定的时间和地点召开投标预备会，澄清投标人提出的问题。</w:t>
      </w:r>
    </w:p>
    <w:p w14:paraId="2A145C63">
      <w:pPr>
        <w:spacing w:before="184" w:line="289" w:lineRule="auto"/>
        <w:ind w:left="1452" w:right="1301" w:firstLine="47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1.10.2 投标人应按投标人须知前附表规定的时间和形式将提出的问题送达招标</w:t>
      </w:r>
      <w:r>
        <w:rPr>
          <w:rFonts w:ascii="宋体" w:hAnsi="宋体" w:eastAsia="宋体" w:cs="宋体"/>
          <w:color w:val="auto"/>
          <w:spacing w:val="-3"/>
          <w:sz w:val="24"/>
          <w:szCs w:val="24"/>
          <w:highlight w:val="none"/>
        </w:rPr>
        <w:t>人，</w:t>
      </w:r>
      <w:r>
        <w:rPr>
          <w:rFonts w:ascii="宋体" w:hAnsi="宋体" w:eastAsia="宋体" w:cs="宋体"/>
          <w:color w:val="auto"/>
          <w:spacing w:val="-6"/>
          <w:sz w:val="24"/>
          <w:szCs w:val="24"/>
          <w:highlight w:val="none"/>
        </w:rPr>
        <w:t>以便招标人在会议期间澄清。</w:t>
      </w:r>
    </w:p>
    <w:p w14:paraId="17A36BDB">
      <w:pPr>
        <w:spacing w:before="182" w:line="290" w:lineRule="auto"/>
        <w:ind w:left="1445" w:right="1417" w:firstLine="478"/>
        <w:rPr>
          <w:rFonts w:ascii="宋体" w:hAnsi="宋体" w:eastAsia="宋体" w:cs="宋体"/>
          <w:color w:val="auto"/>
          <w:sz w:val="24"/>
          <w:szCs w:val="24"/>
          <w:highlight w:val="none"/>
        </w:rPr>
      </w:pPr>
      <w:r>
        <w:rPr>
          <w:rFonts w:ascii="宋体" w:hAnsi="宋体" w:eastAsia="宋体" w:cs="宋体"/>
          <w:color w:val="auto"/>
          <w:sz w:val="24"/>
          <w:szCs w:val="24"/>
          <w:highlight w:val="none"/>
        </w:rPr>
        <w:t>1.10.3 投标预备会后，招标人将对投标人所提问题的澄清，以本章第</w:t>
      </w:r>
      <w:r>
        <w:rPr>
          <w:rFonts w:ascii="宋体" w:hAnsi="宋体" w:eastAsia="宋体" w:cs="宋体"/>
          <w:color w:val="auto"/>
          <w:spacing w:val="-30"/>
          <w:sz w:val="24"/>
          <w:szCs w:val="24"/>
          <w:highlight w:val="none"/>
        </w:rPr>
        <w:t xml:space="preserve"> </w:t>
      </w:r>
      <w:r>
        <w:rPr>
          <w:rFonts w:ascii="宋体" w:hAnsi="宋体" w:eastAsia="宋体" w:cs="宋体"/>
          <w:color w:val="auto"/>
          <w:sz w:val="24"/>
          <w:szCs w:val="24"/>
          <w:highlight w:val="none"/>
        </w:rPr>
        <w:t>2.2</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款规定</w:t>
      </w:r>
      <w:r>
        <w:rPr>
          <w:rFonts w:ascii="宋体" w:hAnsi="宋体" w:eastAsia="宋体" w:cs="宋体"/>
          <w:color w:val="auto"/>
          <w:spacing w:val="-2"/>
          <w:sz w:val="24"/>
          <w:szCs w:val="24"/>
          <w:highlight w:val="none"/>
        </w:rPr>
        <w:t>的形式通知所有购买招标文件的投标人。该澄清内容为招标文件的组成部分。</w:t>
      </w:r>
    </w:p>
    <w:p w14:paraId="44D8821C">
      <w:pPr>
        <w:spacing w:before="182" w:line="220" w:lineRule="auto"/>
        <w:ind w:left="144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1.11</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8"/>
          <w:sz w:val="24"/>
          <w:szCs w:val="24"/>
          <w:highlight w:val="none"/>
        </w:rPr>
        <w:t>分包</w:t>
      </w:r>
    </w:p>
    <w:p w14:paraId="5A6035A2">
      <w:pPr>
        <w:spacing w:before="182" w:line="360" w:lineRule="auto"/>
        <w:ind w:left="1425" w:right="1481"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1.11.1 投标人拟在中标后将中标项目的部分非主体、非关键性工作进行分包的，</w:t>
      </w:r>
      <w:r>
        <w:rPr>
          <w:rFonts w:ascii="宋体" w:hAnsi="宋体" w:eastAsia="宋体" w:cs="宋体"/>
          <w:color w:val="auto"/>
          <w:spacing w:val="-8"/>
          <w:sz w:val="24"/>
          <w:szCs w:val="24"/>
          <w:highlight w:val="none"/>
        </w:rPr>
        <w:t>应符合以下规定：</w:t>
      </w:r>
    </w:p>
    <w:p w14:paraId="30DB6736">
      <w:pPr>
        <w:spacing w:before="3" w:line="312" w:lineRule="auto"/>
        <w:ind w:left="1424" w:right="1416"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（1）分包内容要求：允许分包的工程范围仅限于非关键性工程或适合专业化队伍</w:t>
      </w:r>
      <w:r>
        <w:rPr>
          <w:rFonts w:ascii="宋体" w:hAnsi="宋体" w:eastAsia="宋体" w:cs="宋体"/>
          <w:color w:val="auto"/>
          <w:spacing w:val="-2"/>
          <w:sz w:val="24"/>
          <w:szCs w:val="24"/>
          <w:highlight w:val="none"/>
        </w:rPr>
        <w:t>施工的专项工程。招标人允许分包或不允许分包的专项工程（如有）应在投标人须知前</w:t>
      </w:r>
      <w:r>
        <w:rPr>
          <w:rFonts w:ascii="宋体" w:hAnsi="宋体" w:eastAsia="宋体" w:cs="宋体"/>
          <w:color w:val="auto"/>
          <w:spacing w:val="-6"/>
          <w:sz w:val="24"/>
          <w:szCs w:val="24"/>
          <w:highlight w:val="none"/>
        </w:rPr>
        <w:t>附表中载明。</w:t>
      </w:r>
    </w:p>
    <w:p w14:paraId="7ACE8E40">
      <w:pPr>
        <w:spacing w:before="185" w:line="289" w:lineRule="auto"/>
        <w:ind w:left="1424" w:right="1427"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（2）接受分包的第三人资格要求：分包人的资格能力应与其分包工程的标准和规</w:t>
      </w:r>
      <w:r>
        <w:rPr>
          <w:rFonts w:ascii="宋体" w:hAnsi="宋体" w:eastAsia="宋体" w:cs="宋体"/>
          <w:color w:val="auto"/>
          <w:spacing w:val="-2"/>
          <w:sz w:val="24"/>
          <w:szCs w:val="24"/>
          <w:highlight w:val="none"/>
        </w:rPr>
        <w:t>模相适应，且具备投标人须知前附表中规定的资格条件。</w:t>
      </w:r>
    </w:p>
    <w:p w14:paraId="328815EA">
      <w:pPr>
        <w:spacing w:before="184" w:line="360" w:lineRule="auto"/>
        <w:ind w:left="1427" w:right="1438" w:firstLine="495"/>
        <w:rPr>
          <w:rFonts w:ascii="宋体" w:hAnsi="宋体" w:eastAsia="宋体" w:cs="宋体"/>
          <w:color w:val="auto"/>
          <w:sz w:val="24"/>
          <w:szCs w:val="24"/>
          <w:highlight w:val="none"/>
        </w:rPr>
      </w:pPr>
      <w:r>
        <w:rPr>
          <w:rFonts w:ascii="宋体" w:hAnsi="宋体" w:eastAsia="宋体" w:cs="宋体"/>
          <w:color w:val="auto"/>
          <w:sz w:val="24"/>
          <w:szCs w:val="24"/>
          <w:highlight w:val="none"/>
        </w:rPr>
        <w:t>1.11.2</w:t>
      </w:r>
      <w:r>
        <w:rPr>
          <w:rFonts w:ascii="宋体" w:hAnsi="宋体" w:eastAsia="宋体" w:cs="宋体"/>
          <w:color w:val="auto"/>
          <w:spacing w:val="34"/>
          <w:sz w:val="24"/>
          <w:szCs w:val="24"/>
          <w:highlight w:val="none"/>
        </w:rPr>
        <w:t xml:space="preserve"> </w:t>
      </w:r>
      <w:r>
        <w:rPr>
          <w:rFonts w:ascii="宋体" w:hAnsi="宋体" w:eastAsia="宋体" w:cs="宋体"/>
          <w:color w:val="auto"/>
          <w:sz w:val="24"/>
          <w:szCs w:val="24"/>
          <w:highlight w:val="none"/>
        </w:rPr>
        <w:t>中标人不得向他人转让中标项目，接受分包</w:t>
      </w:r>
      <w:r>
        <w:rPr>
          <w:rFonts w:ascii="宋体" w:hAnsi="宋体" w:eastAsia="宋体" w:cs="宋体"/>
          <w:color w:val="auto"/>
          <w:spacing w:val="-1"/>
          <w:sz w:val="24"/>
          <w:szCs w:val="24"/>
          <w:highlight w:val="none"/>
        </w:rPr>
        <w:t>的人不得再次分包。中标人应</w:t>
      </w:r>
      <w:r>
        <w:rPr>
          <w:rFonts w:ascii="宋体" w:hAnsi="宋体" w:eastAsia="宋体" w:cs="宋体"/>
          <w:color w:val="auto"/>
          <w:spacing w:val="-2"/>
          <w:sz w:val="24"/>
          <w:szCs w:val="24"/>
          <w:highlight w:val="none"/>
        </w:rPr>
        <w:t>就分包项目向招标人负责，接受分包的人就分包项目承担连带责任。</w:t>
      </w:r>
    </w:p>
    <w:p w14:paraId="1CE2D282">
      <w:pPr>
        <w:spacing w:line="219" w:lineRule="auto"/>
        <w:ind w:left="144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1.12</w:t>
      </w:r>
      <w:r>
        <w:rPr>
          <w:rFonts w:ascii="宋体" w:hAnsi="宋体" w:eastAsia="宋体" w:cs="宋体"/>
          <w:color w:val="auto"/>
          <w:spacing w:val="23"/>
          <w:sz w:val="24"/>
          <w:szCs w:val="24"/>
          <w:highlight w:val="none"/>
        </w:rPr>
        <w:t xml:space="preserve"> </w:t>
      </w:r>
      <w:r>
        <w:rPr>
          <w:rFonts w:ascii="宋体" w:hAnsi="宋体" w:eastAsia="宋体" w:cs="宋体"/>
          <w:b/>
          <w:bCs/>
          <w:color w:val="auto"/>
          <w:spacing w:val="-7"/>
          <w:sz w:val="24"/>
          <w:szCs w:val="24"/>
          <w:highlight w:val="none"/>
        </w:rPr>
        <w:t>响应和偏差</w:t>
      </w:r>
    </w:p>
    <w:p w14:paraId="19245262">
      <w:pPr>
        <w:spacing w:before="182" w:line="290" w:lineRule="auto"/>
        <w:ind w:left="1425" w:right="1439"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1.12.1 投标文件偏离招标文件某些要</w:t>
      </w:r>
      <w:r>
        <w:rPr>
          <w:rFonts w:ascii="宋体" w:hAnsi="宋体" w:eastAsia="宋体" w:cs="宋体"/>
          <w:color w:val="auto"/>
          <w:sz w:val="24"/>
          <w:szCs w:val="24"/>
          <w:highlight w:val="none"/>
        </w:rPr>
        <w:t>求，视为投标文件存在偏差。偏差包括重大</w:t>
      </w:r>
      <w:r>
        <w:rPr>
          <w:rFonts w:ascii="宋体" w:hAnsi="宋体" w:eastAsia="宋体" w:cs="宋体"/>
          <w:color w:val="auto"/>
          <w:spacing w:val="-5"/>
          <w:sz w:val="24"/>
          <w:szCs w:val="24"/>
          <w:highlight w:val="none"/>
        </w:rPr>
        <w:t>偏差和细微偏差。</w:t>
      </w:r>
    </w:p>
    <w:p w14:paraId="03D4CDF4">
      <w:pPr>
        <w:spacing w:before="182" w:line="290" w:lineRule="auto"/>
        <w:ind w:left="1445" w:right="1428"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1.12.2 投标文件应对招标文件的实质性要求和条件作出满足性</w:t>
      </w:r>
      <w:r>
        <w:rPr>
          <w:rFonts w:ascii="宋体" w:hAnsi="宋体" w:eastAsia="宋体" w:cs="宋体"/>
          <w:color w:val="auto"/>
          <w:sz w:val="24"/>
          <w:szCs w:val="24"/>
          <w:highlight w:val="none"/>
        </w:rPr>
        <w:t>或更有利于招标人</w:t>
      </w:r>
      <w:r>
        <w:rPr>
          <w:rFonts w:ascii="宋体" w:hAnsi="宋体" w:eastAsia="宋体" w:cs="宋体"/>
          <w:color w:val="auto"/>
          <w:spacing w:val="-2"/>
          <w:sz w:val="24"/>
          <w:szCs w:val="24"/>
          <w:highlight w:val="none"/>
        </w:rPr>
        <w:t>的响应，否则，视为投标文件存在重大偏差，投标人的投标将被否决。</w:t>
      </w:r>
    </w:p>
    <w:p w14:paraId="2550F425">
      <w:pPr>
        <w:spacing w:before="183" w:line="360" w:lineRule="auto"/>
        <w:ind w:left="1428"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投标文件存在第三章“评标办法”中所列任一否决投标情形的，均属于存在重大偏</w:t>
      </w:r>
      <w:r>
        <w:rPr>
          <w:rFonts w:ascii="宋体" w:hAnsi="宋体" w:eastAsia="宋体" w:cs="宋体"/>
          <w:color w:val="auto"/>
          <w:spacing w:val="-12"/>
          <w:sz w:val="24"/>
          <w:szCs w:val="24"/>
          <w:highlight w:val="none"/>
        </w:rPr>
        <w:t>差。</w:t>
      </w:r>
    </w:p>
    <w:p w14:paraId="401EF1AF">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1.12.3 投标文件中的下列偏差为细微偏差：</w:t>
      </w:r>
    </w:p>
    <w:p w14:paraId="1C7ED388">
      <w:pPr>
        <w:spacing w:before="181" w:line="313" w:lineRule="auto"/>
        <w:ind w:left="1425" w:right="1174"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（1）在按照第三章“评标办法”的规定对投标价进行算术性错误修正及其他错误</w:t>
      </w:r>
      <w:r>
        <w:rPr>
          <w:rFonts w:ascii="宋体" w:hAnsi="宋体" w:eastAsia="宋体" w:cs="宋体"/>
          <w:color w:val="auto"/>
          <w:spacing w:val="3"/>
          <w:sz w:val="24"/>
          <w:szCs w:val="24"/>
          <w:highlight w:val="none"/>
        </w:rPr>
        <w:t xml:space="preserve"> </w:t>
      </w:r>
      <w:r>
        <w:rPr>
          <w:rFonts w:ascii="宋体" w:hAnsi="宋体" w:eastAsia="宋体" w:cs="宋体"/>
          <w:color w:val="auto"/>
          <w:spacing w:val="-1"/>
          <w:sz w:val="24"/>
          <w:szCs w:val="24"/>
          <w:highlight w:val="none"/>
        </w:rPr>
        <w:t>修正后，最终投标报价未超过最高投标限价（如</w:t>
      </w:r>
      <w:r>
        <w:rPr>
          <w:rFonts w:ascii="宋体" w:hAnsi="宋体" w:eastAsia="宋体" w:cs="宋体"/>
          <w:color w:val="auto"/>
          <w:spacing w:val="-2"/>
          <w:sz w:val="24"/>
          <w:szCs w:val="24"/>
          <w:highlight w:val="none"/>
        </w:rPr>
        <w:t>有）的情况下，出现第三章“评标办法”</w:t>
      </w:r>
      <w:r>
        <w:rPr>
          <w:rFonts w:ascii="宋体" w:hAnsi="宋体" w:eastAsia="宋体" w:cs="宋体"/>
          <w:color w:val="auto"/>
          <w:spacing w:val="-4"/>
          <w:sz w:val="24"/>
          <w:szCs w:val="24"/>
          <w:highlight w:val="none"/>
        </w:rPr>
        <w:t>规定的算术性错误和投标报价的其他错误；</w:t>
      </w:r>
    </w:p>
    <w:p w14:paraId="7C5552AA">
      <w:pPr>
        <w:spacing w:before="184" w:line="290" w:lineRule="auto"/>
        <w:ind w:left="1428" w:right="1433"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（2）施工组织设计</w:t>
      </w:r>
      <w:r>
        <w:rPr>
          <w:rFonts w:ascii="宋体" w:hAnsi="宋体" w:eastAsia="宋体" w:cs="宋体"/>
          <w:color w:val="auto"/>
          <w:spacing w:val="-91"/>
          <w:sz w:val="24"/>
          <w:szCs w:val="24"/>
          <w:highlight w:val="none"/>
        </w:rPr>
        <w:t xml:space="preserve"> </w:t>
      </w:r>
      <w:r>
        <w:rPr>
          <w:rFonts w:ascii="宋体" w:hAnsi="宋体" w:eastAsia="宋体" w:cs="宋体"/>
          <w:color w:val="auto"/>
          <w:spacing w:val="-111"/>
          <w:sz w:val="24"/>
          <w:szCs w:val="24"/>
          <w:highlight w:val="none"/>
          <w:u w:val="single" w:color="auto"/>
        </w:rPr>
        <w:t xml:space="preserve"> </w:t>
      </w:r>
      <w:r>
        <w:rPr>
          <w:rFonts w:ascii="宋体" w:hAnsi="宋体" w:eastAsia="宋体" w:cs="宋体"/>
          <w:strike/>
          <w:dstrike w:val="0"/>
          <w:color w:val="auto"/>
          <w:sz w:val="24"/>
          <w:szCs w:val="24"/>
          <w:highlight w:val="none"/>
          <w:u w:val="single" w:color="auto"/>
        </w:rPr>
        <w:t>及承包人项目管理方案</w:t>
      </w:r>
      <w:r>
        <w:rPr>
          <w:rFonts w:ascii="宋体" w:hAnsi="宋体" w:eastAsia="宋体" w:cs="宋体"/>
          <w:color w:val="auto"/>
          <w:sz w:val="24"/>
          <w:szCs w:val="24"/>
          <w:highlight w:val="none"/>
        </w:rPr>
        <w:t>（含关键工程技术方案）和项目管理机</w:t>
      </w:r>
      <w:r>
        <w:rPr>
          <w:rFonts w:ascii="宋体" w:hAnsi="宋体" w:eastAsia="宋体" w:cs="宋体"/>
          <w:color w:val="auto"/>
          <w:spacing w:val="-10"/>
          <w:sz w:val="24"/>
          <w:szCs w:val="24"/>
          <w:highlight w:val="none"/>
        </w:rPr>
        <w:t>构不够完善；</w:t>
      </w:r>
    </w:p>
    <w:p w14:paraId="48CCC60E">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（3）投标文件页码不连续、个别文字有遗漏错误等不影响投标文件实质性内容的</w:t>
      </w:r>
    </w:p>
    <w:p w14:paraId="4FAFE2D8">
      <w:pPr>
        <w:spacing w:before="78" w:line="220" w:lineRule="auto"/>
        <w:ind w:left="1425"/>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偏差。</w:t>
      </w:r>
    </w:p>
    <w:p w14:paraId="0AF56B28">
      <w:pPr>
        <w:spacing w:before="182"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1.12.4 评标委员会对投标文件中的细微偏差按如下规定处理：</w:t>
      </w:r>
    </w:p>
    <w:p w14:paraId="58CC556B">
      <w:pPr>
        <w:spacing w:before="182" w:line="290" w:lineRule="auto"/>
        <w:ind w:left="1426" w:right="141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（1）对于本章第 1.12.3</w:t>
      </w:r>
      <w:r>
        <w:rPr>
          <w:rFonts w:ascii="宋体" w:hAnsi="宋体" w:eastAsia="宋体" w:cs="宋体"/>
          <w:color w:val="auto"/>
          <w:spacing w:val="-26"/>
          <w:sz w:val="24"/>
          <w:szCs w:val="24"/>
          <w:highlight w:val="none"/>
        </w:rPr>
        <w:t xml:space="preserve"> </w:t>
      </w:r>
      <w:r>
        <w:rPr>
          <w:rFonts w:ascii="宋体" w:hAnsi="宋体" w:eastAsia="宋体" w:cs="宋体"/>
          <w:color w:val="auto"/>
          <w:spacing w:val="-1"/>
          <w:sz w:val="24"/>
          <w:szCs w:val="24"/>
          <w:highlight w:val="none"/>
        </w:rPr>
        <w:t>项（1）目所述的细微偏差，按照第三章“评标办法”的</w:t>
      </w:r>
      <w:r>
        <w:rPr>
          <w:rFonts w:ascii="宋体" w:hAnsi="宋体" w:eastAsia="宋体" w:cs="宋体"/>
          <w:color w:val="auto"/>
          <w:spacing w:val="-4"/>
          <w:sz w:val="24"/>
          <w:szCs w:val="24"/>
          <w:highlight w:val="none"/>
        </w:rPr>
        <w:t>规定予以修正并要求投标人进行澄清；</w:t>
      </w:r>
    </w:p>
    <w:p w14:paraId="1A4A01E1">
      <w:pPr>
        <w:spacing w:before="181" w:line="325" w:lineRule="auto"/>
        <w:ind w:left="1424" w:right="1416" w:firstLine="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（2）对于本章第 1.12.3</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项（2）目所述的细微偏差，如果采用合理低价法</w:t>
      </w:r>
      <w:r>
        <w:rPr>
          <w:rFonts w:ascii="宋体" w:hAnsi="宋体" w:eastAsia="宋体" w:cs="宋体"/>
          <w:color w:val="auto"/>
          <w:spacing w:val="-3"/>
          <w:sz w:val="24"/>
          <w:szCs w:val="24"/>
          <w:highlight w:val="none"/>
        </w:rPr>
        <w:t>评标，</w:t>
      </w:r>
      <w:r>
        <w:rPr>
          <w:rFonts w:ascii="宋体" w:hAnsi="宋体" w:eastAsia="宋体" w:cs="宋体"/>
          <w:color w:val="auto"/>
          <w:spacing w:val="-2"/>
          <w:sz w:val="24"/>
          <w:szCs w:val="24"/>
          <w:highlight w:val="none"/>
        </w:rPr>
        <w:t>应要求投标人对细微偏差进行澄清，只有投标人的澄清文件被评标委员会接受，投标人才能参加评标价的最终评比。如果采用技术评分合理低价法或技术评分最低标价法或综</w:t>
      </w:r>
      <w:r>
        <w:rPr>
          <w:rFonts w:ascii="宋体" w:hAnsi="宋体" w:eastAsia="宋体" w:cs="宋体"/>
          <w:color w:val="auto"/>
          <w:spacing w:val="-3"/>
          <w:sz w:val="24"/>
          <w:szCs w:val="24"/>
          <w:highlight w:val="none"/>
        </w:rPr>
        <w:t>合评分法评标，可在相关评分因素的评分中酌情扣分；</w:t>
      </w:r>
    </w:p>
    <w:p w14:paraId="13D34051">
      <w:pPr>
        <w:spacing w:before="183" w:line="290" w:lineRule="auto"/>
        <w:ind w:left="1429" w:right="1425"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（3）对于本章第 1.12.3</w:t>
      </w:r>
      <w:r>
        <w:rPr>
          <w:rFonts w:ascii="宋体" w:hAnsi="宋体" w:eastAsia="宋体" w:cs="宋体"/>
          <w:color w:val="auto"/>
          <w:spacing w:val="-34"/>
          <w:sz w:val="24"/>
          <w:szCs w:val="24"/>
          <w:highlight w:val="none"/>
        </w:rPr>
        <w:t xml:space="preserve"> </w:t>
      </w:r>
      <w:r>
        <w:rPr>
          <w:rFonts w:ascii="宋体" w:hAnsi="宋体" w:eastAsia="宋体" w:cs="宋体"/>
          <w:color w:val="auto"/>
          <w:spacing w:val="-1"/>
          <w:sz w:val="24"/>
          <w:szCs w:val="24"/>
          <w:highlight w:val="none"/>
        </w:rPr>
        <w:t>项（3）目所述的细微偏差，可要求投标人对细微偏差进</w:t>
      </w:r>
      <w:r>
        <w:rPr>
          <w:rFonts w:ascii="宋体" w:hAnsi="宋体" w:eastAsia="宋体" w:cs="宋体"/>
          <w:color w:val="auto"/>
          <w:spacing w:val="-10"/>
          <w:sz w:val="24"/>
          <w:szCs w:val="24"/>
          <w:highlight w:val="none"/>
        </w:rPr>
        <w:t>行澄清。</w:t>
      </w:r>
    </w:p>
    <w:p w14:paraId="5548CD8A">
      <w:pPr>
        <w:spacing w:before="182" w:line="360" w:lineRule="auto"/>
        <w:ind w:left="1454" w:right="1416" w:firstLine="468"/>
        <w:rPr>
          <w:rFonts w:ascii="宋体" w:hAnsi="宋体" w:eastAsia="宋体" w:cs="宋体"/>
          <w:color w:val="auto"/>
          <w:sz w:val="24"/>
          <w:szCs w:val="24"/>
          <w:highlight w:val="none"/>
        </w:rPr>
      </w:pPr>
      <w:r>
        <w:rPr>
          <w:rFonts w:ascii="宋体" w:hAnsi="宋体" w:eastAsia="宋体" w:cs="宋体"/>
          <w:color w:val="auto"/>
          <w:sz w:val="24"/>
          <w:szCs w:val="24"/>
          <w:highlight w:val="none"/>
        </w:rPr>
        <w:t>1.12.5 投标人应根据招标文件的要求提供施工组织设计</w:t>
      </w:r>
      <w:r>
        <w:rPr>
          <w:rFonts w:ascii="宋体" w:hAnsi="宋体" w:eastAsia="宋体" w:cs="宋体"/>
          <w:strike/>
          <w:dstrike w:val="0"/>
          <w:color w:val="auto"/>
          <w:spacing w:val="-104"/>
          <w:sz w:val="24"/>
          <w:szCs w:val="24"/>
          <w:highlight w:val="none"/>
        </w:rPr>
        <w:t xml:space="preserve"> </w:t>
      </w:r>
      <w:r>
        <w:rPr>
          <w:rFonts w:ascii="宋体" w:hAnsi="宋体" w:eastAsia="宋体" w:cs="宋体"/>
          <w:strike/>
          <w:dstrike w:val="0"/>
          <w:color w:val="auto"/>
          <w:spacing w:val="-110"/>
          <w:sz w:val="24"/>
          <w:szCs w:val="24"/>
          <w:highlight w:val="none"/>
          <w:u w:val="single" w:color="auto"/>
        </w:rPr>
        <w:t xml:space="preserve"> </w:t>
      </w:r>
      <w:r>
        <w:rPr>
          <w:rFonts w:ascii="宋体" w:hAnsi="宋体" w:eastAsia="宋体" w:cs="宋体"/>
          <w:strike/>
          <w:dstrike w:val="0"/>
          <w:color w:val="auto"/>
          <w:sz w:val="24"/>
          <w:szCs w:val="24"/>
          <w:highlight w:val="none"/>
          <w:u w:val="single" w:color="auto"/>
        </w:rPr>
        <w:t>及承包人项目管理方案</w:t>
      </w:r>
      <w:r>
        <w:rPr>
          <w:rFonts w:ascii="宋体" w:hAnsi="宋体" w:eastAsia="宋体" w:cs="宋体"/>
          <w:color w:val="auto"/>
          <w:spacing w:val="-114"/>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等</w:t>
      </w:r>
      <w:r>
        <w:rPr>
          <w:rFonts w:ascii="宋体" w:hAnsi="宋体" w:eastAsia="宋体" w:cs="宋体"/>
          <w:color w:val="auto"/>
          <w:spacing w:val="-6"/>
          <w:sz w:val="24"/>
          <w:szCs w:val="24"/>
          <w:highlight w:val="none"/>
        </w:rPr>
        <w:t>内容以对招标文件作出响应。</w:t>
      </w:r>
    </w:p>
    <w:p w14:paraId="210EF1AE">
      <w:pPr>
        <w:spacing w:before="1" w:line="219" w:lineRule="auto"/>
        <w:ind w:left="1428"/>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2.</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6"/>
          <w:sz w:val="24"/>
          <w:szCs w:val="24"/>
          <w:highlight w:val="none"/>
        </w:rPr>
        <w:t>招标文件</w:t>
      </w:r>
    </w:p>
    <w:p w14:paraId="377A5FE8">
      <w:pPr>
        <w:spacing w:before="182" w:line="220" w:lineRule="auto"/>
        <w:ind w:left="14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招标文件的组成</w:t>
      </w:r>
    </w:p>
    <w:p w14:paraId="0B056213">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本招标文件包括：</w:t>
      </w:r>
    </w:p>
    <w:p w14:paraId="3C24E765">
      <w:pPr>
        <w:spacing w:before="184" w:line="218"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（1）招标公告</w:t>
      </w:r>
      <w:r>
        <w:rPr>
          <w:rFonts w:ascii="宋体" w:hAnsi="宋体" w:eastAsia="宋体" w:cs="宋体"/>
          <w:strike/>
          <w:dstrike w:val="0"/>
          <w:color w:val="auto"/>
          <w:spacing w:val="-5"/>
          <w:sz w:val="24"/>
          <w:szCs w:val="24"/>
          <w:highlight w:val="none"/>
        </w:rPr>
        <w:t>（或投标邀请书</w:t>
      </w:r>
      <w:r>
        <w:rPr>
          <w:rFonts w:ascii="宋体" w:hAnsi="宋体" w:eastAsia="宋体" w:cs="宋体"/>
          <w:strike/>
          <w:dstrike w:val="0"/>
          <w:color w:val="auto"/>
          <w:sz w:val="24"/>
          <w:szCs w:val="24"/>
          <w:highlight w:val="none"/>
        </w:rPr>
        <w:t>）</w:t>
      </w:r>
      <w:r>
        <w:rPr>
          <w:rFonts w:ascii="宋体" w:hAnsi="宋体" w:eastAsia="宋体" w:cs="宋体"/>
          <w:color w:val="auto"/>
          <w:sz w:val="24"/>
          <w:szCs w:val="24"/>
          <w:highlight w:val="none"/>
        </w:rPr>
        <w:t>；</w:t>
      </w:r>
    </w:p>
    <w:p w14:paraId="1D783370">
      <w:pPr>
        <w:spacing w:before="184" w:line="220" w:lineRule="auto"/>
        <w:ind w:left="1911"/>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（2）投标人须知；</w:t>
      </w:r>
    </w:p>
    <w:p w14:paraId="23CD6749">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（3）评标办法；</w:t>
      </w:r>
    </w:p>
    <w:p w14:paraId="75288FF5">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（4）合同条款及格式；</w:t>
      </w:r>
    </w:p>
    <w:p w14:paraId="3C337602">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（5）工程量清单；</w:t>
      </w:r>
    </w:p>
    <w:p w14:paraId="739D8F66">
      <w:pPr>
        <w:spacing w:before="182" w:line="221" w:lineRule="auto"/>
        <w:ind w:left="191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（6）图纸；</w:t>
      </w:r>
    </w:p>
    <w:p w14:paraId="388CFA26">
      <w:pPr>
        <w:spacing w:before="180" w:line="220" w:lineRule="auto"/>
        <w:ind w:left="1911"/>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（7）技术规范；</w:t>
      </w:r>
    </w:p>
    <w:p w14:paraId="0FE16768">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（8）工程量清单计量规则；</w:t>
      </w:r>
    </w:p>
    <w:p w14:paraId="37EA0A47">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（9）投标文件格式；</w:t>
      </w:r>
    </w:p>
    <w:p w14:paraId="0121B971">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（10）投标人须知前附表规定的其他资料。</w:t>
      </w:r>
    </w:p>
    <w:p w14:paraId="1BA9EBEB">
      <w:pPr>
        <w:spacing w:before="183" w:line="360" w:lineRule="auto"/>
        <w:ind w:left="1426" w:right="1424" w:firstLine="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根据本章第</w:t>
      </w:r>
      <w:r>
        <w:rPr>
          <w:rFonts w:ascii="宋体" w:hAnsi="宋体" w:eastAsia="宋体" w:cs="宋体"/>
          <w:color w:val="auto"/>
          <w:spacing w:val="-30"/>
          <w:sz w:val="24"/>
          <w:szCs w:val="24"/>
          <w:highlight w:val="none"/>
        </w:rPr>
        <w:t xml:space="preserve"> </w:t>
      </w:r>
      <w:r>
        <w:rPr>
          <w:rFonts w:ascii="宋体" w:hAnsi="宋体" w:eastAsia="宋体" w:cs="宋体"/>
          <w:color w:val="auto"/>
          <w:spacing w:val="-1"/>
          <w:sz w:val="24"/>
          <w:szCs w:val="24"/>
          <w:highlight w:val="none"/>
        </w:rPr>
        <w:t>1.10</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款、第</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2.2</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款和第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2.3</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款对招标文件所作的澄清、</w:t>
      </w:r>
      <w:r>
        <w:rPr>
          <w:rFonts w:ascii="宋体" w:hAnsi="宋体" w:eastAsia="宋体" w:cs="宋体"/>
          <w:color w:val="auto"/>
          <w:spacing w:val="-2"/>
          <w:sz w:val="24"/>
          <w:szCs w:val="24"/>
          <w:highlight w:val="none"/>
        </w:rPr>
        <w:t>修改，构成招</w:t>
      </w:r>
      <w:r>
        <w:rPr>
          <w:rFonts w:ascii="宋体" w:hAnsi="宋体" w:eastAsia="宋体" w:cs="宋体"/>
          <w:color w:val="auto"/>
          <w:spacing w:val="-5"/>
          <w:sz w:val="24"/>
          <w:szCs w:val="24"/>
          <w:highlight w:val="none"/>
        </w:rPr>
        <w:t>标文件的组成部分。</w:t>
      </w:r>
    </w:p>
    <w:p w14:paraId="4F878D76">
      <w:pPr>
        <w:spacing w:line="360" w:lineRule="auto"/>
        <w:ind w:left="1445" w:right="1416" w:firstLine="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当招标文件、招标文件的澄清或修改等在同一内容的表述上不一致时，以最后</w:t>
      </w:r>
      <w:r>
        <w:rPr>
          <w:rFonts w:ascii="宋体" w:hAnsi="宋体" w:eastAsia="宋体" w:cs="宋体"/>
          <w:color w:val="auto"/>
          <w:spacing w:val="-3"/>
          <w:sz w:val="24"/>
          <w:szCs w:val="24"/>
          <w:highlight w:val="none"/>
        </w:rPr>
        <w:t>发出</w:t>
      </w:r>
      <w:r>
        <w:rPr>
          <w:rFonts w:ascii="宋体" w:hAnsi="宋体" w:eastAsia="宋体" w:cs="宋体"/>
          <w:color w:val="auto"/>
          <w:spacing w:val="-7"/>
          <w:sz w:val="24"/>
          <w:szCs w:val="24"/>
          <w:highlight w:val="none"/>
        </w:rPr>
        <w:t>的书面文件为准。</w:t>
      </w:r>
    </w:p>
    <w:p w14:paraId="3286CE96">
      <w:pPr>
        <w:spacing w:before="1" w:line="219" w:lineRule="auto"/>
        <w:ind w:left="14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招标文件的澄清</w:t>
      </w:r>
    </w:p>
    <w:p w14:paraId="7364DBA7">
      <w:pPr>
        <w:pStyle w:val="3"/>
        <w:spacing w:line="268" w:lineRule="auto"/>
        <w:rPr>
          <w:color w:val="auto"/>
          <w:highlight w:val="none"/>
        </w:rPr>
      </w:pPr>
    </w:p>
    <w:p w14:paraId="152BE65F">
      <w:pPr>
        <w:spacing w:before="78" w:line="313" w:lineRule="auto"/>
        <w:ind w:left="1424" w:right="1416"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2.2.1 投标人应仔细阅读和检查招标文件的全部内容。如发现缺页或附件不全， 应</w:t>
      </w:r>
      <w:r>
        <w:rPr>
          <w:rFonts w:ascii="宋体" w:hAnsi="宋体" w:eastAsia="宋体" w:cs="宋体"/>
          <w:color w:val="auto"/>
          <w:spacing w:val="-6"/>
          <w:sz w:val="24"/>
          <w:szCs w:val="24"/>
          <w:highlight w:val="none"/>
        </w:rPr>
        <w:t>及时向招标人提出，以便补齐。如有疑问，</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应按投标人须知前附表规定的时间</w:t>
      </w:r>
      <w:r>
        <w:rPr>
          <w:rFonts w:hint="eastAsia" w:ascii="宋体" w:hAnsi="宋体" w:eastAsia="宋体" w:cs="宋体"/>
          <w:color w:val="auto"/>
          <w:spacing w:val="-6"/>
          <w:sz w:val="24"/>
          <w:szCs w:val="24"/>
          <w:highlight w:val="none"/>
          <w:u w:val="single"/>
          <w:lang w:eastAsia="zh-CN"/>
        </w:rPr>
        <w:t>在</w:t>
      </w:r>
      <w:r>
        <w:rPr>
          <w:rFonts w:hint="eastAsia" w:ascii="宋体" w:hAnsi="宋体" w:eastAsia="宋体" w:cs="宋体"/>
          <w:color w:val="auto"/>
          <w:spacing w:val="-6"/>
          <w:sz w:val="24"/>
          <w:szCs w:val="24"/>
          <w:highlight w:val="none"/>
          <w:u w:val="single"/>
        </w:rPr>
        <w:t>广州交易集团有限公司（广州公共资源交易中心）网站</w:t>
      </w:r>
      <w:r>
        <w:rPr>
          <w:rFonts w:hint="eastAsia" w:ascii="宋体" w:hAnsi="宋体" w:eastAsia="宋体" w:cs="宋体"/>
          <w:color w:val="auto"/>
          <w:spacing w:val="-2"/>
          <w:sz w:val="24"/>
          <w:szCs w:val="24"/>
          <w:highlight w:val="none"/>
          <w:u w:val="single"/>
        </w:rPr>
        <w:t>上提出</w:t>
      </w:r>
      <w:r>
        <w:rPr>
          <w:rFonts w:ascii="宋体" w:hAnsi="宋体" w:eastAsia="宋体" w:cs="宋体"/>
          <w:color w:val="auto"/>
          <w:spacing w:val="-2"/>
          <w:sz w:val="24"/>
          <w:szCs w:val="24"/>
          <w:highlight w:val="none"/>
        </w:rPr>
        <w:t>，要求招标人对招标文件予以澄清。</w:t>
      </w:r>
    </w:p>
    <w:p w14:paraId="70DD6279">
      <w:pPr>
        <w:spacing w:before="183" w:line="313" w:lineRule="auto"/>
        <w:ind w:left="1428" w:right="1416"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2.2.2 招标文件的澄清以投标人须知前附表规定的形</w:t>
      </w:r>
      <w:r>
        <w:rPr>
          <w:rFonts w:ascii="宋体" w:hAnsi="宋体" w:eastAsia="宋体" w:cs="宋体"/>
          <w:color w:val="auto"/>
          <w:spacing w:val="4"/>
          <w:sz w:val="24"/>
          <w:szCs w:val="24"/>
          <w:highlight w:val="none"/>
        </w:rPr>
        <w:t>式发给</w:t>
      </w:r>
      <w:r>
        <w:rPr>
          <w:rFonts w:hint="eastAsia" w:ascii="宋体" w:hAnsi="宋体" w:eastAsia="宋体" w:cs="宋体"/>
          <w:color w:val="auto"/>
          <w:spacing w:val="4"/>
          <w:sz w:val="24"/>
          <w:szCs w:val="24"/>
          <w:highlight w:val="none"/>
          <w:u w:val="single"/>
        </w:rPr>
        <w:t>所有潜在投标人</w:t>
      </w:r>
      <w:r>
        <w:rPr>
          <w:rFonts w:ascii="宋体" w:hAnsi="宋体" w:eastAsia="宋体" w:cs="宋体"/>
          <w:color w:val="auto"/>
          <w:spacing w:val="-2"/>
          <w:sz w:val="24"/>
          <w:szCs w:val="24"/>
          <w:highlight w:val="none"/>
        </w:rPr>
        <w:t>，但不指明澄清问题的来源。澄清发出的时间距本章第</w:t>
      </w:r>
      <w:r>
        <w:rPr>
          <w:rFonts w:ascii="宋体" w:hAnsi="宋体" w:eastAsia="宋体" w:cs="宋体"/>
          <w:color w:val="auto"/>
          <w:spacing w:val="-52"/>
          <w:sz w:val="24"/>
          <w:szCs w:val="24"/>
          <w:highlight w:val="none"/>
        </w:rPr>
        <w:t xml:space="preserve"> </w:t>
      </w:r>
      <w:r>
        <w:rPr>
          <w:rFonts w:ascii="宋体" w:hAnsi="宋体" w:eastAsia="宋体" w:cs="宋体"/>
          <w:color w:val="auto"/>
          <w:spacing w:val="-2"/>
          <w:sz w:val="24"/>
          <w:szCs w:val="24"/>
          <w:highlight w:val="none"/>
        </w:rPr>
        <w:t>4.2.1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项规定的投</w:t>
      </w:r>
      <w:r>
        <w:rPr>
          <w:rFonts w:ascii="宋体" w:hAnsi="宋体" w:eastAsia="宋体" w:cs="宋体"/>
          <w:color w:val="auto"/>
          <w:spacing w:val="-3"/>
          <w:sz w:val="24"/>
          <w:szCs w:val="24"/>
          <w:highlight w:val="none"/>
        </w:rPr>
        <w:t>标截止时间不足</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15日，且澄清内容可能影响投</w:t>
      </w:r>
      <w:r>
        <w:rPr>
          <w:rFonts w:ascii="宋体" w:hAnsi="宋体" w:eastAsia="宋体" w:cs="宋体"/>
          <w:color w:val="auto"/>
          <w:spacing w:val="-4"/>
          <w:sz w:val="24"/>
          <w:szCs w:val="24"/>
          <w:highlight w:val="none"/>
        </w:rPr>
        <w:t>标文件编制的，将相应延长投标截止时间。</w:t>
      </w:r>
    </w:p>
    <w:p w14:paraId="7FB292C3">
      <w:pPr>
        <w:spacing w:before="181" w:line="290" w:lineRule="auto"/>
        <w:ind w:left="1454" w:right="1416" w:firstLine="45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2.2.3 投标人应注意及时浏览网上发出的澄清，因投标人自身原因未及时获知澄清</w:t>
      </w:r>
      <w:r>
        <w:rPr>
          <w:rFonts w:ascii="宋体" w:hAnsi="宋体" w:eastAsia="宋体" w:cs="宋体"/>
          <w:color w:val="auto"/>
          <w:spacing w:val="-4"/>
          <w:sz w:val="24"/>
          <w:szCs w:val="24"/>
          <w:highlight w:val="none"/>
        </w:rPr>
        <w:t>内容而导致的任何后果将由投标人自行承担。</w:t>
      </w:r>
    </w:p>
    <w:p w14:paraId="2C601BF8">
      <w:pPr>
        <w:spacing w:before="182" w:line="290" w:lineRule="auto"/>
        <w:ind w:left="1428"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2.2.4 除非招标人认为确有必要答复，否则，招标人有权拒绝回复投标人在本章第</w:t>
      </w:r>
      <w:r>
        <w:rPr>
          <w:rFonts w:ascii="宋体" w:hAnsi="宋体" w:eastAsia="宋体" w:cs="宋体"/>
          <w:color w:val="auto"/>
          <w:spacing w:val="-3"/>
          <w:sz w:val="24"/>
          <w:szCs w:val="24"/>
          <w:highlight w:val="none"/>
        </w:rPr>
        <w:t>2.2.1</w:t>
      </w:r>
      <w:r>
        <w:rPr>
          <w:rFonts w:ascii="宋体" w:hAnsi="宋体" w:eastAsia="宋体" w:cs="宋体"/>
          <w:color w:val="auto"/>
          <w:spacing w:val="-40"/>
          <w:sz w:val="24"/>
          <w:szCs w:val="24"/>
          <w:highlight w:val="none"/>
        </w:rPr>
        <w:t xml:space="preserve"> </w:t>
      </w:r>
      <w:r>
        <w:rPr>
          <w:rFonts w:ascii="宋体" w:hAnsi="宋体" w:eastAsia="宋体" w:cs="宋体"/>
          <w:color w:val="auto"/>
          <w:spacing w:val="-3"/>
          <w:sz w:val="24"/>
          <w:szCs w:val="24"/>
          <w:highlight w:val="none"/>
        </w:rPr>
        <w:t>项规定的时间后的</w:t>
      </w:r>
      <w:r>
        <w:rPr>
          <w:rFonts w:ascii="宋体" w:hAnsi="宋体" w:eastAsia="宋体" w:cs="宋体"/>
          <w:color w:val="auto"/>
          <w:spacing w:val="-3"/>
          <w:sz w:val="24"/>
          <w:szCs w:val="24"/>
          <w:highlight w:val="none"/>
          <w:u w:val="single"/>
        </w:rPr>
        <w:t>任何澄清要求</w:t>
      </w:r>
      <w:r>
        <w:rPr>
          <w:rFonts w:ascii="宋体" w:hAnsi="宋体" w:eastAsia="宋体" w:cs="宋体"/>
          <w:color w:val="auto"/>
          <w:spacing w:val="-3"/>
          <w:sz w:val="24"/>
          <w:szCs w:val="24"/>
          <w:highlight w:val="none"/>
        </w:rPr>
        <w:t>。</w:t>
      </w:r>
    </w:p>
    <w:p w14:paraId="7C5A7DA5">
      <w:pPr>
        <w:spacing w:before="182" w:line="220" w:lineRule="auto"/>
        <w:ind w:left="14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招标文件的修改</w:t>
      </w:r>
    </w:p>
    <w:p w14:paraId="29EC2AB7">
      <w:pPr>
        <w:spacing w:before="183" w:line="313" w:lineRule="auto"/>
        <w:ind w:left="1428" w:right="1416" w:firstLine="480"/>
        <w:rPr>
          <w:rFonts w:ascii="宋体" w:hAnsi="宋体" w:eastAsia="宋体" w:cs="宋体"/>
          <w:color w:val="auto"/>
          <w:sz w:val="24"/>
          <w:szCs w:val="24"/>
          <w:highlight w:val="none"/>
          <w:u w:val="single"/>
        </w:rPr>
      </w:pPr>
      <w:r>
        <w:rPr>
          <w:rFonts w:ascii="宋体" w:hAnsi="宋体" w:eastAsia="宋体" w:cs="宋体"/>
          <w:color w:val="auto"/>
          <w:spacing w:val="-2"/>
          <w:sz w:val="24"/>
          <w:szCs w:val="24"/>
          <w:highlight w:val="none"/>
        </w:rPr>
        <w:t>2.3.1 招标人以投标人须知前附表规定的形式修改招标文件，并通知所有已登记的投标人。修改招标文件的时间距本章第4.2.1项规定的投标截止时间不足15日，且修改内容可能影响投标文件编制的，将相应延长投标截止时间</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u w:val="single"/>
        </w:rPr>
        <w:t>具体时间将在招标文件的修改、补充通知中予以明确。</w:t>
      </w:r>
    </w:p>
    <w:p w14:paraId="0BFCC160">
      <w:pPr>
        <w:spacing w:before="182" w:line="290" w:lineRule="auto"/>
        <w:ind w:left="1454" w:right="1416" w:firstLine="45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2.3.2 投标人应注意及时浏览网上发出的修改，因投标人自身原因未及时获知修改</w:t>
      </w:r>
      <w:r>
        <w:rPr>
          <w:rFonts w:ascii="宋体" w:hAnsi="宋体" w:eastAsia="宋体" w:cs="宋体"/>
          <w:color w:val="auto"/>
          <w:spacing w:val="-4"/>
          <w:sz w:val="24"/>
          <w:szCs w:val="24"/>
          <w:highlight w:val="none"/>
        </w:rPr>
        <w:t>内容而导致的任何后果将由投标人自行承担。</w:t>
      </w:r>
    </w:p>
    <w:p w14:paraId="127CABBA">
      <w:pPr>
        <w:spacing w:before="182" w:line="220" w:lineRule="auto"/>
        <w:ind w:left="14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招标文件的异议</w:t>
      </w:r>
    </w:p>
    <w:p w14:paraId="4052B08B">
      <w:pPr>
        <w:spacing w:before="183" w:line="360" w:lineRule="auto"/>
        <w:ind w:left="1428" w:right="1416"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投标人或其他利害关系人对招标文件有异议的，应在投标截止时间</w:t>
      </w:r>
      <w:r>
        <w:rPr>
          <w:rFonts w:ascii="宋体" w:hAnsi="宋体" w:eastAsia="宋体" w:cs="宋体"/>
          <w:color w:val="auto"/>
          <w:spacing w:val="-2"/>
          <w:sz w:val="24"/>
          <w:szCs w:val="24"/>
          <w:highlight w:val="none"/>
        </w:rPr>
        <w:t>10日前</w:t>
      </w:r>
      <w:r>
        <w:rPr>
          <w:rFonts w:hint="eastAsia" w:ascii="宋体" w:hAnsi="宋体" w:eastAsia="宋体" w:cs="宋体"/>
          <w:color w:val="auto"/>
          <w:spacing w:val="-2"/>
          <w:sz w:val="24"/>
          <w:szCs w:val="24"/>
          <w:highlight w:val="none"/>
        </w:rPr>
        <w:t>在</w:t>
      </w:r>
      <w:r>
        <w:rPr>
          <w:rFonts w:hint="eastAsia" w:ascii="宋体" w:hAnsi="宋体" w:eastAsia="宋体" w:cs="宋体"/>
          <w:color w:val="auto"/>
          <w:spacing w:val="-2"/>
          <w:sz w:val="24"/>
          <w:szCs w:val="24"/>
          <w:highlight w:val="none"/>
          <w:u w:val="single"/>
        </w:rPr>
        <w:t>广州交易集团有限公司（广州公共资源交易中心）网站</w:t>
      </w:r>
      <w:r>
        <w:rPr>
          <w:rFonts w:hint="eastAsia" w:ascii="宋体" w:hAnsi="宋体" w:eastAsia="宋体" w:cs="宋体"/>
          <w:color w:val="auto"/>
          <w:spacing w:val="-2"/>
          <w:sz w:val="24"/>
          <w:szCs w:val="24"/>
          <w:highlight w:val="none"/>
        </w:rPr>
        <w:t>上</w:t>
      </w:r>
      <w:r>
        <w:rPr>
          <w:rFonts w:ascii="宋体" w:hAnsi="宋体" w:eastAsia="宋体" w:cs="宋体"/>
          <w:color w:val="auto"/>
          <w:spacing w:val="-3"/>
          <w:sz w:val="24"/>
          <w:szCs w:val="24"/>
          <w:highlight w:val="none"/>
        </w:rPr>
        <w:t>提出。招标人将在收到异议之日起3日</w:t>
      </w:r>
      <w:r>
        <w:rPr>
          <w:rFonts w:ascii="宋体" w:hAnsi="宋体" w:eastAsia="宋体" w:cs="宋体"/>
          <w:color w:val="auto"/>
          <w:spacing w:val="-4"/>
          <w:sz w:val="24"/>
          <w:szCs w:val="24"/>
          <w:highlight w:val="none"/>
        </w:rPr>
        <w:t>内作出答复；作出答复前，将暂停招标投标</w:t>
      </w:r>
      <w:r>
        <w:rPr>
          <w:rFonts w:ascii="宋体" w:hAnsi="宋体" w:eastAsia="宋体" w:cs="宋体"/>
          <w:color w:val="auto"/>
          <w:spacing w:val="-11"/>
          <w:sz w:val="24"/>
          <w:szCs w:val="24"/>
          <w:highlight w:val="none"/>
        </w:rPr>
        <w:t>活动。</w:t>
      </w:r>
    </w:p>
    <w:p w14:paraId="380B0C77">
      <w:pPr>
        <w:spacing w:line="219" w:lineRule="auto"/>
        <w:ind w:left="1430"/>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3.</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7"/>
          <w:sz w:val="24"/>
          <w:szCs w:val="24"/>
          <w:highlight w:val="none"/>
        </w:rPr>
        <w:t>投标文件</w:t>
      </w:r>
    </w:p>
    <w:p w14:paraId="39450F70">
      <w:pPr>
        <w:spacing w:before="182" w:line="220"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投标文件的组成</w:t>
      </w:r>
    </w:p>
    <w:p w14:paraId="380199ED">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投标文件的组成应满足相应条款要求。</w:t>
      </w:r>
    </w:p>
    <w:p w14:paraId="081E7922">
      <w:pPr>
        <w:spacing w:before="182" w:line="220" w:lineRule="auto"/>
        <w:ind w:left="191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3.1.1 投标文件应包括下列内容：</w:t>
      </w:r>
    </w:p>
    <w:p w14:paraId="22058AC3">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第一个信封（商务及技术文件</w:t>
      </w:r>
      <w:r>
        <w:rPr>
          <w:rFonts w:ascii="宋体" w:hAnsi="宋体" w:eastAsia="宋体" w:cs="宋体"/>
          <w:color w:val="auto"/>
          <w:spacing w:val="1"/>
          <w:sz w:val="24"/>
          <w:szCs w:val="24"/>
          <w:highlight w:val="none"/>
        </w:rPr>
        <w:t>）：</w:t>
      </w:r>
    </w:p>
    <w:p w14:paraId="5EE81817">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（1）投标函及投标函附录；</w:t>
      </w:r>
    </w:p>
    <w:p w14:paraId="52F6247A">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w:t>
      </w:r>
      <w:r>
        <w:rPr>
          <w:rFonts w:hint="eastAsia" w:ascii="宋体" w:hAnsi="宋体" w:eastAsia="宋体" w:cs="宋体"/>
          <w:color w:val="auto"/>
          <w:spacing w:val="-6"/>
          <w:sz w:val="24"/>
          <w:szCs w:val="24"/>
          <w:highlight w:val="none"/>
        </w:rPr>
        <w:t>法定代表人身份证明或附有法定代表人身份证明的授权委托书</w:t>
      </w:r>
      <w:r>
        <w:rPr>
          <w:rFonts w:ascii="宋体" w:hAnsi="宋体" w:eastAsia="宋体" w:cs="宋体"/>
          <w:color w:val="auto"/>
          <w:spacing w:val="-4"/>
          <w:sz w:val="24"/>
          <w:szCs w:val="24"/>
          <w:highlight w:val="none"/>
        </w:rPr>
        <w:t>；</w:t>
      </w:r>
    </w:p>
    <w:p w14:paraId="3A95BEA9">
      <w:pPr>
        <w:spacing w:before="183"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（3）联合体协议书；</w:t>
      </w:r>
    </w:p>
    <w:p w14:paraId="2B326551">
      <w:pPr>
        <w:spacing w:before="184"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8"/>
          <w:sz w:val="24"/>
          <w:szCs w:val="24"/>
          <w:highlight w:val="none"/>
        </w:rPr>
        <w:t>（4）投标保证金；</w:t>
      </w:r>
    </w:p>
    <w:p w14:paraId="206EFDF7">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（5）施工组织设计</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11"/>
          <w:sz w:val="24"/>
          <w:szCs w:val="24"/>
          <w:highlight w:val="none"/>
          <w:u w:val="single" w:color="auto"/>
        </w:rPr>
        <w:t xml:space="preserve"> </w:t>
      </w:r>
      <w:r>
        <w:rPr>
          <w:rFonts w:ascii="宋体" w:hAnsi="宋体" w:eastAsia="宋体" w:cs="宋体"/>
          <w:strike/>
          <w:dstrike w:val="0"/>
          <w:color w:val="auto"/>
          <w:spacing w:val="-2"/>
          <w:sz w:val="24"/>
          <w:szCs w:val="24"/>
          <w:highlight w:val="none"/>
          <w:u w:val="single" w:color="auto"/>
        </w:rPr>
        <w:t>及承包人项目管理方案</w:t>
      </w:r>
      <w:r>
        <w:rPr>
          <w:rFonts w:ascii="宋体" w:hAnsi="宋体" w:eastAsia="宋体" w:cs="宋体"/>
          <w:color w:val="auto"/>
          <w:spacing w:val="-2"/>
          <w:sz w:val="24"/>
          <w:szCs w:val="24"/>
          <w:highlight w:val="none"/>
        </w:rPr>
        <w:t>；</w:t>
      </w:r>
    </w:p>
    <w:p w14:paraId="261D562A">
      <w:pPr>
        <w:spacing w:before="78" w:line="219" w:lineRule="auto"/>
        <w:ind w:left="191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（6）项目管理机构；</w:t>
      </w:r>
    </w:p>
    <w:p w14:paraId="799FD65B">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（7）资格审查资料；</w:t>
      </w:r>
    </w:p>
    <w:p w14:paraId="0AED0B5B">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（8）投标人须知前附表规定的其他资料。</w:t>
      </w:r>
    </w:p>
    <w:p w14:paraId="7FBB7A87">
      <w:pPr>
        <w:spacing w:before="183" w:line="218" w:lineRule="auto"/>
        <w:ind w:left="1905"/>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第二个信封（报价文件</w:t>
      </w:r>
      <w:r>
        <w:rPr>
          <w:rFonts w:ascii="宋体" w:hAnsi="宋体" w:eastAsia="宋体" w:cs="宋体"/>
          <w:color w:val="auto"/>
          <w:spacing w:val="-1"/>
          <w:sz w:val="24"/>
          <w:szCs w:val="24"/>
          <w:highlight w:val="none"/>
        </w:rPr>
        <w:t>）：</w:t>
      </w:r>
    </w:p>
    <w:p w14:paraId="7B80DB74">
      <w:pPr>
        <w:spacing w:before="185" w:line="218"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（1）调价函及调价后的工程量清单（如有</w:t>
      </w:r>
      <w:r>
        <w:rPr>
          <w:rFonts w:ascii="宋体" w:hAnsi="宋体" w:eastAsia="宋体" w:cs="宋体"/>
          <w:strike/>
          <w:dstrike w:val="0"/>
          <w:color w:val="auto"/>
          <w:spacing w:val="3"/>
          <w:sz w:val="24"/>
          <w:szCs w:val="24"/>
          <w:highlight w:val="none"/>
        </w:rPr>
        <w:t>）；</w:t>
      </w:r>
    </w:p>
    <w:p w14:paraId="5085F945">
      <w:pPr>
        <w:spacing w:before="185" w:line="220" w:lineRule="auto"/>
        <w:ind w:left="1911"/>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（2）投标函；</w:t>
      </w:r>
    </w:p>
    <w:p w14:paraId="31565164">
      <w:pPr>
        <w:spacing w:before="182" w:line="218"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（3）已标价工程量清单。</w:t>
      </w:r>
    </w:p>
    <w:p w14:paraId="465335D1">
      <w:pPr>
        <w:spacing w:before="184" w:line="360" w:lineRule="auto"/>
        <w:ind w:left="1424"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投标人在评标过程中作出的符合法律法规和招标文件规定的澄清确认，构成投标文</w:t>
      </w:r>
      <w:r>
        <w:rPr>
          <w:rFonts w:ascii="宋体" w:hAnsi="宋体" w:eastAsia="宋体" w:cs="宋体"/>
          <w:color w:val="auto"/>
          <w:spacing w:val="-6"/>
          <w:sz w:val="24"/>
          <w:szCs w:val="24"/>
          <w:highlight w:val="none"/>
        </w:rPr>
        <w:t>件的组成部分。</w:t>
      </w:r>
    </w:p>
    <w:p w14:paraId="7C6C1CD0">
      <w:pPr>
        <w:spacing w:before="1" w:line="289" w:lineRule="auto"/>
        <w:ind w:left="1428" w:right="1421" w:firstLine="48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3.1.2 投标人须知前附表规定不接受联合体投标的，或投标人没有组成联合体的，投标文件不包括本章第</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2"/>
          <w:sz w:val="24"/>
          <w:szCs w:val="24"/>
          <w:highlight w:val="none"/>
        </w:rPr>
        <w:t>3.1.1（3）目所指的联合体协议书。</w:t>
      </w:r>
    </w:p>
    <w:p w14:paraId="73A71B3B">
      <w:pPr>
        <w:spacing w:before="184" w:line="290" w:lineRule="auto"/>
        <w:ind w:left="1431" w:right="1416" w:firstLine="478"/>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3.1.3 投标人须知前附表未要求提交投</w:t>
      </w:r>
      <w:r>
        <w:rPr>
          <w:rFonts w:ascii="宋体" w:hAnsi="宋体" w:eastAsia="宋体" w:cs="宋体"/>
          <w:strike/>
          <w:dstrike w:val="0"/>
          <w:color w:val="auto"/>
          <w:spacing w:val="-1"/>
          <w:sz w:val="24"/>
          <w:szCs w:val="24"/>
          <w:highlight w:val="none"/>
        </w:rPr>
        <w:t>标保证金的，投标文件不包括本章第</w:t>
      </w:r>
      <w:r>
        <w:rPr>
          <w:rFonts w:ascii="宋体" w:hAnsi="宋体" w:eastAsia="宋体" w:cs="宋体"/>
          <w:strike/>
          <w:dstrike w:val="0"/>
          <w:color w:val="auto"/>
          <w:spacing w:val="-43"/>
          <w:sz w:val="24"/>
          <w:szCs w:val="24"/>
          <w:highlight w:val="none"/>
        </w:rPr>
        <w:t xml:space="preserve"> </w:t>
      </w:r>
      <w:r>
        <w:rPr>
          <w:rFonts w:ascii="宋体" w:hAnsi="宋体" w:eastAsia="宋体" w:cs="宋体"/>
          <w:strike/>
          <w:dstrike w:val="0"/>
          <w:color w:val="auto"/>
          <w:spacing w:val="-1"/>
          <w:sz w:val="24"/>
          <w:szCs w:val="24"/>
          <w:highlight w:val="none"/>
        </w:rPr>
        <w:t>3.1.1</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（4）目所指的投标保证金。</w:t>
      </w:r>
    </w:p>
    <w:p w14:paraId="4183843C">
      <w:pPr>
        <w:spacing w:before="182" w:line="218" w:lineRule="auto"/>
        <w:ind w:left="143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3.2</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6"/>
          <w:sz w:val="24"/>
          <w:szCs w:val="24"/>
          <w:highlight w:val="none"/>
        </w:rPr>
        <w:t>投标报价</w:t>
      </w:r>
    </w:p>
    <w:p w14:paraId="70AB1259">
      <w:pPr>
        <w:spacing w:before="184" w:line="360" w:lineRule="auto"/>
        <w:ind w:left="1426"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3.2.1 投标报价应包括国家规定的增值税税金，除投标人须知前附表另有规定外，增值税税金按一般计税方法计算。投标人应按第九章“投标文件格式”的要求在投标函</w:t>
      </w:r>
      <w:r>
        <w:rPr>
          <w:rFonts w:ascii="宋体" w:hAnsi="宋体" w:eastAsia="宋体" w:cs="宋体"/>
          <w:color w:val="auto"/>
          <w:spacing w:val="-3"/>
          <w:sz w:val="24"/>
          <w:szCs w:val="24"/>
          <w:highlight w:val="none"/>
        </w:rPr>
        <w:t>中进行报价并填写工程量清单相应表格。</w:t>
      </w:r>
    </w:p>
    <w:p w14:paraId="7AF92E49">
      <w:pPr>
        <w:spacing w:line="360" w:lineRule="auto"/>
        <w:ind w:left="1428"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工程量清单的填写分下列两种方式。投标人应按投标人须知前附表规定的方式填写</w:t>
      </w:r>
      <w:r>
        <w:rPr>
          <w:rFonts w:ascii="宋体" w:hAnsi="宋体" w:eastAsia="宋体" w:cs="宋体"/>
          <w:color w:val="auto"/>
          <w:spacing w:val="-7"/>
          <w:sz w:val="24"/>
          <w:szCs w:val="24"/>
          <w:highlight w:val="none"/>
        </w:rPr>
        <w:t>工程量清单。</w:t>
      </w:r>
    </w:p>
    <w:p w14:paraId="656524DC">
      <w:pPr>
        <w:spacing w:before="1" w:line="220" w:lineRule="auto"/>
        <w:ind w:left="19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方式一：</w:t>
      </w:r>
    </w:p>
    <w:p w14:paraId="00EB3437">
      <w:pPr>
        <w:spacing w:before="181" w:line="360" w:lineRule="auto"/>
        <w:ind w:left="1426" w:right="1416" w:firstLine="485"/>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（1）本项目招标采用工程量固化清单，投标人自行下载或招标人发放补遗书的同</w:t>
      </w:r>
      <w:r>
        <w:rPr>
          <w:rFonts w:ascii="宋体" w:hAnsi="宋体" w:eastAsia="宋体" w:cs="宋体"/>
          <w:color w:val="auto"/>
          <w:spacing w:val="-2"/>
          <w:sz w:val="24"/>
          <w:szCs w:val="24"/>
          <w:highlight w:val="none"/>
        </w:rPr>
        <w:t>时将工程量固化清单电子文件按投标人须知前附表载明的形式公布给投标人。投标人填写工程量清单中各子目的单价及总额价，即可完成投标工程量清单的编制，确定投标报</w:t>
      </w:r>
      <w:r>
        <w:rPr>
          <w:rFonts w:ascii="宋体" w:hAnsi="宋体" w:eastAsia="宋体" w:cs="宋体"/>
          <w:color w:val="auto"/>
          <w:spacing w:val="-5"/>
          <w:sz w:val="24"/>
          <w:szCs w:val="24"/>
          <w:highlight w:val="none"/>
        </w:rPr>
        <w:t>价编入投标文件。投标人未在工程量清单中填入单价或总额价的工程子目， 将被认为其</w:t>
      </w:r>
      <w:r>
        <w:rPr>
          <w:rFonts w:ascii="宋体" w:hAnsi="宋体" w:eastAsia="宋体" w:cs="宋体"/>
          <w:color w:val="auto"/>
          <w:spacing w:val="-2"/>
          <w:sz w:val="24"/>
          <w:szCs w:val="24"/>
          <w:highlight w:val="none"/>
        </w:rPr>
        <w:t>已包含在工程量清单其他子目的单价和总额价中，招标人将不予支付。</w:t>
      </w:r>
    </w:p>
    <w:p w14:paraId="05EB63BE">
      <w:pPr>
        <w:spacing w:line="360" w:lineRule="auto"/>
        <w:ind w:left="1427" w:right="1416"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投标人必须严格遵循工程量固化清单电子文件中的数据、格式及运算定义， 并将已</w:t>
      </w:r>
      <w:r>
        <w:rPr>
          <w:rFonts w:ascii="宋体" w:hAnsi="宋体" w:eastAsia="宋体" w:cs="宋体"/>
          <w:color w:val="auto"/>
          <w:spacing w:val="-2"/>
          <w:sz w:val="24"/>
          <w:szCs w:val="24"/>
          <w:highlight w:val="none"/>
        </w:rPr>
        <w:t>填写完毕的投标工程量清单电子文件上传到</w:t>
      </w:r>
      <w:r>
        <w:rPr>
          <w:rFonts w:hint="eastAsia" w:ascii="宋体" w:hAnsi="宋体" w:eastAsia="宋体" w:cs="宋体"/>
          <w:color w:val="auto"/>
          <w:spacing w:val="-2"/>
          <w:sz w:val="24"/>
          <w:szCs w:val="24"/>
          <w:highlight w:val="none"/>
        </w:rPr>
        <w:t>广州交易集团有限公司（广州公共资源交易中心）</w:t>
      </w:r>
      <w:r>
        <w:rPr>
          <w:rFonts w:ascii="宋体" w:hAnsi="宋体" w:eastAsia="宋体" w:cs="宋体"/>
          <w:color w:val="auto"/>
          <w:spacing w:val="-2"/>
          <w:sz w:val="24"/>
          <w:szCs w:val="24"/>
          <w:highlight w:val="none"/>
        </w:rPr>
        <w:t>。严禁投标人修改工程量</w:t>
      </w:r>
      <w:r>
        <w:rPr>
          <w:rFonts w:ascii="宋体" w:hAnsi="宋体" w:eastAsia="宋体" w:cs="宋体"/>
          <w:color w:val="auto"/>
          <w:spacing w:val="-3"/>
          <w:sz w:val="24"/>
          <w:szCs w:val="24"/>
          <w:highlight w:val="none"/>
        </w:rPr>
        <w:t>固化清单电子文件中的数据、格式及运算定义。</w:t>
      </w:r>
    </w:p>
    <w:p w14:paraId="1F600C07">
      <w:pPr>
        <w:spacing w:before="1" w:line="361" w:lineRule="auto"/>
        <w:ind w:left="1424" w:right="1416" w:firstLine="487"/>
        <w:rPr>
          <w:color w:val="auto"/>
          <w:highlight w:val="none"/>
        </w:rPr>
      </w:pPr>
      <w:r>
        <w:rPr>
          <w:rFonts w:ascii="宋体" w:hAnsi="宋体" w:eastAsia="宋体" w:cs="宋体"/>
          <w:color w:val="auto"/>
          <w:spacing w:val="1"/>
          <w:sz w:val="24"/>
          <w:szCs w:val="24"/>
          <w:highlight w:val="none"/>
        </w:rPr>
        <w:t>（2）投标人根据招标人提供的工程量固化清单电子文件填报完成并打印的投标工</w:t>
      </w:r>
      <w:r>
        <w:rPr>
          <w:rFonts w:ascii="宋体" w:hAnsi="宋体" w:eastAsia="宋体" w:cs="宋体"/>
          <w:color w:val="auto"/>
          <w:spacing w:val="-2"/>
          <w:sz w:val="24"/>
          <w:szCs w:val="24"/>
          <w:highlight w:val="none"/>
        </w:rPr>
        <w:t>程量清单中的投标总报价和投标函大写金额报价应一致，如果报价金额出现差异时，其</w:t>
      </w:r>
    </w:p>
    <w:p w14:paraId="0B324549">
      <w:pPr>
        <w:spacing w:before="78" w:line="220" w:lineRule="auto"/>
        <w:ind w:left="142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投标将被否决。</w:t>
      </w:r>
    </w:p>
    <w:p w14:paraId="459C531F">
      <w:pPr>
        <w:spacing w:before="163" w:line="365" w:lineRule="auto"/>
        <w:ind w:left="1427" w:right="1403" w:firstLine="484"/>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（3）投标报价的所有单价取小数点后两位，所有</w:t>
      </w:r>
      <w:r>
        <w:rPr>
          <w:rFonts w:ascii="宋体" w:hAnsi="宋体" w:eastAsia="宋体" w:cs="宋体"/>
          <w:color w:val="auto"/>
          <w:spacing w:val="-2"/>
          <w:sz w:val="24"/>
          <w:szCs w:val="24"/>
          <w:highlight w:val="none"/>
        </w:rPr>
        <w:t>合价和总价应四舍五入取整数。</w:t>
      </w:r>
      <w:r>
        <w:rPr>
          <w:rFonts w:ascii="宋体" w:hAnsi="宋体" w:eastAsia="宋体" w:cs="宋体"/>
          <w:color w:val="auto"/>
          <w:spacing w:val="-6"/>
          <w:sz w:val="24"/>
          <w:szCs w:val="24"/>
          <w:highlight w:val="none"/>
        </w:rPr>
        <w:t>工程量清单不需要附项目清单、分项清单及单价分析表，</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但投标人中标后，发包人可要</w:t>
      </w:r>
      <w:r>
        <w:rPr>
          <w:rFonts w:ascii="宋体" w:hAnsi="宋体" w:eastAsia="宋体" w:cs="宋体"/>
          <w:color w:val="auto"/>
          <w:spacing w:val="-2"/>
          <w:sz w:val="24"/>
          <w:szCs w:val="24"/>
          <w:highlight w:val="none"/>
        </w:rPr>
        <w:t>求中标人提交项目清单、分项清单及单价分析表，中标人不得拒绝。</w:t>
      </w:r>
    </w:p>
    <w:p w14:paraId="1EBEB0C4">
      <w:pPr>
        <w:spacing w:line="221"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3"/>
          <w:sz w:val="24"/>
          <w:szCs w:val="24"/>
          <w:highlight w:val="none"/>
        </w:rPr>
        <w:t>方式二：</w:t>
      </w:r>
    </w:p>
    <w:p w14:paraId="44F89D51">
      <w:pPr>
        <w:spacing w:before="180" w:line="360" w:lineRule="auto"/>
        <w:ind w:left="1425" w:right="1416" w:firstLine="48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（1）本项目招标由招标人提供书面工程量清单，由投标人按照招标人提供的工程</w:t>
      </w:r>
      <w:r>
        <w:rPr>
          <w:rFonts w:ascii="宋体" w:hAnsi="宋体" w:eastAsia="宋体" w:cs="宋体"/>
          <w:strike/>
          <w:dstrike w:val="0"/>
          <w:color w:val="auto"/>
          <w:spacing w:val="-2"/>
          <w:sz w:val="24"/>
          <w:szCs w:val="24"/>
          <w:highlight w:val="none"/>
        </w:rPr>
        <w:t>量清单填写本合同各工程子目的单价、合价和总额价。评标委员会将按照第三章“评标办法”的规定对投标价进行算术性错误修正及其他错误修正。</w:t>
      </w:r>
    </w:p>
    <w:p w14:paraId="7B26240B">
      <w:pPr>
        <w:spacing w:line="218" w:lineRule="auto"/>
        <w:ind w:left="19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3.2.2 投标人应充分了解本项目的总体情况以</w:t>
      </w:r>
      <w:r>
        <w:rPr>
          <w:rFonts w:ascii="宋体" w:hAnsi="宋体" w:eastAsia="宋体" w:cs="宋体"/>
          <w:color w:val="auto"/>
          <w:spacing w:val="-2"/>
          <w:sz w:val="24"/>
          <w:szCs w:val="24"/>
          <w:highlight w:val="none"/>
        </w:rPr>
        <w:t>及影响投标报价的其他要素。</w:t>
      </w:r>
    </w:p>
    <w:p w14:paraId="528063BC">
      <w:pPr>
        <w:spacing w:before="184" w:line="313" w:lineRule="auto"/>
        <w:ind w:left="1429"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3.2.3 本项目的报价方式见投标人须知前附表。投标人在投标截止时间前修改投标函中的投标总报价，应同时修改投标文件“已标价工程量清单”中的相应报价。此修改</w:t>
      </w:r>
      <w:r>
        <w:rPr>
          <w:rFonts w:ascii="宋体" w:hAnsi="宋体" w:eastAsia="宋体" w:cs="宋体"/>
          <w:color w:val="auto"/>
          <w:spacing w:val="-4"/>
          <w:sz w:val="24"/>
          <w:szCs w:val="24"/>
          <w:highlight w:val="none"/>
        </w:rPr>
        <w:t>须符合本章第</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4.3</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款的有关要求。</w:t>
      </w:r>
    </w:p>
    <w:p w14:paraId="73DD50C8">
      <w:pPr>
        <w:spacing w:before="184" w:line="289" w:lineRule="auto"/>
        <w:ind w:left="1426" w:right="1331"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3.2.4 投标人如果发现工程量清单中的数量与图纸中数量不一致时，应立即通知招</w:t>
      </w:r>
      <w:r>
        <w:rPr>
          <w:rFonts w:ascii="宋体" w:hAnsi="宋体" w:eastAsia="宋体" w:cs="宋体"/>
          <w:color w:val="auto"/>
          <w:spacing w:val="-5"/>
          <w:sz w:val="24"/>
          <w:szCs w:val="24"/>
          <w:highlight w:val="none"/>
        </w:rPr>
        <w:t>标人核查，除非招标人以书面方式予以更正</w:t>
      </w:r>
      <w:r>
        <w:rPr>
          <w:rFonts w:ascii="宋体" w:hAnsi="宋体" w:eastAsia="宋体" w:cs="宋体"/>
          <w:color w:val="auto"/>
          <w:spacing w:val="-6"/>
          <w:sz w:val="24"/>
          <w:szCs w:val="24"/>
          <w:highlight w:val="none"/>
        </w:rPr>
        <w:t>，否则，应以工程量清单中列出的数量为准。</w:t>
      </w:r>
    </w:p>
    <w:p w14:paraId="22776583">
      <w:pPr>
        <w:spacing w:before="182" w:line="313" w:lineRule="auto"/>
        <w:ind w:left="1430" w:right="1416"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3.2.5 投标人应根据《公路水运工程安全生产监督管理办法》， 在投标总价中计入</w:t>
      </w:r>
      <w:r>
        <w:rPr>
          <w:rFonts w:ascii="宋体" w:hAnsi="宋体" w:eastAsia="宋体" w:cs="宋体"/>
          <w:color w:val="auto"/>
          <w:spacing w:val="-3"/>
          <w:sz w:val="24"/>
          <w:szCs w:val="24"/>
          <w:highlight w:val="none"/>
        </w:rPr>
        <w:t>安全生产费用，安全生产费用应符合合同条款第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9.2.5</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项的规定。工</w:t>
      </w:r>
      <w:r>
        <w:rPr>
          <w:rFonts w:ascii="宋体" w:hAnsi="宋体" w:eastAsia="宋体" w:cs="宋体"/>
          <w:color w:val="auto"/>
          <w:spacing w:val="-4"/>
          <w:sz w:val="24"/>
          <w:szCs w:val="24"/>
          <w:highlight w:val="none"/>
        </w:rPr>
        <w:t>程量清单第</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100</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章</w:t>
      </w:r>
      <w:r>
        <w:rPr>
          <w:rFonts w:ascii="宋体" w:hAnsi="宋体" w:eastAsia="宋体" w:cs="宋体"/>
          <w:color w:val="auto"/>
          <w:spacing w:val="-1"/>
          <w:sz w:val="24"/>
          <w:szCs w:val="24"/>
          <w:highlight w:val="none"/>
        </w:rPr>
        <w:t>内列有上述安全生产费的支付子目，由投标</w:t>
      </w:r>
      <w:r>
        <w:rPr>
          <w:rFonts w:ascii="宋体" w:hAnsi="宋体" w:eastAsia="宋体" w:cs="宋体"/>
          <w:color w:val="auto"/>
          <w:spacing w:val="-2"/>
          <w:sz w:val="24"/>
          <w:szCs w:val="24"/>
          <w:highlight w:val="none"/>
        </w:rPr>
        <w:t>人按招标文件的规定填写总额价。</w:t>
      </w:r>
    </w:p>
    <w:p w14:paraId="441B681F">
      <w:pPr>
        <w:spacing w:before="185" w:line="289" w:lineRule="auto"/>
        <w:ind w:left="1441" w:right="1416" w:firstLine="46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3.2.6 除投标人须知前附表另有规定外，招标人不接受调价函。若招标人接受调价函，则应在招标文件中给出调价函的格式。投标人若有调价函则</w:t>
      </w:r>
      <w:r>
        <w:rPr>
          <w:rFonts w:ascii="宋体" w:hAnsi="宋体" w:eastAsia="宋体" w:cs="宋体"/>
          <w:strike/>
          <w:dstrike w:val="0"/>
          <w:color w:val="auto"/>
          <w:spacing w:val="-3"/>
          <w:sz w:val="24"/>
          <w:szCs w:val="24"/>
          <w:highlight w:val="none"/>
        </w:rPr>
        <w:t>应遵循如下规定：</w:t>
      </w:r>
    </w:p>
    <w:p w14:paraId="33F5BAC3">
      <w:pPr>
        <w:spacing w:before="184" w:line="289" w:lineRule="auto"/>
        <w:ind w:left="1452" w:right="1437" w:firstLine="45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（1）调价函必须采用招标文件规定的格式；调价函应说明调价后的最终报</w:t>
      </w:r>
      <w:r>
        <w:rPr>
          <w:rFonts w:ascii="宋体" w:hAnsi="宋体" w:eastAsia="宋体" w:cs="宋体"/>
          <w:strike/>
          <w:dstrike w:val="0"/>
          <w:color w:val="auto"/>
          <w:sz w:val="24"/>
          <w:szCs w:val="24"/>
          <w:highlight w:val="none"/>
        </w:rPr>
        <w:t>价，并</w:t>
      </w:r>
      <w:r>
        <w:rPr>
          <w:rFonts w:ascii="宋体" w:hAnsi="宋体" w:eastAsia="宋体" w:cs="宋体"/>
          <w:strike/>
          <w:dstrike w:val="0"/>
          <w:color w:val="auto"/>
          <w:spacing w:val="-4"/>
          <w:sz w:val="24"/>
          <w:szCs w:val="24"/>
          <w:highlight w:val="none"/>
        </w:rPr>
        <w:t>以最终报价为准，而且投标人只能有一次调价的机会；</w:t>
      </w:r>
    </w:p>
    <w:p w14:paraId="783C32A4">
      <w:pPr>
        <w:spacing w:before="185" w:line="218"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（2）工程量清单中招标人指定的报价不允许调价；</w:t>
      </w:r>
    </w:p>
    <w:p w14:paraId="54F7752D">
      <w:pPr>
        <w:spacing w:before="184" w:line="290" w:lineRule="auto"/>
        <w:ind w:left="1426" w:right="1437"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（3）调价函必须附有调价后的工程量清单；调价函必须附在投标文件首页</w:t>
      </w:r>
      <w:r>
        <w:rPr>
          <w:rFonts w:ascii="宋体" w:hAnsi="宋体" w:eastAsia="宋体" w:cs="宋体"/>
          <w:strike/>
          <w:dstrike w:val="0"/>
          <w:color w:val="auto"/>
          <w:sz w:val="24"/>
          <w:szCs w:val="24"/>
          <w:highlight w:val="none"/>
        </w:rPr>
        <w:t>，与投</w:t>
      </w:r>
      <w:r>
        <w:rPr>
          <w:rFonts w:ascii="宋体" w:hAnsi="宋体" w:eastAsia="宋体" w:cs="宋体"/>
          <w:strike/>
          <w:dstrike w:val="0"/>
          <w:color w:val="auto"/>
          <w:spacing w:val="-5"/>
          <w:sz w:val="24"/>
          <w:szCs w:val="24"/>
          <w:highlight w:val="none"/>
        </w:rPr>
        <w:t>标文件一起提交。</w:t>
      </w:r>
    </w:p>
    <w:p w14:paraId="08602C89">
      <w:pPr>
        <w:spacing w:before="182" w:line="360" w:lineRule="auto"/>
        <w:ind w:left="1428" w:right="1416" w:firstLine="478"/>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若投标人未提交调价后的工程量清单，或调价函未附在投标文件首页，调价函均视为无效，仍以原报价作为最终报价。若投标人提交的调价函多于一个，或对不允许调价的内容进行了调价，或调价函有附加条件，其投标将被否决。</w:t>
      </w:r>
    </w:p>
    <w:p w14:paraId="4953D3F9">
      <w:pPr>
        <w:spacing w:before="1" w:line="361" w:lineRule="auto"/>
        <w:ind w:left="1423" w:right="1427" w:firstLine="48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（4）若招标人接受调价函，投标人调价后的工程量清单和有效调价函的大写金额</w:t>
      </w:r>
      <w:r>
        <w:rPr>
          <w:rFonts w:ascii="宋体" w:hAnsi="宋体" w:eastAsia="宋体" w:cs="宋体"/>
          <w:strike/>
          <w:dstrike w:val="0"/>
          <w:color w:val="auto"/>
          <w:spacing w:val="-1"/>
          <w:sz w:val="24"/>
          <w:szCs w:val="24"/>
          <w:highlight w:val="none"/>
        </w:rPr>
        <w:t>报价应保持一致，如果报价金额出现差异，则以有效调价函的大写</w:t>
      </w:r>
      <w:r>
        <w:rPr>
          <w:rFonts w:ascii="宋体" w:hAnsi="宋体" w:eastAsia="宋体" w:cs="宋体"/>
          <w:strike/>
          <w:dstrike w:val="0"/>
          <w:color w:val="auto"/>
          <w:spacing w:val="-2"/>
          <w:sz w:val="24"/>
          <w:szCs w:val="24"/>
          <w:highlight w:val="none"/>
        </w:rPr>
        <w:t>金额报价为准。</w:t>
      </w:r>
    </w:p>
    <w:p w14:paraId="103F6E2A">
      <w:pPr>
        <w:spacing w:before="78" w:line="289"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3.2.7 在合同实施期间，投标人填写的单价、合价和总额价是否由于物价波动进行</w:t>
      </w:r>
      <w:r>
        <w:rPr>
          <w:rFonts w:ascii="宋体" w:hAnsi="宋体" w:eastAsia="宋体" w:cs="宋体"/>
          <w:color w:val="auto"/>
          <w:spacing w:val="-4"/>
          <w:sz w:val="24"/>
          <w:szCs w:val="24"/>
          <w:highlight w:val="none"/>
        </w:rPr>
        <w:t>价格调整按照合同条款第</w:t>
      </w:r>
      <w:r>
        <w:rPr>
          <w:rFonts w:ascii="宋体" w:hAnsi="宋体" w:eastAsia="宋体" w:cs="宋体"/>
          <w:color w:val="auto"/>
          <w:spacing w:val="-22"/>
          <w:sz w:val="24"/>
          <w:szCs w:val="24"/>
          <w:highlight w:val="none"/>
        </w:rPr>
        <w:t xml:space="preserve"> </w:t>
      </w:r>
      <w:r>
        <w:rPr>
          <w:rFonts w:ascii="宋体" w:hAnsi="宋体" w:eastAsia="宋体" w:cs="宋体"/>
          <w:color w:val="auto"/>
          <w:spacing w:val="-4"/>
          <w:sz w:val="24"/>
          <w:szCs w:val="24"/>
          <w:highlight w:val="none"/>
        </w:rPr>
        <w:t>16.1</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款的规定处理。</w:t>
      </w:r>
    </w:p>
    <w:p w14:paraId="0B74BA1A">
      <w:pPr>
        <w:spacing w:before="184" w:line="289" w:lineRule="auto"/>
        <w:ind w:left="1431"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3.2.8 招标人设有最高投标限价的，投标人的投标报价不得超过最高投标限价，最</w:t>
      </w:r>
      <w:r>
        <w:rPr>
          <w:rFonts w:ascii="宋体" w:hAnsi="宋体" w:eastAsia="宋体" w:cs="宋体"/>
          <w:color w:val="auto"/>
          <w:spacing w:val="-3"/>
          <w:sz w:val="24"/>
          <w:szCs w:val="24"/>
          <w:highlight w:val="none"/>
        </w:rPr>
        <w:t>高投标限价在投标人须知前附表中载明。</w:t>
      </w:r>
    </w:p>
    <w:p w14:paraId="085D9959">
      <w:pPr>
        <w:spacing w:before="184" w:line="218" w:lineRule="auto"/>
        <w:ind w:left="19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3.2.9 投标报价的其他要求见投标人须知前附表。</w:t>
      </w:r>
    </w:p>
    <w:p w14:paraId="6DC65401">
      <w:pPr>
        <w:spacing w:before="184" w:line="220" w:lineRule="auto"/>
        <w:ind w:left="143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3.3</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投标有效期</w:t>
      </w:r>
    </w:p>
    <w:p w14:paraId="5E3ACE1B">
      <w:pPr>
        <w:spacing w:before="181" w:line="219" w:lineRule="auto"/>
        <w:ind w:left="19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3.3.1 除投标人须知前附表另有规定外，投标有效期为90日。</w:t>
      </w:r>
    </w:p>
    <w:p w14:paraId="165DC06F">
      <w:pPr>
        <w:spacing w:before="183" w:line="290"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3.3.2 在投标有效期内，投标人撤销投标文件的，应承担招标文件和法律规定的责</w:t>
      </w:r>
      <w:r>
        <w:rPr>
          <w:rFonts w:ascii="宋体" w:hAnsi="宋体" w:eastAsia="宋体" w:cs="宋体"/>
          <w:color w:val="auto"/>
          <w:spacing w:val="-11"/>
          <w:sz w:val="24"/>
          <w:szCs w:val="24"/>
          <w:highlight w:val="none"/>
        </w:rPr>
        <w:t>任。</w:t>
      </w:r>
    </w:p>
    <w:p w14:paraId="70671F7B">
      <w:pPr>
        <w:spacing w:before="186" w:line="333" w:lineRule="auto"/>
        <w:ind w:left="1426" w:right="1412"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3.3.3</w:t>
      </w:r>
      <w:r>
        <w:rPr>
          <w:rFonts w:ascii="宋体" w:hAnsi="宋体" w:eastAsia="宋体" w:cs="宋体"/>
          <w:color w:val="auto"/>
          <w:spacing w:val="30"/>
          <w:sz w:val="24"/>
          <w:szCs w:val="24"/>
          <w:highlight w:val="none"/>
        </w:rPr>
        <w:t xml:space="preserve"> </w:t>
      </w:r>
      <w:r>
        <w:rPr>
          <w:rFonts w:ascii="宋体" w:hAnsi="宋体" w:eastAsia="宋体" w:cs="宋体"/>
          <w:color w:val="auto"/>
          <w:spacing w:val="-2"/>
          <w:sz w:val="24"/>
          <w:szCs w:val="24"/>
          <w:highlight w:val="none"/>
        </w:rPr>
        <w:t>出现特殊情况需要延长投标有效期</w:t>
      </w:r>
      <w:r>
        <w:rPr>
          <w:rFonts w:ascii="宋体" w:hAnsi="宋体" w:eastAsia="宋体" w:cs="宋体"/>
          <w:color w:val="auto"/>
          <w:spacing w:val="-3"/>
          <w:sz w:val="24"/>
          <w:szCs w:val="24"/>
          <w:highlight w:val="none"/>
        </w:rPr>
        <w:t>的，招标人以书面形式通知所有投标人延</w:t>
      </w:r>
      <w:r>
        <w:rPr>
          <w:rFonts w:ascii="宋体" w:hAnsi="宋体" w:eastAsia="宋体" w:cs="宋体"/>
          <w:color w:val="auto"/>
          <w:spacing w:val="-7"/>
          <w:sz w:val="24"/>
          <w:szCs w:val="24"/>
          <w:highlight w:val="none"/>
        </w:rPr>
        <w:t>长投标有效期。投标人应予以书面答复，</w:t>
      </w:r>
      <w:r>
        <w:rPr>
          <w:rFonts w:ascii="宋体" w:hAnsi="宋体" w:eastAsia="宋体" w:cs="宋体"/>
          <w:color w:val="auto"/>
          <w:spacing w:val="86"/>
          <w:sz w:val="24"/>
          <w:szCs w:val="24"/>
          <w:highlight w:val="none"/>
        </w:rPr>
        <w:t xml:space="preserve"> </w:t>
      </w:r>
      <w:r>
        <w:rPr>
          <w:rFonts w:ascii="宋体" w:hAnsi="宋体" w:eastAsia="宋体" w:cs="宋体"/>
          <w:color w:val="auto"/>
          <w:spacing w:val="-7"/>
          <w:sz w:val="24"/>
          <w:szCs w:val="24"/>
          <w:highlight w:val="none"/>
        </w:rPr>
        <w:t>同意延长的，应相应延长其投标保证金的有效</w:t>
      </w:r>
      <w:r>
        <w:rPr>
          <w:rFonts w:ascii="宋体" w:hAnsi="宋体" w:eastAsia="宋体" w:cs="宋体"/>
          <w:color w:val="auto"/>
          <w:spacing w:val="-2"/>
          <w:sz w:val="24"/>
          <w:szCs w:val="24"/>
          <w:highlight w:val="none"/>
        </w:rPr>
        <w:t>期，但不得要求或被允许修改其投标文件；投标人拒绝延长的，其投标失效，但投标人</w:t>
      </w:r>
      <w:r>
        <w:rPr>
          <w:rFonts w:ascii="宋体" w:hAnsi="宋体" w:eastAsia="宋体" w:cs="宋体"/>
          <w:color w:val="auto"/>
          <w:spacing w:val="5"/>
          <w:sz w:val="24"/>
          <w:szCs w:val="24"/>
          <w:highlight w:val="none"/>
        </w:rPr>
        <w:t>有权收回其投标保证金及以现金或支票形式递交的投标保证金的银行同期活期存款利</w:t>
      </w:r>
      <w:r>
        <w:rPr>
          <w:rFonts w:ascii="宋体" w:hAnsi="宋体" w:eastAsia="宋体" w:cs="宋体"/>
          <w:color w:val="auto"/>
          <w:spacing w:val="-12"/>
          <w:sz w:val="24"/>
          <w:szCs w:val="24"/>
          <w:highlight w:val="none"/>
        </w:rPr>
        <w:t>息。</w:t>
      </w:r>
    </w:p>
    <w:p w14:paraId="24902691">
      <w:pPr>
        <w:spacing w:before="173" w:line="220" w:lineRule="auto"/>
        <w:ind w:left="1430"/>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3.4</w:t>
      </w:r>
      <w:r>
        <w:rPr>
          <w:rFonts w:ascii="宋体" w:hAnsi="宋体" w:eastAsia="宋体" w:cs="宋体"/>
          <w:strike/>
          <w:dstrike w:val="0"/>
          <w:color w:val="auto"/>
          <w:spacing w:val="-4"/>
          <w:sz w:val="24"/>
          <w:szCs w:val="24"/>
          <w:highlight w:val="none"/>
        </w:rPr>
        <w:t xml:space="preserve"> </w:t>
      </w:r>
      <w:r>
        <w:rPr>
          <w:rFonts w:ascii="宋体" w:hAnsi="宋体" w:eastAsia="宋体" w:cs="宋体"/>
          <w:b/>
          <w:bCs/>
          <w:strike/>
          <w:dstrike w:val="0"/>
          <w:color w:val="auto"/>
          <w:spacing w:val="-4"/>
          <w:sz w:val="24"/>
          <w:szCs w:val="24"/>
          <w:highlight w:val="none"/>
        </w:rPr>
        <w:t>投标保证金</w:t>
      </w:r>
    </w:p>
    <w:p w14:paraId="749B3DFB">
      <w:pPr>
        <w:spacing w:before="181" w:line="360" w:lineRule="auto"/>
        <w:ind w:left="1408" w:right="1403" w:firstLine="501"/>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3.4.1 投标人在递交投标文件的同时，应按投标人须知前附表规定的金额和第九章</w:t>
      </w:r>
      <w:r>
        <w:rPr>
          <w:rFonts w:ascii="宋体" w:hAnsi="宋体" w:eastAsia="宋体" w:cs="宋体"/>
          <w:strike/>
          <w:dstrike w:val="0"/>
          <w:color w:val="auto"/>
          <w:spacing w:val="-1"/>
          <w:sz w:val="24"/>
          <w:szCs w:val="24"/>
          <w:highlight w:val="none"/>
        </w:rPr>
        <w:t>“投标文件格式”规定的投标保证金格式递交投标保证金，并作为其投标文件</w:t>
      </w:r>
      <w:r>
        <w:rPr>
          <w:rFonts w:ascii="宋体" w:hAnsi="宋体" w:eastAsia="宋体" w:cs="宋体"/>
          <w:strike/>
          <w:dstrike w:val="0"/>
          <w:color w:val="auto"/>
          <w:spacing w:val="-2"/>
          <w:sz w:val="24"/>
          <w:szCs w:val="24"/>
          <w:highlight w:val="none"/>
        </w:rPr>
        <w:t>的组成部</w:t>
      </w:r>
      <w:r>
        <w:rPr>
          <w:rFonts w:ascii="宋体" w:hAnsi="宋体" w:eastAsia="宋体" w:cs="宋体"/>
          <w:strike/>
          <w:dstrike w:val="0"/>
          <w:color w:val="auto"/>
          <w:spacing w:val="-1"/>
          <w:sz w:val="24"/>
          <w:szCs w:val="24"/>
          <w:highlight w:val="none"/>
        </w:rPr>
        <w:t>分。联合体投标的，其投标保证金由牵头人递交，并应符合投标人须知前附表的规定。</w:t>
      </w:r>
    </w:p>
    <w:p w14:paraId="2BC18DF3">
      <w:pPr>
        <w:spacing w:line="360" w:lineRule="auto"/>
        <w:ind w:left="1428" w:right="1416"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投标保证金应采用现金、支票、银行保函或招标人在投标人须知前附表规定的其他</w:t>
      </w:r>
      <w:r>
        <w:rPr>
          <w:rFonts w:ascii="宋体" w:hAnsi="宋体" w:eastAsia="宋体" w:cs="宋体"/>
          <w:strike/>
          <w:dstrike w:val="0"/>
          <w:color w:val="auto"/>
          <w:spacing w:val="-11"/>
          <w:sz w:val="24"/>
          <w:szCs w:val="24"/>
          <w:highlight w:val="none"/>
        </w:rPr>
        <w:t>形式。</w:t>
      </w:r>
    </w:p>
    <w:p w14:paraId="36CFA152">
      <w:pPr>
        <w:spacing w:before="4" w:line="312" w:lineRule="auto"/>
        <w:ind w:left="1426" w:right="1416"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（1）若采用现金或支票，投标人应在递交投标文件截止时间之前，将投标保证金</w:t>
      </w:r>
      <w:r>
        <w:rPr>
          <w:rFonts w:ascii="宋体" w:hAnsi="宋体" w:eastAsia="宋体" w:cs="宋体"/>
          <w:strike/>
          <w:dstrike w:val="0"/>
          <w:color w:val="auto"/>
          <w:spacing w:val="-2"/>
          <w:sz w:val="24"/>
          <w:szCs w:val="24"/>
          <w:highlight w:val="none"/>
        </w:rPr>
        <w:t>由投标人的基本账户转入招标人指定账户，否则视为投标保证金无效。招标人指定的开</w:t>
      </w:r>
      <w:r>
        <w:rPr>
          <w:rFonts w:ascii="宋体" w:hAnsi="宋体" w:eastAsia="宋体" w:cs="宋体"/>
          <w:strike/>
          <w:dstrike w:val="0"/>
          <w:color w:val="auto"/>
          <w:spacing w:val="-3"/>
          <w:sz w:val="24"/>
          <w:szCs w:val="24"/>
          <w:highlight w:val="none"/>
        </w:rPr>
        <w:t>户银行及账号见投标人须知前附表。</w:t>
      </w:r>
    </w:p>
    <w:p w14:paraId="27264D47">
      <w:pPr>
        <w:spacing w:before="185" w:line="313" w:lineRule="auto"/>
        <w:ind w:left="1427" w:right="1416" w:firstLine="48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（2）若采用银行保函，则应由符合投标人须知前附表规定级别的银行开具，并采</w:t>
      </w:r>
      <w:r>
        <w:rPr>
          <w:rFonts w:ascii="宋体" w:hAnsi="宋体" w:eastAsia="宋体" w:cs="宋体"/>
          <w:strike/>
          <w:dstrike w:val="0"/>
          <w:color w:val="auto"/>
          <w:spacing w:val="-5"/>
          <w:sz w:val="24"/>
          <w:szCs w:val="24"/>
          <w:highlight w:val="none"/>
        </w:rPr>
        <w:t>用招标文件提供的格式。银行保函扫描件附在投标文件内， 原件应在递交投标文件截止</w:t>
      </w:r>
      <w:r>
        <w:rPr>
          <w:rFonts w:ascii="宋体" w:hAnsi="宋体" w:eastAsia="宋体" w:cs="宋体"/>
          <w:strike/>
          <w:dstrike w:val="0"/>
          <w:color w:val="auto"/>
          <w:spacing w:val="-3"/>
          <w:sz w:val="24"/>
          <w:szCs w:val="24"/>
          <w:highlight w:val="none"/>
        </w:rPr>
        <w:t>时间之前单独密封递交给招标人。</w:t>
      </w:r>
    </w:p>
    <w:p w14:paraId="722F637F">
      <w:pPr>
        <w:spacing w:before="182" w:line="360" w:lineRule="auto"/>
        <w:ind w:left="1427" w:right="1331"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无论采取何种形式的投标保证金，投标保证金有效期均应与投标有效期一致。招标</w:t>
      </w:r>
      <w:r>
        <w:rPr>
          <w:rFonts w:ascii="宋体" w:hAnsi="宋体" w:eastAsia="宋体" w:cs="宋体"/>
          <w:strike/>
          <w:dstrike w:val="0"/>
          <w:color w:val="auto"/>
          <w:spacing w:val="-5"/>
          <w:sz w:val="24"/>
          <w:szCs w:val="24"/>
          <w:highlight w:val="none"/>
        </w:rPr>
        <w:t>人如果按本章第</w:t>
      </w:r>
      <w:r>
        <w:rPr>
          <w:rFonts w:ascii="宋体" w:hAnsi="宋体" w:eastAsia="宋体" w:cs="宋体"/>
          <w:strike/>
          <w:dstrike w:val="0"/>
          <w:color w:val="auto"/>
          <w:spacing w:val="-60"/>
          <w:sz w:val="24"/>
          <w:szCs w:val="24"/>
          <w:highlight w:val="none"/>
        </w:rPr>
        <w:t xml:space="preserve"> </w:t>
      </w:r>
      <w:r>
        <w:rPr>
          <w:rFonts w:ascii="宋体" w:hAnsi="宋体" w:eastAsia="宋体" w:cs="宋体"/>
          <w:strike/>
          <w:dstrike w:val="0"/>
          <w:color w:val="auto"/>
          <w:spacing w:val="-5"/>
          <w:sz w:val="24"/>
          <w:szCs w:val="24"/>
          <w:highlight w:val="none"/>
        </w:rPr>
        <w:t>3.3.3</w:t>
      </w:r>
      <w:r>
        <w:rPr>
          <w:rFonts w:ascii="宋体" w:hAnsi="宋体" w:eastAsia="宋体" w:cs="宋体"/>
          <w:strike/>
          <w:dstrike w:val="0"/>
          <w:color w:val="auto"/>
          <w:spacing w:val="-71"/>
          <w:sz w:val="24"/>
          <w:szCs w:val="24"/>
          <w:highlight w:val="none"/>
        </w:rPr>
        <w:t xml:space="preserve"> </w:t>
      </w:r>
      <w:r>
        <w:rPr>
          <w:rFonts w:ascii="宋体" w:hAnsi="宋体" w:eastAsia="宋体" w:cs="宋体"/>
          <w:strike/>
          <w:dstrike w:val="0"/>
          <w:color w:val="auto"/>
          <w:spacing w:val="-5"/>
          <w:sz w:val="24"/>
          <w:szCs w:val="24"/>
          <w:highlight w:val="none"/>
        </w:rPr>
        <w:t>项的规定延长了投标有效期，则投标保证金的有效期也相应延长。</w:t>
      </w:r>
    </w:p>
    <w:p w14:paraId="603B5E08">
      <w:pPr>
        <w:spacing w:before="1" w:line="362" w:lineRule="auto"/>
        <w:ind w:left="1426" w:right="1416"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3.4.2 投标人不按本章第</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2"/>
          <w:sz w:val="24"/>
          <w:szCs w:val="24"/>
          <w:highlight w:val="none"/>
        </w:rPr>
        <w:t>3.4.1</w:t>
      </w:r>
      <w:r>
        <w:rPr>
          <w:rFonts w:ascii="宋体" w:hAnsi="宋体" w:eastAsia="宋体" w:cs="宋体"/>
          <w:strike/>
          <w:dstrike w:val="0"/>
          <w:color w:val="auto"/>
          <w:spacing w:val="-47"/>
          <w:sz w:val="24"/>
          <w:szCs w:val="24"/>
          <w:highlight w:val="none"/>
        </w:rPr>
        <w:t xml:space="preserve"> </w:t>
      </w:r>
      <w:r>
        <w:rPr>
          <w:rFonts w:ascii="宋体" w:hAnsi="宋体" w:eastAsia="宋体" w:cs="宋体"/>
          <w:strike/>
          <w:dstrike w:val="0"/>
          <w:color w:val="auto"/>
          <w:spacing w:val="-2"/>
          <w:sz w:val="24"/>
          <w:szCs w:val="24"/>
          <w:highlight w:val="none"/>
        </w:rPr>
        <w:t>项要求提交投标保证金的，评</w:t>
      </w:r>
      <w:r>
        <w:rPr>
          <w:rFonts w:ascii="宋体" w:hAnsi="宋体" w:eastAsia="宋体" w:cs="宋体"/>
          <w:strike/>
          <w:dstrike w:val="0"/>
          <w:color w:val="auto"/>
          <w:spacing w:val="-3"/>
          <w:sz w:val="24"/>
          <w:szCs w:val="24"/>
          <w:highlight w:val="none"/>
        </w:rPr>
        <w:t>标委员会将否决其投</w:t>
      </w:r>
      <w:r>
        <w:rPr>
          <w:rFonts w:ascii="宋体" w:hAnsi="宋体" w:eastAsia="宋体" w:cs="宋体"/>
          <w:strike/>
          <w:dstrike w:val="0"/>
          <w:color w:val="auto"/>
          <w:spacing w:val="-12"/>
          <w:sz w:val="24"/>
          <w:szCs w:val="24"/>
          <w:highlight w:val="none"/>
        </w:rPr>
        <w:t>标。</w:t>
      </w:r>
    </w:p>
    <w:p w14:paraId="76F94DF6">
      <w:pPr>
        <w:spacing w:before="78" w:line="360" w:lineRule="auto"/>
        <w:ind w:left="1424" w:right="1416" w:firstLine="485"/>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3.4.3 根据《广东省实施&lt;中华人民共和</w:t>
      </w:r>
      <w:r>
        <w:rPr>
          <w:rFonts w:ascii="宋体" w:hAnsi="宋体" w:eastAsia="宋体" w:cs="宋体"/>
          <w:strike/>
          <w:dstrike w:val="0"/>
          <w:color w:val="auto"/>
          <w:spacing w:val="-5"/>
          <w:sz w:val="24"/>
          <w:szCs w:val="24"/>
          <w:highlight w:val="none"/>
        </w:rPr>
        <w:t>国招标投标法&gt;办法》第二十五条规定， 招</w:t>
      </w:r>
      <w:r>
        <w:rPr>
          <w:rFonts w:ascii="宋体" w:hAnsi="宋体" w:eastAsia="宋体" w:cs="宋体"/>
          <w:strike/>
          <w:dstrike w:val="0"/>
          <w:color w:val="auto"/>
          <w:spacing w:val="-2"/>
          <w:sz w:val="24"/>
          <w:szCs w:val="24"/>
          <w:highlight w:val="none"/>
        </w:rPr>
        <w:t>标人应当在中标通知书发出之日起五日内将投标保证金退回中标候选人以外的投标人，在书面合同订立之日起五日内将投标保证金退回中标人和其他中标候选人。法律、行政法规规定不予退还或者可以不退还投标保证金的，从其规定。投标保证金以现金或支票形式递交的，招标人应同时退还投标保证金的银行同期活期存款利息，且退还至投标人</w:t>
      </w:r>
      <w:r>
        <w:rPr>
          <w:rFonts w:ascii="宋体" w:hAnsi="宋体" w:eastAsia="宋体" w:cs="宋体"/>
          <w:strike/>
          <w:dstrike w:val="0"/>
          <w:color w:val="auto"/>
          <w:spacing w:val="-6"/>
          <w:sz w:val="24"/>
          <w:szCs w:val="24"/>
          <w:highlight w:val="none"/>
        </w:rPr>
        <w:t>的基本账户。</w:t>
      </w:r>
    </w:p>
    <w:p w14:paraId="7183AE7D">
      <w:pPr>
        <w:spacing w:before="1" w:line="218"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利息计算原则见投标人须知前附表。</w:t>
      </w:r>
    </w:p>
    <w:p w14:paraId="5954C96C">
      <w:pPr>
        <w:spacing w:before="182" w:line="220"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3.4.4 有下列情形之一的，投标保证金将不予退还：</w:t>
      </w:r>
    </w:p>
    <w:p w14:paraId="26133B2F">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（1）投标人在投标有效期内撤销投标文件；</w:t>
      </w:r>
    </w:p>
    <w:p w14:paraId="287029A2">
      <w:pPr>
        <w:spacing w:before="183" w:line="289" w:lineRule="auto"/>
        <w:ind w:left="1436" w:right="1427" w:firstLine="47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（2）中标人在收到中标通知书后，无正当理由不与招标人订立合同，在签订合同</w:t>
      </w:r>
      <w:r>
        <w:rPr>
          <w:rFonts w:ascii="宋体" w:hAnsi="宋体" w:eastAsia="宋体" w:cs="宋体"/>
          <w:strike/>
          <w:dstrike w:val="0"/>
          <w:color w:val="auto"/>
          <w:spacing w:val="-3"/>
          <w:sz w:val="24"/>
          <w:szCs w:val="24"/>
          <w:highlight w:val="none"/>
        </w:rPr>
        <w:t>时向招标人提出附加条件，或不按照招标文件要求提交履约保证金；</w:t>
      </w:r>
    </w:p>
    <w:p w14:paraId="410ECA6E">
      <w:pPr>
        <w:spacing w:before="183"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（3）发生投标人须知前附表规定的其他可以不予退还投标保证金的情形。</w:t>
      </w:r>
    </w:p>
    <w:p w14:paraId="20B502B5">
      <w:pPr>
        <w:spacing w:before="182" w:line="220" w:lineRule="auto"/>
        <w:ind w:left="1430"/>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3"/>
          <w:sz w:val="24"/>
          <w:szCs w:val="24"/>
          <w:highlight w:val="none"/>
        </w:rPr>
        <w:t>3.5</w:t>
      </w:r>
      <w:r>
        <w:rPr>
          <w:rFonts w:ascii="宋体" w:hAnsi="宋体" w:eastAsia="宋体" w:cs="宋体"/>
          <w:strike/>
          <w:dstrike w:val="0"/>
          <w:color w:val="auto"/>
          <w:spacing w:val="-3"/>
          <w:sz w:val="24"/>
          <w:szCs w:val="24"/>
          <w:highlight w:val="none"/>
        </w:rPr>
        <w:t xml:space="preserve"> </w:t>
      </w:r>
      <w:r>
        <w:rPr>
          <w:rFonts w:ascii="宋体" w:hAnsi="宋体" w:eastAsia="宋体" w:cs="宋体"/>
          <w:b/>
          <w:bCs/>
          <w:strike/>
          <w:dstrike w:val="0"/>
          <w:color w:val="auto"/>
          <w:spacing w:val="-3"/>
          <w:sz w:val="24"/>
          <w:szCs w:val="24"/>
          <w:highlight w:val="none"/>
        </w:rPr>
        <w:t>资格审查资料（适用于已进行资格预审的）</w:t>
      </w:r>
    </w:p>
    <w:p w14:paraId="44E12835">
      <w:pPr>
        <w:spacing w:before="183" w:line="360" w:lineRule="auto"/>
        <w:ind w:left="1427" w:right="1416" w:firstLine="482"/>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3.5.1 投标人在递交投标文件前，发生可能影响其投标资格的新情况的，应在投标文件中更新或补充其在申请资格预审时提供的资料，以证实其各项资格条件仍能继续满</w:t>
      </w:r>
      <w:r>
        <w:rPr>
          <w:rFonts w:ascii="宋体" w:hAnsi="宋体" w:eastAsia="宋体" w:cs="宋体"/>
          <w:strike/>
          <w:dstrike w:val="0"/>
          <w:color w:val="auto"/>
          <w:spacing w:val="-3"/>
          <w:sz w:val="24"/>
          <w:szCs w:val="24"/>
          <w:highlight w:val="none"/>
        </w:rPr>
        <w:t>足资格预审文件的要求。投标人至少应更新以下资料（如有</w:t>
      </w:r>
      <w:r>
        <w:rPr>
          <w:rFonts w:ascii="宋体" w:hAnsi="宋体" w:eastAsia="宋体" w:cs="宋体"/>
          <w:strike/>
          <w:dstrike w:val="0"/>
          <w:color w:val="auto"/>
          <w:spacing w:val="6"/>
          <w:sz w:val="24"/>
          <w:szCs w:val="24"/>
          <w:highlight w:val="none"/>
        </w:rPr>
        <w:t>）：</w:t>
      </w:r>
    </w:p>
    <w:p w14:paraId="6C98119C">
      <w:pPr>
        <w:spacing w:before="4" w:line="313" w:lineRule="auto"/>
        <w:ind w:left="1429" w:right="1416" w:firstLine="48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（1）财务状况方面的变化，新近取得银行信贷额度（如有必要</w:t>
      </w:r>
      <w:r>
        <w:rPr>
          <w:rFonts w:ascii="宋体" w:hAnsi="宋体" w:eastAsia="宋体" w:cs="宋体"/>
          <w:strike/>
          <w:dstrike w:val="0"/>
          <w:color w:val="auto"/>
          <w:sz w:val="24"/>
          <w:szCs w:val="24"/>
          <w:highlight w:val="none"/>
        </w:rPr>
        <w:t>）的证明和（或）</w:t>
      </w:r>
      <w:r>
        <w:rPr>
          <w:rFonts w:ascii="宋体" w:hAnsi="宋体" w:eastAsia="宋体" w:cs="宋体"/>
          <w:strike/>
          <w:dstrike w:val="0"/>
          <w:color w:val="auto"/>
          <w:spacing w:val="-2"/>
          <w:sz w:val="24"/>
          <w:szCs w:val="24"/>
          <w:highlight w:val="none"/>
        </w:rPr>
        <w:t>获得其他资金来源的证据，以及现已接受（中标或签约）的新合同工程对财务状况的影</w:t>
      </w:r>
      <w:r>
        <w:rPr>
          <w:rFonts w:ascii="宋体" w:hAnsi="宋体" w:eastAsia="宋体" w:cs="宋体"/>
          <w:strike/>
          <w:dstrike w:val="0"/>
          <w:color w:val="auto"/>
          <w:spacing w:val="-18"/>
          <w:sz w:val="24"/>
          <w:szCs w:val="24"/>
          <w:highlight w:val="none"/>
        </w:rPr>
        <w:t>响；</w:t>
      </w:r>
    </w:p>
    <w:p w14:paraId="7715A744">
      <w:pPr>
        <w:spacing w:before="179"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（2）投标人名称的变化及有关批件。</w:t>
      </w:r>
    </w:p>
    <w:p w14:paraId="6BFC9CE7">
      <w:pPr>
        <w:spacing w:before="181" w:line="325" w:lineRule="auto"/>
        <w:ind w:left="1427" w:right="1416" w:firstLine="48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（3）除招标文件另有规定外，通过资格预审的申请人在编制投标文件时不需再重</w:t>
      </w:r>
      <w:r>
        <w:rPr>
          <w:rFonts w:ascii="宋体" w:hAnsi="宋体" w:eastAsia="宋体" w:cs="宋体"/>
          <w:strike/>
          <w:dstrike w:val="0"/>
          <w:color w:val="auto"/>
          <w:spacing w:val="-2"/>
          <w:sz w:val="24"/>
          <w:szCs w:val="24"/>
          <w:highlight w:val="none"/>
        </w:rPr>
        <w:t>复提供资格预审申请文件中已提供的业绩资料，只允许补充递交资格预审申请文件截止日至递交投标文件截止日期间的交工或一次性竣工的业绩，如无补充，评标时仅按资格</w:t>
      </w:r>
      <w:r>
        <w:rPr>
          <w:rFonts w:ascii="宋体" w:hAnsi="宋体" w:eastAsia="宋体" w:cs="宋体"/>
          <w:strike/>
          <w:dstrike w:val="0"/>
          <w:color w:val="auto"/>
          <w:spacing w:val="-3"/>
          <w:sz w:val="24"/>
          <w:szCs w:val="24"/>
          <w:highlight w:val="none"/>
        </w:rPr>
        <w:t>预审申请文件中提供的业绩资料进行评审。</w:t>
      </w:r>
    </w:p>
    <w:p w14:paraId="230643BA">
      <w:pPr>
        <w:spacing w:before="182" w:line="325" w:lineRule="auto"/>
        <w:ind w:left="1427" w:right="1229" w:firstLine="48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3.5.2 如果投标人在投标阶段发生合并、分立、破产等重大变化，</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6"/>
          <w:sz w:val="24"/>
          <w:szCs w:val="24"/>
          <w:highlight w:val="none"/>
        </w:rPr>
        <w:t>或发生重大安全</w:t>
      </w:r>
      <w:r>
        <w:rPr>
          <w:rFonts w:ascii="宋体" w:hAnsi="宋体" w:eastAsia="宋体" w:cs="宋体"/>
          <w:strike/>
          <w:dstrike w:val="0"/>
          <w:color w:val="auto"/>
          <w:spacing w:val="-2"/>
          <w:sz w:val="24"/>
          <w:szCs w:val="24"/>
          <w:highlight w:val="none"/>
        </w:rPr>
        <w:t>或质量事故，或由于其他任何情况，导致投标人不再具备资格预审文件规定的各项资格</w:t>
      </w:r>
      <w:r>
        <w:rPr>
          <w:rFonts w:ascii="宋体" w:hAnsi="宋体" w:eastAsia="宋体" w:cs="宋体"/>
          <w:strike/>
          <w:dstrike w:val="0"/>
          <w:color w:val="auto"/>
          <w:spacing w:val="-3"/>
          <w:sz w:val="24"/>
          <w:szCs w:val="24"/>
          <w:highlight w:val="none"/>
        </w:rPr>
        <w:t>条件或其投标影响招标公正性时，投标人必须在其投标文件中对上述情况进行如实说明，</w:t>
      </w:r>
      <w:r>
        <w:rPr>
          <w:rFonts w:ascii="宋体" w:hAnsi="宋体" w:eastAsia="宋体" w:cs="宋体"/>
          <w:strike/>
          <w:dstrike w:val="0"/>
          <w:color w:val="auto"/>
          <w:spacing w:val="-2"/>
          <w:sz w:val="24"/>
          <w:szCs w:val="24"/>
          <w:highlight w:val="none"/>
        </w:rPr>
        <w:t>否则，招标人一经查实，将视为投标人弄虚作假，其投标将被否决。</w:t>
      </w:r>
    </w:p>
    <w:p w14:paraId="09941193">
      <w:pPr>
        <w:spacing w:before="184" w:line="289" w:lineRule="auto"/>
        <w:ind w:left="1424" w:right="1416" w:firstLine="485"/>
        <w:rPr>
          <w:strike/>
          <w:dstrike w:val="0"/>
          <w:color w:val="auto"/>
          <w:highlight w:val="none"/>
        </w:rPr>
      </w:pPr>
      <w:r>
        <w:rPr>
          <w:rFonts w:ascii="宋体" w:hAnsi="宋体" w:eastAsia="宋体" w:cs="宋体"/>
          <w:strike/>
          <w:dstrike w:val="0"/>
          <w:color w:val="auto"/>
          <w:spacing w:val="-2"/>
          <w:sz w:val="24"/>
          <w:szCs w:val="24"/>
          <w:highlight w:val="none"/>
        </w:rPr>
        <w:t>3.5.3 招标人有权核查投标人在资格预审申请文件和投标文件中提供的资料，若在评标期间发现投标人提供了虚假资料，其投标将被否决；若在签订合同前发现作为中标</w:t>
      </w:r>
    </w:p>
    <w:p w14:paraId="1A145BFB">
      <w:pPr>
        <w:spacing w:before="78" w:line="360" w:lineRule="auto"/>
        <w:ind w:left="1426" w:right="141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候选人的投标人提供了虚假资料，招标人有权取消其中标资格；若在合同实施期间发现</w:t>
      </w:r>
      <w:r>
        <w:rPr>
          <w:rFonts w:ascii="宋体" w:hAnsi="宋体" w:eastAsia="宋体" w:cs="宋体"/>
          <w:strike/>
          <w:dstrike w:val="0"/>
          <w:color w:val="auto"/>
          <w:spacing w:val="-4"/>
          <w:sz w:val="24"/>
          <w:szCs w:val="24"/>
          <w:highlight w:val="none"/>
        </w:rPr>
        <w:t>投标人提供了虚假资料，招标人有权从工程支付款或履约保证金中扣除不超过</w:t>
      </w:r>
      <w:r>
        <w:rPr>
          <w:rFonts w:ascii="宋体" w:hAnsi="宋体" w:eastAsia="宋体" w:cs="宋体"/>
          <w:strike/>
          <w:dstrike w:val="0"/>
          <w:color w:val="auto"/>
          <w:spacing w:val="-24"/>
          <w:sz w:val="24"/>
          <w:szCs w:val="24"/>
          <w:highlight w:val="none"/>
        </w:rPr>
        <w:t xml:space="preserve"> </w:t>
      </w:r>
      <w:r>
        <w:rPr>
          <w:rFonts w:ascii="宋体" w:hAnsi="宋体" w:eastAsia="宋体" w:cs="宋体"/>
          <w:strike/>
          <w:dstrike w:val="0"/>
          <w:color w:val="auto"/>
          <w:spacing w:val="-4"/>
          <w:sz w:val="24"/>
          <w:szCs w:val="24"/>
          <w:highlight w:val="none"/>
        </w:rPr>
        <w:t>10％签约</w:t>
      </w:r>
      <w:r>
        <w:rPr>
          <w:rFonts w:ascii="宋体" w:hAnsi="宋体" w:eastAsia="宋体" w:cs="宋体"/>
          <w:strike/>
          <w:dstrike w:val="0"/>
          <w:color w:val="auto"/>
          <w:spacing w:val="-2"/>
          <w:sz w:val="24"/>
          <w:szCs w:val="24"/>
          <w:highlight w:val="none"/>
        </w:rPr>
        <w:t>合同价的金额作为违约金。同时招标人将投标人上述弄虚作假行为上报省级交通运输主管部门，作为不良记录纳入公路建设市场监督管理系统。</w:t>
      </w:r>
    </w:p>
    <w:p w14:paraId="1C099925">
      <w:pPr>
        <w:spacing w:line="219"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3.5</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资格审查资料（适用于未进行资格预审的）</w:t>
      </w:r>
    </w:p>
    <w:p w14:paraId="48595967">
      <w:pPr>
        <w:spacing w:before="182" w:line="360" w:lineRule="auto"/>
        <w:ind w:left="1426" w:right="1416" w:firstLine="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除投标人须知前附表另有规定外，投标人应按下列规定提供资格审查资料，以证明</w:t>
      </w:r>
      <w:r>
        <w:rPr>
          <w:rFonts w:ascii="宋体" w:hAnsi="宋体" w:eastAsia="宋体" w:cs="宋体"/>
          <w:color w:val="auto"/>
          <w:spacing w:val="-3"/>
          <w:sz w:val="24"/>
          <w:szCs w:val="24"/>
          <w:highlight w:val="none"/>
        </w:rPr>
        <w:t>其满足本章第</w:t>
      </w:r>
      <w:r>
        <w:rPr>
          <w:rFonts w:ascii="宋体" w:hAnsi="宋体" w:eastAsia="宋体" w:cs="宋体"/>
          <w:color w:val="auto"/>
          <w:spacing w:val="-31"/>
          <w:sz w:val="24"/>
          <w:szCs w:val="24"/>
          <w:highlight w:val="none"/>
        </w:rPr>
        <w:t xml:space="preserve"> </w:t>
      </w:r>
      <w:r>
        <w:rPr>
          <w:rFonts w:ascii="宋体" w:hAnsi="宋体" w:eastAsia="宋体" w:cs="宋体"/>
          <w:color w:val="auto"/>
          <w:spacing w:val="-3"/>
          <w:sz w:val="24"/>
          <w:szCs w:val="24"/>
          <w:highlight w:val="none"/>
        </w:rPr>
        <w:t>1.4</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款规定的资质、财务、业绩、信誉等要求。</w:t>
      </w:r>
    </w:p>
    <w:p w14:paraId="6754992B">
      <w:pPr>
        <w:spacing w:before="6" w:line="359" w:lineRule="auto"/>
        <w:ind w:left="1425" w:right="1414" w:firstLine="484"/>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3.5.1“投标人基本情况表”应附企业法人营业执照、施工资质证书、安全生产许</w:t>
      </w:r>
      <w:r>
        <w:rPr>
          <w:rFonts w:ascii="宋体" w:hAnsi="宋体" w:eastAsia="宋体" w:cs="宋体"/>
          <w:color w:val="auto"/>
          <w:spacing w:val="-2"/>
          <w:sz w:val="24"/>
          <w:szCs w:val="24"/>
          <w:highlight w:val="none"/>
        </w:rPr>
        <w:t>可证、基本账户开户许可证（如企业所在地已取消企业银行账户许可而无法提供开户许可证的，则需附上开户银行出具的“基本存款账户信息”或“人民银行账户管理系统查</w:t>
      </w:r>
      <w:r>
        <w:rPr>
          <w:rFonts w:ascii="宋体" w:hAnsi="宋体" w:eastAsia="宋体" w:cs="宋体"/>
          <w:color w:val="auto"/>
          <w:spacing w:val="-1"/>
          <w:sz w:val="24"/>
          <w:szCs w:val="24"/>
          <w:highlight w:val="none"/>
        </w:rPr>
        <w:t>询的基本账户信息截图”，下同）的扫描件</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u w:val="single" w:color="auto"/>
        </w:rPr>
        <w:t>投标人在交通运输部“全国公路建设市场监督管理系统”公路工程施工资质企业名录中的网页截图</w:t>
      </w:r>
      <w:r>
        <w:rPr>
          <w:rFonts w:ascii="宋体" w:hAnsi="宋体" w:eastAsia="宋体" w:cs="宋体"/>
          <w:color w:val="auto"/>
          <w:spacing w:val="-16"/>
          <w:position w:val="12"/>
          <w:sz w:val="12"/>
          <w:szCs w:val="12"/>
          <w:highlight w:val="none"/>
          <w:u w:val="single" w:color="auto"/>
        </w:rPr>
        <w:t xml:space="preserve"> </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55"/>
          <w:sz w:val="24"/>
          <w:szCs w:val="24"/>
          <w:highlight w:val="none"/>
          <w:u w:val="single" w:color="auto"/>
        </w:rPr>
        <w:t xml:space="preserve"> </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以及投标人在“国家企业信用信息公示系统”中基础信息（体现股东及出资信息）的网页截图。</w:t>
      </w:r>
    </w:p>
    <w:p w14:paraId="27B20FFA">
      <w:pPr>
        <w:spacing w:before="2" w:line="357" w:lineRule="auto"/>
        <w:ind w:left="1408" w:right="1416" w:firstLine="50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企业法人营业执照、施工资质证书、安全生产许可证、基本账户开户许可证（如企</w:t>
      </w:r>
      <w:r>
        <w:rPr>
          <w:rFonts w:ascii="宋体" w:hAnsi="宋体" w:eastAsia="宋体" w:cs="宋体"/>
          <w:color w:val="auto"/>
          <w:spacing w:val="-1"/>
          <w:sz w:val="24"/>
          <w:szCs w:val="24"/>
          <w:highlight w:val="none"/>
        </w:rPr>
        <w:t>业所在地已取消企业银行账户许可而无法提供开户许可证的，则需附上开户银</w:t>
      </w:r>
      <w:r>
        <w:rPr>
          <w:rFonts w:ascii="宋体" w:hAnsi="宋体" w:eastAsia="宋体" w:cs="宋体"/>
          <w:color w:val="auto"/>
          <w:spacing w:val="-2"/>
          <w:sz w:val="24"/>
          <w:szCs w:val="24"/>
          <w:highlight w:val="none"/>
        </w:rPr>
        <w:t>行出具的</w:t>
      </w:r>
      <w:r>
        <w:rPr>
          <w:rFonts w:ascii="宋体" w:hAnsi="宋体" w:eastAsia="宋体" w:cs="宋体"/>
          <w:color w:val="auto"/>
          <w:spacing w:val="-1"/>
          <w:sz w:val="24"/>
          <w:szCs w:val="24"/>
          <w:highlight w:val="none"/>
        </w:rPr>
        <w:t>“基本存款账户信息”或“人民银行账户管理系统查询的基本账户信息截图”</w:t>
      </w:r>
      <w:r>
        <w:rPr>
          <w:rFonts w:ascii="宋体" w:hAnsi="宋体" w:eastAsia="宋体" w:cs="宋体"/>
          <w:color w:val="auto"/>
          <w:spacing w:val="-2"/>
          <w:sz w:val="24"/>
          <w:szCs w:val="24"/>
          <w:highlight w:val="none"/>
        </w:rPr>
        <w:t>）的扫描</w:t>
      </w:r>
      <w:r>
        <w:rPr>
          <w:rFonts w:ascii="宋体" w:hAnsi="宋体" w:eastAsia="宋体" w:cs="宋体"/>
          <w:color w:val="auto"/>
          <w:spacing w:val="-5"/>
          <w:sz w:val="24"/>
          <w:szCs w:val="24"/>
          <w:highlight w:val="none"/>
        </w:rPr>
        <w:t>件应提供全本（证书封面、封底、空白页除外</w:t>
      </w:r>
      <w:r>
        <w:rPr>
          <w:rFonts w:ascii="宋体" w:hAnsi="宋体" w:eastAsia="宋体" w:cs="宋体"/>
          <w:color w:val="auto"/>
          <w:spacing w:val="-10"/>
          <w:sz w:val="24"/>
          <w:szCs w:val="24"/>
          <w:highlight w:val="none"/>
        </w:rPr>
        <w:t>）</w:t>
      </w:r>
      <w:r>
        <w:rPr>
          <w:rFonts w:ascii="宋体" w:hAnsi="宋体" w:eastAsia="宋体" w:cs="宋体"/>
          <w:color w:val="auto"/>
          <w:spacing w:val="38"/>
          <w:sz w:val="24"/>
          <w:szCs w:val="24"/>
          <w:highlight w:val="none"/>
        </w:rPr>
        <w:t xml:space="preserve"> </w:t>
      </w:r>
      <w:r>
        <w:rPr>
          <w:rFonts w:ascii="宋体" w:hAnsi="宋体" w:eastAsia="宋体" w:cs="宋体"/>
          <w:color w:val="auto"/>
          <w:spacing w:val="-10"/>
          <w:sz w:val="24"/>
          <w:szCs w:val="24"/>
          <w:highlight w:val="none"/>
        </w:rPr>
        <w:t>，</w:t>
      </w:r>
      <w:r>
        <w:rPr>
          <w:rFonts w:ascii="宋体" w:hAnsi="宋体" w:eastAsia="宋体" w:cs="宋体"/>
          <w:color w:val="auto"/>
          <w:spacing w:val="-5"/>
          <w:sz w:val="24"/>
          <w:szCs w:val="24"/>
          <w:highlight w:val="none"/>
        </w:rPr>
        <w:t>包括投标人名称、投标人其他相关信</w:t>
      </w:r>
      <w:r>
        <w:rPr>
          <w:rFonts w:ascii="宋体" w:hAnsi="宋体" w:eastAsia="宋体" w:cs="宋体"/>
          <w:color w:val="auto"/>
          <w:spacing w:val="-1"/>
          <w:sz w:val="24"/>
          <w:szCs w:val="24"/>
          <w:highlight w:val="none"/>
        </w:rPr>
        <w:t>息、颁发机构名称、投标人信息变更情况等关键页</w:t>
      </w:r>
      <w:r>
        <w:rPr>
          <w:rFonts w:ascii="宋体" w:hAnsi="宋体" w:eastAsia="宋体" w:cs="宋体"/>
          <w:color w:val="auto"/>
          <w:spacing w:val="-2"/>
          <w:sz w:val="24"/>
          <w:szCs w:val="24"/>
          <w:highlight w:val="none"/>
        </w:rPr>
        <w:t>在内。</w:t>
      </w:r>
    </w:p>
    <w:p w14:paraId="4F7A117D">
      <w:pPr>
        <w:spacing w:before="5" w:line="334" w:lineRule="auto"/>
        <w:ind w:left="1424" w:right="1412"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3.5.2（a）“近年财务状况表”具体年份要求</w:t>
      </w:r>
      <w:r>
        <w:rPr>
          <w:rFonts w:ascii="宋体" w:hAnsi="宋体" w:eastAsia="宋体" w:cs="宋体"/>
          <w:strike/>
          <w:dstrike w:val="0"/>
          <w:color w:val="auto"/>
          <w:spacing w:val="-2"/>
          <w:sz w:val="24"/>
          <w:szCs w:val="24"/>
          <w:highlight w:val="none"/>
        </w:rPr>
        <w:t>见投标人须知前附表，近年财务信息以投标人提供的“全国公路建设市场监督管理系统”企业所填的信息截图为准。投标人的成立时间少于投标人须知前附表规定年份的，应提供成立以来的财务信息截图，且</w:t>
      </w:r>
      <w:r>
        <w:rPr>
          <w:rFonts w:ascii="宋体" w:hAnsi="宋体" w:eastAsia="宋体" w:cs="宋体"/>
          <w:strike/>
          <w:dstrike w:val="0"/>
          <w:color w:val="auto"/>
          <w:spacing w:val="5"/>
          <w:sz w:val="24"/>
          <w:szCs w:val="24"/>
          <w:highlight w:val="none"/>
        </w:rPr>
        <w:t>规定年份的平均营业总收入按成立以来的财务数据结合招标文件规定的年份进行计算</w:t>
      </w:r>
      <w:r>
        <w:rPr>
          <w:rFonts w:ascii="宋体" w:hAnsi="宋体" w:eastAsia="宋体" w:cs="宋体"/>
          <w:strike/>
          <w:dstrike w:val="0"/>
          <w:color w:val="auto"/>
          <w:spacing w:val="-1"/>
          <w:sz w:val="24"/>
          <w:szCs w:val="24"/>
          <w:highlight w:val="none"/>
        </w:rPr>
        <w:t>评审。“近年财务状况表”所填数据应与信息截图的数据一致。</w:t>
      </w:r>
    </w:p>
    <w:p w14:paraId="797A316F">
      <w:pPr>
        <w:spacing w:before="165" w:line="296" w:lineRule="auto"/>
        <w:ind w:left="1423" w:right="1416"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3.5.2（b）“近年财务状况表”应附经会计师事务</w:t>
      </w:r>
      <w:r>
        <w:rPr>
          <w:rFonts w:ascii="宋体" w:hAnsi="宋体" w:eastAsia="宋体" w:cs="宋体"/>
          <w:strike/>
          <w:dstrike w:val="0"/>
          <w:color w:val="auto"/>
          <w:spacing w:val="-2"/>
          <w:sz w:val="24"/>
          <w:szCs w:val="24"/>
          <w:highlight w:val="none"/>
        </w:rPr>
        <w:t>所或审计机构审计的财务会计</w:t>
      </w:r>
      <w:r>
        <w:rPr>
          <w:rFonts w:ascii="宋体" w:hAnsi="宋体" w:eastAsia="宋体" w:cs="宋体"/>
          <w:strike/>
          <w:dstrike w:val="0"/>
          <w:color w:val="auto"/>
          <w:spacing w:val="-6"/>
          <w:sz w:val="24"/>
          <w:szCs w:val="24"/>
          <w:highlight w:val="none"/>
        </w:rPr>
        <w:t>报表，包括资产负债表、现金流量表、利润表和财务情况说明书的扫描件，</w:t>
      </w:r>
      <w:r>
        <w:rPr>
          <w:rFonts w:ascii="宋体" w:hAnsi="宋体" w:eastAsia="宋体" w:cs="宋体"/>
          <w:strike/>
          <w:dstrike w:val="0"/>
          <w:color w:val="auto"/>
          <w:spacing w:val="-7"/>
          <w:sz w:val="24"/>
          <w:szCs w:val="24"/>
          <w:highlight w:val="none"/>
        </w:rPr>
        <w:t>具体年份要</w:t>
      </w:r>
    </w:p>
    <w:p w14:paraId="291D0736">
      <w:pPr>
        <w:spacing w:before="78" w:line="357" w:lineRule="auto"/>
        <w:ind w:left="1427" w:right="141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求见投标人须知前附表。投标人的成立时间少于投标人须知前附表规定年份的，应提供</w:t>
      </w:r>
      <w:r>
        <w:rPr>
          <w:rFonts w:ascii="宋体" w:hAnsi="宋体" w:eastAsia="宋体" w:cs="宋体"/>
          <w:strike/>
          <w:dstrike w:val="0"/>
          <w:color w:val="auto"/>
          <w:spacing w:val="-2"/>
          <w:sz w:val="24"/>
          <w:szCs w:val="24"/>
          <w:highlight w:val="none"/>
        </w:rPr>
        <w:t>成立以来的财务状况表，且规定年份的平均营业总收入按成立以来的财务数据结合招标文件规定的年份进行计算评审。“近年财务状况表”所填数据应与财务会计报表的数据</w:t>
      </w:r>
      <w:r>
        <w:rPr>
          <w:rFonts w:ascii="宋体" w:hAnsi="宋体" w:eastAsia="宋体" w:cs="宋体"/>
          <w:strike/>
          <w:dstrike w:val="0"/>
          <w:color w:val="auto"/>
          <w:spacing w:val="-10"/>
          <w:sz w:val="24"/>
          <w:szCs w:val="24"/>
          <w:highlight w:val="none"/>
        </w:rPr>
        <w:t>一致。</w:t>
      </w:r>
    </w:p>
    <w:p w14:paraId="7A09EC58">
      <w:pPr>
        <w:spacing w:before="2" w:line="364" w:lineRule="auto"/>
        <w:ind w:left="1426" w:right="1415"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3.5.3（a）“近年完成的类似项目”应是已列</w:t>
      </w:r>
      <w:r>
        <w:rPr>
          <w:rFonts w:ascii="宋体" w:hAnsi="宋体" w:eastAsia="宋体" w:cs="宋体"/>
          <w:color w:val="auto"/>
          <w:spacing w:val="-2"/>
          <w:sz w:val="24"/>
          <w:szCs w:val="24"/>
          <w:highlight w:val="none"/>
        </w:rPr>
        <w:t>入交通运输部“全国公路建设市场监督管理系统”并公开的总包已建业绩或分包（不包括劳务分包）已建业绩，具体时间</w:t>
      </w:r>
      <w:r>
        <w:rPr>
          <w:rFonts w:ascii="宋体" w:hAnsi="宋体" w:eastAsia="宋体" w:cs="宋体"/>
          <w:color w:val="auto"/>
          <w:spacing w:val="-4"/>
          <w:sz w:val="24"/>
          <w:szCs w:val="24"/>
          <w:highlight w:val="none"/>
        </w:rPr>
        <w:t>要求见投标人须知前附表。</w:t>
      </w:r>
    </w:p>
    <w:p w14:paraId="69AC4C4A">
      <w:pPr>
        <w:spacing w:before="5" w:line="359" w:lineRule="auto"/>
        <w:ind w:left="1430" w:right="1416" w:firstLine="458"/>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“近年完成的类似项目情况表”应附在交通运输部“全国公路建设市</w:t>
      </w:r>
      <w:r>
        <w:rPr>
          <w:rFonts w:ascii="宋体" w:hAnsi="宋体" w:eastAsia="宋体" w:cs="宋体"/>
          <w:color w:val="auto"/>
          <w:spacing w:val="-2"/>
          <w:sz w:val="24"/>
          <w:szCs w:val="24"/>
          <w:highlight w:val="none"/>
        </w:rPr>
        <w:t>场监督管理系统”中查询到的企业“业绩信息”相关项目网页截图，即包括“项目名称”、“标段类型”、“合同价”、“主要工程量”等栏目在内的项目详细信息网页截图。除网页截图</w:t>
      </w:r>
      <w:r>
        <w:rPr>
          <w:rFonts w:ascii="宋体" w:hAnsi="宋体" w:eastAsia="宋体" w:cs="宋体"/>
          <w:color w:val="auto"/>
          <w:spacing w:val="-3"/>
          <w:sz w:val="24"/>
          <w:szCs w:val="24"/>
          <w:highlight w:val="none"/>
        </w:rPr>
        <w:t>外，投标人无需再提供任何业绩证明材料。</w:t>
      </w:r>
    </w:p>
    <w:p w14:paraId="1DBDF954">
      <w:pPr>
        <w:spacing w:line="360" w:lineRule="auto"/>
        <w:ind w:left="1425" w:right="1413" w:firstLine="48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如投标人未提供相关项目网页截图或相关项目网页截图中的信息无法证实投标人</w:t>
      </w:r>
      <w:r>
        <w:rPr>
          <w:rFonts w:ascii="宋体" w:hAnsi="宋体" w:eastAsia="宋体" w:cs="宋体"/>
          <w:color w:val="auto"/>
          <w:spacing w:val="-1"/>
          <w:sz w:val="24"/>
          <w:szCs w:val="24"/>
          <w:highlight w:val="none"/>
        </w:rPr>
        <w:t>满足招标文件规定的资格审查条件（业绩最低要求）或评标办法评分标准（如有</w:t>
      </w:r>
      <w:r>
        <w:rPr>
          <w:rFonts w:ascii="宋体" w:hAnsi="宋体" w:eastAsia="宋体" w:cs="宋体"/>
          <w:color w:val="auto"/>
          <w:spacing w:val="-11"/>
          <w:sz w:val="24"/>
          <w:szCs w:val="24"/>
          <w:highlight w:val="none"/>
        </w:rPr>
        <w:t>），</w:t>
      </w:r>
      <w:r>
        <w:rPr>
          <w:rFonts w:ascii="宋体" w:hAnsi="宋体" w:eastAsia="宋体" w:cs="宋体"/>
          <w:color w:val="auto"/>
          <w:spacing w:val="-1"/>
          <w:sz w:val="24"/>
          <w:szCs w:val="24"/>
          <w:highlight w:val="none"/>
        </w:rPr>
        <w:t>则</w:t>
      </w:r>
      <w:r>
        <w:rPr>
          <w:rFonts w:ascii="宋体" w:hAnsi="宋体" w:eastAsia="宋体" w:cs="宋体"/>
          <w:color w:val="auto"/>
          <w:spacing w:val="-4"/>
          <w:sz w:val="24"/>
          <w:szCs w:val="24"/>
          <w:highlight w:val="none"/>
        </w:rPr>
        <w:t>该项目业绩不予认定。</w:t>
      </w:r>
    </w:p>
    <w:p w14:paraId="0A4F1563">
      <w:pPr>
        <w:spacing w:line="360" w:lineRule="auto"/>
        <w:ind w:left="1425" w:right="1328" w:firstLine="48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u w:val="single" w:color="auto"/>
        </w:rPr>
        <w:t>如要求投标人具备声屏障工程施工业绩，投标人的业绩已列入交通运输部“全国公</w:t>
      </w:r>
      <w:r>
        <w:rPr>
          <w:rFonts w:ascii="宋体" w:hAnsi="宋体" w:eastAsia="宋体" w:cs="宋体"/>
          <w:strike/>
          <w:dstrike w:val="0"/>
          <w:color w:val="auto"/>
          <w:spacing w:val="-3"/>
          <w:sz w:val="24"/>
          <w:szCs w:val="24"/>
          <w:highlight w:val="none"/>
          <w:u w:val="single" w:color="auto"/>
        </w:rPr>
        <w:t>路建设市场监督管理系统”，则按本条款</w:t>
      </w:r>
      <w:r>
        <w:rPr>
          <w:rFonts w:ascii="宋体" w:hAnsi="宋体" w:eastAsia="宋体" w:cs="宋体"/>
          <w:strike/>
          <w:dstrike w:val="0"/>
          <w:color w:val="auto"/>
          <w:spacing w:val="-46"/>
          <w:sz w:val="24"/>
          <w:szCs w:val="24"/>
          <w:highlight w:val="none"/>
          <w:u w:val="single" w:color="auto"/>
        </w:rPr>
        <w:t xml:space="preserve"> </w:t>
      </w:r>
      <w:r>
        <w:rPr>
          <w:rFonts w:ascii="宋体" w:hAnsi="宋体" w:eastAsia="宋体" w:cs="宋体"/>
          <w:strike/>
          <w:dstrike w:val="0"/>
          <w:color w:val="auto"/>
          <w:spacing w:val="-3"/>
          <w:sz w:val="24"/>
          <w:szCs w:val="24"/>
          <w:highlight w:val="none"/>
          <w:u w:val="single" w:color="auto"/>
        </w:rPr>
        <w:t>3.5.3（a）上述规定的“全</w:t>
      </w:r>
      <w:r>
        <w:rPr>
          <w:rFonts w:ascii="宋体" w:hAnsi="宋体" w:eastAsia="宋体" w:cs="宋体"/>
          <w:strike/>
          <w:dstrike w:val="0"/>
          <w:color w:val="auto"/>
          <w:spacing w:val="-4"/>
          <w:sz w:val="24"/>
          <w:szCs w:val="24"/>
          <w:highlight w:val="none"/>
          <w:u w:val="single" w:color="auto"/>
        </w:rPr>
        <w:t>国公路建设市场监</w:t>
      </w:r>
      <w:r>
        <w:rPr>
          <w:rFonts w:ascii="宋体" w:hAnsi="宋体" w:eastAsia="宋体" w:cs="宋体"/>
          <w:strike/>
          <w:dstrike w:val="0"/>
          <w:color w:val="auto"/>
          <w:spacing w:val="-2"/>
          <w:sz w:val="24"/>
          <w:szCs w:val="24"/>
          <w:highlight w:val="none"/>
          <w:u w:val="single" w:color="auto"/>
        </w:rPr>
        <w:t>督管理系统”的业绩要求执行；如投标人的业绩未列入交通运输部“全国公路建设市场</w:t>
      </w:r>
      <w:r>
        <w:rPr>
          <w:rFonts w:ascii="宋体" w:hAnsi="宋体" w:eastAsia="宋体" w:cs="宋体"/>
          <w:strike/>
          <w:dstrike w:val="0"/>
          <w:color w:val="auto"/>
          <w:spacing w:val="-5"/>
          <w:sz w:val="24"/>
          <w:szCs w:val="24"/>
          <w:highlight w:val="none"/>
          <w:u w:val="single" w:color="auto"/>
        </w:rPr>
        <w:t>监督管理系统”，则“近年完成的类似项目情况表”</w:t>
      </w:r>
      <w:r>
        <w:rPr>
          <w:rFonts w:ascii="宋体" w:hAnsi="宋体" w:eastAsia="宋体" w:cs="宋体"/>
          <w:strike/>
          <w:dstrike w:val="0"/>
          <w:color w:val="auto"/>
          <w:spacing w:val="-6"/>
          <w:sz w:val="24"/>
          <w:szCs w:val="24"/>
          <w:highlight w:val="none"/>
          <w:u w:val="single" w:color="auto"/>
        </w:rPr>
        <w:t>应同时附中标通知书、合同协议书、</w:t>
      </w:r>
      <w:r>
        <w:rPr>
          <w:rFonts w:ascii="宋体" w:hAnsi="宋体" w:eastAsia="宋体" w:cs="宋体"/>
          <w:strike/>
          <w:dstrike w:val="0"/>
          <w:color w:val="auto"/>
          <w:spacing w:val="-2"/>
          <w:sz w:val="24"/>
          <w:szCs w:val="24"/>
          <w:highlight w:val="none"/>
          <w:u w:val="single" w:color="auto"/>
        </w:rPr>
        <w:t>交工验收（或未交工验收一次性竣工验收）证书扫描件，如上述资料均无法证实投标人</w:t>
      </w:r>
      <w:r>
        <w:rPr>
          <w:rFonts w:ascii="宋体" w:hAnsi="宋体" w:eastAsia="宋体" w:cs="宋体"/>
          <w:strike/>
          <w:dstrike w:val="0"/>
          <w:color w:val="auto"/>
          <w:spacing w:val="-1"/>
          <w:sz w:val="24"/>
          <w:szCs w:val="24"/>
          <w:highlight w:val="none"/>
          <w:u w:val="single" w:color="auto"/>
        </w:rPr>
        <w:t>满足招标文件规定的资格审查条件（业绩最低要求）或评标办法评分标准（如有</w:t>
      </w:r>
      <w:r>
        <w:rPr>
          <w:rFonts w:ascii="宋体" w:hAnsi="宋体" w:eastAsia="宋体" w:cs="宋体"/>
          <w:strike/>
          <w:dstrike w:val="0"/>
          <w:color w:val="auto"/>
          <w:spacing w:val="-10"/>
          <w:sz w:val="24"/>
          <w:szCs w:val="24"/>
          <w:highlight w:val="none"/>
          <w:u w:val="single" w:color="auto"/>
        </w:rPr>
        <w:t>），</w:t>
      </w:r>
      <w:r>
        <w:rPr>
          <w:rFonts w:ascii="宋体" w:hAnsi="宋体" w:eastAsia="宋体" w:cs="宋体"/>
          <w:strike/>
          <w:dstrike w:val="0"/>
          <w:color w:val="auto"/>
          <w:spacing w:val="-1"/>
          <w:sz w:val="24"/>
          <w:szCs w:val="24"/>
          <w:highlight w:val="none"/>
          <w:u w:val="single" w:color="auto"/>
        </w:rPr>
        <w:t>则该项目业绩不予认定。</w:t>
      </w:r>
    </w:p>
    <w:p w14:paraId="35D8A007">
      <w:pPr>
        <w:spacing w:line="353" w:lineRule="auto"/>
        <w:ind w:left="1452" w:right="1416" w:firstLine="45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如近年来，投标人法人机构发生合法变更或重组或法人名称变更时，应提供相关部</w:t>
      </w:r>
      <w:r>
        <w:rPr>
          <w:rFonts w:ascii="宋体" w:hAnsi="宋体" w:eastAsia="宋体" w:cs="宋体"/>
          <w:color w:val="auto"/>
          <w:spacing w:val="-3"/>
          <w:sz w:val="24"/>
          <w:szCs w:val="24"/>
          <w:highlight w:val="none"/>
        </w:rPr>
        <w:t>门的合法批件或其他相关证明材料来证明其所附业绩的继承性。</w:t>
      </w:r>
    </w:p>
    <w:p w14:paraId="16F077E0">
      <w:pPr>
        <w:spacing w:before="3" w:line="364" w:lineRule="auto"/>
        <w:ind w:left="1426" w:right="1415" w:firstLine="48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3.5.3（b）“近年完成的类似项目”应是已列</w:t>
      </w:r>
      <w:r>
        <w:rPr>
          <w:rFonts w:ascii="宋体" w:hAnsi="宋体" w:eastAsia="宋体" w:cs="宋体"/>
          <w:strike/>
          <w:dstrike w:val="0"/>
          <w:color w:val="auto"/>
          <w:spacing w:val="-2"/>
          <w:sz w:val="24"/>
          <w:szCs w:val="24"/>
          <w:highlight w:val="none"/>
        </w:rPr>
        <w:t>入交通运输部“全国公路建设市场监督管理系统”或省级交通运输主管部门“公路建设市场监督管理系统”并公开的总包</w:t>
      </w:r>
      <w:r>
        <w:rPr>
          <w:rFonts w:ascii="宋体" w:hAnsi="宋体" w:eastAsia="宋体" w:cs="宋体"/>
          <w:strike/>
          <w:dstrike w:val="0"/>
          <w:color w:val="auto"/>
          <w:spacing w:val="-1"/>
          <w:sz w:val="24"/>
          <w:szCs w:val="24"/>
          <w:highlight w:val="none"/>
        </w:rPr>
        <w:t>已建业绩或分包（不包括劳务分包）已建业绩，具体时间要求见投</w:t>
      </w:r>
      <w:r>
        <w:rPr>
          <w:rFonts w:ascii="宋体" w:hAnsi="宋体" w:eastAsia="宋体" w:cs="宋体"/>
          <w:strike/>
          <w:dstrike w:val="0"/>
          <w:color w:val="auto"/>
          <w:spacing w:val="-2"/>
          <w:sz w:val="24"/>
          <w:szCs w:val="24"/>
          <w:highlight w:val="none"/>
        </w:rPr>
        <w:t>标人须知前附表。</w:t>
      </w:r>
    </w:p>
    <w:p w14:paraId="08F5439E">
      <w:pPr>
        <w:spacing w:before="78" w:line="360" w:lineRule="auto"/>
        <w:ind w:left="1427" w:right="1331" w:firstLine="461"/>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“近年完成的类似项目情况表”应附在交通运输部“全国公路建设市</w:t>
      </w:r>
      <w:r>
        <w:rPr>
          <w:rFonts w:ascii="宋体" w:hAnsi="宋体" w:eastAsia="宋体" w:cs="宋体"/>
          <w:strike/>
          <w:dstrike w:val="0"/>
          <w:color w:val="auto"/>
          <w:spacing w:val="-2"/>
          <w:sz w:val="24"/>
          <w:szCs w:val="24"/>
          <w:highlight w:val="none"/>
        </w:rPr>
        <w:t>场监督管理系统”中查询到的企业“业绩信息”相关项目网页截图，即包括“项目名称”、“标段类型”、“合同价”、“主要工程量”等栏目在内的项目详细信息网页截图。在交通运输部“全国公路建设市场监督管理系统”中无法查询，但可在省级交通运输主管部门“公路建设市场监督管理系统”中查询的，应附省级交通运输主管部门“公路建设市场监督</w:t>
      </w:r>
      <w:r>
        <w:rPr>
          <w:rFonts w:ascii="宋体" w:hAnsi="宋体" w:eastAsia="宋体" w:cs="宋体"/>
          <w:strike/>
          <w:dstrike w:val="0"/>
          <w:color w:val="auto"/>
          <w:spacing w:val="-7"/>
          <w:sz w:val="24"/>
          <w:szCs w:val="24"/>
          <w:highlight w:val="none"/>
        </w:rPr>
        <w:t>管理系统”中查新到的网页截图。除网页截图外，</w:t>
      </w:r>
      <w:r>
        <w:rPr>
          <w:rFonts w:ascii="宋体" w:hAnsi="宋体" w:eastAsia="宋体" w:cs="宋体"/>
          <w:strike/>
          <w:dstrike w:val="0"/>
          <w:color w:val="auto"/>
          <w:spacing w:val="-63"/>
          <w:sz w:val="24"/>
          <w:szCs w:val="24"/>
          <w:highlight w:val="none"/>
        </w:rPr>
        <w:t xml:space="preserve"> </w:t>
      </w:r>
      <w:r>
        <w:rPr>
          <w:rFonts w:ascii="宋体" w:hAnsi="宋体" w:eastAsia="宋体" w:cs="宋体"/>
          <w:strike/>
          <w:dstrike w:val="0"/>
          <w:color w:val="auto"/>
          <w:spacing w:val="-7"/>
          <w:sz w:val="24"/>
          <w:szCs w:val="24"/>
          <w:highlight w:val="none"/>
        </w:rPr>
        <w:t>投标人无需再提供任何业绩证明材料。</w:t>
      </w:r>
    </w:p>
    <w:p w14:paraId="13F75EF4">
      <w:pPr>
        <w:spacing w:before="3" w:line="359" w:lineRule="auto"/>
        <w:ind w:left="1425" w:right="1413" w:firstLine="48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如投标人未提供相关项目网页截图或相关项目网页截图中的信息无法证实投标人</w:t>
      </w:r>
      <w:r>
        <w:rPr>
          <w:rFonts w:ascii="宋体" w:hAnsi="宋体" w:eastAsia="宋体" w:cs="宋体"/>
          <w:strike/>
          <w:dstrike w:val="0"/>
          <w:color w:val="auto"/>
          <w:spacing w:val="-1"/>
          <w:sz w:val="24"/>
          <w:szCs w:val="24"/>
          <w:highlight w:val="none"/>
        </w:rPr>
        <w:t>满足招标文件规定的资格审查条件（业绩最低要求）或评标办法评分标准（如有</w:t>
      </w:r>
      <w:r>
        <w:rPr>
          <w:rFonts w:ascii="宋体" w:hAnsi="宋体" w:eastAsia="宋体" w:cs="宋体"/>
          <w:strike/>
          <w:dstrike w:val="0"/>
          <w:color w:val="auto"/>
          <w:spacing w:val="-11"/>
          <w:sz w:val="24"/>
          <w:szCs w:val="24"/>
          <w:highlight w:val="none"/>
        </w:rPr>
        <w:t>），</w:t>
      </w:r>
      <w:r>
        <w:rPr>
          <w:rFonts w:ascii="宋体" w:hAnsi="宋体" w:eastAsia="宋体" w:cs="宋体"/>
          <w:strike/>
          <w:dstrike w:val="0"/>
          <w:color w:val="auto"/>
          <w:spacing w:val="-1"/>
          <w:sz w:val="24"/>
          <w:szCs w:val="24"/>
          <w:highlight w:val="none"/>
        </w:rPr>
        <w:t>则</w:t>
      </w:r>
      <w:r>
        <w:rPr>
          <w:rFonts w:ascii="宋体" w:hAnsi="宋体" w:eastAsia="宋体" w:cs="宋体"/>
          <w:strike/>
          <w:dstrike w:val="0"/>
          <w:color w:val="auto"/>
          <w:spacing w:val="-4"/>
          <w:sz w:val="24"/>
          <w:szCs w:val="24"/>
          <w:highlight w:val="none"/>
        </w:rPr>
        <w:t>该项目业绩不予认定。</w:t>
      </w:r>
    </w:p>
    <w:p w14:paraId="13A7D464">
      <w:pPr>
        <w:spacing w:line="353" w:lineRule="auto"/>
        <w:ind w:left="1452" w:right="1416" w:firstLine="45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如近年来，投标人法人机构发生合法变更或重组或法人名称变更时，应提供相关部</w:t>
      </w:r>
      <w:r>
        <w:rPr>
          <w:rFonts w:ascii="宋体" w:hAnsi="宋体" w:eastAsia="宋体" w:cs="宋体"/>
          <w:strike/>
          <w:dstrike w:val="0"/>
          <w:color w:val="auto"/>
          <w:spacing w:val="-3"/>
          <w:sz w:val="24"/>
          <w:szCs w:val="24"/>
          <w:highlight w:val="none"/>
        </w:rPr>
        <w:t>门的合法批件或其他相关证明材料来证明其所附业绩的继承性。</w:t>
      </w:r>
    </w:p>
    <w:p w14:paraId="4287EA40">
      <w:pPr>
        <w:spacing w:before="3" w:line="334" w:lineRule="auto"/>
        <w:ind w:left="1427" w:right="1312" w:firstLine="48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9"/>
          <w:sz w:val="24"/>
          <w:szCs w:val="24"/>
          <w:highlight w:val="none"/>
        </w:rPr>
        <w:t>3.5.3（c）</w:t>
      </w:r>
      <w:r>
        <w:rPr>
          <w:rFonts w:ascii="宋体" w:hAnsi="宋体" w:eastAsia="宋体" w:cs="宋体"/>
          <w:strike/>
          <w:dstrike w:val="0"/>
          <w:color w:val="auto"/>
          <w:spacing w:val="-3"/>
          <w:sz w:val="24"/>
          <w:szCs w:val="24"/>
          <w:highlight w:val="none"/>
        </w:rPr>
        <w:t>“近年完成的类似项目情况表”应同时附合同协议书、项目</w:t>
      </w:r>
      <w:r>
        <w:rPr>
          <w:rFonts w:ascii="宋体" w:hAnsi="宋体" w:eastAsia="宋体" w:cs="宋体"/>
          <w:strike/>
          <w:dstrike w:val="0"/>
          <w:color w:val="auto"/>
          <w:spacing w:val="-4"/>
          <w:sz w:val="24"/>
          <w:szCs w:val="24"/>
          <w:highlight w:val="none"/>
        </w:rPr>
        <w:t>已交（竣）</w:t>
      </w:r>
      <w:r>
        <w:rPr>
          <w:rFonts w:ascii="宋体" w:hAnsi="宋体" w:eastAsia="宋体" w:cs="宋体"/>
          <w:strike/>
          <w:dstrike w:val="0"/>
          <w:color w:val="auto"/>
          <w:spacing w:val="-2"/>
          <w:sz w:val="24"/>
          <w:szCs w:val="24"/>
          <w:highlight w:val="none"/>
        </w:rPr>
        <w:t>工证明文件（交工验收证书或竣工验收备案表或竣工验收证明材料或建设单位出具的完工证明或完工验收鉴定书等）扫描件，如上述资料均无法证实投标人满足招标文件规定</w:t>
      </w:r>
      <w:r>
        <w:rPr>
          <w:rFonts w:ascii="宋体" w:hAnsi="宋体" w:eastAsia="宋体" w:cs="宋体"/>
          <w:strike/>
          <w:dstrike w:val="0"/>
          <w:color w:val="auto"/>
          <w:spacing w:val="-1"/>
          <w:sz w:val="24"/>
          <w:szCs w:val="24"/>
          <w:highlight w:val="none"/>
        </w:rPr>
        <w:t>的资格审查条件（业绩最低要求）或评标办法评分标准（如有</w:t>
      </w:r>
      <w:r>
        <w:rPr>
          <w:rFonts w:ascii="宋体" w:hAnsi="宋体" w:eastAsia="宋体" w:cs="宋体"/>
          <w:strike/>
          <w:dstrike w:val="0"/>
          <w:color w:val="auto"/>
          <w:spacing w:val="-12"/>
          <w:sz w:val="24"/>
          <w:szCs w:val="24"/>
          <w:highlight w:val="none"/>
        </w:rPr>
        <w:t>），</w:t>
      </w:r>
      <w:r>
        <w:rPr>
          <w:rFonts w:ascii="宋体" w:hAnsi="宋体" w:eastAsia="宋体" w:cs="宋体"/>
          <w:strike/>
          <w:dstrike w:val="0"/>
          <w:color w:val="auto"/>
          <w:spacing w:val="-1"/>
          <w:sz w:val="24"/>
          <w:szCs w:val="24"/>
          <w:highlight w:val="none"/>
        </w:rPr>
        <w:t>还应补充提供项目业</w:t>
      </w:r>
      <w:r>
        <w:rPr>
          <w:rFonts w:ascii="宋体" w:hAnsi="宋体" w:eastAsia="宋体" w:cs="宋体"/>
          <w:strike/>
          <w:dstrike w:val="0"/>
          <w:color w:val="auto"/>
          <w:spacing w:val="-4"/>
          <w:sz w:val="24"/>
          <w:szCs w:val="24"/>
          <w:highlight w:val="none"/>
        </w:rPr>
        <w:t>主或主管部门开具的证明材料。</w:t>
      </w:r>
    </w:p>
    <w:p w14:paraId="159CFFFB">
      <w:pPr>
        <w:spacing w:before="166" w:line="328" w:lineRule="auto"/>
        <w:ind w:left="1424" w:right="1415"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3.5.3（d）“近年完成的类似项目情况表”</w:t>
      </w:r>
      <w:r>
        <w:rPr>
          <w:rFonts w:ascii="宋体" w:hAnsi="宋体" w:eastAsia="宋体" w:cs="宋体"/>
          <w:strike/>
          <w:dstrike w:val="0"/>
          <w:color w:val="auto"/>
          <w:spacing w:val="-2"/>
          <w:sz w:val="24"/>
          <w:szCs w:val="24"/>
          <w:highlight w:val="none"/>
        </w:rPr>
        <w:t>应同时附合同协议书、竣工验收备案表或竣工验收证明材料或建设单位出具的完工证明或完工验收鉴定书扫描件，如上述资料均无法证实申请人满足资格预审文件规定的资格预审条件（业绩最低要求）或资格审</w:t>
      </w:r>
      <w:r>
        <w:rPr>
          <w:rFonts w:ascii="宋体" w:hAnsi="宋体" w:eastAsia="宋体" w:cs="宋体"/>
          <w:strike/>
          <w:dstrike w:val="0"/>
          <w:color w:val="auto"/>
          <w:spacing w:val="-1"/>
          <w:sz w:val="24"/>
          <w:szCs w:val="24"/>
          <w:highlight w:val="none"/>
        </w:rPr>
        <w:t>查办法评分标准（如有），还应补充提供项目业主或主管部门</w:t>
      </w:r>
      <w:r>
        <w:rPr>
          <w:rFonts w:ascii="宋体" w:hAnsi="宋体" w:eastAsia="宋体" w:cs="宋体"/>
          <w:strike/>
          <w:dstrike w:val="0"/>
          <w:color w:val="auto"/>
          <w:spacing w:val="-2"/>
          <w:sz w:val="24"/>
          <w:szCs w:val="24"/>
          <w:highlight w:val="none"/>
        </w:rPr>
        <w:t>开具的证明材料。</w:t>
      </w:r>
    </w:p>
    <w:p w14:paraId="1E54DD40">
      <w:pPr>
        <w:spacing w:before="182" w:line="29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3.5.4</w:t>
      </w:r>
      <w:r>
        <w:rPr>
          <w:rFonts w:ascii="宋体" w:hAnsi="宋体" w:eastAsia="宋体" w:cs="宋体"/>
          <w:color w:val="auto"/>
          <w:spacing w:val="-24"/>
          <w:sz w:val="24"/>
          <w:szCs w:val="24"/>
          <w:highlight w:val="none"/>
        </w:rPr>
        <w:t xml:space="preserve"> </w:t>
      </w:r>
      <w:r>
        <w:rPr>
          <w:rFonts w:ascii="宋体" w:hAnsi="宋体" w:eastAsia="宋体" w:cs="宋体"/>
          <w:color w:val="auto"/>
          <w:spacing w:val="-1"/>
          <w:sz w:val="24"/>
          <w:szCs w:val="24"/>
          <w:highlight w:val="none"/>
        </w:rPr>
        <w:t>“投标人的信誉情况”应附投标人在国家企业信用信息公示系统中未被</w:t>
      </w:r>
      <w:r>
        <w:rPr>
          <w:rFonts w:ascii="宋体" w:hAnsi="宋体" w:eastAsia="宋体" w:cs="宋体"/>
          <w:color w:val="auto"/>
          <w:spacing w:val="-2"/>
          <w:sz w:val="24"/>
          <w:szCs w:val="24"/>
          <w:highlight w:val="none"/>
        </w:rPr>
        <w:t>列入严重违法失信名单、“信用中国”网站</w:t>
      </w:r>
      <w:r>
        <w:rPr>
          <w:rStyle w:val="15"/>
          <w:rFonts w:ascii="宋体" w:hAnsi="宋体" w:eastAsia="宋体" w:cs="宋体"/>
          <w:color w:val="auto"/>
          <w:spacing w:val="-2"/>
          <w:position w:val="12"/>
          <w:sz w:val="18"/>
          <w:szCs w:val="18"/>
          <w:highlight w:val="none"/>
        </w:rPr>
        <w:footnoteReference w:id="5"/>
      </w:r>
      <w:r>
        <w:rPr>
          <w:rFonts w:ascii="宋体" w:hAnsi="宋体" w:eastAsia="宋体" w:cs="宋体"/>
          <w:color w:val="auto"/>
          <w:spacing w:val="-28"/>
          <w:position w:val="12"/>
          <w:sz w:val="18"/>
          <w:szCs w:val="18"/>
          <w:highlight w:val="none"/>
        </w:rPr>
        <w:t xml:space="preserve"> </w:t>
      </w:r>
      <w:r>
        <w:rPr>
          <w:rFonts w:ascii="宋体" w:hAnsi="宋体" w:eastAsia="宋体" w:cs="宋体"/>
          <w:color w:val="auto"/>
          <w:spacing w:val="-2"/>
          <w:sz w:val="24"/>
          <w:szCs w:val="24"/>
          <w:highlight w:val="none"/>
        </w:rPr>
        <w:t>中被列入失信被执行人名单的网页</w:t>
      </w:r>
      <w:r>
        <w:rPr>
          <w:rFonts w:ascii="宋体" w:hAnsi="宋体" w:eastAsia="宋体" w:cs="宋体"/>
          <w:color w:val="auto"/>
          <w:spacing w:val="-3"/>
          <w:sz w:val="24"/>
          <w:szCs w:val="24"/>
          <w:highlight w:val="none"/>
        </w:rPr>
        <w:t>截图。</w:t>
      </w:r>
    </w:p>
    <w:p w14:paraId="7D4D7611">
      <w:pPr>
        <w:spacing w:before="166" w:line="328" w:lineRule="auto"/>
        <w:ind w:left="1424" w:right="1304"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3.5.5（a）“拟委任的项目经理和项目总工等主要</w:t>
      </w:r>
      <w:r>
        <w:rPr>
          <w:rFonts w:ascii="宋体" w:hAnsi="宋体" w:eastAsia="宋体" w:cs="宋体"/>
          <w:color w:val="auto"/>
          <w:spacing w:val="-2"/>
          <w:sz w:val="24"/>
          <w:szCs w:val="24"/>
          <w:highlight w:val="none"/>
        </w:rPr>
        <w:t>管理人员资历表”应同时附①交通运输部“全国公路建设市场监督管理系统”中载明的、能够证明项目经理（以及备</w:t>
      </w:r>
      <w:r>
        <w:rPr>
          <w:rFonts w:ascii="宋体" w:hAnsi="宋体" w:eastAsia="宋体" w:cs="宋体"/>
          <w:color w:val="auto"/>
          <w:spacing w:val="-5"/>
          <w:sz w:val="24"/>
          <w:szCs w:val="24"/>
          <w:highlight w:val="none"/>
        </w:rPr>
        <w:t>选人，如有）、项目总工（以及备选人，如有）</w:t>
      </w:r>
      <w:r>
        <w:rPr>
          <w:rFonts w:ascii="宋体" w:hAnsi="宋体" w:eastAsia="宋体" w:cs="宋体"/>
          <w:strike/>
          <w:dstrike w:val="0"/>
          <w:color w:val="auto"/>
          <w:spacing w:val="-5"/>
          <w:sz w:val="24"/>
          <w:szCs w:val="24"/>
          <w:highlight w:val="none"/>
          <w:u w:val="single" w:color="auto"/>
        </w:rPr>
        <w:t>、安全总监（如有）、质量总监（如有）</w:t>
      </w:r>
      <w:r>
        <w:rPr>
          <w:rFonts w:ascii="宋体" w:hAnsi="宋体" w:eastAsia="宋体" w:cs="宋体"/>
          <w:color w:val="auto"/>
          <w:spacing w:val="-2"/>
          <w:sz w:val="24"/>
          <w:szCs w:val="24"/>
          <w:highlight w:val="none"/>
        </w:rPr>
        <w:t>满足投标人须知前附表附录</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5</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或者评标办法评分标准（如有）</w:t>
      </w:r>
      <w:r>
        <w:rPr>
          <w:rFonts w:ascii="宋体" w:hAnsi="宋体" w:eastAsia="宋体" w:cs="宋体"/>
          <w:color w:val="auto"/>
          <w:spacing w:val="-3"/>
          <w:sz w:val="24"/>
          <w:szCs w:val="24"/>
          <w:highlight w:val="none"/>
        </w:rPr>
        <w:t>所提出的各项指标（即包</w:t>
      </w:r>
    </w:p>
    <w:p w14:paraId="4B55D779">
      <w:pPr>
        <w:spacing w:before="78" w:line="360" w:lineRule="auto"/>
        <w:ind w:left="1424" w:right="1416"/>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括人员的“基本信息”、“职称信息”、“执业资格”、“个人业绩”等栏目在内）的网页截图；②建造师注册证书在全国建筑市场监管公共服务平台上公开信息的网页截图</w:t>
      </w:r>
      <w:r>
        <w:rPr>
          <w:rFonts w:ascii="宋体" w:hAnsi="宋体" w:eastAsia="宋体" w:cs="宋体"/>
          <w:color w:val="auto"/>
          <w:spacing w:val="-1"/>
          <w:sz w:val="24"/>
          <w:szCs w:val="24"/>
          <w:highlight w:val="none"/>
        </w:rPr>
        <w:t>（仅项目经理（以及备选人，如有）提供</w:t>
      </w:r>
      <w:r>
        <w:rPr>
          <w:rFonts w:ascii="宋体" w:hAnsi="宋体" w:eastAsia="宋体" w:cs="宋体"/>
          <w:color w:val="auto"/>
          <w:spacing w:val="-11"/>
          <w:sz w:val="24"/>
          <w:szCs w:val="24"/>
          <w:highlight w:val="none"/>
        </w:rPr>
        <w:t>）；</w:t>
      </w:r>
      <w:r>
        <w:rPr>
          <w:rFonts w:ascii="宋体" w:hAnsi="宋体" w:eastAsia="宋体" w:cs="宋体"/>
          <w:color w:val="auto"/>
          <w:spacing w:val="-1"/>
          <w:sz w:val="24"/>
          <w:szCs w:val="24"/>
          <w:highlight w:val="none"/>
        </w:rPr>
        <w:t>③安全生产考核合格证书在交通运输工程</w:t>
      </w:r>
      <w:r>
        <w:rPr>
          <w:rFonts w:ascii="宋体" w:hAnsi="宋体" w:eastAsia="宋体" w:cs="宋体"/>
          <w:color w:val="auto"/>
          <w:spacing w:val="2"/>
          <w:sz w:val="24"/>
          <w:szCs w:val="24"/>
          <w:highlight w:val="none"/>
        </w:rPr>
        <w:t>施工单位安管人员安全生产考核管理系统信息</w:t>
      </w:r>
      <w:r>
        <w:rPr>
          <w:rFonts w:ascii="宋体" w:hAnsi="宋体" w:eastAsia="宋体" w:cs="宋体"/>
          <w:color w:val="auto"/>
          <w:spacing w:val="1"/>
          <w:sz w:val="24"/>
          <w:szCs w:val="24"/>
          <w:highlight w:val="none"/>
        </w:rPr>
        <w:t>公共查询平台(或省级交通运输工程施工</w:t>
      </w:r>
      <w:r>
        <w:rPr>
          <w:rFonts w:ascii="宋体" w:hAnsi="宋体" w:eastAsia="宋体" w:cs="宋体"/>
          <w:color w:val="auto"/>
          <w:spacing w:val="8"/>
          <w:sz w:val="24"/>
          <w:szCs w:val="24"/>
          <w:highlight w:val="none"/>
        </w:rPr>
        <w:t>单位安管人员安全生产考核管理系统信息公共查询平台)上查询公开信息的网页截图</w:t>
      </w:r>
      <w:r>
        <w:rPr>
          <w:rFonts w:ascii="宋体" w:hAnsi="宋体" w:eastAsia="宋体" w:cs="宋体"/>
          <w:color w:val="auto"/>
          <w:spacing w:val="-1"/>
          <w:sz w:val="24"/>
          <w:szCs w:val="24"/>
          <w:highlight w:val="none"/>
        </w:rPr>
        <w:t>（仅项目经理（以及备选人，如有）</w:t>
      </w:r>
      <w:r>
        <w:rPr>
          <w:rFonts w:ascii="宋体" w:hAnsi="宋体" w:eastAsia="宋体" w:cs="宋体"/>
          <w:strike/>
          <w:dstrike w:val="0"/>
          <w:color w:val="auto"/>
          <w:spacing w:val="-1"/>
          <w:sz w:val="24"/>
          <w:szCs w:val="24"/>
          <w:highlight w:val="none"/>
          <w:u w:val="single" w:color="auto"/>
        </w:rPr>
        <w:t>、安全总监（</w:t>
      </w:r>
      <w:r>
        <w:rPr>
          <w:rFonts w:ascii="宋体" w:hAnsi="宋体" w:eastAsia="宋体" w:cs="宋体"/>
          <w:strike/>
          <w:dstrike w:val="0"/>
          <w:color w:val="auto"/>
          <w:spacing w:val="-2"/>
          <w:sz w:val="24"/>
          <w:szCs w:val="24"/>
          <w:highlight w:val="none"/>
          <w:u w:val="single" w:color="auto"/>
        </w:rPr>
        <w:t>如有）</w:t>
      </w:r>
      <w:r>
        <w:rPr>
          <w:rFonts w:ascii="宋体" w:hAnsi="宋体" w:eastAsia="宋体" w:cs="宋体"/>
          <w:color w:val="auto"/>
          <w:spacing w:val="-2"/>
          <w:sz w:val="24"/>
          <w:szCs w:val="24"/>
          <w:highlight w:val="none"/>
        </w:rPr>
        <w:t>提供</w:t>
      </w:r>
      <w:r>
        <w:rPr>
          <w:rFonts w:ascii="宋体" w:hAnsi="宋体" w:eastAsia="宋体" w:cs="宋体"/>
          <w:color w:val="auto"/>
          <w:spacing w:val="-4"/>
          <w:sz w:val="24"/>
          <w:szCs w:val="24"/>
          <w:highlight w:val="none"/>
        </w:rPr>
        <w:t>）；</w:t>
      </w:r>
      <w:r>
        <w:rPr>
          <w:rFonts w:ascii="宋体" w:hAnsi="宋体" w:eastAsia="宋体" w:cs="宋体"/>
          <w:color w:val="auto"/>
          <w:spacing w:val="-2"/>
          <w:sz w:val="24"/>
          <w:szCs w:val="24"/>
          <w:highlight w:val="none"/>
        </w:rPr>
        <w:t>④投标人在社保系统打印的拟委任的项目经理（以及备选人，如有）、项目总工（以及备选人，如有）</w:t>
      </w:r>
      <w:r>
        <w:rPr>
          <w:rFonts w:ascii="宋体" w:hAnsi="宋体" w:eastAsia="宋体" w:cs="宋体"/>
          <w:strike/>
          <w:dstrike w:val="0"/>
          <w:color w:val="auto"/>
          <w:spacing w:val="-2"/>
          <w:sz w:val="24"/>
          <w:szCs w:val="24"/>
          <w:highlight w:val="none"/>
          <w:u w:val="single" w:color="auto"/>
        </w:rPr>
        <w:t>、安全总监（如有）、质量总监（如有）</w:t>
      </w:r>
      <w:r>
        <w:rPr>
          <w:rFonts w:ascii="宋体" w:hAnsi="宋体" w:eastAsia="宋体" w:cs="宋体"/>
          <w:color w:val="auto"/>
          <w:spacing w:val="-2"/>
          <w:sz w:val="24"/>
          <w:szCs w:val="24"/>
          <w:highlight w:val="none"/>
        </w:rPr>
        <w:t>参加社保的缴费明细扫描件（社保时段为投标文件</w:t>
      </w:r>
      <w:r>
        <w:rPr>
          <w:rFonts w:ascii="宋体" w:hAnsi="宋体" w:eastAsia="宋体" w:cs="宋体"/>
          <w:color w:val="auto"/>
          <w:spacing w:val="-1"/>
          <w:sz w:val="24"/>
          <w:szCs w:val="24"/>
          <w:highlight w:val="none"/>
        </w:rPr>
        <w:t>递交截止日前半年时间内连续不少于三个月</w:t>
      </w:r>
      <w:r>
        <w:rPr>
          <w:rFonts w:ascii="宋体" w:hAnsi="宋体" w:eastAsia="宋体" w:cs="宋体"/>
          <w:color w:val="auto"/>
          <w:spacing w:val="-11"/>
          <w:sz w:val="24"/>
          <w:szCs w:val="24"/>
          <w:highlight w:val="none"/>
        </w:rPr>
        <w:t>），</w:t>
      </w:r>
      <w:r>
        <w:rPr>
          <w:rFonts w:ascii="宋体" w:hAnsi="宋体" w:eastAsia="宋体" w:cs="宋体"/>
          <w:color w:val="auto"/>
          <w:spacing w:val="-1"/>
          <w:sz w:val="24"/>
          <w:szCs w:val="24"/>
          <w:highlight w:val="none"/>
        </w:rPr>
        <w:t>总公司参与投标的，提供的分公司人员</w:t>
      </w:r>
      <w:r>
        <w:rPr>
          <w:rFonts w:ascii="宋体" w:hAnsi="宋体" w:eastAsia="宋体" w:cs="宋体"/>
          <w:color w:val="auto"/>
          <w:spacing w:val="-5"/>
          <w:sz w:val="24"/>
          <w:szCs w:val="24"/>
          <w:highlight w:val="none"/>
        </w:rPr>
        <w:t>的社保也视为有效。</w:t>
      </w:r>
    </w:p>
    <w:p w14:paraId="68277822">
      <w:pPr>
        <w:spacing w:line="217"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建造师注册信息以②的证明材料为准，安全生产考核</w:t>
      </w:r>
      <w:r>
        <w:rPr>
          <w:rFonts w:ascii="宋体" w:hAnsi="宋体" w:eastAsia="宋体" w:cs="宋体"/>
          <w:color w:val="auto"/>
          <w:spacing w:val="-2"/>
          <w:sz w:val="24"/>
          <w:szCs w:val="24"/>
          <w:highlight w:val="none"/>
        </w:rPr>
        <w:t>信息以③的证明材料为准。</w:t>
      </w:r>
    </w:p>
    <w:p w14:paraId="7014EE9A">
      <w:pPr>
        <w:spacing w:before="185" w:line="219" w:lineRule="auto"/>
        <w:ind w:left="191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除上述资料外，投标人无需再提供任何证明材料。</w:t>
      </w:r>
    </w:p>
    <w:p w14:paraId="2BD6038C">
      <w:pPr>
        <w:spacing w:before="183" w:line="353" w:lineRule="auto"/>
        <w:ind w:left="1429"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如项目经理（以及备选人，如有）和项目总工（以及备选人，如有）目前仍在其他项目上任职，则投标人应按投标函的格式承诺上述人员能够从该项目撤离。</w:t>
      </w:r>
    </w:p>
    <w:p w14:paraId="1D146270">
      <w:pPr>
        <w:spacing w:before="7" w:line="361" w:lineRule="auto"/>
        <w:ind w:left="1423" w:right="1248"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3.5.5（b）“拟委任的项目经理和项目总工等主要</w:t>
      </w:r>
      <w:r>
        <w:rPr>
          <w:rFonts w:ascii="宋体" w:hAnsi="宋体" w:eastAsia="宋体" w:cs="宋体"/>
          <w:strike/>
          <w:dstrike w:val="0"/>
          <w:color w:val="auto"/>
          <w:spacing w:val="-2"/>
          <w:sz w:val="24"/>
          <w:szCs w:val="24"/>
          <w:highlight w:val="none"/>
        </w:rPr>
        <w:t>管理人员资历表”应同时附①</w:t>
      </w:r>
      <w:r>
        <w:rPr>
          <w:rFonts w:ascii="宋体" w:hAnsi="宋体" w:eastAsia="宋体" w:cs="宋体"/>
          <w:strike/>
          <w:dstrike w:val="0"/>
          <w:color w:val="auto"/>
          <w:spacing w:val="-3"/>
          <w:sz w:val="24"/>
          <w:szCs w:val="24"/>
          <w:highlight w:val="none"/>
        </w:rPr>
        <w:t>项目经理（以及备选人，如有）、项目总工（以及备选人，如</w:t>
      </w:r>
      <w:r>
        <w:rPr>
          <w:rFonts w:ascii="宋体" w:hAnsi="宋体" w:eastAsia="宋体" w:cs="宋体"/>
          <w:strike/>
          <w:dstrike w:val="0"/>
          <w:color w:val="auto"/>
          <w:spacing w:val="-4"/>
          <w:sz w:val="24"/>
          <w:szCs w:val="24"/>
          <w:highlight w:val="none"/>
        </w:rPr>
        <w:t>有）</w:t>
      </w:r>
      <w:r>
        <w:rPr>
          <w:rFonts w:ascii="宋体" w:hAnsi="宋体" w:eastAsia="宋体" w:cs="宋体"/>
          <w:strike/>
          <w:dstrike w:val="0"/>
          <w:color w:val="auto"/>
          <w:spacing w:val="-4"/>
          <w:sz w:val="24"/>
          <w:szCs w:val="24"/>
          <w:highlight w:val="none"/>
          <w:u w:val="single" w:color="auto"/>
        </w:rPr>
        <w:t>、安全总监（如有）</w:t>
      </w:r>
      <w:r>
        <w:rPr>
          <w:rFonts w:ascii="宋体" w:hAnsi="宋体" w:eastAsia="宋体" w:cs="宋体"/>
          <w:strike/>
          <w:dstrike w:val="0"/>
          <w:color w:val="auto"/>
          <w:spacing w:val="-4"/>
          <w:sz w:val="24"/>
          <w:szCs w:val="24"/>
          <w:highlight w:val="none"/>
        </w:rPr>
        <w:t>、</w:t>
      </w:r>
      <w:r>
        <w:rPr>
          <w:rFonts w:ascii="宋体" w:hAnsi="宋体" w:eastAsia="宋体" w:cs="宋体"/>
          <w:strike/>
          <w:dstrike w:val="0"/>
          <w:color w:val="auto"/>
          <w:spacing w:val="-6"/>
          <w:sz w:val="24"/>
          <w:szCs w:val="24"/>
          <w:highlight w:val="none"/>
          <w:u w:val="single" w:color="auto"/>
        </w:rPr>
        <w:t>质量总监（如有）</w:t>
      </w:r>
      <w:r>
        <w:rPr>
          <w:rFonts w:ascii="宋体" w:hAnsi="宋体" w:eastAsia="宋体" w:cs="宋体"/>
          <w:strike/>
          <w:dstrike w:val="0"/>
          <w:color w:val="auto"/>
          <w:spacing w:val="-6"/>
          <w:sz w:val="24"/>
          <w:szCs w:val="24"/>
          <w:highlight w:val="none"/>
        </w:rPr>
        <w:t>的身份证、职称资格证书扫描件；</w:t>
      </w:r>
      <w:r>
        <w:rPr>
          <w:rFonts w:ascii="宋体" w:hAnsi="宋体" w:eastAsia="宋体" w:cs="宋体"/>
          <w:strike/>
          <w:dstrike w:val="0"/>
          <w:color w:val="auto"/>
          <w:spacing w:val="51"/>
          <w:sz w:val="24"/>
          <w:szCs w:val="24"/>
          <w:highlight w:val="none"/>
        </w:rPr>
        <w:t xml:space="preserve"> </w:t>
      </w:r>
      <w:r>
        <w:rPr>
          <w:rFonts w:ascii="宋体" w:hAnsi="宋体" w:eastAsia="宋体" w:cs="宋体"/>
          <w:strike/>
          <w:dstrike w:val="0"/>
          <w:color w:val="auto"/>
          <w:spacing w:val="-6"/>
          <w:sz w:val="24"/>
          <w:szCs w:val="24"/>
          <w:highlight w:val="none"/>
        </w:rPr>
        <w:t>②建造师注册证书在全国建筑市场</w:t>
      </w:r>
      <w:r>
        <w:rPr>
          <w:rFonts w:ascii="宋体" w:hAnsi="宋体" w:eastAsia="宋体" w:cs="宋体"/>
          <w:strike/>
          <w:dstrike w:val="0"/>
          <w:color w:val="auto"/>
          <w:sz w:val="24"/>
          <w:szCs w:val="24"/>
          <w:highlight w:val="none"/>
        </w:rPr>
        <w:t xml:space="preserve">监管公共服务平台上公开信息的网页截图（仅项目经理（以及备选人，如有）提供）； </w:t>
      </w:r>
      <w:r>
        <w:rPr>
          <w:rFonts w:ascii="宋体" w:hAnsi="宋体" w:eastAsia="宋体" w:cs="宋体"/>
          <w:strike/>
          <w:dstrike w:val="0"/>
          <w:color w:val="auto"/>
          <w:spacing w:val="5"/>
          <w:sz w:val="24"/>
          <w:szCs w:val="24"/>
          <w:highlight w:val="none"/>
        </w:rPr>
        <w:t>③安全生产考核合格证书在交通运输工程施工单位安管人员安全生产考核管理系统信</w:t>
      </w:r>
      <w:r>
        <w:rPr>
          <w:rFonts w:ascii="宋体" w:hAnsi="宋体" w:eastAsia="宋体" w:cs="宋体"/>
          <w:strike/>
          <w:dstrike w:val="0"/>
          <w:color w:val="auto"/>
          <w:spacing w:val="1"/>
          <w:sz w:val="24"/>
          <w:szCs w:val="24"/>
          <w:highlight w:val="none"/>
        </w:rPr>
        <w:t>息公共查询平台(或省级交通运输工程施工单位安管人员安全生产考核管理系统信息公</w:t>
      </w:r>
      <w:r>
        <w:rPr>
          <w:rFonts w:ascii="宋体" w:hAnsi="宋体" w:eastAsia="宋体" w:cs="宋体"/>
          <w:strike/>
          <w:dstrike w:val="0"/>
          <w:color w:val="auto"/>
          <w:spacing w:val="2"/>
          <w:sz w:val="24"/>
          <w:szCs w:val="24"/>
          <w:highlight w:val="none"/>
        </w:rPr>
        <w:t>共查询平台)上查询公开信息的网页截图（仅项目经理</w:t>
      </w:r>
      <w:r>
        <w:rPr>
          <w:rFonts w:ascii="宋体" w:hAnsi="宋体" w:eastAsia="宋体" w:cs="宋体"/>
          <w:strike/>
          <w:dstrike w:val="0"/>
          <w:color w:val="auto"/>
          <w:spacing w:val="1"/>
          <w:sz w:val="24"/>
          <w:szCs w:val="24"/>
          <w:highlight w:val="none"/>
        </w:rPr>
        <w:t>（以及备选人，如有）</w:t>
      </w:r>
      <w:r>
        <w:rPr>
          <w:rFonts w:ascii="宋体" w:hAnsi="宋体" w:eastAsia="宋体" w:cs="宋体"/>
          <w:strike/>
          <w:dstrike w:val="0"/>
          <w:color w:val="auto"/>
          <w:spacing w:val="1"/>
          <w:sz w:val="24"/>
          <w:szCs w:val="24"/>
          <w:highlight w:val="none"/>
          <w:u w:val="single" w:color="auto"/>
        </w:rPr>
        <w:t>、安全总</w:t>
      </w:r>
      <w:r>
        <w:rPr>
          <w:rFonts w:ascii="宋体" w:hAnsi="宋体" w:eastAsia="宋体" w:cs="宋体"/>
          <w:strike/>
          <w:dstrike w:val="0"/>
          <w:color w:val="auto"/>
          <w:spacing w:val="-8"/>
          <w:sz w:val="24"/>
          <w:szCs w:val="24"/>
          <w:highlight w:val="none"/>
          <w:u w:val="single" w:color="auto"/>
        </w:rPr>
        <w:t>监（如有）</w:t>
      </w:r>
      <w:r>
        <w:rPr>
          <w:rFonts w:ascii="宋体" w:hAnsi="宋体" w:eastAsia="宋体" w:cs="宋体"/>
          <w:strike/>
          <w:dstrike w:val="0"/>
          <w:color w:val="auto"/>
          <w:spacing w:val="-8"/>
          <w:sz w:val="24"/>
          <w:szCs w:val="24"/>
          <w:highlight w:val="none"/>
        </w:rPr>
        <w:t>提供</w:t>
      </w:r>
      <w:r>
        <w:rPr>
          <w:rFonts w:ascii="宋体" w:hAnsi="宋体" w:eastAsia="宋体" w:cs="宋体"/>
          <w:strike/>
          <w:dstrike w:val="0"/>
          <w:color w:val="auto"/>
          <w:spacing w:val="-40"/>
          <w:sz w:val="24"/>
          <w:szCs w:val="24"/>
          <w:highlight w:val="none"/>
        </w:rPr>
        <w:t>）；</w:t>
      </w:r>
      <w:r>
        <w:rPr>
          <w:rFonts w:ascii="宋体" w:hAnsi="宋体" w:eastAsia="宋体" w:cs="宋体"/>
          <w:strike/>
          <w:dstrike w:val="0"/>
          <w:color w:val="auto"/>
          <w:spacing w:val="-8"/>
          <w:sz w:val="24"/>
          <w:szCs w:val="24"/>
          <w:highlight w:val="none"/>
        </w:rPr>
        <w:t>④投标人在社保系统打印的拟委任的项目经理（以及备</w:t>
      </w:r>
      <w:r>
        <w:rPr>
          <w:rFonts w:ascii="宋体" w:hAnsi="宋体" w:eastAsia="宋体" w:cs="宋体"/>
          <w:strike/>
          <w:dstrike w:val="0"/>
          <w:color w:val="auto"/>
          <w:spacing w:val="-9"/>
          <w:sz w:val="24"/>
          <w:szCs w:val="24"/>
          <w:highlight w:val="none"/>
        </w:rPr>
        <w:t>选人，如有）、</w:t>
      </w:r>
      <w:r>
        <w:rPr>
          <w:rFonts w:ascii="宋体" w:hAnsi="宋体" w:eastAsia="宋体" w:cs="宋体"/>
          <w:strike/>
          <w:dstrike w:val="0"/>
          <w:color w:val="auto"/>
          <w:spacing w:val="-1"/>
          <w:sz w:val="24"/>
          <w:szCs w:val="24"/>
          <w:highlight w:val="none"/>
        </w:rPr>
        <w:t>项目总工（以及备选人，如有）</w:t>
      </w:r>
      <w:r>
        <w:rPr>
          <w:rFonts w:ascii="宋体" w:hAnsi="宋体" w:eastAsia="宋体" w:cs="宋体"/>
          <w:strike/>
          <w:dstrike w:val="0"/>
          <w:color w:val="auto"/>
          <w:spacing w:val="-1"/>
          <w:sz w:val="24"/>
          <w:szCs w:val="24"/>
          <w:highlight w:val="none"/>
          <w:u w:val="single" w:color="auto"/>
        </w:rPr>
        <w:t>、安全总监（如有）、质</w:t>
      </w:r>
      <w:r>
        <w:rPr>
          <w:rFonts w:ascii="宋体" w:hAnsi="宋体" w:eastAsia="宋体" w:cs="宋体"/>
          <w:strike/>
          <w:dstrike w:val="0"/>
          <w:color w:val="auto"/>
          <w:spacing w:val="-2"/>
          <w:sz w:val="24"/>
          <w:szCs w:val="24"/>
          <w:highlight w:val="none"/>
          <w:u w:val="single" w:color="auto"/>
        </w:rPr>
        <w:t>量总监（如有）</w:t>
      </w:r>
      <w:r>
        <w:rPr>
          <w:rFonts w:ascii="宋体" w:hAnsi="宋体" w:eastAsia="宋体" w:cs="宋体"/>
          <w:strike/>
          <w:dstrike w:val="0"/>
          <w:color w:val="auto"/>
          <w:spacing w:val="-2"/>
          <w:sz w:val="24"/>
          <w:szCs w:val="24"/>
          <w:highlight w:val="none"/>
        </w:rPr>
        <w:t>参加社保的缴</w:t>
      </w:r>
      <w:r>
        <w:rPr>
          <w:rFonts w:ascii="宋体" w:hAnsi="宋体" w:eastAsia="宋体" w:cs="宋体"/>
          <w:strike/>
          <w:dstrike w:val="0"/>
          <w:color w:val="auto"/>
          <w:spacing w:val="-1"/>
          <w:sz w:val="24"/>
          <w:szCs w:val="24"/>
          <w:highlight w:val="none"/>
        </w:rPr>
        <w:t>费明细扫描件（社保时段为投标文件递交截止日前半年时间内连续不少于三个月</w:t>
      </w:r>
      <w:r>
        <w:rPr>
          <w:rFonts w:ascii="宋体" w:hAnsi="宋体" w:eastAsia="宋体" w:cs="宋体"/>
          <w:strike/>
          <w:dstrike w:val="0"/>
          <w:color w:val="auto"/>
          <w:spacing w:val="-11"/>
          <w:sz w:val="24"/>
          <w:szCs w:val="24"/>
          <w:highlight w:val="none"/>
        </w:rPr>
        <w:t>），</w:t>
      </w:r>
      <w:r>
        <w:rPr>
          <w:rFonts w:ascii="宋体" w:hAnsi="宋体" w:eastAsia="宋体" w:cs="宋体"/>
          <w:strike/>
          <w:dstrike w:val="0"/>
          <w:color w:val="auto"/>
          <w:spacing w:val="-1"/>
          <w:sz w:val="24"/>
          <w:szCs w:val="24"/>
          <w:highlight w:val="none"/>
        </w:rPr>
        <w:t>总公司参与投标的，提供的分公司人员的社保</w:t>
      </w:r>
      <w:r>
        <w:rPr>
          <w:rFonts w:ascii="宋体" w:hAnsi="宋体" w:eastAsia="宋体" w:cs="宋体"/>
          <w:strike/>
          <w:dstrike w:val="0"/>
          <w:color w:val="auto"/>
          <w:spacing w:val="-2"/>
          <w:sz w:val="24"/>
          <w:szCs w:val="24"/>
          <w:highlight w:val="none"/>
        </w:rPr>
        <w:t>也视为有效；⑤交通运输部“全国公路建设</w:t>
      </w:r>
      <w:r>
        <w:rPr>
          <w:rFonts w:ascii="宋体" w:hAnsi="宋体" w:eastAsia="宋体" w:cs="宋体"/>
          <w:strike/>
          <w:dstrike w:val="0"/>
          <w:color w:val="auto"/>
          <w:spacing w:val="-8"/>
          <w:sz w:val="24"/>
          <w:szCs w:val="24"/>
          <w:highlight w:val="none"/>
        </w:rPr>
        <w:t>市场监督管理系统”中载明的、能够证明项目经理（以及备选人，如有）和项目</w:t>
      </w:r>
      <w:r>
        <w:rPr>
          <w:rFonts w:ascii="宋体" w:hAnsi="宋体" w:eastAsia="宋体" w:cs="宋体"/>
          <w:strike/>
          <w:dstrike w:val="0"/>
          <w:color w:val="auto"/>
          <w:spacing w:val="-9"/>
          <w:sz w:val="24"/>
          <w:szCs w:val="24"/>
          <w:highlight w:val="none"/>
        </w:rPr>
        <w:t>总工（以</w:t>
      </w:r>
      <w:r>
        <w:rPr>
          <w:rFonts w:ascii="宋体" w:hAnsi="宋体" w:eastAsia="宋体" w:cs="宋体"/>
          <w:strike/>
          <w:dstrike w:val="0"/>
          <w:color w:val="auto"/>
          <w:spacing w:val="-1"/>
          <w:sz w:val="24"/>
          <w:szCs w:val="24"/>
          <w:highlight w:val="none"/>
        </w:rPr>
        <w:t>及备选人，如有）具有相关业绩的网页截图</w:t>
      </w:r>
      <w:r>
        <w:rPr>
          <w:rFonts w:ascii="宋体" w:hAnsi="宋体" w:eastAsia="宋体" w:cs="宋体"/>
          <w:strike/>
          <w:dstrike w:val="0"/>
          <w:color w:val="auto"/>
          <w:spacing w:val="-2"/>
          <w:sz w:val="24"/>
          <w:szCs w:val="24"/>
          <w:highlight w:val="none"/>
        </w:rPr>
        <w:t>。在交通运输部“全国公路建设市场监督管</w:t>
      </w:r>
      <w:r>
        <w:rPr>
          <w:rFonts w:ascii="宋体" w:hAnsi="宋体" w:eastAsia="宋体" w:cs="宋体"/>
          <w:strike/>
          <w:dstrike w:val="0"/>
          <w:color w:val="auto"/>
          <w:spacing w:val="3"/>
          <w:sz w:val="24"/>
          <w:szCs w:val="24"/>
          <w:highlight w:val="none"/>
        </w:rPr>
        <w:t>理系统”中无法查询的，但可在省级交通运输主管部门“公路建设市场监督管理</w:t>
      </w:r>
      <w:r>
        <w:rPr>
          <w:rFonts w:ascii="宋体" w:hAnsi="宋体" w:eastAsia="宋体" w:cs="宋体"/>
          <w:strike/>
          <w:dstrike w:val="0"/>
          <w:color w:val="auto"/>
          <w:spacing w:val="2"/>
          <w:sz w:val="24"/>
          <w:szCs w:val="24"/>
          <w:highlight w:val="none"/>
        </w:rPr>
        <w:t>系统”</w:t>
      </w:r>
    </w:p>
    <w:p w14:paraId="3849F6C2">
      <w:pPr>
        <w:spacing w:before="78" w:line="360" w:lineRule="auto"/>
        <w:ind w:left="1424" w:right="1412" w:firstLine="2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中查询的，应附省级交通运输主管部门“公路建设市场监督管理系统”中查</w:t>
      </w:r>
      <w:r>
        <w:rPr>
          <w:rFonts w:ascii="宋体" w:hAnsi="宋体" w:eastAsia="宋体" w:cs="宋体"/>
          <w:strike/>
          <w:dstrike w:val="0"/>
          <w:color w:val="auto"/>
          <w:spacing w:val="-3"/>
          <w:sz w:val="24"/>
          <w:szCs w:val="24"/>
          <w:highlight w:val="none"/>
        </w:rPr>
        <w:t>询到的网页</w:t>
      </w:r>
      <w:r>
        <w:rPr>
          <w:rFonts w:ascii="宋体" w:hAnsi="宋体" w:eastAsia="宋体" w:cs="宋体"/>
          <w:strike/>
          <w:dstrike w:val="0"/>
          <w:color w:val="auto"/>
          <w:spacing w:val="-6"/>
          <w:sz w:val="24"/>
          <w:szCs w:val="24"/>
          <w:highlight w:val="none"/>
        </w:rPr>
        <w:t>截图。除网页截图外，</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6"/>
          <w:sz w:val="24"/>
          <w:szCs w:val="24"/>
          <w:highlight w:val="none"/>
        </w:rPr>
        <w:t>投标人无需再提供任何业绩证明材料。如投标人未提供相关业绩</w:t>
      </w:r>
      <w:r>
        <w:rPr>
          <w:rFonts w:ascii="宋体" w:hAnsi="宋体" w:eastAsia="宋体" w:cs="宋体"/>
          <w:strike/>
          <w:dstrike w:val="0"/>
          <w:color w:val="auto"/>
          <w:spacing w:val="5"/>
          <w:sz w:val="24"/>
          <w:szCs w:val="24"/>
          <w:highlight w:val="none"/>
        </w:rPr>
        <w:t>网页截图或相关业绩网页截图中的信息无法证实投标人满足招标文件规定的资格审查</w:t>
      </w:r>
      <w:r>
        <w:rPr>
          <w:rFonts w:ascii="宋体" w:hAnsi="宋体" w:eastAsia="宋体" w:cs="宋体"/>
          <w:strike/>
          <w:dstrike w:val="0"/>
          <w:color w:val="auto"/>
          <w:spacing w:val="-1"/>
          <w:sz w:val="24"/>
          <w:szCs w:val="24"/>
          <w:highlight w:val="none"/>
        </w:rPr>
        <w:t>条件(项目经理和项目总工等主要管理人员最低要求)，</w:t>
      </w:r>
      <w:r>
        <w:rPr>
          <w:rFonts w:ascii="宋体" w:hAnsi="宋体" w:eastAsia="宋体" w:cs="宋体"/>
          <w:strike/>
          <w:dstrike w:val="0"/>
          <w:color w:val="auto"/>
          <w:spacing w:val="-2"/>
          <w:sz w:val="24"/>
          <w:szCs w:val="24"/>
          <w:highlight w:val="none"/>
        </w:rPr>
        <w:t>则该业绩不予认定。</w:t>
      </w:r>
    </w:p>
    <w:p w14:paraId="674DBB10">
      <w:pPr>
        <w:spacing w:line="360" w:lineRule="auto"/>
        <w:ind w:left="1919" w:right="1643" w:hanging="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建造师注册信息以②的证明材料为准，安全生产</w:t>
      </w:r>
      <w:r>
        <w:rPr>
          <w:rFonts w:ascii="宋体" w:hAnsi="宋体" w:eastAsia="宋体" w:cs="宋体"/>
          <w:strike/>
          <w:dstrike w:val="0"/>
          <w:color w:val="auto"/>
          <w:spacing w:val="-2"/>
          <w:sz w:val="24"/>
          <w:szCs w:val="24"/>
          <w:highlight w:val="none"/>
        </w:rPr>
        <w:t>考核信息以③的证明材料为准。</w:t>
      </w:r>
      <w:r>
        <w:rPr>
          <w:rFonts w:ascii="宋体" w:hAnsi="宋体" w:eastAsia="宋体" w:cs="宋体"/>
          <w:strike/>
          <w:dstrike w:val="0"/>
          <w:color w:val="auto"/>
          <w:spacing w:val="-3"/>
          <w:sz w:val="24"/>
          <w:szCs w:val="24"/>
          <w:highlight w:val="none"/>
        </w:rPr>
        <w:t>除上述资料外，投标人无需再提供任何证明材料。</w:t>
      </w:r>
    </w:p>
    <w:p w14:paraId="6DC9649B">
      <w:pPr>
        <w:spacing w:line="353" w:lineRule="auto"/>
        <w:ind w:left="1429" w:right="1416"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如项目经理（以及备选人，如有）和项目总工（以及备选人，如有）目前仍在其他项目上任职，则投标人应按投标函的格式承诺上述人员能够从该项目撤离。</w:t>
      </w:r>
    </w:p>
    <w:p w14:paraId="271FBA73">
      <w:pPr>
        <w:spacing w:before="7" w:line="341" w:lineRule="auto"/>
        <w:ind w:left="1424" w:right="1415"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3.5.5（c）“拟委任的项目经理和项目总工等主要</w:t>
      </w:r>
      <w:r>
        <w:rPr>
          <w:rFonts w:ascii="宋体" w:hAnsi="宋体" w:eastAsia="宋体" w:cs="宋体"/>
          <w:strike/>
          <w:dstrike w:val="0"/>
          <w:color w:val="auto"/>
          <w:spacing w:val="-2"/>
          <w:sz w:val="24"/>
          <w:szCs w:val="24"/>
          <w:highlight w:val="none"/>
        </w:rPr>
        <w:t>管理人员资历表”应同时附项目经理（以及备选人，如有）、项目总工（以及备选人，如有）</w:t>
      </w:r>
      <w:r>
        <w:rPr>
          <w:rFonts w:ascii="宋体" w:hAnsi="宋体" w:eastAsia="宋体" w:cs="宋体"/>
          <w:strike/>
          <w:dstrike w:val="0"/>
          <w:color w:val="auto"/>
          <w:spacing w:val="-2"/>
          <w:sz w:val="24"/>
          <w:szCs w:val="24"/>
          <w:highlight w:val="none"/>
          <w:u w:val="single" w:color="auto"/>
        </w:rPr>
        <w:t>、安全总监（如有）、</w:t>
      </w:r>
      <w:r>
        <w:rPr>
          <w:rFonts w:ascii="宋体" w:hAnsi="宋体" w:eastAsia="宋体" w:cs="宋体"/>
          <w:strike/>
          <w:dstrike w:val="0"/>
          <w:color w:val="auto"/>
          <w:spacing w:val="-1"/>
          <w:sz w:val="24"/>
          <w:szCs w:val="24"/>
          <w:highlight w:val="none"/>
          <w:u w:val="single" w:color="auto"/>
        </w:rPr>
        <w:t>质量总监（如有）的</w:t>
      </w:r>
      <w:r>
        <w:rPr>
          <w:rFonts w:ascii="宋体" w:hAnsi="宋体" w:eastAsia="宋体" w:cs="宋体"/>
          <w:strike/>
          <w:dstrike w:val="0"/>
          <w:color w:val="auto"/>
          <w:spacing w:val="-1"/>
          <w:sz w:val="24"/>
          <w:szCs w:val="24"/>
          <w:highlight w:val="none"/>
        </w:rPr>
        <w:t>身份证、职称资格证书</w:t>
      </w:r>
      <w:r>
        <w:rPr>
          <w:rFonts w:ascii="宋体" w:hAnsi="宋体" w:eastAsia="宋体" w:cs="宋体"/>
          <w:strike/>
          <w:dstrike w:val="0"/>
          <w:color w:val="auto"/>
          <w:spacing w:val="-2"/>
          <w:sz w:val="24"/>
          <w:szCs w:val="24"/>
          <w:highlight w:val="none"/>
        </w:rPr>
        <w:t>、资格审查条件所要求的其他相关证书、类似工程经验的相关证明材料的扫描件，以及投标人在社保系统打印的拟委任的项目经理</w:t>
      </w:r>
      <w:r>
        <w:rPr>
          <w:rFonts w:ascii="宋体" w:hAnsi="宋体" w:eastAsia="宋体" w:cs="宋体"/>
          <w:strike/>
          <w:dstrike w:val="0"/>
          <w:color w:val="auto"/>
          <w:spacing w:val="-1"/>
          <w:sz w:val="24"/>
          <w:szCs w:val="24"/>
          <w:highlight w:val="none"/>
        </w:rPr>
        <w:t>（以及备选人，如有）、项目总工（以及备</w:t>
      </w:r>
      <w:r>
        <w:rPr>
          <w:rFonts w:ascii="宋体" w:hAnsi="宋体" w:eastAsia="宋体" w:cs="宋体"/>
          <w:strike/>
          <w:dstrike w:val="0"/>
          <w:color w:val="auto"/>
          <w:spacing w:val="-2"/>
          <w:sz w:val="24"/>
          <w:szCs w:val="24"/>
          <w:highlight w:val="none"/>
        </w:rPr>
        <w:t>选人，如有）</w:t>
      </w:r>
      <w:r>
        <w:rPr>
          <w:rFonts w:ascii="宋体" w:hAnsi="宋体" w:eastAsia="宋体" w:cs="宋体"/>
          <w:strike/>
          <w:dstrike w:val="0"/>
          <w:color w:val="auto"/>
          <w:spacing w:val="-2"/>
          <w:sz w:val="24"/>
          <w:szCs w:val="24"/>
          <w:highlight w:val="none"/>
          <w:u w:val="single" w:color="auto"/>
        </w:rPr>
        <w:t>、安全总监（如有）、质量总监（如有）</w:t>
      </w:r>
      <w:r>
        <w:rPr>
          <w:rFonts w:ascii="宋体" w:hAnsi="宋体" w:eastAsia="宋体" w:cs="宋体"/>
          <w:strike/>
          <w:dstrike w:val="0"/>
          <w:color w:val="auto"/>
          <w:spacing w:val="-2"/>
          <w:sz w:val="24"/>
          <w:szCs w:val="24"/>
          <w:highlight w:val="none"/>
        </w:rPr>
        <w:t>参加社保的缴费明细扫描件（社保时段为</w:t>
      </w:r>
      <w:r>
        <w:rPr>
          <w:rFonts w:ascii="宋体" w:hAnsi="宋体" w:eastAsia="宋体" w:cs="宋体"/>
          <w:strike/>
          <w:dstrike w:val="0"/>
          <w:color w:val="auto"/>
          <w:spacing w:val="-3"/>
          <w:sz w:val="24"/>
          <w:szCs w:val="24"/>
          <w:highlight w:val="none"/>
        </w:rPr>
        <w:t>投标文件递交截止日前半年时间内</w:t>
      </w:r>
      <w:r>
        <w:rPr>
          <w:rFonts w:ascii="宋体" w:hAnsi="宋体" w:eastAsia="宋体" w:cs="宋体"/>
          <w:strike/>
          <w:dstrike w:val="0"/>
          <w:color w:val="auto"/>
          <w:spacing w:val="-1"/>
          <w:sz w:val="24"/>
          <w:szCs w:val="24"/>
          <w:highlight w:val="none"/>
        </w:rPr>
        <w:t>连续不少于三个月），总公司参与投标的，提供的分公司人员的社</w:t>
      </w:r>
      <w:r>
        <w:rPr>
          <w:rFonts w:ascii="宋体" w:hAnsi="宋体" w:eastAsia="宋体" w:cs="宋体"/>
          <w:strike/>
          <w:dstrike w:val="0"/>
          <w:color w:val="auto"/>
          <w:spacing w:val="-2"/>
          <w:sz w:val="24"/>
          <w:szCs w:val="24"/>
          <w:highlight w:val="none"/>
        </w:rPr>
        <w:t>保也视为有效。</w:t>
      </w:r>
    </w:p>
    <w:p w14:paraId="70578732">
      <w:pPr>
        <w:spacing w:before="187" w:line="336" w:lineRule="auto"/>
        <w:ind w:left="1426" w:right="1416"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3.5.6 “拟委任的其他管理和技术人员汇总表”（如有）应填报满足投标人须知前</w:t>
      </w:r>
      <w:r>
        <w:rPr>
          <w:rFonts w:ascii="宋体" w:hAnsi="宋体" w:eastAsia="宋体" w:cs="宋体"/>
          <w:strike/>
          <w:dstrike w:val="0"/>
          <w:color w:val="auto"/>
          <w:spacing w:val="-3"/>
          <w:sz w:val="24"/>
          <w:szCs w:val="24"/>
          <w:highlight w:val="none"/>
        </w:rPr>
        <w:t>附表附录</w:t>
      </w:r>
      <w:r>
        <w:rPr>
          <w:rFonts w:ascii="宋体" w:hAnsi="宋体" w:eastAsia="宋体" w:cs="宋体"/>
          <w:strike/>
          <w:dstrike w:val="0"/>
          <w:color w:val="auto"/>
          <w:spacing w:val="-34"/>
          <w:sz w:val="24"/>
          <w:szCs w:val="24"/>
          <w:highlight w:val="none"/>
        </w:rPr>
        <w:t xml:space="preserve"> </w:t>
      </w:r>
      <w:r>
        <w:rPr>
          <w:rFonts w:ascii="宋体" w:hAnsi="宋体" w:eastAsia="宋体" w:cs="宋体"/>
          <w:strike/>
          <w:dstrike w:val="0"/>
          <w:color w:val="auto"/>
          <w:spacing w:val="-3"/>
          <w:sz w:val="24"/>
          <w:szCs w:val="24"/>
          <w:highlight w:val="none"/>
        </w:rPr>
        <w:t>6</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3"/>
          <w:sz w:val="24"/>
          <w:szCs w:val="24"/>
          <w:highlight w:val="none"/>
        </w:rPr>
        <w:t>规定的其他人员的相关信息。“拟委任的其他管理和技术人员资历表”（如</w:t>
      </w:r>
      <w:r>
        <w:rPr>
          <w:rFonts w:ascii="宋体" w:hAnsi="宋体" w:eastAsia="宋体" w:cs="宋体"/>
          <w:strike/>
          <w:dstrike w:val="0"/>
          <w:color w:val="auto"/>
          <w:spacing w:val="-2"/>
          <w:sz w:val="24"/>
          <w:szCs w:val="24"/>
          <w:highlight w:val="none"/>
        </w:rPr>
        <w:t>有）中相关人员应附身份证、职称资格证书以及资格审查条件所要求的其他相关证书的扫描件，相关业绩证明材料扫描件，以及投标人在社保系统打印的拟委任的其他管理和技术人员参加社保的缴费明细扫描件（社保时段为投标文件递交截止日前半年时间内连</w:t>
      </w:r>
      <w:r>
        <w:rPr>
          <w:rFonts w:ascii="宋体" w:hAnsi="宋体" w:eastAsia="宋体" w:cs="宋体"/>
          <w:strike/>
          <w:dstrike w:val="0"/>
          <w:color w:val="auto"/>
          <w:spacing w:val="-1"/>
          <w:sz w:val="24"/>
          <w:szCs w:val="24"/>
          <w:highlight w:val="none"/>
        </w:rPr>
        <w:t>续不少于三个月），总公司参与投标的，提供的分公司人</w:t>
      </w:r>
      <w:r>
        <w:rPr>
          <w:rFonts w:ascii="宋体" w:hAnsi="宋体" w:eastAsia="宋体" w:cs="宋体"/>
          <w:strike/>
          <w:dstrike w:val="0"/>
          <w:color w:val="auto"/>
          <w:spacing w:val="-2"/>
          <w:sz w:val="24"/>
          <w:szCs w:val="24"/>
          <w:highlight w:val="none"/>
        </w:rPr>
        <w:t>员的社保也视为有效。</w:t>
      </w:r>
    </w:p>
    <w:p w14:paraId="0A0683BC">
      <w:pPr>
        <w:spacing w:before="184" w:line="290" w:lineRule="auto"/>
        <w:ind w:left="1445" w:right="1416" w:firstLine="465"/>
        <w:rPr>
          <w:rFonts w:ascii="宋体" w:hAnsi="宋体" w:eastAsia="宋体" w:cs="宋体"/>
          <w:color w:val="auto"/>
          <w:sz w:val="24"/>
          <w:szCs w:val="24"/>
          <w:highlight w:val="none"/>
        </w:rPr>
      </w:pPr>
      <w:r>
        <w:rPr>
          <w:rFonts w:ascii="宋体" w:hAnsi="宋体" w:eastAsia="宋体" w:cs="宋体"/>
          <w:strike/>
          <w:dstrike w:val="0"/>
          <w:color w:val="auto"/>
          <w:spacing w:val="-2"/>
          <w:sz w:val="24"/>
          <w:szCs w:val="24"/>
          <w:highlight w:val="none"/>
        </w:rPr>
        <w:t>3.5.7 “拟投入本标段的主要设备表”（如有）应填报满</w:t>
      </w:r>
      <w:r>
        <w:rPr>
          <w:rFonts w:ascii="宋体" w:hAnsi="宋体" w:eastAsia="宋体" w:cs="宋体"/>
          <w:strike/>
          <w:dstrike w:val="0"/>
          <w:color w:val="auto"/>
          <w:spacing w:val="-3"/>
          <w:sz w:val="24"/>
          <w:szCs w:val="24"/>
          <w:highlight w:val="none"/>
        </w:rPr>
        <w:t>足本章前附表附录</w:t>
      </w:r>
      <w:r>
        <w:rPr>
          <w:rFonts w:ascii="宋体" w:hAnsi="宋体" w:eastAsia="宋体" w:cs="宋体"/>
          <w:strike/>
          <w:dstrike w:val="0"/>
          <w:color w:val="auto"/>
          <w:spacing w:val="-45"/>
          <w:sz w:val="24"/>
          <w:szCs w:val="24"/>
          <w:highlight w:val="none"/>
        </w:rPr>
        <w:t xml:space="preserve"> </w:t>
      </w:r>
      <w:r>
        <w:rPr>
          <w:rFonts w:ascii="宋体" w:hAnsi="宋体" w:eastAsia="宋体" w:cs="宋体"/>
          <w:strike/>
          <w:dstrike w:val="0"/>
          <w:color w:val="auto"/>
          <w:spacing w:val="-3"/>
          <w:sz w:val="24"/>
          <w:szCs w:val="24"/>
          <w:highlight w:val="none"/>
        </w:rPr>
        <w:t>7</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3"/>
          <w:sz w:val="24"/>
          <w:szCs w:val="24"/>
          <w:highlight w:val="none"/>
        </w:rPr>
        <w:t>规定</w:t>
      </w:r>
      <w:r>
        <w:rPr>
          <w:rFonts w:ascii="宋体" w:hAnsi="宋体" w:eastAsia="宋体" w:cs="宋体"/>
          <w:strike/>
          <w:dstrike w:val="0"/>
          <w:color w:val="auto"/>
          <w:spacing w:val="-9"/>
          <w:sz w:val="24"/>
          <w:szCs w:val="24"/>
          <w:highlight w:val="none"/>
        </w:rPr>
        <w:t>的主要设备。</w:t>
      </w:r>
    </w:p>
    <w:p w14:paraId="74E378D8">
      <w:pPr>
        <w:spacing w:before="180" w:line="290" w:lineRule="auto"/>
        <w:ind w:left="1431" w:right="1416"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3.5.8 投标人须知前附表规定接受联合体投标的，本章第</w:t>
      </w:r>
      <w:r>
        <w:rPr>
          <w:rFonts w:ascii="宋体" w:hAnsi="宋体" w:eastAsia="宋体" w:cs="宋体"/>
          <w:color w:val="auto"/>
          <w:spacing w:val="-35"/>
          <w:sz w:val="24"/>
          <w:szCs w:val="24"/>
          <w:highlight w:val="none"/>
        </w:rPr>
        <w:t xml:space="preserve"> </w:t>
      </w:r>
      <w:r>
        <w:rPr>
          <w:rFonts w:ascii="宋体" w:hAnsi="宋体" w:eastAsia="宋体" w:cs="宋体"/>
          <w:color w:val="auto"/>
          <w:spacing w:val="-3"/>
          <w:sz w:val="24"/>
          <w:szCs w:val="24"/>
          <w:highlight w:val="none"/>
        </w:rPr>
        <w:t>3.5.1</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项至第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3.5.7</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项规定的表格和资料应包括联合体各方相关情况。</w:t>
      </w:r>
    </w:p>
    <w:p w14:paraId="4724AA2B">
      <w:pPr>
        <w:spacing w:before="180" w:line="290" w:lineRule="auto"/>
        <w:ind w:left="1431"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3.5.9 除合同条款约定的特殊情形外，投标人在投标文件中填报的项目经理和项目</w:t>
      </w:r>
      <w:r>
        <w:rPr>
          <w:rFonts w:ascii="宋体" w:hAnsi="宋体" w:eastAsia="宋体" w:cs="宋体"/>
          <w:color w:val="auto"/>
          <w:spacing w:val="-6"/>
          <w:sz w:val="24"/>
          <w:szCs w:val="24"/>
          <w:highlight w:val="none"/>
        </w:rPr>
        <w:t>总工不允许更换。</w:t>
      </w:r>
    </w:p>
    <w:p w14:paraId="66BEEB7E">
      <w:pPr>
        <w:spacing w:before="180" w:line="290" w:lineRule="auto"/>
        <w:ind w:left="1431" w:right="1416" w:firstLine="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w:t>
      </w:r>
      <w:r>
        <w:rPr>
          <w:rFonts w:ascii="宋体" w:hAnsi="宋体" w:eastAsia="宋体" w:cs="宋体"/>
          <w:color w:val="auto"/>
          <w:spacing w:val="-3"/>
          <w:sz w:val="24"/>
          <w:szCs w:val="24"/>
          <w:highlight w:val="none"/>
        </w:rPr>
        <w:t xml:space="preserve">10 </w:t>
      </w:r>
      <w:r>
        <w:rPr>
          <w:rFonts w:ascii="宋体" w:hAnsi="宋体" w:eastAsia="宋体" w:cs="宋体"/>
          <w:color w:val="auto"/>
          <w:spacing w:val="1"/>
          <w:sz w:val="24"/>
          <w:szCs w:val="24"/>
          <w:highlight w:val="none"/>
        </w:rPr>
        <w:t>投标人在投标文件中填报的资质、业绩、主要人员资历和目前在岗情况、</w:t>
      </w:r>
    </w:p>
    <w:p w14:paraId="02C13DE6">
      <w:pPr>
        <w:spacing w:before="78" w:line="362" w:lineRule="auto"/>
        <w:ind w:left="1428" w:right="1416" w:hanging="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信用等级等信息，应与其在交通运输主管部门“公路建设市场监督管理系统”上填报并发布的相关信息一致。投标人应根据本单位实际情况及时完成相关信息的申报、录入和</w:t>
      </w:r>
    </w:p>
    <w:p w14:paraId="16CF82FA">
      <w:pPr>
        <w:spacing w:before="94" w:line="220" w:lineRule="auto"/>
        <w:ind w:left="1426"/>
        <w:rPr>
          <w:rFonts w:ascii="宋体" w:hAnsi="宋体" w:eastAsia="宋体" w:cs="宋体"/>
          <w:color w:val="auto"/>
          <w:sz w:val="24"/>
          <w:szCs w:val="24"/>
          <w:highlight w:val="none"/>
        </w:rPr>
      </w:pPr>
      <w:r>
        <w:rPr>
          <w:color w:val="auto"/>
          <w:highlight w:val="none"/>
        </w:rPr>
        <w:pict>
          <v:shape id="_x0000_s1040" o:spid="_x0000_s1040" o:spt="202" type="#_x0000_t202" style="position:absolute;left:0pt;margin-left:382.05pt;margin-top:-0.05pt;height:9.5pt;width:9.25pt;z-index:251684864;mso-width-relative:page;mso-height-relative:page;" filled="f" stroked="f" coordsize="21600,21600">
            <v:path/>
            <v:fill on="f" focussize="0,0"/>
            <v:stroke on="f"/>
            <v:imagedata o:title=""/>
            <o:lock v:ext="edit" aspectratio="f"/>
            <v:textbox inset="0mm,0mm,0mm,0mm">
              <w:txbxContent>
                <w:p w14:paraId="2F4ABA16"/>
              </w:txbxContent>
            </v:textbox>
          </v:shape>
        </w:pict>
      </w:r>
      <w:r>
        <w:rPr>
          <w:rFonts w:ascii="宋体" w:hAnsi="宋体" w:eastAsia="宋体" w:cs="宋体"/>
          <w:color w:val="auto"/>
          <w:spacing w:val="-2"/>
          <w:sz w:val="24"/>
          <w:szCs w:val="24"/>
          <w:highlight w:val="none"/>
        </w:rPr>
        <w:t>动态更新，并对相关信息的真实性、完整性和准确性负责。</w:t>
      </w:r>
    </w:p>
    <w:p w14:paraId="535AA120">
      <w:pPr>
        <w:spacing w:before="239" w:line="360" w:lineRule="auto"/>
        <w:ind w:left="1424" w:right="1416" w:firstLine="485"/>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3.5.11 招标人有权核查投标人在资格预审申请文件和投标文件中提供的资料，若</w:t>
      </w:r>
      <w:r>
        <w:rPr>
          <w:rFonts w:ascii="宋体" w:hAnsi="宋体" w:eastAsia="宋体" w:cs="宋体"/>
          <w:color w:val="auto"/>
          <w:spacing w:val="-2"/>
          <w:sz w:val="24"/>
          <w:szCs w:val="24"/>
          <w:highlight w:val="none"/>
        </w:rPr>
        <w:t>在评标期间发现投标人提供了虚假资料，其投标将被否决；若在签订合同前发现作为中标候选人的投标人提供了虚假资料，招标人有权取消其中标资格；若在合同实施期间发</w:t>
      </w:r>
      <w:r>
        <w:rPr>
          <w:rFonts w:ascii="宋体" w:hAnsi="宋体" w:eastAsia="宋体" w:cs="宋体"/>
          <w:color w:val="auto"/>
          <w:spacing w:val="-4"/>
          <w:sz w:val="24"/>
          <w:szCs w:val="24"/>
          <w:highlight w:val="none"/>
        </w:rPr>
        <w:t>现投标人提供了虚假资料，招标人有权从工程支付款</w:t>
      </w:r>
      <w:r>
        <w:rPr>
          <w:rFonts w:ascii="宋体" w:hAnsi="宋体" w:eastAsia="宋体" w:cs="宋体"/>
          <w:strike/>
          <w:dstrike w:val="0"/>
          <w:color w:val="auto"/>
          <w:spacing w:val="-4"/>
          <w:sz w:val="24"/>
          <w:szCs w:val="24"/>
          <w:highlight w:val="none"/>
        </w:rPr>
        <w:t>或履约保证金</w:t>
      </w:r>
      <w:r>
        <w:rPr>
          <w:rFonts w:ascii="宋体" w:hAnsi="宋体" w:eastAsia="宋体" w:cs="宋体"/>
          <w:color w:val="auto"/>
          <w:spacing w:val="-4"/>
          <w:sz w:val="24"/>
          <w:szCs w:val="24"/>
          <w:highlight w:val="none"/>
        </w:rPr>
        <w:t>中扣除不超过</w:t>
      </w:r>
      <w:r>
        <w:rPr>
          <w:rFonts w:ascii="宋体" w:hAnsi="宋体" w:eastAsia="宋体" w:cs="宋体"/>
          <w:color w:val="auto"/>
          <w:spacing w:val="-22"/>
          <w:sz w:val="24"/>
          <w:szCs w:val="24"/>
          <w:highlight w:val="none"/>
        </w:rPr>
        <w:t xml:space="preserve"> </w:t>
      </w:r>
      <w:r>
        <w:rPr>
          <w:rFonts w:ascii="宋体" w:hAnsi="宋体" w:eastAsia="宋体" w:cs="宋体"/>
          <w:color w:val="auto"/>
          <w:spacing w:val="-4"/>
          <w:sz w:val="24"/>
          <w:szCs w:val="24"/>
          <w:highlight w:val="none"/>
        </w:rPr>
        <w:t>10％签</w:t>
      </w:r>
      <w:r>
        <w:rPr>
          <w:rFonts w:ascii="宋体" w:hAnsi="宋体" w:eastAsia="宋体" w:cs="宋体"/>
          <w:color w:val="auto"/>
          <w:spacing w:val="-2"/>
          <w:sz w:val="24"/>
          <w:szCs w:val="24"/>
          <w:highlight w:val="none"/>
        </w:rPr>
        <w:t>约合同价的金额作为违约金。同时招标人将投标人上述弄虚作假行为上报省级交通运输主管部门，作为不良记录纳入公路建设市场监督管理系统。</w:t>
      </w:r>
    </w:p>
    <w:p w14:paraId="14213DED">
      <w:pPr>
        <w:spacing w:line="220"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备选投标方案</w:t>
      </w:r>
    </w:p>
    <w:p w14:paraId="5597DB31">
      <w:pPr>
        <w:spacing w:before="181" w:line="29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3.6.1 除投标人须知前附表规定允许外，投标人不得递交备选投标方案，否则其投</w:t>
      </w:r>
      <w:r>
        <w:rPr>
          <w:rFonts w:ascii="宋体" w:hAnsi="宋体" w:eastAsia="宋体" w:cs="宋体"/>
          <w:color w:val="auto"/>
          <w:spacing w:val="-7"/>
          <w:sz w:val="24"/>
          <w:szCs w:val="24"/>
          <w:highlight w:val="none"/>
        </w:rPr>
        <w:t>标将被否决。</w:t>
      </w:r>
    </w:p>
    <w:p w14:paraId="3E6ABB79">
      <w:pPr>
        <w:spacing w:before="184" w:line="313" w:lineRule="auto"/>
        <w:ind w:left="1427" w:right="1416"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3.6.2 允许投标人递交备选投标方案的，只有中标人所递交的备选投标方案方可予以考虑。评标委员会认为中标人的备选投标方案优于其按照招标文件要求编制的投标方</w:t>
      </w:r>
      <w:r>
        <w:rPr>
          <w:rFonts w:ascii="宋体" w:hAnsi="宋体" w:eastAsia="宋体" w:cs="宋体"/>
          <w:color w:val="auto"/>
          <w:spacing w:val="-3"/>
          <w:sz w:val="24"/>
          <w:szCs w:val="24"/>
          <w:highlight w:val="none"/>
        </w:rPr>
        <w:t>案的，招标人可以接受该备选投标方案。</w:t>
      </w:r>
    </w:p>
    <w:p w14:paraId="01B9E477">
      <w:pPr>
        <w:spacing w:before="182" w:line="289" w:lineRule="auto"/>
        <w:ind w:left="1436" w:right="1416" w:firstLine="47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3.6.3 投标人提供两个或两个以上投标报价，或在投标文件中提供一个报价，但同</w:t>
      </w:r>
      <w:r>
        <w:rPr>
          <w:rFonts w:ascii="宋体" w:hAnsi="宋体" w:eastAsia="宋体" w:cs="宋体"/>
          <w:color w:val="auto"/>
          <w:spacing w:val="-1"/>
          <w:sz w:val="24"/>
          <w:szCs w:val="24"/>
          <w:highlight w:val="none"/>
        </w:rPr>
        <w:t>时提供两个或两个以上施工组织设计</w:t>
      </w:r>
      <w:r>
        <w:rPr>
          <w:rFonts w:ascii="宋体" w:hAnsi="宋体" w:eastAsia="宋体" w:cs="宋体"/>
          <w:strike/>
          <w:dstrike w:val="0"/>
          <w:color w:val="auto"/>
          <w:spacing w:val="-1"/>
          <w:sz w:val="24"/>
          <w:szCs w:val="24"/>
          <w:highlight w:val="none"/>
          <w:u w:val="single" w:color="auto"/>
        </w:rPr>
        <w:t>及承包人项目管</w:t>
      </w:r>
      <w:r>
        <w:rPr>
          <w:rFonts w:ascii="宋体" w:hAnsi="宋体" w:eastAsia="宋体" w:cs="宋体"/>
          <w:strike/>
          <w:dstrike w:val="0"/>
          <w:color w:val="auto"/>
          <w:spacing w:val="-2"/>
          <w:sz w:val="24"/>
          <w:szCs w:val="24"/>
          <w:highlight w:val="none"/>
          <w:u w:val="single" w:color="auto"/>
        </w:rPr>
        <w:t>理方案</w:t>
      </w:r>
      <w:r>
        <w:rPr>
          <w:rFonts w:ascii="宋体" w:hAnsi="宋体" w:eastAsia="宋体" w:cs="宋体"/>
          <w:color w:val="auto"/>
          <w:spacing w:val="-2"/>
          <w:sz w:val="24"/>
          <w:szCs w:val="24"/>
          <w:highlight w:val="none"/>
        </w:rPr>
        <w:t>的，视为提供备选方案。</w:t>
      </w:r>
    </w:p>
    <w:p w14:paraId="2D4C7664">
      <w:pPr>
        <w:spacing w:before="183" w:line="220"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3.7</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投标文件的编制</w:t>
      </w:r>
    </w:p>
    <w:p w14:paraId="0149963C">
      <w:pPr>
        <w:spacing w:before="183" w:line="313" w:lineRule="auto"/>
        <w:ind w:left="1426" w:right="1349" w:firstLine="48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3.7.1 投标文件应按第九章“投标文件格式”进行编写，如有必要，可以增加附页，作为投标文件的组成部分。其中，</w:t>
      </w:r>
      <w:r>
        <w:rPr>
          <w:rFonts w:ascii="宋体" w:hAnsi="宋体" w:eastAsia="宋体" w:cs="宋体"/>
          <w:color w:val="auto"/>
          <w:spacing w:val="48"/>
          <w:sz w:val="24"/>
          <w:szCs w:val="24"/>
          <w:highlight w:val="none"/>
        </w:rPr>
        <w:t xml:space="preserve"> </w:t>
      </w:r>
      <w:r>
        <w:rPr>
          <w:rFonts w:ascii="宋体" w:hAnsi="宋体" w:eastAsia="宋体" w:cs="宋体"/>
          <w:color w:val="auto"/>
          <w:spacing w:val="-6"/>
          <w:sz w:val="24"/>
          <w:szCs w:val="24"/>
          <w:highlight w:val="none"/>
        </w:rPr>
        <w:t>投标函附录在满足招标文件实质性要求的基础上，可</w:t>
      </w:r>
      <w:r>
        <w:rPr>
          <w:rFonts w:ascii="宋体" w:hAnsi="宋体" w:eastAsia="宋体" w:cs="宋体"/>
          <w:color w:val="auto"/>
          <w:spacing w:val="-2"/>
          <w:sz w:val="24"/>
          <w:szCs w:val="24"/>
          <w:highlight w:val="none"/>
        </w:rPr>
        <w:t>以提出比招标文件要求更有利于招标人的承</w:t>
      </w:r>
      <w:r>
        <w:rPr>
          <w:rFonts w:ascii="宋体" w:hAnsi="宋体" w:eastAsia="宋体" w:cs="宋体"/>
          <w:color w:val="auto"/>
          <w:spacing w:val="-3"/>
          <w:sz w:val="24"/>
          <w:szCs w:val="24"/>
          <w:highlight w:val="none"/>
        </w:rPr>
        <w:t>诺。</w:t>
      </w:r>
    </w:p>
    <w:p w14:paraId="30CB8D73">
      <w:pPr>
        <w:spacing w:before="182" w:line="290" w:lineRule="auto"/>
        <w:ind w:left="1428" w:right="1416"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3.7.2 投标文件应对招标文件有关工期、投标有效期、质量要求、安全目标等实质</w:t>
      </w:r>
      <w:r>
        <w:rPr>
          <w:rFonts w:ascii="宋体" w:hAnsi="宋体" w:eastAsia="宋体" w:cs="宋体"/>
          <w:color w:val="auto"/>
          <w:spacing w:val="-6"/>
          <w:sz w:val="24"/>
          <w:szCs w:val="24"/>
          <w:highlight w:val="none"/>
        </w:rPr>
        <w:t>性内容作出响应。</w:t>
      </w:r>
    </w:p>
    <w:p w14:paraId="1CDBDD4F">
      <w:pPr>
        <w:spacing w:before="182" w:line="220" w:lineRule="auto"/>
        <w:ind w:left="191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3.7.3 投标文件的制作应满足以下规定：</w:t>
      </w:r>
    </w:p>
    <w:p w14:paraId="71F9FF84">
      <w:pPr>
        <w:spacing w:before="184" w:line="290" w:lineRule="auto"/>
        <w:ind w:left="1427" w:right="1418" w:firstLine="520"/>
        <w:rPr>
          <w:rFonts w:ascii="宋体" w:hAnsi="宋体" w:eastAsia="宋体" w:cs="宋体"/>
          <w:color w:val="auto"/>
          <w:sz w:val="24"/>
          <w:szCs w:val="24"/>
          <w:highlight w:val="none"/>
        </w:rPr>
      </w:pPr>
      <w:r>
        <w:rPr>
          <w:rFonts w:ascii="宋体" w:hAnsi="宋体" w:eastAsia="宋体" w:cs="宋体"/>
          <w:color w:val="auto"/>
          <w:sz w:val="24"/>
          <w:szCs w:val="24"/>
          <w:highlight w:val="none"/>
        </w:rPr>
        <w:t>(1)投标文件由投标人使用</w:t>
      </w:r>
      <w:r>
        <w:rPr>
          <w:rFonts w:hint="eastAsia" w:ascii="宋体" w:hAnsi="宋体" w:eastAsia="宋体" w:cs="宋体"/>
          <w:color w:val="auto"/>
          <w:sz w:val="24"/>
          <w:szCs w:val="24"/>
          <w:highlight w:val="none"/>
        </w:rPr>
        <w:t>广州交易集团有限公司（广州公共资源交易中心）</w:t>
      </w:r>
      <w:r>
        <w:rPr>
          <w:rFonts w:ascii="宋体" w:hAnsi="宋体" w:eastAsia="宋体" w:cs="宋体"/>
          <w:color w:val="auto"/>
          <w:sz w:val="24"/>
          <w:szCs w:val="24"/>
          <w:highlight w:val="none"/>
        </w:rPr>
        <w:t>自带的“投标文件制作工具”制作生</w:t>
      </w:r>
      <w:r>
        <w:rPr>
          <w:rFonts w:ascii="宋体" w:hAnsi="宋体" w:eastAsia="宋体" w:cs="宋体"/>
          <w:color w:val="auto"/>
          <w:spacing w:val="-12"/>
          <w:sz w:val="24"/>
          <w:szCs w:val="24"/>
          <w:highlight w:val="none"/>
        </w:rPr>
        <w:t>成。</w:t>
      </w:r>
    </w:p>
    <w:p w14:paraId="28EBA97B">
      <w:pPr>
        <w:spacing w:before="180" w:line="220" w:lineRule="auto"/>
        <w:ind w:left="194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(2)投标人在编制投标文件时应建立分级目录，并</w:t>
      </w:r>
      <w:r>
        <w:rPr>
          <w:rFonts w:ascii="宋体" w:hAnsi="宋体" w:eastAsia="宋体" w:cs="宋体"/>
          <w:color w:val="auto"/>
          <w:spacing w:val="-3"/>
          <w:sz w:val="24"/>
          <w:szCs w:val="24"/>
          <w:highlight w:val="none"/>
        </w:rPr>
        <w:t>按照标签提示导入相关内容。</w:t>
      </w:r>
    </w:p>
    <w:p w14:paraId="6DACAEDB">
      <w:pPr>
        <w:spacing w:before="183" w:line="218" w:lineRule="auto"/>
        <w:ind w:left="1947"/>
        <w:rPr>
          <w:rFonts w:ascii="宋体" w:hAnsi="宋体" w:eastAsia="宋体" w:cs="宋体"/>
          <w:color w:val="auto"/>
          <w:sz w:val="24"/>
          <w:szCs w:val="24"/>
          <w:highlight w:val="none"/>
        </w:rPr>
      </w:pPr>
      <w:r>
        <w:rPr>
          <w:rFonts w:ascii="宋体" w:hAnsi="宋体" w:eastAsia="宋体" w:cs="宋体"/>
          <w:color w:val="auto"/>
          <w:sz w:val="24"/>
          <w:szCs w:val="24"/>
          <w:highlight w:val="none"/>
        </w:rPr>
        <w:t>(3)投标文件中的已标价工程量清单数据文件应与招标人提供的工程量清单数据文</w:t>
      </w:r>
    </w:p>
    <w:p w14:paraId="2AA685AE">
      <w:pPr>
        <w:spacing w:before="78" w:line="220" w:lineRule="auto"/>
        <w:ind w:left="142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件格式一致。</w:t>
      </w:r>
    </w:p>
    <w:p w14:paraId="6EE8C421">
      <w:pPr>
        <w:spacing w:before="181" w:line="325" w:lineRule="auto"/>
        <w:ind w:left="1424" w:right="1331" w:firstLine="5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(4)投标文件中需签名（签字）的，投标人应按要求使用个人电子签名章进行签名。</w:t>
      </w:r>
      <w:r>
        <w:rPr>
          <w:rFonts w:ascii="宋体" w:hAnsi="宋体" w:eastAsia="宋体" w:cs="宋体"/>
          <w:color w:val="auto"/>
          <w:spacing w:val="-2"/>
          <w:sz w:val="24"/>
          <w:szCs w:val="24"/>
          <w:highlight w:val="none"/>
        </w:rPr>
        <w:t>如投标人法定代表人或其委托代理人或项目经理（以及备选人，如有）、项目总工（以及备选人，如有）未办理个人电子签名章的，投标人应打印需要签名的相关页面，本人</w:t>
      </w:r>
      <w:r>
        <w:rPr>
          <w:rFonts w:ascii="宋体" w:hAnsi="宋体" w:eastAsia="宋体" w:cs="宋体"/>
          <w:color w:val="auto"/>
          <w:spacing w:val="-3"/>
          <w:sz w:val="24"/>
          <w:szCs w:val="24"/>
          <w:highlight w:val="none"/>
        </w:rPr>
        <w:t>亲笔签名后扫描上传至投标文件相应位置中。</w:t>
      </w:r>
    </w:p>
    <w:p w14:paraId="5AEF36AA">
      <w:pPr>
        <w:spacing w:before="182" w:line="290" w:lineRule="auto"/>
        <w:ind w:left="1427" w:right="1416" w:firstLine="52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(5)投标文件制作完成后，投标人应使用</w:t>
      </w:r>
      <w:r>
        <w:rPr>
          <w:rFonts w:ascii="宋体" w:hAnsi="宋体" w:eastAsia="宋体" w:cs="宋体"/>
          <w:color w:val="auto"/>
          <w:spacing w:val="-52"/>
          <w:sz w:val="24"/>
          <w:szCs w:val="24"/>
          <w:highlight w:val="none"/>
        </w:rPr>
        <w:t xml:space="preserve"> </w:t>
      </w:r>
      <w:r>
        <w:rPr>
          <w:rFonts w:ascii="宋体" w:hAnsi="宋体" w:eastAsia="宋体" w:cs="宋体"/>
          <w:color w:val="auto"/>
          <w:spacing w:val="-3"/>
          <w:sz w:val="24"/>
          <w:szCs w:val="24"/>
          <w:highlight w:val="none"/>
        </w:rPr>
        <w:t>CA</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数字证书对投标文件进行</w:t>
      </w:r>
      <w:r>
        <w:rPr>
          <w:rFonts w:ascii="宋体" w:hAnsi="宋体" w:eastAsia="宋体" w:cs="宋体"/>
          <w:color w:val="auto"/>
          <w:spacing w:val="-4"/>
          <w:sz w:val="24"/>
          <w:szCs w:val="24"/>
          <w:highlight w:val="none"/>
        </w:rPr>
        <w:t>文件加密，形</w:t>
      </w:r>
      <w:r>
        <w:rPr>
          <w:rFonts w:ascii="宋体" w:hAnsi="宋体" w:eastAsia="宋体" w:cs="宋体"/>
          <w:color w:val="auto"/>
          <w:spacing w:val="-5"/>
          <w:sz w:val="24"/>
          <w:szCs w:val="24"/>
          <w:highlight w:val="none"/>
        </w:rPr>
        <w:t>成加密的投标文件。</w:t>
      </w:r>
    </w:p>
    <w:p w14:paraId="0CE4D5B0">
      <w:pPr>
        <w:spacing w:before="182" w:line="360" w:lineRule="auto"/>
        <w:ind w:left="1426"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3.7.4 因投标人自身原因而导致投标文件无法导入</w:t>
      </w:r>
      <w:r>
        <w:rPr>
          <w:rFonts w:hint="eastAsia" w:ascii="宋体" w:hAnsi="宋体" w:eastAsia="宋体" w:cs="宋体"/>
          <w:color w:val="auto"/>
          <w:spacing w:val="-2"/>
          <w:sz w:val="24"/>
          <w:szCs w:val="24"/>
          <w:highlight w:val="none"/>
        </w:rPr>
        <w:t>广州交易集团有限公司（广州公共资源交易中心）</w:t>
      </w:r>
      <w:r>
        <w:rPr>
          <w:rFonts w:ascii="宋体" w:hAnsi="宋体" w:eastAsia="宋体" w:cs="宋体"/>
          <w:color w:val="auto"/>
          <w:spacing w:val="-2"/>
          <w:sz w:val="24"/>
          <w:szCs w:val="24"/>
          <w:highlight w:val="none"/>
        </w:rPr>
        <w:t>电子开标、评标系统，该投标视为无效投标，投标人自行承担由此导致的全部责任。投标文件其他要</w:t>
      </w:r>
      <w:r>
        <w:rPr>
          <w:rFonts w:ascii="宋体" w:hAnsi="宋体" w:eastAsia="宋体" w:cs="宋体"/>
          <w:color w:val="auto"/>
          <w:spacing w:val="-4"/>
          <w:sz w:val="24"/>
          <w:szCs w:val="24"/>
          <w:highlight w:val="none"/>
        </w:rPr>
        <w:t>求见投标人须知前附表。</w:t>
      </w:r>
    </w:p>
    <w:p w14:paraId="1F429BFE">
      <w:pPr>
        <w:spacing w:line="220" w:lineRule="auto"/>
        <w:ind w:left="1424"/>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4.</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6"/>
          <w:sz w:val="24"/>
          <w:szCs w:val="24"/>
          <w:highlight w:val="none"/>
        </w:rPr>
        <w:t>投标</w:t>
      </w:r>
    </w:p>
    <w:p w14:paraId="2BC45389">
      <w:pPr>
        <w:spacing w:before="181" w:line="220" w:lineRule="auto"/>
        <w:ind w:left="1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4.1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投标文件的加密</w:t>
      </w:r>
    </w:p>
    <w:p w14:paraId="0A1E0D56">
      <w:pPr>
        <w:spacing w:before="183" w:line="360" w:lineRule="auto"/>
        <w:ind w:left="1427"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投标文件应按照本章第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3.7.3</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项要求制作并加密，未</w:t>
      </w:r>
      <w:r>
        <w:rPr>
          <w:rFonts w:ascii="宋体" w:hAnsi="宋体" w:eastAsia="宋体" w:cs="宋体"/>
          <w:color w:val="auto"/>
          <w:spacing w:val="-3"/>
          <w:sz w:val="24"/>
          <w:szCs w:val="24"/>
          <w:highlight w:val="none"/>
        </w:rPr>
        <w:t>按要求加密的投标文件，招标人（</w:t>
      </w:r>
      <w:r>
        <w:rPr>
          <w:rFonts w:hint="eastAsia" w:ascii="宋体" w:hAnsi="宋体" w:eastAsia="宋体" w:cs="宋体"/>
          <w:color w:val="auto"/>
          <w:spacing w:val="-3"/>
          <w:sz w:val="24"/>
          <w:szCs w:val="24"/>
          <w:highlight w:val="none"/>
        </w:rPr>
        <w:t>广州交易集团有限公司（广州公共资源交易中心）</w:t>
      </w:r>
      <w:r>
        <w:rPr>
          <w:rFonts w:ascii="宋体" w:hAnsi="宋体" w:eastAsia="宋体" w:cs="宋体"/>
          <w:color w:val="auto"/>
          <w:spacing w:val="-3"/>
          <w:sz w:val="24"/>
          <w:szCs w:val="24"/>
          <w:highlight w:val="none"/>
        </w:rPr>
        <w:t>）将拒绝接收并提示。</w:t>
      </w:r>
    </w:p>
    <w:p w14:paraId="0089B956">
      <w:pPr>
        <w:spacing w:line="219" w:lineRule="auto"/>
        <w:ind w:left="1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4.2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投标文件的递交</w:t>
      </w:r>
    </w:p>
    <w:p w14:paraId="13CD3CD6">
      <w:pPr>
        <w:spacing w:before="184" w:line="313" w:lineRule="auto"/>
        <w:ind w:left="1427" w:right="1416"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4.2.1 投标人应在第一章“招标公告”规定的投标截止时间前，通过互联</w:t>
      </w:r>
      <w:r>
        <w:rPr>
          <w:rFonts w:ascii="宋体" w:hAnsi="宋体" w:eastAsia="宋体" w:cs="宋体"/>
          <w:color w:val="auto"/>
          <w:spacing w:val="-4"/>
          <w:sz w:val="24"/>
          <w:szCs w:val="24"/>
          <w:highlight w:val="none"/>
        </w:rPr>
        <w:t>网使用</w:t>
      </w:r>
      <w:r>
        <w:rPr>
          <w:rFonts w:ascii="宋体" w:hAnsi="宋体" w:eastAsia="宋体" w:cs="宋体"/>
          <w:color w:val="auto"/>
          <w:spacing w:val="-53"/>
          <w:sz w:val="24"/>
          <w:szCs w:val="24"/>
          <w:highlight w:val="none"/>
        </w:rPr>
        <w:t xml:space="preserve"> </w:t>
      </w:r>
      <w:r>
        <w:rPr>
          <w:rFonts w:ascii="宋体" w:hAnsi="宋体" w:eastAsia="宋体" w:cs="宋体"/>
          <w:color w:val="auto"/>
          <w:spacing w:val="-4"/>
          <w:sz w:val="24"/>
          <w:szCs w:val="24"/>
          <w:highlight w:val="none"/>
        </w:rPr>
        <w:t>CA</w:t>
      </w:r>
      <w:r>
        <w:rPr>
          <w:rFonts w:ascii="宋体" w:hAnsi="宋体" w:eastAsia="宋体" w:cs="宋体"/>
          <w:color w:val="auto"/>
          <w:spacing w:val="-2"/>
          <w:sz w:val="24"/>
          <w:szCs w:val="24"/>
          <w:highlight w:val="none"/>
        </w:rPr>
        <w:t>数字证书登录</w:t>
      </w:r>
      <w:r>
        <w:rPr>
          <w:rFonts w:hint="eastAsia" w:ascii="宋体" w:hAnsi="宋体" w:eastAsia="宋体" w:cs="宋体"/>
          <w:color w:val="auto"/>
          <w:spacing w:val="-2"/>
          <w:sz w:val="24"/>
          <w:szCs w:val="24"/>
          <w:highlight w:val="none"/>
        </w:rPr>
        <w:t>广州交易集团有限公司（广州公共资源交易中心）</w:t>
      </w:r>
      <w:r>
        <w:rPr>
          <w:rFonts w:ascii="宋体" w:hAnsi="宋体" w:eastAsia="宋体" w:cs="宋体"/>
          <w:color w:val="auto"/>
          <w:spacing w:val="-2"/>
          <w:sz w:val="24"/>
          <w:szCs w:val="24"/>
          <w:highlight w:val="none"/>
        </w:rPr>
        <w:t>，将加密的投标文件上传，并保存上传成功后系统自动生成的电子签收凭证，递交时间即为电子签收凭证时间。</w:t>
      </w:r>
    </w:p>
    <w:p w14:paraId="6EC59F9F">
      <w:pPr>
        <w:spacing w:before="183" w:line="289"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4.2.2 投标人应充分考虑上传文件时的</w:t>
      </w:r>
      <w:r>
        <w:rPr>
          <w:rFonts w:ascii="宋体" w:hAnsi="宋体" w:eastAsia="宋体" w:cs="宋体"/>
          <w:color w:val="auto"/>
          <w:spacing w:val="-2"/>
          <w:sz w:val="24"/>
          <w:szCs w:val="24"/>
          <w:highlight w:val="none"/>
        </w:rPr>
        <w:t>不可预见因素，未在投标截止时间前完成电</w:t>
      </w:r>
      <w:r>
        <w:rPr>
          <w:rFonts w:ascii="宋体" w:hAnsi="宋体" w:eastAsia="宋体" w:cs="宋体"/>
          <w:color w:val="auto"/>
          <w:spacing w:val="-1"/>
          <w:sz w:val="24"/>
          <w:szCs w:val="24"/>
          <w:highlight w:val="none"/>
        </w:rPr>
        <w:t>子投标文件上传的，视为逾期送达，招标人（</w:t>
      </w:r>
      <w:r>
        <w:rPr>
          <w:rFonts w:hint="eastAsia" w:ascii="宋体" w:hAnsi="宋体" w:eastAsia="宋体" w:cs="宋体"/>
          <w:color w:val="auto"/>
          <w:spacing w:val="-1"/>
          <w:sz w:val="24"/>
          <w:szCs w:val="24"/>
          <w:highlight w:val="none"/>
        </w:rPr>
        <w:t>广州交易集团有限公司（广州公共资源交易中心）</w:t>
      </w:r>
      <w:r>
        <w:rPr>
          <w:rFonts w:ascii="宋体" w:hAnsi="宋体" w:eastAsia="宋体" w:cs="宋体"/>
          <w:color w:val="auto"/>
          <w:spacing w:val="-2"/>
          <w:sz w:val="24"/>
          <w:szCs w:val="24"/>
          <w:highlight w:val="none"/>
        </w:rPr>
        <w:t>）将拒绝接收。</w:t>
      </w:r>
    </w:p>
    <w:p w14:paraId="6C468564">
      <w:pPr>
        <w:spacing w:before="183" w:line="220"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4.2.3 投标人所递交的电子投标文件不予退还。</w:t>
      </w:r>
    </w:p>
    <w:p w14:paraId="48EBC39A">
      <w:pPr>
        <w:spacing w:before="183"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4.2.4</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逾期到达或者未到达的投标文件视为放弃本次投标。</w:t>
      </w:r>
    </w:p>
    <w:p w14:paraId="11162588">
      <w:pPr>
        <w:spacing w:before="184" w:line="313" w:lineRule="auto"/>
        <w:ind w:left="1426" w:right="1248"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4.2.5 在特殊情况下，招标人如果决定延后投标截止时间，应在</w:t>
      </w:r>
      <w:r>
        <w:rPr>
          <w:rFonts w:hint="eastAsia" w:ascii="宋体" w:hAnsi="宋体" w:eastAsia="宋体" w:cs="宋体"/>
          <w:color w:val="auto"/>
          <w:spacing w:val="3"/>
          <w:sz w:val="24"/>
          <w:szCs w:val="24"/>
          <w:highlight w:val="none"/>
        </w:rPr>
        <w:t>广州交易集团有限公司（广州公共资源交易中心）</w:t>
      </w:r>
      <w:r>
        <w:rPr>
          <w:rFonts w:ascii="宋体" w:hAnsi="宋体" w:eastAsia="宋体" w:cs="宋体"/>
          <w:color w:val="auto"/>
          <w:spacing w:val="-5"/>
          <w:sz w:val="24"/>
          <w:szCs w:val="24"/>
          <w:highlight w:val="none"/>
        </w:rPr>
        <w:t>以补遗书的形式通知所有投标人延后投标截止时间。在此情况下， 招标人和投标人的权</w:t>
      </w:r>
      <w:r>
        <w:rPr>
          <w:rFonts w:ascii="宋体" w:hAnsi="宋体" w:eastAsia="宋体" w:cs="宋体"/>
          <w:color w:val="auto"/>
          <w:spacing w:val="-3"/>
          <w:sz w:val="24"/>
          <w:szCs w:val="24"/>
          <w:highlight w:val="none"/>
        </w:rPr>
        <w:t>利和义务相应延后至新的投标截止时间。</w:t>
      </w:r>
    </w:p>
    <w:p w14:paraId="344864B3">
      <w:pPr>
        <w:spacing w:before="182" w:line="220" w:lineRule="auto"/>
        <w:ind w:left="1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4.3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投标文件的修改与撤回</w:t>
      </w:r>
    </w:p>
    <w:p w14:paraId="3990DA81">
      <w:pPr>
        <w:spacing w:before="182" w:line="313"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4.3.1 在本章第</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4.2.1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项规定的投标截止时间前，投标人可以修改或撤回已递交的</w:t>
      </w:r>
      <w:r>
        <w:rPr>
          <w:rFonts w:ascii="宋体" w:hAnsi="宋体" w:eastAsia="宋体" w:cs="宋体"/>
          <w:color w:val="auto"/>
          <w:spacing w:val="-6"/>
          <w:sz w:val="24"/>
          <w:szCs w:val="24"/>
          <w:highlight w:val="none"/>
        </w:rPr>
        <w:t>投标文件。投标人对加密的投标文件进行撤回的，</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应在</w:t>
      </w:r>
      <w:r>
        <w:rPr>
          <w:rFonts w:hint="eastAsia" w:ascii="宋体" w:hAnsi="宋体" w:eastAsia="宋体" w:cs="宋体"/>
          <w:color w:val="auto"/>
          <w:spacing w:val="-6"/>
          <w:sz w:val="24"/>
          <w:szCs w:val="24"/>
          <w:highlight w:val="none"/>
        </w:rPr>
        <w:t>广州交易集团有限公司（广州公共资源交易中心）</w:t>
      </w:r>
      <w:r>
        <w:rPr>
          <w:rFonts w:ascii="宋体" w:hAnsi="宋体" w:eastAsia="宋体" w:cs="宋体"/>
          <w:color w:val="auto"/>
          <w:spacing w:val="-6"/>
          <w:sz w:val="24"/>
          <w:szCs w:val="24"/>
          <w:highlight w:val="none"/>
        </w:rPr>
        <w:t>直接进行撤回</w:t>
      </w:r>
      <w:r>
        <w:rPr>
          <w:rFonts w:ascii="宋体" w:hAnsi="宋体" w:eastAsia="宋体" w:cs="宋体"/>
          <w:color w:val="auto"/>
          <w:spacing w:val="-1"/>
          <w:sz w:val="24"/>
          <w:szCs w:val="24"/>
          <w:highlight w:val="none"/>
        </w:rPr>
        <w:t>操作；投标人对加密的投标文件进行修改的，应在投标截</w:t>
      </w:r>
      <w:r>
        <w:rPr>
          <w:rFonts w:ascii="宋体" w:hAnsi="宋体" w:eastAsia="宋体" w:cs="宋体"/>
          <w:color w:val="auto"/>
          <w:spacing w:val="-2"/>
          <w:sz w:val="24"/>
          <w:szCs w:val="24"/>
          <w:highlight w:val="none"/>
        </w:rPr>
        <w:t>止时间前完成上传。</w:t>
      </w:r>
    </w:p>
    <w:p w14:paraId="3EC3147B">
      <w:pPr>
        <w:pStyle w:val="3"/>
        <w:spacing w:line="268" w:lineRule="auto"/>
        <w:ind w:firstLine="1920" w:firstLineChars="800"/>
        <w:rPr>
          <w:color w:val="auto"/>
          <w:highlight w:val="none"/>
        </w:rPr>
      </w:pPr>
      <w:r>
        <w:rPr>
          <w:rFonts w:ascii="宋体" w:hAnsi="宋体" w:eastAsia="宋体" w:cs="宋体"/>
          <w:color w:val="auto"/>
          <w:sz w:val="24"/>
          <w:szCs w:val="24"/>
          <w:highlight w:val="none"/>
        </w:rPr>
        <w:t>4.3.2</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投标人修改投标文件的，应使用“投标文件制</w:t>
      </w:r>
      <w:r>
        <w:rPr>
          <w:rFonts w:ascii="宋体" w:hAnsi="宋体" w:eastAsia="宋体" w:cs="宋体"/>
          <w:color w:val="auto"/>
          <w:spacing w:val="-1"/>
          <w:sz w:val="24"/>
          <w:szCs w:val="24"/>
          <w:highlight w:val="none"/>
        </w:rPr>
        <w:t>作工具”制作成完整的投标文</w:t>
      </w:r>
    </w:p>
    <w:p w14:paraId="5BCB43E9">
      <w:pPr>
        <w:spacing w:before="78" w:line="360" w:lineRule="auto"/>
        <w:ind w:left="1427" w:right="1416" w:hanging="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件，并按照本章第</w:t>
      </w:r>
      <w:r>
        <w:rPr>
          <w:rFonts w:ascii="宋体" w:hAnsi="宋体" w:eastAsia="宋体" w:cs="宋体"/>
          <w:color w:val="auto"/>
          <w:spacing w:val="-35"/>
          <w:sz w:val="24"/>
          <w:szCs w:val="24"/>
          <w:highlight w:val="none"/>
        </w:rPr>
        <w:t xml:space="preserve"> </w:t>
      </w:r>
      <w:r>
        <w:rPr>
          <w:rFonts w:ascii="宋体" w:hAnsi="宋体" w:eastAsia="宋体" w:cs="宋体"/>
          <w:color w:val="auto"/>
          <w:spacing w:val="-3"/>
          <w:sz w:val="24"/>
          <w:szCs w:val="24"/>
          <w:highlight w:val="none"/>
        </w:rPr>
        <w:t>3</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条、第</w:t>
      </w:r>
      <w:r>
        <w:rPr>
          <w:rFonts w:ascii="宋体" w:hAnsi="宋体" w:eastAsia="宋体" w:cs="宋体"/>
          <w:color w:val="auto"/>
          <w:spacing w:val="-51"/>
          <w:sz w:val="24"/>
          <w:szCs w:val="24"/>
          <w:highlight w:val="none"/>
        </w:rPr>
        <w:t xml:space="preserve"> </w:t>
      </w:r>
      <w:r>
        <w:rPr>
          <w:rFonts w:ascii="宋体" w:hAnsi="宋体" w:eastAsia="宋体" w:cs="宋体"/>
          <w:color w:val="auto"/>
          <w:spacing w:val="-3"/>
          <w:sz w:val="24"/>
          <w:szCs w:val="24"/>
          <w:highlight w:val="none"/>
        </w:rPr>
        <w:t>4</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条规定进行编制、加密和递交。对采用网上递交的加密的</w:t>
      </w:r>
      <w:r>
        <w:rPr>
          <w:rFonts w:ascii="宋体" w:hAnsi="宋体" w:eastAsia="宋体" w:cs="宋体"/>
          <w:color w:val="auto"/>
          <w:spacing w:val="-2"/>
          <w:sz w:val="24"/>
          <w:szCs w:val="24"/>
          <w:highlight w:val="none"/>
        </w:rPr>
        <w:t>投标文件，以投标截止时间前最后完成上传的文件为准。</w:t>
      </w:r>
    </w:p>
    <w:p w14:paraId="3DE1A347">
      <w:pPr>
        <w:spacing w:before="2" w:line="359" w:lineRule="auto"/>
        <w:ind w:left="1433" w:right="1416" w:firstLine="47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 xml:space="preserve">4.3.3 </w:t>
      </w:r>
      <w:r>
        <w:rPr>
          <w:rFonts w:hint="eastAsia" w:ascii="宋体" w:hAnsi="宋体" w:eastAsia="宋体" w:cs="宋体"/>
          <w:color w:val="auto"/>
          <w:spacing w:val="-3"/>
          <w:sz w:val="24"/>
          <w:szCs w:val="24"/>
          <w:highlight w:val="none"/>
          <w:u w:val="single"/>
        </w:rPr>
        <w:t>在投标截止后</w:t>
      </w:r>
      <w:r>
        <w:rPr>
          <w:rFonts w:hint="eastAsia" w:ascii="宋体" w:hAnsi="宋体" w:eastAsia="宋体" w:cs="宋体"/>
          <w:color w:val="auto"/>
          <w:spacing w:val="-3"/>
          <w:sz w:val="24"/>
          <w:szCs w:val="24"/>
          <w:highlight w:val="none"/>
          <w:u w:val="single"/>
          <w:lang w:eastAsia="zh-CN"/>
        </w:rPr>
        <w:t>，</w:t>
      </w:r>
      <w:r>
        <w:rPr>
          <w:rFonts w:hint="eastAsia" w:ascii="宋体" w:hAnsi="宋体" w:eastAsia="宋体" w:cs="宋体"/>
          <w:color w:val="auto"/>
          <w:spacing w:val="-3"/>
          <w:sz w:val="24"/>
          <w:szCs w:val="24"/>
          <w:highlight w:val="none"/>
          <w:u w:val="single"/>
        </w:rPr>
        <w:t>投标人在投标文件中填报的投标有效期终止日前，投标人不能撤回投标文件，否则招标人有权就其撤回行为报告政府主管部门载入不良信用记录</w:t>
      </w:r>
      <w:r>
        <w:rPr>
          <w:rFonts w:ascii="宋体" w:hAnsi="宋体" w:eastAsia="宋体" w:cs="宋体"/>
          <w:color w:val="auto"/>
          <w:spacing w:val="-6"/>
          <w:sz w:val="24"/>
          <w:szCs w:val="24"/>
          <w:highlight w:val="none"/>
        </w:rPr>
        <w:t>。</w:t>
      </w:r>
    </w:p>
    <w:p w14:paraId="147FAB91">
      <w:pPr>
        <w:spacing w:line="220" w:lineRule="auto"/>
        <w:ind w:left="1430"/>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5.</w:t>
      </w:r>
      <w:r>
        <w:rPr>
          <w:rFonts w:ascii="宋体" w:hAnsi="宋体" w:eastAsia="宋体" w:cs="宋体"/>
          <w:color w:val="auto"/>
          <w:spacing w:val="11"/>
          <w:sz w:val="24"/>
          <w:szCs w:val="24"/>
          <w:highlight w:val="none"/>
        </w:rPr>
        <w:t xml:space="preserve"> </w:t>
      </w:r>
      <w:r>
        <w:rPr>
          <w:rFonts w:ascii="宋体" w:hAnsi="宋体" w:eastAsia="宋体" w:cs="宋体"/>
          <w:b/>
          <w:bCs/>
          <w:color w:val="auto"/>
          <w:spacing w:val="-7"/>
          <w:sz w:val="24"/>
          <w:szCs w:val="24"/>
          <w:highlight w:val="none"/>
        </w:rPr>
        <w:t>开标</w:t>
      </w:r>
    </w:p>
    <w:p w14:paraId="71F17EA5">
      <w:pPr>
        <w:spacing w:before="182" w:line="220"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5.1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开标时间和地点</w:t>
      </w:r>
    </w:p>
    <w:p w14:paraId="45BAFC9E">
      <w:pPr>
        <w:spacing w:before="181" w:line="360" w:lineRule="auto"/>
        <w:ind w:left="1427" w:right="1416" w:firstLine="479"/>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招标人在本章第</w:t>
      </w:r>
      <w:r>
        <w:rPr>
          <w:rFonts w:ascii="宋体" w:hAnsi="宋体" w:eastAsia="宋体" w:cs="宋体"/>
          <w:color w:val="auto"/>
          <w:spacing w:val="-52"/>
          <w:sz w:val="24"/>
          <w:szCs w:val="24"/>
          <w:highlight w:val="none"/>
        </w:rPr>
        <w:t xml:space="preserve"> </w:t>
      </w:r>
      <w:r>
        <w:rPr>
          <w:rFonts w:ascii="宋体" w:hAnsi="宋体" w:eastAsia="宋体" w:cs="宋体"/>
          <w:color w:val="auto"/>
          <w:spacing w:val="-2"/>
          <w:sz w:val="24"/>
          <w:szCs w:val="24"/>
          <w:highlight w:val="none"/>
        </w:rPr>
        <w:t>4.2.1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项规定的投标截止时间（开标时间）和投标人须</w:t>
      </w:r>
      <w:r>
        <w:rPr>
          <w:rFonts w:ascii="宋体" w:hAnsi="宋体" w:eastAsia="宋体" w:cs="宋体"/>
          <w:color w:val="auto"/>
          <w:spacing w:val="-3"/>
          <w:sz w:val="24"/>
          <w:szCs w:val="24"/>
          <w:highlight w:val="none"/>
        </w:rPr>
        <w:t>知前附表规</w:t>
      </w:r>
      <w:r>
        <w:rPr>
          <w:rFonts w:ascii="宋体" w:hAnsi="宋体" w:eastAsia="宋体" w:cs="宋体"/>
          <w:color w:val="auto"/>
          <w:spacing w:val="-2"/>
          <w:sz w:val="24"/>
          <w:szCs w:val="24"/>
          <w:highlight w:val="none"/>
        </w:rPr>
        <w:t>定的地点对收到的投标文件第一个信封（商务及技术文件）公开开标，并邀请所有投标</w:t>
      </w:r>
      <w:r>
        <w:rPr>
          <w:rFonts w:ascii="宋体" w:hAnsi="宋体" w:eastAsia="宋体" w:cs="宋体"/>
          <w:color w:val="auto"/>
          <w:spacing w:val="-3"/>
          <w:sz w:val="24"/>
          <w:szCs w:val="24"/>
          <w:highlight w:val="none"/>
        </w:rPr>
        <w:t>人的法定代表人或其委托代理人准时参加。</w:t>
      </w:r>
    </w:p>
    <w:p w14:paraId="00534A67">
      <w:pPr>
        <w:spacing w:line="360" w:lineRule="auto"/>
        <w:ind w:left="1432" w:right="1384" w:firstLine="47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招标人在投标人须知前附表规定的时间和地点对投标文件第二个信封（报价文件）</w:t>
      </w:r>
      <w:r>
        <w:rPr>
          <w:rFonts w:ascii="宋体" w:hAnsi="宋体" w:eastAsia="宋体" w:cs="宋体"/>
          <w:color w:val="auto"/>
          <w:spacing w:val="-2"/>
          <w:sz w:val="24"/>
          <w:szCs w:val="24"/>
          <w:highlight w:val="none"/>
        </w:rPr>
        <w:t>公开开标，并邀请所有投标人的法定代表人或其委托代理人准时参加。</w:t>
      </w:r>
    </w:p>
    <w:p w14:paraId="45CF8ACB">
      <w:pPr>
        <w:spacing w:before="2" w:line="359" w:lineRule="auto"/>
        <w:ind w:left="1425" w:right="1416"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投标人若未派法定代表人或委托代理人参加第一个信封（商务及技术文件）开标或第二个信封（报价文件）开标的，视为该投标人默认开标结果。</w:t>
      </w:r>
    </w:p>
    <w:p w14:paraId="0D0E7495">
      <w:pPr>
        <w:spacing w:line="220" w:lineRule="auto"/>
        <w:ind w:left="143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5.2</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开标程序</w:t>
      </w:r>
    </w:p>
    <w:p w14:paraId="159317AA">
      <w:pPr>
        <w:spacing w:before="182" w:line="360" w:lineRule="auto"/>
        <w:ind w:left="1426" w:right="1416" w:firstLine="48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投标截止时间前未完成投标文件传输的，或因投标人之外的原因造成投标文件未解密的，均视为投标人撤回其电子投标文件。因投标人原因造成投标文件未解密的或未在</w:t>
      </w:r>
      <w:r>
        <w:rPr>
          <w:rFonts w:ascii="宋体" w:hAnsi="宋体" w:eastAsia="宋体" w:cs="宋体"/>
          <w:color w:val="auto"/>
          <w:spacing w:val="-1"/>
          <w:sz w:val="24"/>
          <w:szCs w:val="24"/>
          <w:highlight w:val="none"/>
        </w:rPr>
        <w:t>投标截止时间后投标人须知前附表规定的解密时间内解密的，视为</w:t>
      </w:r>
      <w:r>
        <w:rPr>
          <w:rFonts w:ascii="宋体" w:hAnsi="宋体" w:eastAsia="宋体" w:cs="宋体"/>
          <w:color w:val="auto"/>
          <w:spacing w:val="-2"/>
          <w:sz w:val="24"/>
          <w:szCs w:val="24"/>
          <w:highlight w:val="none"/>
        </w:rPr>
        <w:t>撤销其投标文件。</w:t>
      </w:r>
    </w:p>
    <w:p w14:paraId="33C203A2">
      <w:pPr>
        <w:spacing w:line="360" w:lineRule="auto"/>
        <w:ind w:left="1427" w:right="1426" w:firstLine="482"/>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5.2.1</w:t>
      </w:r>
      <w:r>
        <w:rPr>
          <w:rFonts w:hint="eastAsia" w:ascii="宋体" w:hAnsi="宋体" w:eastAsia="宋体" w:cs="宋体"/>
          <w:color w:val="auto"/>
          <w:spacing w:val="-2"/>
          <w:sz w:val="24"/>
          <w:szCs w:val="24"/>
          <w:highlight w:val="none"/>
        </w:rPr>
        <w:t>投标文件第一个信封（商务及技术文件）开标</w:t>
      </w:r>
    </w:p>
    <w:p w14:paraId="7E1B033E">
      <w:pPr>
        <w:spacing w:line="360" w:lineRule="auto"/>
        <w:ind w:left="1427" w:right="1426"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 xml:space="preserve"> 招标人将按照第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5.1</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款规定的时间</w:t>
      </w:r>
      <w:r>
        <w:rPr>
          <w:rFonts w:ascii="宋体" w:hAnsi="宋体" w:eastAsia="宋体" w:cs="宋体"/>
          <w:color w:val="auto"/>
          <w:spacing w:val="-3"/>
          <w:sz w:val="24"/>
          <w:szCs w:val="24"/>
          <w:highlight w:val="none"/>
        </w:rPr>
        <w:t>和地点对投标文件第一个信封（商务及技</w:t>
      </w:r>
      <w:r>
        <w:rPr>
          <w:rFonts w:ascii="宋体" w:hAnsi="宋体" w:eastAsia="宋体" w:cs="宋体"/>
          <w:color w:val="auto"/>
          <w:spacing w:val="-7"/>
          <w:sz w:val="24"/>
          <w:szCs w:val="24"/>
          <w:highlight w:val="none"/>
        </w:rPr>
        <w:t>术文件）进行开标：</w:t>
      </w:r>
    </w:p>
    <w:p w14:paraId="533FAEA7">
      <w:pPr>
        <w:spacing w:before="1" w:line="218"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（1）投标人代表持</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CA</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数字证书进入开标现场（投标人也可</w:t>
      </w:r>
      <w:r>
        <w:rPr>
          <w:rFonts w:ascii="宋体" w:hAnsi="宋体" w:eastAsia="宋体" w:cs="宋体"/>
          <w:color w:val="auto"/>
          <w:spacing w:val="-3"/>
          <w:sz w:val="24"/>
          <w:szCs w:val="24"/>
          <w:highlight w:val="none"/>
        </w:rPr>
        <w:t>选择远程解密）。</w:t>
      </w:r>
    </w:p>
    <w:p w14:paraId="0E9EAE84">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（2）开标由招标人或其委托的招标代理机构主持，宣布开标纪律。</w:t>
      </w:r>
    </w:p>
    <w:p w14:paraId="56C6F158">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（3）宣布开标人、唱标人、记录人等有关人员姓</w:t>
      </w:r>
      <w:r>
        <w:rPr>
          <w:rFonts w:ascii="宋体" w:hAnsi="宋体" w:eastAsia="宋体" w:cs="宋体"/>
          <w:color w:val="auto"/>
          <w:spacing w:val="-3"/>
          <w:sz w:val="24"/>
          <w:szCs w:val="24"/>
          <w:highlight w:val="none"/>
        </w:rPr>
        <w:t>名。</w:t>
      </w:r>
    </w:p>
    <w:p w14:paraId="3E771840">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（4）宣布开标顺序：按各标段投标文件到达系统的先后顺序。</w:t>
      </w:r>
    </w:p>
    <w:p w14:paraId="584E14E7">
      <w:pPr>
        <w:spacing w:before="183" w:line="290" w:lineRule="auto"/>
        <w:ind w:left="1429" w:right="143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（5）检查各标段投标文件递交到达的情况。若某标段递交到达投标文件的</w:t>
      </w:r>
      <w:r>
        <w:rPr>
          <w:rFonts w:ascii="宋体" w:hAnsi="宋体" w:eastAsia="宋体" w:cs="宋体"/>
          <w:color w:val="auto"/>
          <w:sz w:val="24"/>
          <w:szCs w:val="24"/>
          <w:highlight w:val="none"/>
        </w:rPr>
        <w:t>投标人</w:t>
      </w:r>
      <w:r>
        <w:rPr>
          <w:rFonts w:ascii="宋体" w:hAnsi="宋体" w:eastAsia="宋体" w:cs="宋体"/>
          <w:color w:val="auto"/>
          <w:spacing w:val="-5"/>
          <w:sz w:val="24"/>
          <w:szCs w:val="24"/>
          <w:highlight w:val="none"/>
        </w:rPr>
        <w:t>不足</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3</w:t>
      </w:r>
      <w:r>
        <w:rPr>
          <w:rFonts w:ascii="宋体" w:hAnsi="宋体" w:eastAsia="宋体" w:cs="宋体"/>
          <w:color w:val="auto"/>
          <w:spacing w:val="-50"/>
          <w:sz w:val="24"/>
          <w:szCs w:val="24"/>
          <w:highlight w:val="none"/>
        </w:rPr>
        <w:t xml:space="preserve"> </w:t>
      </w:r>
      <w:r>
        <w:rPr>
          <w:rFonts w:ascii="宋体" w:hAnsi="宋体" w:eastAsia="宋体" w:cs="宋体"/>
          <w:color w:val="auto"/>
          <w:spacing w:val="-5"/>
          <w:sz w:val="24"/>
          <w:szCs w:val="24"/>
          <w:highlight w:val="none"/>
        </w:rPr>
        <w:t>个，则该标段不予开标。</w:t>
      </w:r>
    </w:p>
    <w:p w14:paraId="04B1D1B0">
      <w:pPr>
        <w:spacing w:before="182" w:line="313" w:lineRule="auto"/>
        <w:ind w:left="1426" w:right="1403"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（6）投标人解密。招标人应在第一个信封（商务及技术文件）开</w:t>
      </w:r>
      <w:r>
        <w:rPr>
          <w:rFonts w:ascii="宋体" w:hAnsi="宋体" w:eastAsia="宋体" w:cs="宋体"/>
          <w:color w:val="auto"/>
          <w:sz w:val="24"/>
          <w:szCs w:val="24"/>
          <w:highlight w:val="none"/>
        </w:rPr>
        <w:t>标现场宣布解密</w:t>
      </w:r>
      <w:r>
        <w:rPr>
          <w:rFonts w:ascii="宋体" w:hAnsi="宋体" w:eastAsia="宋体" w:cs="宋体"/>
          <w:color w:val="auto"/>
          <w:spacing w:val="-2"/>
          <w:sz w:val="24"/>
          <w:szCs w:val="24"/>
          <w:highlight w:val="none"/>
        </w:rPr>
        <w:t>的开始时间，投标人应在系统通知解密开始后投标人须知前附表规定的解密时间内（解</w:t>
      </w:r>
      <w:r>
        <w:rPr>
          <w:rFonts w:ascii="宋体" w:hAnsi="宋体" w:eastAsia="宋体" w:cs="宋体"/>
          <w:color w:val="auto"/>
          <w:spacing w:val="-1"/>
          <w:sz w:val="24"/>
          <w:szCs w:val="24"/>
          <w:highlight w:val="none"/>
        </w:rPr>
        <w:t>密时长详见投标人须知前附表）对所递交的第一个信封（商务及技</w:t>
      </w:r>
      <w:r>
        <w:rPr>
          <w:rFonts w:ascii="宋体" w:hAnsi="宋体" w:eastAsia="宋体" w:cs="宋体"/>
          <w:color w:val="auto"/>
          <w:spacing w:val="-2"/>
          <w:sz w:val="24"/>
          <w:szCs w:val="24"/>
          <w:highlight w:val="none"/>
        </w:rPr>
        <w:t>术文件）进行解密。</w:t>
      </w:r>
    </w:p>
    <w:p w14:paraId="75280B1D">
      <w:pPr>
        <w:spacing w:before="183" w:line="290" w:lineRule="auto"/>
        <w:ind w:left="1425" w:right="1427" w:firstLine="486"/>
        <w:rPr>
          <w:color w:val="auto"/>
          <w:highlight w:val="none"/>
        </w:rPr>
      </w:pPr>
      <w:r>
        <w:rPr>
          <w:rFonts w:ascii="宋体" w:hAnsi="宋体" w:eastAsia="宋体" w:cs="宋体"/>
          <w:color w:val="auto"/>
          <w:spacing w:val="1"/>
          <w:sz w:val="24"/>
          <w:szCs w:val="24"/>
          <w:highlight w:val="none"/>
        </w:rPr>
        <w:t>（7）招标人解密。招标人在投标人解密截止时间后，对投标人解密成功的第一个</w:t>
      </w:r>
      <w:r>
        <w:rPr>
          <w:rFonts w:ascii="宋体" w:hAnsi="宋体" w:eastAsia="宋体" w:cs="宋体"/>
          <w:color w:val="auto"/>
          <w:spacing w:val="-6"/>
          <w:sz w:val="24"/>
          <w:szCs w:val="24"/>
          <w:highlight w:val="none"/>
        </w:rPr>
        <w:t>信封进行解密。</w:t>
      </w:r>
    </w:p>
    <w:p w14:paraId="7ACC2AA1">
      <w:pPr>
        <w:spacing w:before="78" w:line="219" w:lineRule="auto"/>
        <w:ind w:left="191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（8）公布投标人名称、</w:t>
      </w:r>
      <w:r>
        <w:rPr>
          <w:rFonts w:ascii="宋体" w:hAnsi="宋体" w:eastAsia="宋体" w:cs="宋体"/>
          <w:strike/>
          <w:dstrike w:val="0"/>
          <w:color w:val="auto"/>
          <w:spacing w:val="-7"/>
          <w:sz w:val="24"/>
          <w:szCs w:val="24"/>
          <w:highlight w:val="none"/>
        </w:rPr>
        <w:t>投标保证金递交情况、</w:t>
      </w:r>
      <w:r>
        <w:rPr>
          <w:rFonts w:ascii="宋体" w:hAnsi="宋体" w:eastAsia="宋体" w:cs="宋体"/>
          <w:color w:val="auto"/>
          <w:spacing w:val="-7"/>
          <w:sz w:val="24"/>
          <w:szCs w:val="24"/>
          <w:highlight w:val="none"/>
        </w:rPr>
        <w:t>解密情况及其他</w:t>
      </w:r>
      <w:r>
        <w:rPr>
          <w:rFonts w:ascii="宋体" w:hAnsi="宋体" w:eastAsia="宋体" w:cs="宋体"/>
          <w:color w:val="auto"/>
          <w:spacing w:val="-8"/>
          <w:sz w:val="24"/>
          <w:szCs w:val="24"/>
          <w:highlight w:val="none"/>
        </w:rPr>
        <w:t>内容，</w:t>
      </w:r>
      <w:r>
        <w:rPr>
          <w:rFonts w:ascii="宋体" w:hAnsi="宋体" w:eastAsia="宋体" w:cs="宋体"/>
          <w:color w:val="auto"/>
          <w:spacing w:val="56"/>
          <w:sz w:val="24"/>
          <w:szCs w:val="24"/>
          <w:highlight w:val="none"/>
        </w:rPr>
        <w:t xml:space="preserve"> </w:t>
      </w:r>
      <w:r>
        <w:rPr>
          <w:rFonts w:ascii="宋体" w:hAnsi="宋体" w:eastAsia="宋体" w:cs="宋体"/>
          <w:color w:val="auto"/>
          <w:spacing w:val="-8"/>
          <w:sz w:val="24"/>
          <w:szCs w:val="24"/>
          <w:highlight w:val="none"/>
        </w:rPr>
        <w:t>并记录在案。</w:t>
      </w:r>
    </w:p>
    <w:p w14:paraId="43E9A570">
      <w:pPr>
        <w:spacing w:before="184" w:line="289" w:lineRule="auto"/>
        <w:ind w:left="1424" w:right="1436"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（9）投标人代表、招标人、监标人（如有）、见证人（如有）等有关人员在</w:t>
      </w:r>
      <w:r>
        <w:rPr>
          <w:rFonts w:ascii="宋体" w:hAnsi="宋体" w:eastAsia="宋体" w:cs="宋体"/>
          <w:color w:val="auto"/>
          <w:sz w:val="24"/>
          <w:szCs w:val="24"/>
          <w:highlight w:val="none"/>
        </w:rPr>
        <w:t>开标</w:t>
      </w:r>
      <w:r>
        <w:rPr>
          <w:rFonts w:ascii="宋体" w:hAnsi="宋体" w:eastAsia="宋体" w:cs="宋体"/>
          <w:color w:val="auto"/>
          <w:spacing w:val="-2"/>
          <w:sz w:val="24"/>
          <w:szCs w:val="24"/>
          <w:highlight w:val="none"/>
        </w:rPr>
        <w:t>记录上签字确认，投标人代表未签字确认的视为默认开标结果。</w:t>
      </w:r>
    </w:p>
    <w:p w14:paraId="07522DD3">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（10）开标会议结束。</w:t>
      </w:r>
    </w:p>
    <w:p w14:paraId="6EFCCF28">
      <w:pPr>
        <w:spacing w:before="182" w:line="290" w:lineRule="auto"/>
        <w:ind w:left="1427" w:right="131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5.2.2 投标文件第二个信封（报价文件）在投标文件第一个信封（商务及技术文件）</w:t>
      </w:r>
      <w:r>
        <w:rPr>
          <w:rFonts w:ascii="宋体" w:hAnsi="宋体" w:eastAsia="宋体" w:cs="宋体"/>
          <w:color w:val="auto"/>
          <w:spacing w:val="-2"/>
          <w:sz w:val="24"/>
          <w:szCs w:val="24"/>
          <w:highlight w:val="none"/>
        </w:rPr>
        <w:t>完成评审前，</w:t>
      </w:r>
      <w:r>
        <w:rPr>
          <w:rFonts w:hint="eastAsia" w:ascii="宋体" w:hAnsi="宋体" w:eastAsia="宋体" w:cs="宋体"/>
          <w:color w:val="auto"/>
          <w:spacing w:val="-2"/>
          <w:sz w:val="24"/>
          <w:szCs w:val="24"/>
          <w:highlight w:val="none"/>
        </w:rPr>
        <w:t>广州交易集团有限公司（广州公共资源交易中心）</w:t>
      </w:r>
      <w:r>
        <w:rPr>
          <w:rFonts w:ascii="宋体" w:hAnsi="宋体" w:eastAsia="宋体" w:cs="宋体"/>
          <w:color w:val="auto"/>
          <w:spacing w:val="-2"/>
          <w:sz w:val="24"/>
          <w:szCs w:val="24"/>
          <w:highlight w:val="none"/>
        </w:rPr>
        <w:t>的开标评标系统将不进行读取。</w:t>
      </w:r>
    </w:p>
    <w:p w14:paraId="240E3483">
      <w:pPr>
        <w:spacing w:before="183" w:line="218" w:lineRule="auto"/>
        <w:ind w:left="19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5.2.3 投标文件第二个信封（报价文件）开标</w:t>
      </w:r>
    </w:p>
    <w:p w14:paraId="3AE5D428">
      <w:pPr>
        <w:spacing w:before="184" w:line="360" w:lineRule="auto"/>
        <w:ind w:left="1423" w:right="1384"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招标人将按照本章第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5.1</w:t>
      </w:r>
      <w:r>
        <w:rPr>
          <w:rFonts w:ascii="宋体" w:hAnsi="宋体" w:eastAsia="宋体" w:cs="宋体"/>
          <w:color w:val="auto"/>
          <w:spacing w:val="-50"/>
          <w:sz w:val="24"/>
          <w:szCs w:val="24"/>
          <w:highlight w:val="none"/>
        </w:rPr>
        <w:t xml:space="preserve"> </w:t>
      </w:r>
      <w:r>
        <w:rPr>
          <w:rFonts w:ascii="宋体" w:hAnsi="宋体" w:eastAsia="宋体" w:cs="宋体"/>
          <w:color w:val="auto"/>
          <w:spacing w:val="-1"/>
          <w:sz w:val="24"/>
          <w:szCs w:val="24"/>
          <w:highlight w:val="none"/>
        </w:rPr>
        <w:t>款规定的时间和地点对</w:t>
      </w:r>
      <w:r>
        <w:rPr>
          <w:rFonts w:ascii="宋体" w:hAnsi="宋体" w:eastAsia="宋体" w:cs="宋体"/>
          <w:color w:val="auto"/>
          <w:spacing w:val="-2"/>
          <w:sz w:val="24"/>
          <w:szCs w:val="24"/>
          <w:highlight w:val="none"/>
        </w:rPr>
        <w:t>投标文件第二个信封（报价文件）</w:t>
      </w:r>
      <w:r>
        <w:rPr>
          <w:rFonts w:ascii="宋体" w:hAnsi="宋体" w:eastAsia="宋体" w:cs="宋体"/>
          <w:color w:val="auto"/>
          <w:spacing w:val="-11"/>
          <w:sz w:val="24"/>
          <w:szCs w:val="24"/>
          <w:highlight w:val="none"/>
        </w:rPr>
        <w:t>进行开标：</w:t>
      </w:r>
    </w:p>
    <w:p w14:paraId="4FD72DF6">
      <w:pPr>
        <w:spacing w:before="1" w:line="218"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（1）投标人代表持</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CA</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数字证书进入开标现场（投标人也可</w:t>
      </w:r>
      <w:r>
        <w:rPr>
          <w:rFonts w:ascii="宋体" w:hAnsi="宋体" w:eastAsia="宋体" w:cs="宋体"/>
          <w:color w:val="auto"/>
          <w:spacing w:val="-3"/>
          <w:sz w:val="24"/>
          <w:szCs w:val="24"/>
          <w:highlight w:val="none"/>
        </w:rPr>
        <w:t>选择远程解密）。</w:t>
      </w:r>
    </w:p>
    <w:p w14:paraId="364CF883">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（2）宣布开标纪律。</w:t>
      </w:r>
    </w:p>
    <w:p w14:paraId="660D687F">
      <w:pPr>
        <w:spacing w:before="183" w:line="290" w:lineRule="auto"/>
        <w:ind w:left="1425" w:right="1331" w:firstLine="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（3）摇取下浮率（如需）、评标价</w:t>
      </w:r>
      <w:r>
        <w:rPr>
          <w:rFonts w:ascii="宋体" w:hAnsi="宋体" w:eastAsia="宋体" w:cs="宋体"/>
          <w:color w:val="auto"/>
          <w:spacing w:val="-54"/>
          <w:sz w:val="24"/>
          <w:szCs w:val="24"/>
          <w:highlight w:val="none"/>
        </w:rPr>
        <w:t xml:space="preserve"> </w:t>
      </w:r>
      <w:r>
        <w:rPr>
          <w:rFonts w:ascii="宋体" w:hAnsi="宋体" w:eastAsia="宋体" w:cs="宋体"/>
          <w:color w:val="auto"/>
          <w:spacing w:val="-3"/>
          <w:sz w:val="24"/>
          <w:szCs w:val="24"/>
          <w:highlight w:val="none"/>
        </w:rPr>
        <w:t>E</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值（如需</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在开标现场采取摇珠方式</w:t>
      </w:r>
      <w:r>
        <w:rPr>
          <w:rFonts w:ascii="宋体" w:hAnsi="宋体" w:eastAsia="宋体" w:cs="宋体"/>
          <w:color w:val="auto"/>
          <w:spacing w:val="-4"/>
          <w:sz w:val="24"/>
          <w:szCs w:val="24"/>
          <w:highlight w:val="none"/>
        </w:rPr>
        <w:t>确定。摇珠操作办法详见评标办法。</w:t>
      </w:r>
    </w:p>
    <w:p w14:paraId="1ED8ED27">
      <w:pPr>
        <w:spacing w:before="184" w:line="313" w:lineRule="auto"/>
        <w:ind w:left="1427" w:right="1384"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（4）招标人或招标代理机构宣布第一个信封（商务及技术文件）评审结果。投标</w:t>
      </w:r>
      <w:r>
        <w:rPr>
          <w:rFonts w:ascii="宋体" w:hAnsi="宋体" w:eastAsia="宋体" w:cs="宋体"/>
          <w:color w:val="auto"/>
          <w:spacing w:val="-1"/>
          <w:sz w:val="24"/>
          <w:szCs w:val="24"/>
          <w:highlight w:val="none"/>
        </w:rPr>
        <w:t>人未通过第一个信封（商务及技术文件）评审的，对应标段的第二个信封（报价文件）</w:t>
      </w:r>
      <w:r>
        <w:rPr>
          <w:rFonts w:ascii="宋体" w:hAnsi="宋体" w:eastAsia="宋体" w:cs="宋体"/>
          <w:color w:val="auto"/>
          <w:spacing w:val="-8"/>
          <w:sz w:val="24"/>
          <w:szCs w:val="24"/>
          <w:highlight w:val="none"/>
        </w:rPr>
        <w:t>不予开标。</w:t>
      </w:r>
    </w:p>
    <w:p w14:paraId="1DD60989">
      <w:pPr>
        <w:spacing w:before="181"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（5）宣布开标人、唱标人、记录人等有关人员姓</w:t>
      </w:r>
      <w:r>
        <w:rPr>
          <w:rFonts w:ascii="宋体" w:hAnsi="宋体" w:eastAsia="宋体" w:cs="宋体"/>
          <w:color w:val="auto"/>
          <w:spacing w:val="-3"/>
          <w:sz w:val="24"/>
          <w:szCs w:val="24"/>
          <w:highlight w:val="none"/>
        </w:rPr>
        <w:t>名。</w:t>
      </w:r>
    </w:p>
    <w:p w14:paraId="347D2DB5">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（6）宣布开标顺序：方法同第一个信封的开标顺序。</w:t>
      </w:r>
    </w:p>
    <w:p w14:paraId="7BBA99F3">
      <w:pPr>
        <w:spacing w:before="182" w:line="313" w:lineRule="auto"/>
        <w:ind w:left="1424" w:right="1312"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（7）投标人解密。招标人宣布第二个信封（报价文件）解密开始时间，投</w:t>
      </w:r>
      <w:r>
        <w:rPr>
          <w:rFonts w:ascii="宋体" w:hAnsi="宋体" w:eastAsia="宋体" w:cs="宋体"/>
          <w:color w:val="auto"/>
          <w:sz w:val="24"/>
          <w:szCs w:val="24"/>
          <w:highlight w:val="none"/>
        </w:rPr>
        <w:t>标人应</w:t>
      </w:r>
      <w:r>
        <w:rPr>
          <w:rFonts w:ascii="宋体" w:hAnsi="宋体" w:eastAsia="宋体" w:cs="宋体"/>
          <w:color w:val="auto"/>
          <w:spacing w:val="-5"/>
          <w:sz w:val="24"/>
          <w:szCs w:val="24"/>
          <w:highlight w:val="none"/>
        </w:rPr>
        <w:t>在解密时长投标人须知前附表规定的解密时间内，对通过第一个信封（商务及技术文件）</w:t>
      </w:r>
      <w:r>
        <w:rPr>
          <w:rFonts w:ascii="宋体" w:hAnsi="宋体" w:eastAsia="宋体" w:cs="宋体"/>
          <w:color w:val="auto"/>
          <w:spacing w:val="-2"/>
          <w:sz w:val="24"/>
          <w:szCs w:val="24"/>
          <w:highlight w:val="none"/>
        </w:rPr>
        <w:t>评审的对应标段的第二个信封（报价文件）进行解密。</w:t>
      </w:r>
    </w:p>
    <w:p w14:paraId="2FBC1F1C">
      <w:pPr>
        <w:spacing w:before="184" w:line="290" w:lineRule="auto"/>
        <w:ind w:left="1425" w:right="1427"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（8）招标人解密。招标人在投标人解密截止时间后，对投标人解密成功的第二个</w:t>
      </w:r>
      <w:r>
        <w:rPr>
          <w:rFonts w:ascii="宋体" w:hAnsi="宋体" w:eastAsia="宋体" w:cs="宋体"/>
          <w:color w:val="auto"/>
          <w:spacing w:val="-6"/>
          <w:sz w:val="24"/>
          <w:szCs w:val="24"/>
          <w:highlight w:val="none"/>
        </w:rPr>
        <w:t>信封进行解密。</w:t>
      </w:r>
    </w:p>
    <w:p w14:paraId="0BB6A3E6">
      <w:pPr>
        <w:spacing w:before="180" w:line="337" w:lineRule="auto"/>
        <w:ind w:left="1419" w:right="1328" w:firstLine="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（9）根据解密后的投标文件中的投标函公布投标人名称、投标报价（开标过程中，</w:t>
      </w:r>
      <w:r>
        <w:rPr>
          <w:rFonts w:ascii="宋体" w:hAnsi="宋体" w:eastAsia="宋体" w:cs="宋体"/>
          <w:color w:val="auto"/>
          <w:spacing w:val="-1"/>
          <w:sz w:val="24"/>
          <w:szCs w:val="24"/>
          <w:highlight w:val="none"/>
        </w:rPr>
        <w:t>若开标记录表与投标文件投标函大写文字报价不一致</w:t>
      </w:r>
      <w:r>
        <w:rPr>
          <w:rFonts w:ascii="宋体" w:hAnsi="宋体" w:eastAsia="宋体" w:cs="宋体"/>
          <w:color w:val="auto"/>
          <w:spacing w:val="-2"/>
          <w:sz w:val="24"/>
          <w:szCs w:val="24"/>
          <w:highlight w:val="none"/>
        </w:rPr>
        <w:t>时，以投标文件投标函大写文字报</w:t>
      </w:r>
      <w:r>
        <w:rPr>
          <w:rFonts w:ascii="宋体" w:hAnsi="宋体" w:eastAsia="宋体" w:cs="宋体"/>
          <w:color w:val="auto"/>
          <w:spacing w:val="-6"/>
          <w:sz w:val="24"/>
          <w:szCs w:val="24"/>
          <w:highlight w:val="none"/>
        </w:rPr>
        <w:t>价为准）、解密情况及其他内容，</w:t>
      </w:r>
      <w:r>
        <w:rPr>
          <w:rFonts w:ascii="宋体" w:hAnsi="宋体" w:eastAsia="宋体" w:cs="宋体"/>
          <w:color w:val="auto"/>
          <w:spacing w:val="60"/>
          <w:sz w:val="24"/>
          <w:szCs w:val="24"/>
          <w:highlight w:val="none"/>
        </w:rPr>
        <w:t xml:space="preserve"> </w:t>
      </w:r>
      <w:r>
        <w:rPr>
          <w:rFonts w:ascii="宋体" w:hAnsi="宋体" w:eastAsia="宋体" w:cs="宋体"/>
          <w:color w:val="auto"/>
          <w:spacing w:val="-6"/>
          <w:sz w:val="24"/>
          <w:szCs w:val="24"/>
          <w:highlight w:val="none"/>
        </w:rPr>
        <w:t>并记录在案。将未通过投标文件第一个信</w:t>
      </w:r>
      <w:r>
        <w:rPr>
          <w:rFonts w:ascii="宋体" w:hAnsi="宋体" w:eastAsia="宋体" w:cs="宋体"/>
          <w:color w:val="auto"/>
          <w:spacing w:val="-7"/>
          <w:sz w:val="24"/>
          <w:szCs w:val="24"/>
          <w:highlight w:val="none"/>
        </w:rPr>
        <w:t>封（商务及</w:t>
      </w:r>
      <w:r>
        <w:rPr>
          <w:rFonts w:ascii="宋体" w:hAnsi="宋体" w:eastAsia="宋体" w:cs="宋体"/>
          <w:color w:val="auto"/>
          <w:spacing w:val="-6"/>
          <w:sz w:val="24"/>
          <w:szCs w:val="24"/>
          <w:highlight w:val="none"/>
        </w:rPr>
        <w:t>技术文件）评审的投标文件第二个信封（报价文件）光盘或</w:t>
      </w:r>
      <w:r>
        <w:rPr>
          <w:rFonts w:ascii="宋体" w:hAnsi="宋体" w:eastAsia="宋体" w:cs="宋体"/>
          <w:color w:val="auto"/>
          <w:spacing w:val="-41"/>
          <w:sz w:val="24"/>
          <w:szCs w:val="24"/>
          <w:highlight w:val="none"/>
        </w:rPr>
        <w:t xml:space="preserve"> </w:t>
      </w:r>
      <w:r>
        <w:rPr>
          <w:rFonts w:ascii="宋体" w:hAnsi="宋体" w:eastAsia="宋体" w:cs="宋体"/>
          <w:color w:val="auto"/>
          <w:spacing w:val="-6"/>
          <w:sz w:val="24"/>
          <w:szCs w:val="24"/>
          <w:highlight w:val="none"/>
        </w:rPr>
        <w:t>U</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盘（如有）退还给投标人。</w:t>
      </w:r>
      <w:r>
        <w:rPr>
          <w:rFonts w:ascii="宋体" w:hAnsi="宋体" w:eastAsia="宋体" w:cs="宋体"/>
          <w:color w:val="auto"/>
          <w:spacing w:val="-1"/>
          <w:sz w:val="24"/>
          <w:szCs w:val="24"/>
          <w:highlight w:val="none"/>
        </w:rPr>
        <w:t>如投标人未参加第二个信封开标的，招标人应当在评</w:t>
      </w:r>
      <w:r>
        <w:rPr>
          <w:rFonts w:ascii="宋体" w:hAnsi="宋体" w:eastAsia="宋体" w:cs="宋体"/>
          <w:color w:val="auto"/>
          <w:spacing w:val="-2"/>
          <w:sz w:val="24"/>
          <w:szCs w:val="24"/>
          <w:highlight w:val="none"/>
        </w:rPr>
        <w:t>标结束后及时将第二个信封光盘或</w:t>
      </w:r>
      <w:r>
        <w:rPr>
          <w:rFonts w:ascii="宋体" w:hAnsi="宋体" w:eastAsia="宋体" w:cs="宋体"/>
          <w:color w:val="auto"/>
          <w:spacing w:val="-4"/>
          <w:sz w:val="24"/>
          <w:szCs w:val="24"/>
          <w:highlight w:val="none"/>
        </w:rPr>
        <w:t>U</w:t>
      </w:r>
      <w:r>
        <w:rPr>
          <w:rFonts w:ascii="宋体" w:hAnsi="宋体" w:eastAsia="宋体" w:cs="宋体"/>
          <w:color w:val="auto"/>
          <w:spacing w:val="-48"/>
          <w:sz w:val="24"/>
          <w:szCs w:val="24"/>
          <w:highlight w:val="none"/>
        </w:rPr>
        <w:t xml:space="preserve"> </w:t>
      </w:r>
      <w:r>
        <w:rPr>
          <w:rFonts w:ascii="宋体" w:hAnsi="宋体" w:eastAsia="宋体" w:cs="宋体"/>
          <w:color w:val="auto"/>
          <w:spacing w:val="-4"/>
          <w:sz w:val="24"/>
          <w:szCs w:val="24"/>
          <w:highlight w:val="none"/>
        </w:rPr>
        <w:t>盘（如有）退还投标人。</w:t>
      </w:r>
    </w:p>
    <w:p w14:paraId="5FCBA88F">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（10）投标人代表、招标人、监标人（如有）、见证人（如有）等有关人员在开标</w:t>
      </w:r>
    </w:p>
    <w:p w14:paraId="5E8652CC">
      <w:pPr>
        <w:spacing w:before="78" w:line="360" w:lineRule="auto"/>
        <w:ind w:left="1425" w:right="1403" w:hanging="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记录上进行签字确认，投标人代表未签字确认的视为默认开标结果。如开标过程中出现</w:t>
      </w:r>
      <w:r>
        <w:rPr>
          <w:rFonts w:ascii="宋体" w:hAnsi="宋体" w:eastAsia="宋体" w:cs="宋体"/>
          <w:color w:val="auto"/>
          <w:spacing w:val="-1"/>
          <w:sz w:val="24"/>
          <w:szCs w:val="24"/>
          <w:highlight w:val="none"/>
        </w:rPr>
        <w:t>需更正开标记录表的情况，招标人应通知所有投标人代表知晓，投</w:t>
      </w:r>
      <w:r>
        <w:rPr>
          <w:rFonts w:ascii="宋体" w:hAnsi="宋体" w:eastAsia="宋体" w:cs="宋体"/>
          <w:color w:val="auto"/>
          <w:spacing w:val="-2"/>
          <w:sz w:val="24"/>
          <w:szCs w:val="24"/>
          <w:highlight w:val="none"/>
        </w:rPr>
        <w:t>标人代表、招标人、</w:t>
      </w:r>
      <w:r>
        <w:rPr>
          <w:rFonts w:ascii="宋体" w:hAnsi="宋体" w:eastAsia="宋体" w:cs="宋体"/>
          <w:color w:val="auto"/>
          <w:spacing w:val="-1"/>
          <w:sz w:val="24"/>
          <w:szCs w:val="24"/>
          <w:highlight w:val="none"/>
        </w:rPr>
        <w:t>监标人（如有）、见证人（如有）等有关人员均应在更正后开标记</w:t>
      </w:r>
      <w:r>
        <w:rPr>
          <w:rFonts w:ascii="宋体" w:hAnsi="宋体" w:eastAsia="宋体" w:cs="宋体"/>
          <w:color w:val="auto"/>
          <w:spacing w:val="-2"/>
          <w:sz w:val="24"/>
          <w:szCs w:val="24"/>
          <w:highlight w:val="none"/>
        </w:rPr>
        <w:t>录上进行签字确认，</w:t>
      </w:r>
      <w:r>
        <w:rPr>
          <w:rFonts w:ascii="宋体" w:hAnsi="宋体" w:eastAsia="宋体" w:cs="宋体"/>
          <w:color w:val="auto"/>
          <w:spacing w:val="-3"/>
          <w:sz w:val="24"/>
          <w:szCs w:val="24"/>
          <w:highlight w:val="none"/>
        </w:rPr>
        <w:t>投标人代表未签字确认的视为默认更正结果。</w:t>
      </w:r>
    </w:p>
    <w:p w14:paraId="48EDE045">
      <w:pPr>
        <w:spacing w:before="1" w:line="289" w:lineRule="auto"/>
        <w:ind w:left="1431" w:right="1421"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（11）投标人对开标有异议的，应当在开标现场提出，招标人应当当场作出答复，并制作记录。未参加开标的投标人，视为对开标过程无异议。</w:t>
      </w:r>
    </w:p>
    <w:p w14:paraId="632688C4">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（12）开标会议结束。</w:t>
      </w:r>
    </w:p>
    <w:p w14:paraId="706764DA">
      <w:pPr>
        <w:spacing w:before="183" w:line="360" w:lineRule="auto"/>
        <w:ind w:left="1427" w:right="1416" w:firstLine="482"/>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5.2.4 若采用合理低价法或综合评分法，在投标文件第二个信封（报价文件）开标现场，招标人将按第三章“评标办法”规定的原则计算并宣布评标基准价。若招标人发现投标文件出现以下任一情况，其投标报价将不再参加评标基准价的计算：</w:t>
      </w:r>
    </w:p>
    <w:p w14:paraId="522E91AA">
      <w:pPr>
        <w:spacing w:line="218" w:lineRule="auto"/>
        <w:ind w:left="194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(1)未在报价函上填写投标总报价；</w:t>
      </w:r>
    </w:p>
    <w:p w14:paraId="0285F5B2">
      <w:pPr>
        <w:spacing w:before="184" w:line="218" w:lineRule="auto"/>
        <w:ind w:left="194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(2)投标总报价或调价函（如有）中投标总报价超出招标人公布的最高投标限价；</w:t>
      </w:r>
    </w:p>
    <w:p w14:paraId="2B645184">
      <w:pPr>
        <w:spacing w:before="185" w:line="218" w:lineRule="auto"/>
        <w:ind w:left="194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(3)投标总报价或调价函（如有）中投标总报价的大写金额无法确定具体数值；</w:t>
      </w:r>
    </w:p>
    <w:p w14:paraId="497CF977">
      <w:pPr>
        <w:spacing w:before="185" w:line="220"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(4)投标函上填写的标段号标记错误。</w:t>
      </w:r>
    </w:p>
    <w:p w14:paraId="1074419E">
      <w:pPr>
        <w:spacing w:before="181" w:line="360" w:lineRule="auto"/>
        <w:ind w:left="1424" w:right="1416" w:firstLine="484"/>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如果投标人认为某一标段的评标基准价计算有误，有权在开标现场提出，经招标人当场核实确认之后，可重新宣布评标基准价。开标现场宣布的评标基准价除计算有误经</w:t>
      </w:r>
      <w:r>
        <w:rPr>
          <w:rFonts w:ascii="宋体" w:hAnsi="宋体" w:eastAsia="宋体" w:cs="宋体"/>
          <w:color w:val="auto"/>
          <w:spacing w:val="-1"/>
          <w:sz w:val="24"/>
          <w:szCs w:val="24"/>
          <w:highlight w:val="none"/>
        </w:rPr>
        <w:t>评标委员会修正外，在整个评标期间保持不变，</w:t>
      </w:r>
      <w:r>
        <w:rPr>
          <w:rFonts w:ascii="宋体" w:hAnsi="宋体" w:eastAsia="宋体" w:cs="宋体"/>
          <w:color w:val="auto"/>
          <w:spacing w:val="-2"/>
          <w:sz w:val="24"/>
          <w:szCs w:val="24"/>
          <w:highlight w:val="none"/>
        </w:rPr>
        <w:t>不随任何因素发生变化。</w:t>
      </w:r>
    </w:p>
    <w:p w14:paraId="4B700A7B">
      <w:pPr>
        <w:spacing w:line="360" w:lineRule="auto"/>
        <w:ind w:left="1426"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5.2.5 在投标文件第一个信封（商务及技术文件）或第二个信封（报价文件）开标过程中，若招标人宣读的内容与投标文件不符时，投标人有权在开标现场提出异议，经</w:t>
      </w:r>
      <w:r>
        <w:rPr>
          <w:rFonts w:ascii="宋体" w:hAnsi="宋体" w:eastAsia="宋体" w:cs="宋体"/>
          <w:color w:val="auto"/>
          <w:spacing w:val="-6"/>
          <w:sz w:val="24"/>
          <w:szCs w:val="24"/>
          <w:highlight w:val="none"/>
        </w:rPr>
        <w:t>招标人当场核查确认之后，可重新宣读其投标文件。若投标人现场未提出异议</w:t>
      </w:r>
      <w:r>
        <w:rPr>
          <w:rFonts w:ascii="宋体" w:hAnsi="宋体" w:eastAsia="宋体" w:cs="宋体"/>
          <w:color w:val="auto"/>
          <w:spacing w:val="-7"/>
          <w:sz w:val="24"/>
          <w:szCs w:val="24"/>
          <w:highlight w:val="none"/>
        </w:rPr>
        <w:t>，</w:t>
      </w:r>
      <w:r>
        <w:rPr>
          <w:rFonts w:ascii="宋体" w:hAnsi="宋体" w:eastAsia="宋体" w:cs="宋体"/>
          <w:color w:val="auto"/>
          <w:spacing w:val="52"/>
          <w:sz w:val="24"/>
          <w:szCs w:val="24"/>
          <w:highlight w:val="none"/>
        </w:rPr>
        <w:t xml:space="preserve"> </w:t>
      </w:r>
      <w:r>
        <w:rPr>
          <w:rFonts w:ascii="宋体" w:hAnsi="宋体" w:eastAsia="宋体" w:cs="宋体"/>
          <w:color w:val="auto"/>
          <w:spacing w:val="-7"/>
          <w:sz w:val="24"/>
          <w:szCs w:val="24"/>
          <w:highlight w:val="none"/>
        </w:rPr>
        <w:t>则认为</w:t>
      </w:r>
      <w:r>
        <w:rPr>
          <w:rFonts w:ascii="宋体" w:hAnsi="宋体" w:eastAsia="宋体" w:cs="宋体"/>
          <w:color w:val="auto"/>
          <w:spacing w:val="-3"/>
          <w:sz w:val="24"/>
          <w:szCs w:val="24"/>
          <w:highlight w:val="none"/>
        </w:rPr>
        <w:t>投标人已确认招标人宣读的内容。</w:t>
      </w:r>
    </w:p>
    <w:p w14:paraId="76786432">
      <w:pPr>
        <w:spacing w:before="1" w:line="219" w:lineRule="auto"/>
        <w:ind w:left="143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5.3</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开标异议</w:t>
      </w:r>
    </w:p>
    <w:p w14:paraId="4AF0D270">
      <w:pPr>
        <w:spacing w:before="183" w:line="361" w:lineRule="auto"/>
        <w:ind w:left="1426" w:right="1229" w:firstLine="481"/>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投标人对开标有异议的，应在开标现场提出（采用电子化</w:t>
      </w:r>
      <w:r>
        <w:rPr>
          <w:rFonts w:ascii="宋体" w:hAnsi="宋体" w:eastAsia="宋体" w:cs="宋体"/>
          <w:color w:val="auto"/>
          <w:spacing w:val="-8"/>
          <w:sz w:val="24"/>
          <w:szCs w:val="24"/>
          <w:highlight w:val="none"/>
        </w:rPr>
        <w:t>开标的可在系统平台提出</w:t>
      </w:r>
      <w:r>
        <w:rPr>
          <w:rFonts w:ascii="宋体" w:hAnsi="宋体" w:eastAsia="宋体" w:cs="宋体"/>
          <w:color w:val="auto"/>
          <w:spacing w:val="-46"/>
          <w:sz w:val="24"/>
          <w:szCs w:val="24"/>
          <w:highlight w:val="none"/>
        </w:rPr>
        <w:t>），</w:t>
      </w:r>
      <w:r>
        <w:rPr>
          <w:rFonts w:ascii="宋体" w:hAnsi="宋体" w:eastAsia="宋体" w:cs="宋体"/>
          <w:color w:val="auto"/>
          <w:spacing w:val="-1"/>
          <w:sz w:val="24"/>
          <w:szCs w:val="24"/>
          <w:highlight w:val="none"/>
        </w:rPr>
        <w:t>招标人当场作出答复（采用电子化开标的可在系统平台答复</w:t>
      </w:r>
      <w:r>
        <w:rPr>
          <w:rFonts w:ascii="宋体" w:hAnsi="宋体" w:eastAsia="宋体" w:cs="宋体"/>
          <w:color w:val="auto"/>
          <w:spacing w:val="-12"/>
          <w:sz w:val="24"/>
          <w:szCs w:val="24"/>
          <w:highlight w:val="none"/>
        </w:rPr>
        <w:t>），</w:t>
      </w:r>
      <w:r>
        <w:rPr>
          <w:rFonts w:ascii="宋体" w:hAnsi="宋体" w:eastAsia="宋体" w:cs="宋体"/>
          <w:color w:val="auto"/>
          <w:spacing w:val="-1"/>
          <w:sz w:val="24"/>
          <w:szCs w:val="24"/>
          <w:highlight w:val="none"/>
        </w:rPr>
        <w:t>并制作记录，有异议的</w:t>
      </w:r>
      <w:r>
        <w:rPr>
          <w:rFonts w:ascii="宋体" w:hAnsi="宋体" w:eastAsia="宋体" w:cs="宋体"/>
          <w:color w:val="auto"/>
          <w:spacing w:val="-2"/>
          <w:sz w:val="24"/>
          <w:szCs w:val="24"/>
          <w:highlight w:val="none"/>
        </w:rPr>
        <w:t>投标人（现场如有）、招标人代表、记录人等有关人员在记录上签字确认。未参加开标</w:t>
      </w:r>
      <w:r>
        <w:rPr>
          <w:rFonts w:ascii="宋体" w:hAnsi="宋体" w:eastAsia="宋体" w:cs="宋体"/>
          <w:color w:val="auto"/>
          <w:spacing w:val="-3"/>
          <w:sz w:val="24"/>
          <w:szCs w:val="24"/>
          <w:highlight w:val="none"/>
        </w:rPr>
        <w:t>的投标人，视为对开标过程无异议。</w:t>
      </w:r>
    </w:p>
    <w:p w14:paraId="7DF761F2">
      <w:pPr>
        <w:spacing w:before="78" w:line="220" w:lineRule="auto"/>
        <w:ind w:left="143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5.4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开标补救措施</w:t>
      </w:r>
    </w:p>
    <w:p w14:paraId="484FAF86">
      <w:pPr>
        <w:spacing w:before="183" w:line="362"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5.4.1 开标过程中因出现以下情况，导致系统无法正常运行，应中止电子开标，并在恢复正常后及时安排时间开标。同时，做好后续开标的前期工作。</w:t>
      </w:r>
    </w:p>
    <w:p w14:paraId="5E873AD1">
      <w:pPr>
        <w:spacing w:before="78" w:line="220"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(1)系统服务器发生故障，无法访问或无法</w:t>
      </w:r>
      <w:r>
        <w:rPr>
          <w:rFonts w:ascii="宋体" w:hAnsi="宋体" w:eastAsia="宋体" w:cs="宋体"/>
          <w:color w:val="auto"/>
          <w:spacing w:val="-5"/>
          <w:sz w:val="24"/>
          <w:szCs w:val="24"/>
          <w:highlight w:val="none"/>
        </w:rPr>
        <w:t>使用系统；</w:t>
      </w:r>
    </w:p>
    <w:p w14:paraId="6B429722">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(2)系统的软件或数据库出现错误，不能进行正常操作；</w:t>
      </w:r>
    </w:p>
    <w:p w14:paraId="7A1B82E4">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(3)系统发现有安全漏洞，有潜在的泄密危险；</w:t>
      </w:r>
    </w:p>
    <w:p w14:paraId="7A07E849">
      <w:pPr>
        <w:spacing w:before="181" w:line="219"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(4)出现断电事故且短时间内无法恢复供电的；</w:t>
      </w:r>
    </w:p>
    <w:p w14:paraId="7EE5B4FF">
      <w:pPr>
        <w:spacing w:before="183" w:line="220"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(5)其他无法保证招投标过程正常进行的情形。</w:t>
      </w:r>
    </w:p>
    <w:p w14:paraId="6B81CA00">
      <w:pPr>
        <w:spacing w:before="182" w:line="219" w:lineRule="auto"/>
        <w:ind w:left="19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5.4.2 采取补救措施时，必须对原有资料及信息作出妥善保密处理。</w:t>
      </w:r>
    </w:p>
    <w:p w14:paraId="0CFC0CED">
      <w:pPr>
        <w:spacing w:before="184" w:line="220" w:lineRule="auto"/>
        <w:ind w:left="1427"/>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6.</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6"/>
          <w:sz w:val="24"/>
          <w:szCs w:val="24"/>
          <w:highlight w:val="none"/>
        </w:rPr>
        <w:t>评标</w:t>
      </w:r>
    </w:p>
    <w:p w14:paraId="40707EB3">
      <w:pPr>
        <w:spacing w:before="181" w:line="219" w:lineRule="auto"/>
        <w:ind w:left="1427"/>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6.1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评标委员会</w:t>
      </w:r>
    </w:p>
    <w:p w14:paraId="03B24DB4">
      <w:pPr>
        <w:spacing w:before="183" w:line="313" w:lineRule="auto"/>
        <w:ind w:left="1424" w:right="131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6.1.1 评标由招标人依法组建的评标委员会负责。评标委员会由招标人（或其委派）</w:t>
      </w:r>
      <w:r>
        <w:rPr>
          <w:rFonts w:ascii="宋体" w:hAnsi="宋体" w:eastAsia="宋体" w:cs="宋体"/>
          <w:color w:val="auto"/>
          <w:spacing w:val="-2"/>
          <w:sz w:val="24"/>
          <w:szCs w:val="24"/>
          <w:highlight w:val="none"/>
        </w:rPr>
        <w:t>代表（简称“招标人代表”</w:t>
      </w:r>
      <w:r>
        <w:rPr>
          <w:rFonts w:ascii="宋体" w:hAnsi="宋体" w:eastAsia="宋体" w:cs="宋体"/>
          <w:color w:val="auto"/>
          <w:spacing w:val="9"/>
          <w:sz w:val="24"/>
          <w:szCs w:val="24"/>
          <w:highlight w:val="none"/>
        </w:rPr>
        <w:t>），</w:t>
      </w:r>
      <w:r>
        <w:rPr>
          <w:rFonts w:ascii="宋体" w:hAnsi="宋体" w:eastAsia="宋体" w:cs="宋体"/>
          <w:color w:val="auto"/>
          <w:spacing w:val="-2"/>
          <w:sz w:val="24"/>
          <w:szCs w:val="24"/>
          <w:highlight w:val="none"/>
        </w:rPr>
        <w:t>以及有关技术、经济等方面的专家组成。评标委</w:t>
      </w:r>
      <w:r>
        <w:rPr>
          <w:rFonts w:ascii="宋体" w:hAnsi="宋体" w:eastAsia="宋体" w:cs="宋体"/>
          <w:color w:val="auto"/>
          <w:spacing w:val="-3"/>
          <w:sz w:val="24"/>
          <w:szCs w:val="24"/>
          <w:highlight w:val="none"/>
        </w:rPr>
        <w:t>员会成</w:t>
      </w:r>
      <w:r>
        <w:rPr>
          <w:rFonts w:ascii="宋体" w:hAnsi="宋体" w:eastAsia="宋体" w:cs="宋体"/>
          <w:color w:val="auto"/>
          <w:spacing w:val="-2"/>
          <w:sz w:val="24"/>
          <w:szCs w:val="24"/>
          <w:highlight w:val="none"/>
        </w:rPr>
        <w:t>员人数以及技术、经济等方面专家的确定方式见投标人须知前附表。</w:t>
      </w:r>
    </w:p>
    <w:p w14:paraId="77B9814E">
      <w:pPr>
        <w:spacing w:before="184" w:line="219" w:lineRule="auto"/>
        <w:ind w:left="190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6.1.2 评标委员会成员有下列情形之一的，应主动提出回</w:t>
      </w:r>
      <w:r>
        <w:rPr>
          <w:rFonts w:ascii="宋体" w:hAnsi="宋体" w:eastAsia="宋体" w:cs="宋体"/>
          <w:color w:val="auto"/>
          <w:spacing w:val="-3"/>
          <w:sz w:val="24"/>
          <w:szCs w:val="24"/>
          <w:highlight w:val="none"/>
        </w:rPr>
        <w:t>避：</w:t>
      </w:r>
    </w:p>
    <w:p w14:paraId="04B6ABA9">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（1）为负责招标项目监督管理的交通运输主管部门的工作人员；</w:t>
      </w:r>
    </w:p>
    <w:p w14:paraId="02696199">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（2）与投标人法定代表人或者授权参与投标的代理人有近亲属关系的</w:t>
      </w:r>
      <w:r>
        <w:rPr>
          <w:rFonts w:ascii="宋体" w:hAnsi="宋体" w:eastAsia="宋体" w:cs="宋体"/>
          <w:color w:val="auto"/>
          <w:spacing w:val="-3"/>
          <w:sz w:val="24"/>
          <w:szCs w:val="24"/>
          <w:highlight w:val="none"/>
        </w:rPr>
        <w:t>人员；</w:t>
      </w:r>
    </w:p>
    <w:p w14:paraId="18990C2C">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（3）为投标人的工作人员或退休或离职未满</w:t>
      </w:r>
      <w:r>
        <w:rPr>
          <w:rFonts w:ascii="宋体" w:hAnsi="宋体" w:eastAsia="宋体" w:cs="宋体"/>
          <w:color w:val="auto"/>
          <w:spacing w:val="-27"/>
          <w:sz w:val="24"/>
          <w:szCs w:val="24"/>
          <w:highlight w:val="none"/>
        </w:rPr>
        <w:t xml:space="preserve"> </w:t>
      </w:r>
      <w:r>
        <w:rPr>
          <w:rFonts w:ascii="宋体" w:hAnsi="宋体" w:eastAsia="宋体" w:cs="宋体"/>
          <w:color w:val="auto"/>
          <w:spacing w:val="-4"/>
          <w:sz w:val="24"/>
          <w:szCs w:val="24"/>
          <w:highlight w:val="none"/>
        </w:rPr>
        <w:t>3</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年的人员；</w:t>
      </w:r>
    </w:p>
    <w:p w14:paraId="6303623F">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（4）与投标人有其他利害关系，可能影响评标活动公正性；</w:t>
      </w:r>
    </w:p>
    <w:p w14:paraId="44A530BE">
      <w:pPr>
        <w:spacing w:before="182" w:line="290" w:lineRule="auto"/>
        <w:ind w:left="1906" w:right="1331" w:firstLine="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（5）在与招标投标有关的活动中有过违法违规行为、曾受过行政处罚或刑事处罚。</w:t>
      </w:r>
      <w:r>
        <w:rPr>
          <w:rFonts w:ascii="宋体" w:hAnsi="宋体" w:eastAsia="宋体" w:cs="宋体"/>
          <w:color w:val="auto"/>
          <w:spacing w:val="-2"/>
          <w:sz w:val="24"/>
          <w:szCs w:val="24"/>
          <w:highlight w:val="none"/>
        </w:rPr>
        <w:t>招标人及其子公司、招标人下属单位、招标人的上级主管部门或者控股公司、招标</w:t>
      </w:r>
    </w:p>
    <w:p w14:paraId="24DEF0B2">
      <w:pPr>
        <w:spacing w:before="182" w:line="360" w:lineRule="auto"/>
        <w:ind w:left="1428" w:right="1412" w:hanging="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代理机构的工作人员或者退休人员不得以评标专家身份参与本单位招标或者招标代理</w:t>
      </w:r>
      <w:r>
        <w:rPr>
          <w:rFonts w:ascii="宋体" w:hAnsi="宋体" w:eastAsia="宋体" w:cs="宋体"/>
          <w:color w:val="auto"/>
          <w:spacing w:val="-7"/>
          <w:sz w:val="24"/>
          <w:szCs w:val="24"/>
          <w:highlight w:val="none"/>
        </w:rPr>
        <w:t>项目的评标。</w:t>
      </w:r>
    </w:p>
    <w:p w14:paraId="164D92C3">
      <w:pPr>
        <w:spacing w:line="360" w:lineRule="auto"/>
        <w:ind w:left="1428" w:right="1416" w:firstLine="479"/>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6.1.3 评标过程中，评标委员会成员有回避事由、擅离职守或因健康等原因不能继</w:t>
      </w:r>
      <w:r>
        <w:rPr>
          <w:rFonts w:ascii="宋体" w:hAnsi="宋体" w:eastAsia="宋体" w:cs="宋体"/>
          <w:color w:val="auto"/>
          <w:spacing w:val="-7"/>
          <w:sz w:val="24"/>
          <w:szCs w:val="24"/>
          <w:highlight w:val="none"/>
        </w:rPr>
        <w:t>续评标的，招标人有权更换。被更换的评标委员会成员作出的评审结论无效，</w:t>
      </w:r>
      <w:r>
        <w:rPr>
          <w:rFonts w:ascii="宋体" w:hAnsi="宋体" w:eastAsia="宋体" w:cs="宋体"/>
          <w:color w:val="auto"/>
          <w:spacing w:val="84"/>
          <w:sz w:val="24"/>
          <w:szCs w:val="24"/>
          <w:highlight w:val="none"/>
        </w:rPr>
        <w:t xml:space="preserve"> </w:t>
      </w:r>
      <w:r>
        <w:rPr>
          <w:rFonts w:ascii="宋体" w:hAnsi="宋体" w:eastAsia="宋体" w:cs="宋体"/>
          <w:color w:val="auto"/>
          <w:spacing w:val="-7"/>
          <w:sz w:val="24"/>
          <w:szCs w:val="24"/>
          <w:highlight w:val="none"/>
        </w:rPr>
        <w:t>由更换后</w:t>
      </w:r>
      <w:r>
        <w:rPr>
          <w:rFonts w:ascii="宋体" w:hAnsi="宋体" w:eastAsia="宋体" w:cs="宋体"/>
          <w:color w:val="auto"/>
          <w:spacing w:val="-3"/>
          <w:sz w:val="24"/>
          <w:szCs w:val="24"/>
          <w:highlight w:val="none"/>
        </w:rPr>
        <w:t>的评标委员会成员重新进行评审。</w:t>
      </w:r>
    </w:p>
    <w:p w14:paraId="7439AEC4">
      <w:pPr>
        <w:spacing w:line="220" w:lineRule="auto"/>
        <w:ind w:left="1427"/>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6.2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评标原则</w:t>
      </w:r>
    </w:p>
    <w:p w14:paraId="517DCF5F">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评标活动遵循公平、公正、科学和择优的原则。</w:t>
      </w:r>
    </w:p>
    <w:p w14:paraId="525799DD">
      <w:pPr>
        <w:spacing w:before="184" w:line="220" w:lineRule="auto"/>
        <w:ind w:left="1427"/>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6.3</w:t>
      </w:r>
      <w:r>
        <w:rPr>
          <w:rFonts w:ascii="宋体" w:hAnsi="宋体" w:eastAsia="宋体" w:cs="宋体"/>
          <w:color w:val="auto"/>
          <w:spacing w:val="12"/>
          <w:sz w:val="24"/>
          <w:szCs w:val="24"/>
          <w:highlight w:val="none"/>
        </w:rPr>
        <w:t xml:space="preserve"> </w:t>
      </w:r>
      <w:r>
        <w:rPr>
          <w:rFonts w:ascii="宋体" w:hAnsi="宋体" w:eastAsia="宋体" w:cs="宋体"/>
          <w:b/>
          <w:bCs/>
          <w:color w:val="auto"/>
          <w:spacing w:val="-6"/>
          <w:sz w:val="24"/>
          <w:szCs w:val="24"/>
          <w:highlight w:val="none"/>
        </w:rPr>
        <w:t>评标</w:t>
      </w:r>
    </w:p>
    <w:p w14:paraId="01A41336">
      <w:pPr>
        <w:spacing w:before="181" w:line="313" w:lineRule="auto"/>
        <w:ind w:left="1426" w:right="1414"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6.3.1 评标委员会按照第三章“评标办法”规定的方法、评审因素、标准和程序对</w:t>
      </w:r>
      <w:r>
        <w:rPr>
          <w:rFonts w:ascii="宋体" w:hAnsi="宋体" w:eastAsia="宋体" w:cs="宋体"/>
          <w:color w:val="auto"/>
          <w:spacing w:val="-6"/>
          <w:sz w:val="24"/>
          <w:szCs w:val="24"/>
          <w:highlight w:val="none"/>
        </w:rPr>
        <w:t>投标文件进行评审。第三章“评标办法”没有规定的方法、评审因素和</w:t>
      </w:r>
      <w:r>
        <w:rPr>
          <w:rFonts w:ascii="宋体" w:hAnsi="宋体" w:eastAsia="宋体" w:cs="宋体"/>
          <w:color w:val="auto"/>
          <w:spacing w:val="-7"/>
          <w:sz w:val="24"/>
          <w:szCs w:val="24"/>
          <w:highlight w:val="none"/>
        </w:rPr>
        <w:t>标准，</w:t>
      </w:r>
      <w:r>
        <w:rPr>
          <w:rFonts w:ascii="宋体" w:hAnsi="宋体" w:eastAsia="宋体" w:cs="宋体"/>
          <w:color w:val="auto"/>
          <w:spacing w:val="57"/>
          <w:sz w:val="24"/>
          <w:szCs w:val="24"/>
          <w:highlight w:val="none"/>
        </w:rPr>
        <w:t xml:space="preserve"> </w:t>
      </w:r>
      <w:r>
        <w:rPr>
          <w:rFonts w:ascii="宋体" w:hAnsi="宋体" w:eastAsia="宋体" w:cs="宋体"/>
          <w:color w:val="auto"/>
          <w:spacing w:val="-7"/>
          <w:sz w:val="24"/>
          <w:szCs w:val="24"/>
          <w:highlight w:val="none"/>
        </w:rPr>
        <w:t>不作为评</w:t>
      </w:r>
      <w:r>
        <w:rPr>
          <w:rFonts w:ascii="宋体" w:hAnsi="宋体" w:eastAsia="宋体" w:cs="宋体"/>
          <w:color w:val="auto"/>
          <w:spacing w:val="-9"/>
          <w:sz w:val="24"/>
          <w:szCs w:val="24"/>
          <w:highlight w:val="none"/>
        </w:rPr>
        <w:t>标依据。</w:t>
      </w:r>
    </w:p>
    <w:p w14:paraId="6109A495">
      <w:pPr>
        <w:spacing w:before="184" w:line="218" w:lineRule="auto"/>
        <w:ind w:left="1907"/>
        <w:rPr>
          <w:color w:val="auto"/>
          <w:highlight w:val="none"/>
        </w:rPr>
      </w:pPr>
      <w:r>
        <w:rPr>
          <w:rFonts w:ascii="宋体" w:hAnsi="宋体" w:eastAsia="宋体" w:cs="宋体"/>
          <w:color w:val="auto"/>
          <w:spacing w:val="-1"/>
          <w:sz w:val="24"/>
          <w:szCs w:val="24"/>
          <w:highlight w:val="none"/>
        </w:rPr>
        <w:t>6.3.2 评标完成后，评标委员会应向招标人提交书面评标报告和中</w:t>
      </w:r>
      <w:r>
        <w:rPr>
          <w:rFonts w:ascii="宋体" w:hAnsi="宋体" w:eastAsia="宋体" w:cs="宋体"/>
          <w:color w:val="auto"/>
          <w:spacing w:val="-2"/>
          <w:sz w:val="24"/>
          <w:szCs w:val="24"/>
          <w:highlight w:val="none"/>
        </w:rPr>
        <w:t>标候选人名单。</w:t>
      </w:r>
    </w:p>
    <w:p w14:paraId="38DD6FC8">
      <w:pPr>
        <w:spacing w:before="78" w:line="219" w:lineRule="auto"/>
        <w:ind w:left="1424"/>
        <w:rPr>
          <w:rFonts w:ascii="宋体" w:hAnsi="宋体" w:eastAsia="宋体" w:cs="宋体"/>
          <w:color w:val="auto"/>
          <w:sz w:val="24"/>
          <w:szCs w:val="24"/>
          <w:highlight w:val="none"/>
        </w:rPr>
      </w:pPr>
      <w:bookmarkStart w:id="15" w:name="bookmark22"/>
      <w:bookmarkEnd w:id="15"/>
      <w:r>
        <w:rPr>
          <w:rFonts w:ascii="宋体" w:hAnsi="宋体" w:eastAsia="宋体" w:cs="宋体"/>
          <w:color w:val="auto"/>
          <w:spacing w:val="-2"/>
          <w:sz w:val="24"/>
          <w:szCs w:val="24"/>
          <w:highlight w:val="none"/>
        </w:rPr>
        <w:t>评标委员会推荐中标候选人的人数见投标人须知前附表。</w:t>
      </w:r>
    </w:p>
    <w:p w14:paraId="6EF5B9FC">
      <w:pPr>
        <w:spacing w:before="182" w:line="220" w:lineRule="auto"/>
        <w:ind w:left="190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6.3.3 评标及补救措施</w:t>
      </w:r>
    </w:p>
    <w:p w14:paraId="0FFC7F2D">
      <w:pPr>
        <w:spacing w:before="182" w:line="360" w:lineRule="auto"/>
        <w:ind w:left="1425" w:right="1415"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评标委员会按照本章第</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6.3.1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项的规定在电子评标系统上开展评审工</w:t>
      </w:r>
      <w:r>
        <w:rPr>
          <w:rFonts w:ascii="宋体" w:hAnsi="宋体" w:eastAsia="宋体" w:cs="宋体"/>
          <w:color w:val="auto"/>
          <w:spacing w:val="-3"/>
          <w:sz w:val="24"/>
          <w:szCs w:val="24"/>
          <w:highlight w:val="none"/>
        </w:rPr>
        <w:t>作。若遇不可</w:t>
      </w:r>
      <w:r>
        <w:rPr>
          <w:rFonts w:ascii="宋体" w:hAnsi="宋体" w:eastAsia="宋体" w:cs="宋体"/>
          <w:color w:val="auto"/>
          <w:spacing w:val="-5"/>
          <w:sz w:val="24"/>
          <w:szCs w:val="24"/>
          <w:highlight w:val="none"/>
        </w:rPr>
        <w:t>抗力发生（包括网络瘫痪、服务器损坏、交易系统故障短</w:t>
      </w:r>
      <w:r>
        <w:rPr>
          <w:rFonts w:ascii="宋体" w:hAnsi="宋体" w:eastAsia="宋体" w:cs="宋体"/>
          <w:color w:val="auto"/>
          <w:spacing w:val="-6"/>
          <w:sz w:val="24"/>
          <w:szCs w:val="24"/>
          <w:highlight w:val="none"/>
        </w:rPr>
        <w:t>期无法恢复等因素</w:t>
      </w:r>
      <w:r>
        <w:rPr>
          <w:rFonts w:ascii="宋体" w:hAnsi="宋体" w:eastAsia="宋体" w:cs="宋体"/>
          <w:color w:val="auto"/>
          <w:spacing w:val="-11"/>
          <w:sz w:val="24"/>
          <w:szCs w:val="24"/>
          <w:highlight w:val="none"/>
        </w:rPr>
        <w:t>）</w:t>
      </w:r>
      <w:r>
        <w:rPr>
          <w:rFonts w:ascii="宋体" w:hAnsi="宋体" w:eastAsia="宋体" w:cs="宋体"/>
          <w:color w:val="auto"/>
          <w:spacing w:val="35"/>
          <w:sz w:val="24"/>
          <w:szCs w:val="24"/>
          <w:highlight w:val="none"/>
        </w:rPr>
        <w:t xml:space="preserve"> </w:t>
      </w:r>
      <w:r>
        <w:rPr>
          <w:rFonts w:ascii="宋体" w:hAnsi="宋体" w:eastAsia="宋体" w:cs="宋体"/>
          <w:color w:val="auto"/>
          <w:spacing w:val="-11"/>
          <w:sz w:val="24"/>
          <w:szCs w:val="24"/>
          <w:highlight w:val="none"/>
        </w:rPr>
        <w:t>，</w:t>
      </w:r>
      <w:r>
        <w:rPr>
          <w:rFonts w:ascii="宋体" w:hAnsi="宋体" w:eastAsia="宋体" w:cs="宋体"/>
          <w:color w:val="auto"/>
          <w:spacing w:val="-6"/>
          <w:sz w:val="24"/>
          <w:szCs w:val="24"/>
          <w:highlight w:val="none"/>
        </w:rPr>
        <w:t>导致系</w:t>
      </w:r>
      <w:r>
        <w:rPr>
          <w:rFonts w:ascii="宋体" w:hAnsi="宋体" w:eastAsia="宋体" w:cs="宋体"/>
          <w:color w:val="auto"/>
          <w:spacing w:val="-2"/>
          <w:sz w:val="24"/>
          <w:szCs w:val="24"/>
          <w:highlight w:val="none"/>
        </w:rPr>
        <w:t>统无法正常运行，应中止评标，并在恢复正常后及时安排时间评标。</w:t>
      </w:r>
    </w:p>
    <w:p w14:paraId="1CCA4F66">
      <w:pPr>
        <w:spacing w:before="1" w:line="220" w:lineRule="auto"/>
        <w:ind w:left="1431"/>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7.</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7"/>
          <w:sz w:val="24"/>
          <w:szCs w:val="24"/>
          <w:highlight w:val="none"/>
        </w:rPr>
        <w:t>合同授予</w:t>
      </w:r>
    </w:p>
    <w:p w14:paraId="12332CEF">
      <w:pPr>
        <w:spacing w:before="180" w:line="220" w:lineRule="auto"/>
        <w:ind w:left="1431"/>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7.1</w:t>
      </w:r>
      <w:r>
        <w:rPr>
          <w:rFonts w:ascii="宋体" w:hAnsi="宋体" w:eastAsia="宋体" w:cs="宋体"/>
          <w:color w:val="auto"/>
          <w:spacing w:val="40"/>
          <w:sz w:val="24"/>
          <w:szCs w:val="24"/>
          <w:highlight w:val="none"/>
        </w:rPr>
        <w:t xml:space="preserve"> </w:t>
      </w:r>
      <w:r>
        <w:rPr>
          <w:rFonts w:ascii="宋体" w:hAnsi="宋体" w:eastAsia="宋体" w:cs="宋体"/>
          <w:b/>
          <w:bCs/>
          <w:color w:val="auto"/>
          <w:spacing w:val="-7"/>
          <w:sz w:val="24"/>
          <w:szCs w:val="24"/>
          <w:highlight w:val="none"/>
        </w:rPr>
        <w:t>中标候选人公示</w:t>
      </w:r>
    </w:p>
    <w:p w14:paraId="7476BF1A">
      <w:pPr>
        <w:spacing w:before="183" w:line="360" w:lineRule="auto"/>
        <w:ind w:left="1425" w:right="1416" w:firstLine="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7.1.1</w:t>
      </w:r>
      <w:r>
        <w:rPr>
          <w:rFonts w:ascii="宋体" w:hAnsi="宋体" w:eastAsia="宋体" w:cs="宋体"/>
          <w:color w:val="auto"/>
          <w:spacing w:val="-40"/>
          <w:sz w:val="24"/>
          <w:szCs w:val="24"/>
          <w:highlight w:val="none"/>
        </w:rPr>
        <w:t xml:space="preserve"> </w:t>
      </w:r>
      <w:r>
        <w:rPr>
          <w:rFonts w:ascii="宋体" w:hAnsi="宋体" w:eastAsia="宋体" w:cs="宋体"/>
          <w:color w:val="auto"/>
          <w:spacing w:val="-5"/>
          <w:sz w:val="24"/>
          <w:szCs w:val="24"/>
          <w:highlight w:val="none"/>
        </w:rPr>
        <w:t>招标人在收到评标报告之日起3日内，按照投标人须知前附表规定的公示媒</w:t>
      </w:r>
      <w:r>
        <w:rPr>
          <w:rFonts w:ascii="宋体" w:hAnsi="宋体" w:eastAsia="宋体" w:cs="宋体"/>
          <w:color w:val="auto"/>
          <w:spacing w:val="-4"/>
          <w:sz w:val="24"/>
          <w:szCs w:val="24"/>
          <w:highlight w:val="none"/>
        </w:rPr>
        <w:t>介和期限公示中标候选人，公示期不得少于3日，公示内容包括：</w:t>
      </w:r>
    </w:p>
    <w:p w14:paraId="5430A647">
      <w:pPr>
        <w:spacing w:line="290" w:lineRule="auto"/>
        <w:ind w:left="1425" w:right="1427"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（1）中标候选人排序、名称、投标报价，对工程质量要求、安全目标和工期的响</w:t>
      </w:r>
      <w:r>
        <w:rPr>
          <w:rFonts w:ascii="宋体" w:hAnsi="宋体" w:eastAsia="宋体" w:cs="宋体"/>
          <w:color w:val="auto"/>
          <w:spacing w:val="-13"/>
          <w:sz w:val="24"/>
          <w:szCs w:val="24"/>
          <w:highlight w:val="none"/>
        </w:rPr>
        <w:t>应情况；</w:t>
      </w:r>
    </w:p>
    <w:p w14:paraId="3987B355">
      <w:pPr>
        <w:spacing w:before="183" w:line="289" w:lineRule="auto"/>
        <w:ind w:left="1428" w:right="1425"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（2）中标候选人在投标文件中承诺的项目经理（含备选人，</w:t>
      </w:r>
      <w:r>
        <w:rPr>
          <w:rFonts w:ascii="宋体" w:hAnsi="宋体" w:eastAsia="宋体" w:cs="宋体"/>
          <w:color w:val="auto"/>
          <w:spacing w:val="-6"/>
          <w:sz w:val="24"/>
          <w:szCs w:val="24"/>
          <w:highlight w:val="none"/>
        </w:rPr>
        <w:t>如有）和项目总工（含</w:t>
      </w:r>
      <w:r>
        <w:rPr>
          <w:rFonts w:ascii="宋体" w:hAnsi="宋体" w:eastAsia="宋体" w:cs="宋体"/>
          <w:color w:val="auto"/>
          <w:spacing w:val="-3"/>
          <w:sz w:val="24"/>
          <w:szCs w:val="24"/>
          <w:highlight w:val="none"/>
        </w:rPr>
        <w:t>备选人，如有）姓名、个人业绩、相关证书名称和编号；</w:t>
      </w:r>
    </w:p>
    <w:p w14:paraId="5A20A296">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（3）中标候选人在投标文件中填报的项目业绩；</w:t>
      </w:r>
    </w:p>
    <w:p w14:paraId="22AF5B3F">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（4）被否决投标的投标人名称、否决依据和原因；</w:t>
      </w:r>
    </w:p>
    <w:p w14:paraId="0D67C12D">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（5）提出异议的渠道和方式；</w:t>
      </w:r>
    </w:p>
    <w:p w14:paraId="5F2543BF">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（6）投标人须知前附表规定公示的其他内容。</w:t>
      </w:r>
    </w:p>
    <w:p w14:paraId="3CF841C5">
      <w:pPr>
        <w:spacing w:before="183" w:line="220" w:lineRule="auto"/>
        <w:ind w:left="143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7.2</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评标结果异议</w:t>
      </w:r>
    </w:p>
    <w:p w14:paraId="5A7274B5">
      <w:pPr>
        <w:spacing w:before="182" w:line="360" w:lineRule="auto"/>
        <w:ind w:left="1425" w:right="1248" w:firstLine="482"/>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投标人或其他利害关系人对依法必须进行招标的项目的评标结果有异议的，应在中</w:t>
      </w:r>
      <w:r>
        <w:rPr>
          <w:rFonts w:ascii="宋体" w:hAnsi="宋体" w:eastAsia="宋体" w:cs="宋体"/>
          <w:color w:val="auto"/>
          <w:spacing w:val="-3"/>
          <w:sz w:val="24"/>
          <w:szCs w:val="24"/>
          <w:highlight w:val="none"/>
        </w:rPr>
        <w:t>标候选人公示期间提出。招标人将在收到异议之日起</w:t>
      </w:r>
      <w:r>
        <w:rPr>
          <w:rFonts w:ascii="宋体" w:hAnsi="宋体" w:eastAsia="宋体" w:cs="宋体"/>
          <w:color w:val="auto"/>
          <w:spacing w:val="-4"/>
          <w:sz w:val="24"/>
          <w:szCs w:val="24"/>
          <w:highlight w:val="none"/>
        </w:rPr>
        <w:t>3日内作出答复；作出答复前，将</w:t>
      </w:r>
      <w:r>
        <w:rPr>
          <w:rFonts w:ascii="宋体" w:hAnsi="宋体" w:eastAsia="宋体" w:cs="宋体"/>
          <w:color w:val="auto"/>
          <w:spacing w:val="3"/>
          <w:sz w:val="24"/>
          <w:szCs w:val="24"/>
          <w:highlight w:val="none"/>
        </w:rPr>
        <w:t>暂停招标投标活动。提出异议与作出答复均应通过</w:t>
      </w:r>
      <w:r>
        <w:rPr>
          <w:rFonts w:hint="eastAsia" w:ascii="宋体" w:hAnsi="宋体" w:eastAsia="宋体" w:cs="宋体"/>
          <w:color w:val="auto"/>
          <w:spacing w:val="3"/>
          <w:sz w:val="24"/>
          <w:szCs w:val="24"/>
          <w:highlight w:val="none"/>
        </w:rPr>
        <w:t>广州交易集团有限公司（广州公共资源交易中心）</w:t>
      </w:r>
      <w:r>
        <w:rPr>
          <w:rFonts w:ascii="宋体" w:hAnsi="宋体" w:eastAsia="宋体" w:cs="宋体"/>
          <w:color w:val="auto"/>
          <w:spacing w:val="3"/>
          <w:sz w:val="24"/>
          <w:szCs w:val="24"/>
          <w:highlight w:val="none"/>
        </w:rPr>
        <w:t>在“异</w:t>
      </w:r>
      <w:r>
        <w:rPr>
          <w:rFonts w:ascii="宋体" w:hAnsi="宋体" w:eastAsia="宋体" w:cs="宋体"/>
          <w:color w:val="auto"/>
          <w:spacing w:val="2"/>
          <w:sz w:val="24"/>
          <w:szCs w:val="24"/>
          <w:highlight w:val="none"/>
        </w:rPr>
        <w:t>议与答复”</w:t>
      </w:r>
      <w:r>
        <w:rPr>
          <w:rFonts w:ascii="宋体" w:hAnsi="宋体" w:eastAsia="宋体" w:cs="宋体"/>
          <w:color w:val="auto"/>
          <w:spacing w:val="-4"/>
          <w:sz w:val="24"/>
          <w:szCs w:val="24"/>
          <w:highlight w:val="none"/>
        </w:rPr>
        <w:t>菜单以书面形式进行。</w:t>
      </w:r>
    </w:p>
    <w:p w14:paraId="14166018">
      <w:pPr>
        <w:spacing w:before="1" w:line="219" w:lineRule="auto"/>
        <w:ind w:left="143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7.3</w:t>
      </w:r>
      <w:r>
        <w:rPr>
          <w:rFonts w:ascii="宋体" w:hAnsi="宋体" w:eastAsia="宋体" w:cs="宋体"/>
          <w:color w:val="auto"/>
          <w:spacing w:val="44"/>
          <w:sz w:val="24"/>
          <w:szCs w:val="24"/>
          <w:highlight w:val="none"/>
        </w:rPr>
        <w:t xml:space="preserve"> </w:t>
      </w:r>
      <w:r>
        <w:rPr>
          <w:rFonts w:ascii="宋体" w:hAnsi="宋体" w:eastAsia="宋体" w:cs="宋体"/>
          <w:b/>
          <w:bCs/>
          <w:color w:val="auto"/>
          <w:spacing w:val="-6"/>
          <w:sz w:val="24"/>
          <w:szCs w:val="24"/>
          <w:highlight w:val="none"/>
        </w:rPr>
        <w:t>中标候选人履约能力审查</w:t>
      </w:r>
    </w:p>
    <w:p w14:paraId="361D3232">
      <w:pPr>
        <w:spacing w:before="182" w:line="360" w:lineRule="auto"/>
        <w:ind w:left="1426" w:right="1416" w:firstLine="501"/>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中标候选人的经营、财务状况发生较大变化或存</w:t>
      </w:r>
      <w:r>
        <w:rPr>
          <w:rFonts w:ascii="宋体" w:hAnsi="宋体" w:eastAsia="宋体" w:cs="宋体"/>
          <w:color w:val="auto"/>
          <w:spacing w:val="-6"/>
          <w:sz w:val="24"/>
          <w:szCs w:val="24"/>
          <w:highlight w:val="none"/>
        </w:rPr>
        <w:t>在违法行为， 招标人认为可能影响</w:t>
      </w:r>
      <w:r>
        <w:rPr>
          <w:rFonts w:ascii="宋体" w:hAnsi="宋体" w:eastAsia="宋体" w:cs="宋体"/>
          <w:color w:val="auto"/>
          <w:spacing w:val="-2"/>
          <w:sz w:val="24"/>
          <w:szCs w:val="24"/>
          <w:highlight w:val="none"/>
        </w:rPr>
        <w:t>其履约能力的，将在发出中标通知书前提请原评标委员会按照招标文件规定的标准和方</w:t>
      </w:r>
      <w:r>
        <w:rPr>
          <w:rFonts w:ascii="宋体" w:hAnsi="宋体" w:eastAsia="宋体" w:cs="宋体"/>
          <w:color w:val="auto"/>
          <w:spacing w:val="-5"/>
          <w:sz w:val="24"/>
          <w:szCs w:val="24"/>
          <w:highlight w:val="none"/>
        </w:rPr>
        <w:t>法进行审查确认。</w:t>
      </w:r>
    </w:p>
    <w:p w14:paraId="74BB3665">
      <w:pPr>
        <w:spacing w:before="1" w:line="220" w:lineRule="auto"/>
        <w:ind w:left="1431"/>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7.4</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7"/>
          <w:sz w:val="24"/>
          <w:szCs w:val="24"/>
          <w:highlight w:val="none"/>
        </w:rPr>
        <w:t>定标</w:t>
      </w:r>
    </w:p>
    <w:p w14:paraId="536638BF">
      <w:pPr>
        <w:spacing w:before="181" w:line="219" w:lineRule="auto"/>
        <w:ind w:left="19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按照投标人须知前附表的规定，招标人或招标人授权的评标委员会依法确定中标人。</w:t>
      </w:r>
    </w:p>
    <w:p w14:paraId="78970F34">
      <w:pPr>
        <w:spacing w:before="184" w:line="220" w:lineRule="auto"/>
        <w:ind w:left="1431"/>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7.5</w:t>
      </w:r>
      <w:r>
        <w:rPr>
          <w:rFonts w:ascii="宋体" w:hAnsi="宋体" w:eastAsia="宋体" w:cs="宋体"/>
          <w:color w:val="auto"/>
          <w:spacing w:val="33"/>
          <w:sz w:val="24"/>
          <w:szCs w:val="24"/>
          <w:highlight w:val="none"/>
        </w:rPr>
        <w:t xml:space="preserve"> </w:t>
      </w:r>
      <w:r>
        <w:rPr>
          <w:rFonts w:ascii="宋体" w:hAnsi="宋体" w:eastAsia="宋体" w:cs="宋体"/>
          <w:b/>
          <w:bCs/>
          <w:color w:val="auto"/>
          <w:spacing w:val="-8"/>
          <w:sz w:val="24"/>
          <w:szCs w:val="24"/>
          <w:highlight w:val="none"/>
        </w:rPr>
        <w:t>中标通知</w:t>
      </w:r>
    </w:p>
    <w:p w14:paraId="28FD9301">
      <w:pPr>
        <w:spacing w:before="181"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在本章第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3.3</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款规定的投标有效期内，招标人以投标人须知前附</w:t>
      </w:r>
      <w:r>
        <w:rPr>
          <w:rFonts w:ascii="宋体" w:hAnsi="宋体" w:eastAsia="宋体" w:cs="宋体"/>
          <w:color w:val="auto"/>
          <w:spacing w:val="-3"/>
          <w:sz w:val="24"/>
          <w:szCs w:val="24"/>
          <w:highlight w:val="none"/>
        </w:rPr>
        <w:t>表规定的形式向中</w:t>
      </w:r>
    </w:p>
    <w:p w14:paraId="0496F694">
      <w:pPr>
        <w:spacing w:before="78" w:line="219" w:lineRule="auto"/>
        <w:ind w:left="142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标人发出中标通知书，同时将中标结果通知未中标的投标人。</w:t>
      </w:r>
    </w:p>
    <w:p w14:paraId="634334F7">
      <w:pPr>
        <w:spacing w:before="183" w:line="218" w:lineRule="auto"/>
        <w:ind w:left="1431"/>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7.6</w:t>
      </w:r>
      <w:r>
        <w:rPr>
          <w:rFonts w:ascii="宋体" w:hAnsi="宋体" w:eastAsia="宋体" w:cs="宋体"/>
          <w:color w:val="auto"/>
          <w:spacing w:val="35"/>
          <w:sz w:val="24"/>
          <w:szCs w:val="24"/>
          <w:highlight w:val="none"/>
        </w:rPr>
        <w:t xml:space="preserve"> </w:t>
      </w:r>
      <w:r>
        <w:rPr>
          <w:rFonts w:ascii="宋体" w:hAnsi="宋体" w:eastAsia="宋体" w:cs="宋体"/>
          <w:b/>
          <w:bCs/>
          <w:color w:val="auto"/>
          <w:spacing w:val="-7"/>
          <w:sz w:val="24"/>
          <w:szCs w:val="24"/>
          <w:highlight w:val="none"/>
        </w:rPr>
        <w:t>中标结果公告</w:t>
      </w:r>
    </w:p>
    <w:p w14:paraId="5BCEF943">
      <w:pPr>
        <w:spacing w:before="184" w:line="360" w:lineRule="auto"/>
        <w:ind w:left="1432" w:right="1416" w:firstLine="47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招标人在确定中标人之日起</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3 日内，按照投标人须知前附表规定的公告媒介和期限公告中标结果，公告期不得少于</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3 日。公告内容包括中标人名称、中标价。</w:t>
      </w:r>
    </w:p>
    <w:p w14:paraId="68194429">
      <w:pPr>
        <w:spacing w:line="220" w:lineRule="auto"/>
        <w:ind w:left="1431"/>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7.7</w:t>
      </w:r>
      <w:r>
        <w:rPr>
          <w:rFonts w:ascii="宋体" w:hAnsi="宋体" w:eastAsia="宋体" w:cs="宋体"/>
          <w:strike/>
          <w:dstrike w:val="0"/>
          <w:color w:val="auto"/>
          <w:spacing w:val="-4"/>
          <w:sz w:val="24"/>
          <w:szCs w:val="24"/>
          <w:highlight w:val="none"/>
        </w:rPr>
        <w:t xml:space="preserve"> </w:t>
      </w:r>
      <w:r>
        <w:rPr>
          <w:rFonts w:ascii="宋体" w:hAnsi="宋体" w:eastAsia="宋体" w:cs="宋体"/>
          <w:b/>
          <w:bCs/>
          <w:strike/>
          <w:dstrike w:val="0"/>
          <w:color w:val="auto"/>
          <w:spacing w:val="-4"/>
          <w:sz w:val="24"/>
          <w:szCs w:val="24"/>
          <w:highlight w:val="none"/>
        </w:rPr>
        <w:t>履约保证金</w:t>
      </w:r>
    </w:p>
    <w:p w14:paraId="09C3C58E">
      <w:pPr>
        <w:spacing w:before="182" w:line="360" w:lineRule="auto"/>
        <w:ind w:left="1425" w:right="1331" w:firstLine="485"/>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7.7.1 在签订合同前，中标人应按投标人须知前附表规定的形式、金额和招标文件第四章“合同条款及格式”规定的或事先经过招标人书面认可的履约保证金格式向招标</w:t>
      </w:r>
      <w:r>
        <w:rPr>
          <w:rFonts w:ascii="宋体" w:hAnsi="宋体" w:eastAsia="宋体" w:cs="宋体"/>
          <w:strike/>
          <w:dstrike w:val="0"/>
          <w:color w:val="auto"/>
          <w:spacing w:val="-6"/>
          <w:sz w:val="24"/>
          <w:szCs w:val="24"/>
          <w:highlight w:val="none"/>
        </w:rPr>
        <w:t>人提交履约保证金。除投标人须知前附表另有规定外，</w:t>
      </w:r>
      <w:r>
        <w:rPr>
          <w:rFonts w:ascii="宋体" w:hAnsi="宋体" w:eastAsia="宋体" w:cs="宋体"/>
          <w:strike/>
          <w:dstrike w:val="0"/>
          <w:color w:val="auto"/>
          <w:spacing w:val="-61"/>
          <w:sz w:val="24"/>
          <w:szCs w:val="24"/>
          <w:highlight w:val="none"/>
        </w:rPr>
        <w:t xml:space="preserve"> </w:t>
      </w:r>
      <w:r>
        <w:rPr>
          <w:rFonts w:ascii="宋体" w:hAnsi="宋体" w:eastAsia="宋体" w:cs="宋体"/>
          <w:strike/>
          <w:dstrike w:val="0"/>
          <w:color w:val="auto"/>
          <w:spacing w:val="-6"/>
          <w:sz w:val="24"/>
          <w:szCs w:val="24"/>
          <w:highlight w:val="none"/>
        </w:rPr>
        <w:t>履约保证金为签约合同价的</w:t>
      </w:r>
      <w:r>
        <w:rPr>
          <w:rFonts w:ascii="宋体" w:hAnsi="宋体" w:eastAsia="宋体" w:cs="宋体"/>
          <w:strike/>
          <w:dstrike w:val="0"/>
          <w:color w:val="auto"/>
          <w:spacing w:val="-33"/>
          <w:sz w:val="24"/>
          <w:szCs w:val="24"/>
          <w:highlight w:val="none"/>
        </w:rPr>
        <w:t xml:space="preserve"> </w:t>
      </w:r>
      <w:r>
        <w:rPr>
          <w:rFonts w:ascii="宋体" w:hAnsi="宋体" w:eastAsia="宋体" w:cs="宋体"/>
          <w:strike/>
          <w:dstrike w:val="0"/>
          <w:color w:val="auto"/>
          <w:spacing w:val="-6"/>
          <w:sz w:val="24"/>
          <w:szCs w:val="24"/>
          <w:highlight w:val="none"/>
        </w:rPr>
        <w:t>10%。</w:t>
      </w:r>
      <w:r>
        <w:rPr>
          <w:rFonts w:ascii="宋体" w:hAnsi="宋体" w:eastAsia="宋体" w:cs="宋体"/>
          <w:strike/>
          <w:dstrike w:val="0"/>
          <w:color w:val="auto"/>
          <w:spacing w:val="-1"/>
          <w:sz w:val="24"/>
          <w:szCs w:val="24"/>
          <w:highlight w:val="none"/>
        </w:rPr>
        <w:t>联合体中标的，其履约保证金以联合体各方或联合</w:t>
      </w:r>
      <w:r>
        <w:rPr>
          <w:rFonts w:ascii="宋体" w:hAnsi="宋体" w:eastAsia="宋体" w:cs="宋体"/>
          <w:strike/>
          <w:dstrike w:val="0"/>
          <w:color w:val="auto"/>
          <w:spacing w:val="-2"/>
          <w:sz w:val="24"/>
          <w:szCs w:val="24"/>
          <w:highlight w:val="none"/>
        </w:rPr>
        <w:t>体中牵头人的名义提交。</w:t>
      </w:r>
    </w:p>
    <w:p w14:paraId="3963460B">
      <w:pPr>
        <w:spacing w:line="360" w:lineRule="auto"/>
        <w:ind w:left="1447" w:right="1416" w:firstLine="45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采用银行保函时，应由符合投标人须知前附表规定级别的银行开具，所需的费用由</w:t>
      </w:r>
      <w:r>
        <w:rPr>
          <w:rFonts w:ascii="宋体" w:hAnsi="宋体" w:eastAsia="宋体" w:cs="宋体"/>
          <w:strike/>
          <w:dstrike w:val="0"/>
          <w:color w:val="auto"/>
          <w:spacing w:val="-4"/>
          <w:sz w:val="24"/>
          <w:szCs w:val="24"/>
          <w:highlight w:val="none"/>
        </w:rPr>
        <w:t>中标人承担，中标人应保证银行保函有效。</w:t>
      </w:r>
    </w:p>
    <w:p w14:paraId="5862C3D3">
      <w:pPr>
        <w:spacing w:line="360" w:lineRule="auto"/>
        <w:ind w:left="1426" w:right="1416" w:firstLine="484"/>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7.7.2</w:t>
      </w:r>
      <w:r>
        <w:rPr>
          <w:rFonts w:ascii="宋体" w:hAnsi="宋体" w:eastAsia="宋体" w:cs="宋体"/>
          <w:strike/>
          <w:dstrike w:val="0"/>
          <w:color w:val="auto"/>
          <w:spacing w:val="32"/>
          <w:sz w:val="24"/>
          <w:szCs w:val="24"/>
          <w:highlight w:val="none"/>
        </w:rPr>
        <w:t xml:space="preserve"> </w:t>
      </w:r>
      <w:r>
        <w:rPr>
          <w:rFonts w:ascii="宋体" w:hAnsi="宋体" w:eastAsia="宋体" w:cs="宋体"/>
          <w:strike/>
          <w:dstrike w:val="0"/>
          <w:color w:val="auto"/>
          <w:spacing w:val="-3"/>
          <w:sz w:val="24"/>
          <w:szCs w:val="24"/>
          <w:highlight w:val="none"/>
        </w:rPr>
        <w:t>中标人不能按本章第</w:t>
      </w:r>
      <w:r>
        <w:rPr>
          <w:rFonts w:ascii="宋体" w:hAnsi="宋体" w:eastAsia="宋体" w:cs="宋体"/>
          <w:strike/>
          <w:dstrike w:val="0"/>
          <w:color w:val="auto"/>
          <w:spacing w:val="-45"/>
          <w:sz w:val="24"/>
          <w:szCs w:val="24"/>
          <w:highlight w:val="none"/>
        </w:rPr>
        <w:t xml:space="preserve"> </w:t>
      </w:r>
      <w:r>
        <w:rPr>
          <w:rFonts w:ascii="宋体" w:hAnsi="宋体" w:eastAsia="宋体" w:cs="宋体"/>
          <w:strike/>
          <w:dstrike w:val="0"/>
          <w:color w:val="auto"/>
          <w:spacing w:val="-3"/>
          <w:sz w:val="24"/>
          <w:szCs w:val="24"/>
          <w:highlight w:val="none"/>
        </w:rPr>
        <w:t>7.7.1</w:t>
      </w:r>
      <w:r>
        <w:rPr>
          <w:rFonts w:ascii="宋体" w:hAnsi="宋体" w:eastAsia="宋体" w:cs="宋体"/>
          <w:strike/>
          <w:dstrike w:val="0"/>
          <w:color w:val="auto"/>
          <w:spacing w:val="-47"/>
          <w:sz w:val="24"/>
          <w:szCs w:val="24"/>
          <w:highlight w:val="none"/>
        </w:rPr>
        <w:t xml:space="preserve"> </w:t>
      </w:r>
      <w:r>
        <w:rPr>
          <w:rFonts w:ascii="宋体" w:hAnsi="宋体" w:eastAsia="宋体" w:cs="宋体"/>
          <w:strike/>
          <w:dstrike w:val="0"/>
          <w:color w:val="auto"/>
          <w:spacing w:val="-3"/>
          <w:sz w:val="24"/>
          <w:szCs w:val="24"/>
          <w:highlight w:val="none"/>
        </w:rPr>
        <w:t>项要求提交履约保证金的，视为放弃</w:t>
      </w:r>
      <w:r>
        <w:rPr>
          <w:rFonts w:ascii="宋体" w:hAnsi="宋体" w:eastAsia="宋体" w:cs="宋体"/>
          <w:strike/>
          <w:dstrike w:val="0"/>
          <w:color w:val="auto"/>
          <w:spacing w:val="-4"/>
          <w:sz w:val="24"/>
          <w:szCs w:val="24"/>
          <w:highlight w:val="none"/>
        </w:rPr>
        <w:t>中标，其投</w:t>
      </w:r>
      <w:r>
        <w:rPr>
          <w:rFonts w:ascii="宋体" w:hAnsi="宋体" w:eastAsia="宋体" w:cs="宋体"/>
          <w:strike/>
          <w:dstrike w:val="0"/>
          <w:color w:val="auto"/>
          <w:spacing w:val="-2"/>
          <w:sz w:val="24"/>
          <w:szCs w:val="24"/>
          <w:highlight w:val="none"/>
        </w:rPr>
        <w:t>标保证金不予退还，给招标人造成的损失超过投标保证金数额的，中标人还应对超过部</w:t>
      </w:r>
      <w:r>
        <w:rPr>
          <w:rFonts w:ascii="宋体" w:hAnsi="宋体" w:eastAsia="宋体" w:cs="宋体"/>
          <w:strike/>
          <w:dstrike w:val="0"/>
          <w:color w:val="auto"/>
          <w:spacing w:val="-7"/>
          <w:sz w:val="24"/>
          <w:szCs w:val="24"/>
          <w:highlight w:val="none"/>
        </w:rPr>
        <w:t>分予以赔偿。</w:t>
      </w:r>
    </w:p>
    <w:p w14:paraId="57F42341">
      <w:pPr>
        <w:spacing w:line="221" w:lineRule="auto"/>
        <w:ind w:left="143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7.8</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签订合同</w:t>
      </w:r>
    </w:p>
    <w:p w14:paraId="60A6D603">
      <w:pPr>
        <w:spacing w:before="180" w:line="332" w:lineRule="auto"/>
        <w:ind w:left="1426" w:right="1416"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7.8.1 根据《公路工程建设项目招标投标管理办法》第</w:t>
      </w:r>
      <w:r>
        <w:rPr>
          <w:rFonts w:ascii="宋体" w:hAnsi="宋体" w:eastAsia="宋体" w:cs="宋体"/>
          <w:color w:val="auto"/>
          <w:spacing w:val="-22"/>
          <w:sz w:val="24"/>
          <w:szCs w:val="24"/>
          <w:highlight w:val="none"/>
        </w:rPr>
        <w:t xml:space="preserve"> </w:t>
      </w:r>
      <w:r>
        <w:rPr>
          <w:rFonts w:ascii="宋体" w:hAnsi="宋体" w:eastAsia="宋体" w:cs="宋体"/>
          <w:color w:val="auto"/>
          <w:sz w:val="24"/>
          <w:szCs w:val="24"/>
          <w:highlight w:val="none"/>
        </w:rPr>
        <w:t>57</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条规定，招标人和中标</w:t>
      </w:r>
      <w:r>
        <w:rPr>
          <w:rFonts w:ascii="宋体" w:hAnsi="宋体" w:eastAsia="宋体" w:cs="宋体"/>
          <w:color w:val="auto"/>
          <w:spacing w:val="-2"/>
          <w:sz w:val="24"/>
          <w:szCs w:val="24"/>
          <w:highlight w:val="none"/>
        </w:rPr>
        <w:t>人应在中标通知书发出之日起</w:t>
      </w:r>
      <w:r>
        <w:rPr>
          <w:rFonts w:ascii="宋体" w:hAnsi="宋体" w:eastAsia="宋体" w:cs="宋体"/>
          <w:color w:val="auto"/>
          <w:spacing w:val="-24"/>
          <w:sz w:val="24"/>
          <w:szCs w:val="24"/>
          <w:highlight w:val="none"/>
        </w:rPr>
        <w:t xml:space="preserve"> </w:t>
      </w:r>
      <w:r>
        <w:rPr>
          <w:rFonts w:ascii="宋体" w:hAnsi="宋体" w:eastAsia="宋体" w:cs="宋体"/>
          <w:color w:val="auto"/>
          <w:spacing w:val="-2"/>
          <w:sz w:val="24"/>
          <w:szCs w:val="24"/>
          <w:highlight w:val="none"/>
        </w:rPr>
        <w:t>30 日内，根据招标文件和中标人的投标文件订立合同。中标人无正当理由拒签合同，在签订合同时向招标人提出附加条件，</w:t>
      </w:r>
      <w:r>
        <w:rPr>
          <w:rFonts w:ascii="宋体" w:hAnsi="宋体" w:eastAsia="宋体" w:cs="宋体"/>
          <w:strike/>
          <w:dstrike w:val="0"/>
          <w:color w:val="auto"/>
          <w:spacing w:val="-2"/>
          <w:sz w:val="24"/>
          <w:szCs w:val="24"/>
          <w:highlight w:val="none"/>
        </w:rPr>
        <w:t>或不按照招标文件要求提交履约保证金的，</w:t>
      </w:r>
      <w:r>
        <w:rPr>
          <w:rFonts w:ascii="宋体" w:hAnsi="宋体" w:eastAsia="宋体" w:cs="宋体"/>
          <w:color w:val="auto"/>
          <w:spacing w:val="-2"/>
          <w:sz w:val="24"/>
          <w:szCs w:val="24"/>
          <w:highlight w:val="none"/>
        </w:rPr>
        <w:t>招标人取消其中标资格，</w:t>
      </w:r>
      <w:r>
        <w:rPr>
          <w:rFonts w:ascii="宋体" w:hAnsi="宋体" w:eastAsia="宋体" w:cs="宋体"/>
          <w:strike/>
          <w:dstrike w:val="0"/>
          <w:color w:val="auto"/>
          <w:spacing w:val="-2"/>
          <w:sz w:val="24"/>
          <w:szCs w:val="24"/>
          <w:highlight w:val="none"/>
        </w:rPr>
        <w:t>其投标保证金不予退还；</w:t>
      </w:r>
      <w:r>
        <w:rPr>
          <w:rFonts w:ascii="宋体" w:hAnsi="宋体" w:eastAsia="宋体" w:cs="宋体"/>
          <w:color w:val="auto"/>
          <w:spacing w:val="-2"/>
          <w:sz w:val="24"/>
          <w:szCs w:val="24"/>
          <w:highlight w:val="none"/>
        </w:rPr>
        <w:t>给招标人造成的损失</w:t>
      </w:r>
      <w:r>
        <w:rPr>
          <w:rFonts w:ascii="宋体" w:hAnsi="宋体" w:eastAsia="宋体" w:cs="宋体"/>
          <w:strike/>
          <w:dstrike w:val="0"/>
          <w:color w:val="auto"/>
          <w:spacing w:val="-2"/>
          <w:sz w:val="24"/>
          <w:szCs w:val="24"/>
          <w:highlight w:val="none"/>
        </w:rPr>
        <w:t>超过投标保证金数额</w:t>
      </w:r>
      <w:r>
        <w:rPr>
          <w:rFonts w:ascii="宋体" w:hAnsi="宋体" w:eastAsia="宋体" w:cs="宋体"/>
          <w:color w:val="auto"/>
          <w:spacing w:val="-2"/>
          <w:sz w:val="24"/>
          <w:szCs w:val="24"/>
          <w:highlight w:val="none"/>
        </w:rPr>
        <w:t>的，中标人还应</w:t>
      </w:r>
      <w:r>
        <w:rPr>
          <w:rFonts w:ascii="宋体" w:hAnsi="宋体" w:eastAsia="宋体" w:cs="宋体"/>
          <w:strike/>
          <w:dstrike w:val="0"/>
          <w:color w:val="auto"/>
          <w:spacing w:val="-2"/>
          <w:sz w:val="24"/>
          <w:szCs w:val="24"/>
          <w:highlight w:val="none"/>
        </w:rPr>
        <w:t>对超过部分</w:t>
      </w:r>
      <w:r>
        <w:rPr>
          <w:rFonts w:ascii="宋体" w:hAnsi="宋体" w:eastAsia="宋体" w:cs="宋体"/>
          <w:color w:val="auto"/>
          <w:spacing w:val="-2"/>
          <w:sz w:val="24"/>
          <w:szCs w:val="24"/>
          <w:highlight w:val="none"/>
        </w:rPr>
        <w:t>予以赔偿。</w:t>
      </w:r>
    </w:p>
    <w:p w14:paraId="4F170282">
      <w:pPr>
        <w:spacing w:before="181" w:line="314" w:lineRule="auto"/>
        <w:ind w:left="1426" w:right="1416"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7.8.2 发出中标通知书后，招标人无正当理由拒签合同，或在签订合同时向中标人提出附加条件的，</w:t>
      </w:r>
      <w:r>
        <w:rPr>
          <w:rFonts w:ascii="宋体" w:hAnsi="宋体" w:eastAsia="宋体" w:cs="宋体"/>
          <w:strike/>
          <w:dstrike w:val="0"/>
          <w:color w:val="auto"/>
          <w:spacing w:val="-2"/>
          <w:sz w:val="24"/>
          <w:szCs w:val="24"/>
          <w:highlight w:val="none"/>
        </w:rPr>
        <w:t>招标人向中标人退还投标保证金；</w:t>
      </w:r>
      <w:r>
        <w:rPr>
          <w:rFonts w:ascii="宋体" w:hAnsi="宋体" w:eastAsia="宋体" w:cs="宋体"/>
          <w:color w:val="auto"/>
          <w:spacing w:val="-2"/>
          <w:sz w:val="24"/>
          <w:szCs w:val="24"/>
          <w:highlight w:val="none"/>
        </w:rPr>
        <w:t>给中标人造成损失的，还应赔偿损</w:t>
      </w:r>
      <w:r>
        <w:rPr>
          <w:rFonts w:ascii="宋体" w:hAnsi="宋体" w:eastAsia="宋体" w:cs="宋体"/>
          <w:color w:val="auto"/>
          <w:spacing w:val="-12"/>
          <w:sz w:val="24"/>
          <w:szCs w:val="24"/>
          <w:highlight w:val="none"/>
        </w:rPr>
        <w:t>失。</w:t>
      </w:r>
    </w:p>
    <w:p w14:paraId="5D696C30">
      <w:pPr>
        <w:spacing w:before="163" w:line="232" w:lineRule="auto"/>
        <w:ind w:left="1911"/>
        <w:rPr>
          <w:rFonts w:ascii="宋体" w:hAnsi="宋体" w:eastAsia="宋体" w:cs="宋体"/>
          <w:strike/>
          <w:dstrike w:val="0"/>
          <w:color w:val="auto"/>
          <w:sz w:val="12"/>
          <w:szCs w:val="12"/>
          <w:highlight w:val="none"/>
        </w:rPr>
      </w:pPr>
      <w:r>
        <w:rPr>
          <w:rFonts w:ascii="宋体" w:hAnsi="宋体" w:eastAsia="宋体" w:cs="宋体"/>
          <w:strike/>
          <w:dstrike w:val="0"/>
          <w:color w:val="auto"/>
          <w:spacing w:val="-1"/>
          <w:sz w:val="24"/>
          <w:szCs w:val="24"/>
          <w:highlight w:val="none"/>
        </w:rPr>
        <w:t>7.8.3 签约合同价的确定原则如下：</w:t>
      </w:r>
    </w:p>
    <w:p w14:paraId="49FB93AB">
      <w:pPr>
        <w:spacing w:before="184" w:line="289" w:lineRule="auto"/>
        <w:ind w:left="1426" w:right="1427"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（1）按照评标办法规定对投标报价进行修正后，若修正后的最终投标报价小于开</w:t>
      </w:r>
      <w:r>
        <w:rPr>
          <w:rFonts w:ascii="宋体" w:hAnsi="宋体" w:eastAsia="宋体" w:cs="宋体"/>
          <w:strike/>
          <w:dstrike w:val="0"/>
          <w:color w:val="auto"/>
          <w:spacing w:val="-2"/>
          <w:sz w:val="24"/>
          <w:szCs w:val="24"/>
          <w:highlight w:val="none"/>
        </w:rPr>
        <w:t>标时的投标函大写金额报价，则签订合同时以修正后的最终投标报价为准；</w:t>
      </w:r>
    </w:p>
    <w:p w14:paraId="09ECBFC1">
      <w:pPr>
        <w:spacing w:before="185" w:line="289" w:lineRule="auto"/>
        <w:ind w:left="1426" w:right="1416"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（2）按照评标办法规定对投标报价进行修正后，若修正后的最终投标报价大于开</w:t>
      </w:r>
      <w:r>
        <w:rPr>
          <w:rFonts w:ascii="宋体" w:hAnsi="宋体" w:eastAsia="宋体" w:cs="宋体"/>
          <w:strike/>
          <w:dstrike w:val="0"/>
          <w:color w:val="auto"/>
          <w:spacing w:val="-2"/>
          <w:sz w:val="24"/>
          <w:szCs w:val="24"/>
          <w:highlight w:val="none"/>
        </w:rPr>
        <w:t>标时的投标函大写金额报价，则签订合同时以开标时的投标函大写金额报价为准，同时</w:t>
      </w:r>
    </w:p>
    <w:p w14:paraId="27DDFA7A">
      <w:pPr>
        <w:spacing w:before="78" w:line="218" w:lineRule="auto"/>
        <w:ind w:left="142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按比例修正相应子目的单价或合价。</w:t>
      </w:r>
    </w:p>
    <w:p w14:paraId="5704A91F">
      <w:pPr>
        <w:spacing w:before="183" w:line="290" w:lineRule="auto"/>
        <w:ind w:left="1425" w:right="1416"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7.8.4 联合体中标的，联合体各方应共同与招标人签订合同，就中标项目向招标人</w:t>
      </w:r>
      <w:r>
        <w:rPr>
          <w:rFonts w:ascii="宋体" w:hAnsi="宋体" w:eastAsia="宋体" w:cs="宋体"/>
          <w:strike/>
          <w:dstrike w:val="0"/>
          <w:color w:val="auto"/>
          <w:spacing w:val="-6"/>
          <w:sz w:val="24"/>
          <w:szCs w:val="24"/>
          <w:highlight w:val="none"/>
        </w:rPr>
        <w:t>承担连带责任。</w:t>
      </w:r>
    </w:p>
    <w:p w14:paraId="3E21E77F">
      <w:pPr>
        <w:spacing w:before="183" w:line="313" w:lineRule="auto"/>
        <w:ind w:left="1426" w:right="1416"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7.8.5 招标人和中标人在签订合同协议书的同时，须按照本招标文件规定的格式和要求签订廉政合同及安全生产合同，明确双方在廉政建设和安全生产方面的权利和义务</w:t>
      </w:r>
      <w:r>
        <w:rPr>
          <w:rFonts w:ascii="宋体" w:hAnsi="宋体" w:eastAsia="宋体" w:cs="宋体"/>
          <w:color w:val="auto"/>
          <w:spacing w:val="-4"/>
          <w:sz w:val="24"/>
          <w:szCs w:val="24"/>
          <w:highlight w:val="none"/>
        </w:rPr>
        <w:t>以及应承担的违约责任。</w:t>
      </w:r>
    </w:p>
    <w:p w14:paraId="5DE3D431">
      <w:pPr>
        <w:spacing w:before="182" w:line="220" w:lineRule="auto"/>
        <w:ind w:left="1426"/>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8.</w:t>
      </w:r>
      <w:r>
        <w:rPr>
          <w:rFonts w:ascii="宋体" w:hAnsi="宋体" w:eastAsia="宋体" w:cs="宋体"/>
          <w:color w:val="auto"/>
          <w:spacing w:val="20"/>
          <w:sz w:val="24"/>
          <w:szCs w:val="24"/>
          <w:highlight w:val="none"/>
        </w:rPr>
        <w:t xml:space="preserve"> </w:t>
      </w:r>
      <w:r>
        <w:rPr>
          <w:rFonts w:ascii="宋体" w:hAnsi="宋体" w:eastAsia="宋体" w:cs="宋体"/>
          <w:b/>
          <w:bCs/>
          <w:color w:val="auto"/>
          <w:spacing w:val="-6"/>
          <w:sz w:val="24"/>
          <w:szCs w:val="24"/>
          <w:highlight w:val="none"/>
        </w:rPr>
        <w:t>纪律和监督</w:t>
      </w:r>
    </w:p>
    <w:p w14:paraId="3819ABD3">
      <w:pPr>
        <w:spacing w:before="181" w:line="220" w:lineRule="auto"/>
        <w:ind w:left="1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对招标人的纪律要求</w:t>
      </w:r>
    </w:p>
    <w:p w14:paraId="742B5EB3">
      <w:pPr>
        <w:spacing w:before="183" w:line="360" w:lineRule="auto"/>
        <w:ind w:left="1426"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招标人不得泄露招标投标活动中应保密的情况和资料，不得与投标人串通损害国家</w:t>
      </w:r>
      <w:r>
        <w:rPr>
          <w:rFonts w:ascii="宋体" w:hAnsi="宋体" w:eastAsia="宋体" w:cs="宋体"/>
          <w:color w:val="auto"/>
          <w:spacing w:val="-3"/>
          <w:sz w:val="24"/>
          <w:szCs w:val="24"/>
          <w:highlight w:val="none"/>
        </w:rPr>
        <w:t>利益、社会公共利益或他人合法权益。</w:t>
      </w:r>
    </w:p>
    <w:p w14:paraId="4997BB09">
      <w:pPr>
        <w:spacing w:line="219" w:lineRule="auto"/>
        <w:ind w:left="1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对投标人的纪律要求</w:t>
      </w:r>
    </w:p>
    <w:p w14:paraId="61C85789">
      <w:pPr>
        <w:spacing w:before="183" w:line="360" w:lineRule="auto"/>
        <w:ind w:left="1424"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投标人不得相互串通投标或与招标人串通投标，不得向招标人或评标委员会成员行贿谋取中标，不得以他人名义投标或以其他方式弄虚作假骗取中标；投标人不得以任何</w:t>
      </w:r>
      <w:r>
        <w:rPr>
          <w:rFonts w:ascii="宋体" w:hAnsi="宋体" w:eastAsia="宋体" w:cs="宋体"/>
          <w:color w:val="auto"/>
          <w:spacing w:val="-4"/>
          <w:sz w:val="24"/>
          <w:szCs w:val="24"/>
          <w:highlight w:val="none"/>
        </w:rPr>
        <w:t>方式干扰、影响评标工作。</w:t>
      </w:r>
    </w:p>
    <w:p w14:paraId="27C15D45">
      <w:pPr>
        <w:spacing w:before="1" w:line="218" w:lineRule="auto"/>
        <w:ind w:left="1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对评标委员会成员的纪律要求</w:t>
      </w:r>
    </w:p>
    <w:p w14:paraId="146E502A">
      <w:pPr>
        <w:spacing w:before="183" w:line="360" w:lineRule="auto"/>
        <w:ind w:left="1424"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评标委员会成员不得收受他人的财物或其他好处，不得向他人透露对投标文件的评</w:t>
      </w:r>
      <w:r>
        <w:rPr>
          <w:rFonts w:ascii="宋体" w:hAnsi="宋体" w:eastAsia="宋体" w:cs="宋体"/>
          <w:color w:val="auto"/>
          <w:spacing w:val="-6"/>
          <w:sz w:val="24"/>
          <w:szCs w:val="24"/>
          <w:highlight w:val="none"/>
        </w:rPr>
        <w:t>审和比较、中标候选人的推荐情况以及评标有关的其他情况。在评标活动中，</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评标委员会成员应客观、公正地履行职责，</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遵守职业道德，不得擅离职守，影响评标程序正常进</w:t>
      </w:r>
      <w:r>
        <w:rPr>
          <w:rFonts w:ascii="宋体" w:hAnsi="宋体" w:eastAsia="宋体" w:cs="宋体"/>
          <w:color w:val="auto"/>
          <w:spacing w:val="-1"/>
          <w:sz w:val="24"/>
          <w:szCs w:val="24"/>
          <w:highlight w:val="none"/>
        </w:rPr>
        <w:t>行，不得使用第三章“评标办法”没有规定的评</w:t>
      </w:r>
      <w:r>
        <w:rPr>
          <w:rFonts w:ascii="宋体" w:hAnsi="宋体" w:eastAsia="宋体" w:cs="宋体"/>
          <w:color w:val="auto"/>
          <w:spacing w:val="-2"/>
          <w:sz w:val="24"/>
          <w:szCs w:val="24"/>
          <w:highlight w:val="none"/>
        </w:rPr>
        <w:t>审因素和标准进行评标。</w:t>
      </w:r>
    </w:p>
    <w:p w14:paraId="580F5D67">
      <w:pPr>
        <w:spacing w:before="1" w:line="219" w:lineRule="auto"/>
        <w:ind w:left="1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对与评标活动有关的工作人员的纪律要求</w:t>
      </w:r>
    </w:p>
    <w:p w14:paraId="5E76D338">
      <w:pPr>
        <w:spacing w:before="183" w:line="360" w:lineRule="auto"/>
        <w:ind w:left="1426" w:right="1349"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与评标活动有关的工作人员不得收受他人的财物或其他好处，不得向他人透露对投</w:t>
      </w:r>
      <w:r>
        <w:rPr>
          <w:rFonts w:ascii="宋体" w:hAnsi="宋体" w:eastAsia="宋体" w:cs="宋体"/>
          <w:color w:val="auto"/>
          <w:spacing w:val="-6"/>
          <w:sz w:val="24"/>
          <w:szCs w:val="24"/>
          <w:highlight w:val="none"/>
        </w:rPr>
        <w:t>标文件的评审和比较、中标候选人的推荐情况以及评标有关的其他情况。在评标活动中，</w:t>
      </w:r>
      <w:r>
        <w:rPr>
          <w:rFonts w:ascii="宋体" w:hAnsi="宋体" w:eastAsia="宋体" w:cs="宋体"/>
          <w:color w:val="auto"/>
          <w:spacing w:val="-2"/>
          <w:sz w:val="24"/>
          <w:szCs w:val="24"/>
          <w:highlight w:val="none"/>
        </w:rPr>
        <w:t>与评标活动有关的工作人员不得擅离职守，影响评标程序正常进行。</w:t>
      </w:r>
    </w:p>
    <w:p w14:paraId="1E39FD8F">
      <w:pPr>
        <w:spacing w:line="220" w:lineRule="auto"/>
        <w:ind w:left="1426"/>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8.5</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6"/>
          <w:sz w:val="24"/>
          <w:szCs w:val="24"/>
          <w:highlight w:val="none"/>
        </w:rPr>
        <w:t>投诉</w:t>
      </w:r>
    </w:p>
    <w:p w14:paraId="4CBC2EDD">
      <w:pPr>
        <w:spacing w:before="178" w:line="361" w:lineRule="auto"/>
        <w:ind w:left="1424" w:right="1416" w:firstLine="48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8.5.1 投标人或其他利害关系人认为招标投标活动不符合法律、行政法规规定的，</w:t>
      </w:r>
      <w:r>
        <w:rPr>
          <w:rFonts w:ascii="宋体" w:hAnsi="宋体" w:eastAsia="宋体" w:cs="宋体"/>
          <w:color w:val="auto"/>
          <w:spacing w:val="-1"/>
          <w:sz w:val="24"/>
          <w:szCs w:val="24"/>
          <w:highlight w:val="none"/>
        </w:rPr>
        <w:t>可以自知道或应当知道之日起10日内向有关行政监督部门投诉。对于按法规规定应先</w:t>
      </w:r>
      <w:r>
        <w:rPr>
          <w:rFonts w:ascii="宋体" w:hAnsi="宋体" w:eastAsia="宋体" w:cs="宋体"/>
          <w:color w:val="auto"/>
          <w:spacing w:val="-2"/>
          <w:sz w:val="24"/>
          <w:szCs w:val="24"/>
          <w:highlight w:val="none"/>
        </w:rPr>
        <w:t>提出异议的事项进行投诉的，应当提交已提出异议的证明文件。未按规定提出异议或者未提交已提出异议的证明文件的投诉，行政监督部门可以不予受理。投诉人缺乏事实根</w:t>
      </w:r>
      <w:r>
        <w:rPr>
          <w:rFonts w:ascii="宋体" w:hAnsi="宋体" w:eastAsia="宋体" w:cs="宋体"/>
          <w:color w:val="auto"/>
          <w:spacing w:val="-6"/>
          <w:sz w:val="24"/>
          <w:szCs w:val="24"/>
          <w:highlight w:val="none"/>
        </w:rPr>
        <w:t>据或者法律依据进行投诉的，或者有证据表明投诉人捏造事实、伪造材料的，或者投诉</w:t>
      </w:r>
      <w:r>
        <w:rPr>
          <w:rFonts w:ascii="宋体" w:hAnsi="宋体" w:eastAsia="宋体" w:cs="宋体"/>
          <w:color w:val="auto"/>
          <w:spacing w:val="-2"/>
          <w:sz w:val="24"/>
          <w:szCs w:val="24"/>
          <w:highlight w:val="none"/>
        </w:rPr>
        <w:t>人以非法手段取得证明材料进行投诉的，行政监督部门应当予以驳回，并对恶意投诉按</w:t>
      </w:r>
      <w:r>
        <w:rPr>
          <w:rFonts w:ascii="宋体" w:hAnsi="宋体" w:eastAsia="宋体" w:cs="宋体"/>
          <w:color w:val="auto"/>
          <w:spacing w:val="-8"/>
          <w:sz w:val="24"/>
          <w:szCs w:val="24"/>
          <w:highlight w:val="none"/>
        </w:rPr>
        <w:t>照有关规定追究投诉人责任。行政监督部门处理投诉，</w:t>
      </w:r>
      <w:r>
        <w:rPr>
          <w:rFonts w:ascii="宋体" w:hAnsi="宋体" w:eastAsia="宋体" w:cs="宋体"/>
          <w:color w:val="auto"/>
          <w:spacing w:val="-39"/>
          <w:sz w:val="24"/>
          <w:szCs w:val="24"/>
          <w:highlight w:val="none"/>
        </w:rPr>
        <w:t xml:space="preserve"> </w:t>
      </w:r>
      <w:r>
        <w:rPr>
          <w:rFonts w:ascii="宋体" w:hAnsi="宋体" w:eastAsia="宋体" w:cs="宋体"/>
          <w:color w:val="auto"/>
          <w:spacing w:val="-8"/>
          <w:sz w:val="24"/>
          <w:szCs w:val="24"/>
          <w:highlight w:val="none"/>
        </w:rPr>
        <w:t>有权查阅、复</w:t>
      </w:r>
      <w:r>
        <w:rPr>
          <w:rFonts w:ascii="宋体" w:hAnsi="宋体" w:eastAsia="宋体" w:cs="宋体"/>
          <w:color w:val="auto"/>
          <w:spacing w:val="-9"/>
          <w:sz w:val="24"/>
          <w:szCs w:val="24"/>
          <w:highlight w:val="none"/>
        </w:rPr>
        <w:t>制有关文件、资料，</w:t>
      </w:r>
      <w:r>
        <w:rPr>
          <w:rFonts w:ascii="宋体" w:hAnsi="宋体" w:eastAsia="宋体" w:cs="宋体"/>
          <w:color w:val="auto"/>
          <w:spacing w:val="-6"/>
          <w:sz w:val="24"/>
          <w:szCs w:val="24"/>
          <w:highlight w:val="none"/>
        </w:rPr>
        <w:t>调查有关情况，相关单位和人员应当予以配合。必要时，行政监督部门可以责令</w:t>
      </w:r>
      <w:r>
        <w:rPr>
          <w:rFonts w:ascii="宋体" w:hAnsi="宋体" w:eastAsia="宋体" w:cs="宋体"/>
          <w:color w:val="auto"/>
          <w:spacing w:val="-7"/>
          <w:sz w:val="24"/>
          <w:szCs w:val="24"/>
          <w:highlight w:val="none"/>
        </w:rPr>
        <w:t>暂停招标投标活动。</w:t>
      </w:r>
    </w:p>
    <w:p w14:paraId="3E7CB077">
      <w:pPr>
        <w:spacing w:before="1" w:line="218" w:lineRule="auto"/>
        <w:ind w:left="19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监督部门的联系方式见投标人须知前附表。</w:t>
      </w:r>
    </w:p>
    <w:p w14:paraId="73AA9E2F">
      <w:pPr>
        <w:spacing w:before="183" w:line="360" w:lineRule="auto"/>
        <w:ind w:left="1424" w:right="1416" w:firstLine="481"/>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8.5.2 投标人或其他利害关系人对招标</w:t>
      </w:r>
      <w:r>
        <w:rPr>
          <w:rFonts w:ascii="宋体" w:hAnsi="宋体" w:eastAsia="宋体" w:cs="宋体"/>
          <w:color w:val="auto"/>
          <w:spacing w:val="-5"/>
          <w:sz w:val="24"/>
          <w:szCs w:val="24"/>
          <w:highlight w:val="none"/>
        </w:rPr>
        <w:t>文件、开标和评标结果提出投诉的， 应按照</w:t>
      </w:r>
      <w:r>
        <w:rPr>
          <w:rFonts w:ascii="宋体" w:hAnsi="宋体" w:eastAsia="宋体" w:cs="宋体"/>
          <w:color w:val="auto"/>
          <w:spacing w:val="-3"/>
          <w:sz w:val="24"/>
          <w:szCs w:val="24"/>
          <w:highlight w:val="none"/>
        </w:rPr>
        <w:t>本章第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2.4</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款、第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5.3</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款和第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7.2</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款的规定先向招标人提出异议。异议</w:t>
      </w:r>
      <w:r>
        <w:rPr>
          <w:rFonts w:ascii="宋体" w:hAnsi="宋体" w:eastAsia="宋体" w:cs="宋体"/>
          <w:color w:val="auto"/>
          <w:spacing w:val="-4"/>
          <w:sz w:val="24"/>
          <w:szCs w:val="24"/>
          <w:highlight w:val="none"/>
        </w:rPr>
        <w:t>答复期间不计算</w:t>
      </w:r>
      <w:r>
        <w:rPr>
          <w:rFonts w:ascii="宋体" w:hAnsi="宋体" w:eastAsia="宋体" w:cs="宋体"/>
          <w:color w:val="auto"/>
          <w:spacing w:val="-5"/>
          <w:sz w:val="24"/>
          <w:szCs w:val="24"/>
          <w:highlight w:val="none"/>
        </w:rPr>
        <w:t>在第</w:t>
      </w:r>
      <w:r>
        <w:rPr>
          <w:rFonts w:ascii="宋体" w:hAnsi="宋体" w:eastAsia="宋体" w:cs="宋体"/>
          <w:color w:val="auto"/>
          <w:spacing w:val="-37"/>
          <w:sz w:val="24"/>
          <w:szCs w:val="24"/>
          <w:highlight w:val="none"/>
        </w:rPr>
        <w:t xml:space="preserve"> </w:t>
      </w:r>
      <w:r>
        <w:rPr>
          <w:rFonts w:ascii="宋体" w:hAnsi="宋体" w:eastAsia="宋体" w:cs="宋体"/>
          <w:color w:val="auto"/>
          <w:spacing w:val="-5"/>
          <w:sz w:val="24"/>
          <w:szCs w:val="24"/>
          <w:highlight w:val="none"/>
        </w:rPr>
        <w:t>8.5.1</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项规定的期限内。</w:t>
      </w:r>
    </w:p>
    <w:p w14:paraId="184D1C61">
      <w:pPr>
        <w:spacing w:before="1" w:line="218" w:lineRule="auto"/>
        <w:ind w:left="1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9.</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是否采用电子招标投标</w:t>
      </w:r>
    </w:p>
    <w:p w14:paraId="296071CF">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本招标项目是否采用电子招标投标方式，见投标人须知前附表。</w:t>
      </w:r>
    </w:p>
    <w:p w14:paraId="523E40F5">
      <w:pPr>
        <w:spacing w:before="182" w:line="220" w:lineRule="auto"/>
        <w:ind w:left="1443"/>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10.</w:t>
      </w:r>
      <w:r>
        <w:rPr>
          <w:rFonts w:ascii="宋体" w:hAnsi="宋体" w:eastAsia="宋体" w:cs="宋体"/>
          <w:color w:val="auto"/>
          <w:spacing w:val="24"/>
          <w:sz w:val="24"/>
          <w:szCs w:val="24"/>
          <w:highlight w:val="none"/>
        </w:rPr>
        <w:t xml:space="preserve"> </w:t>
      </w:r>
      <w:r>
        <w:rPr>
          <w:rFonts w:ascii="宋体" w:hAnsi="宋体" w:eastAsia="宋体" w:cs="宋体"/>
          <w:b/>
          <w:bCs/>
          <w:color w:val="auto"/>
          <w:spacing w:val="-6"/>
          <w:sz w:val="24"/>
          <w:szCs w:val="24"/>
          <w:highlight w:val="none"/>
        </w:rPr>
        <w:t>需要补充的其他内容</w:t>
      </w:r>
    </w:p>
    <w:p w14:paraId="26267B54">
      <w:pPr>
        <w:spacing w:before="183" w:line="313" w:lineRule="auto"/>
        <w:ind w:left="1423" w:right="1331" w:firstLine="49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10.1</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自投标登记并获取招标文件之日起，投标人应保证其提供的</w:t>
      </w:r>
      <w:r>
        <w:rPr>
          <w:rFonts w:ascii="宋体" w:hAnsi="宋体" w:eastAsia="宋体" w:cs="宋体"/>
          <w:color w:val="auto"/>
          <w:spacing w:val="-5"/>
          <w:sz w:val="24"/>
          <w:szCs w:val="24"/>
          <w:highlight w:val="none"/>
        </w:rPr>
        <w:t>联系方式（电话、</w:t>
      </w:r>
      <w:r>
        <w:rPr>
          <w:rFonts w:ascii="宋体" w:hAnsi="宋体" w:eastAsia="宋体" w:cs="宋体"/>
          <w:color w:val="auto"/>
          <w:spacing w:val="2"/>
          <w:sz w:val="24"/>
          <w:szCs w:val="24"/>
          <w:highlight w:val="none"/>
        </w:rPr>
        <w:t>传真、电子邮件）一直有效，以便及时收到招标人发</w:t>
      </w:r>
      <w:r>
        <w:rPr>
          <w:rFonts w:ascii="宋体" w:hAnsi="宋体" w:eastAsia="宋体" w:cs="宋体"/>
          <w:color w:val="auto"/>
          <w:spacing w:val="1"/>
          <w:sz w:val="24"/>
          <w:szCs w:val="24"/>
          <w:highlight w:val="none"/>
        </w:rPr>
        <w:t>出的函件(招标文件的澄清、修改</w:t>
      </w:r>
      <w:r>
        <w:rPr>
          <w:rFonts w:ascii="宋体" w:hAnsi="宋体" w:eastAsia="宋体" w:cs="宋体"/>
          <w:color w:val="auto"/>
          <w:spacing w:val="-1"/>
          <w:sz w:val="24"/>
          <w:szCs w:val="24"/>
          <w:highlight w:val="none"/>
        </w:rPr>
        <w:t>等)，并应及时向招标人反馈信息，否则招标人不承担由此引起的一切后果。</w:t>
      </w:r>
    </w:p>
    <w:p w14:paraId="1E598B43">
      <w:pPr>
        <w:spacing w:before="182" w:line="219" w:lineRule="auto"/>
        <w:ind w:left="1918"/>
        <w:rPr>
          <w:rFonts w:ascii="宋体" w:hAnsi="宋体" w:eastAsia="宋体" w:cs="宋体"/>
          <w:color w:val="auto"/>
          <w:sz w:val="24"/>
          <w:szCs w:val="24"/>
          <w:highlight w:val="none"/>
        </w:rPr>
        <w:sectPr>
          <w:headerReference r:id="rId36" w:type="default"/>
          <w:footerReference r:id="rId37" w:type="default"/>
          <w:footnotePr>
            <w:numFmt w:val="decimalEnclosedCircleChinese"/>
            <w:numRestart w:val="eachPage"/>
          </w:footnotePr>
          <w:pgSz w:w="11905" w:h="16840"/>
          <w:pgMar w:top="1182" w:right="0" w:bottom="1171" w:left="0" w:header="849" w:footer="937" w:gutter="0"/>
          <w:pgNumType w:fmt="decimal"/>
          <w:cols w:space="720" w:num="1"/>
        </w:sectPr>
      </w:pPr>
      <w:r>
        <w:rPr>
          <w:rFonts w:ascii="宋体" w:hAnsi="宋体" w:eastAsia="宋体" w:cs="宋体"/>
          <w:color w:val="auto"/>
          <w:spacing w:val="-3"/>
          <w:sz w:val="24"/>
          <w:szCs w:val="24"/>
          <w:highlight w:val="none"/>
        </w:rPr>
        <w:t>需要补充的其他内容：见投标人须知前附表。</w:t>
      </w:r>
    </w:p>
    <w:p w14:paraId="72849520">
      <w:pPr>
        <w:pStyle w:val="3"/>
        <w:spacing w:line="242" w:lineRule="auto"/>
        <w:rPr>
          <w:color w:val="auto"/>
          <w:highlight w:val="none"/>
        </w:rPr>
      </w:pPr>
    </w:p>
    <w:p w14:paraId="7CD67541">
      <w:pPr>
        <w:pStyle w:val="3"/>
        <w:spacing w:line="242" w:lineRule="auto"/>
        <w:rPr>
          <w:color w:val="auto"/>
          <w:highlight w:val="none"/>
        </w:rPr>
      </w:pPr>
    </w:p>
    <w:p w14:paraId="6AC2D780">
      <w:pPr>
        <w:pStyle w:val="3"/>
        <w:spacing w:line="242" w:lineRule="auto"/>
        <w:rPr>
          <w:color w:val="auto"/>
          <w:highlight w:val="none"/>
        </w:rPr>
      </w:pPr>
    </w:p>
    <w:p w14:paraId="1C11950A">
      <w:pPr>
        <w:pStyle w:val="3"/>
        <w:spacing w:line="242" w:lineRule="auto"/>
        <w:rPr>
          <w:color w:val="auto"/>
          <w:highlight w:val="none"/>
        </w:rPr>
      </w:pPr>
    </w:p>
    <w:p w14:paraId="00E45D66">
      <w:pPr>
        <w:pStyle w:val="3"/>
        <w:spacing w:line="242" w:lineRule="auto"/>
        <w:rPr>
          <w:color w:val="auto"/>
          <w:highlight w:val="none"/>
        </w:rPr>
      </w:pPr>
    </w:p>
    <w:p w14:paraId="28D03B57">
      <w:pPr>
        <w:pStyle w:val="3"/>
        <w:spacing w:line="242" w:lineRule="auto"/>
        <w:rPr>
          <w:color w:val="auto"/>
          <w:highlight w:val="none"/>
        </w:rPr>
      </w:pPr>
    </w:p>
    <w:p w14:paraId="2B96F1E2">
      <w:pPr>
        <w:pStyle w:val="3"/>
        <w:spacing w:line="242" w:lineRule="auto"/>
        <w:rPr>
          <w:color w:val="auto"/>
          <w:highlight w:val="none"/>
        </w:rPr>
      </w:pPr>
    </w:p>
    <w:p w14:paraId="490100F8">
      <w:pPr>
        <w:pStyle w:val="3"/>
        <w:spacing w:line="242" w:lineRule="auto"/>
        <w:rPr>
          <w:color w:val="auto"/>
          <w:highlight w:val="none"/>
        </w:rPr>
      </w:pPr>
    </w:p>
    <w:p w14:paraId="1A3FF795">
      <w:pPr>
        <w:pStyle w:val="3"/>
        <w:spacing w:line="242" w:lineRule="auto"/>
        <w:rPr>
          <w:color w:val="auto"/>
          <w:highlight w:val="none"/>
        </w:rPr>
      </w:pPr>
    </w:p>
    <w:p w14:paraId="76EB7CB4">
      <w:pPr>
        <w:pStyle w:val="3"/>
        <w:spacing w:line="243" w:lineRule="auto"/>
        <w:rPr>
          <w:color w:val="auto"/>
          <w:highlight w:val="none"/>
        </w:rPr>
      </w:pPr>
    </w:p>
    <w:p w14:paraId="56C5C275">
      <w:pPr>
        <w:pStyle w:val="3"/>
        <w:spacing w:line="243" w:lineRule="auto"/>
        <w:rPr>
          <w:color w:val="auto"/>
          <w:highlight w:val="none"/>
        </w:rPr>
      </w:pPr>
    </w:p>
    <w:p w14:paraId="619CFE21">
      <w:pPr>
        <w:pStyle w:val="3"/>
        <w:spacing w:line="243" w:lineRule="auto"/>
        <w:rPr>
          <w:color w:val="auto"/>
          <w:highlight w:val="none"/>
        </w:rPr>
      </w:pPr>
    </w:p>
    <w:p w14:paraId="4E237C91">
      <w:pPr>
        <w:pStyle w:val="3"/>
        <w:spacing w:line="243" w:lineRule="auto"/>
        <w:rPr>
          <w:color w:val="auto"/>
          <w:highlight w:val="none"/>
        </w:rPr>
      </w:pPr>
    </w:p>
    <w:p w14:paraId="15D924B3">
      <w:pPr>
        <w:pStyle w:val="3"/>
        <w:spacing w:line="243" w:lineRule="auto"/>
        <w:rPr>
          <w:color w:val="auto"/>
          <w:highlight w:val="none"/>
        </w:rPr>
      </w:pPr>
    </w:p>
    <w:p w14:paraId="6B24EDC5">
      <w:pPr>
        <w:pStyle w:val="3"/>
        <w:spacing w:line="243" w:lineRule="auto"/>
        <w:rPr>
          <w:color w:val="auto"/>
          <w:highlight w:val="none"/>
        </w:rPr>
      </w:pPr>
    </w:p>
    <w:p w14:paraId="6ACF8211">
      <w:pPr>
        <w:pStyle w:val="3"/>
        <w:spacing w:line="243" w:lineRule="auto"/>
        <w:rPr>
          <w:color w:val="auto"/>
          <w:highlight w:val="none"/>
        </w:rPr>
      </w:pPr>
    </w:p>
    <w:p w14:paraId="7D36CD72">
      <w:pPr>
        <w:pStyle w:val="3"/>
        <w:spacing w:line="243" w:lineRule="auto"/>
        <w:rPr>
          <w:color w:val="auto"/>
          <w:highlight w:val="none"/>
        </w:rPr>
      </w:pPr>
    </w:p>
    <w:p w14:paraId="2DBF24E0">
      <w:pPr>
        <w:pStyle w:val="3"/>
        <w:spacing w:line="243" w:lineRule="auto"/>
        <w:rPr>
          <w:color w:val="auto"/>
          <w:highlight w:val="none"/>
        </w:rPr>
      </w:pPr>
    </w:p>
    <w:p w14:paraId="5EBC6698">
      <w:pPr>
        <w:pStyle w:val="3"/>
        <w:spacing w:line="243" w:lineRule="auto"/>
        <w:rPr>
          <w:color w:val="auto"/>
          <w:highlight w:val="none"/>
        </w:rPr>
      </w:pPr>
    </w:p>
    <w:p w14:paraId="1D28ABEA">
      <w:pPr>
        <w:pStyle w:val="3"/>
        <w:spacing w:line="243" w:lineRule="auto"/>
        <w:rPr>
          <w:color w:val="auto"/>
          <w:highlight w:val="none"/>
        </w:rPr>
      </w:pPr>
    </w:p>
    <w:p w14:paraId="7D2D8555">
      <w:pPr>
        <w:pStyle w:val="3"/>
        <w:spacing w:line="243" w:lineRule="auto"/>
        <w:rPr>
          <w:color w:val="auto"/>
          <w:highlight w:val="none"/>
        </w:rPr>
      </w:pPr>
    </w:p>
    <w:p w14:paraId="08458591">
      <w:pPr>
        <w:pStyle w:val="3"/>
        <w:spacing w:line="243" w:lineRule="auto"/>
        <w:rPr>
          <w:color w:val="auto"/>
          <w:highlight w:val="none"/>
        </w:rPr>
      </w:pPr>
    </w:p>
    <w:p w14:paraId="2FFC3FEA">
      <w:pPr>
        <w:pStyle w:val="3"/>
        <w:spacing w:line="243" w:lineRule="auto"/>
        <w:rPr>
          <w:color w:val="auto"/>
          <w:highlight w:val="none"/>
        </w:rPr>
      </w:pPr>
    </w:p>
    <w:p w14:paraId="684CB44D">
      <w:pPr>
        <w:pStyle w:val="3"/>
        <w:spacing w:line="243" w:lineRule="auto"/>
        <w:rPr>
          <w:color w:val="auto"/>
          <w:highlight w:val="none"/>
        </w:rPr>
      </w:pPr>
    </w:p>
    <w:p w14:paraId="575971E6">
      <w:pPr>
        <w:pStyle w:val="3"/>
        <w:spacing w:line="243" w:lineRule="auto"/>
        <w:rPr>
          <w:color w:val="auto"/>
          <w:highlight w:val="none"/>
        </w:rPr>
      </w:pPr>
    </w:p>
    <w:p w14:paraId="60FCF776">
      <w:pPr>
        <w:pStyle w:val="3"/>
        <w:spacing w:line="243" w:lineRule="auto"/>
        <w:rPr>
          <w:color w:val="auto"/>
          <w:highlight w:val="none"/>
        </w:rPr>
      </w:pPr>
    </w:p>
    <w:p w14:paraId="2F27D2EB">
      <w:pPr>
        <w:pStyle w:val="3"/>
        <w:spacing w:line="243" w:lineRule="auto"/>
        <w:rPr>
          <w:color w:val="auto"/>
          <w:highlight w:val="none"/>
        </w:rPr>
      </w:pPr>
    </w:p>
    <w:p w14:paraId="3BAD34DF">
      <w:pPr>
        <w:pStyle w:val="3"/>
        <w:spacing w:line="243" w:lineRule="auto"/>
        <w:rPr>
          <w:color w:val="auto"/>
          <w:highlight w:val="none"/>
        </w:rPr>
      </w:pPr>
    </w:p>
    <w:p w14:paraId="49DE6A9A">
      <w:pPr>
        <w:pStyle w:val="3"/>
        <w:spacing w:line="243" w:lineRule="auto"/>
        <w:rPr>
          <w:color w:val="auto"/>
          <w:highlight w:val="none"/>
        </w:rPr>
      </w:pPr>
    </w:p>
    <w:p w14:paraId="32390822">
      <w:pPr>
        <w:pStyle w:val="3"/>
        <w:spacing w:line="243" w:lineRule="auto"/>
        <w:rPr>
          <w:color w:val="auto"/>
          <w:highlight w:val="none"/>
        </w:rPr>
      </w:pPr>
    </w:p>
    <w:p w14:paraId="1A80F856">
      <w:pPr>
        <w:spacing w:before="140" w:line="223" w:lineRule="auto"/>
        <w:ind w:left="4315"/>
        <w:rPr>
          <w:rFonts w:ascii="宋体" w:hAnsi="宋体" w:eastAsia="宋体" w:cs="宋体"/>
          <w:color w:val="auto"/>
          <w:sz w:val="43"/>
          <w:szCs w:val="43"/>
          <w:highlight w:val="none"/>
        </w:rPr>
      </w:pPr>
      <w:r>
        <w:rPr>
          <w:rFonts w:ascii="宋体" w:hAnsi="宋体" w:eastAsia="宋体" w:cs="宋体"/>
          <w:b/>
          <w:bCs/>
          <w:color w:val="auto"/>
          <w:spacing w:val="4"/>
          <w:sz w:val="43"/>
          <w:szCs w:val="43"/>
          <w:highlight w:val="none"/>
        </w:rPr>
        <w:t>第三章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评标办法</w:t>
      </w:r>
    </w:p>
    <w:p w14:paraId="0AE118D4">
      <w:pPr>
        <w:spacing w:line="223" w:lineRule="auto"/>
        <w:rPr>
          <w:rFonts w:ascii="宋体" w:hAnsi="宋体" w:eastAsia="宋体" w:cs="宋体"/>
          <w:color w:val="auto"/>
          <w:sz w:val="43"/>
          <w:szCs w:val="43"/>
          <w:highlight w:val="none"/>
        </w:rPr>
        <w:sectPr>
          <w:headerReference r:id="rId38" w:type="default"/>
          <w:footerReference r:id="rId39" w:type="default"/>
          <w:pgSz w:w="11905" w:h="16840"/>
          <w:pgMar w:top="1182" w:right="0" w:bottom="1171" w:left="0" w:header="849" w:footer="937" w:gutter="0"/>
          <w:pgNumType w:fmt="decimal"/>
          <w:cols w:space="720" w:num="1"/>
        </w:sectPr>
      </w:pPr>
    </w:p>
    <w:p w14:paraId="384A4197">
      <w:pPr>
        <w:pStyle w:val="3"/>
        <w:spacing w:line="259" w:lineRule="auto"/>
        <w:rPr>
          <w:color w:val="auto"/>
          <w:highlight w:val="none"/>
        </w:rPr>
      </w:pPr>
    </w:p>
    <w:p w14:paraId="5EC74E36">
      <w:pPr>
        <w:pStyle w:val="3"/>
        <w:spacing w:line="284" w:lineRule="auto"/>
        <w:rPr>
          <w:color w:val="auto"/>
          <w:highlight w:val="none"/>
        </w:rPr>
      </w:pPr>
    </w:p>
    <w:p w14:paraId="5797C97B">
      <w:pPr>
        <w:spacing w:before="101" w:line="224" w:lineRule="auto"/>
        <w:ind w:left="2432"/>
        <w:outlineLvl w:val="0"/>
        <w:rPr>
          <w:rFonts w:ascii="宋体" w:hAnsi="宋体" w:eastAsia="宋体" w:cs="宋体"/>
          <w:color w:val="auto"/>
          <w:sz w:val="31"/>
          <w:szCs w:val="31"/>
          <w:highlight w:val="none"/>
        </w:rPr>
      </w:pPr>
      <w:bookmarkStart w:id="16" w:name="_Toc26781"/>
      <w:r>
        <w:rPr>
          <w:rFonts w:ascii="宋体" w:hAnsi="宋体" w:eastAsia="宋体" w:cs="宋体"/>
          <w:b/>
          <w:bCs/>
          <w:color w:val="auto"/>
          <w:spacing w:val="7"/>
          <w:sz w:val="31"/>
          <w:szCs w:val="31"/>
          <w:highlight w:val="none"/>
        </w:rPr>
        <w:t>第三章</w:t>
      </w:r>
      <w:r>
        <w:rPr>
          <w:rFonts w:ascii="宋体" w:hAnsi="宋体" w:eastAsia="宋体" w:cs="宋体"/>
          <w:color w:val="auto"/>
          <w:spacing w:val="7"/>
          <w:sz w:val="31"/>
          <w:szCs w:val="31"/>
          <w:highlight w:val="none"/>
        </w:rPr>
        <w:t xml:space="preserve"> </w:t>
      </w:r>
      <w:r>
        <w:rPr>
          <w:rFonts w:ascii="宋体" w:hAnsi="宋体" w:eastAsia="宋体" w:cs="宋体"/>
          <w:b/>
          <w:bCs/>
          <w:color w:val="auto"/>
          <w:spacing w:val="7"/>
          <w:sz w:val="31"/>
          <w:szCs w:val="31"/>
          <w:highlight w:val="none"/>
        </w:rPr>
        <w:t>评标办法（双信封的技术评分最低标价法)</w:t>
      </w:r>
      <w:bookmarkEnd w:id="16"/>
    </w:p>
    <w:p w14:paraId="34ED36F2">
      <w:pPr>
        <w:spacing w:before="78" w:line="219" w:lineRule="auto"/>
        <w:ind w:left="1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评标办法前附表</w:t>
      </w:r>
    </w:p>
    <w:p w14:paraId="6B525663">
      <w:pPr>
        <w:spacing w:line="70"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184"/>
        <w:gridCol w:w="7006"/>
      </w:tblGrid>
      <w:tr w14:paraId="4E975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86" w:type="dxa"/>
            <w:gridSpan w:val="2"/>
            <w:vAlign w:val="top"/>
          </w:tcPr>
          <w:p w14:paraId="6CC76AA3">
            <w:pPr>
              <w:pStyle w:val="17"/>
              <w:spacing w:before="225" w:line="220" w:lineRule="auto"/>
              <w:ind w:left="835"/>
              <w:rPr>
                <w:color w:val="auto"/>
                <w:highlight w:val="none"/>
              </w:rPr>
            </w:pPr>
            <w:r>
              <w:rPr>
                <w:b/>
                <w:bCs/>
                <w:color w:val="auto"/>
                <w:spacing w:val="-6"/>
                <w:highlight w:val="none"/>
              </w:rPr>
              <w:t>条款号</w:t>
            </w:r>
          </w:p>
        </w:tc>
        <w:tc>
          <w:tcPr>
            <w:tcW w:w="7006" w:type="dxa"/>
            <w:vAlign w:val="top"/>
          </w:tcPr>
          <w:p w14:paraId="1DA07B85">
            <w:pPr>
              <w:pStyle w:val="17"/>
              <w:spacing w:before="225" w:line="220" w:lineRule="auto"/>
              <w:ind w:left="2560"/>
              <w:rPr>
                <w:color w:val="auto"/>
                <w:highlight w:val="none"/>
              </w:rPr>
            </w:pPr>
            <w:r>
              <w:rPr>
                <w:b/>
                <w:bCs/>
                <w:color w:val="auto"/>
                <w:spacing w:val="-3"/>
                <w:highlight w:val="none"/>
              </w:rPr>
              <w:t>评审因素与评审标准</w:t>
            </w:r>
          </w:p>
        </w:tc>
      </w:tr>
      <w:tr w14:paraId="1C6EF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1102" w:type="dxa"/>
            <w:vAlign w:val="top"/>
          </w:tcPr>
          <w:p w14:paraId="0CE736C5">
            <w:pPr>
              <w:spacing w:line="265" w:lineRule="auto"/>
              <w:rPr>
                <w:rFonts w:ascii="Arial"/>
                <w:color w:val="auto"/>
                <w:sz w:val="21"/>
                <w:highlight w:val="none"/>
              </w:rPr>
            </w:pPr>
          </w:p>
          <w:p w14:paraId="26B4D6CA">
            <w:pPr>
              <w:spacing w:line="265" w:lineRule="auto"/>
              <w:rPr>
                <w:rFonts w:ascii="Arial"/>
                <w:color w:val="auto"/>
                <w:sz w:val="21"/>
                <w:highlight w:val="none"/>
              </w:rPr>
            </w:pPr>
          </w:p>
          <w:p w14:paraId="51BD8177">
            <w:pPr>
              <w:spacing w:line="265" w:lineRule="auto"/>
              <w:rPr>
                <w:rFonts w:ascii="Arial"/>
                <w:color w:val="auto"/>
                <w:sz w:val="21"/>
                <w:highlight w:val="none"/>
              </w:rPr>
            </w:pPr>
          </w:p>
          <w:p w14:paraId="4F81730D">
            <w:pPr>
              <w:spacing w:line="265" w:lineRule="auto"/>
              <w:rPr>
                <w:rFonts w:ascii="Arial"/>
                <w:color w:val="auto"/>
                <w:sz w:val="21"/>
                <w:highlight w:val="none"/>
              </w:rPr>
            </w:pPr>
          </w:p>
          <w:p w14:paraId="32804A70">
            <w:pPr>
              <w:spacing w:line="265" w:lineRule="auto"/>
              <w:rPr>
                <w:rFonts w:ascii="Arial"/>
                <w:color w:val="auto"/>
                <w:sz w:val="21"/>
                <w:highlight w:val="none"/>
              </w:rPr>
            </w:pPr>
          </w:p>
          <w:p w14:paraId="39A367EC">
            <w:pPr>
              <w:spacing w:line="265" w:lineRule="auto"/>
              <w:rPr>
                <w:rFonts w:ascii="Arial"/>
                <w:color w:val="auto"/>
                <w:sz w:val="21"/>
                <w:highlight w:val="none"/>
              </w:rPr>
            </w:pPr>
          </w:p>
          <w:p w14:paraId="5013145C">
            <w:pPr>
              <w:spacing w:line="265" w:lineRule="auto"/>
              <w:rPr>
                <w:rFonts w:ascii="Arial"/>
                <w:color w:val="auto"/>
                <w:sz w:val="21"/>
                <w:highlight w:val="none"/>
              </w:rPr>
            </w:pPr>
          </w:p>
          <w:p w14:paraId="1CDDC34E">
            <w:pPr>
              <w:spacing w:line="265" w:lineRule="auto"/>
              <w:rPr>
                <w:rFonts w:ascii="Arial"/>
                <w:color w:val="auto"/>
                <w:sz w:val="21"/>
                <w:highlight w:val="none"/>
              </w:rPr>
            </w:pPr>
          </w:p>
          <w:p w14:paraId="4E6E5C18">
            <w:pPr>
              <w:pStyle w:val="17"/>
              <w:spacing w:before="68" w:line="241" w:lineRule="auto"/>
              <w:ind w:left="519"/>
              <w:rPr>
                <w:color w:val="auto"/>
                <w:highlight w:val="none"/>
              </w:rPr>
            </w:pPr>
            <w:r>
              <w:rPr>
                <w:color w:val="auto"/>
                <w:highlight w:val="none"/>
              </w:rPr>
              <w:t>1</w:t>
            </w:r>
          </w:p>
        </w:tc>
        <w:tc>
          <w:tcPr>
            <w:tcW w:w="1184" w:type="dxa"/>
            <w:vAlign w:val="top"/>
          </w:tcPr>
          <w:p w14:paraId="4D33151F">
            <w:pPr>
              <w:spacing w:line="265" w:lineRule="auto"/>
              <w:rPr>
                <w:rFonts w:ascii="Arial"/>
                <w:color w:val="auto"/>
                <w:sz w:val="21"/>
                <w:highlight w:val="none"/>
              </w:rPr>
            </w:pPr>
          </w:p>
          <w:p w14:paraId="72587FF7">
            <w:pPr>
              <w:spacing w:line="265" w:lineRule="auto"/>
              <w:rPr>
                <w:rFonts w:ascii="Arial"/>
                <w:color w:val="auto"/>
                <w:sz w:val="21"/>
                <w:highlight w:val="none"/>
              </w:rPr>
            </w:pPr>
          </w:p>
          <w:p w14:paraId="7158C5AF">
            <w:pPr>
              <w:spacing w:line="265" w:lineRule="auto"/>
              <w:rPr>
                <w:rFonts w:ascii="Arial"/>
                <w:color w:val="auto"/>
                <w:sz w:val="21"/>
                <w:highlight w:val="none"/>
              </w:rPr>
            </w:pPr>
          </w:p>
          <w:p w14:paraId="552C8A8E">
            <w:pPr>
              <w:spacing w:line="265" w:lineRule="auto"/>
              <w:rPr>
                <w:rFonts w:ascii="Arial"/>
                <w:color w:val="auto"/>
                <w:sz w:val="21"/>
                <w:highlight w:val="none"/>
              </w:rPr>
            </w:pPr>
          </w:p>
          <w:p w14:paraId="4F37995A">
            <w:pPr>
              <w:spacing w:line="265" w:lineRule="auto"/>
              <w:rPr>
                <w:rFonts w:ascii="Arial"/>
                <w:color w:val="auto"/>
                <w:sz w:val="21"/>
                <w:highlight w:val="none"/>
              </w:rPr>
            </w:pPr>
          </w:p>
          <w:p w14:paraId="533689F7">
            <w:pPr>
              <w:spacing w:line="265" w:lineRule="auto"/>
              <w:rPr>
                <w:rFonts w:ascii="Arial"/>
                <w:color w:val="auto"/>
                <w:sz w:val="21"/>
                <w:highlight w:val="none"/>
              </w:rPr>
            </w:pPr>
          </w:p>
          <w:p w14:paraId="40F4B63D">
            <w:pPr>
              <w:spacing w:line="265" w:lineRule="auto"/>
              <w:rPr>
                <w:rFonts w:ascii="Arial"/>
                <w:color w:val="auto"/>
                <w:sz w:val="21"/>
                <w:highlight w:val="none"/>
              </w:rPr>
            </w:pPr>
          </w:p>
          <w:p w14:paraId="085C6E8D">
            <w:pPr>
              <w:spacing w:line="265" w:lineRule="auto"/>
              <w:rPr>
                <w:rFonts w:ascii="Arial"/>
                <w:color w:val="auto"/>
                <w:sz w:val="21"/>
                <w:highlight w:val="none"/>
              </w:rPr>
            </w:pPr>
          </w:p>
          <w:p w14:paraId="196F89A8">
            <w:pPr>
              <w:pStyle w:val="17"/>
              <w:spacing w:before="68" w:line="220" w:lineRule="auto"/>
              <w:ind w:left="173"/>
              <w:rPr>
                <w:color w:val="auto"/>
                <w:highlight w:val="none"/>
              </w:rPr>
            </w:pPr>
            <w:r>
              <w:rPr>
                <w:color w:val="auto"/>
                <w:spacing w:val="-2"/>
                <w:highlight w:val="none"/>
              </w:rPr>
              <w:t>评标方法</w:t>
            </w:r>
          </w:p>
        </w:tc>
        <w:tc>
          <w:tcPr>
            <w:tcW w:w="7006" w:type="dxa"/>
            <w:vAlign w:val="top"/>
          </w:tcPr>
          <w:p w14:paraId="602CE8A9">
            <w:pPr>
              <w:pStyle w:val="17"/>
              <w:spacing w:before="2" w:line="339" w:lineRule="auto"/>
              <w:ind w:left="107" w:right="102" w:firstLine="10"/>
              <w:rPr>
                <w:color w:val="auto"/>
                <w:highlight w:val="none"/>
              </w:rPr>
            </w:pPr>
            <w:r>
              <w:rPr>
                <w:color w:val="auto"/>
                <w:spacing w:val="1"/>
                <w:highlight w:val="none"/>
              </w:rPr>
              <w:t>评标价相等时，评标委员会依次按照以下优先顺序推荐中标候选人或确定</w:t>
            </w:r>
            <w:r>
              <w:rPr>
                <w:color w:val="auto"/>
                <w:spacing w:val="-15"/>
                <w:highlight w:val="none"/>
              </w:rPr>
              <w:t>中标人：</w:t>
            </w:r>
          </w:p>
          <w:p w14:paraId="6785AEC1">
            <w:pPr>
              <w:pStyle w:val="17"/>
              <w:spacing w:before="2" w:line="339" w:lineRule="auto"/>
              <w:ind w:left="107" w:right="102" w:firstLine="10"/>
              <w:rPr>
                <w:color w:val="auto"/>
                <w:highlight w:val="none"/>
              </w:rPr>
            </w:pPr>
            <w:r>
              <w:rPr>
                <w:color w:val="auto"/>
                <w:spacing w:val="-2"/>
                <w:highlight w:val="none"/>
              </w:rPr>
              <w:t>（1）按招标文件规定被认定为广东省交通运输厅最新年度发布的公路工程</w:t>
            </w:r>
            <w:r>
              <w:rPr>
                <w:color w:val="auto"/>
                <w:spacing w:val="4"/>
                <w:highlight w:val="none"/>
              </w:rPr>
              <w:t>从业单位信用评价等级（</w:t>
            </w:r>
            <w:r>
              <w:rPr>
                <w:rFonts w:hint="eastAsia"/>
                <w:color w:val="auto"/>
                <w:spacing w:val="4"/>
                <w:highlight w:val="none"/>
                <w:u w:val="single" w:color="auto"/>
                <w:lang w:val="en-US" w:eastAsia="zh-CN"/>
              </w:rPr>
              <w:t>土建</w:t>
            </w:r>
            <w:r>
              <w:rPr>
                <w:color w:val="auto"/>
                <w:spacing w:val="4"/>
                <w:highlight w:val="none"/>
                <w:u w:val="single" w:color="auto"/>
              </w:rPr>
              <w:t>施工单位</w:t>
            </w:r>
            <w:r>
              <w:rPr>
                <w:color w:val="auto"/>
                <w:spacing w:val="-5"/>
                <w:position w:val="10"/>
                <w:sz w:val="10"/>
                <w:szCs w:val="10"/>
                <w:highlight w:val="none"/>
              </w:rPr>
              <w:t xml:space="preserve"> </w:t>
            </w:r>
            <w:r>
              <w:rPr>
                <w:color w:val="auto"/>
                <w:spacing w:val="4"/>
                <w:highlight w:val="none"/>
              </w:rPr>
              <w:t>)较高的投标人优先（采用如下的优</w:t>
            </w:r>
            <w:r>
              <w:rPr>
                <w:color w:val="auto"/>
                <w:spacing w:val="1"/>
                <w:highlight w:val="none"/>
              </w:rPr>
              <w:t>先顺序：承诺使用的</w:t>
            </w:r>
            <w:r>
              <w:rPr>
                <w:color w:val="auto"/>
                <w:spacing w:val="-45"/>
                <w:highlight w:val="none"/>
              </w:rPr>
              <w:t xml:space="preserve"> </w:t>
            </w:r>
            <w:r>
              <w:rPr>
                <w:color w:val="auto"/>
                <w:highlight w:val="none"/>
              </w:rPr>
              <w:t>AA</w:t>
            </w:r>
            <w:r>
              <w:rPr>
                <w:color w:val="auto"/>
                <w:spacing w:val="-42"/>
                <w:highlight w:val="none"/>
              </w:rPr>
              <w:t xml:space="preserve"> </w:t>
            </w:r>
            <w:r>
              <w:rPr>
                <w:color w:val="auto"/>
                <w:spacing w:val="1"/>
                <w:highlight w:val="none"/>
              </w:rPr>
              <w:t>级投标人、不承诺使用的</w:t>
            </w:r>
            <w:r>
              <w:rPr>
                <w:color w:val="auto"/>
                <w:spacing w:val="-44"/>
                <w:highlight w:val="none"/>
              </w:rPr>
              <w:t xml:space="preserve"> </w:t>
            </w:r>
            <w:r>
              <w:rPr>
                <w:color w:val="auto"/>
                <w:highlight w:val="none"/>
              </w:rPr>
              <w:t>AA</w:t>
            </w:r>
            <w:r>
              <w:rPr>
                <w:color w:val="auto"/>
                <w:spacing w:val="-40"/>
                <w:highlight w:val="none"/>
              </w:rPr>
              <w:t xml:space="preserve"> </w:t>
            </w:r>
            <w:r>
              <w:rPr>
                <w:color w:val="auto"/>
                <w:spacing w:val="1"/>
                <w:highlight w:val="none"/>
              </w:rPr>
              <w:t>级投标</w:t>
            </w:r>
            <w:r>
              <w:rPr>
                <w:color w:val="auto"/>
                <w:highlight w:val="none"/>
              </w:rPr>
              <w:t>人、承诺使用</w:t>
            </w:r>
            <w:r>
              <w:rPr>
                <w:color w:val="auto"/>
                <w:spacing w:val="-4"/>
                <w:highlight w:val="none"/>
              </w:rPr>
              <w:t>的</w:t>
            </w:r>
            <w:r>
              <w:rPr>
                <w:color w:val="auto"/>
                <w:spacing w:val="-48"/>
                <w:highlight w:val="none"/>
              </w:rPr>
              <w:t xml:space="preserve"> </w:t>
            </w:r>
            <w:r>
              <w:rPr>
                <w:color w:val="auto"/>
                <w:spacing w:val="-4"/>
                <w:highlight w:val="none"/>
              </w:rPr>
              <w:t>A</w:t>
            </w:r>
            <w:r>
              <w:rPr>
                <w:color w:val="auto"/>
                <w:spacing w:val="-40"/>
                <w:highlight w:val="none"/>
              </w:rPr>
              <w:t xml:space="preserve"> </w:t>
            </w:r>
            <w:r>
              <w:rPr>
                <w:color w:val="auto"/>
                <w:spacing w:val="-4"/>
                <w:highlight w:val="none"/>
              </w:rPr>
              <w:t>级投标人、不承诺使用的</w:t>
            </w:r>
            <w:r>
              <w:rPr>
                <w:color w:val="auto"/>
                <w:spacing w:val="-50"/>
                <w:highlight w:val="none"/>
              </w:rPr>
              <w:t xml:space="preserve"> </w:t>
            </w:r>
            <w:r>
              <w:rPr>
                <w:color w:val="auto"/>
                <w:spacing w:val="-4"/>
                <w:highlight w:val="none"/>
              </w:rPr>
              <w:t>A</w:t>
            </w:r>
            <w:r>
              <w:rPr>
                <w:color w:val="auto"/>
                <w:spacing w:val="-40"/>
                <w:highlight w:val="none"/>
              </w:rPr>
              <w:t xml:space="preserve"> </w:t>
            </w:r>
            <w:r>
              <w:rPr>
                <w:color w:val="auto"/>
                <w:spacing w:val="-4"/>
                <w:highlight w:val="none"/>
              </w:rPr>
              <w:t>级投标人、B</w:t>
            </w:r>
            <w:r>
              <w:rPr>
                <w:color w:val="auto"/>
                <w:spacing w:val="-40"/>
                <w:highlight w:val="none"/>
              </w:rPr>
              <w:t xml:space="preserve"> </w:t>
            </w:r>
            <w:r>
              <w:rPr>
                <w:color w:val="auto"/>
                <w:spacing w:val="-4"/>
                <w:highlight w:val="none"/>
              </w:rPr>
              <w:t>级投标人、未参评且被确定为</w:t>
            </w:r>
            <w:r>
              <w:rPr>
                <w:color w:val="auto"/>
                <w:spacing w:val="-9"/>
                <w:highlight w:val="none"/>
              </w:rPr>
              <w:t>B</w:t>
            </w:r>
            <w:r>
              <w:rPr>
                <w:color w:val="auto"/>
                <w:spacing w:val="-43"/>
                <w:highlight w:val="none"/>
              </w:rPr>
              <w:t xml:space="preserve"> </w:t>
            </w:r>
            <w:r>
              <w:rPr>
                <w:color w:val="auto"/>
                <w:spacing w:val="-9"/>
                <w:highlight w:val="none"/>
              </w:rPr>
              <w:t>级投标人</w:t>
            </w:r>
            <w:r>
              <w:rPr>
                <w:color w:val="auto"/>
                <w:spacing w:val="-5"/>
                <w:highlight w:val="none"/>
              </w:rPr>
              <w:t>）；</w:t>
            </w:r>
          </w:p>
          <w:p w14:paraId="6EC4DCCE">
            <w:pPr>
              <w:pStyle w:val="17"/>
              <w:spacing w:before="2" w:line="339" w:lineRule="auto"/>
              <w:ind w:left="107" w:right="102" w:firstLine="10"/>
              <w:rPr>
                <w:color w:val="auto"/>
                <w:highlight w:val="none"/>
              </w:rPr>
            </w:pPr>
            <w:r>
              <w:rPr>
                <w:color w:val="auto"/>
                <w:spacing w:val="-3"/>
                <w:highlight w:val="none"/>
              </w:rPr>
              <w:t>（2）以投标人企业最新年度净资产较高的优先；</w:t>
            </w:r>
          </w:p>
          <w:p w14:paraId="2E47B56E">
            <w:pPr>
              <w:pStyle w:val="17"/>
              <w:spacing w:before="2" w:line="339" w:lineRule="auto"/>
              <w:ind w:left="107" w:right="102" w:firstLine="10"/>
              <w:rPr>
                <w:color w:val="auto"/>
                <w:highlight w:val="none"/>
              </w:rPr>
            </w:pPr>
            <w:r>
              <w:rPr>
                <w:color w:val="auto"/>
                <w:spacing w:val="-2"/>
                <w:highlight w:val="none"/>
              </w:rPr>
              <w:t>（3）评标委员会视投标人情况综合比较，投票确定其名次。</w:t>
            </w:r>
          </w:p>
        </w:tc>
      </w:tr>
      <w:tr w14:paraId="780C9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02" w:type="dxa"/>
            <w:vAlign w:val="top"/>
          </w:tcPr>
          <w:p w14:paraId="1C89B8B9">
            <w:pPr>
              <w:spacing w:line="248" w:lineRule="auto"/>
              <w:rPr>
                <w:rFonts w:ascii="Arial"/>
                <w:color w:val="auto"/>
                <w:sz w:val="21"/>
                <w:highlight w:val="none"/>
              </w:rPr>
            </w:pPr>
          </w:p>
          <w:p w14:paraId="7B88CB3E">
            <w:pPr>
              <w:spacing w:line="248" w:lineRule="auto"/>
              <w:rPr>
                <w:rFonts w:ascii="Arial"/>
                <w:color w:val="auto"/>
                <w:sz w:val="21"/>
                <w:highlight w:val="none"/>
              </w:rPr>
            </w:pPr>
          </w:p>
          <w:p w14:paraId="293DE64B">
            <w:pPr>
              <w:spacing w:line="248" w:lineRule="auto"/>
              <w:rPr>
                <w:rFonts w:ascii="Arial"/>
                <w:color w:val="auto"/>
                <w:sz w:val="21"/>
                <w:highlight w:val="none"/>
              </w:rPr>
            </w:pPr>
          </w:p>
          <w:p w14:paraId="246CFFDC">
            <w:pPr>
              <w:spacing w:line="248" w:lineRule="auto"/>
              <w:rPr>
                <w:rFonts w:ascii="Arial"/>
                <w:color w:val="auto"/>
                <w:sz w:val="21"/>
                <w:highlight w:val="none"/>
              </w:rPr>
            </w:pPr>
          </w:p>
          <w:p w14:paraId="3E5EA10E">
            <w:pPr>
              <w:spacing w:line="249" w:lineRule="auto"/>
              <w:rPr>
                <w:rFonts w:ascii="Arial"/>
                <w:color w:val="auto"/>
                <w:sz w:val="21"/>
                <w:highlight w:val="none"/>
              </w:rPr>
            </w:pPr>
          </w:p>
          <w:p w14:paraId="25F207B6">
            <w:pPr>
              <w:spacing w:line="249" w:lineRule="auto"/>
              <w:rPr>
                <w:rFonts w:ascii="Arial"/>
                <w:color w:val="auto"/>
                <w:sz w:val="21"/>
                <w:highlight w:val="none"/>
              </w:rPr>
            </w:pPr>
          </w:p>
          <w:p w14:paraId="7E56B081">
            <w:pPr>
              <w:spacing w:line="249" w:lineRule="auto"/>
              <w:rPr>
                <w:rFonts w:ascii="Arial"/>
                <w:color w:val="auto"/>
                <w:sz w:val="21"/>
                <w:highlight w:val="none"/>
              </w:rPr>
            </w:pPr>
          </w:p>
          <w:p w14:paraId="051B75FC">
            <w:pPr>
              <w:spacing w:line="249" w:lineRule="auto"/>
              <w:rPr>
                <w:rFonts w:ascii="Arial"/>
                <w:color w:val="auto"/>
                <w:sz w:val="21"/>
                <w:highlight w:val="none"/>
              </w:rPr>
            </w:pPr>
          </w:p>
          <w:p w14:paraId="6BDB01FD">
            <w:pPr>
              <w:spacing w:line="249" w:lineRule="auto"/>
              <w:rPr>
                <w:rFonts w:ascii="Arial"/>
                <w:color w:val="auto"/>
                <w:sz w:val="21"/>
                <w:highlight w:val="none"/>
              </w:rPr>
            </w:pPr>
          </w:p>
          <w:p w14:paraId="3075D16C">
            <w:pPr>
              <w:spacing w:line="249" w:lineRule="auto"/>
              <w:rPr>
                <w:rFonts w:ascii="Arial"/>
                <w:color w:val="auto"/>
                <w:sz w:val="21"/>
                <w:highlight w:val="none"/>
              </w:rPr>
            </w:pPr>
          </w:p>
          <w:p w14:paraId="58DB8E5F">
            <w:pPr>
              <w:spacing w:line="249" w:lineRule="auto"/>
              <w:rPr>
                <w:rFonts w:ascii="Arial"/>
                <w:color w:val="auto"/>
                <w:sz w:val="21"/>
                <w:highlight w:val="none"/>
              </w:rPr>
            </w:pPr>
          </w:p>
          <w:p w14:paraId="5C23EEBC">
            <w:pPr>
              <w:pStyle w:val="17"/>
              <w:spacing w:before="69" w:line="239" w:lineRule="auto"/>
              <w:ind w:left="296"/>
              <w:rPr>
                <w:color w:val="auto"/>
                <w:highlight w:val="none"/>
              </w:rPr>
            </w:pPr>
            <w:r>
              <w:rPr>
                <w:color w:val="auto"/>
                <w:spacing w:val="-2"/>
                <w:highlight w:val="none"/>
              </w:rPr>
              <w:t>2.1.1</w:t>
            </w:r>
          </w:p>
          <w:p w14:paraId="4528FB5E">
            <w:pPr>
              <w:pStyle w:val="17"/>
              <w:spacing w:before="128" w:line="239" w:lineRule="auto"/>
              <w:ind w:left="296"/>
              <w:rPr>
                <w:color w:val="auto"/>
                <w:highlight w:val="none"/>
              </w:rPr>
            </w:pPr>
            <w:r>
              <w:rPr>
                <w:color w:val="auto"/>
                <w:spacing w:val="-2"/>
                <w:highlight w:val="none"/>
              </w:rPr>
              <w:t>2.1.3</w:t>
            </w:r>
          </w:p>
        </w:tc>
        <w:tc>
          <w:tcPr>
            <w:tcW w:w="1184" w:type="dxa"/>
            <w:vAlign w:val="top"/>
          </w:tcPr>
          <w:p w14:paraId="4D2E1AD3">
            <w:pPr>
              <w:spacing w:line="253" w:lineRule="auto"/>
              <w:rPr>
                <w:rFonts w:ascii="Arial"/>
                <w:color w:val="auto"/>
                <w:sz w:val="21"/>
                <w:highlight w:val="none"/>
              </w:rPr>
            </w:pPr>
          </w:p>
          <w:p w14:paraId="02FEAB96">
            <w:pPr>
              <w:spacing w:line="253" w:lineRule="auto"/>
              <w:rPr>
                <w:rFonts w:ascii="Arial"/>
                <w:color w:val="auto"/>
                <w:sz w:val="21"/>
                <w:highlight w:val="none"/>
              </w:rPr>
            </w:pPr>
          </w:p>
          <w:p w14:paraId="5A0CF28A">
            <w:pPr>
              <w:spacing w:line="254" w:lineRule="auto"/>
              <w:rPr>
                <w:rFonts w:ascii="Arial"/>
                <w:color w:val="auto"/>
                <w:sz w:val="21"/>
                <w:highlight w:val="none"/>
              </w:rPr>
            </w:pPr>
          </w:p>
          <w:p w14:paraId="0BD63AD6">
            <w:pPr>
              <w:spacing w:line="254" w:lineRule="auto"/>
              <w:rPr>
                <w:rFonts w:ascii="Arial"/>
                <w:color w:val="auto"/>
                <w:sz w:val="21"/>
                <w:highlight w:val="none"/>
              </w:rPr>
            </w:pPr>
          </w:p>
          <w:p w14:paraId="49376527">
            <w:pPr>
              <w:spacing w:line="254" w:lineRule="auto"/>
              <w:rPr>
                <w:rFonts w:ascii="Arial"/>
                <w:color w:val="auto"/>
                <w:sz w:val="21"/>
                <w:highlight w:val="none"/>
              </w:rPr>
            </w:pPr>
          </w:p>
          <w:p w14:paraId="651E07CC">
            <w:pPr>
              <w:spacing w:line="254" w:lineRule="auto"/>
              <w:rPr>
                <w:rFonts w:ascii="Arial"/>
                <w:color w:val="auto"/>
                <w:sz w:val="21"/>
                <w:highlight w:val="none"/>
              </w:rPr>
            </w:pPr>
          </w:p>
          <w:p w14:paraId="599FE8DB">
            <w:pPr>
              <w:spacing w:line="254" w:lineRule="auto"/>
              <w:rPr>
                <w:rFonts w:ascii="Arial"/>
                <w:color w:val="auto"/>
                <w:sz w:val="21"/>
                <w:highlight w:val="none"/>
              </w:rPr>
            </w:pPr>
          </w:p>
          <w:p w14:paraId="710349F7">
            <w:pPr>
              <w:spacing w:line="254" w:lineRule="auto"/>
              <w:rPr>
                <w:rFonts w:ascii="Arial"/>
                <w:color w:val="auto"/>
                <w:sz w:val="21"/>
                <w:highlight w:val="none"/>
              </w:rPr>
            </w:pPr>
          </w:p>
          <w:p w14:paraId="1C014F77">
            <w:pPr>
              <w:spacing w:line="254" w:lineRule="auto"/>
              <w:rPr>
                <w:rFonts w:ascii="Arial"/>
                <w:color w:val="auto"/>
                <w:sz w:val="21"/>
                <w:highlight w:val="none"/>
              </w:rPr>
            </w:pPr>
          </w:p>
          <w:p w14:paraId="03DFB142">
            <w:pPr>
              <w:spacing w:line="254" w:lineRule="auto"/>
              <w:rPr>
                <w:rFonts w:ascii="Arial"/>
                <w:color w:val="auto"/>
                <w:sz w:val="21"/>
                <w:highlight w:val="none"/>
              </w:rPr>
            </w:pPr>
          </w:p>
          <w:p w14:paraId="069448E0">
            <w:pPr>
              <w:pStyle w:val="17"/>
              <w:spacing w:before="68" w:line="351" w:lineRule="auto"/>
              <w:ind w:left="177" w:right="172" w:hanging="1"/>
              <w:rPr>
                <w:color w:val="auto"/>
                <w:highlight w:val="none"/>
              </w:rPr>
            </w:pPr>
            <w:r>
              <w:rPr>
                <w:color w:val="auto"/>
                <w:spacing w:val="-3"/>
                <w:highlight w:val="none"/>
              </w:rPr>
              <w:t>形式评审</w:t>
            </w:r>
            <w:r>
              <w:rPr>
                <w:color w:val="auto"/>
                <w:spacing w:val="-4"/>
                <w:highlight w:val="none"/>
              </w:rPr>
              <w:t>与响应性</w:t>
            </w:r>
          </w:p>
          <w:p w14:paraId="7309F20C">
            <w:pPr>
              <w:pStyle w:val="17"/>
              <w:spacing w:line="220" w:lineRule="auto"/>
              <w:ind w:left="173"/>
              <w:rPr>
                <w:color w:val="auto"/>
                <w:highlight w:val="none"/>
              </w:rPr>
            </w:pPr>
            <w:r>
              <w:rPr>
                <w:color w:val="auto"/>
                <w:spacing w:val="-2"/>
                <w:highlight w:val="none"/>
              </w:rPr>
              <w:t>评审标准</w:t>
            </w:r>
          </w:p>
        </w:tc>
        <w:tc>
          <w:tcPr>
            <w:tcW w:w="7006" w:type="dxa"/>
            <w:vAlign w:val="top"/>
          </w:tcPr>
          <w:p w14:paraId="435838DE">
            <w:pPr>
              <w:pStyle w:val="17"/>
              <w:spacing w:before="2" w:line="339" w:lineRule="auto"/>
              <w:ind w:left="107" w:right="102" w:firstLine="10"/>
              <w:rPr>
                <w:color w:val="auto"/>
                <w:highlight w:val="none"/>
              </w:rPr>
            </w:pPr>
            <w:r>
              <w:rPr>
                <w:b/>
                <w:bCs/>
                <w:color w:val="auto"/>
                <w:spacing w:val="-3"/>
                <w:highlight w:val="none"/>
              </w:rPr>
              <w:t>第一个信封（商务及技术文件）评审标准：</w:t>
            </w:r>
          </w:p>
          <w:p w14:paraId="4E238EFF">
            <w:pPr>
              <w:pStyle w:val="17"/>
              <w:spacing w:before="2" w:line="339" w:lineRule="auto"/>
              <w:ind w:left="107" w:right="102" w:firstLine="10"/>
              <w:rPr>
                <w:color w:val="auto"/>
                <w:highlight w:val="none"/>
              </w:rPr>
            </w:pPr>
            <w:r>
              <w:rPr>
                <w:color w:val="auto"/>
                <w:spacing w:val="-2"/>
                <w:highlight w:val="none"/>
              </w:rPr>
              <w:t>（1）投标文件按照招标文件规定的格式、内容填写，字迹清晰可辨：</w:t>
            </w:r>
          </w:p>
          <w:p w14:paraId="321B6402">
            <w:pPr>
              <w:pStyle w:val="17"/>
              <w:spacing w:before="2" w:line="339" w:lineRule="auto"/>
              <w:ind w:left="107" w:right="102" w:firstLine="10"/>
              <w:rPr>
                <w:color w:val="auto"/>
                <w:highlight w:val="none"/>
              </w:rPr>
            </w:pPr>
            <w:r>
              <w:rPr>
                <w:color w:val="auto"/>
                <w:spacing w:val="-1"/>
                <w:highlight w:val="none"/>
              </w:rPr>
              <w:t>a.投标函按</w:t>
            </w:r>
            <w:r>
              <w:rPr>
                <w:color w:val="auto"/>
                <w:spacing w:val="-2"/>
                <w:highlight w:val="none"/>
              </w:rPr>
              <w:t>招标</w:t>
            </w:r>
            <w:r>
              <w:rPr>
                <w:color w:val="auto"/>
                <w:spacing w:val="-1"/>
                <w:highlight w:val="none"/>
              </w:rPr>
              <w:t>文件规定填报了项目名称、标段</w:t>
            </w:r>
            <w:r>
              <w:rPr>
                <w:color w:val="auto"/>
                <w:spacing w:val="-2"/>
                <w:highlight w:val="none"/>
              </w:rPr>
              <w:t>号（如有)、工期、工程质</w:t>
            </w:r>
            <w:r>
              <w:rPr>
                <w:color w:val="auto"/>
                <w:spacing w:val="-6"/>
                <w:highlight w:val="none"/>
              </w:rPr>
              <w:t>量要求及安全目标；</w:t>
            </w:r>
          </w:p>
          <w:p w14:paraId="371B0D6C">
            <w:pPr>
              <w:pStyle w:val="17"/>
              <w:spacing w:before="2" w:line="339" w:lineRule="auto"/>
              <w:ind w:left="107" w:right="102" w:firstLine="10"/>
              <w:rPr>
                <w:color w:val="auto"/>
                <w:highlight w:val="none"/>
              </w:rPr>
            </w:pPr>
            <w:r>
              <w:rPr>
                <w:color w:val="auto"/>
                <w:spacing w:val="-3"/>
                <w:highlight w:val="none"/>
              </w:rPr>
              <w:t>b.投标函</w:t>
            </w:r>
            <w:r>
              <w:rPr>
                <w:color w:val="auto"/>
                <w:spacing w:val="-2"/>
                <w:highlight w:val="none"/>
              </w:rPr>
              <w:t>附录</w:t>
            </w:r>
            <w:r>
              <w:rPr>
                <w:color w:val="auto"/>
                <w:spacing w:val="-3"/>
                <w:highlight w:val="none"/>
              </w:rPr>
              <w:t>的所有数据均符合招标文件规定；</w:t>
            </w:r>
          </w:p>
          <w:p w14:paraId="627DC757">
            <w:pPr>
              <w:pStyle w:val="17"/>
              <w:spacing w:before="2" w:line="339" w:lineRule="auto"/>
              <w:ind w:left="107" w:right="102" w:firstLine="10"/>
              <w:rPr>
                <w:color w:val="auto"/>
                <w:highlight w:val="none"/>
              </w:rPr>
            </w:pPr>
            <w:r>
              <w:rPr>
                <w:color w:val="auto"/>
                <w:spacing w:val="-2"/>
                <w:highlight w:val="none"/>
              </w:rPr>
              <w:t>c.投标文件组成齐全完整，内容均按规定填写。</w:t>
            </w:r>
          </w:p>
          <w:p w14:paraId="54D4CD9E">
            <w:pPr>
              <w:pStyle w:val="17"/>
              <w:spacing w:before="2" w:line="339" w:lineRule="auto"/>
              <w:ind w:left="107" w:right="102" w:firstLine="10"/>
              <w:rPr>
                <w:color w:val="auto"/>
                <w:highlight w:val="none"/>
              </w:rPr>
            </w:pPr>
            <w:r>
              <w:rPr>
                <w:color w:val="auto"/>
                <w:spacing w:val="-2"/>
                <w:highlight w:val="none"/>
              </w:rPr>
              <w:t>（2）投标文件上法定代表人或其委托代理人的签字、投标人的单位章盖章</w:t>
            </w:r>
            <w:r>
              <w:rPr>
                <w:color w:val="auto"/>
                <w:spacing w:val="-3"/>
                <w:highlight w:val="none"/>
              </w:rPr>
              <w:t>齐全，符合招标文件规定。</w:t>
            </w:r>
          </w:p>
          <w:p w14:paraId="247A4C66">
            <w:pPr>
              <w:pStyle w:val="17"/>
              <w:spacing w:before="2" w:line="339" w:lineRule="auto"/>
              <w:ind w:left="107" w:right="102" w:firstLine="10"/>
              <w:rPr>
                <w:color w:val="auto"/>
                <w:highlight w:val="none"/>
              </w:rPr>
            </w:pPr>
            <w:r>
              <w:rPr>
                <w:color w:val="auto"/>
                <w:spacing w:val="-2"/>
                <w:highlight w:val="none"/>
              </w:rPr>
              <w:t>（</w:t>
            </w:r>
            <w:r>
              <w:rPr>
                <w:rFonts w:hint="eastAsia"/>
                <w:color w:val="auto"/>
                <w:spacing w:val="-2"/>
                <w:highlight w:val="none"/>
                <w:lang w:val="en-US" w:eastAsia="zh-CN"/>
              </w:rPr>
              <w:t>3</w:t>
            </w:r>
            <w:r>
              <w:rPr>
                <w:color w:val="auto"/>
                <w:spacing w:val="-2"/>
                <w:highlight w:val="none"/>
              </w:rPr>
              <w:t>）投标人法定代表人授权委托代理人签署投标文件的，需提交授权委托</w:t>
            </w:r>
            <w:r>
              <w:rPr>
                <w:color w:val="auto"/>
                <w:spacing w:val="1"/>
                <w:highlight w:val="none"/>
              </w:rPr>
              <w:t>书，且授权人和被授权人均在授权委托书上使用个人电子签名章进行签名</w:t>
            </w:r>
            <w:r>
              <w:rPr>
                <w:color w:val="auto"/>
                <w:spacing w:val="-6"/>
                <w:highlight w:val="none"/>
              </w:rPr>
              <w:t>或亲笔签名。</w:t>
            </w:r>
          </w:p>
          <w:p w14:paraId="343947BE">
            <w:pPr>
              <w:pStyle w:val="17"/>
              <w:spacing w:before="2" w:line="339" w:lineRule="auto"/>
              <w:ind w:left="107" w:right="102" w:firstLine="10"/>
              <w:rPr>
                <w:color w:val="auto"/>
                <w:highlight w:val="none"/>
              </w:rPr>
            </w:pPr>
            <w:r>
              <w:rPr>
                <w:color w:val="auto"/>
                <w:spacing w:val="-6"/>
                <w:highlight w:val="none"/>
              </w:rPr>
              <w:t>（</w:t>
            </w:r>
            <w:r>
              <w:rPr>
                <w:rFonts w:hint="eastAsia"/>
                <w:color w:val="auto"/>
                <w:spacing w:val="-6"/>
                <w:highlight w:val="none"/>
                <w:lang w:val="en-US" w:eastAsia="zh-CN"/>
              </w:rPr>
              <w:t>4</w:t>
            </w:r>
            <w:r>
              <w:rPr>
                <w:color w:val="auto"/>
                <w:spacing w:val="-6"/>
                <w:highlight w:val="none"/>
              </w:rPr>
              <w:t>）投标人</w:t>
            </w:r>
            <w:r>
              <w:rPr>
                <w:color w:val="auto"/>
                <w:spacing w:val="-2"/>
                <w:highlight w:val="none"/>
              </w:rPr>
              <w:t>法定</w:t>
            </w:r>
            <w:r>
              <w:rPr>
                <w:color w:val="auto"/>
                <w:spacing w:val="-6"/>
                <w:highlight w:val="none"/>
              </w:rPr>
              <w:t>代表人亲自签署投标文件的，提供了法定代表人身份证明，</w:t>
            </w:r>
            <w:r>
              <w:rPr>
                <w:color w:val="auto"/>
                <w:spacing w:val="1"/>
                <w:highlight w:val="none"/>
              </w:rPr>
              <w:t>且法定代表人在法定代表人身份证明上使用个人电子签名章进行签名或亲</w:t>
            </w:r>
            <w:r>
              <w:rPr>
                <w:color w:val="auto"/>
                <w:spacing w:val="-8"/>
                <w:highlight w:val="none"/>
              </w:rPr>
              <w:t>笔签名。</w:t>
            </w:r>
          </w:p>
          <w:p w14:paraId="73385B28">
            <w:pPr>
              <w:pStyle w:val="17"/>
              <w:spacing w:before="2" w:line="339" w:lineRule="auto"/>
              <w:ind w:left="107" w:right="102" w:firstLine="10"/>
              <w:rPr>
                <w:rFonts w:hint="eastAsia" w:eastAsiaTheme="minorEastAsia"/>
                <w:color w:val="auto"/>
                <w:highlight w:val="none"/>
                <w:lang w:eastAsia="zh-CN"/>
              </w:rPr>
            </w:pPr>
            <w:r>
              <w:rPr>
                <w:color w:val="auto"/>
                <w:spacing w:val="-2"/>
                <w:highlight w:val="none"/>
              </w:rPr>
              <w:t>（</w:t>
            </w:r>
            <w:r>
              <w:rPr>
                <w:rFonts w:hint="eastAsia"/>
                <w:color w:val="auto"/>
                <w:spacing w:val="-2"/>
                <w:highlight w:val="none"/>
                <w:lang w:val="en-US" w:eastAsia="zh-CN"/>
              </w:rPr>
              <w:t>5</w:t>
            </w:r>
            <w:r>
              <w:rPr>
                <w:color w:val="auto"/>
                <w:spacing w:val="-2"/>
                <w:highlight w:val="none"/>
              </w:rPr>
              <w:t>）</w:t>
            </w:r>
            <w:r>
              <w:rPr>
                <w:rFonts w:hint="eastAsia" w:asciiTheme="minorEastAsia" w:hAnsiTheme="minorEastAsia" w:eastAsiaTheme="minorEastAsia" w:cstheme="minorEastAsia"/>
                <w:color w:val="auto"/>
                <w:sz w:val="21"/>
                <w:szCs w:val="21"/>
                <w:highlight w:val="none"/>
                <w:u w:val="single"/>
              </w:rPr>
              <w:t>投标人未以联合体形式进行投标</w:t>
            </w:r>
            <w:r>
              <w:rPr>
                <w:rFonts w:hint="eastAsia" w:asciiTheme="minorEastAsia" w:hAnsiTheme="minorEastAsia" w:eastAsiaTheme="minorEastAsia" w:cstheme="minorEastAsia"/>
                <w:color w:val="auto"/>
                <w:sz w:val="21"/>
                <w:szCs w:val="21"/>
                <w:highlight w:val="none"/>
                <w:lang w:eastAsia="zh-CN"/>
              </w:rPr>
              <w:t>。</w:t>
            </w:r>
          </w:p>
          <w:p w14:paraId="0C80FC0D">
            <w:pPr>
              <w:pStyle w:val="17"/>
              <w:spacing w:before="2" w:line="339" w:lineRule="auto"/>
              <w:ind w:left="107" w:right="102" w:firstLine="10"/>
              <w:rPr>
                <w:color w:val="auto"/>
                <w:highlight w:val="none"/>
              </w:rPr>
            </w:pPr>
            <w:r>
              <w:rPr>
                <w:color w:val="auto"/>
                <w:spacing w:val="-2"/>
                <w:highlight w:val="none"/>
              </w:rPr>
              <w:t>（</w:t>
            </w:r>
            <w:r>
              <w:rPr>
                <w:rFonts w:hint="eastAsia"/>
                <w:color w:val="auto"/>
                <w:spacing w:val="-2"/>
                <w:highlight w:val="none"/>
                <w:lang w:val="en-US" w:eastAsia="zh-CN"/>
              </w:rPr>
              <w:t>6</w:t>
            </w:r>
            <w:r>
              <w:rPr>
                <w:color w:val="auto"/>
                <w:spacing w:val="-2"/>
                <w:highlight w:val="none"/>
              </w:rPr>
              <w:t>）同一投标人未提交两个以上不同的投标文件，但招标文件要求提交备</w:t>
            </w:r>
            <w:r>
              <w:rPr>
                <w:color w:val="auto"/>
                <w:spacing w:val="-5"/>
                <w:highlight w:val="none"/>
              </w:rPr>
              <w:t>选投标的除外。</w:t>
            </w:r>
          </w:p>
          <w:p w14:paraId="7418B5BE">
            <w:pPr>
              <w:pStyle w:val="17"/>
              <w:spacing w:before="2" w:line="339" w:lineRule="auto"/>
              <w:ind w:left="107" w:right="102" w:firstLine="10"/>
              <w:rPr>
                <w:color w:val="auto"/>
                <w:highlight w:val="none"/>
              </w:rPr>
            </w:pPr>
            <w:r>
              <w:rPr>
                <w:color w:val="auto"/>
                <w:spacing w:val="-2"/>
                <w:highlight w:val="none"/>
              </w:rPr>
              <w:t>（</w:t>
            </w:r>
            <w:r>
              <w:rPr>
                <w:rFonts w:hint="eastAsia"/>
                <w:color w:val="auto"/>
                <w:spacing w:val="-2"/>
                <w:highlight w:val="none"/>
                <w:lang w:val="en-US" w:eastAsia="zh-CN"/>
              </w:rPr>
              <w:t>7</w:t>
            </w:r>
            <w:r>
              <w:rPr>
                <w:color w:val="auto"/>
                <w:spacing w:val="-2"/>
                <w:highlight w:val="none"/>
              </w:rPr>
              <w:t>）投标文件中未出现有关投标报价的内</w:t>
            </w:r>
            <w:r>
              <w:rPr>
                <w:color w:val="auto"/>
                <w:spacing w:val="-3"/>
                <w:highlight w:val="none"/>
              </w:rPr>
              <w:t>容。</w:t>
            </w:r>
          </w:p>
          <w:p w14:paraId="41F8ED5E">
            <w:pPr>
              <w:pStyle w:val="17"/>
              <w:spacing w:before="2" w:line="339" w:lineRule="auto"/>
              <w:ind w:left="107" w:right="102" w:firstLine="10"/>
              <w:rPr>
                <w:color w:val="auto"/>
                <w:highlight w:val="none"/>
              </w:rPr>
            </w:pPr>
            <w:r>
              <w:rPr>
                <w:color w:val="auto"/>
                <w:spacing w:val="-1"/>
                <w:highlight w:val="none"/>
              </w:rPr>
              <w:t>（</w:t>
            </w:r>
            <w:r>
              <w:rPr>
                <w:rFonts w:hint="eastAsia"/>
                <w:color w:val="auto"/>
                <w:spacing w:val="-1"/>
                <w:highlight w:val="none"/>
                <w:lang w:val="en-US" w:eastAsia="zh-CN"/>
              </w:rPr>
              <w:t>8</w:t>
            </w:r>
            <w:r>
              <w:rPr>
                <w:color w:val="auto"/>
                <w:spacing w:val="-1"/>
                <w:highlight w:val="none"/>
              </w:rPr>
              <w:t>）投标文件载明的招标项目完成期限未</w:t>
            </w:r>
            <w:r>
              <w:rPr>
                <w:color w:val="auto"/>
                <w:spacing w:val="-2"/>
                <w:highlight w:val="none"/>
              </w:rPr>
              <w:t>超过招标文件规定的时限。</w:t>
            </w:r>
          </w:p>
          <w:p w14:paraId="5D9FEDFC">
            <w:pPr>
              <w:pStyle w:val="17"/>
              <w:spacing w:before="2" w:line="339" w:lineRule="auto"/>
              <w:ind w:left="107" w:right="102" w:firstLine="10"/>
              <w:rPr>
                <w:color w:val="auto"/>
                <w:spacing w:val="-2"/>
                <w:highlight w:val="none"/>
              </w:rPr>
            </w:pPr>
            <w:r>
              <w:rPr>
                <w:color w:val="auto"/>
                <w:spacing w:val="-2"/>
                <w:highlight w:val="none"/>
              </w:rPr>
              <w:t>（</w:t>
            </w:r>
            <w:r>
              <w:rPr>
                <w:rFonts w:hint="eastAsia"/>
                <w:color w:val="auto"/>
                <w:spacing w:val="-2"/>
                <w:highlight w:val="none"/>
                <w:lang w:val="en-US" w:eastAsia="zh-CN"/>
              </w:rPr>
              <w:t>9</w:t>
            </w:r>
            <w:r>
              <w:rPr>
                <w:color w:val="auto"/>
                <w:spacing w:val="-2"/>
                <w:highlight w:val="none"/>
              </w:rPr>
              <w:t>）投标文件对招标文件的实质性要求和条件作出响应。</w:t>
            </w:r>
          </w:p>
          <w:p w14:paraId="0D8F4792">
            <w:pPr>
              <w:pStyle w:val="17"/>
              <w:spacing w:before="2" w:line="339" w:lineRule="auto"/>
              <w:ind w:left="107" w:right="102" w:firstLine="10"/>
              <w:rPr>
                <w:color w:val="auto"/>
                <w:highlight w:val="none"/>
              </w:rPr>
            </w:pPr>
            <w:r>
              <w:rPr>
                <w:color w:val="auto"/>
                <w:spacing w:val="-4"/>
                <w:highlight w:val="none"/>
              </w:rPr>
              <w:t>（</w:t>
            </w:r>
            <w:r>
              <w:rPr>
                <w:rFonts w:hint="eastAsia"/>
                <w:color w:val="auto"/>
                <w:spacing w:val="-4"/>
                <w:highlight w:val="none"/>
                <w:lang w:val="en-US" w:eastAsia="zh-CN"/>
              </w:rPr>
              <w:t>10</w:t>
            </w:r>
            <w:r>
              <w:rPr>
                <w:color w:val="auto"/>
                <w:spacing w:val="-4"/>
                <w:highlight w:val="none"/>
              </w:rPr>
              <w:t>）</w:t>
            </w:r>
            <w:r>
              <w:rPr>
                <w:color w:val="auto"/>
                <w:spacing w:val="-2"/>
                <w:highlight w:val="none"/>
              </w:rPr>
              <w:t>权利</w:t>
            </w:r>
            <w:r>
              <w:rPr>
                <w:color w:val="auto"/>
                <w:spacing w:val="-4"/>
                <w:highlight w:val="none"/>
              </w:rPr>
              <w:t>义务符合招标文件规定：</w:t>
            </w:r>
          </w:p>
          <w:p w14:paraId="0C01B674">
            <w:pPr>
              <w:pStyle w:val="17"/>
              <w:spacing w:before="2" w:line="339" w:lineRule="auto"/>
              <w:ind w:left="107" w:right="102" w:firstLine="10"/>
              <w:rPr>
                <w:rFonts w:hint="eastAsia" w:eastAsia="宋体"/>
                <w:color w:val="auto"/>
                <w:highlight w:val="none"/>
                <w:lang w:eastAsia="zh-CN"/>
              </w:rPr>
            </w:pPr>
            <w:r>
              <w:rPr>
                <w:color w:val="auto"/>
                <w:spacing w:val="-3"/>
                <w:highlight w:val="none"/>
              </w:rPr>
              <w:t>a.</w:t>
            </w:r>
            <w:r>
              <w:rPr>
                <w:color w:val="auto"/>
                <w:spacing w:val="-2"/>
                <w:highlight w:val="none"/>
              </w:rPr>
              <w:t>投标</w:t>
            </w:r>
            <w:r>
              <w:rPr>
                <w:color w:val="auto"/>
                <w:spacing w:val="-3"/>
                <w:highlight w:val="none"/>
              </w:rPr>
              <w:t>人应接受招标文件规定的风险划分原则，未提出新的风险划分办法</w:t>
            </w:r>
            <w:r>
              <w:rPr>
                <w:rFonts w:hint="eastAsia"/>
                <w:color w:val="auto"/>
                <w:spacing w:val="-3"/>
                <w:highlight w:val="none"/>
                <w:lang w:eastAsia="zh-CN"/>
              </w:rPr>
              <w:t>；</w:t>
            </w:r>
          </w:p>
        </w:tc>
      </w:tr>
      <w:tr w14:paraId="786DE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9" w:hRule="atLeast"/>
        </w:trPr>
        <w:tc>
          <w:tcPr>
            <w:tcW w:w="1102" w:type="dxa"/>
            <w:vAlign w:val="top"/>
          </w:tcPr>
          <w:p w14:paraId="03D55B3B">
            <w:pPr>
              <w:rPr>
                <w:rFonts w:ascii="Arial"/>
                <w:color w:val="auto"/>
                <w:sz w:val="21"/>
                <w:highlight w:val="none"/>
              </w:rPr>
            </w:pPr>
          </w:p>
        </w:tc>
        <w:tc>
          <w:tcPr>
            <w:tcW w:w="1184" w:type="dxa"/>
            <w:vAlign w:val="top"/>
          </w:tcPr>
          <w:p w14:paraId="51D3ADB5">
            <w:pPr>
              <w:rPr>
                <w:rFonts w:ascii="Arial"/>
                <w:color w:val="auto"/>
                <w:sz w:val="21"/>
                <w:highlight w:val="none"/>
              </w:rPr>
            </w:pPr>
          </w:p>
        </w:tc>
        <w:tc>
          <w:tcPr>
            <w:tcW w:w="7006" w:type="dxa"/>
            <w:vAlign w:val="top"/>
          </w:tcPr>
          <w:p w14:paraId="7995432D">
            <w:pPr>
              <w:pStyle w:val="17"/>
              <w:spacing w:before="2" w:line="339" w:lineRule="auto"/>
              <w:ind w:left="107" w:right="102" w:firstLine="10"/>
              <w:rPr>
                <w:color w:val="auto"/>
                <w:highlight w:val="none"/>
              </w:rPr>
            </w:pPr>
            <w:r>
              <w:rPr>
                <w:color w:val="auto"/>
                <w:spacing w:val="-2"/>
                <w:highlight w:val="none"/>
              </w:rPr>
              <w:t>b.投标人未增加发包人的责任范围，或减少投标人义务；</w:t>
            </w:r>
          </w:p>
          <w:p w14:paraId="5CD2580A">
            <w:pPr>
              <w:pStyle w:val="17"/>
              <w:spacing w:before="2" w:line="339" w:lineRule="auto"/>
              <w:ind w:left="107" w:right="102" w:firstLine="10"/>
              <w:rPr>
                <w:color w:val="auto"/>
                <w:highlight w:val="none"/>
              </w:rPr>
            </w:pPr>
            <w:r>
              <w:rPr>
                <w:color w:val="auto"/>
                <w:spacing w:val="-3"/>
                <w:highlight w:val="none"/>
              </w:rPr>
              <w:t>c.投标人未提出不同的工程验收、计量、支付办法；</w:t>
            </w:r>
          </w:p>
          <w:p w14:paraId="6F82C43B">
            <w:pPr>
              <w:pStyle w:val="17"/>
              <w:spacing w:before="2" w:line="339" w:lineRule="auto"/>
              <w:ind w:left="107" w:right="102" w:firstLine="10"/>
              <w:rPr>
                <w:color w:val="auto"/>
                <w:highlight w:val="none"/>
              </w:rPr>
            </w:pPr>
            <w:r>
              <w:rPr>
                <w:color w:val="auto"/>
                <w:spacing w:val="-3"/>
                <w:highlight w:val="none"/>
              </w:rPr>
              <w:t>d.投标人对合同纠纷、事故处理办法未提出异议；</w:t>
            </w:r>
          </w:p>
          <w:p w14:paraId="7A6DC236">
            <w:pPr>
              <w:pStyle w:val="17"/>
              <w:spacing w:before="2" w:line="339" w:lineRule="auto"/>
              <w:ind w:left="107" w:right="102" w:firstLine="10"/>
              <w:rPr>
                <w:color w:val="auto"/>
                <w:highlight w:val="none"/>
              </w:rPr>
            </w:pPr>
            <w:r>
              <w:rPr>
                <w:color w:val="auto"/>
                <w:spacing w:val="-4"/>
                <w:highlight w:val="none"/>
              </w:rPr>
              <w:t>e.投标人在投标活动中无欺诈行为；</w:t>
            </w:r>
          </w:p>
          <w:p w14:paraId="7A549777">
            <w:pPr>
              <w:pStyle w:val="17"/>
              <w:spacing w:before="2" w:line="339" w:lineRule="auto"/>
              <w:ind w:left="107" w:right="102" w:firstLine="10"/>
              <w:rPr>
                <w:color w:val="auto"/>
                <w:spacing w:val="-3"/>
                <w:highlight w:val="none"/>
              </w:rPr>
            </w:pPr>
            <w:r>
              <w:rPr>
                <w:color w:val="auto"/>
                <w:spacing w:val="-3"/>
                <w:highlight w:val="none"/>
              </w:rPr>
              <w:t>f.投标人未对合同条款有重要保留。</w:t>
            </w:r>
          </w:p>
          <w:p w14:paraId="1FC2486A">
            <w:pPr>
              <w:pStyle w:val="17"/>
              <w:spacing w:before="2" w:line="339" w:lineRule="auto"/>
              <w:ind w:left="107" w:right="102" w:firstLine="10"/>
              <w:rPr>
                <w:color w:val="auto"/>
                <w:highlight w:val="none"/>
              </w:rPr>
            </w:pPr>
            <w:r>
              <w:rPr>
                <w:b/>
                <w:bCs/>
                <w:color w:val="auto"/>
                <w:spacing w:val="-2"/>
                <w:highlight w:val="none"/>
              </w:rPr>
              <w:t>第二个信封（报价文件）评审标准</w:t>
            </w:r>
            <w:r>
              <w:rPr>
                <w:color w:val="auto"/>
                <w:spacing w:val="-2"/>
                <w:highlight w:val="none"/>
              </w:rPr>
              <w:t>：</w:t>
            </w:r>
          </w:p>
          <w:p w14:paraId="790BD4F5">
            <w:pPr>
              <w:pStyle w:val="17"/>
              <w:spacing w:before="2" w:line="339" w:lineRule="auto"/>
              <w:ind w:left="107" w:right="102" w:firstLine="10"/>
              <w:rPr>
                <w:color w:val="auto"/>
                <w:highlight w:val="none"/>
              </w:rPr>
            </w:pPr>
            <w:r>
              <w:rPr>
                <w:color w:val="auto"/>
                <w:spacing w:val="-2"/>
                <w:highlight w:val="none"/>
              </w:rPr>
              <w:t>（1）投标文件按照招标文件规定的格式、内容填写，字迹清晰可辨：</w:t>
            </w:r>
          </w:p>
          <w:p w14:paraId="57D1AF66">
            <w:pPr>
              <w:pStyle w:val="17"/>
              <w:spacing w:before="2" w:line="339" w:lineRule="auto"/>
              <w:ind w:left="107" w:right="102" w:firstLine="10"/>
              <w:rPr>
                <w:color w:val="auto"/>
                <w:highlight w:val="none"/>
              </w:rPr>
            </w:pPr>
            <w:r>
              <w:rPr>
                <w:color w:val="auto"/>
                <w:spacing w:val="-8"/>
                <w:highlight w:val="none"/>
              </w:rPr>
              <w:t>a.投标函按招标文件规定填报了项目名称、标段号（如有)、投标总报价（包</w:t>
            </w:r>
            <w:r>
              <w:rPr>
                <w:color w:val="auto"/>
                <w:spacing w:val="-5"/>
                <w:highlight w:val="none"/>
              </w:rPr>
              <w:t>括大写金额和小写金额)；</w:t>
            </w:r>
          </w:p>
          <w:p w14:paraId="2848C458">
            <w:pPr>
              <w:pStyle w:val="17"/>
              <w:spacing w:before="2" w:line="339" w:lineRule="auto"/>
              <w:ind w:left="107" w:right="102" w:firstLine="10"/>
              <w:rPr>
                <w:color w:val="auto"/>
                <w:highlight w:val="none"/>
              </w:rPr>
            </w:pPr>
            <w:r>
              <w:rPr>
                <w:color w:val="auto"/>
                <w:spacing w:val="1"/>
                <w:highlight w:val="none"/>
              </w:rPr>
              <w:t>b.已标价工程量清单说明文字与招标文件规定一致，未进行实质性修改和</w:t>
            </w:r>
            <w:r>
              <w:rPr>
                <w:color w:val="auto"/>
                <w:spacing w:val="-13"/>
                <w:highlight w:val="none"/>
              </w:rPr>
              <w:t>删减；</w:t>
            </w:r>
          </w:p>
          <w:p w14:paraId="1A0569FE">
            <w:pPr>
              <w:pStyle w:val="17"/>
              <w:spacing w:before="2" w:line="339" w:lineRule="auto"/>
              <w:ind w:left="107" w:right="102" w:firstLine="10"/>
              <w:rPr>
                <w:color w:val="auto"/>
                <w:highlight w:val="none"/>
              </w:rPr>
            </w:pPr>
            <w:r>
              <w:rPr>
                <w:color w:val="auto"/>
                <w:spacing w:val="-2"/>
                <w:highlight w:val="none"/>
              </w:rPr>
              <w:t>c.投标文件组成齐全完整，内容均按规定填写。</w:t>
            </w:r>
          </w:p>
          <w:p w14:paraId="0DB945C4">
            <w:pPr>
              <w:pStyle w:val="17"/>
              <w:spacing w:before="2" w:line="339" w:lineRule="auto"/>
              <w:ind w:left="107" w:right="102" w:firstLine="10"/>
              <w:rPr>
                <w:color w:val="auto"/>
                <w:highlight w:val="none"/>
              </w:rPr>
            </w:pPr>
            <w:r>
              <w:rPr>
                <w:color w:val="auto"/>
                <w:spacing w:val="-2"/>
                <w:highlight w:val="none"/>
              </w:rPr>
              <w:t>（2）投标文件上法定代表人或其委托代理人的签字、投标人的单位章盖章</w:t>
            </w:r>
            <w:r>
              <w:rPr>
                <w:color w:val="auto"/>
                <w:spacing w:val="-3"/>
                <w:highlight w:val="none"/>
              </w:rPr>
              <w:t>齐全，符合招标文件规定。</w:t>
            </w:r>
          </w:p>
          <w:p w14:paraId="3ED960A6">
            <w:pPr>
              <w:pStyle w:val="17"/>
              <w:spacing w:before="2" w:line="339" w:lineRule="auto"/>
              <w:ind w:left="107" w:right="102" w:firstLine="10"/>
              <w:rPr>
                <w:color w:val="auto"/>
                <w:highlight w:val="none"/>
              </w:rPr>
            </w:pPr>
            <w:r>
              <w:rPr>
                <w:color w:val="auto"/>
                <w:spacing w:val="5"/>
                <w:highlight w:val="none"/>
              </w:rPr>
              <w:t>（3）投标总报价或调价函中的报价未超过招标文件设</w:t>
            </w:r>
            <w:r>
              <w:rPr>
                <w:color w:val="auto"/>
                <w:spacing w:val="4"/>
                <w:highlight w:val="none"/>
              </w:rPr>
              <w:t>定的最高投标限价</w:t>
            </w:r>
            <w:r>
              <w:rPr>
                <w:color w:val="auto"/>
                <w:spacing w:val="-3"/>
                <w:highlight w:val="none"/>
              </w:rPr>
              <w:t>（如有）及最高评标限价（如有）。</w:t>
            </w:r>
          </w:p>
          <w:p w14:paraId="3E61DDFF">
            <w:pPr>
              <w:pStyle w:val="17"/>
              <w:spacing w:before="2" w:line="339" w:lineRule="auto"/>
              <w:ind w:left="107" w:right="102" w:firstLine="10"/>
              <w:rPr>
                <w:color w:val="auto"/>
                <w:highlight w:val="none"/>
              </w:rPr>
            </w:pPr>
            <w:r>
              <w:rPr>
                <w:color w:val="auto"/>
                <w:spacing w:val="-2"/>
                <w:highlight w:val="none"/>
              </w:rPr>
              <w:t>（4）投标总报价或调价函中报价的大写金额能够确定具体数值。</w:t>
            </w:r>
          </w:p>
          <w:p w14:paraId="587BC4D5">
            <w:pPr>
              <w:pStyle w:val="17"/>
              <w:spacing w:before="2" w:line="339" w:lineRule="auto"/>
              <w:ind w:left="107" w:right="102" w:firstLine="10"/>
              <w:rPr>
                <w:color w:val="auto"/>
                <w:highlight w:val="none"/>
              </w:rPr>
            </w:pPr>
            <w:r>
              <w:rPr>
                <w:color w:val="auto"/>
                <w:spacing w:val="-2"/>
                <w:highlight w:val="none"/>
              </w:rPr>
              <w:t>（5）同一投标人未提交两个以上不同的投标报价，但招标文件要求提交备</w:t>
            </w:r>
            <w:r>
              <w:rPr>
                <w:color w:val="auto"/>
                <w:spacing w:val="-5"/>
                <w:highlight w:val="none"/>
              </w:rPr>
              <w:t>选投标的除外。</w:t>
            </w:r>
          </w:p>
          <w:p w14:paraId="3879C941">
            <w:pPr>
              <w:pStyle w:val="17"/>
              <w:spacing w:before="2" w:line="339" w:lineRule="auto"/>
              <w:ind w:left="107" w:right="102" w:firstLine="10"/>
              <w:rPr>
                <w:color w:val="auto"/>
                <w:highlight w:val="none"/>
              </w:rPr>
            </w:pPr>
            <w:r>
              <w:rPr>
                <w:color w:val="auto"/>
                <w:spacing w:val="-2"/>
                <w:highlight w:val="none"/>
              </w:rPr>
              <w:t>（6）投标人若提交调价函，调价函符合招标文件第二章“投标人须知”第</w:t>
            </w:r>
            <w:r>
              <w:rPr>
                <w:color w:val="auto"/>
                <w:spacing w:val="-5"/>
                <w:highlight w:val="none"/>
              </w:rPr>
              <w:t>3.2.6</w:t>
            </w:r>
            <w:r>
              <w:rPr>
                <w:color w:val="auto"/>
                <w:spacing w:val="-43"/>
                <w:highlight w:val="none"/>
              </w:rPr>
              <w:t xml:space="preserve"> </w:t>
            </w:r>
            <w:r>
              <w:rPr>
                <w:color w:val="auto"/>
                <w:spacing w:val="-5"/>
                <w:highlight w:val="none"/>
              </w:rPr>
              <w:t>项要求。</w:t>
            </w:r>
          </w:p>
          <w:p w14:paraId="682AEAD7">
            <w:pPr>
              <w:pStyle w:val="17"/>
              <w:spacing w:before="2" w:line="339" w:lineRule="auto"/>
              <w:ind w:left="107" w:right="102" w:firstLine="10"/>
              <w:rPr>
                <w:rFonts w:hint="eastAsia" w:eastAsia="宋体"/>
                <w:color w:val="auto"/>
                <w:spacing w:val="-3"/>
                <w:highlight w:val="none"/>
                <w:lang w:eastAsia="zh-CN"/>
              </w:rPr>
            </w:pPr>
            <w:r>
              <w:rPr>
                <w:rFonts w:ascii="宋体" w:hAnsi="宋体" w:eastAsia="宋体" w:cs="宋体"/>
                <w:color w:val="auto"/>
                <w:spacing w:val="-2"/>
                <w:highlight w:val="none"/>
              </w:rPr>
              <w:t>（7）投标人若填写工程量固化清单，填写完毕的工程量固化清单未对工程量固化清单电子文件中的数据、格式和运算定义进行修改；工程量固化清单中的投标总报价和投标函大写金额报价一致</w:t>
            </w:r>
            <w:r>
              <w:rPr>
                <w:rFonts w:hint="eastAsia" w:ascii="宋体" w:hAnsi="宋体" w:eastAsia="宋体" w:cs="宋体"/>
                <w:color w:val="auto"/>
                <w:spacing w:val="-2"/>
                <w:highlight w:val="none"/>
                <w:lang w:eastAsia="zh-CN"/>
              </w:rPr>
              <w:t>。</w:t>
            </w:r>
          </w:p>
        </w:tc>
      </w:tr>
      <w:tr w14:paraId="72477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1102" w:type="dxa"/>
            <w:shd w:val="clear" w:color="auto" w:fill="auto"/>
            <w:vAlign w:val="top"/>
          </w:tcPr>
          <w:p w14:paraId="5266DA20">
            <w:pPr>
              <w:spacing w:line="246" w:lineRule="auto"/>
              <w:rPr>
                <w:rFonts w:ascii="Arial"/>
                <w:color w:val="auto"/>
                <w:sz w:val="21"/>
                <w:highlight w:val="none"/>
              </w:rPr>
            </w:pPr>
          </w:p>
          <w:p w14:paraId="46923D87">
            <w:pPr>
              <w:spacing w:line="246" w:lineRule="auto"/>
              <w:rPr>
                <w:rFonts w:ascii="Arial"/>
                <w:color w:val="auto"/>
                <w:sz w:val="21"/>
                <w:highlight w:val="none"/>
              </w:rPr>
            </w:pPr>
          </w:p>
          <w:p w14:paraId="4C50A885">
            <w:pPr>
              <w:spacing w:line="246" w:lineRule="auto"/>
              <w:rPr>
                <w:rFonts w:ascii="Arial"/>
                <w:color w:val="auto"/>
                <w:sz w:val="21"/>
                <w:highlight w:val="none"/>
              </w:rPr>
            </w:pPr>
          </w:p>
          <w:p w14:paraId="4A230F0E">
            <w:pPr>
              <w:spacing w:line="246" w:lineRule="auto"/>
              <w:rPr>
                <w:rFonts w:ascii="Arial"/>
                <w:color w:val="auto"/>
                <w:sz w:val="21"/>
                <w:highlight w:val="none"/>
              </w:rPr>
            </w:pPr>
          </w:p>
          <w:p w14:paraId="63973E03">
            <w:pPr>
              <w:spacing w:line="247" w:lineRule="auto"/>
              <w:rPr>
                <w:rFonts w:ascii="Arial"/>
                <w:color w:val="auto"/>
                <w:sz w:val="21"/>
                <w:highlight w:val="none"/>
              </w:rPr>
            </w:pPr>
          </w:p>
          <w:p w14:paraId="2D0D725F">
            <w:pPr>
              <w:spacing w:line="247" w:lineRule="auto"/>
              <w:rPr>
                <w:rFonts w:ascii="Arial"/>
                <w:color w:val="auto"/>
                <w:sz w:val="21"/>
                <w:highlight w:val="none"/>
              </w:rPr>
            </w:pPr>
          </w:p>
          <w:p w14:paraId="02CC414B">
            <w:pPr>
              <w:spacing w:line="247" w:lineRule="auto"/>
              <w:rPr>
                <w:rFonts w:ascii="Arial"/>
                <w:color w:val="auto"/>
                <w:sz w:val="21"/>
                <w:highlight w:val="none"/>
              </w:rPr>
            </w:pPr>
          </w:p>
          <w:p w14:paraId="096FF87B">
            <w:pPr>
              <w:pStyle w:val="17"/>
              <w:spacing w:before="69" w:line="239" w:lineRule="auto"/>
              <w:ind w:left="296"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2.1.2</w:t>
            </w:r>
          </w:p>
        </w:tc>
        <w:tc>
          <w:tcPr>
            <w:tcW w:w="1184" w:type="dxa"/>
            <w:shd w:val="clear" w:color="auto" w:fill="auto"/>
            <w:vAlign w:val="top"/>
          </w:tcPr>
          <w:p w14:paraId="4510015E">
            <w:pPr>
              <w:spacing w:line="250" w:lineRule="auto"/>
              <w:rPr>
                <w:rFonts w:ascii="Arial"/>
                <w:color w:val="auto"/>
                <w:sz w:val="21"/>
                <w:highlight w:val="none"/>
              </w:rPr>
            </w:pPr>
          </w:p>
          <w:p w14:paraId="317ADA57">
            <w:pPr>
              <w:spacing w:line="250" w:lineRule="auto"/>
              <w:rPr>
                <w:rFonts w:ascii="Arial"/>
                <w:color w:val="auto"/>
                <w:sz w:val="21"/>
                <w:highlight w:val="none"/>
              </w:rPr>
            </w:pPr>
          </w:p>
          <w:p w14:paraId="21EB36A4">
            <w:pPr>
              <w:spacing w:line="250" w:lineRule="auto"/>
              <w:rPr>
                <w:rFonts w:ascii="Arial"/>
                <w:color w:val="auto"/>
                <w:sz w:val="21"/>
                <w:highlight w:val="none"/>
              </w:rPr>
            </w:pPr>
          </w:p>
          <w:p w14:paraId="06945CB2">
            <w:pPr>
              <w:spacing w:line="250" w:lineRule="auto"/>
              <w:rPr>
                <w:rFonts w:ascii="Arial"/>
                <w:color w:val="auto"/>
                <w:sz w:val="21"/>
                <w:highlight w:val="none"/>
              </w:rPr>
            </w:pPr>
          </w:p>
          <w:p w14:paraId="0E7755E0">
            <w:pPr>
              <w:spacing w:line="250" w:lineRule="auto"/>
              <w:rPr>
                <w:rFonts w:ascii="Arial"/>
                <w:color w:val="auto"/>
                <w:sz w:val="21"/>
                <w:highlight w:val="none"/>
              </w:rPr>
            </w:pPr>
          </w:p>
          <w:p w14:paraId="422A1E3A">
            <w:pPr>
              <w:spacing w:line="250" w:lineRule="auto"/>
              <w:rPr>
                <w:rFonts w:ascii="Arial"/>
                <w:color w:val="auto"/>
                <w:sz w:val="21"/>
                <w:highlight w:val="none"/>
              </w:rPr>
            </w:pPr>
          </w:p>
          <w:p w14:paraId="03E55F9B">
            <w:pPr>
              <w:pStyle w:val="17"/>
              <w:spacing w:before="69" w:line="350" w:lineRule="auto"/>
              <w:ind w:left="333" w:leftChars="0" w:right="172" w:rightChars="0" w:hanging="150" w:firstLineChars="0"/>
              <w:rPr>
                <w:rFonts w:ascii="宋体" w:hAnsi="宋体" w:eastAsia="宋体" w:cs="宋体"/>
                <w:snapToGrid w:val="0"/>
                <w:color w:val="auto"/>
                <w:kern w:val="0"/>
                <w:sz w:val="10"/>
                <w:szCs w:val="10"/>
                <w:highlight w:val="none"/>
                <w:lang w:val="en-US" w:eastAsia="en-US" w:bidi="ar-SA"/>
              </w:rPr>
            </w:pPr>
            <w:r>
              <w:rPr>
                <w:color w:val="auto"/>
                <w:spacing w:val="-5"/>
                <w:highlight w:val="none"/>
              </w:rPr>
              <w:t>资格评审</w:t>
            </w:r>
            <w:r>
              <w:rPr>
                <w:color w:val="auto"/>
                <w:spacing w:val="-2"/>
                <w:position w:val="-1"/>
                <w:highlight w:val="none"/>
              </w:rPr>
              <w:t>标准</w:t>
            </w:r>
          </w:p>
        </w:tc>
        <w:tc>
          <w:tcPr>
            <w:tcW w:w="7006" w:type="dxa"/>
            <w:shd w:val="clear" w:color="auto" w:fill="auto"/>
            <w:vAlign w:val="top"/>
          </w:tcPr>
          <w:p w14:paraId="06716D56">
            <w:pPr>
              <w:pStyle w:val="17"/>
              <w:spacing w:before="2" w:line="339" w:lineRule="auto"/>
              <w:ind w:left="107" w:right="102" w:firstLine="10"/>
              <w:rPr>
                <w:color w:val="auto"/>
                <w:highlight w:val="none"/>
              </w:rPr>
            </w:pPr>
            <w:r>
              <w:rPr>
                <w:color w:val="auto"/>
                <w:spacing w:val="-2"/>
                <w:highlight w:val="none"/>
              </w:rPr>
              <w:t>（1）投标人具备有效的营业执照、资质证书、安全生产许可证和基本账户</w:t>
            </w:r>
            <w:r>
              <w:rPr>
                <w:color w:val="auto"/>
                <w:spacing w:val="1"/>
                <w:highlight w:val="none"/>
              </w:rPr>
              <w:t>开户许可证（如企业所在地已取消企业银行账户许可而无法提供开户许可</w:t>
            </w:r>
            <w:r>
              <w:rPr>
                <w:color w:val="auto"/>
                <w:spacing w:val="2"/>
                <w:highlight w:val="none"/>
              </w:rPr>
              <w:t>证的，则需附上开户银行出具的“基本存款账户信息”或</w:t>
            </w:r>
            <w:r>
              <w:rPr>
                <w:color w:val="auto"/>
                <w:spacing w:val="1"/>
                <w:highlight w:val="none"/>
              </w:rPr>
              <w:t>“人民银行账户</w:t>
            </w:r>
            <w:r>
              <w:rPr>
                <w:color w:val="auto"/>
                <w:spacing w:val="-4"/>
                <w:highlight w:val="none"/>
              </w:rPr>
              <w:t>管理系统</w:t>
            </w:r>
            <w:r>
              <w:rPr>
                <w:color w:val="auto"/>
                <w:spacing w:val="-2"/>
                <w:highlight w:val="none"/>
              </w:rPr>
              <w:t>查询</w:t>
            </w:r>
            <w:r>
              <w:rPr>
                <w:color w:val="auto"/>
                <w:spacing w:val="-4"/>
                <w:highlight w:val="none"/>
              </w:rPr>
              <w:t>的基本账户信息截图”</w:t>
            </w:r>
            <w:r>
              <w:rPr>
                <w:color w:val="auto"/>
                <w:spacing w:val="4"/>
                <w:highlight w:val="none"/>
              </w:rPr>
              <w:t>）；</w:t>
            </w:r>
          </w:p>
          <w:p w14:paraId="7D417E79">
            <w:pPr>
              <w:pStyle w:val="17"/>
              <w:spacing w:before="2" w:line="339" w:lineRule="auto"/>
              <w:ind w:left="107" w:right="102" w:firstLine="10"/>
              <w:rPr>
                <w:color w:val="auto"/>
                <w:highlight w:val="none"/>
              </w:rPr>
            </w:pPr>
            <w:r>
              <w:rPr>
                <w:color w:val="auto"/>
                <w:spacing w:val="-4"/>
                <w:highlight w:val="none"/>
              </w:rPr>
              <w:t>（2）投标人的资质等级符合招标文件规定；</w:t>
            </w:r>
          </w:p>
          <w:p w14:paraId="5F3360E0">
            <w:pPr>
              <w:pStyle w:val="17"/>
              <w:spacing w:before="2" w:line="339" w:lineRule="auto"/>
              <w:ind w:left="107" w:right="102" w:firstLine="10"/>
              <w:rPr>
                <w:color w:val="auto"/>
                <w:highlight w:val="none"/>
              </w:rPr>
            </w:pPr>
            <w:r>
              <w:rPr>
                <w:color w:val="auto"/>
                <w:spacing w:val="-4"/>
                <w:highlight w:val="none"/>
              </w:rPr>
              <w:t>（3）</w:t>
            </w:r>
            <w:r>
              <w:rPr>
                <w:color w:val="auto"/>
                <w:spacing w:val="-3"/>
                <w:highlight w:val="none"/>
              </w:rPr>
              <w:t>投标人的类似项目业绩符合招标文件规定；</w:t>
            </w:r>
          </w:p>
          <w:p w14:paraId="3075B569">
            <w:pPr>
              <w:pStyle w:val="17"/>
              <w:spacing w:before="2" w:line="339" w:lineRule="auto"/>
              <w:ind w:left="107" w:right="102" w:firstLine="10"/>
              <w:rPr>
                <w:color w:val="auto"/>
                <w:highlight w:val="none"/>
              </w:rPr>
            </w:pPr>
            <w:r>
              <w:rPr>
                <w:color w:val="auto"/>
                <w:spacing w:val="-3"/>
                <w:highlight w:val="none"/>
              </w:rPr>
              <w:t>（4）</w:t>
            </w:r>
            <w:r>
              <w:rPr>
                <w:color w:val="auto"/>
                <w:spacing w:val="-4"/>
                <w:highlight w:val="none"/>
              </w:rPr>
              <w:t>投标人的信誉符合招标文件规定；</w:t>
            </w:r>
          </w:p>
          <w:p w14:paraId="4234DF1E">
            <w:pPr>
              <w:pStyle w:val="17"/>
              <w:spacing w:before="2" w:line="339" w:lineRule="auto"/>
              <w:ind w:left="107" w:right="102" w:firstLine="10"/>
              <w:rPr>
                <w:rFonts w:hint="eastAsia" w:eastAsia="宋体"/>
                <w:color w:val="auto"/>
                <w:highlight w:val="none"/>
                <w:lang w:eastAsia="zh-CN"/>
              </w:rPr>
            </w:pPr>
            <w:r>
              <w:rPr>
                <w:color w:val="auto"/>
                <w:spacing w:val="-4"/>
                <w:highlight w:val="none"/>
              </w:rPr>
              <w:t>（5）</w:t>
            </w:r>
            <w:r>
              <w:rPr>
                <w:color w:val="auto"/>
                <w:spacing w:val="-5"/>
                <w:highlight w:val="none"/>
              </w:rPr>
              <w:t>投标人的项目经理</w:t>
            </w:r>
            <w:r>
              <w:rPr>
                <w:color w:val="auto"/>
                <w:spacing w:val="-5"/>
                <w:highlight w:val="none"/>
                <w:u w:val="single" w:color="auto"/>
              </w:rPr>
              <w:t>（含备选人，如有）</w:t>
            </w:r>
            <w:r>
              <w:rPr>
                <w:color w:val="auto"/>
                <w:spacing w:val="-5"/>
                <w:highlight w:val="none"/>
              </w:rPr>
              <w:t>和项目总工</w:t>
            </w:r>
            <w:r>
              <w:rPr>
                <w:color w:val="auto"/>
                <w:spacing w:val="-5"/>
                <w:highlight w:val="none"/>
                <w:u w:val="single" w:color="auto"/>
              </w:rPr>
              <w:t>（含备选人，如有）</w:t>
            </w:r>
            <w:r>
              <w:rPr>
                <w:color w:val="auto"/>
                <w:spacing w:val="1"/>
                <w:highlight w:val="none"/>
              </w:rPr>
              <w:t>资格、在岗情况符合招标文件规定，并按规定在</w:t>
            </w:r>
            <w:r>
              <w:rPr>
                <w:color w:val="auto"/>
                <w:highlight w:val="none"/>
              </w:rPr>
              <w:t>投标文件中签字确认</w:t>
            </w:r>
            <w:r>
              <w:rPr>
                <w:rFonts w:hint="eastAsia"/>
                <w:color w:val="auto"/>
                <w:highlight w:val="none"/>
                <w:lang w:eastAsia="zh-CN"/>
              </w:rPr>
              <w:t>。</w:t>
            </w:r>
          </w:p>
          <w:p w14:paraId="6D6549AA">
            <w:pPr>
              <w:pStyle w:val="17"/>
              <w:spacing w:before="2" w:line="339" w:lineRule="auto"/>
              <w:ind w:left="107" w:right="102" w:firstLine="10"/>
              <w:rPr>
                <w:color w:val="auto"/>
                <w:highlight w:val="none"/>
              </w:rPr>
            </w:pPr>
            <w:r>
              <w:rPr>
                <w:color w:val="auto"/>
                <w:spacing w:val="-5"/>
                <w:highlight w:val="none"/>
              </w:rPr>
              <w:t>（6）</w:t>
            </w:r>
            <w:r>
              <w:rPr>
                <w:color w:val="auto"/>
                <w:spacing w:val="-3"/>
                <w:highlight w:val="none"/>
              </w:rPr>
              <w:t>投标人不存在第二章“投标人须知”第</w:t>
            </w:r>
            <w:r>
              <w:rPr>
                <w:color w:val="auto"/>
                <w:spacing w:val="-30"/>
                <w:highlight w:val="none"/>
              </w:rPr>
              <w:t xml:space="preserve"> </w:t>
            </w:r>
            <w:r>
              <w:rPr>
                <w:color w:val="auto"/>
                <w:spacing w:val="-3"/>
                <w:highlight w:val="none"/>
              </w:rPr>
              <w:t>1.4.3</w:t>
            </w:r>
            <w:r>
              <w:rPr>
                <w:color w:val="auto"/>
                <w:spacing w:val="-40"/>
                <w:highlight w:val="none"/>
              </w:rPr>
              <w:t xml:space="preserve"> </w:t>
            </w:r>
            <w:r>
              <w:rPr>
                <w:color w:val="auto"/>
                <w:spacing w:val="-3"/>
                <w:highlight w:val="none"/>
              </w:rPr>
              <w:t>项或第</w:t>
            </w:r>
            <w:r>
              <w:rPr>
                <w:color w:val="auto"/>
                <w:spacing w:val="-29"/>
                <w:highlight w:val="none"/>
              </w:rPr>
              <w:t xml:space="preserve"> </w:t>
            </w:r>
            <w:r>
              <w:rPr>
                <w:color w:val="auto"/>
                <w:spacing w:val="-3"/>
                <w:highlight w:val="none"/>
              </w:rPr>
              <w:t>1</w:t>
            </w:r>
            <w:r>
              <w:rPr>
                <w:color w:val="auto"/>
                <w:spacing w:val="-4"/>
                <w:highlight w:val="none"/>
              </w:rPr>
              <w:t>.4.4</w:t>
            </w:r>
            <w:r>
              <w:rPr>
                <w:color w:val="auto"/>
                <w:spacing w:val="-41"/>
                <w:highlight w:val="none"/>
              </w:rPr>
              <w:t xml:space="preserve"> </w:t>
            </w:r>
            <w:r>
              <w:rPr>
                <w:color w:val="auto"/>
                <w:spacing w:val="-4"/>
                <w:highlight w:val="none"/>
              </w:rPr>
              <w:t>项规定的</w:t>
            </w:r>
            <w:r>
              <w:rPr>
                <w:color w:val="auto"/>
                <w:spacing w:val="-7"/>
                <w:highlight w:val="none"/>
              </w:rPr>
              <w:t>任何一种情形；</w:t>
            </w:r>
          </w:p>
          <w:p w14:paraId="4F2C32C8">
            <w:pPr>
              <w:pStyle w:val="17"/>
              <w:spacing w:before="2" w:line="339" w:lineRule="auto"/>
              <w:ind w:left="107" w:leftChars="0" w:right="102" w:rightChars="0" w:firstLine="10" w:firstLineChars="0"/>
              <w:rPr>
                <w:rFonts w:ascii="宋体" w:hAnsi="宋体" w:eastAsia="宋体" w:cs="宋体"/>
                <w:snapToGrid w:val="0"/>
                <w:color w:val="auto"/>
                <w:kern w:val="0"/>
                <w:sz w:val="10"/>
                <w:szCs w:val="10"/>
                <w:highlight w:val="none"/>
                <w:lang w:val="en-US" w:eastAsia="en-US" w:bidi="ar-SA"/>
              </w:rPr>
            </w:pPr>
            <w:r>
              <w:rPr>
                <w:color w:val="auto"/>
                <w:spacing w:val="-1"/>
                <w:highlight w:val="none"/>
              </w:rPr>
              <w:t>（7）</w:t>
            </w:r>
            <w:r>
              <w:rPr>
                <w:color w:val="auto"/>
                <w:spacing w:val="-3"/>
                <w:highlight w:val="none"/>
              </w:rPr>
              <w:t>投标人符合第二章“投标人须知”第 1.4.5</w:t>
            </w:r>
            <w:r>
              <w:rPr>
                <w:color w:val="auto"/>
                <w:spacing w:val="-27"/>
                <w:highlight w:val="none"/>
              </w:rPr>
              <w:t xml:space="preserve"> </w:t>
            </w:r>
            <w:r>
              <w:rPr>
                <w:color w:val="auto"/>
                <w:spacing w:val="-3"/>
                <w:highlight w:val="none"/>
              </w:rPr>
              <w:t>项规定；</w:t>
            </w:r>
          </w:p>
        </w:tc>
      </w:tr>
    </w:tbl>
    <w:p w14:paraId="1E7A9A1E">
      <w:pPr>
        <w:pStyle w:val="3"/>
        <w:spacing w:line="351" w:lineRule="auto"/>
        <w:rPr>
          <w:color w:val="auto"/>
          <w:highlight w:val="none"/>
        </w:rPr>
      </w:pPr>
    </w:p>
    <w:p w14:paraId="5CE35A29">
      <w:pPr>
        <w:spacing w:line="217" w:lineRule="auto"/>
        <w:rPr>
          <w:rFonts w:ascii="宋体" w:hAnsi="宋体" w:eastAsia="宋体" w:cs="宋体"/>
          <w:color w:val="auto"/>
          <w:sz w:val="18"/>
          <w:szCs w:val="18"/>
          <w:highlight w:val="none"/>
        </w:rPr>
        <w:sectPr>
          <w:headerReference r:id="rId40" w:type="default"/>
          <w:footerReference r:id="rId41" w:type="default"/>
          <w:pgSz w:w="11905" w:h="16840"/>
          <w:pgMar w:top="1182" w:right="0" w:bottom="1171" w:left="0" w:header="849" w:footer="937" w:gutter="0"/>
          <w:pgNumType w:fmt="decimal"/>
          <w:cols w:space="720" w:num="1"/>
        </w:sect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528"/>
        <w:gridCol w:w="6657"/>
      </w:tblGrid>
      <w:tr w14:paraId="27E14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07" w:type="dxa"/>
            <w:vAlign w:val="top"/>
          </w:tcPr>
          <w:p w14:paraId="667592CF">
            <w:pPr>
              <w:pStyle w:val="17"/>
              <w:spacing w:before="225" w:line="220" w:lineRule="auto"/>
              <w:ind w:left="246"/>
              <w:rPr>
                <w:color w:val="auto"/>
                <w:highlight w:val="none"/>
              </w:rPr>
            </w:pPr>
            <w:r>
              <w:rPr>
                <w:b/>
                <w:bCs/>
                <w:color w:val="auto"/>
                <w:spacing w:val="-6"/>
                <w:highlight w:val="none"/>
              </w:rPr>
              <w:t>条款号</w:t>
            </w:r>
          </w:p>
        </w:tc>
        <w:tc>
          <w:tcPr>
            <w:tcW w:w="1528" w:type="dxa"/>
            <w:vAlign w:val="top"/>
          </w:tcPr>
          <w:p w14:paraId="484CD118">
            <w:pPr>
              <w:pStyle w:val="17"/>
              <w:spacing w:before="225" w:line="220" w:lineRule="auto"/>
              <w:ind w:left="348"/>
              <w:rPr>
                <w:color w:val="auto"/>
                <w:highlight w:val="none"/>
              </w:rPr>
            </w:pPr>
            <w:r>
              <w:rPr>
                <w:b/>
                <w:bCs/>
                <w:color w:val="auto"/>
                <w:spacing w:val="-5"/>
                <w:highlight w:val="none"/>
              </w:rPr>
              <w:t>条款内容</w:t>
            </w:r>
          </w:p>
        </w:tc>
        <w:tc>
          <w:tcPr>
            <w:tcW w:w="6657" w:type="dxa"/>
            <w:vAlign w:val="top"/>
          </w:tcPr>
          <w:p w14:paraId="1AB8144F">
            <w:pPr>
              <w:pStyle w:val="17"/>
              <w:spacing w:before="225" w:line="220" w:lineRule="auto"/>
              <w:ind w:left="2913"/>
              <w:rPr>
                <w:color w:val="auto"/>
                <w:highlight w:val="none"/>
              </w:rPr>
            </w:pPr>
            <w:r>
              <w:rPr>
                <w:b/>
                <w:bCs/>
                <w:color w:val="auto"/>
                <w:spacing w:val="-5"/>
                <w:highlight w:val="none"/>
              </w:rPr>
              <w:t>编列内容</w:t>
            </w:r>
          </w:p>
        </w:tc>
      </w:tr>
      <w:tr w14:paraId="69479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1107" w:type="dxa"/>
            <w:vAlign w:val="top"/>
          </w:tcPr>
          <w:p w14:paraId="00D4A461">
            <w:pPr>
              <w:spacing w:line="304" w:lineRule="auto"/>
              <w:rPr>
                <w:rFonts w:ascii="Arial"/>
                <w:color w:val="auto"/>
                <w:sz w:val="21"/>
                <w:highlight w:val="none"/>
              </w:rPr>
            </w:pPr>
          </w:p>
          <w:p w14:paraId="24CDFE1C">
            <w:pPr>
              <w:spacing w:line="305" w:lineRule="auto"/>
              <w:rPr>
                <w:rFonts w:ascii="Arial"/>
                <w:color w:val="auto"/>
                <w:sz w:val="21"/>
                <w:highlight w:val="none"/>
              </w:rPr>
            </w:pPr>
          </w:p>
          <w:p w14:paraId="68D99FF4">
            <w:pPr>
              <w:spacing w:line="305" w:lineRule="auto"/>
              <w:rPr>
                <w:rFonts w:ascii="Arial"/>
                <w:color w:val="auto"/>
                <w:sz w:val="21"/>
                <w:highlight w:val="none"/>
              </w:rPr>
            </w:pPr>
          </w:p>
          <w:p w14:paraId="0739966B">
            <w:pPr>
              <w:pStyle w:val="17"/>
              <w:spacing w:before="68" w:line="239" w:lineRule="auto"/>
              <w:ind w:left="298"/>
              <w:rPr>
                <w:color w:val="auto"/>
                <w:highlight w:val="none"/>
              </w:rPr>
            </w:pPr>
            <w:r>
              <w:rPr>
                <w:color w:val="auto"/>
                <w:spacing w:val="-3"/>
                <w:highlight w:val="none"/>
              </w:rPr>
              <w:t>2.2.1</w:t>
            </w:r>
          </w:p>
        </w:tc>
        <w:tc>
          <w:tcPr>
            <w:tcW w:w="1528" w:type="dxa"/>
            <w:vAlign w:val="top"/>
          </w:tcPr>
          <w:p w14:paraId="685214AD">
            <w:pPr>
              <w:spacing w:line="258" w:lineRule="auto"/>
              <w:rPr>
                <w:rFonts w:ascii="Arial"/>
                <w:color w:val="auto"/>
                <w:sz w:val="21"/>
                <w:highlight w:val="none"/>
              </w:rPr>
            </w:pPr>
          </w:p>
          <w:p w14:paraId="2DCB2E66">
            <w:pPr>
              <w:spacing w:line="258" w:lineRule="auto"/>
              <w:rPr>
                <w:rFonts w:ascii="Arial"/>
                <w:color w:val="auto"/>
                <w:sz w:val="21"/>
                <w:highlight w:val="none"/>
              </w:rPr>
            </w:pPr>
          </w:p>
          <w:p w14:paraId="1D6381B4">
            <w:pPr>
              <w:pStyle w:val="17"/>
              <w:spacing w:before="68" w:line="220" w:lineRule="auto"/>
              <w:ind w:left="136"/>
              <w:rPr>
                <w:color w:val="auto"/>
                <w:highlight w:val="none"/>
              </w:rPr>
            </w:pPr>
            <w:r>
              <w:rPr>
                <w:color w:val="auto"/>
                <w:spacing w:val="-2"/>
                <w:highlight w:val="none"/>
              </w:rPr>
              <w:t>第一个信封评</w:t>
            </w:r>
          </w:p>
          <w:p w14:paraId="53FC47F1">
            <w:pPr>
              <w:pStyle w:val="17"/>
              <w:spacing w:before="149" w:line="220" w:lineRule="auto"/>
              <w:ind w:left="243"/>
              <w:rPr>
                <w:color w:val="auto"/>
                <w:highlight w:val="none"/>
              </w:rPr>
            </w:pPr>
            <w:r>
              <w:rPr>
                <w:color w:val="auto"/>
                <w:spacing w:val="-2"/>
                <w:highlight w:val="none"/>
              </w:rPr>
              <w:t>分分值构成</w:t>
            </w:r>
          </w:p>
          <w:p w14:paraId="630179C0">
            <w:pPr>
              <w:pStyle w:val="17"/>
              <w:spacing w:before="150" w:line="220" w:lineRule="auto"/>
              <w:ind w:left="147"/>
              <w:rPr>
                <w:color w:val="auto"/>
                <w:highlight w:val="none"/>
              </w:rPr>
            </w:pPr>
            <w:r>
              <w:rPr>
                <w:color w:val="auto"/>
                <w:spacing w:val="-11"/>
                <w:highlight w:val="none"/>
              </w:rPr>
              <w:t>(总分</w:t>
            </w:r>
            <w:r>
              <w:rPr>
                <w:color w:val="auto"/>
                <w:spacing w:val="-24"/>
                <w:highlight w:val="none"/>
              </w:rPr>
              <w:t xml:space="preserve"> </w:t>
            </w:r>
            <w:r>
              <w:rPr>
                <w:color w:val="auto"/>
                <w:spacing w:val="-11"/>
                <w:highlight w:val="none"/>
              </w:rPr>
              <w:t>100</w:t>
            </w:r>
            <w:r>
              <w:rPr>
                <w:color w:val="auto"/>
                <w:spacing w:val="-41"/>
                <w:highlight w:val="none"/>
              </w:rPr>
              <w:t xml:space="preserve"> </w:t>
            </w:r>
            <w:r>
              <w:rPr>
                <w:color w:val="auto"/>
                <w:spacing w:val="-11"/>
                <w:highlight w:val="none"/>
              </w:rPr>
              <w:t>分）</w:t>
            </w:r>
          </w:p>
        </w:tc>
        <w:tc>
          <w:tcPr>
            <w:tcW w:w="6657" w:type="dxa"/>
            <w:vAlign w:val="top"/>
          </w:tcPr>
          <w:p w14:paraId="46642179">
            <w:pPr>
              <w:pStyle w:val="17"/>
              <w:spacing w:before="153" w:line="220" w:lineRule="auto"/>
              <w:ind w:left="110"/>
              <w:rPr>
                <w:color w:val="auto"/>
                <w:highlight w:val="none"/>
              </w:rPr>
            </w:pPr>
            <w:r>
              <w:rPr>
                <w:color w:val="auto"/>
                <w:highlight w:val="none"/>
              </w:rPr>
              <w:t>施工组织设计（A</w:t>
            </w:r>
            <w:r>
              <w:rPr>
                <w:color w:val="auto"/>
                <w:spacing w:val="-3"/>
                <w:highlight w:val="none"/>
              </w:rPr>
              <w:t>）：</w:t>
            </w:r>
            <w:r>
              <w:rPr>
                <w:color w:val="auto"/>
                <w:spacing w:val="4"/>
                <w:highlight w:val="none"/>
                <w:u w:val="single"/>
              </w:rPr>
              <w:t xml:space="preserve">  </w:t>
            </w:r>
            <w:r>
              <w:rPr>
                <w:color w:val="auto"/>
                <w:highlight w:val="none"/>
                <w:u w:val="single"/>
              </w:rPr>
              <w:t xml:space="preserve">40 </w:t>
            </w:r>
            <w:r>
              <w:rPr>
                <w:color w:val="auto"/>
                <w:highlight w:val="none"/>
              </w:rPr>
              <w:t xml:space="preserve"> 分</w:t>
            </w:r>
          </w:p>
          <w:p w14:paraId="0CB35453">
            <w:pPr>
              <w:pStyle w:val="17"/>
              <w:spacing w:before="169" w:line="363" w:lineRule="auto"/>
              <w:ind w:left="112" w:right="4343"/>
              <w:rPr>
                <w:color w:val="auto"/>
                <w:highlight w:val="none"/>
              </w:rPr>
            </w:pPr>
            <w:r>
              <w:rPr>
                <w:color w:val="auto"/>
                <w:spacing w:val="-2"/>
                <w:highlight w:val="none"/>
              </w:rPr>
              <w:t>主要人员(B)：</w:t>
            </w:r>
            <w:r>
              <w:rPr>
                <w:color w:val="auto"/>
                <w:spacing w:val="-2"/>
                <w:highlight w:val="none"/>
                <w:u w:val="single"/>
              </w:rPr>
              <w:t xml:space="preserve">  25</w:t>
            </w:r>
            <w:r>
              <w:rPr>
                <w:color w:val="auto"/>
                <w:spacing w:val="7"/>
                <w:highlight w:val="none"/>
                <w:u w:val="single"/>
              </w:rPr>
              <w:t xml:space="preserve">  </w:t>
            </w:r>
            <w:r>
              <w:rPr>
                <w:color w:val="auto"/>
                <w:spacing w:val="-2"/>
                <w:highlight w:val="none"/>
              </w:rPr>
              <w:t>分</w:t>
            </w:r>
            <w:r>
              <w:rPr>
                <w:color w:val="auto"/>
                <w:spacing w:val="-6"/>
                <w:highlight w:val="none"/>
              </w:rPr>
              <w:t>其他因素</w:t>
            </w:r>
            <w:r>
              <w:rPr>
                <w:color w:val="auto"/>
                <w:spacing w:val="47"/>
                <w:highlight w:val="none"/>
              </w:rPr>
              <w:t xml:space="preserve"> </w:t>
            </w:r>
            <w:r>
              <w:rPr>
                <w:color w:val="auto"/>
                <w:spacing w:val="-6"/>
                <w:highlight w:val="none"/>
              </w:rPr>
              <w:t>(C)</w:t>
            </w:r>
          </w:p>
          <w:p w14:paraId="043D17A8">
            <w:pPr>
              <w:pStyle w:val="17"/>
              <w:spacing w:line="232" w:lineRule="auto"/>
              <w:ind w:left="112"/>
              <w:rPr>
                <w:color w:val="auto"/>
                <w:highlight w:val="none"/>
              </w:rPr>
            </w:pPr>
            <w:r>
              <w:rPr>
                <w:color w:val="auto"/>
                <w:spacing w:val="-7"/>
                <w:highlight w:val="none"/>
              </w:rPr>
              <w:t>技术能力</w:t>
            </w:r>
            <w:r>
              <w:rPr>
                <w:color w:val="auto"/>
                <w:spacing w:val="-15"/>
                <w:position w:val="10"/>
                <w:sz w:val="10"/>
                <w:szCs w:val="10"/>
                <w:highlight w:val="none"/>
              </w:rPr>
              <w:t xml:space="preserve"> </w:t>
            </w:r>
            <w:r>
              <w:rPr>
                <w:color w:val="auto"/>
                <w:spacing w:val="-7"/>
                <w:highlight w:val="none"/>
              </w:rPr>
              <w:t>：</w:t>
            </w:r>
            <w:r>
              <w:rPr>
                <w:color w:val="auto"/>
                <w:spacing w:val="11"/>
                <w:highlight w:val="none"/>
                <w:u w:val="single"/>
              </w:rPr>
              <w:t xml:space="preserve">  </w:t>
            </w:r>
            <w:r>
              <w:rPr>
                <w:color w:val="auto"/>
                <w:spacing w:val="-7"/>
                <w:highlight w:val="none"/>
                <w:u w:val="single"/>
              </w:rPr>
              <w:t>10</w:t>
            </w:r>
            <w:r>
              <w:rPr>
                <w:color w:val="auto"/>
                <w:spacing w:val="6"/>
                <w:highlight w:val="none"/>
                <w:u w:val="single"/>
              </w:rPr>
              <w:t xml:space="preserve">  </w:t>
            </w:r>
            <w:r>
              <w:rPr>
                <w:color w:val="auto"/>
                <w:spacing w:val="-7"/>
                <w:highlight w:val="none"/>
              </w:rPr>
              <w:t>分</w:t>
            </w:r>
          </w:p>
          <w:p w14:paraId="44435806">
            <w:pPr>
              <w:pStyle w:val="17"/>
              <w:spacing w:before="170" w:line="219" w:lineRule="auto"/>
              <w:ind w:left="114"/>
              <w:rPr>
                <w:color w:val="auto"/>
                <w:highlight w:val="none"/>
              </w:rPr>
            </w:pPr>
            <w:r>
              <w:rPr>
                <w:color w:val="auto"/>
                <w:spacing w:val="-2"/>
                <w:highlight w:val="none"/>
              </w:rPr>
              <w:t>履约信誉：</w:t>
            </w:r>
            <w:r>
              <w:rPr>
                <w:color w:val="auto"/>
                <w:spacing w:val="-2"/>
                <w:highlight w:val="none"/>
                <w:u w:val="single"/>
              </w:rPr>
              <w:t xml:space="preserve">  25</w:t>
            </w:r>
            <w:r>
              <w:rPr>
                <w:color w:val="auto"/>
                <w:spacing w:val="9"/>
                <w:highlight w:val="none"/>
                <w:u w:val="single"/>
              </w:rPr>
              <w:t xml:space="preserve">  </w:t>
            </w:r>
            <w:r>
              <w:rPr>
                <w:color w:val="auto"/>
                <w:spacing w:val="-2"/>
                <w:highlight w:val="none"/>
              </w:rPr>
              <w:t>分</w:t>
            </w:r>
          </w:p>
        </w:tc>
      </w:tr>
      <w:tr w14:paraId="386EB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3" w:hRule="atLeast"/>
        </w:trPr>
        <w:tc>
          <w:tcPr>
            <w:tcW w:w="1107" w:type="dxa"/>
            <w:vAlign w:val="top"/>
          </w:tcPr>
          <w:p w14:paraId="163FE098">
            <w:pPr>
              <w:spacing w:line="249" w:lineRule="auto"/>
              <w:rPr>
                <w:rFonts w:ascii="Arial"/>
                <w:color w:val="auto"/>
                <w:sz w:val="21"/>
                <w:highlight w:val="none"/>
              </w:rPr>
            </w:pPr>
          </w:p>
          <w:p w14:paraId="2DBC5373">
            <w:pPr>
              <w:spacing w:line="249" w:lineRule="auto"/>
              <w:rPr>
                <w:rFonts w:ascii="Arial"/>
                <w:color w:val="auto"/>
                <w:sz w:val="21"/>
                <w:highlight w:val="none"/>
              </w:rPr>
            </w:pPr>
          </w:p>
          <w:p w14:paraId="52461B55">
            <w:pPr>
              <w:spacing w:line="249" w:lineRule="auto"/>
              <w:rPr>
                <w:rFonts w:ascii="Arial"/>
                <w:color w:val="auto"/>
                <w:sz w:val="21"/>
                <w:highlight w:val="none"/>
              </w:rPr>
            </w:pPr>
          </w:p>
          <w:p w14:paraId="7D582D31">
            <w:pPr>
              <w:spacing w:line="249" w:lineRule="auto"/>
              <w:rPr>
                <w:rFonts w:ascii="Arial"/>
                <w:color w:val="auto"/>
                <w:sz w:val="21"/>
                <w:highlight w:val="none"/>
              </w:rPr>
            </w:pPr>
          </w:p>
          <w:p w14:paraId="409F1A8D">
            <w:pPr>
              <w:spacing w:line="250" w:lineRule="auto"/>
              <w:rPr>
                <w:rFonts w:ascii="Arial"/>
                <w:color w:val="auto"/>
                <w:sz w:val="21"/>
                <w:highlight w:val="none"/>
              </w:rPr>
            </w:pPr>
          </w:p>
          <w:p w14:paraId="05B65B4F">
            <w:pPr>
              <w:spacing w:line="250" w:lineRule="auto"/>
              <w:rPr>
                <w:rFonts w:ascii="Arial"/>
                <w:color w:val="auto"/>
                <w:sz w:val="21"/>
                <w:highlight w:val="none"/>
              </w:rPr>
            </w:pPr>
          </w:p>
          <w:p w14:paraId="3152FC79">
            <w:pPr>
              <w:spacing w:line="250" w:lineRule="auto"/>
              <w:rPr>
                <w:rFonts w:ascii="Arial"/>
                <w:color w:val="auto"/>
                <w:sz w:val="21"/>
                <w:highlight w:val="none"/>
              </w:rPr>
            </w:pPr>
          </w:p>
          <w:p w14:paraId="3DC7A9AF">
            <w:pPr>
              <w:spacing w:line="250" w:lineRule="auto"/>
              <w:rPr>
                <w:rFonts w:ascii="Arial"/>
                <w:color w:val="auto"/>
                <w:sz w:val="21"/>
                <w:highlight w:val="none"/>
              </w:rPr>
            </w:pPr>
          </w:p>
          <w:p w14:paraId="4451CB29">
            <w:pPr>
              <w:spacing w:line="250" w:lineRule="auto"/>
              <w:rPr>
                <w:rFonts w:ascii="Arial"/>
                <w:color w:val="auto"/>
                <w:sz w:val="21"/>
                <w:highlight w:val="none"/>
              </w:rPr>
            </w:pPr>
          </w:p>
          <w:p w14:paraId="6845CCA3">
            <w:pPr>
              <w:spacing w:line="250" w:lineRule="auto"/>
              <w:rPr>
                <w:rFonts w:ascii="Arial"/>
                <w:color w:val="auto"/>
                <w:sz w:val="21"/>
                <w:highlight w:val="none"/>
              </w:rPr>
            </w:pPr>
          </w:p>
          <w:p w14:paraId="2DE71AAD">
            <w:pPr>
              <w:pStyle w:val="17"/>
              <w:spacing w:before="68" w:line="239" w:lineRule="auto"/>
              <w:ind w:left="298"/>
              <w:rPr>
                <w:color w:val="auto"/>
                <w:highlight w:val="none"/>
              </w:rPr>
            </w:pPr>
            <w:r>
              <w:rPr>
                <w:color w:val="auto"/>
                <w:spacing w:val="-3"/>
                <w:highlight w:val="none"/>
              </w:rPr>
              <w:t>2.2.3</w:t>
            </w:r>
          </w:p>
        </w:tc>
        <w:tc>
          <w:tcPr>
            <w:tcW w:w="1528" w:type="dxa"/>
            <w:vAlign w:val="top"/>
          </w:tcPr>
          <w:p w14:paraId="545BF146">
            <w:pPr>
              <w:spacing w:line="255" w:lineRule="auto"/>
              <w:rPr>
                <w:rFonts w:ascii="Arial"/>
                <w:color w:val="auto"/>
                <w:sz w:val="21"/>
                <w:highlight w:val="none"/>
              </w:rPr>
            </w:pPr>
          </w:p>
          <w:p w14:paraId="74B0C87E">
            <w:pPr>
              <w:spacing w:line="255" w:lineRule="auto"/>
              <w:rPr>
                <w:rFonts w:ascii="Arial"/>
                <w:color w:val="auto"/>
                <w:sz w:val="21"/>
                <w:highlight w:val="none"/>
              </w:rPr>
            </w:pPr>
          </w:p>
          <w:p w14:paraId="3945332F">
            <w:pPr>
              <w:spacing w:line="255" w:lineRule="auto"/>
              <w:rPr>
                <w:rFonts w:ascii="Arial"/>
                <w:color w:val="auto"/>
                <w:sz w:val="21"/>
                <w:highlight w:val="none"/>
              </w:rPr>
            </w:pPr>
          </w:p>
          <w:p w14:paraId="4CAAC1B0">
            <w:pPr>
              <w:spacing w:line="255" w:lineRule="auto"/>
              <w:rPr>
                <w:rFonts w:ascii="Arial"/>
                <w:color w:val="auto"/>
                <w:sz w:val="21"/>
                <w:highlight w:val="none"/>
              </w:rPr>
            </w:pPr>
          </w:p>
          <w:p w14:paraId="594D8812">
            <w:pPr>
              <w:spacing w:line="255" w:lineRule="auto"/>
              <w:rPr>
                <w:rFonts w:ascii="Arial"/>
                <w:color w:val="auto"/>
                <w:sz w:val="21"/>
                <w:highlight w:val="none"/>
              </w:rPr>
            </w:pPr>
          </w:p>
          <w:p w14:paraId="62894AE7">
            <w:pPr>
              <w:spacing w:line="255" w:lineRule="auto"/>
              <w:rPr>
                <w:rFonts w:ascii="Arial"/>
                <w:color w:val="auto"/>
                <w:sz w:val="21"/>
                <w:highlight w:val="none"/>
              </w:rPr>
            </w:pPr>
          </w:p>
          <w:p w14:paraId="5693BDC1">
            <w:pPr>
              <w:spacing w:line="255" w:lineRule="auto"/>
              <w:rPr>
                <w:rFonts w:ascii="Arial"/>
                <w:color w:val="auto"/>
                <w:sz w:val="21"/>
                <w:highlight w:val="none"/>
              </w:rPr>
            </w:pPr>
          </w:p>
          <w:p w14:paraId="7510CDFC">
            <w:pPr>
              <w:spacing w:line="256" w:lineRule="auto"/>
              <w:rPr>
                <w:rFonts w:ascii="Arial"/>
                <w:color w:val="auto"/>
                <w:sz w:val="21"/>
                <w:highlight w:val="none"/>
              </w:rPr>
            </w:pPr>
          </w:p>
          <w:p w14:paraId="5DBB62FC">
            <w:pPr>
              <w:spacing w:line="256" w:lineRule="auto"/>
              <w:rPr>
                <w:rFonts w:ascii="Arial"/>
                <w:color w:val="auto"/>
                <w:sz w:val="21"/>
                <w:highlight w:val="none"/>
              </w:rPr>
            </w:pPr>
          </w:p>
          <w:p w14:paraId="0EB3257D">
            <w:pPr>
              <w:pStyle w:val="17"/>
              <w:spacing w:before="68" w:line="354" w:lineRule="auto"/>
              <w:ind w:left="241" w:right="134" w:hanging="105"/>
              <w:rPr>
                <w:color w:val="auto"/>
                <w:highlight w:val="none"/>
              </w:rPr>
            </w:pPr>
            <w:r>
              <w:rPr>
                <w:color w:val="auto"/>
                <w:spacing w:val="-2"/>
                <w:highlight w:val="none"/>
              </w:rPr>
              <w:t>第二个信封详细评审标准</w:t>
            </w:r>
          </w:p>
        </w:tc>
        <w:tc>
          <w:tcPr>
            <w:tcW w:w="6657" w:type="dxa"/>
            <w:vAlign w:val="top"/>
          </w:tcPr>
          <w:p w14:paraId="0CB3B453">
            <w:pPr>
              <w:pStyle w:val="17"/>
              <w:spacing w:before="172" w:line="218" w:lineRule="auto"/>
              <w:ind w:left="110"/>
              <w:rPr>
                <w:color w:val="auto"/>
                <w:highlight w:val="none"/>
              </w:rPr>
            </w:pPr>
            <w:r>
              <w:rPr>
                <w:color w:val="auto"/>
                <w:spacing w:val="-7"/>
                <w:highlight w:val="none"/>
              </w:rPr>
              <w:t>评标价的评审：</w:t>
            </w:r>
          </w:p>
          <w:p w14:paraId="6DC6C525">
            <w:pPr>
              <w:pStyle w:val="17"/>
              <w:spacing w:before="191" w:line="218" w:lineRule="auto"/>
              <w:ind w:left="148"/>
              <w:rPr>
                <w:color w:val="auto"/>
                <w:highlight w:val="none"/>
              </w:rPr>
            </w:pPr>
            <w:r>
              <w:rPr>
                <w:color w:val="auto"/>
                <w:spacing w:val="-8"/>
                <w:highlight w:val="none"/>
              </w:rPr>
              <w:t>(1)评标价计算公式：</w:t>
            </w:r>
          </w:p>
          <w:p w14:paraId="66FA6514">
            <w:pPr>
              <w:pStyle w:val="17"/>
              <w:spacing w:before="176" w:line="387" w:lineRule="auto"/>
              <w:ind w:left="115" w:right="107" w:hanging="5"/>
              <w:rPr>
                <w:color w:val="auto"/>
                <w:highlight w:val="none"/>
              </w:rPr>
            </w:pPr>
            <w:r>
              <w:rPr>
                <w:color w:val="auto"/>
                <w:spacing w:val="1"/>
                <w:highlight w:val="none"/>
              </w:rPr>
              <w:t>评标价=</w:t>
            </w:r>
            <w:r>
              <w:rPr>
                <w:color w:val="auto"/>
                <w:spacing w:val="1"/>
                <w:highlight w:val="none"/>
                <w:u w:val="single" w:color="auto"/>
              </w:rPr>
              <w:t>修正后的投标总报价-暂估价-暂列金额（不含计日工总额）</w:t>
            </w:r>
            <w:r>
              <w:rPr>
                <w:rStyle w:val="15"/>
                <w:color w:val="auto"/>
                <w:spacing w:val="1"/>
                <w:highlight w:val="none"/>
                <w:u w:val="single" w:color="auto"/>
              </w:rPr>
              <w:footnoteReference w:id="6"/>
            </w:r>
            <w:r>
              <w:rPr>
                <w:color w:val="auto"/>
                <w:spacing w:val="1"/>
                <w:highlight w:val="none"/>
                <w:u w:val="single" w:color="auto"/>
              </w:rPr>
              <w:t>-</w:t>
            </w:r>
            <w:r>
              <w:rPr>
                <w:color w:val="auto"/>
                <w:spacing w:val="-2"/>
                <w:highlight w:val="none"/>
                <w:u w:val="single" w:color="auto"/>
              </w:rPr>
              <w:t>安全生产费</w:t>
            </w:r>
          </w:p>
          <w:p w14:paraId="78356FBA">
            <w:pPr>
              <w:pStyle w:val="17"/>
              <w:spacing w:before="6" w:line="368" w:lineRule="auto"/>
              <w:ind w:left="109" w:right="103" w:firstLine="422"/>
              <w:jc w:val="both"/>
              <w:rPr>
                <w:color w:val="auto"/>
                <w:highlight w:val="none"/>
              </w:rPr>
            </w:pPr>
            <w:r>
              <w:rPr>
                <w:color w:val="auto"/>
                <w:spacing w:val="1"/>
                <w:highlight w:val="none"/>
              </w:rPr>
              <w:t>若投标人的评标价小于最高投标限价</w:t>
            </w:r>
            <w:r>
              <w:rPr>
                <w:rStyle w:val="15"/>
                <w:color w:val="auto"/>
                <w:spacing w:val="1"/>
                <w:highlight w:val="none"/>
              </w:rPr>
              <w:footnoteReference w:id="7"/>
            </w:r>
            <w:r>
              <w:rPr>
                <w:color w:val="auto"/>
                <w:spacing w:val="1"/>
                <w:highlight w:val="none"/>
              </w:rPr>
              <w:t>85％的，应在投标文件中作</w:t>
            </w:r>
            <w:r>
              <w:rPr>
                <w:color w:val="auto"/>
                <w:spacing w:val="-2"/>
                <w:highlight w:val="none"/>
              </w:rPr>
              <w:t>出说明并提供相关证明材料（如主要材料/设</w:t>
            </w:r>
            <w:r>
              <w:rPr>
                <w:color w:val="auto"/>
                <w:spacing w:val="-3"/>
                <w:highlight w:val="none"/>
              </w:rPr>
              <w:t>备采购意向书/合同、人工</w:t>
            </w:r>
            <w:r>
              <w:rPr>
                <w:color w:val="auto"/>
                <w:spacing w:val="-2"/>
                <w:highlight w:val="none"/>
              </w:rPr>
              <w:t>费计算依据、关键分包成本、管理费计算说明等</w:t>
            </w:r>
            <w:r>
              <w:rPr>
                <w:color w:val="auto"/>
                <w:spacing w:val="-8"/>
                <w:highlight w:val="none"/>
              </w:rPr>
              <w:t>），</w:t>
            </w:r>
            <w:r>
              <w:rPr>
                <w:color w:val="auto"/>
                <w:spacing w:val="-2"/>
                <w:highlight w:val="none"/>
              </w:rPr>
              <w:t>投标人不能合理说</w:t>
            </w:r>
            <w:r>
              <w:rPr>
                <w:color w:val="auto"/>
                <w:spacing w:val="-3"/>
                <w:highlight w:val="none"/>
              </w:rPr>
              <w:t>明或者不能提供相关证明资料的，评标委员会认定该投标人以低于成本</w:t>
            </w:r>
            <w:r>
              <w:rPr>
                <w:color w:val="auto"/>
                <w:spacing w:val="-6"/>
                <w:highlight w:val="none"/>
              </w:rPr>
              <w:t>报价竞标，否决其投标。当所有投标人的投标因此种情况被否决； 或当</w:t>
            </w:r>
            <w:r>
              <w:rPr>
                <w:color w:val="auto"/>
                <w:spacing w:val="-3"/>
                <w:highlight w:val="none"/>
              </w:rPr>
              <w:t>因此种情况被否决部分投标人后，有效投标人不足三家，评标委员会认为竞争不足的情况出现时，评标委员会可以否决全部投标。未否决全部</w:t>
            </w:r>
            <w:r>
              <w:rPr>
                <w:color w:val="auto"/>
                <w:spacing w:val="-1"/>
                <w:highlight w:val="none"/>
              </w:rPr>
              <w:t>投标的，评标委员会应当在评标报告中阐明理由并推</w:t>
            </w:r>
            <w:r>
              <w:rPr>
                <w:color w:val="auto"/>
                <w:spacing w:val="-2"/>
                <w:highlight w:val="none"/>
              </w:rPr>
              <w:t>荐中标候选人。</w:t>
            </w:r>
          </w:p>
        </w:tc>
      </w:tr>
      <w:tr w14:paraId="04CC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1107" w:type="dxa"/>
            <w:vAlign w:val="top"/>
          </w:tcPr>
          <w:p w14:paraId="79377607">
            <w:pPr>
              <w:spacing w:line="253" w:lineRule="auto"/>
              <w:rPr>
                <w:rFonts w:ascii="Arial"/>
                <w:color w:val="auto"/>
                <w:sz w:val="21"/>
                <w:highlight w:val="none"/>
              </w:rPr>
            </w:pPr>
          </w:p>
          <w:p w14:paraId="2D2A84D4">
            <w:pPr>
              <w:spacing w:line="253" w:lineRule="auto"/>
              <w:rPr>
                <w:rFonts w:ascii="Arial"/>
                <w:color w:val="auto"/>
                <w:sz w:val="21"/>
                <w:highlight w:val="none"/>
              </w:rPr>
            </w:pPr>
          </w:p>
          <w:p w14:paraId="0C8E43A5">
            <w:pPr>
              <w:spacing w:line="254" w:lineRule="auto"/>
              <w:rPr>
                <w:rFonts w:ascii="Arial"/>
                <w:color w:val="auto"/>
                <w:sz w:val="21"/>
                <w:highlight w:val="none"/>
              </w:rPr>
            </w:pPr>
          </w:p>
          <w:p w14:paraId="16728DE9">
            <w:pPr>
              <w:pStyle w:val="17"/>
              <w:spacing w:before="68" w:line="239" w:lineRule="auto"/>
              <w:ind w:left="300"/>
              <w:rPr>
                <w:color w:val="auto"/>
                <w:highlight w:val="none"/>
              </w:rPr>
            </w:pPr>
            <w:r>
              <w:rPr>
                <w:color w:val="auto"/>
                <w:spacing w:val="-3"/>
                <w:highlight w:val="none"/>
              </w:rPr>
              <w:t>3.2.4</w:t>
            </w:r>
          </w:p>
        </w:tc>
        <w:tc>
          <w:tcPr>
            <w:tcW w:w="1528" w:type="dxa"/>
            <w:vAlign w:val="top"/>
          </w:tcPr>
          <w:p w14:paraId="26871FE0">
            <w:pPr>
              <w:spacing w:line="362" w:lineRule="auto"/>
              <w:rPr>
                <w:rFonts w:ascii="Arial"/>
                <w:color w:val="auto"/>
                <w:sz w:val="21"/>
                <w:highlight w:val="none"/>
              </w:rPr>
            </w:pPr>
          </w:p>
          <w:p w14:paraId="6B32A435">
            <w:pPr>
              <w:pStyle w:val="17"/>
              <w:spacing w:before="68" w:line="220" w:lineRule="auto"/>
              <w:ind w:left="136"/>
              <w:rPr>
                <w:color w:val="auto"/>
                <w:highlight w:val="none"/>
              </w:rPr>
            </w:pPr>
            <w:r>
              <w:rPr>
                <w:color w:val="auto"/>
                <w:spacing w:val="-2"/>
                <w:highlight w:val="none"/>
              </w:rPr>
              <w:t>通过第一个信</w:t>
            </w:r>
          </w:p>
          <w:p w14:paraId="271C7EEF">
            <w:pPr>
              <w:pStyle w:val="17"/>
              <w:spacing w:before="150" w:line="220" w:lineRule="auto"/>
              <w:ind w:left="136"/>
              <w:rPr>
                <w:color w:val="auto"/>
                <w:highlight w:val="none"/>
              </w:rPr>
            </w:pPr>
            <w:r>
              <w:rPr>
                <w:color w:val="auto"/>
                <w:spacing w:val="-2"/>
                <w:highlight w:val="none"/>
              </w:rPr>
              <w:t>封详细评审的</w:t>
            </w:r>
          </w:p>
          <w:p w14:paraId="4C783FC4">
            <w:pPr>
              <w:pStyle w:val="17"/>
              <w:spacing w:before="149" w:line="220" w:lineRule="auto"/>
              <w:ind w:left="243"/>
              <w:rPr>
                <w:color w:val="auto"/>
                <w:highlight w:val="none"/>
              </w:rPr>
            </w:pPr>
            <w:r>
              <w:rPr>
                <w:color w:val="auto"/>
                <w:spacing w:val="-2"/>
                <w:highlight w:val="none"/>
              </w:rPr>
              <w:t>投标人数量</w:t>
            </w:r>
          </w:p>
        </w:tc>
        <w:tc>
          <w:tcPr>
            <w:tcW w:w="6657" w:type="dxa"/>
            <w:vAlign w:val="top"/>
          </w:tcPr>
          <w:p w14:paraId="040F3735">
            <w:pPr>
              <w:pStyle w:val="17"/>
              <w:spacing w:before="232" w:line="350" w:lineRule="auto"/>
              <w:ind w:left="115" w:right="106" w:firstLine="417"/>
              <w:rPr>
                <w:color w:val="auto"/>
                <w:sz w:val="10"/>
                <w:szCs w:val="10"/>
                <w:highlight w:val="none"/>
              </w:rPr>
            </w:pPr>
            <w:r>
              <w:rPr>
                <w:color w:val="auto"/>
                <w:spacing w:val="-4"/>
                <w:highlight w:val="none"/>
              </w:rPr>
              <w:t>按照投标人的商务和技术得分由高到低排序，选择</w:t>
            </w:r>
            <w:r>
              <w:rPr>
                <w:color w:val="auto"/>
                <w:spacing w:val="-4"/>
                <w:highlight w:val="none"/>
                <w:u w:val="single" w:color="auto"/>
              </w:rPr>
              <w:t>前</w:t>
            </w:r>
            <w:r>
              <w:rPr>
                <w:color w:val="auto"/>
                <w:spacing w:val="-27"/>
                <w:highlight w:val="none"/>
                <w:u w:val="single" w:color="auto"/>
              </w:rPr>
              <w:t xml:space="preserve"> </w:t>
            </w:r>
            <w:r>
              <w:rPr>
                <w:color w:val="auto"/>
                <w:spacing w:val="-4"/>
                <w:highlight w:val="none"/>
                <w:u w:val="single" w:color="auto"/>
              </w:rPr>
              <w:t>5</w:t>
            </w:r>
            <w:r>
              <w:rPr>
                <w:color w:val="auto"/>
                <w:spacing w:val="-41"/>
                <w:highlight w:val="none"/>
                <w:u w:val="single" w:color="auto"/>
              </w:rPr>
              <w:t xml:space="preserve"> </w:t>
            </w:r>
            <w:r>
              <w:rPr>
                <w:color w:val="auto"/>
                <w:spacing w:val="-4"/>
                <w:highlight w:val="none"/>
                <w:u w:val="single" w:color="auto"/>
              </w:rPr>
              <w:t>名（不少于</w:t>
            </w:r>
            <w:r>
              <w:rPr>
                <w:color w:val="auto"/>
                <w:spacing w:val="-2"/>
                <w:highlight w:val="none"/>
                <w:u w:val="single" w:color="auto"/>
              </w:rPr>
              <w:t>3</w:t>
            </w:r>
            <w:r>
              <w:rPr>
                <w:color w:val="auto"/>
                <w:spacing w:val="-36"/>
                <w:highlight w:val="none"/>
                <w:u w:val="single" w:color="auto"/>
              </w:rPr>
              <w:t xml:space="preserve"> </w:t>
            </w:r>
            <w:r>
              <w:rPr>
                <w:color w:val="auto"/>
                <w:spacing w:val="-2"/>
                <w:highlight w:val="none"/>
                <w:u w:val="single" w:color="auto"/>
              </w:rPr>
              <w:t>名但不足</w:t>
            </w:r>
            <w:r>
              <w:rPr>
                <w:color w:val="auto"/>
                <w:spacing w:val="-40"/>
                <w:highlight w:val="none"/>
                <w:u w:val="single" w:color="auto"/>
              </w:rPr>
              <w:t xml:space="preserve"> </w:t>
            </w:r>
            <w:r>
              <w:rPr>
                <w:color w:val="auto"/>
                <w:spacing w:val="-2"/>
                <w:highlight w:val="none"/>
                <w:u w:val="single" w:color="auto"/>
              </w:rPr>
              <w:t>5</w:t>
            </w:r>
            <w:r>
              <w:rPr>
                <w:color w:val="auto"/>
                <w:spacing w:val="-42"/>
                <w:highlight w:val="none"/>
                <w:u w:val="single" w:color="auto"/>
              </w:rPr>
              <w:t xml:space="preserve"> </w:t>
            </w:r>
            <w:r>
              <w:rPr>
                <w:color w:val="auto"/>
                <w:spacing w:val="-2"/>
                <w:highlight w:val="none"/>
                <w:u w:val="single" w:color="auto"/>
              </w:rPr>
              <w:t>名时，按全部实际数量）</w:t>
            </w:r>
            <w:r>
              <w:rPr>
                <w:color w:val="auto"/>
                <w:spacing w:val="-2"/>
                <w:highlight w:val="none"/>
              </w:rPr>
              <w:t>通过详细评审。</w:t>
            </w:r>
            <w:r>
              <w:rPr>
                <w:rStyle w:val="15"/>
                <w:color w:val="auto"/>
                <w:spacing w:val="-2"/>
                <w:highlight w:val="none"/>
              </w:rPr>
              <w:footnoteReference w:id="8"/>
            </w:r>
          </w:p>
          <w:p w14:paraId="589BA4AD">
            <w:pPr>
              <w:pStyle w:val="17"/>
              <w:spacing w:before="5" w:line="328" w:lineRule="auto"/>
              <w:ind w:left="121" w:right="107" w:hanging="10"/>
              <w:rPr>
                <w:color w:val="auto"/>
                <w:highlight w:val="none"/>
              </w:rPr>
            </w:pPr>
            <w:r>
              <w:rPr>
                <w:color w:val="auto"/>
                <w:spacing w:val="-3"/>
                <w:highlight w:val="none"/>
              </w:rPr>
              <w:t>注：排名不在上述范围内的投标人不参与第二个信封（报价文件）的评</w:t>
            </w:r>
            <w:r>
              <w:rPr>
                <w:color w:val="auto"/>
                <w:spacing w:val="-5"/>
                <w:highlight w:val="none"/>
              </w:rPr>
              <w:t>审，但不否决其投标。</w:t>
            </w:r>
          </w:p>
        </w:tc>
      </w:tr>
    </w:tbl>
    <w:p w14:paraId="781DCC46">
      <w:pPr>
        <w:pStyle w:val="3"/>
        <w:spacing w:line="262" w:lineRule="auto"/>
        <w:rPr>
          <w:color w:val="auto"/>
          <w:highlight w:val="none"/>
        </w:rPr>
      </w:pPr>
    </w:p>
    <w:p w14:paraId="6BFB704A">
      <w:pPr>
        <w:pStyle w:val="3"/>
        <w:spacing w:line="263" w:lineRule="auto"/>
        <w:rPr>
          <w:color w:val="auto"/>
          <w:highlight w:val="none"/>
        </w:rPr>
      </w:pPr>
    </w:p>
    <w:p w14:paraId="671BCEA5">
      <w:pPr>
        <w:spacing w:before="21" w:line="230" w:lineRule="auto"/>
        <w:ind w:left="1424" w:right="1416" w:hanging="3"/>
        <w:rPr>
          <w:rFonts w:ascii="宋体" w:hAnsi="宋体" w:eastAsia="宋体" w:cs="宋体"/>
          <w:color w:val="auto"/>
          <w:sz w:val="18"/>
          <w:szCs w:val="18"/>
          <w:highlight w:val="none"/>
        </w:rPr>
      </w:pPr>
    </w:p>
    <w:p w14:paraId="0FDA745D">
      <w:pPr>
        <w:spacing w:line="230" w:lineRule="auto"/>
        <w:rPr>
          <w:rFonts w:ascii="宋体" w:hAnsi="宋体" w:eastAsia="宋体" w:cs="宋体"/>
          <w:color w:val="auto"/>
          <w:sz w:val="18"/>
          <w:szCs w:val="18"/>
          <w:highlight w:val="none"/>
        </w:rPr>
        <w:sectPr>
          <w:headerReference r:id="rId42" w:type="default"/>
          <w:footerReference r:id="rId43" w:type="default"/>
          <w:footnotePr>
            <w:numFmt w:val="decimalEnclosedCircleChinese"/>
            <w:numRestart w:val="eachPage"/>
          </w:footnotePr>
          <w:pgSz w:w="11905" w:h="16840"/>
          <w:pgMar w:top="1182" w:right="0" w:bottom="1171" w:left="0" w:header="849" w:footer="937" w:gutter="0"/>
          <w:pgNumType w:fmt="decimal"/>
          <w:cols w:space="720" w:num="1"/>
        </w:sectPr>
      </w:pPr>
    </w:p>
    <w:tbl>
      <w:tblPr>
        <w:tblStyle w:val="16"/>
        <w:tblW w:w="9567" w:type="dxa"/>
        <w:tblInd w:w="10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857"/>
        <w:gridCol w:w="1117"/>
        <w:gridCol w:w="1103"/>
        <w:gridCol w:w="807"/>
        <w:gridCol w:w="4926"/>
      </w:tblGrid>
      <w:tr w14:paraId="7A822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641" w:type="dxa"/>
            <w:gridSpan w:val="5"/>
            <w:vAlign w:val="top"/>
          </w:tcPr>
          <w:p w14:paraId="7C9A5787">
            <w:pPr>
              <w:pStyle w:val="17"/>
              <w:spacing w:before="181" w:line="220" w:lineRule="auto"/>
              <w:ind w:left="1381"/>
              <w:rPr>
                <w:color w:val="auto"/>
                <w:highlight w:val="none"/>
              </w:rPr>
            </w:pPr>
            <w:r>
              <w:rPr>
                <w:b/>
                <w:bCs/>
                <w:color w:val="auto"/>
                <w:spacing w:val="-3"/>
                <w:highlight w:val="none"/>
              </w:rPr>
              <w:t>评分因素与权重分值</w:t>
            </w:r>
          </w:p>
        </w:tc>
        <w:tc>
          <w:tcPr>
            <w:tcW w:w="4926" w:type="dxa"/>
            <w:vMerge w:val="restart"/>
            <w:tcBorders>
              <w:bottom w:val="nil"/>
            </w:tcBorders>
            <w:vAlign w:val="top"/>
          </w:tcPr>
          <w:p w14:paraId="1FB4EC00">
            <w:pPr>
              <w:spacing w:line="427" w:lineRule="auto"/>
              <w:rPr>
                <w:rFonts w:ascii="Arial"/>
                <w:color w:val="auto"/>
                <w:sz w:val="21"/>
                <w:highlight w:val="none"/>
              </w:rPr>
            </w:pPr>
          </w:p>
          <w:p w14:paraId="6D05C122">
            <w:pPr>
              <w:pStyle w:val="17"/>
              <w:spacing w:before="69" w:line="220" w:lineRule="auto"/>
              <w:ind w:left="2200"/>
              <w:rPr>
                <w:color w:val="auto"/>
                <w:highlight w:val="none"/>
              </w:rPr>
            </w:pPr>
            <w:r>
              <w:rPr>
                <w:b/>
                <w:bCs/>
                <w:color w:val="auto"/>
                <w:spacing w:val="-4"/>
                <w:highlight w:val="none"/>
              </w:rPr>
              <w:t>评分标准</w:t>
            </w:r>
          </w:p>
        </w:tc>
      </w:tr>
      <w:tr w14:paraId="1CAAA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7" w:type="dxa"/>
            <w:vAlign w:val="top"/>
          </w:tcPr>
          <w:p w14:paraId="5BF88AF3">
            <w:pPr>
              <w:pStyle w:val="17"/>
              <w:spacing w:before="49" w:line="250" w:lineRule="auto"/>
              <w:ind w:left="282" w:right="165" w:hanging="107"/>
              <w:rPr>
                <w:color w:val="auto"/>
                <w:highlight w:val="none"/>
              </w:rPr>
            </w:pPr>
            <w:r>
              <w:rPr>
                <w:b/>
                <w:bCs/>
                <w:color w:val="auto"/>
                <w:spacing w:val="-7"/>
                <w:highlight w:val="none"/>
              </w:rPr>
              <w:t>条款</w:t>
            </w:r>
            <w:r>
              <w:rPr>
                <w:b/>
                <w:bCs/>
                <w:color w:val="auto"/>
                <w:spacing w:val="-3"/>
                <w:highlight w:val="none"/>
              </w:rPr>
              <w:t>号</w:t>
            </w:r>
          </w:p>
        </w:tc>
        <w:tc>
          <w:tcPr>
            <w:tcW w:w="857" w:type="dxa"/>
            <w:vAlign w:val="top"/>
          </w:tcPr>
          <w:p w14:paraId="721E0688">
            <w:pPr>
              <w:pStyle w:val="17"/>
              <w:spacing w:before="49" w:line="250" w:lineRule="auto"/>
              <w:ind w:left="328" w:right="112" w:hanging="213"/>
              <w:rPr>
                <w:color w:val="auto"/>
                <w:highlight w:val="none"/>
              </w:rPr>
            </w:pPr>
            <w:r>
              <w:rPr>
                <w:b/>
                <w:bCs/>
                <w:color w:val="auto"/>
                <w:spacing w:val="-5"/>
                <w:highlight w:val="none"/>
              </w:rPr>
              <w:t>评分因</w:t>
            </w:r>
            <w:r>
              <w:rPr>
                <w:b/>
                <w:bCs/>
                <w:color w:val="auto"/>
                <w:spacing w:val="-3"/>
                <w:highlight w:val="none"/>
              </w:rPr>
              <w:t>素</w:t>
            </w:r>
          </w:p>
        </w:tc>
        <w:tc>
          <w:tcPr>
            <w:tcW w:w="1117" w:type="dxa"/>
            <w:vAlign w:val="top"/>
          </w:tcPr>
          <w:p w14:paraId="28DCD28D">
            <w:pPr>
              <w:pStyle w:val="17"/>
              <w:spacing w:before="49" w:line="220" w:lineRule="auto"/>
              <w:ind w:left="140"/>
              <w:rPr>
                <w:color w:val="auto"/>
                <w:highlight w:val="none"/>
              </w:rPr>
            </w:pPr>
            <w:r>
              <w:rPr>
                <w:b/>
                <w:bCs/>
                <w:color w:val="auto"/>
                <w:spacing w:val="-4"/>
                <w:highlight w:val="none"/>
              </w:rPr>
              <w:t>评分因素</w:t>
            </w:r>
          </w:p>
          <w:p w14:paraId="22896B9B">
            <w:pPr>
              <w:pStyle w:val="17"/>
              <w:spacing w:before="61" w:line="220" w:lineRule="auto"/>
              <w:ind w:left="140"/>
              <w:rPr>
                <w:color w:val="auto"/>
                <w:highlight w:val="none"/>
              </w:rPr>
            </w:pPr>
            <w:r>
              <w:rPr>
                <w:b/>
                <w:bCs/>
                <w:color w:val="auto"/>
                <w:spacing w:val="-4"/>
                <w:highlight w:val="none"/>
              </w:rPr>
              <w:t>权重分值</w:t>
            </w:r>
          </w:p>
        </w:tc>
        <w:tc>
          <w:tcPr>
            <w:tcW w:w="1103" w:type="dxa"/>
            <w:vAlign w:val="top"/>
          </w:tcPr>
          <w:p w14:paraId="03CB9667">
            <w:pPr>
              <w:pStyle w:val="17"/>
              <w:spacing w:before="50" w:line="220" w:lineRule="auto"/>
              <w:ind w:left="137"/>
              <w:rPr>
                <w:color w:val="auto"/>
                <w:highlight w:val="none"/>
              </w:rPr>
            </w:pPr>
            <w:r>
              <w:rPr>
                <w:b/>
                <w:bCs/>
                <w:color w:val="auto"/>
                <w:spacing w:val="-5"/>
                <w:highlight w:val="none"/>
              </w:rPr>
              <w:t>各评分因</w:t>
            </w:r>
          </w:p>
          <w:p w14:paraId="11836F67">
            <w:pPr>
              <w:pStyle w:val="17"/>
              <w:spacing w:before="60" w:line="220" w:lineRule="auto"/>
              <w:ind w:left="137"/>
              <w:rPr>
                <w:color w:val="auto"/>
                <w:highlight w:val="none"/>
              </w:rPr>
            </w:pPr>
            <w:r>
              <w:rPr>
                <w:b/>
                <w:bCs/>
                <w:color w:val="auto"/>
                <w:spacing w:val="-5"/>
                <w:highlight w:val="none"/>
              </w:rPr>
              <w:t>素细分项</w:t>
            </w:r>
          </w:p>
        </w:tc>
        <w:tc>
          <w:tcPr>
            <w:tcW w:w="807" w:type="dxa"/>
            <w:vAlign w:val="top"/>
          </w:tcPr>
          <w:p w14:paraId="797BFD02">
            <w:pPr>
              <w:pStyle w:val="17"/>
              <w:spacing w:before="205" w:line="220" w:lineRule="auto"/>
              <w:ind w:left="201"/>
              <w:rPr>
                <w:color w:val="auto"/>
                <w:highlight w:val="none"/>
              </w:rPr>
            </w:pPr>
            <w:r>
              <w:rPr>
                <w:b/>
                <w:bCs/>
                <w:color w:val="auto"/>
                <w:spacing w:val="-5"/>
                <w:highlight w:val="none"/>
              </w:rPr>
              <w:t>分值</w:t>
            </w:r>
          </w:p>
        </w:tc>
        <w:tc>
          <w:tcPr>
            <w:tcW w:w="4926" w:type="dxa"/>
            <w:vMerge w:val="continue"/>
            <w:tcBorders>
              <w:top w:val="nil"/>
            </w:tcBorders>
            <w:vAlign w:val="top"/>
          </w:tcPr>
          <w:p w14:paraId="23DFD117">
            <w:pPr>
              <w:rPr>
                <w:rFonts w:ascii="Arial"/>
                <w:color w:val="auto"/>
                <w:sz w:val="21"/>
                <w:highlight w:val="none"/>
              </w:rPr>
            </w:pPr>
          </w:p>
        </w:tc>
      </w:tr>
      <w:tr w14:paraId="78040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6" w:hRule="atLeast"/>
        </w:trPr>
        <w:tc>
          <w:tcPr>
            <w:tcW w:w="757" w:type="dxa"/>
            <w:vMerge w:val="restart"/>
            <w:tcBorders>
              <w:bottom w:val="nil"/>
            </w:tcBorders>
            <w:vAlign w:val="top"/>
          </w:tcPr>
          <w:p w14:paraId="288274AE">
            <w:pPr>
              <w:spacing w:line="243" w:lineRule="auto"/>
              <w:rPr>
                <w:rFonts w:ascii="Arial"/>
                <w:color w:val="auto"/>
                <w:sz w:val="21"/>
                <w:highlight w:val="none"/>
              </w:rPr>
            </w:pPr>
          </w:p>
          <w:p w14:paraId="03F5DFC4">
            <w:pPr>
              <w:spacing w:line="243" w:lineRule="auto"/>
              <w:rPr>
                <w:rFonts w:ascii="Arial"/>
                <w:color w:val="auto"/>
                <w:sz w:val="21"/>
                <w:highlight w:val="none"/>
              </w:rPr>
            </w:pPr>
          </w:p>
          <w:p w14:paraId="538EB74B">
            <w:pPr>
              <w:spacing w:line="243" w:lineRule="auto"/>
              <w:rPr>
                <w:rFonts w:ascii="Arial"/>
                <w:color w:val="auto"/>
                <w:sz w:val="21"/>
                <w:highlight w:val="none"/>
              </w:rPr>
            </w:pPr>
          </w:p>
          <w:p w14:paraId="557E45FF">
            <w:pPr>
              <w:spacing w:line="243" w:lineRule="auto"/>
              <w:rPr>
                <w:rFonts w:ascii="Arial"/>
                <w:color w:val="auto"/>
                <w:sz w:val="21"/>
                <w:highlight w:val="none"/>
              </w:rPr>
            </w:pPr>
          </w:p>
          <w:p w14:paraId="5622591A">
            <w:pPr>
              <w:spacing w:line="243" w:lineRule="auto"/>
              <w:rPr>
                <w:rFonts w:ascii="Arial"/>
                <w:color w:val="auto"/>
                <w:sz w:val="21"/>
                <w:highlight w:val="none"/>
              </w:rPr>
            </w:pPr>
          </w:p>
          <w:p w14:paraId="4CC51D7C">
            <w:pPr>
              <w:spacing w:line="243" w:lineRule="auto"/>
              <w:rPr>
                <w:rFonts w:ascii="Arial"/>
                <w:color w:val="auto"/>
                <w:sz w:val="21"/>
                <w:highlight w:val="none"/>
              </w:rPr>
            </w:pPr>
          </w:p>
          <w:p w14:paraId="77B5F025">
            <w:pPr>
              <w:spacing w:line="243" w:lineRule="auto"/>
              <w:rPr>
                <w:rFonts w:ascii="Arial"/>
                <w:color w:val="auto"/>
                <w:sz w:val="21"/>
                <w:highlight w:val="none"/>
              </w:rPr>
            </w:pPr>
          </w:p>
          <w:p w14:paraId="242615FF">
            <w:pPr>
              <w:spacing w:line="243" w:lineRule="auto"/>
              <w:rPr>
                <w:rFonts w:ascii="Arial"/>
                <w:color w:val="auto"/>
                <w:sz w:val="21"/>
                <w:highlight w:val="none"/>
              </w:rPr>
            </w:pPr>
          </w:p>
          <w:p w14:paraId="1816E785">
            <w:pPr>
              <w:spacing w:line="243" w:lineRule="auto"/>
              <w:rPr>
                <w:rFonts w:ascii="Arial"/>
                <w:color w:val="auto"/>
                <w:sz w:val="21"/>
                <w:highlight w:val="none"/>
              </w:rPr>
            </w:pPr>
          </w:p>
          <w:p w14:paraId="7F7A188C">
            <w:pPr>
              <w:spacing w:line="243" w:lineRule="auto"/>
              <w:rPr>
                <w:rFonts w:ascii="Arial"/>
                <w:color w:val="auto"/>
                <w:sz w:val="21"/>
                <w:highlight w:val="none"/>
              </w:rPr>
            </w:pPr>
          </w:p>
          <w:p w14:paraId="00661B47">
            <w:pPr>
              <w:spacing w:line="243" w:lineRule="auto"/>
              <w:rPr>
                <w:rFonts w:ascii="Arial"/>
                <w:color w:val="auto"/>
                <w:sz w:val="21"/>
                <w:highlight w:val="none"/>
              </w:rPr>
            </w:pPr>
          </w:p>
          <w:p w14:paraId="6DA3F742">
            <w:pPr>
              <w:spacing w:line="243" w:lineRule="auto"/>
              <w:rPr>
                <w:rFonts w:ascii="Arial"/>
                <w:color w:val="auto"/>
                <w:sz w:val="21"/>
                <w:highlight w:val="none"/>
              </w:rPr>
            </w:pPr>
          </w:p>
          <w:p w14:paraId="3EC4F0A9">
            <w:pPr>
              <w:spacing w:line="243" w:lineRule="auto"/>
              <w:rPr>
                <w:rFonts w:ascii="Arial"/>
                <w:color w:val="auto"/>
                <w:sz w:val="21"/>
                <w:highlight w:val="none"/>
              </w:rPr>
            </w:pPr>
          </w:p>
          <w:p w14:paraId="5B9353D5">
            <w:pPr>
              <w:spacing w:line="243" w:lineRule="auto"/>
              <w:rPr>
                <w:rFonts w:ascii="Arial"/>
                <w:color w:val="auto"/>
                <w:sz w:val="21"/>
                <w:highlight w:val="none"/>
              </w:rPr>
            </w:pPr>
          </w:p>
          <w:p w14:paraId="623C6858">
            <w:pPr>
              <w:spacing w:line="243" w:lineRule="auto"/>
              <w:rPr>
                <w:rFonts w:ascii="Arial"/>
                <w:color w:val="auto"/>
                <w:sz w:val="21"/>
                <w:highlight w:val="none"/>
              </w:rPr>
            </w:pPr>
          </w:p>
          <w:p w14:paraId="3AFC89C5">
            <w:pPr>
              <w:spacing w:line="243" w:lineRule="auto"/>
              <w:rPr>
                <w:rFonts w:ascii="Arial"/>
                <w:color w:val="auto"/>
                <w:sz w:val="21"/>
                <w:highlight w:val="none"/>
              </w:rPr>
            </w:pPr>
          </w:p>
          <w:p w14:paraId="72D0987E">
            <w:pPr>
              <w:spacing w:line="243" w:lineRule="auto"/>
              <w:rPr>
                <w:rFonts w:ascii="Arial"/>
                <w:color w:val="auto"/>
                <w:sz w:val="21"/>
                <w:highlight w:val="none"/>
              </w:rPr>
            </w:pPr>
          </w:p>
          <w:p w14:paraId="4DFF5D2C">
            <w:pPr>
              <w:spacing w:line="243" w:lineRule="auto"/>
              <w:rPr>
                <w:rFonts w:ascii="Arial"/>
                <w:color w:val="auto"/>
                <w:sz w:val="21"/>
                <w:highlight w:val="none"/>
              </w:rPr>
            </w:pPr>
          </w:p>
          <w:p w14:paraId="3029EF2B">
            <w:pPr>
              <w:spacing w:line="243" w:lineRule="auto"/>
              <w:rPr>
                <w:rFonts w:ascii="Arial"/>
                <w:color w:val="auto"/>
                <w:sz w:val="21"/>
                <w:highlight w:val="none"/>
              </w:rPr>
            </w:pPr>
          </w:p>
          <w:p w14:paraId="00D33985">
            <w:pPr>
              <w:spacing w:line="243" w:lineRule="auto"/>
              <w:rPr>
                <w:rFonts w:ascii="Arial"/>
                <w:color w:val="auto"/>
                <w:sz w:val="21"/>
                <w:highlight w:val="none"/>
              </w:rPr>
            </w:pPr>
          </w:p>
          <w:p w14:paraId="539E9BA4">
            <w:pPr>
              <w:spacing w:line="243" w:lineRule="auto"/>
              <w:rPr>
                <w:rFonts w:ascii="Arial"/>
                <w:color w:val="auto"/>
                <w:sz w:val="21"/>
                <w:highlight w:val="none"/>
              </w:rPr>
            </w:pPr>
          </w:p>
          <w:p w14:paraId="22B6BEA9">
            <w:pPr>
              <w:spacing w:line="244" w:lineRule="auto"/>
              <w:rPr>
                <w:rFonts w:ascii="Arial"/>
                <w:color w:val="auto"/>
                <w:sz w:val="21"/>
                <w:highlight w:val="none"/>
              </w:rPr>
            </w:pPr>
          </w:p>
          <w:p w14:paraId="4981C59F">
            <w:pPr>
              <w:pStyle w:val="17"/>
              <w:spacing w:before="69" w:line="239" w:lineRule="auto"/>
              <w:ind w:left="123"/>
              <w:rPr>
                <w:color w:val="auto"/>
                <w:highlight w:val="none"/>
              </w:rPr>
            </w:pPr>
            <w:r>
              <w:rPr>
                <w:color w:val="auto"/>
                <w:spacing w:val="-3"/>
                <w:highlight w:val="none"/>
              </w:rPr>
              <w:t>2.2.2</w:t>
            </w:r>
          </w:p>
          <w:p w14:paraId="13DA6DAA">
            <w:pPr>
              <w:pStyle w:val="17"/>
              <w:spacing w:before="127" w:line="232" w:lineRule="auto"/>
              <w:ind w:left="126"/>
              <w:rPr>
                <w:color w:val="auto"/>
                <w:highlight w:val="none"/>
              </w:rPr>
            </w:pPr>
            <w:r>
              <w:rPr>
                <w:color w:val="auto"/>
                <w:spacing w:val="-6"/>
                <w:highlight w:val="none"/>
              </w:rPr>
              <w:t>（1）</w:t>
            </w:r>
          </w:p>
        </w:tc>
        <w:tc>
          <w:tcPr>
            <w:tcW w:w="857" w:type="dxa"/>
            <w:vMerge w:val="restart"/>
            <w:tcBorders>
              <w:bottom w:val="nil"/>
            </w:tcBorders>
            <w:vAlign w:val="top"/>
          </w:tcPr>
          <w:p w14:paraId="6B7CD060">
            <w:pPr>
              <w:spacing w:line="252" w:lineRule="auto"/>
              <w:rPr>
                <w:rFonts w:ascii="Arial"/>
                <w:color w:val="auto"/>
                <w:sz w:val="21"/>
                <w:highlight w:val="none"/>
              </w:rPr>
            </w:pPr>
          </w:p>
          <w:p w14:paraId="24F1B308">
            <w:pPr>
              <w:spacing w:line="252" w:lineRule="auto"/>
              <w:rPr>
                <w:rFonts w:ascii="Arial"/>
                <w:color w:val="auto"/>
                <w:sz w:val="21"/>
                <w:highlight w:val="none"/>
              </w:rPr>
            </w:pPr>
          </w:p>
          <w:p w14:paraId="0EE3ECD6">
            <w:pPr>
              <w:spacing w:line="253" w:lineRule="auto"/>
              <w:rPr>
                <w:rFonts w:ascii="Arial"/>
                <w:color w:val="auto"/>
                <w:sz w:val="21"/>
                <w:highlight w:val="none"/>
              </w:rPr>
            </w:pPr>
          </w:p>
          <w:p w14:paraId="0DD90BC7">
            <w:pPr>
              <w:spacing w:line="253" w:lineRule="auto"/>
              <w:rPr>
                <w:rFonts w:ascii="Arial"/>
                <w:color w:val="auto"/>
                <w:sz w:val="21"/>
                <w:highlight w:val="none"/>
              </w:rPr>
            </w:pPr>
          </w:p>
          <w:p w14:paraId="12ED84BD">
            <w:pPr>
              <w:spacing w:line="253" w:lineRule="auto"/>
              <w:rPr>
                <w:rFonts w:ascii="Arial"/>
                <w:color w:val="auto"/>
                <w:sz w:val="21"/>
                <w:highlight w:val="none"/>
              </w:rPr>
            </w:pPr>
          </w:p>
          <w:p w14:paraId="692EEAA7">
            <w:pPr>
              <w:spacing w:line="253" w:lineRule="auto"/>
              <w:rPr>
                <w:rFonts w:ascii="Arial"/>
                <w:color w:val="auto"/>
                <w:sz w:val="21"/>
                <w:highlight w:val="none"/>
              </w:rPr>
            </w:pPr>
          </w:p>
          <w:p w14:paraId="57A86812">
            <w:pPr>
              <w:spacing w:line="253" w:lineRule="auto"/>
              <w:rPr>
                <w:rFonts w:ascii="Arial"/>
                <w:color w:val="auto"/>
                <w:sz w:val="21"/>
                <w:highlight w:val="none"/>
              </w:rPr>
            </w:pPr>
          </w:p>
          <w:p w14:paraId="5847ADC6">
            <w:pPr>
              <w:spacing w:line="253" w:lineRule="auto"/>
              <w:rPr>
                <w:rFonts w:ascii="Arial"/>
                <w:color w:val="auto"/>
                <w:sz w:val="21"/>
                <w:highlight w:val="none"/>
              </w:rPr>
            </w:pPr>
          </w:p>
          <w:p w14:paraId="2254150D">
            <w:pPr>
              <w:spacing w:line="253" w:lineRule="auto"/>
              <w:rPr>
                <w:rFonts w:ascii="Arial"/>
                <w:color w:val="auto"/>
                <w:sz w:val="21"/>
                <w:highlight w:val="none"/>
              </w:rPr>
            </w:pPr>
          </w:p>
          <w:p w14:paraId="366E70A6">
            <w:pPr>
              <w:spacing w:line="253" w:lineRule="auto"/>
              <w:rPr>
                <w:rFonts w:ascii="Arial"/>
                <w:color w:val="auto"/>
                <w:sz w:val="21"/>
                <w:highlight w:val="none"/>
              </w:rPr>
            </w:pPr>
          </w:p>
          <w:p w14:paraId="76D9A1A5">
            <w:pPr>
              <w:spacing w:line="253" w:lineRule="auto"/>
              <w:rPr>
                <w:rFonts w:ascii="Arial"/>
                <w:color w:val="auto"/>
                <w:sz w:val="21"/>
                <w:highlight w:val="none"/>
              </w:rPr>
            </w:pPr>
          </w:p>
          <w:p w14:paraId="4C29B1B3">
            <w:pPr>
              <w:spacing w:line="253" w:lineRule="auto"/>
              <w:rPr>
                <w:rFonts w:ascii="Arial"/>
                <w:color w:val="auto"/>
                <w:sz w:val="21"/>
                <w:highlight w:val="none"/>
              </w:rPr>
            </w:pPr>
          </w:p>
          <w:p w14:paraId="13572023">
            <w:pPr>
              <w:spacing w:line="253" w:lineRule="auto"/>
              <w:rPr>
                <w:rFonts w:ascii="Arial"/>
                <w:color w:val="auto"/>
                <w:sz w:val="21"/>
                <w:highlight w:val="none"/>
              </w:rPr>
            </w:pPr>
          </w:p>
          <w:p w14:paraId="20FAFB63">
            <w:pPr>
              <w:spacing w:line="253" w:lineRule="auto"/>
              <w:rPr>
                <w:rFonts w:ascii="Arial"/>
                <w:color w:val="auto"/>
                <w:sz w:val="21"/>
                <w:highlight w:val="none"/>
              </w:rPr>
            </w:pPr>
          </w:p>
          <w:p w14:paraId="71BE9C7B">
            <w:pPr>
              <w:spacing w:line="253" w:lineRule="auto"/>
              <w:rPr>
                <w:rFonts w:ascii="Arial"/>
                <w:color w:val="auto"/>
                <w:sz w:val="21"/>
                <w:highlight w:val="none"/>
              </w:rPr>
            </w:pPr>
          </w:p>
          <w:p w14:paraId="3F3601ED">
            <w:pPr>
              <w:spacing w:line="253" w:lineRule="auto"/>
              <w:rPr>
                <w:rFonts w:ascii="Arial"/>
                <w:color w:val="auto"/>
                <w:sz w:val="21"/>
                <w:highlight w:val="none"/>
              </w:rPr>
            </w:pPr>
          </w:p>
          <w:p w14:paraId="5046BEF7">
            <w:pPr>
              <w:spacing w:line="253" w:lineRule="auto"/>
              <w:rPr>
                <w:rFonts w:ascii="Arial"/>
                <w:color w:val="auto"/>
                <w:sz w:val="21"/>
                <w:highlight w:val="none"/>
              </w:rPr>
            </w:pPr>
          </w:p>
          <w:p w14:paraId="185EEDD5">
            <w:pPr>
              <w:spacing w:line="253" w:lineRule="auto"/>
              <w:rPr>
                <w:rFonts w:ascii="Arial"/>
                <w:color w:val="auto"/>
                <w:sz w:val="21"/>
                <w:highlight w:val="none"/>
              </w:rPr>
            </w:pPr>
          </w:p>
          <w:p w14:paraId="3514E830">
            <w:pPr>
              <w:pStyle w:val="17"/>
              <w:spacing w:before="69" w:line="222" w:lineRule="auto"/>
              <w:ind w:left="115"/>
              <w:rPr>
                <w:color w:val="auto"/>
                <w:highlight w:val="none"/>
              </w:rPr>
            </w:pPr>
            <w:r>
              <w:rPr>
                <w:color w:val="auto"/>
                <w:spacing w:val="-2"/>
                <w:highlight w:val="none"/>
              </w:rPr>
              <w:t>施工组</w:t>
            </w:r>
          </w:p>
          <w:p w14:paraId="3E2FEEC1">
            <w:pPr>
              <w:pStyle w:val="17"/>
              <w:spacing w:before="135" w:line="233" w:lineRule="auto"/>
              <w:ind w:left="275"/>
              <w:rPr>
                <w:color w:val="auto"/>
                <w:sz w:val="10"/>
                <w:szCs w:val="10"/>
                <w:highlight w:val="none"/>
              </w:rPr>
            </w:pPr>
            <w:r>
              <w:rPr>
                <w:color w:val="auto"/>
                <w:spacing w:val="-3"/>
                <w:highlight w:val="none"/>
              </w:rPr>
              <w:t>织设计</w:t>
            </w:r>
          </w:p>
        </w:tc>
        <w:tc>
          <w:tcPr>
            <w:tcW w:w="1117" w:type="dxa"/>
            <w:vMerge w:val="restart"/>
            <w:tcBorders>
              <w:bottom w:val="nil"/>
            </w:tcBorders>
            <w:vAlign w:val="top"/>
          </w:tcPr>
          <w:p w14:paraId="5CF03561">
            <w:pPr>
              <w:spacing w:line="241" w:lineRule="auto"/>
              <w:rPr>
                <w:rFonts w:ascii="Arial"/>
                <w:color w:val="auto"/>
                <w:sz w:val="21"/>
                <w:highlight w:val="none"/>
              </w:rPr>
            </w:pPr>
          </w:p>
          <w:p w14:paraId="295A6A0D">
            <w:pPr>
              <w:spacing w:line="241" w:lineRule="auto"/>
              <w:rPr>
                <w:rFonts w:ascii="Arial"/>
                <w:color w:val="auto"/>
                <w:sz w:val="21"/>
                <w:highlight w:val="none"/>
              </w:rPr>
            </w:pPr>
          </w:p>
          <w:p w14:paraId="468B9FBE">
            <w:pPr>
              <w:spacing w:line="241" w:lineRule="auto"/>
              <w:rPr>
                <w:rFonts w:ascii="Arial"/>
                <w:color w:val="auto"/>
                <w:sz w:val="21"/>
                <w:highlight w:val="none"/>
              </w:rPr>
            </w:pPr>
          </w:p>
          <w:p w14:paraId="472DCDA1">
            <w:pPr>
              <w:spacing w:line="241" w:lineRule="auto"/>
              <w:rPr>
                <w:rFonts w:ascii="Arial"/>
                <w:color w:val="auto"/>
                <w:sz w:val="21"/>
                <w:highlight w:val="none"/>
              </w:rPr>
            </w:pPr>
          </w:p>
          <w:p w14:paraId="4C0559AB">
            <w:pPr>
              <w:spacing w:line="241" w:lineRule="auto"/>
              <w:rPr>
                <w:rFonts w:ascii="Arial"/>
                <w:color w:val="auto"/>
                <w:sz w:val="21"/>
                <w:highlight w:val="none"/>
              </w:rPr>
            </w:pPr>
          </w:p>
          <w:p w14:paraId="06B04C20">
            <w:pPr>
              <w:spacing w:line="241" w:lineRule="auto"/>
              <w:rPr>
                <w:rFonts w:ascii="Arial"/>
                <w:color w:val="auto"/>
                <w:sz w:val="21"/>
                <w:highlight w:val="none"/>
              </w:rPr>
            </w:pPr>
          </w:p>
          <w:p w14:paraId="2BDE667F">
            <w:pPr>
              <w:spacing w:line="241" w:lineRule="auto"/>
              <w:rPr>
                <w:rFonts w:ascii="Arial"/>
                <w:color w:val="auto"/>
                <w:sz w:val="21"/>
                <w:highlight w:val="none"/>
              </w:rPr>
            </w:pPr>
          </w:p>
          <w:p w14:paraId="7B995C59">
            <w:pPr>
              <w:spacing w:line="241" w:lineRule="auto"/>
              <w:rPr>
                <w:rFonts w:ascii="Arial"/>
                <w:color w:val="auto"/>
                <w:sz w:val="21"/>
                <w:highlight w:val="none"/>
              </w:rPr>
            </w:pPr>
          </w:p>
          <w:p w14:paraId="27BF53DB">
            <w:pPr>
              <w:spacing w:line="241" w:lineRule="auto"/>
              <w:rPr>
                <w:rFonts w:ascii="Arial"/>
                <w:color w:val="auto"/>
                <w:sz w:val="21"/>
                <w:highlight w:val="none"/>
              </w:rPr>
            </w:pPr>
          </w:p>
          <w:p w14:paraId="2AD46468">
            <w:pPr>
              <w:spacing w:line="241" w:lineRule="auto"/>
              <w:rPr>
                <w:rFonts w:ascii="Arial"/>
                <w:color w:val="auto"/>
                <w:sz w:val="21"/>
                <w:highlight w:val="none"/>
              </w:rPr>
            </w:pPr>
          </w:p>
          <w:p w14:paraId="436C3658">
            <w:pPr>
              <w:spacing w:line="241" w:lineRule="auto"/>
              <w:rPr>
                <w:rFonts w:ascii="Arial"/>
                <w:color w:val="auto"/>
                <w:sz w:val="21"/>
                <w:highlight w:val="none"/>
              </w:rPr>
            </w:pPr>
          </w:p>
          <w:p w14:paraId="14FB2174">
            <w:pPr>
              <w:spacing w:line="241" w:lineRule="auto"/>
              <w:rPr>
                <w:rFonts w:ascii="Arial"/>
                <w:color w:val="auto"/>
                <w:sz w:val="21"/>
                <w:highlight w:val="none"/>
              </w:rPr>
            </w:pPr>
          </w:p>
          <w:p w14:paraId="5AB0CD0F">
            <w:pPr>
              <w:spacing w:line="241" w:lineRule="auto"/>
              <w:rPr>
                <w:rFonts w:ascii="Arial"/>
                <w:color w:val="auto"/>
                <w:sz w:val="21"/>
                <w:highlight w:val="none"/>
              </w:rPr>
            </w:pPr>
          </w:p>
          <w:p w14:paraId="3CFD74D8">
            <w:pPr>
              <w:spacing w:line="241" w:lineRule="auto"/>
              <w:rPr>
                <w:rFonts w:ascii="Arial"/>
                <w:color w:val="auto"/>
                <w:sz w:val="21"/>
                <w:highlight w:val="none"/>
              </w:rPr>
            </w:pPr>
          </w:p>
          <w:p w14:paraId="402768C0">
            <w:pPr>
              <w:spacing w:line="241" w:lineRule="auto"/>
              <w:rPr>
                <w:rFonts w:ascii="Arial"/>
                <w:color w:val="auto"/>
                <w:sz w:val="21"/>
                <w:highlight w:val="none"/>
              </w:rPr>
            </w:pPr>
          </w:p>
          <w:p w14:paraId="56AB47F7">
            <w:pPr>
              <w:spacing w:line="241" w:lineRule="auto"/>
              <w:rPr>
                <w:rFonts w:ascii="Arial"/>
                <w:color w:val="auto"/>
                <w:sz w:val="21"/>
                <w:highlight w:val="none"/>
              </w:rPr>
            </w:pPr>
          </w:p>
          <w:p w14:paraId="19E7FF90">
            <w:pPr>
              <w:spacing w:line="241" w:lineRule="auto"/>
              <w:rPr>
                <w:rFonts w:ascii="Arial"/>
                <w:color w:val="auto"/>
                <w:sz w:val="21"/>
                <w:highlight w:val="none"/>
              </w:rPr>
            </w:pPr>
          </w:p>
          <w:p w14:paraId="73BE30C8">
            <w:pPr>
              <w:spacing w:line="241" w:lineRule="auto"/>
              <w:rPr>
                <w:rFonts w:ascii="Arial"/>
                <w:color w:val="auto"/>
                <w:sz w:val="21"/>
                <w:highlight w:val="none"/>
              </w:rPr>
            </w:pPr>
          </w:p>
          <w:p w14:paraId="48143710">
            <w:pPr>
              <w:spacing w:line="241" w:lineRule="auto"/>
              <w:rPr>
                <w:rFonts w:ascii="Arial"/>
                <w:color w:val="auto"/>
                <w:sz w:val="21"/>
                <w:highlight w:val="none"/>
              </w:rPr>
            </w:pPr>
          </w:p>
          <w:p w14:paraId="673020BD">
            <w:pPr>
              <w:spacing w:line="242" w:lineRule="auto"/>
              <w:rPr>
                <w:rFonts w:ascii="Arial"/>
                <w:color w:val="auto"/>
                <w:sz w:val="21"/>
                <w:highlight w:val="none"/>
              </w:rPr>
            </w:pPr>
          </w:p>
          <w:p w14:paraId="09F270B2">
            <w:pPr>
              <w:spacing w:line="242" w:lineRule="auto"/>
              <w:rPr>
                <w:rFonts w:ascii="Arial"/>
                <w:color w:val="auto"/>
                <w:sz w:val="21"/>
                <w:highlight w:val="none"/>
              </w:rPr>
            </w:pPr>
          </w:p>
          <w:p w14:paraId="19435EF4">
            <w:pPr>
              <w:spacing w:line="242" w:lineRule="auto"/>
              <w:rPr>
                <w:rFonts w:ascii="Arial"/>
                <w:color w:val="auto"/>
                <w:sz w:val="21"/>
                <w:highlight w:val="none"/>
              </w:rPr>
            </w:pPr>
          </w:p>
          <w:p w14:paraId="3793DAE3">
            <w:pPr>
              <w:spacing w:line="242" w:lineRule="auto"/>
              <w:rPr>
                <w:rFonts w:ascii="Arial"/>
                <w:color w:val="auto"/>
                <w:sz w:val="21"/>
                <w:highlight w:val="none"/>
              </w:rPr>
            </w:pPr>
          </w:p>
          <w:p w14:paraId="6217E6A6">
            <w:pPr>
              <w:pStyle w:val="17"/>
              <w:spacing w:before="68" w:line="220" w:lineRule="auto"/>
              <w:ind w:left="325"/>
              <w:rPr>
                <w:color w:val="auto"/>
                <w:highlight w:val="none"/>
              </w:rPr>
            </w:pPr>
            <w:r>
              <w:rPr>
                <w:color w:val="auto"/>
                <w:spacing w:val="-3"/>
                <w:highlight w:val="none"/>
              </w:rPr>
              <w:t>40</w:t>
            </w:r>
            <w:r>
              <w:rPr>
                <w:color w:val="auto"/>
                <w:spacing w:val="-43"/>
                <w:highlight w:val="none"/>
              </w:rPr>
              <w:t xml:space="preserve"> </w:t>
            </w:r>
            <w:r>
              <w:rPr>
                <w:color w:val="auto"/>
                <w:spacing w:val="-3"/>
                <w:highlight w:val="none"/>
              </w:rPr>
              <w:t>分</w:t>
            </w:r>
          </w:p>
        </w:tc>
        <w:tc>
          <w:tcPr>
            <w:tcW w:w="1103" w:type="dxa"/>
            <w:vAlign w:val="top"/>
          </w:tcPr>
          <w:p w14:paraId="726F3EF9">
            <w:pPr>
              <w:spacing w:line="293" w:lineRule="auto"/>
              <w:rPr>
                <w:rFonts w:ascii="Arial"/>
                <w:color w:val="auto"/>
                <w:sz w:val="21"/>
                <w:highlight w:val="none"/>
              </w:rPr>
            </w:pPr>
          </w:p>
          <w:p w14:paraId="15E02920">
            <w:pPr>
              <w:spacing w:line="293" w:lineRule="auto"/>
              <w:rPr>
                <w:rFonts w:ascii="Arial"/>
                <w:color w:val="auto"/>
                <w:sz w:val="21"/>
                <w:highlight w:val="none"/>
              </w:rPr>
            </w:pPr>
          </w:p>
          <w:p w14:paraId="4C5235A6">
            <w:pPr>
              <w:spacing w:line="293" w:lineRule="auto"/>
              <w:rPr>
                <w:rFonts w:ascii="Arial"/>
                <w:color w:val="auto"/>
                <w:sz w:val="21"/>
                <w:highlight w:val="none"/>
              </w:rPr>
            </w:pPr>
          </w:p>
          <w:p w14:paraId="44C80CD0">
            <w:pPr>
              <w:spacing w:line="294" w:lineRule="auto"/>
              <w:rPr>
                <w:rFonts w:ascii="Arial"/>
                <w:color w:val="auto"/>
                <w:sz w:val="21"/>
                <w:highlight w:val="none"/>
              </w:rPr>
            </w:pPr>
          </w:p>
          <w:p w14:paraId="2346CEAD">
            <w:pPr>
              <w:pStyle w:val="17"/>
              <w:spacing w:before="68" w:line="354" w:lineRule="auto"/>
              <w:ind w:left="137" w:right="130" w:firstLine="3"/>
              <w:jc w:val="both"/>
              <w:rPr>
                <w:color w:val="auto"/>
                <w:highlight w:val="none"/>
              </w:rPr>
            </w:pPr>
            <w:r>
              <w:rPr>
                <w:color w:val="auto"/>
                <w:spacing w:val="-4"/>
                <w:highlight w:val="none"/>
              </w:rPr>
              <w:t>总体施工</w:t>
            </w:r>
            <w:r>
              <w:rPr>
                <w:color w:val="auto"/>
                <w:spacing w:val="-3"/>
                <w:highlight w:val="none"/>
              </w:rPr>
              <w:t>组织布置</w:t>
            </w:r>
            <w:r>
              <w:rPr>
                <w:color w:val="auto"/>
                <w:spacing w:val="31"/>
                <w:highlight w:val="none"/>
              </w:rPr>
              <w:t>及规划</w:t>
            </w:r>
          </w:p>
        </w:tc>
        <w:tc>
          <w:tcPr>
            <w:tcW w:w="807" w:type="dxa"/>
            <w:vAlign w:val="top"/>
          </w:tcPr>
          <w:p w14:paraId="44DDBC7D">
            <w:pPr>
              <w:spacing w:line="261" w:lineRule="auto"/>
              <w:rPr>
                <w:rFonts w:ascii="Arial"/>
                <w:color w:val="auto"/>
                <w:sz w:val="21"/>
                <w:highlight w:val="none"/>
              </w:rPr>
            </w:pPr>
          </w:p>
          <w:p w14:paraId="3C76975C">
            <w:pPr>
              <w:spacing w:line="262" w:lineRule="auto"/>
              <w:rPr>
                <w:rFonts w:ascii="Arial"/>
                <w:color w:val="auto"/>
                <w:sz w:val="21"/>
                <w:highlight w:val="none"/>
              </w:rPr>
            </w:pPr>
          </w:p>
          <w:p w14:paraId="20B9D5C8">
            <w:pPr>
              <w:spacing w:line="262" w:lineRule="auto"/>
              <w:rPr>
                <w:rFonts w:ascii="Arial"/>
                <w:color w:val="auto"/>
                <w:sz w:val="21"/>
                <w:highlight w:val="none"/>
              </w:rPr>
            </w:pPr>
          </w:p>
          <w:p w14:paraId="21CA5636">
            <w:pPr>
              <w:spacing w:line="262" w:lineRule="auto"/>
              <w:rPr>
                <w:rFonts w:ascii="Arial"/>
                <w:color w:val="auto"/>
                <w:sz w:val="21"/>
                <w:highlight w:val="none"/>
              </w:rPr>
            </w:pPr>
          </w:p>
          <w:p w14:paraId="06807FA1">
            <w:pPr>
              <w:spacing w:line="262" w:lineRule="auto"/>
              <w:rPr>
                <w:rFonts w:ascii="Arial"/>
                <w:color w:val="auto"/>
                <w:sz w:val="21"/>
                <w:highlight w:val="none"/>
              </w:rPr>
            </w:pPr>
          </w:p>
          <w:p w14:paraId="6484D67A">
            <w:pPr>
              <w:spacing w:line="262" w:lineRule="auto"/>
              <w:rPr>
                <w:rFonts w:ascii="Arial"/>
                <w:color w:val="auto"/>
                <w:sz w:val="21"/>
                <w:highlight w:val="none"/>
              </w:rPr>
            </w:pPr>
          </w:p>
          <w:p w14:paraId="272E7A38">
            <w:pPr>
              <w:pStyle w:val="17"/>
              <w:spacing w:before="68" w:line="220" w:lineRule="auto"/>
              <w:ind w:left="187"/>
              <w:rPr>
                <w:color w:val="auto"/>
                <w:highlight w:val="none"/>
              </w:rPr>
            </w:pPr>
            <w:r>
              <w:rPr>
                <w:color w:val="auto"/>
                <w:spacing w:val="-8"/>
                <w:highlight w:val="none"/>
                <w:u w:val="single" w:color="auto"/>
              </w:rPr>
              <w:t>1</w:t>
            </w:r>
            <w:r>
              <w:rPr>
                <w:rFonts w:hint="eastAsia"/>
                <w:color w:val="auto"/>
                <w:spacing w:val="-8"/>
                <w:highlight w:val="none"/>
                <w:u w:val="single" w:color="auto"/>
                <w:lang w:val="en-US" w:eastAsia="zh-CN"/>
              </w:rPr>
              <w:t>5</w:t>
            </w:r>
            <w:r>
              <w:rPr>
                <w:color w:val="auto"/>
                <w:spacing w:val="-44"/>
                <w:highlight w:val="none"/>
                <w:u w:val="single" w:color="auto"/>
              </w:rPr>
              <w:t xml:space="preserve"> </w:t>
            </w:r>
            <w:r>
              <w:rPr>
                <w:color w:val="auto"/>
                <w:spacing w:val="-8"/>
                <w:highlight w:val="none"/>
              </w:rPr>
              <w:t>分</w:t>
            </w:r>
          </w:p>
        </w:tc>
        <w:tc>
          <w:tcPr>
            <w:tcW w:w="4926" w:type="dxa"/>
            <w:vAlign w:val="top"/>
          </w:tcPr>
          <w:p w14:paraId="4D1B43F2">
            <w:pPr>
              <w:pStyle w:val="17"/>
              <w:spacing w:before="123" w:line="311" w:lineRule="auto"/>
              <w:ind w:left="111" w:firstLine="7"/>
              <w:rPr>
                <w:color w:val="auto"/>
                <w:highlight w:val="none"/>
              </w:rPr>
            </w:pPr>
            <w:r>
              <w:rPr>
                <w:color w:val="auto"/>
                <w:spacing w:val="-6"/>
                <w:highlight w:val="none"/>
              </w:rPr>
              <w:t>（1）对项目的基本情况了解全面、准确，</w:t>
            </w:r>
            <w:r>
              <w:rPr>
                <w:color w:val="auto"/>
                <w:spacing w:val="73"/>
                <w:highlight w:val="none"/>
              </w:rPr>
              <w:t xml:space="preserve"> </w:t>
            </w:r>
            <w:r>
              <w:rPr>
                <w:color w:val="auto"/>
                <w:spacing w:val="-6"/>
                <w:highlight w:val="none"/>
              </w:rPr>
              <w:t>施工总体布</w:t>
            </w:r>
            <w:r>
              <w:rPr>
                <w:color w:val="auto"/>
                <w:spacing w:val="-10"/>
                <w:highlight w:val="none"/>
              </w:rPr>
              <w:t>置规划、施工进度计划科学合理、可操作性强，</w:t>
            </w:r>
            <w:r>
              <w:rPr>
                <w:color w:val="auto"/>
                <w:spacing w:val="66"/>
                <w:highlight w:val="none"/>
              </w:rPr>
              <w:t xml:space="preserve"> </w:t>
            </w:r>
            <w:r>
              <w:rPr>
                <w:color w:val="auto"/>
                <w:spacing w:val="-10"/>
                <w:highlight w:val="none"/>
              </w:rPr>
              <w:t>按《广</w:t>
            </w:r>
            <w:r>
              <w:rPr>
                <w:color w:val="auto"/>
                <w:spacing w:val="-3"/>
                <w:highlight w:val="none"/>
              </w:rPr>
              <w:t>东省公路工程施工标准化指南》及《广东省高速公路工</w:t>
            </w:r>
            <w:r>
              <w:rPr>
                <w:color w:val="auto"/>
                <w:spacing w:val="-4"/>
                <w:highlight w:val="none"/>
              </w:rPr>
              <w:t>程施工安全标准化指南》《公路工程施工安全防护设施</w:t>
            </w:r>
            <w:r>
              <w:rPr>
                <w:color w:val="auto"/>
                <w:spacing w:val="-8"/>
                <w:highlight w:val="none"/>
              </w:rPr>
              <w:t>技术指南》执行，</w:t>
            </w:r>
            <w:r>
              <w:rPr>
                <w:color w:val="auto"/>
                <w:spacing w:val="-42"/>
                <w:highlight w:val="none"/>
              </w:rPr>
              <w:t xml:space="preserve"> </w:t>
            </w:r>
            <w:r>
              <w:rPr>
                <w:color w:val="auto"/>
                <w:spacing w:val="-8"/>
                <w:highlight w:val="none"/>
              </w:rPr>
              <w:t>得</w:t>
            </w:r>
            <w:r>
              <w:rPr>
                <w:color w:val="auto"/>
                <w:spacing w:val="-43"/>
                <w:highlight w:val="none"/>
              </w:rPr>
              <w:t xml:space="preserve"> </w:t>
            </w:r>
            <w:r>
              <w:rPr>
                <w:rFonts w:hint="eastAsia"/>
                <w:color w:val="auto"/>
                <w:spacing w:val="-8"/>
                <w:highlight w:val="none"/>
                <w:u w:val="single" w:color="auto"/>
                <w:lang w:val="en-US" w:eastAsia="zh-CN"/>
              </w:rPr>
              <w:t>12-15</w:t>
            </w:r>
            <w:r>
              <w:rPr>
                <w:color w:val="auto"/>
                <w:spacing w:val="-43"/>
                <w:highlight w:val="none"/>
                <w:u w:val="single" w:color="auto"/>
              </w:rPr>
              <w:t xml:space="preserve"> </w:t>
            </w:r>
            <w:r>
              <w:rPr>
                <w:color w:val="auto"/>
                <w:spacing w:val="-8"/>
                <w:highlight w:val="none"/>
              </w:rPr>
              <w:t>分</w:t>
            </w:r>
            <w:r>
              <w:rPr>
                <w:color w:val="auto"/>
                <w:spacing w:val="-35"/>
                <w:highlight w:val="none"/>
              </w:rPr>
              <w:t>；</w:t>
            </w:r>
          </w:p>
          <w:p w14:paraId="2CE22D0C">
            <w:pPr>
              <w:pStyle w:val="17"/>
              <w:spacing w:before="129" w:line="277" w:lineRule="auto"/>
              <w:ind w:left="112" w:right="63" w:firstLine="6"/>
              <w:rPr>
                <w:color w:val="auto"/>
                <w:highlight w:val="none"/>
              </w:rPr>
            </w:pPr>
            <w:r>
              <w:rPr>
                <w:color w:val="auto"/>
                <w:spacing w:val="3"/>
                <w:highlight w:val="none"/>
              </w:rPr>
              <w:t>（2）满足工程建设需要，施工总体布置规划、施工进</w:t>
            </w:r>
            <w:r>
              <w:rPr>
                <w:color w:val="auto"/>
                <w:spacing w:val="-2"/>
                <w:highlight w:val="none"/>
              </w:rPr>
              <w:t>度计划基本可行，得</w:t>
            </w:r>
            <w:r>
              <w:rPr>
                <w:color w:val="auto"/>
                <w:spacing w:val="-43"/>
                <w:highlight w:val="none"/>
              </w:rPr>
              <w:t xml:space="preserve"> </w:t>
            </w:r>
            <w:r>
              <w:rPr>
                <w:rFonts w:hint="eastAsia"/>
                <w:color w:val="auto"/>
                <w:spacing w:val="-2"/>
                <w:highlight w:val="none"/>
                <w:u w:val="single" w:color="auto"/>
                <w:lang w:val="en-US" w:eastAsia="zh-CN"/>
              </w:rPr>
              <w:t>9-12</w:t>
            </w:r>
            <w:r>
              <w:rPr>
                <w:color w:val="auto"/>
                <w:spacing w:val="-42"/>
                <w:highlight w:val="none"/>
                <w:u w:val="single" w:color="auto"/>
              </w:rPr>
              <w:t xml:space="preserve"> </w:t>
            </w:r>
            <w:r>
              <w:rPr>
                <w:color w:val="auto"/>
                <w:spacing w:val="-2"/>
                <w:highlight w:val="none"/>
              </w:rPr>
              <w:t>分</w:t>
            </w:r>
            <w:r>
              <w:rPr>
                <w:color w:val="auto"/>
                <w:spacing w:val="-26"/>
                <w:highlight w:val="none"/>
              </w:rPr>
              <w:t>；</w:t>
            </w:r>
          </w:p>
          <w:p w14:paraId="5C359019">
            <w:pPr>
              <w:pStyle w:val="17"/>
              <w:spacing w:before="131" w:line="277" w:lineRule="auto"/>
              <w:ind w:left="114" w:right="123" w:firstLine="3"/>
              <w:rPr>
                <w:color w:val="auto"/>
                <w:highlight w:val="none"/>
              </w:rPr>
            </w:pPr>
            <w:r>
              <w:rPr>
                <w:color w:val="auto"/>
                <w:spacing w:val="-3"/>
                <w:highlight w:val="none"/>
              </w:rPr>
              <w:t>（3）一般但不被评定为不响应的,得</w:t>
            </w:r>
            <w:r>
              <w:rPr>
                <w:rFonts w:hint="eastAsia"/>
                <w:color w:val="auto"/>
                <w:spacing w:val="-3"/>
                <w:highlight w:val="none"/>
                <w:u w:val="single" w:color="auto"/>
                <w:lang w:val="en-US" w:eastAsia="zh-CN"/>
              </w:rPr>
              <w:t xml:space="preserve"> </w:t>
            </w:r>
            <w:r>
              <w:rPr>
                <w:rFonts w:hint="eastAsia"/>
                <w:color w:val="auto"/>
                <w:spacing w:val="-42"/>
                <w:highlight w:val="none"/>
                <w:u w:val="single" w:color="auto"/>
                <w:lang w:val="en-US" w:eastAsia="zh-CN"/>
              </w:rPr>
              <w:t>9</w:t>
            </w:r>
            <w:r>
              <w:rPr>
                <w:color w:val="auto"/>
                <w:spacing w:val="-41"/>
                <w:highlight w:val="none"/>
                <w:u w:val="single" w:color="auto"/>
              </w:rPr>
              <w:t xml:space="preserve"> </w:t>
            </w:r>
            <w:r>
              <w:rPr>
                <w:rFonts w:hint="eastAsia"/>
                <w:color w:val="auto"/>
                <w:spacing w:val="-41"/>
                <w:highlight w:val="none"/>
                <w:u w:val="single" w:color="auto"/>
                <w:lang w:val="en-US" w:eastAsia="zh-CN"/>
              </w:rPr>
              <w:t xml:space="preserve"> </w:t>
            </w:r>
            <w:r>
              <w:rPr>
                <w:color w:val="auto"/>
                <w:spacing w:val="-3"/>
                <w:highlight w:val="none"/>
              </w:rPr>
              <w:t>分</w:t>
            </w:r>
            <w:r>
              <w:rPr>
                <w:color w:val="auto"/>
                <w:spacing w:val="-2"/>
                <w:highlight w:val="none"/>
              </w:rPr>
              <w:t>。</w:t>
            </w:r>
          </w:p>
        </w:tc>
      </w:tr>
      <w:tr w14:paraId="46B99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0" w:hRule="atLeast"/>
        </w:trPr>
        <w:tc>
          <w:tcPr>
            <w:tcW w:w="757" w:type="dxa"/>
            <w:vMerge w:val="continue"/>
            <w:tcBorders>
              <w:top w:val="nil"/>
              <w:bottom w:val="nil"/>
            </w:tcBorders>
            <w:vAlign w:val="top"/>
          </w:tcPr>
          <w:p w14:paraId="3AAD73AF">
            <w:pPr>
              <w:rPr>
                <w:rFonts w:ascii="Arial"/>
                <w:color w:val="auto"/>
                <w:sz w:val="21"/>
                <w:highlight w:val="none"/>
              </w:rPr>
            </w:pPr>
          </w:p>
        </w:tc>
        <w:tc>
          <w:tcPr>
            <w:tcW w:w="857" w:type="dxa"/>
            <w:vMerge w:val="continue"/>
            <w:tcBorders>
              <w:top w:val="nil"/>
              <w:bottom w:val="nil"/>
            </w:tcBorders>
            <w:vAlign w:val="top"/>
          </w:tcPr>
          <w:p w14:paraId="207D2734">
            <w:pPr>
              <w:rPr>
                <w:rFonts w:ascii="Arial"/>
                <w:color w:val="auto"/>
                <w:sz w:val="21"/>
                <w:highlight w:val="none"/>
              </w:rPr>
            </w:pPr>
          </w:p>
        </w:tc>
        <w:tc>
          <w:tcPr>
            <w:tcW w:w="1117" w:type="dxa"/>
            <w:vMerge w:val="continue"/>
            <w:tcBorders>
              <w:top w:val="nil"/>
              <w:bottom w:val="nil"/>
            </w:tcBorders>
            <w:vAlign w:val="top"/>
          </w:tcPr>
          <w:p w14:paraId="4E6D9721">
            <w:pPr>
              <w:rPr>
                <w:rFonts w:ascii="Arial"/>
                <w:color w:val="auto"/>
                <w:sz w:val="21"/>
                <w:highlight w:val="none"/>
              </w:rPr>
            </w:pPr>
          </w:p>
        </w:tc>
        <w:tc>
          <w:tcPr>
            <w:tcW w:w="1103" w:type="dxa"/>
            <w:vAlign w:val="top"/>
          </w:tcPr>
          <w:p w14:paraId="5CCF2D69">
            <w:pPr>
              <w:spacing w:line="269" w:lineRule="auto"/>
              <w:rPr>
                <w:rFonts w:ascii="Arial"/>
                <w:color w:val="auto"/>
                <w:sz w:val="21"/>
                <w:highlight w:val="none"/>
              </w:rPr>
            </w:pPr>
          </w:p>
          <w:p w14:paraId="04F1573A">
            <w:pPr>
              <w:spacing w:line="269" w:lineRule="auto"/>
              <w:rPr>
                <w:rFonts w:ascii="Arial"/>
                <w:color w:val="auto"/>
                <w:sz w:val="21"/>
                <w:highlight w:val="none"/>
              </w:rPr>
            </w:pPr>
          </w:p>
          <w:p w14:paraId="1F61A1B9">
            <w:pPr>
              <w:spacing w:line="269" w:lineRule="auto"/>
              <w:rPr>
                <w:rFonts w:ascii="Arial"/>
                <w:color w:val="auto"/>
                <w:sz w:val="21"/>
                <w:highlight w:val="none"/>
              </w:rPr>
            </w:pPr>
          </w:p>
          <w:p w14:paraId="39A7B5D3">
            <w:pPr>
              <w:spacing w:line="269" w:lineRule="auto"/>
              <w:rPr>
                <w:rFonts w:ascii="Arial"/>
                <w:color w:val="auto"/>
                <w:sz w:val="21"/>
                <w:highlight w:val="none"/>
              </w:rPr>
            </w:pPr>
          </w:p>
          <w:p w14:paraId="39D0004C">
            <w:pPr>
              <w:spacing w:line="269" w:lineRule="auto"/>
              <w:rPr>
                <w:rFonts w:ascii="Arial"/>
                <w:color w:val="auto"/>
                <w:sz w:val="21"/>
                <w:highlight w:val="none"/>
              </w:rPr>
            </w:pPr>
          </w:p>
          <w:p w14:paraId="5D33F060">
            <w:pPr>
              <w:pStyle w:val="17"/>
              <w:spacing w:before="69" w:line="352" w:lineRule="auto"/>
              <w:ind w:left="136" w:right="130"/>
              <w:jc w:val="both"/>
              <w:rPr>
                <w:color w:val="auto"/>
                <w:highlight w:val="none"/>
              </w:rPr>
            </w:pPr>
            <w:r>
              <w:rPr>
                <w:color w:val="auto"/>
                <w:spacing w:val="-3"/>
                <w:highlight w:val="none"/>
              </w:rPr>
              <w:t>重点、难点和关键工程的施工方案与技术措施</w:t>
            </w:r>
          </w:p>
        </w:tc>
        <w:tc>
          <w:tcPr>
            <w:tcW w:w="807" w:type="dxa"/>
            <w:vAlign w:val="top"/>
          </w:tcPr>
          <w:p w14:paraId="7B761D8C">
            <w:pPr>
              <w:spacing w:line="267" w:lineRule="auto"/>
              <w:rPr>
                <w:rFonts w:ascii="Arial"/>
                <w:color w:val="auto"/>
                <w:sz w:val="21"/>
                <w:highlight w:val="none"/>
              </w:rPr>
            </w:pPr>
          </w:p>
          <w:p w14:paraId="0A8810EC">
            <w:pPr>
              <w:spacing w:line="267" w:lineRule="auto"/>
              <w:rPr>
                <w:rFonts w:ascii="Arial"/>
                <w:color w:val="auto"/>
                <w:sz w:val="21"/>
                <w:highlight w:val="none"/>
              </w:rPr>
            </w:pPr>
          </w:p>
          <w:p w14:paraId="1B20AAFA">
            <w:pPr>
              <w:spacing w:line="267" w:lineRule="auto"/>
              <w:rPr>
                <w:rFonts w:ascii="Arial"/>
                <w:color w:val="auto"/>
                <w:sz w:val="21"/>
                <w:highlight w:val="none"/>
              </w:rPr>
            </w:pPr>
          </w:p>
          <w:p w14:paraId="4E29C877">
            <w:pPr>
              <w:spacing w:line="267" w:lineRule="auto"/>
              <w:rPr>
                <w:rFonts w:ascii="Arial"/>
                <w:color w:val="auto"/>
                <w:sz w:val="21"/>
                <w:highlight w:val="none"/>
              </w:rPr>
            </w:pPr>
          </w:p>
          <w:p w14:paraId="142058F2">
            <w:pPr>
              <w:spacing w:line="267" w:lineRule="auto"/>
              <w:rPr>
                <w:rFonts w:ascii="Arial"/>
                <w:color w:val="auto"/>
                <w:sz w:val="21"/>
                <w:highlight w:val="none"/>
              </w:rPr>
            </w:pPr>
          </w:p>
          <w:p w14:paraId="76AD715C">
            <w:pPr>
              <w:spacing w:line="268" w:lineRule="auto"/>
              <w:rPr>
                <w:rFonts w:ascii="Arial"/>
                <w:color w:val="auto"/>
                <w:sz w:val="21"/>
                <w:highlight w:val="none"/>
              </w:rPr>
            </w:pPr>
          </w:p>
          <w:p w14:paraId="0EFC4EE2">
            <w:pPr>
              <w:spacing w:line="268" w:lineRule="auto"/>
              <w:rPr>
                <w:rFonts w:ascii="Arial"/>
                <w:color w:val="auto"/>
                <w:sz w:val="21"/>
                <w:highlight w:val="none"/>
              </w:rPr>
            </w:pPr>
          </w:p>
          <w:p w14:paraId="3C82942F">
            <w:pPr>
              <w:spacing w:line="268" w:lineRule="auto"/>
              <w:rPr>
                <w:rFonts w:ascii="Arial"/>
                <w:color w:val="auto"/>
                <w:sz w:val="21"/>
                <w:highlight w:val="none"/>
              </w:rPr>
            </w:pPr>
          </w:p>
          <w:p w14:paraId="461A4EEB">
            <w:pPr>
              <w:pStyle w:val="17"/>
              <w:spacing w:before="68" w:line="220" w:lineRule="auto"/>
              <w:ind w:left="187"/>
              <w:rPr>
                <w:color w:val="auto"/>
                <w:highlight w:val="none"/>
              </w:rPr>
            </w:pPr>
            <w:r>
              <w:rPr>
                <w:color w:val="auto"/>
                <w:spacing w:val="-8"/>
                <w:highlight w:val="none"/>
                <w:u w:val="single" w:color="auto"/>
              </w:rPr>
              <w:t>1</w:t>
            </w:r>
            <w:r>
              <w:rPr>
                <w:rFonts w:hint="eastAsia"/>
                <w:color w:val="auto"/>
                <w:spacing w:val="-8"/>
                <w:highlight w:val="none"/>
                <w:u w:val="single" w:color="auto"/>
                <w:lang w:val="en-US" w:eastAsia="zh-CN"/>
              </w:rPr>
              <w:t>5</w:t>
            </w:r>
            <w:r>
              <w:rPr>
                <w:color w:val="auto"/>
                <w:spacing w:val="-44"/>
                <w:highlight w:val="none"/>
                <w:u w:val="single" w:color="auto"/>
              </w:rPr>
              <w:t xml:space="preserve"> </w:t>
            </w:r>
            <w:r>
              <w:rPr>
                <w:color w:val="auto"/>
                <w:spacing w:val="-8"/>
                <w:highlight w:val="none"/>
              </w:rPr>
              <w:t>分</w:t>
            </w:r>
          </w:p>
        </w:tc>
        <w:tc>
          <w:tcPr>
            <w:tcW w:w="4926" w:type="dxa"/>
            <w:vAlign w:val="top"/>
          </w:tcPr>
          <w:p w14:paraId="5AB18917">
            <w:pPr>
              <w:pStyle w:val="17"/>
              <w:spacing w:before="124" w:line="318" w:lineRule="auto"/>
              <w:ind w:left="113" w:right="108" w:firstLine="4"/>
              <w:rPr>
                <w:color w:val="auto"/>
                <w:highlight w:val="none"/>
              </w:rPr>
            </w:pPr>
            <w:r>
              <w:rPr>
                <w:color w:val="auto"/>
                <w:spacing w:val="3"/>
                <w:highlight w:val="none"/>
              </w:rPr>
              <w:t>（1）对项目重点、难点和关键工程认识分</w:t>
            </w:r>
            <w:r>
              <w:rPr>
                <w:color w:val="auto"/>
                <w:spacing w:val="2"/>
                <w:highlight w:val="none"/>
              </w:rPr>
              <w:t>析透彻，能</w:t>
            </w:r>
            <w:r>
              <w:rPr>
                <w:color w:val="auto"/>
                <w:spacing w:val="-2"/>
                <w:highlight w:val="none"/>
              </w:rPr>
              <w:t>充分发挥自身优势，积极采用“四新”技术，制定的施工方案与技术措施针对性和可操作性强，重点突出的，按《广东省公路工程施工标准化指南》及《广东省高速公路工程施工安全标准化指南》《公路工程施工安全防</w:t>
            </w:r>
            <w:r>
              <w:rPr>
                <w:color w:val="auto"/>
                <w:spacing w:val="-3"/>
                <w:highlight w:val="none"/>
              </w:rPr>
              <w:t>护设施技术指南》执行，得</w:t>
            </w:r>
            <w:r>
              <w:rPr>
                <w:rFonts w:hint="eastAsia"/>
                <w:color w:val="auto"/>
                <w:spacing w:val="-24"/>
                <w:highlight w:val="none"/>
                <w:u w:val="single"/>
                <w:lang w:val="en-US" w:eastAsia="zh-CN"/>
              </w:rPr>
              <w:t>12-15</w:t>
            </w:r>
            <w:r>
              <w:rPr>
                <w:color w:val="auto"/>
                <w:spacing w:val="-3"/>
                <w:highlight w:val="none"/>
              </w:rPr>
              <w:t>分</w:t>
            </w:r>
            <w:r>
              <w:rPr>
                <w:color w:val="auto"/>
                <w:spacing w:val="1"/>
                <w:highlight w:val="none"/>
              </w:rPr>
              <w:t>；</w:t>
            </w:r>
          </w:p>
          <w:p w14:paraId="638C314E">
            <w:pPr>
              <w:pStyle w:val="17"/>
              <w:spacing w:before="127" w:line="296" w:lineRule="auto"/>
              <w:ind w:left="114" w:right="107" w:firstLine="3"/>
              <w:rPr>
                <w:color w:val="auto"/>
                <w:highlight w:val="none"/>
              </w:rPr>
            </w:pPr>
            <w:r>
              <w:rPr>
                <w:color w:val="auto"/>
                <w:spacing w:val="3"/>
                <w:highlight w:val="none"/>
              </w:rPr>
              <w:t>（2）对项目重点、难点和关键工程认识基</w:t>
            </w:r>
            <w:r>
              <w:rPr>
                <w:color w:val="auto"/>
                <w:spacing w:val="2"/>
                <w:highlight w:val="none"/>
              </w:rPr>
              <w:t>本到位，施</w:t>
            </w:r>
            <w:r>
              <w:rPr>
                <w:color w:val="auto"/>
                <w:spacing w:val="17"/>
                <w:highlight w:val="none"/>
              </w:rPr>
              <w:t>工方案与技术措施基本可行，重点较为突出的，得</w:t>
            </w:r>
            <w:r>
              <w:rPr>
                <w:color w:val="auto"/>
                <w:position w:val="-2"/>
                <w:highlight w:val="none"/>
              </w:rPr>
              <w:drawing>
                <wp:inline distT="0" distB="0" distL="0" distR="0">
                  <wp:extent cx="1905" cy="571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31"/>
                          <a:stretch>
                            <a:fillRect/>
                          </a:stretch>
                        </pic:blipFill>
                        <pic:spPr>
                          <a:xfrm>
                            <a:off x="0" y="0"/>
                            <a:ext cx="2351" cy="6095"/>
                          </a:xfrm>
                          <a:prstGeom prst="rect">
                            <a:avLst/>
                          </a:prstGeom>
                        </pic:spPr>
                      </pic:pic>
                    </a:graphicData>
                  </a:graphic>
                </wp:inline>
              </w:drawing>
            </w:r>
            <w:r>
              <w:rPr>
                <w:color w:val="auto"/>
                <w:spacing w:val="8"/>
                <w:highlight w:val="none"/>
              </w:rPr>
              <w:t xml:space="preserve"> </w:t>
            </w:r>
            <w:r>
              <w:rPr>
                <w:rFonts w:hint="eastAsia"/>
                <w:color w:val="auto"/>
                <w:spacing w:val="-2"/>
                <w:highlight w:val="none"/>
                <w:u w:val="single" w:color="auto"/>
                <w:lang w:val="en-US" w:eastAsia="zh-CN"/>
              </w:rPr>
              <w:t>9-12</w:t>
            </w:r>
            <w:r>
              <w:rPr>
                <w:color w:val="auto"/>
                <w:spacing w:val="-42"/>
                <w:highlight w:val="none"/>
                <w:u w:val="single" w:color="auto"/>
              </w:rPr>
              <w:t xml:space="preserve"> </w:t>
            </w:r>
            <w:r>
              <w:rPr>
                <w:color w:val="auto"/>
                <w:spacing w:val="-2"/>
                <w:highlight w:val="none"/>
              </w:rPr>
              <w:t>分</w:t>
            </w:r>
            <w:r>
              <w:rPr>
                <w:color w:val="auto"/>
                <w:spacing w:val="-7"/>
                <w:highlight w:val="none"/>
              </w:rPr>
              <w:t>；</w:t>
            </w:r>
          </w:p>
          <w:p w14:paraId="0CC8A6C1">
            <w:pPr>
              <w:pStyle w:val="17"/>
              <w:spacing w:before="131" w:line="276" w:lineRule="auto"/>
              <w:ind w:left="129" w:right="113" w:hanging="11"/>
              <w:rPr>
                <w:color w:val="auto"/>
                <w:highlight w:val="none"/>
              </w:rPr>
            </w:pPr>
            <w:r>
              <w:rPr>
                <w:color w:val="auto"/>
                <w:spacing w:val="1"/>
                <w:highlight w:val="none"/>
              </w:rPr>
              <w:t>（3）一般但不被评定为不响应的，得</w:t>
            </w:r>
            <w:r>
              <w:rPr>
                <w:color w:val="auto"/>
                <w:spacing w:val="-30"/>
                <w:highlight w:val="none"/>
              </w:rPr>
              <w:t xml:space="preserve"> </w:t>
            </w:r>
            <w:r>
              <w:rPr>
                <w:rFonts w:hint="eastAsia"/>
                <w:color w:val="auto"/>
                <w:spacing w:val="1"/>
                <w:highlight w:val="none"/>
                <w:u w:val="single" w:color="auto"/>
                <w:lang w:val="en-US" w:eastAsia="zh-CN"/>
              </w:rPr>
              <w:t>9</w:t>
            </w:r>
            <w:r>
              <w:rPr>
                <w:color w:val="auto"/>
                <w:spacing w:val="-38"/>
                <w:highlight w:val="none"/>
                <w:u w:val="single" w:color="auto"/>
              </w:rPr>
              <w:t xml:space="preserve"> </w:t>
            </w:r>
            <w:r>
              <w:rPr>
                <w:color w:val="auto"/>
                <w:spacing w:val="1"/>
                <w:highlight w:val="none"/>
              </w:rPr>
              <w:t>分</w:t>
            </w:r>
            <w:r>
              <w:rPr>
                <w:color w:val="auto"/>
                <w:spacing w:val="-6"/>
                <w:highlight w:val="none"/>
              </w:rPr>
              <w:t>。</w:t>
            </w:r>
          </w:p>
        </w:tc>
      </w:tr>
      <w:tr w14:paraId="1828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3" w:hRule="atLeast"/>
        </w:trPr>
        <w:tc>
          <w:tcPr>
            <w:tcW w:w="757" w:type="dxa"/>
            <w:vMerge w:val="continue"/>
            <w:tcBorders>
              <w:top w:val="nil"/>
            </w:tcBorders>
            <w:vAlign w:val="top"/>
          </w:tcPr>
          <w:p w14:paraId="6050833B">
            <w:pPr>
              <w:rPr>
                <w:rFonts w:ascii="Arial"/>
                <w:color w:val="auto"/>
                <w:sz w:val="21"/>
                <w:highlight w:val="none"/>
              </w:rPr>
            </w:pPr>
          </w:p>
        </w:tc>
        <w:tc>
          <w:tcPr>
            <w:tcW w:w="857" w:type="dxa"/>
            <w:vMerge w:val="continue"/>
            <w:tcBorders>
              <w:top w:val="nil"/>
            </w:tcBorders>
            <w:vAlign w:val="top"/>
          </w:tcPr>
          <w:p w14:paraId="116FA218">
            <w:pPr>
              <w:rPr>
                <w:rFonts w:ascii="Arial"/>
                <w:color w:val="auto"/>
                <w:sz w:val="21"/>
                <w:highlight w:val="none"/>
              </w:rPr>
            </w:pPr>
          </w:p>
        </w:tc>
        <w:tc>
          <w:tcPr>
            <w:tcW w:w="1117" w:type="dxa"/>
            <w:vMerge w:val="continue"/>
            <w:tcBorders>
              <w:top w:val="nil"/>
            </w:tcBorders>
            <w:vAlign w:val="top"/>
          </w:tcPr>
          <w:p w14:paraId="6917A90D">
            <w:pPr>
              <w:rPr>
                <w:rFonts w:ascii="Arial"/>
                <w:color w:val="auto"/>
                <w:sz w:val="21"/>
                <w:highlight w:val="none"/>
              </w:rPr>
            </w:pPr>
          </w:p>
        </w:tc>
        <w:tc>
          <w:tcPr>
            <w:tcW w:w="1103" w:type="dxa"/>
            <w:vAlign w:val="top"/>
          </w:tcPr>
          <w:p w14:paraId="7E8C54FD">
            <w:pPr>
              <w:spacing w:line="290" w:lineRule="auto"/>
              <w:rPr>
                <w:rFonts w:ascii="Arial"/>
                <w:color w:val="auto"/>
                <w:sz w:val="21"/>
                <w:highlight w:val="none"/>
              </w:rPr>
            </w:pPr>
          </w:p>
          <w:p w14:paraId="5B69C25C">
            <w:pPr>
              <w:spacing w:line="291" w:lineRule="auto"/>
              <w:rPr>
                <w:rFonts w:ascii="Arial"/>
                <w:color w:val="auto"/>
                <w:sz w:val="21"/>
                <w:highlight w:val="none"/>
              </w:rPr>
            </w:pPr>
          </w:p>
          <w:p w14:paraId="55E3510E">
            <w:pPr>
              <w:pStyle w:val="17"/>
              <w:spacing w:before="68" w:line="220" w:lineRule="auto"/>
              <w:ind w:left="137"/>
              <w:rPr>
                <w:color w:val="auto"/>
                <w:highlight w:val="none"/>
              </w:rPr>
            </w:pPr>
            <w:r>
              <w:rPr>
                <w:color w:val="auto"/>
                <w:spacing w:val="-3"/>
                <w:highlight w:val="none"/>
              </w:rPr>
              <w:t>工期、质</w:t>
            </w:r>
          </w:p>
          <w:p w14:paraId="6654A861">
            <w:pPr>
              <w:pStyle w:val="17"/>
              <w:spacing w:before="149" w:line="221" w:lineRule="auto"/>
              <w:ind w:right="17"/>
              <w:jc w:val="right"/>
              <w:rPr>
                <w:color w:val="auto"/>
                <w:highlight w:val="none"/>
              </w:rPr>
            </w:pPr>
            <w:r>
              <w:rPr>
                <w:color w:val="auto"/>
                <w:spacing w:val="-17"/>
                <w:highlight w:val="none"/>
              </w:rPr>
              <w:t>量、安全、</w:t>
            </w:r>
          </w:p>
          <w:p w14:paraId="42EA0E84">
            <w:pPr>
              <w:pStyle w:val="17"/>
              <w:spacing w:before="147" w:line="220" w:lineRule="auto"/>
              <w:ind w:left="240"/>
              <w:rPr>
                <w:color w:val="auto"/>
                <w:highlight w:val="none"/>
              </w:rPr>
            </w:pPr>
            <w:r>
              <w:rPr>
                <w:color w:val="auto"/>
                <w:spacing w:val="-2"/>
                <w:highlight w:val="none"/>
              </w:rPr>
              <w:t>环保水</w:t>
            </w:r>
          </w:p>
          <w:p w14:paraId="69787ED3">
            <w:pPr>
              <w:pStyle w:val="17"/>
              <w:spacing w:before="150" w:line="220" w:lineRule="auto"/>
              <w:ind w:left="136"/>
              <w:rPr>
                <w:color w:val="auto"/>
                <w:highlight w:val="none"/>
              </w:rPr>
            </w:pPr>
            <w:r>
              <w:rPr>
                <w:color w:val="auto"/>
                <w:spacing w:val="-2"/>
                <w:highlight w:val="none"/>
              </w:rPr>
              <w:t>保、文明</w:t>
            </w:r>
          </w:p>
          <w:p w14:paraId="22CA0E56">
            <w:pPr>
              <w:pStyle w:val="17"/>
              <w:spacing w:before="150" w:line="220" w:lineRule="auto"/>
              <w:ind w:left="134"/>
              <w:rPr>
                <w:color w:val="auto"/>
                <w:highlight w:val="none"/>
              </w:rPr>
            </w:pPr>
            <w:r>
              <w:rPr>
                <w:color w:val="auto"/>
                <w:spacing w:val="-2"/>
                <w:highlight w:val="none"/>
              </w:rPr>
              <w:t>施工保证</w:t>
            </w:r>
          </w:p>
          <w:p w14:paraId="47D05083">
            <w:pPr>
              <w:pStyle w:val="17"/>
              <w:spacing w:before="149" w:line="220" w:lineRule="auto"/>
              <w:ind w:left="345"/>
              <w:rPr>
                <w:color w:val="auto"/>
                <w:highlight w:val="none"/>
              </w:rPr>
            </w:pPr>
            <w:r>
              <w:rPr>
                <w:color w:val="auto"/>
                <w:spacing w:val="-3"/>
                <w:highlight w:val="none"/>
              </w:rPr>
              <w:t>措施</w:t>
            </w:r>
          </w:p>
        </w:tc>
        <w:tc>
          <w:tcPr>
            <w:tcW w:w="807" w:type="dxa"/>
            <w:vAlign w:val="top"/>
          </w:tcPr>
          <w:p w14:paraId="34640188">
            <w:pPr>
              <w:spacing w:line="262" w:lineRule="auto"/>
              <w:rPr>
                <w:rFonts w:ascii="Arial"/>
                <w:color w:val="auto"/>
                <w:sz w:val="21"/>
                <w:highlight w:val="none"/>
              </w:rPr>
            </w:pPr>
          </w:p>
          <w:p w14:paraId="4E161F8D">
            <w:pPr>
              <w:spacing w:line="262" w:lineRule="auto"/>
              <w:rPr>
                <w:rFonts w:ascii="Arial"/>
                <w:color w:val="auto"/>
                <w:sz w:val="21"/>
                <w:highlight w:val="none"/>
              </w:rPr>
            </w:pPr>
          </w:p>
          <w:p w14:paraId="73AB7C19">
            <w:pPr>
              <w:spacing w:line="262" w:lineRule="auto"/>
              <w:rPr>
                <w:rFonts w:ascii="Arial"/>
                <w:color w:val="auto"/>
                <w:sz w:val="21"/>
                <w:highlight w:val="none"/>
              </w:rPr>
            </w:pPr>
          </w:p>
          <w:p w14:paraId="42E1C565">
            <w:pPr>
              <w:spacing w:line="262" w:lineRule="auto"/>
              <w:rPr>
                <w:rFonts w:ascii="Arial"/>
                <w:color w:val="auto"/>
                <w:sz w:val="21"/>
                <w:highlight w:val="none"/>
              </w:rPr>
            </w:pPr>
          </w:p>
          <w:p w14:paraId="05D5035F">
            <w:pPr>
              <w:spacing w:line="263" w:lineRule="auto"/>
              <w:rPr>
                <w:rFonts w:ascii="Arial"/>
                <w:color w:val="auto"/>
                <w:sz w:val="21"/>
                <w:highlight w:val="none"/>
              </w:rPr>
            </w:pPr>
          </w:p>
          <w:p w14:paraId="0C0692DD">
            <w:pPr>
              <w:spacing w:line="263" w:lineRule="auto"/>
              <w:rPr>
                <w:rFonts w:ascii="Arial"/>
                <w:color w:val="auto"/>
                <w:sz w:val="21"/>
                <w:highlight w:val="none"/>
              </w:rPr>
            </w:pPr>
          </w:p>
          <w:p w14:paraId="0F31AA8C">
            <w:pPr>
              <w:pStyle w:val="17"/>
              <w:spacing w:before="68" w:line="220" w:lineRule="auto"/>
              <w:ind w:left="187"/>
              <w:rPr>
                <w:color w:val="auto"/>
                <w:highlight w:val="none"/>
              </w:rPr>
            </w:pPr>
            <w:r>
              <w:rPr>
                <w:color w:val="auto"/>
                <w:spacing w:val="-8"/>
                <w:highlight w:val="none"/>
                <w:u w:val="single" w:color="auto"/>
              </w:rPr>
              <w:t>10</w:t>
            </w:r>
            <w:r>
              <w:rPr>
                <w:color w:val="auto"/>
                <w:spacing w:val="-44"/>
                <w:highlight w:val="none"/>
                <w:u w:val="single" w:color="auto"/>
              </w:rPr>
              <w:t xml:space="preserve"> </w:t>
            </w:r>
            <w:r>
              <w:rPr>
                <w:color w:val="auto"/>
                <w:spacing w:val="-8"/>
                <w:highlight w:val="none"/>
              </w:rPr>
              <w:t>分</w:t>
            </w:r>
          </w:p>
        </w:tc>
        <w:tc>
          <w:tcPr>
            <w:tcW w:w="4926" w:type="dxa"/>
            <w:vAlign w:val="top"/>
          </w:tcPr>
          <w:p w14:paraId="1A846F9B">
            <w:pPr>
              <w:pStyle w:val="17"/>
              <w:spacing w:before="126" w:line="315" w:lineRule="auto"/>
              <w:ind w:left="112" w:right="107" w:firstLine="5"/>
              <w:rPr>
                <w:color w:val="auto"/>
                <w:highlight w:val="none"/>
              </w:rPr>
            </w:pPr>
            <w:r>
              <w:rPr>
                <w:color w:val="auto"/>
                <w:spacing w:val="3"/>
                <w:highlight w:val="none"/>
              </w:rPr>
              <w:t>（1）能够准确预判分析工期、质量、安全</w:t>
            </w:r>
            <w:r>
              <w:rPr>
                <w:color w:val="auto"/>
                <w:spacing w:val="2"/>
                <w:highlight w:val="none"/>
              </w:rPr>
              <w:t>、环保、水</w:t>
            </w:r>
            <w:r>
              <w:rPr>
                <w:color w:val="auto"/>
                <w:spacing w:val="-2"/>
                <w:highlight w:val="none"/>
              </w:rPr>
              <w:t>保、文明施工目标实现的主要影响因素，拟采取预防保</w:t>
            </w:r>
            <w:r>
              <w:rPr>
                <w:color w:val="auto"/>
                <w:spacing w:val="-8"/>
                <w:highlight w:val="none"/>
              </w:rPr>
              <w:t>证措施针对性强、科学有效，</w:t>
            </w:r>
            <w:r>
              <w:rPr>
                <w:color w:val="auto"/>
                <w:spacing w:val="54"/>
                <w:highlight w:val="none"/>
              </w:rPr>
              <w:t xml:space="preserve"> </w:t>
            </w:r>
            <w:r>
              <w:rPr>
                <w:color w:val="auto"/>
                <w:spacing w:val="-8"/>
                <w:highlight w:val="none"/>
              </w:rPr>
              <w:t>重点突出的，按《广东省</w:t>
            </w:r>
            <w:r>
              <w:rPr>
                <w:color w:val="auto"/>
                <w:spacing w:val="-2"/>
                <w:highlight w:val="none"/>
              </w:rPr>
              <w:t>公路工程施工标准化指南》及《广东省高速公路工程施工安全标准化指南》《公路工程施工安全防护设施技术</w:t>
            </w:r>
            <w:r>
              <w:rPr>
                <w:color w:val="auto"/>
                <w:spacing w:val="-3"/>
                <w:highlight w:val="none"/>
              </w:rPr>
              <w:t>指南》执行，得</w:t>
            </w:r>
            <w:r>
              <w:rPr>
                <w:color w:val="auto"/>
                <w:spacing w:val="-43"/>
                <w:highlight w:val="none"/>
              </w:rPr>
              <w:t xml:space="preserve"> </w:t>
            </w:r>
            <w:r>
              <w:rPr>
                <w:color w:val="auto"/>
                <w:spacing w:val="-3"/>
                <w:highlight w:val="none"/>
                <w:u w:val="single" w:color="auto"/>
              </w:rPr>
              <w:t>8</w:t>
            </w:r>
            <w:r>
              <w:rPr>
                <w:rFonts w:ascii="Arial" w:hAnsi="Arial" w:eastAsia="Arial" w:cs="Arial"/>
                <w:color w:val="auto"/>
                <w:spacing w:val="-3"/>
                <w:highlight w:val="none"/>
                <w:u w:val="single" w:color="auto"/>
              </w:rPr>
              <w:t>~</w:t>
            </w:r>
            <w:r>
              <w:rPr>
                <w:rFonts w:ascii="Arial" w:hAnsi="Arial" w:eastAsia="Arial" w:cs="Arial"/>
                <w:color w:val="auto"/>
                <w:spacing w:val="-34"/>
                <w:highlight w:val="none"/>
                <w:u w:val="single" w:color="auto"/>
              </w:rPr>
              <w:t xml:space="preserve"> </w:t>
            </w:r>
            <w:r>
              <w:rPr>
                <w:color w:val="auto"/>
                <w:spacing w:val="-3"/>
                <w:highlight w:val="none"/>
                <w:u w:val="single" w:color="auto"/>
              </w:rPr>
              <w:t>10</w:t>
            </w:r>
            <w:r>
              <w:rPr>
                <w:color w:val="auto"/>
                <w:spacing w:val="-43"/>
                <w:highlight w:val="none"/>
                <w:u w:val="single" w:color="auto"/>
              </w:rPr>
              <w:t xml:space="preserve"> </w:t>
            </w:r>
            <w:r>
              <w:rPr>
                <w:color w:val="auto"/>
                <w:spacing w:val="-3"/>
                <w:highlight w:val="none"/>
              </w:rPr>
              <w:t>分</w:t>
            </w:r>
            <w:r>
              <w:rPr>
                <w:color w:val="auto"/>
                <w:highlight w:val="none"/>
              </w:rPr>
              <w:t>；</w:t>
            </w:r>
          </w:p>
          <w:p w14:paraId="684F771A">
            <w:pPr>
              <w:pStyle w:val="17"/>
              <w:spacing w:before="129" w:line="296" w:lineRule="auto"/>
              <w:ind w:left="112" w:right="101" w:firstLine="5"/>
              <w:rPr>
                <w:color w:val="auto"/>
                <w:spacing w:val="-6"/>
                <w:highlight w:val="none"/>
              </w:rPr>
            </w:pPr>
            <w:r>
              <w:rPr>
                <w:color w:val="auto"/>
                <w:spacing w:val="3"/>
                <w:highlight w:val="none"/>
              </w:rPr>
              <w:t>（2）对工期、质量、安全、环保、水保等风险有一定</w:t>
            </w:r>
            <w:r>
              <w:rPr>
                <w:color w:val="auto"/>
                <w:spacing w:val="7"/>
                <w:highlight w:val="none"/>
              </w:rPr>
              <w:t>认识，预防保证措施基本可行，重点较为突出的，得</w:t>
            </w:r>
            <w:r>
              <w:rPr>
                <w:color w:val="auto"/>
                <w:spacing w:val="-2"/>
                <w:highlight w:val="none"/>
                <w:u w:val="single" w:color="auto"/>
              </w:rPr>
              <w:t>6</w:t>
            </w:r>
            <w:r>
              <w:rPr>
                <w:rFonts w:ascii="Arial" w:hAnsi="Arial" w:eastAsia="Arial" w:cs="Arial"/>
                <w:color w:val="auto"/>
                <w:spacing w:val="-2"/>
                <w:highlight w:val="none"/>
                <w:u w:val="single" w:color="auto"/>
              </w:rPr>
              <w:t>~</w:t>
            </w:r>
            <w:r>
              <w:rPr>
                <w:color w:val="auto"/>
                <w:spacing w:val="-2"/>
                <w:highlight w:val="none"/>
                <w:u w:val="single" w:color="auto"/>
              </w:rPr>
              <w:t>8</w:t>
            </w:r>
            <w:r>
              <w:rPr>
                <w:color w:val="auto"/>
                <w:spacing w:val="-42"/>
                <w:highlight w:val="none"/>
                <w:u w:val="single" w:color="auto"/>
              </w:rPr>
              <w:t xml:space="preserve"> </w:t>
            </w:r>
            <w:r>
              <w:rPr>
                <w:color w:val="auto"/>
                <w:spacing w:val="-2"/>
                <w:highlight w:val="none"/>
              </w:rPr>
              <w:t>分</w:t>
            </w:r>
            <w:r>
              <w:rPr>
                <w:color w:val="auto"/>
                <w:spacing w:val="-6"/>
                <w:highlight w:val="none"/>
              </w:rPr>
              <w:t>；</w:t>
            </w:r>
          </w:p>
          <w:p w14:paraId="4F330747">
            <w:pPr>
              <w:pStyle w:val="17"/>
              <w:spacing w:before="129" w:line="296" w:lineRule="auto"/>
              <w:ind w:left="112" w:right="101" w:firstLine="5"/>
              <w:rPr>
                <w:color w:val="auto"/>
                <w:highlight w:val="none"/>
              </w:rPr>
            </w:pPr>
            <w:r>
              <w:rPr>
                <w:color w:val="auto"/>
                <w:spacing w:val="1"/>
                <w:highlight w:val="none"/>
              </w:rPr>
              <w:t>（3）一般但不被评定为不响应的，得</w:t>
            </w:r>
            <w:r>
              <w:rPr>
                <w:color w:val="auto"/>
                <w:spacing w:val="-30"/>
                <w:highlight w:val="none"/>
              </w:rPr>
              <w:t xml:space="preserve"> </w:t>
            </w:r>
            <w:r>
              <w:rPr>
                <w:color w:val="auto"/>
                <w:spacing w:val="1"/>
                <w:highlight w:val="none"/>
                <w:u w:val="single" w:color="auto"/>
              </w:rPr>
              <w:t>6</w:t>
            </w:r>
            <w:r>
              <w:rPr>
                <w:color w:val="auto"/>
                <w:spacing w:val="-38"/>
                <w:highlight w:val="none"/>
                <w:u w:val="single" w:color="auto"/>
              </w:rPr>
              <w:t xml:space="preserve"> </w:t>
            </w:r>
            <w:r>
              <w:rPr>
                <w:color w:val="auto"/>
                <w:spacing w:val="1"/>
                <w:highlight w:val="none"/>
              </w:rPr>
              <w:t>分</w:t>
            </w:r>
            <w:r>
              <w:rPr>
                <w:color w:val="auto"/>
                <w:spacing w:val="-6"/>
                <w:highlight w:val="none"/>
              </w:rPr>
              <w:t>。</w:t>
            </w:r>
          </w:p>
        </w:tc>
      </w:tr>
    </w:tbl>
    <w:p w14:paraId="4AFC6C1D">
      <w:pPr>
        <w:pStyle w:val="3"/>
        <w:spacing w:line="384" w:lineRule="auto"/>
        <w:rPr>
          <w:color w:val="auto"/>
          <w:highlight w:val="none"/>
        </w:rPr>
      </w:pPr>
    </w:p>
    <w:p w14:paraId="4FF12C29">
      <w:pPr>
        <w:spacing w:before="58" w:line="237" w:lineRule="auto"/>
        <w:ind w:left="1424" w:right="1416" w:hanging="2"/>
        <w:rPr>
          <w:rFonts w:ascii="宋体" w:hAnsi="宋体" w:eastAsia="宋体" w:cs="宋体"/>
          <w:color w:val="auto"/>
          <w:sz w:val="18"/>
          <w:szCs w:val="18"/>
          <w:highlight w:val="none"/>
        </w:rPr>
      </w:pPr>
    </w:p>
    <w:p w14:paraId="6029CC9C">
      <w:pPr>
        <w:spacing w:line="237" w:lineRule="auto"/>
        <w:rPr>
          <w:rFonts w:ascii="宋体" w:hAnsi="宋体" w:eastAsia="宋体" w:cs="宋体"/>
          <w:color w:val="auto"/>
          <w:sz w:val="18"/>
          <w:szCs w:val="18"/>
          <w:highlight w:val="none"/>
        </w:rPr>
        <w:sectPr>
          <w:headerReference r:id="rId44" w:type="default"/>
          <w:footerReference r:id="rId45" w:type="default"/>
          <w:pgSz w:w="11905" w:h="16840"/>
          <w:pgMar w:top="1182" w:right="0" w:bottom="1171" w:left="0" w:header="849" w:footer="936" w:gutter="0"/>
          <w:pgNumType w:fmt="decimal"/>
          <w:cols w:space="720" w:num="1"/>
        </w:sectPr>
      </w:pPr>
    </w:p>
    <w:tbl>
      <w:tblPr>
        <w:tblStyle w:val="16"/>
        <w:tblpPr w:leftFromText="180" w:rightFromText="180" w:vertAnchor="text" w:tblpXSpec="left" w:tblpY="1"/>
        <w:tblOverlap w:val="never"/>
        <w:tblW w:w="9555" w:type="dxa"/>
        <w:tblInd w:w="10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432"/>
        <w:gridCol w:w="426"/>
        <w:gridCol w:w="1116"/>
        <w:gridCol w:w="1103"/>
        <w:gridCol w:w="807"/>
        <w:gridCol w:w="4914"/>
      </w:tblGrid>
      <w:tr w14:paraId="23545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641" w:type="dxa"/>
            <w:gridSpan w:val="6"/>
            <w:vAlign w:val="top"/>
          </w:tcPr>
          <w:p w14:paraId="5EBBA3BF">
            <w:pPr>
              <w:pStyle w:val="17"/>
              <w:spacing w:before="181" w:line="220" w:lineRule="auto"/>
              <w:ind w:left="1381"/>
              <w:rPr>
                <w:color w:val="auto"/>
                <w:highlight w:val="none"/>
              </w:rPr>
            </w:pPr>
            <w:r>
              <w:rPr>
                <w:b/>
                <w:bCs/>
                <w:color w:val="auto"/>
                <w:spacing w:val="-3"/>
                <w:highlight w:val="none"/>
              </w:rPr>
              <w:t>评分因素与权重分值</w:t>
            </w:r>
          </w:p>
        </w:tc>
        <w:tc>
          <w:tcPr>
            <w:tcW w:w="4914" w:type="dxa"/>
            <w:vMerge w:val="restart"/>
            <w:tcBorders>
              <w:bottom w:val="nil"/>
            </w:tcBorders>
            <w:vAlign w:val="top"/>
          </w:tcPr>
          <w:p w14:paraId="689A5D2D">
            <w:pPr>
              <w:spacing w:line="427" w:lineRule="auto"/>
              <w:rPr>
                <w:rFonts w:ascii="Arial"/>
                <w:color w:val="auto"/>
                <w:sz w:val="21"/>
                <w:highlight w:val="none"/>
              </w:rPr>
            </w:pPr>
          </w:p>
          <w:p w14:paraId="7398AF93">
            <w:pPr>
              <w:pStyle w:val="17"/>
              <w:spacing w:before="69" w:line="220" w:lineRule="auto"/>
              <w:ind w:left="2200"/>
              <w:rPr>
                <w:color w:val="auto"/>
                <w:highlight w:val="none"/>
              </w:rPr>
            </w:pPr>
            <w:r>
              <w:rPr>
                <w:b/>
                <w:bCs/>
                <w:color w:val="auto"/>
                <w:spacing w:val="-4"/>
                <w:highlight w:val="none"/>
              </w:rPr>
              <w:t>评分标准</w:t>
            </w:r>
          </w:p>
        </w:tc>
      </w:tr>
      <w:tr w14:paraId="0E0EF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7" w:type="dxa"/>
            <w:vAlign w:val="top"/>
          </w:tcPr>
          <w:p w14:paraId="6AAF70AE">
            <w:pPr>
              <w:pStyle w:val="17"/>
              <w:spacing w:before="49" w:line="250" w:lineRule="auto"/>
              <w:ind w:left="282" w:right="165" w:hanging="107"/>
              <w:rPr>
                <w:color w:val="auto"/>
                <w:highlight w:val="none"/>
              </w:rPr>
            </w:pPr>
            <w:r>
              <w:rPr>
                <w:b/>
                <w:bCs/>
                <w:color w:val="auto"/>
                <w:spacing w:val="-7"/>
                <w:highlight w:val="none"/>
              </w:rPr>
              <w:t>条款</w:t>
            </w:r>
            <w:r>
              <w:rPr>
                <w:b/>
                <w:bCs/>
                <w:color w:val="auto"/>
                <w:spacing w:val="-3"/>
                <w:highlight w:val="none"/>
              </w:rPr>
              <w:t>号</w:t>
            </w:r>
          </w:p>
        </w:tc>
        <w:tc>
          <w:tcPr>
            <w:tcW w:w="858" w:type="dxa"/>
            <w:gridSpan w:val="2"/>
            <w:vAlign w:val="top"/>
          </w:tcPr>
          <w:p w14:paraId="7762F208">
            <w:pPr>
              <w:pStyle w:val="17"/>
              <w:spacing w:before="49" w:line="250" w:lineRule="auto"/>
              <w:ind w:left="328" w:right="113" w:hanging="213"/>
              <w:rPr>
                <w:color w:val="auto"/>
                <w:highlight w:val="none"/>
              </w:rPr>
            </w:pPr>
            <w:r>
              <w:rPr>
                <w:b/>
                <w:bCs/>
                <w:color w:val="auto"/>
                <w:spacing w:val="-5"/>
                <w:highlight w:val="none"/>
              </w:rPr>
              <w:t>评分因</w:t>
            </w:r>
            <w:r>
              <w:rPr>
                <w:b/>
                <w:bCs/>
                <w:color w:val="auto"/>
                <w:spacing w:val="-3"/>
                <w:highlight w:val="none"/>
              </w:rPr>
              <w:t>素</w:t>
            </w:r>
          </w:p>
        </w:tc>
        <w:tc>
          <w:tcPr>
            <w:tcW w:w="1116" w:type="dxa"/>
            <w:vAlign w:val="top"/>
          </w:tcPr>
          <w:p w14:paraId="08137AA1">
            <w:pPr>
              <w:pStyle w:val="17"/>
              <w:spacing w:before="49" w:line="220" w:lineRule="auto"/>
              <w:ind w:left="139"/>
              <w:rPr>
                <w:color w:val="auto"/>
                <w:highlight w:val="none"/>
              </w:rPr>
            </w:pPr>
            <w:r>
              <w:rPr>
                <w:b/>
                <w:bCs/>
                <w:color w:val="auto"/>
                <w:spacing w:val="-4"/>
                <w:highlight w:val="none"/>
              </w:rPr>
              <w:t>评分因素</w:t>
            </w:r>
          </w:p>
          <w:p w14:paraId="671FA38B">
            <w:pPr>
              <w:pStyle w:val="17"/>
              <w:spacing w:before="61" w:line="220" w:lineRule="auto"/>
              <w:ind w:left="139"/>
              <w:rPr>
                <w:color w:val="auto"/>
                <w:highlight w:val="none"/>
              </w:rPr>
            </w:pPr>
            <w:r>
              <w:rPr>
                <w:b/>
                <w:bCs/>
                <w:color w:val="auto"/>
                <w:spacing w:val="-4"/>
                <w:highlight w:val="none"/>
              </w:rPr>
              <w:t>权重分值</w:t>
            </w:r>
          </w:p>
        </w:tc>
        <w:tc>
          <w:tcPr>
            <w:tcW w:w="1103" w:type="dxa"/>
            <w:vAlign w:val="top"/>
          </w:tcPr>
          <w:p w14:paraId="756D4FB5">
            <w:pPr>
              <w:pStyle w:val="17"/>
              <w:spacing w:before="50" w:line="220" w:lineRule="auto"/>
              <w:ind w:left="137"/>
              <w:rPr>
                <w:color w:val="auto"/>
                <w:highlight w:val="none"/>
              </w:rPr>
            </w:pPr>
            <w:r>
              <w:rPr>
                <w:b/>
                <w:bCs/>
                <w:color w:val="auto"/>
                <w:spacing w:val="-5"/>
                <w:highlight w:val="none"/>
              </w:rPr>
              <w:t>各评分因</w:t>
            </w:r>
          </w:p>
          <w:p w14:paraId="7C170BCE">
            <w:pPr>
              <w:pStyle w:val="17"/>
              <w:spacing w:before="60" w:line="220" w:lineRule="auto"/>
              <w:ind w:left="137"/>
              <w:rPr>
                <w:color w:val="auto"/>
                <w:highlight w:val="none"/>
              </w:rPr>
            </w:pPr>
            <w:r>
              <w:rPr>
                <w:b/>
                <w:bCs/>
                <w:color w:val="auto"/>
                <w:spacing w:val="-5"/>
                <w:highlight w:val="none"/>
              </w:rPr>
              <w:t>素细分项</w:t>
            </w:r>
          </w:p>
        </w:tc>
        <w:tc>
          <w:tcPr>
            <w:tcW w:w="807" w:type="dxa"/>
            <w:vAlign w:val="top"/>
          </w:tcPr>
          <w:p w14:paraId="204D2BB1">
            <w:pPr>
              <w:pStyle w:val="17"/>
              <w:spacing w:before="205" w:line="220" w:lineRule="auto"/>
              <w:ind w:left="201"/>
              <w:rPr>
                <w:color w:val="auto"/>
                <w:highlight w:val="none"/>
              </w:rPr>
            </w:pPr>
            <w:r>
              <w:rPr>
                <w:b/>
                <w:bCs/>
                <w:color w:val="auto"/>
                <w:spacing w:val="-5"/>
                <w:highlight w:val="none"/>
              </w:rPr>
              <w:t>分值</w:t>
            </w:r>
          </w:p>
        </w:tc>
        <w:tc>
          <w:tcPr>
            <w:tcW w:w="4914" w:type="dxa"/>
            <w:vMerge w:val="continue"/>
            <w:tcBorders>
              <w:top w:val="nil"/>
            </w:tcBorders>
            <w:vAlign w:val="top"/>
          </w:tcPr>
          <w:p w14:paraId="7B95D949">
            <w:pPr>
              <w:rPr>
                <w:rFonts w:ascii="Arial"/>
                <w:color w:val="auto"/>
                <w:sz w:val="21"/>
                <w:highlight w:val="none"/>
              </w:rPr>
            </w:pPr>
          </w:p>
        </w:tc>
      </w:tr>
      <w:tr w14:paraId="6FF7B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57" w:type="dxa"/>
            <w:vAlign w:val="top"/>
          </w:tcPr>
          <w:p w14:paraId="34F8B57A">
            <w:pPr>
              <w:spacing w:line="291" w:lineRule="auto"/>
              <w:rPr>
                <w:rFonts w:ascii="Arial"/>
                <w:color w:val="auto"/>
                <w:sz w:val="21"/>
                <w:highlight w:val="none"/>
              </w:rPr>
            </w:pPr>
          </w:p>
          <w:p w14:paraId="6B6CC538">
            <w:pPr>
              <w:spacing w:line="291" w:lineRule="auto"/>
              <w:rPr>
                <w:rFonts w:ascii="Arial"/>
                <w:color w:val="auto"/>
                <w:sz w:val="21"/>
                <w:highlight w:val="none"/>
              </w:rPr>
            </w:pPr>
          </w:p>
          <w:p w14:paraId="5E55BF46">
            <w:pPr>
              <w:spacing w:line="291" w:lineRule="auto"/>
              <w:rPr>
                <w:rFonts w:ascii="Arial"/>
                <w:color w:val="auto"/>
                <w:sz w:val="21"/>
                <w:highlight w:val="none"/>
              </w:rPr>
            </w:pPr>
          </w:p>
          <w:p w14:paraId="51B58D32">
            <w:pPr>
              <w:pStyle w:val="17"/>
              <w:spacing w:before="69" w:line="239" w:lineRule="auto"/>
              <w:ind w:left="123"/>
              <w:rPr>
                <w:color w:val="auto"/>
                <w:highlight w:val="none"/>
              </w:rPr>
            </w:pPr>
            <w:r>
              <w:rPr>
                <w:color w:val="auto"/>
                <w:spacing w:val="-3"/>
                <w:highlight w:val="none"/>
              </w:rPr>
              <w:t>2.2.2</w:t>
            </w:r>
          </w:p>
          <w:p w14:paraId="4F373699">
            <w:pPr>
              <w:pStyle w:val="17"/>
              <w:spacing w:before="127" w:line="232" w:lineRule="auto"/>
              <w:ind w:left="126"/>
              <w:rPr>
                <w:color w:val="auto"/>
                <w:highlight w:val="none"/>
              </w:rPr>
            </w:pPr>
            <w:r>
              <w:rPr>
                <w:color w:val="auto"/>
                <w:spacing w:val="-6"/>
                <w:highlight w:val="none"/>
              </w:rPr>
              <w:t>（2）</w:t>
            </w:r>
          </w:p>
        </w:tc>
        <w:tc>
          <w:tcPr>
            <w:tcW w:w="858" w:type="dxa"/>
            <w:gridSpan w:val="2"/>
            <w:vAlign w:val="top"/>
          </w:tcPr>
          <w:p w14:paraId="36D36138">
            <w:pPr>
              <w:spacing w:line="291" w:lineRule="auto"/>
              <w:rPr>
                <w:rFonts w:ascii="Arial"/>
                <w:color w:val="auto"/>
                <w:sz w:val="21"/>
                <w:highlight w:val="none"/>
              </w:rPr>
            </w:pPr>
          </w:p>
          <w:p w14:paraId="0309C103">
            <w:pPr>
              <w:spacing w:line="291" w:lineRule="auto"/>
              <w:rPr>
                <w:rFonts w:ascii="Arial"/>
                <w:color w:val="auto"/>
                <w:sz w:val="21"/>
                <w:highlight w:val="none"/>
              </w:rPr>
            </w:pPr>
          </w:p>
          <w:p w14:paraId="3C3A19BF">
            <w:pPr>
              <w:spacing w:line="291" w:lineRule="auto"/>
              <w:rPr>
                <w:rFonts w:ascii="Arial"/>
                <w:color w:val="auto"/>
                <w:sz w:val="21"/>
                <w:highlight w:val="none"/>
              </w:rPr>
            </w:pPr>
          </w:p>
          <w:p w14:paraId="08786AE9">
            <w:pPr>
              <w:pStyle w:val="17"/>
              <w:spacing w:before="69" w:line="354" w:lineRule="auto"/>
              <w:ind w:left="333" w:right="114" w:hanging="216"/>
              <w:rPr>
                <w:color w:val="auto"/>
                <w:highlight w:val="none"/>
              </w:rPr>
            </w:pPr>
            <w:r>
              <w:rPr>
                <w:color w:val="auto"/>
                <w:spacing w:val="-4"/>
                <w:highlight w:val="none"/>
              </w:rPr>
              <w:t>主要人</w:t>
            </w:r>
            <w:r>
              <w:rPr>
                <w:color w:val="auto"/>
                <w:highlight w:val="none"/>
              </w:rPr>
              <w:t>员</w:t>
            </w:r>
          </w:p>
        </w:tc>
        <w:tc>
          <w:tcPr>
            <w:tcW w:w="1116" w:type="dxa"/>
            <w:vAlign w:val="top"/>
          </w:tcPr>
          <w:p w14:paraId="38F9FB65">
            <w:pPr>
              <w:spacing w:line="272" w:lineRule="auto"/>
              <w:rPr>
                <w:rFonts w:ascii="Arial"/>
                <w:color w:val="auto"/>
                <w:sz w:val="21"/>
                <w:highlight w:val="none"/>
              </w:rPr>
            </w:pPr>
          </w:p>
          <w:p w14:paraId="25596DF8">
            <w:pPr>
              <w:spacing w:line="273" w:lineRule="auto"/>
              <w:rPr>
                <w:rFonts w:ascii="Arial"/>
                <w:color w:val="auto"/>
                <w:sz w:val="21"/>
                <w:highlight w:val="none"/>
              </w:rPr>
            </w:pPr>
          </w:p>
          <w:p w14:paraId="2B5348C5">
            <w:pPr>
              <w:spacing w:line="273" w:lineRule="auto"/>
              <w:rPr>
                <w:rFonts w:ascii="Arial"/>
                <w:color w:val="auto"/>
                <w:sz w:val="21"/>
                <w:highlight w:val="none"/>
              </w:rPr>
            </w:pPr>
          </w:p>
          <w:p w14:paraId="1F36AACC">
            <w:pPr>
              <w:spacing w:line="273" w:lineRule="auto"/>
              <w:rPr>
                <w:rFonts w:ascii="Arial"/>
                <w:color w:val="auto"/>
                <w:sz w:val="21"/>
                <w:highlight w:val="none"/>
              </w:rPr>
            </w:pPr>
          </w:p>
          <w:p w14:paraId="36AC41C6">
            <w:pPr>
              <w:pStyle w:val="17"/>
              <w:spacing w:before="68" w:line="220" w:lineRule="auto"/>
              <w:ind w:left="380"/>
              <w:rPr>
                <w:color w:val="auto"/>
                <w:highlight w:val="none"/>
              </w:rPr>
            </w:pPr>
            <w:r>
              <w:rPr>
                <w:color w:val="auto"/>
                <w:spacing w:val="-4"/>
                <w:highlight w:val="none"/>
              </w:rPr>
              <w:t>25</w:t>
            </w:r>
            <w:r>
              <w:rPr>
                <w:color w:val="auto"/>
                <w:spacing w:val="-43"/>
                <w:highlight w:val="none"/>
              </w:rPr>
              <w:t xml:space="preserve"> </w:t>
            </w:r>
            <w:r>
              <w:rPr>
                <w:color w:val="auto"/>
                <w:spacing w:val="-4"/>
                <w:highlight w:val="none"/>
              </w:rPr>
              <w:t>分</w:t>
            </w:r>
          </w:p>
        </w:tc>
        <w:tc>
          <w:tcPr>
            <w:tcW w:w="1103" w:type="dxa"/>
            <w:vAlign w:val="top"/>
          </w:tcPr>
          <w:p w14:paraId="617EE178">
            <w:pPr>
              <w:pStyle w:val="17"/>
              <w:spacing w:before="68" w:line="220" w:lineRule="auto"/>
              <w:ind w:left="138"/>
              <w:rPr>
                <w:color w:val="auto"/>
                <w:highlight w:val="none"/>
              </w:rPr>
            </w:pPr>
            <w:r>
              <w:rPr>
                <w:color w:val="auto"/>
                <w:spacing w:val="-3"/>
                <w:highlight w:val="none"/>
              </w:rPr>
              <w:t>项目经理</w:t>
            </w:r>
          </w:p>
          <w:p w14:paraId="7498E1FE">
            <w:pPr>
              <w:pStyle w:val="17"/>
              <w:spacing w:before="150" w:line="220" w:lineRule="auto"/>
              <w:ind w:left="136"/>
              <w:rPr>
                <w:color w:val="auto"/>
                <w:highlight w:val="none"/>
              </w:rPr>
            </w:pPr>
            <w:r>
              <w:rPr>
                <w:color w:val="auto"/>
                <w:spacing w:val="-2"/>
                <w:highlight w:val="none"/>
              </w:rPr>
              <w:t>和项目总</w:t>
            </w:r>
          </w:p>
          <w:p w14:paraId="03FA3918">
            <w:pPr>
              <w:pStyle w:val="17"/>
              <w:spacing w:before="149" w:line="220" w:lineRule="auto"/>
              <w:ind w:left="137"/>
              <w:rPr>
                <w:color w:val="auto"/>
                <w:highlight w:val="none"/>
              </w:rPr>
            </w:pPr>
            <w:r>
              <w:rPr>
                <w:color w:val="auto"/>
                <w:spacing w:val="-3"/>
                <w:highlight w:val="none"/>
              </w:rPr>
              <w:t>工等主要</w:t>
            </w:r>
          </w:p>
          <w:p w14:paraId="5990F9FD">
            <w:pPr>
              <w:pStyle w:val="17"/>
              <w:spacing w:before="149" w:line="220" w:lineRule="auto"/>
              <w:ind w:left="140"/>
              <w:rPr>
                <w:color w:val="auto"/>
                <w:highlight w:val="none"/>
              </w:rPr>
            </w:pPr>
            <w:r>
              <w:rPr>
                <w:color w:val="auto"/>
                <w:spacing w:val="-3"/>
                <w:highlight w:val="none"/>
              </w:rPr>
              <w:t>管理人员</w:t>
            </w:r>
          </w:p>
          <w:p w14:paraId="59C26AAD">
            <w:pPr>
              <w:pStyle w:val="17"/>
              <w:spacing w:before="151" w:line="218" w:lineRule="auto"/>
              <w:ind w:left="134"/>
              <w:rPr>
                <w:color w:val="auto"/>
                <w:highlight w:val="none"/>
              </w:rPr>
            </w:pPr>
            <w:r>
              <w:rPr>
                <w:color w:val="auto"/>
                <w:spacing w:val="-2"/>
                <w:highlight w:val="none"/>
              </w:rPr>
              <w:t>任职资格</w:t>
            </w:r>
          </w:p>
          <w:p w14:paraId="6280AF81">
            <w:pPr>
              <w:pStyle w:val="17"/>
              <w:spacing w:before="151" w:line="217" w:lineRule="auto"/>
              <w:ind w:left="245"/>
              <w:rPr>
                <w:color w:val="auto"/>
                <w:highlight w:val="none"/>
              </w:rPr>
            </w:pPr>
            <w:r>
              <w:rPr>
                <w:color w:val="auto"/>
                <w:spacing w:val="-3"/>
                <w:highlight w:val="none"/>
              </w:rPr>
              <w:t>与业绩</w:t>
            </w:r>
          </w:p>
        </w:tc>
        <w:tc>
          <w:tcPr>
            <w:tcW w:w="807" w:type="dxa"/>
            <w:vAlign w:val="top"/>
          </w:tcPr>
          <w:p w14:paraId="3FF4D66C">
            <w:pPr>
              <w:spacing w:line="272" w:lineRule="auto"/>
              <w:rPr>
                <w:rFonts w:ascii="Arial"/>
                <w:color w:val="auto"/>
                <w:sz w:val="21"/>
                <w:highlight w:val="none"/>
              </w:rPr>
            </w:pPr>
          </w:p>
          <w:p w14:paraId="1F526209">
            <w:pPr>
              <w:spacing w:line="273" w:lineRule="auto"/>
              <w:rPr>
                <w:rFonts w:ascii="Arial"/>
                <w:color w:val="auto"/>
                <w:sz w:val="21"/>
                <w:highlight w:val="none"/>
              </w:rPr>
            </w:pPr>
          </w:p>
          <w:p w14:paraId="4148E28B">
            <w:pPr>
              <w:spacing w:line="273" w:lineRule="auto"/>
              <w:rPr>
                <w:rFonts w:ascii="Arial"/>
                <w:color w:val="auto"/>
                <w:sz w:val="21"/>
                <w:highlight w:val="none"/>
              </w:rPr>
            </w:pPr>
          </w:p>
          <w:p w14:paraId="0F1D710B">
            <w:pPr>
              <w:spacing w:line="273" w:lineRule="auto"/>
              <w:rPr>
                <w:rFonts w:ascii="Arial"/>
                <w:color w:val="auto"/>
                <w:sz w:val="21"/>
                <w:highlight w:val="none"/>
              </w:rPr>
            </w:pPr>
          </w:p>
          <w:p w14:paraId="282ABDD6">
            <w:pPr>
              <w:pStyle w:val="17"/>
              <w:spacing w:before="68" w:line="220" w:lineRule="auto"/>
              <w:ind w:left="174"/>
              <w:rPr>
                <w:color w:val="auto"/>
                <w:highlight w:val="none"/>
              </w:rPr>
            </w:pPr>
            <w:r>
              <w:rPr>
                <w:color w:val="auto"/>
                <w:spacing w:val="-3"/>
                <w:highlight w:val="none"/>
              </w:rPr>
              <w:t>25</w:t>
            </w:r>
            <w:r>
              <w:rPr>
                <w:color w:val="auto"/>
                <w:spacing w:val="-45"/>
                <w:highlight w:val="none"/>
              </w:rPr>
              <w:t xml:space="preserve"> </w:t>
            </w:r>
            <w:r>
              <w:rPr>
                <w:color w:val="auto"/>
                <w:spacing w:val="-3"/>
                <w:highlight w:val="none"/>
              </w:rPr>
              <w:t>分</w:t>
            </w:r>
          </w:p>
        </w:tc>
        <w:tc>
          <w:tcPr>
            <w:tcW w:w="4914" w:type="dxa"/>
            <w:vAlign w:val="top"/>
          </w:tcPr>
          <w:p w14:paraId="0DEBEF6D">
            <w:pPr>
              <w:spacing w:line="291" w:lineRule="auto"/>
              <w:rPr>
                <w:rFonts w:ascii="Arial"/>
                <w:color w:val="auto"/>
                <w:sz w:val="21"/>
                <w:highlight w:val="none"/>
              </w:rPr>
            </w:pPr>
          </w:p>
          <w:p w14:paraId="19D31390">
            <w:pPr>
              <w:spacing w:line="291" w:lineRule="auto"/>
              <w:rPr>
                <w:rFonts w:ascii="Arial"/>
                <w:color w:val="auto"/>
                <w:sz w:val="21"/>
                <w:highlight w:val="none"/>
              </w:rPr>
            </w:pPr>
          </w:p>
          <w:p w14:paraId="03298944">
            <w:pPr>
              <w:pStyle w:val="17"/>
              <w:spacing w:before="68" w:line="353" w:lineRule="auto"/>
              <w:ind w:left="121" w:right="117" w:hanging="8"/>
              <w:rPr>
                <w:color w:val="auto"/>
                <w:highlight w:val="none"/>
              </w:rPr>
            </w:pPr>
            <w:r>
              <w:rPr>
                <w:color w:val="auto"/>
                <w:spacing w:val="-2"/>
                <w:highlight w:val="none"/>
              </w:rPr>
              <w:t>满足资格审查条件（项目经理和项目总工等主要管理人</w:t>
            </w:r>
            <w:r>
              <w:rPr>
                <w:color w:val="auto"/>
                <w:spacing w:val="-4"/>
                <w:highlight w:val="none"/>
              </w:rPr>
              <w:t>员最低要求）时，得</w:t>
            </w:r>
            <w:r>
              <w:rPr>
                <w:color w:val="auto"/>
                <w:spacing w:val="-38"/>
                <w:highlight w:val="none"/>
              </w:rPr>
              <w:t xml:space="preserve"> </w:t>
            </w:r>
            <w:r>
              <w:rPr>
                <w:color w:val="auto"/>
                <w:spacing w:val="-4"/>
                <w:highlight w:val="none"/>
              </w:rPr>
              <w:t>25</w:t>
            </w:r>
            <w:r>
              <w:rPr>
                <w:color w:val="auto"/>
                <w:spacing w:val="-42"/>
                <w:highlight w:val="none"/>
              </w:rPr>
              <w:t xml:space="preserve"> </w:t>
            </w:r>
            <w:r>
              <w:rPr>
                <w:color w:val="auto"/>
                <w:spacing w:val="-4"/>
                <w:highlight w:val="none"/>
              </w:rPr>
              <w:t>分。</w:t>
            </w:r>
          </w:p>
        </w:tc>
      </w:tr>
      <w:tr w14:paraId="612B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9" w:hRule="atLeast"/>
        </w:trPr>
        <w:tc>
          <w:tcPr>
            <w:tcW w:w="757" w:type="dxa"/>
            <w:vMerge w:val="restart"/>
            <w:tcBorders>
              <w:bottom w:val="nil"/>
            </w:tcBorders>
            <w:vAlign w:val="top"/>
          </w:tcPr>
          <w:p w14:paraId="5E97B64A">
            <w:pPr>
              <w:spacing w:line="254" w:lineRule="auto"/>
              <w:rPr>
                <w:rFonts w:ascii="Arial"/>
                <w:color w:val="auto"/>
                <w:sz w:val="21"/>
                <w:highlight w:val="none"/>
              </w:rPr>
            </w:pPr>
          </w:p>
          <w:p w14:paraId="137F4E9C">
            <w:pPr>
              <w:spacing w:line="254" w:lineRule="auto"/>
              <w:rPr>
                <w:rFonts w:ascii="Arial"/>
                <w:color w:val="auto"/>
                <w:sz w:val="21"/>
                <w:highlight w:val="none"/>
              </w:rPr>
            </w:pPr>
          </w:p>
          <w:p w14:paraId="55A2281B">
            <w:pPr>
              <w:spacing w:line="254" w:lineRule="auto"/>
              <w:rPr>
                <w:rFonts w:ascii="Arial"/>
                <w:color w:val="auto"/>
                <w:sz w:val="21"/>
                <w:highlight w:val="none"/>
              </w:rPr>
            </w:pPr>
          </w:p>
          <w:p w14:paraId="1592440E">
            <w:pPr>
              <w:spacing w:line="254" w:lineRule="auto"/>
              <w:rPr>
                <w:rFonts w:ascii="Arial"/>
                <w:color w:val="auto"/>
                <w:sz w:val="21"/>
                <w:highlight w:val="none"/>
              </w:rPr>
            </w:pPr>
          </w:p>
          <w:p w14:paraId="02F76AA2">
            <w:pPr>
              <w:spacing w:line="255" w:lineRule="auto"/>
              <w:rPr>
                <w:rFonts w:ascii="Arial"/>
                <w:color w:val="auto"/>
                <w:sz w:val="21"/>
                <w:highlight w:val="none"/>
              </w:rPr>
            </w:pPr>
          </w:p>
          <w:p w14:paraId="76016764">
            <w:pPr>
              <w:pStyle w:val="17"/>
              <w:spacing w:before="68" w:line="239" w:lineRule="auto"/>
              <w:ind w:left="123"/>
              <w:rPr>
                <w:color w:val="auto"/>
                <w:highlight w:val="none"/>
              </w:rPr>
            </w:pPr>
            <w:r>
              <w:rPr>
                <w:color w:val="auto"/>
                <w:spacing w:val="-3"/>
                <w:highlight w:val="none"/>
              </w:rPr>
              <w:t>2.2.2</w:t>
            </w:r>
          </w:p>
          <w:p w14:paraId="2249A441">
            <w:pPr>
              <w:pStyle w:val="17"/>
              <w:spacing w:before="127" w:line="232" w:lineRule="auto"/>
              <w:ind w:left="126"/>
              <w:rPr>
                <w:color w:val="auto"/>
                <w:highlight w:val="none"/>
              </w:rPr>
            </w:pPr>
            <w:r>
              <w:rPr>
                <w:color w:val="auto"/>
                <w:spacing w:val="-6"/>
                <w:highlight w:val="none"/>
              </w:rPr>
              <w:t>（3）</w:t>
            </w:r>
          </w:p>
        </w:tc>
        <w:tc>
          <w:tcPr>
            <w:tcW w:w="432" w:type="dxa"/>
            <w:vMerge w:val="restart"/>
            <w:tcBorders>
              <w:bottom w:val="nil"/>
            </w:tcBorders>
            <w:textDirection w:val="tbRlV"/>
            <w:vAlign w:val="top"/>
          </w:tcPr>
          <w:p w14:paraId="637BAD72">
            <w:pPr>
              <w:pStyle w:val="17"/>
              <w:spacing w:before="111" w:line="206" w:lineRule="auto"/>
              <w:ind w:left="947"/>
              <w:rPr>
                <w:color w:val="auto"/>
                <w:highlight w:val="none"/>
              </w:rPr>
            </w:pPr>
            <w:r>
              <w:rPr>
                <w:color w:val="auto"/>
                <w:highlight w:val="none"/>
              </w:rPr>
              <w:t>其</w:t>
            </w:r>
            <w:r>
              <w:rPr>
                <w:color w:val="auto"/>
                <w:spacing w:val="84"/>
                <w:highlight w:val="none"/>
              </w:rPr>
              <w:t xml:space="preserve"> </w:t>
            </w:r>
            <w:r>
              <w:rPr>
                <w:color w:val="auto"/>
                <w:highlight w:val="none"/>
              </w:rPr>
              <w:t>他</w:t>
            </w:r>
            <w:r>
              <w:rPr>
                <w:color w:val="auto"/>
                <w:spacing w:val="84"/>
                <w:highlight w:val="none"/>
              </w:rPr>
              <w:t xml:space="preserve"> </w:t>
            </w:r>
            <w:r>
              <w:rPr>
                <w:color w:val="auto"/>
                <w:highlight w:val="none"/>
              </w:rPr>
              <w:t>因</w:t>
            </w:r>
            <w:r>
              <w:rPr>
                <w:color w:val="auto"/>
                <w:spacing w:val="86"/>
                <w:highlight w:val="none"/>
              </w:rPr>
              <w:t xml:space="preserve"> </w:t>
            </w:r>
            <w:r>
              <w:rPr>
                <w:color w:val="auto"/>
                <w:highlight w:val="none"/>
              </w:rPr>
              <w:t>素</w:t>
            </w:r>
          </w:p>
        </w:tc>
        <w:tc>
          <w:tcPr>
            <w:tcW w:w="426" w:type="dxa"/>
            <w:textDirection w:val="tbRlV"/>
            <w:vAlign w:val="center"/>
          </w:tcPr>
          <w:p w14:paraId="142C34F2">
            <w:pPr>
              <w:pStyle w:val="17"/>
              <w:spacing w:before="109" w:line="207" w:lineRule="auto"/>
              <w:ind w:left="142"/>
              <w:jc w:val="center"/>
              <w:rPr>
                <w:color w:val="auto"/>
                <w:highlight w:val="none"/>
              </w:rPr>
            </w:pPr>
            <w:r>
              <w:rPr>
                <w:color w:val="auto"/>
                <w:highlight w:val="none"/>
              </w:rPr>
              <w:t>技</w:t>
            </w:r>
            <w:r>
              <w:rPr>
                <w:color w:val="auto"/>
                <w:spacing w:val="84"/>
                <w:highlight w:val="none"/>
              </w:rPr>
              <w:t xml:space="preserve"> </w:t>
            </w:r>
            <w:r>
              <w:rPr>
                <w:color w:val="auto"/>
                <w:highlight w:val="none"/>
              </w:rPr>
              <w:t>术</w:t>
            </w:r>
            <w:r>
              <w:rPr>
                <w:color w:val="auto"/>
                <w:spacing w:val="84"/>
                <w:highlight w:val="none"/>
              </w:rPr>
              <w:t xml:space="preserve"> </w:t>
            </w:r>
            <w:r>
              <w:rPr>
                <w:color w:val="auto"/>
                <w:highlight w:val="none"/>
              </w:rPr>
              <w:t>能</w:t>
            </w:r>
            <w:r>
              <w:rPr>
                <w:color w:val="auto"/>
                <w:spacing w:val="86"/>
                <w:highlight w:val="none"/>
              </w:rPr>
              <w:t xml:space="preserve"> </w:t>
            </w:r>
            <w:r>
              <w:rPr>
                <w:color w:val="auto"/>
                <w:highlight w:val="none"/>
              </w:rPr>
              <w:t>力</w:t>
            </w:r>
          </w:p>
        </w:tc>
        <w:tc>
          <w:tcPr>
            <w:tcW w:w="1116" w:type="dxa"/>
            <w:vAlign w:val="center"/>
          </w:tcPr>
          <w:p w14:paraId="0B8F37C6">
            <w:pPr>
              <w:pStyle w:val="17"/>
              <w:spacing w:before="68" w:line="220" w:lineRule="auto"/>
              <w:ind w:left="365"/>
              <w:jc w:val="both"/>
              <w:rPr>
                <w:color w:val="auto"/>
                <w:highlight w:val="none"/>
              </w:rPr>
            </w:pPr>
            <w:r>
              <w:rPr>
                <w:color w:val="auto"/>
                <w:spacing w:val="-8"/>
                <w:highlight w:val="none"/>
              </w:rPr>
              <w:t>10</w:t>
            </w:r>
            <w:r>
              <w:rPr>
                <w:color w:val="auto"/>
                <w:spacing w:val="10"/>
                <w:highlight w:val="none"/>
              </w:rPr>
              <w:t xml:space="preserve"> </w:t>
            </w:r>
            <w:r>
              <w:rPr>
                <w:color w:val="auto"/>
                <w:spacing w:val="-8"/>
                <w:highlight w:val="none"/>
              </w:rPr>
              <w:t>分</w:t>
            </w:r>
          </w:p>
        </w:tc>
        <w:tc>
          <w:tcPr>
            <w:tcW w:w="6824" w:type="dxa"/>
            <w:gridSpan w:val="3"/>
            <w:vAlign w:val="center"/>
          </w:tcPr>
          <w:p w14:paraId="36D47C64">
            <w:pPr>
              <w:pStyle w:val="17"/>
              <w:spacing w:before="68" w:line="353" w:lineRule="auto"/>
              <w:ind w:left="121" w:right="117" w:hanging="8"/>
              <w:jc w:val="both"/>
              <w:rPr>
                <w:color w:val="auto"/>
                <w:highlight w:val="none"/>
              </w:rPr>
            </w:pPr>
            <w:r>
              <w:rPr>
                <w:rFonts w:hint="eastAsia" w:asciiTheme="minorEastAsia" w:hAnsiTheme="minorEastAsia" w:eastAsiaTheme="minorEastAsia" w:cstheme="minorEastAsia"/>
                <w:color w:val="auto"/>
                <w:highlight w:val="none"/>
              </w:rPr>
              <w:t>满足资格审查条件（资质、财务、业绩、信誉、项目经理和项目总工等主要管理人员）最低要求的，得满分 10 分。</w:t>
            </w:r>
          </w:p>
        </w:tc>
      </w:tr>
      <w:tr w14:paraId="1E07B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7" w:hRule="atLeast"/>
        </w:trPr>
        <w:tc>
          <w:tcPr>
            <w:tcW w:w="757" w:type="dxa"/>
            <w:vMerge w:val="continue"/>
            <w:tcBorders>
              <w:top w:val="nil"/>
            </w:tcBorders>
            <w:vAlign w:val="top"/>
          </w:tcPr>
          <w:p w14:paraId="73BC1B4C">
            <w:pPr>
              <w:rPr>
                <w:rFonts w:ascii="Arial"/>
                <w:color w:val="auto"/>
                <w:sz w:val="21"/>
                <w:highlight w:val="none"/>
              </w:rPr>
            </w:pPr>
          </w:p>
        </w:tc>
        <w:tc>
          <w:tcPr>
            <w:tcW w:w="432" w:type="dxa"/>
            <w:vMerge w:val="continue"/>
            <w:tcBorders>
              <w:top w:val="nil"/>
            </w:tcBorders>
            <w:textDirection w:val="tbRlV"/>
            <w:vAlign w:val="top"/>
          </w:tcPr>
          <w:p w14:paraId="46E88BC7">
            <w:pPr>
              <w:rPr>
                <w:rFonts w:ascii="Arial"/>
                <w:color w:val="auto"/>
                <w:sz w:val="21"/>
                <w:highlight w:val="none"/>
              </w:rPr>
            </w:pPr>
          </w:p>
        </w:tc>
        <w:tc>
          <w:tcPr>
            <w:tcW w:w="426" w:type="dxa"/>
            <w:textDirection w:val="tbRlV"/>
            <w:vAlign w:val="top"/>
          </w:tcPr>
          <w:p w14:paraId="31ACD7CE">
            <w:pPr>
              <w:pStyle w:val="17"/>
              <w:spacing w:before="108" w:line="208" w:lineRule="auto"/>
              <w:ind w:left="141"/>
              <w:rPr>
                <w:color w:val="auto"/>
                <w:highlight w:val="none"/>
              </w:rPr>
            </w:pPr>
            <w:r>
              <w:rPr>
                <w:color w:val="auto"/>
                <w:highlight w:val="none"/>
              </w:rPr>
              <w:t>履</w:t>
            </w:r>
            <w:r>
              <w:rPr>
                <w:color w:val="auto"/>
                <w:spacing w:val="85"/>
                <w:highlight w:val="none"/>
              </w:rPr>
              <w:t xml:space="preserve"> </w:t>
            </w:r>
            <w:r>
              <w:rPr>
                <w:color w:val="auto"/>
                <w:highlight w:val="none"/>
              </w:rPr>
              <w:t>约</w:t>
            </w:r>
            <w:r>
              <w:rPr>
                <w:color w:val="auto"/>
                <w:spacing w:val="84"/>
                <w:highlight w:val="none"/>
              </w:rPr>
              <w:t xml:space="preserve"> </w:t>
            </w:r>
            <w:r>
              <w:rPr>
                <w:color w:val="auto"/>
                <w:highlight w:val="none"/>
              </w:rPr>
              <w:t>信</w:t>
            </w:r>
            <w:r>
              <w:rPr>
                <w:color w:val="auto"/>
                <w:spacing w:val="85"/>
                <w:highlight w:val="none"/>
              </w:rPr>
              <w:t xml:space="preserve"> </w:t>
            </w:r>
            <w:r>
              <w:rPr>
                <w:color w:val="auto"/>
                <w:highlight w:val="none"/>
              </w:rPr>
              <w:t>誉</w:t>
            </w:r>
          </w:p>
        </w:tc>
        <w:tc>
          <w:tcPr>
            <w:tcW w:w="1116" w:type="dxa"/>
            <w:vAlign w:val="top"/>
          </w:tcPr>
          <w:p w14:paraId="04DE680A">
            <w:pPr>
              <w:spacing w:line="334" w:lineRule="auto"/>
              <w:rPr>
                <w:rFonts w:ascii="Arial"/>
                <w:color w:val="auto"/>
                <w:sz w:val="21"/>
                <w:highlight w:val="none"/>
              </w:rPr>
            </w:pPr>
          </w:p>
          <w:p w14:paraId="628A3196">
            <w:pPr>
              <w:spacing w:line="335" w:lineRule="auto"/>
              <w:rPr>
                <w:rFonts w:ascii="Arial"/>
                <w:color w:val="auto"/>
                <w:sz w:val="21"/>
                <w:highlight w:val="none"/>
              </w:rPr>
            </w:pPr>
          </w:p>
          <w:p w14:paraId="3F6E2393">
            <w:pPr>
              <w:pStyle w:val="17"/>
              <w:spacing w:before="69" w:line="220" w:lineRule="auto"/>
              <w:ind w:left="352"/>
              <w:rPr>
                <w:color w:val="auto"/>
                <w:highlight w:val="none"/>
              </w:rPr>
            </w:pPr>
            <w:r>
              <w:rPr>
                <w:color w:val="auto"/>
                <w:spacing w:val="-3"/>
                <w:highlight w:val="none"/>
              </w:rPr>
              <w:t>25</w:t>
            </w:r>
            <w:r>
              <w:rPr>
                <w:color w:val="auto"/>
                <w:spacing w:val="9"/>
                <w:highlight w:val="none"/>
              </w:rPr>
              <w:t xml:space="preserve"> </w:t>
            </w:r>
            <w:r>
              <w:rPr>
                <w:color w:val="auto"/>
                <w:spacing w:val="-3"/>
                <w:highlight w:val="none"/>
              </w:rPr>
              <w:t>分</w:t>
            </w:r>
          </w:p>
        </w:tc>
        <w:tc>
          <w:tcPr>
            <w:tcW w:w="6824" w:type="dxa"/>
            <w:gridSpan w:val="3"/>
            <w:vAlign w:val="top"/>
          </w:tcPr>
          <w:p w14:paraId="0FBA4F42">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1. 信用等级分值（10 分）</w:t>
            </w:r>
          </w:p>
          <w:p w14:paraId="723B96D2">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AA、A、B、C 级单位的信用等级分得分分别为 10、9.5、8.9、7.3 分。注：信用等级的确定原则遵循投标人须知前附表 10.2 款的规定。</w:t>
            </w:r>
          </w:p>
          <w:p w14:paraId="40A209EF">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2. 履约情况（15 分）</w:t>
            </w:r>
          </w:p>
          <w:p w14:paraId="6B499C1D">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若没出现下述情形得满分；</w:t>
            </w:r>
          </w:p>
          <w:p w14:paraId="676FA09B">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投标人因公路工程（含附属设施）质量、安全事故被：</w:t>
            </w:r>
          </w:p>
          <w:p w14:paraId="4F6E92AB">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（1）交通运输部行政处罚、且在处罚信息公示期内的，扣 2 分/次。</w:t>
            </w:r>
          </w:p>
          <w:p w14:paraId="4E881897">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（2）广东省交通运输厅行政处罚、且在处罚信息公示期内的，扣 1 分/次。</w:t>
            </w:r>
          </w:p>
          <w:p w14:paraId="310B5A7F">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（3）（项目涉及各地级以上市）市交通运输局行政处罚、且在处罚信息公示期内的，扣 0.5 分/次。如该项目涉及多个地级以上市的均应扣分。</w:t>
            </w:r>
          </w:p>
          <w:p w14:paraId="4610A9E9">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注：1.处罚信息公示期，是指行政机关将行政处罚决定信息通过信用中国向社会公开的期限；以投标文件递交截止日 0 时是否位于处罚信息公示期，来判定是否影响相关投标人的履约情况得分，投标文件递交截止日 0 时在处罚信息公示期内应予以扣分、否则不予扣分。</w:t>
            </w:r>
          </w:p>
          <w:p w14:paraId="13C7DDAD">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2.同一事项同时被多个部门行政处罚只按最高的扣分计算 1 次。</w:t>
            </w:r>
          </w:p>
          <w:p w14:paraId="40E68ACA">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rFonts w:hint="eastAsia"/>
                <w:color w:val="auto"/>
                <w:spacing w:val="7"/>
                <w:highlight w:val="none"/>
              </w:rPr>
            </w:pPr>
            <w:r>
              <w:rPr>
                <w:rFonts w:hint="eastAsia"/>
                <w:color w:val="auto"/>
                <w:spacing w:val="7"/>
                <w:highlight w:val="none"/>
              </w:rPr>
              <w:t>3.第（3）条款“项目涉及各地级以上市”指：本项目（以立项为单位）涉及多个地市，如投标人所投某个标段（仅涉及部分地市），该标段履约情况按项目（以立项为单位）涉及各地市交通运输局相关行政处罚均应包含。如某项目涉及 A、B、C 三个地级以上市，但标段 3 仅涉及 A 市，该条款履约情况应为 A、B、C 三个地级以上市交通运输局相关行政处罚（而非仅 A 市交通运输局相关行政处罚），且在招标文件编制时明确为“A、B、C市交通运输局行政处罚、且在处罚信息公示期内的”。</w:t>
            </w:r>
          </w:p>
          <w:p w14:paraId="4C4353B1">
            <w:pPr>
              <w:pStyle w:val="17"/>
              <w:keepNext w:val="0"/>
              <w:keepLines w:val="0"/>
              <w:pageBreakBefore w:val="0"/>
              <w:widowControl/>
              <w:kinsoku w:val="0"/>
              <w:wordWrap/>
              <w:overflowPunct/>
              <w:topLinePunct w:val="0"/>
              <w:autoSpaceDE/>
              <w:autoSpaceDN/>
              <w:bidi w:val="0"/>
              <w:adjustRightInd w:val="0"/>
              <w:snapToGrid w:val="0"/>
              <w:spacing w:line="288" w:lineRule="auto"/>
              <w:ind w:left="113"/>
              <w:textAlignment w:val="baseline"/>
              <w:rPr>
                <w:color w:val="auto"/>
                <w:spacing w:val="7"/>
                <w:highlight w:val="none"/>
              </w:rPr>
            </w:pPr>
            <w:r>
              <w:rPr>
                <w:rFonts w:hint="eastAsia"/>
                <w:color w:val="auto"/>
                <w:spacing w:val="7"/>
                <w:highlight w:val="none"/>
              </w:rPr>
              <w:t>4.如果扣完本项分值，可以从总分中扣。</w:t>
            </w:r>
          </w:p>
        </w:tc>
      </w:tr>
      <w:tr w14:paraId="317A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555" w:type="dxa"/>
            <w:gridSpan w:val="7"/>
            <w:vAlign w:val="top"/>
          </w:tcPr>
          <w:p w14:paraId="25096886">
            <w:pPr>
              <w:pStyle w:val="17"/>
              <w:spacing w:before="223" w:line="220" w:lineRule="auto"/>
              <w:ind w:left="127"/>
              <w:rPr>
                <w:color w:val="auto"/>
                <w:highlight w:val="none"/>
              </w:rPr>
            </w:pPr>
            <w:r>
              <w:rPr>
                <w:b/>
                <w:bCs/>
                <w:color w:val="auto"/>
                <w:spacing w:val="-4"/>
                <w:highlight w:val="none"/>
              </w:rPr>
              <w:t>需要补充的其他内容</w:t>
            </w:r>
          </w:p>
        </w:tc>
      </w:tr>
      <w:tr w14:paraId="5AA50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89" w:type="dxa"/>
            <w:gridSpan w:val="2"/>
            <w:vAlign w:val="top"/>
          </w:tcPr>
          <w:p w14:paraId="377FA89C">
            <w:pPr>
              <w:pStyle w:val="17"/>
              <w:spacing w:before="177" w:line="220" w:lineRule="auto"/>
              <w:ind w:left="285"/>
              <w:rPr>
                <w:color w:val="auto"/>
                <w:highlight w:val="none"/>
              </w:rPr>
            </w:pPr>
            <w:r>
              <w:rPr>
                <w:color w:val="auto"/>
                <w:spacing w:val="-3"/>
                <w:highlight w:val="none"/>
              </w:rPr>
              <w:t>条款号</w:t>
            </w:r>
          </w:p>
        </w:tc>
        <w:tc>
          <w:tcPr>
            <w:tcW w:w="8366" w:type="dxa"/>
            <w:gridSpan w:val="5"/>
            <w:vAlign w:val="top"/>
          </w:tcPr>
          <w:p w14:paraId="26C8FD8F">
            <w:pPr>
              <w:pStyle w:val="17"/>
              <w:spacing w:before="177" w:line="220" w:lineRule="auto"/>
              <w:ind w:left="3506"/>
              <w:rPr>
                <w:color w:val="auto"/>
                <w:highlight w:val="none"/>
              </w:rPr>
            </w:pPr>
            <w:r>
              <w:rPr>
                <w:color w:val="auto"/>
                <w:spacing w:val="-1"/>
                <w:highlight w:val="none"/>
              </w:rPr>
              <w:t>补充或修改的内容</w:t>
            </w:r>
          </w:p>
        </w:tc>
      </w:tr>
      <w:tr w14:paraId="1806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9" w:type="dxa"/>
            <w:gridSpan w:val="2"/>
            <w:vAlign w:val="top"/>
          </w:tcPr>
          <w:p w14:paraId="4C77D283">
            <w:pPr>
              <w:pStyle w:val="17"/>
              <w:spacing w:before="179" w:line="239" w:lineRule="auto"/>
              <w:ind w:left="340"/>
              <w:rPr>
                <w:color w:val="auto"/>
                <w:highlight w:val="none"/>
              </w:rPr>
            </w:pPr>
            <w:r>
              <w:rPr>
                <w:color w:val="auto"/>
                <w:spacing w:val="-3"/>
                <w:highlight w:val="none"/>
              </w:rPr>
              <w:t>3.2.3</w:t>
            </w:r>
          </w:p>
        </w:tc>
        <w:tc>
          <w:tcPr>
            <w:tcW w:w="8366" w:type="dxa"/>
            <w:gridSpan w:val="5"/>
            <w:vAlign w:val="top"/>
          </w:tcPr>
          <w:p w14:paraId="1E813E85">
            <w:pPr>
              <w:pStyle w:val="17"/>
              <w:spacing w:before="178" w:line="220" w:lineRule="auto"/>
              <w:ind w:left="114"/>
              <w:rPr>
                <w:color w:val="auto"/>
                <w:highlight w:val="none"/>
              </w:rPr>
            </w:pPr>
            <w:r>
              <w:rPr>
                <w:color w:val="auto"/>
                <w:spacing w:val="-2"/>
                <w:highlight w:val="none"/>
              </w:rPr>
              <w:t>3.2.3</w:t>
            </w:r>
            <w:r>
              <w:rPr>
                <w:color w:val="auto"/>
                <w:spacing w:val="-41"/>
                <w:highlight w:val="none"/>
              </w:rPr>
              <w:t xml:space="preserve"> </w:t>
            </w:r>
            <w:r>
              <w:rPr>
                <w:color w:val="auto"/>
                <w:spacing w:val="-2"/>
                <w:highlight w:val="none"/>
              </w:rPr>
              <w:t>项取消其中</w:t>
            </w:r>
            <w:r>
              <w:rPr>
                <w:color w:val="auto"/>
                <w:spacing w:val="-29"/>
                <w:highlight w:val="none"/>
              </w:rPr>
              <w:t xml:space="preserve"> </w:t>
            </w:r>
            <w:r>
              <w:rPr>
                <w:color w:val="auto"/>
                <w:spacing w:val="-2"/>
                <w:highlight w:val="none"/>
              </w:rPr>
              <w:t>1</w:t>
            </w:r>
            <w:r>
              <w:rPr>
                <w:color w:val="auto"/>
                <w:spacing w:val="-42"/>
                <w:highlight w:val="none"/>
              </w:rPr>
              <w:t xml:space="preserve"> </w:t>
            </w:r>
            <w:r>
              <w:rPr>
                <w:color w:val="auto"/>
                <w:spacing w:val="-2"/>
                <w:highlight w:val="none"/>
              </w:rPr>
              <w:t>名评委所有评分的办法</w:t>
            </w:r>
            <w:r>
              <w:rPr>
                <w:color w:val="auto"/>
                <w:spacing w:val="-3"/>
                <w:highlight w:val="none"/>
              </w:rPr>
              <w:t>明确为：</w:t>
            </w:r>
            <w:r>
              <w:rPr>
                <w:color w:val="auto"/>
                <w:spacing w:val="-3"/>
                <w:highlight w:val="none"/>
                <w:u w:val="single" w:color="auto"/>
              </w:rPr>
              <w:t>办法</w:t>
            </w:r>
            <w:r>
              <w:rPr>
                <w:rFonts w:hint="eastAsia"/>
                <w:color w:val="auto"/>
                <w:highlight w:val="none"/>
                <w:u w:val="single" w:color="auto"/>
                <w:lang w:eastAsia="zh-CN"/>
              </w:rPr>
              <w:t>一</w:t>
            </w:r>
          </w:p>
        </w:tc>
      </w:tr>
      <w:tr w14:paraId="7F3A1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189" w:type="dxa"/>
            <w:gridSpan w:val="2"/>
            <w:vAlign w:val="top"/>
          </w:tcPr>
          <w:p w14:paraId="351FCD8E">
            <w:pPr>
              <w:spacing w:line="248" w:lineRule="auto"/>
              <w:rPr>
                <w:rFonts w:ascii="Arial"/>
                <w:strike/>
                <w:dstrike w:val="0"/>
                <w:color w:val="auto"/>
                <w:sz w:val="21"/>
                <w:highlight w:val="none"/>
              </w:rPr>
            </w:pPr>
          </w:p>
          <w:p w14:paraId="639E1B7B">
            <w:pPr>
              <w:spacing w:line="248" w:lineRule="auto"/>
              <w:rPr>
                <w:rFonts w:ascii="Arial"/>
                <w:strike/>
                <w:dstrike w:val="0"/>
                <w:color w:val="auto"/>
                <w:sz w:val="21"/>
                <w:highlight w:val="none"/>
              </w:rPr>
            </w:pPr>
          </w:p>
          <w:p w14:paraId="66EC5847">
            <w:pPr>
              <w:spacing w:line="249" w:lineRule="auto"/>
              <w:rPr>
                <w:rFonts w:ascii="Arial"/>
                <w:strike/>
                <w:dstrike w:val="0"/>
                <w:color w:val="auto"/>
                <w:sz w:val="21"/>
                <w:highlight w:val="none"/>
              </w:rPr>
            </w:pPr>
          </w:p>
          <w:p w14:paraId="23A65D5F">
            <w:pPr>
              <w:pStyle w:val="17"/>
              <w:spacing w:before="68" w:line="286" w:lineRule="exact"/>
              <w:ind w:left="393"/>
              <w:rPr>
                <w:strike/>
                <w:dstrike w:val="0"/>
                <w:color w:val="auto"/>
                <w:sz w:val="10"/>
                <w:szCs w:val="10"/>
                <w:highlight w:val="none"/>
              </w:rPr>
            </w:pPr>
            <w:r>
              <w:rPr>
                <w:strike/>
                <w:dstrike w:val="0"/>
                <w:color w:val="auto"/>
                <w:spacing w:val="-3"/>
                <w:highlight w:val="none"/>
              </w:rPr>
              <w:t>3.9</w:t>
            </w:r>
          </w:p>
        </w:tc>
        <w:tc>
          <w:tcPr>
            <w:tcW w:w="8366" w:type="dxa"/>
            <w:gridSpan w:val="5"/>
            <w:vAlign w:val="top"/>
          </w:tcPr>
          <w:p w14:paraId="334F8058">
            <w:pPr>
              <w:pStyle w:val="17"/>
              <w:spacing w:before="129" w:line="220" w:lineRule="auto"/>
              <w:ind w:left="111"/>
              <w:rPr>
                <w:strike/>
                <w:dstrike w:val="0"/>
                <w:color w:val="auto"/>
                <w:highlight w:val="none"/>
              </w:rPr>
            </w:pPr>
            <w:r>
              <w:rPr>
                <w:strike/>
                <w:dstrike w:val="0"/>
                <w:color w:val="auto"/>
                <w:spacing w:val="-6"/>
                <w:highlight w:val="none"/>
              </w:rPr>
              <w:t>增加</w:t>
            </w:r>
            <w:r>
              <w:rPr>
                <w:strike/>
                <w:dstrike w:val="0"/>
                <w:color w:val="auto"/>
                <w:spacing w:val="-36"/>
                <w:highlight w:val="none"/>
              </w:rPr>
              <w:t xml:space="preserve"> </w:t>
            </w:r>
            <w:r>
              <w:rPr>
                <w:strike/>
                <w:dstrike w:val="0"/>
                <w:color w:val="auto"/>
                <w:spacing w:val="-6"/>
                <w:highlight w:val="none"/>
              </w:rPr>
              <w:t>3.9.7</w:t>
            </w:r>
            <w:r>
              <w:rPr>
                <w:strike/>
                <w:dstrike w:val="0"/>
                <w:color w:val="auto"/>
                <w:spacing w:val="-44"/>
                <w:highlight w:val="none"/>
              </w:rPr>
              <w:t xml:space="preserve"> </w:t>
            </w:r>
            <w:r>
              <w:rPr>
                <w:strike/>
                <w:dstrike w:val="0"/>
                <w:color w:val="auto"/>
                <w:spacing w:val="-6"/>
                <w:highlight w:val="none"/>
              </w:rPr>
              <w:t>条款如下：</w:t>
            </w:r>
          </w:p>
          <w:p w14:paraId="1EA9AF42">
            <w:pPr>
              <w:pStyle w:val="17"/>
              <w:spacing w:before="203" w:line="377" w:lineRule="auto"/>
              <w:ind w:left="111" w:right="107" w:firstLine="3"/>
              <w:jc w:val="both"/>
              <w:rPr>
                <w:strike/>
                <w:dstrike w:val="0"/>
                <w:color w:val="auto"/>
                <w:highlight w:val="none"/>
              </w:rPr>
            </w:pPr>
            <w:r>
              <w:rPr>
                <w:strike/>
                <w:dstrike w:val="0"/>
                <w:color w:val="auto"/>
                <w:highlight w:val="none"/>
              </w:rPr>
              <w:t>3.9.7推荐中标候选人方式</w:t>
            </w:r>
            <w:r>
              <w:rPr>
                <w:strike/>
                <w:dstrike w:val="0"/>
                <w:color w:val="auto"/>
                <w:spacing w:val="-11"/>
                <w:highlight w:val="none"/>
              </w:rPr>
              <w:t>：（</w:t>
            </w:r>
            <w:r>
              <w:rPr>
                <w:strike/>
                <w:dstrike w:val="0"/>
                <w:color w:val="auto"/>
                <w:highlight w:val="none"/>
              </w:rPr>
              <w:t>1）已被推荐</w:t>
            </w:r>
            <w:r>
              <w:rPr>
                <w:strike/>
                <w:dstrike w:val="0"/>
                <w:color w:val="auto"/>
                <w:spacing w:val="-1"/>
                <w:highlight w:val="none"/>
              </w:rPr>
              <w:t>为某一标段的第一中标候选人，自动失去其在本</w:t>
            </w:r>
            <w:r>
              <w:rPr>
                <w:strike/>
                <w:dstrike w:val="0"/>
                <w:color w:val="auto"/>
                <w:spacing w:val="-3"/>
                <w:highlight w:val="none"/>
              </w:rPr>
              <w:t>次招标中其他标段的中标候选人资格。（2</w:t>
            </w:r>
            <w:r>
              <w:rPr>
                <w:strike/>
                <w:dstrike w:val="0"/>
                <w:color w:val="auto"/>
                <w:spacing w:val="-4"/>
                <w:highlight w:val="none"/>
              </w:rPr>
              <w:t>） 按标段最高投标限价由高到低顺序依次选定各标</w:t>
            </w:r>
            <w:r>
              <w:rPr>
                <w:strike/>
                <w:dstrike w:val="0"/>
                <w:color w:val="auto"/>
                <w:highlight w:val="none"/>
              </w:rPr>
              <w:t>段中标候选人，如果出现投标人在多个标段都排</w:t>
            </w:r>
            <w:r>
              <w:rPr>
                <w:strike/>
                <w:dstrike w:val="0"/>
                <w:color w:val="auto"/>
                <w:spacing w:val="-1"/>
                <w:highlight w:val="none"/>
              </w:rPr>
              <w:t>名第一，将确定该投标人为最高投标限价较</w:t>
            </w:r>
            <w:r>
              <w:rPr>
                <w:strike/>
                <w:dstrike w:val="0"/>
                <w:color w:val="auto"/>
                <w:highlight w:val="none"/>
              </w:rPr>
              <w:t>高的标段的第一中标候选人，同时该投标人自动失去在本</w:t>
            </w:r>
            <w:r>
              <w:rPr>
                <w:strike/>
                <w:dstrike w:val="0"/>
                <w:color w:val="auto"/>
                <w:spacing w:val="-1"/>
                <w:highlight w:val="none"/>
              </w:rPr>
              <w:t>次招标中其他标段的中标候选人资格，其他标段的综合排名名次高者自动上升为中标候</w:t>
            </w:r>
            <w:r>
              <w:rPr>
                <w:strike/>
                <w:dstrike w:val="0"/>
                <w:color w:val="auto"/>
                <w:spacing w:val="-2"/>
                <w:highlight w:val="none"/>
              </w:rPr>
              <w:t>选人，以此类推。</w:t>
            </w:r>
          </w:p>
        </w:tc>
      </w:tr>
      <w:tr w14:paraId="55B2A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9" w:type="dxa"/>
            <w:gridSpan w:val="2"/>
            <w:vAlign w:val="center"/>
          </w:tcPr>
          <w:p w14:paraId="34C182E5">
            <w:pPr>
              <w:pStyle w:val="17"/>
              <w:spacing w:before="131" w:line="351" w:lineRule="auto"/>
              <w:ind w:left="110" w:right="180" w:firstLine="5"/>
              <w:jc w:val="center"/>
              <w:rPr>
                <w:color w:val="auto"/>
                <w:spacing w:val="-5"/>
                <w:position w:val="1"/>
                <w:highlight w:val="none"/>
              </w:rPr>
            </w:pPr>
            <w:r>
              <w:rPr>
                <w:rFonts w:hint="eastAsia"/>
                <w:color w:val="auto"/>
                <w:highlight w:val="none"/>
                <w:lang w:val="en-US" w:eastAsia="zh-CN"/>
              </w:rPr>
              <w:t>1.1</w:t>
            </w:r>
          </w:p>
        </w:tc>
        <w:tc>
          <w:tcPr>
            <w:tcW w:w="8366" w:type="dxa"/>
            <w:gridSpan w:val="5"/>
            <w:vAlign w:val="top"/>
          </w:tcPr>
          <w:p w14:paraId="20C9B6CD">
            <w:pPr>
              <w:pStyle w:val="17"/>
              <w:spacing w:before="131" w:line="351" w:lineRule="auto"/>
              <w:ind w:left="110" w:right="180" w:firstLine="5"/>
              <w:rPr>
                <w:rFonts w:hint="eastAsia"/>
                <w:color w:val="auto"/>
                <w:highlight w:val="none"/>
                <w:lang w:val="en-US" w:eastAsia="zh-CN"/>
              </w:rPr>
            </w:pPr>
            <w:r>
              <w:rPr>
                <w:rFonts w:hint="eastAsia"/>
                <w:color w:val="auto"/>
                <w:highlight w:val="none"/>
                <w:lang w:val="en-US" w:eastAsia="zh-CN"/>
              </w:rPr>
              <w:t>将评标办法原文第1.1 条原文内容修改如下：</w:t>
            </w:r>
          </w:p>
          <w:p w14:paraId="4F4EEFD8">
            <w:pPr>
              <w:pStyle w:val="17"/>
              <w:spacing w:before="131" w:line="351" w:lineRule="auto"/>
              <w:ind w:left="110" w:right="180" w:firstLine="5"/>
              <w:rPr>
                <w:color w:val="auto"/>
                <w:highlight w:val="none"/>
              </w:rPr>
            </w:pPr>
            <w:r>
              <w:rPr>
                <w:rFonts w:hint="eastAsia"/>
                <w:color w:val="auto"/>
                <w:highlight w:val="none"/>
                <w:lang w:val="en-US" w:eastAsia="zh-CN"/>
              </w:rPr>
              <w:t>本次评标采用双信封的技术评分最低标价法。评标委员会对满足招标文件实质性要求的投标文件，按照本章第 2.2 款规定对通过初步评审的投标人的施工组织设计</w:t>
            </w:r>
            <w:r>
              <w:rPr>
                <w:rFonts w:hint="eastAsia"/>
                <w:strike/>
                <w:dstrike w:val="0"/>
                <w:color w:val="auto"/>
                <w:highlight w:val="none"/>
                <w:lang w:val="en-US" w:eastAsia="zh-CN"/>
              </w:rPr>
              <w:t>及承包人项目管理方案</w:t>
            </w:r>
            <w:r>
              <w:rPr>
                <w:rFonts w:hint="eastAsia"/>
                <w:color w:val="auto"/>
                <w:highlight w:val="none"/>
                <w:lang w:val="en-US" w:eastAsia="zh-CN"/>
              </w:rPr>
              <w:t>、主要人员、其他因素等进行评分， 按照得分由高到低排序，对排名在招标文件规定数量前 5 名（不少于 3 名但不足 5 名时，按全部实际数量）的投标人的报价文件进行评审，按照评标价由低到高的顺序推荐中标候选人的评标方法，但投标报价低于其成本的除外。评标价相等时， 评标委员会应按照评标办法前附表规定的优先次序推荐中标候选人或确定中标人</w:t>
            </w:r>
          </w:p>
        </w:tc>
      </w:tr>
      <w:tr w14:paraId="26039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9" w:type="dxa"/>
            <w:gridSpan w:val="2"/>
            <w:vAlign w:val="center"/>
          </w:tcPr>
          <w:p w14:paraId="1B3C7CBC">
            <w:pPr>
              <w:pStyle w:val="17"/>
              <w:spacing w:before="131" w:line="351" w:lineRule="auto"/>
              <w:ind w:left="110" w:right="180" w:firstLine="5"/>
              <w:jc w:val="center"/>
              <w:rPr>
                <w:rFonts w:hint="default"/>
                <w:color w:val="auto"/>
                <w:highlight w:val="none"/>
                <w:lang w:val="en-US" w:eastAsia="zh-CN"/>
              </w:rPr>
            </w:pPr>
            <w:r>
              <w:rPr>
                <w:rFonts w:hint="eastAsia"/>
                <w:color w:val="auto"/>
                <w:highlight w:val="none"/>
                <w:lang w:val="en-US" w:eastAsia="zh-CN"/>
              </w:rPr>
              <w:t>1.2.1</w:t>
            </w:r>
          </w:p>
        </w:tc>
        <w:tc>
          <w:tcPr>
            <w:tcW w:w="8366" w:type="dxa"/>
            <w:gridSpan w:val="5"/>
            <w:vAlign w:val="center"/>
          </w:tcPr>
          <w:p w14:paraId="1CB7FEBC">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删除</w:t>
            </w:r>
            <w:r>
              <w:rPr>
                <w:rFonts w:hint="eastAsia" w:asciiTheme="minorEastAsia" w:hAnsiTheme="minorEastAsia" w:eastAsiaTheme="minorEastAsia" w:cstheme="minorEastAsia"/>
                <w:color w:val="auto"/>
                <w:kern w:val="2"/>
                <w:sz w:val="21"/>
                <w:szCs w:val="21"/>
                <w:highlight w:val="none"/>
                <w:lang w:val="en-US" w:eastAsia="zh-CN" w:bidi="zh-CN"/>
              </w:rPr>
              <w:t>范本原文</w:t>
            </w:r>
            <w:r>
              <w:rPr>
                <w:rFonts w:hint="eastAsia"/>
                <w:color w:val="auto"/>
                <w:highlight w:val="none"/>
                <w:lang w:val="en-US" w:eastAsia="zh-CN"/>
              </w:rPr>
              <w:t>1.2.1条款项中的（2）点。</w:t>
            </w:r>
          </w:p>
        </w:tc>
      </w:tr>
      <w:tr w14:paraId="1418A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13879693">
            <w:pPr>
              <w:pStyle w:val="17"/>
              <w:spacing w:before="131" w:line="351" w:lineRule="auto"/>
              <w:ind w:left="110" w:right="180" w:firstLine="5"/>
              <w:jc w:val="left"/>
              <w:rPr>
                <w:rFonts w:hint="default"/>
                <w:color w:val="auto"/>
                <w:highlight w:val="none"/>
                <w:lang w:val="en-US" w:eastAsia="zh-CN"/>
              </w:rPr>
            </w:pPr>
            <w:r>
              <w:rPr>
                <w:rFonts w:hint="eastAsia"/>
                <w:color w:val="auto"/>
                <w:highlight w:val="none"/>
                <w:lang w:val="en-US" w:eastAsia="zh-CN"/>
              </w:rPr>
              <w:t>1.3</w:t>
            </w:r>
          </w:p>
        </w:tc>
        <w:tc>
          <w:tcPr>
            <w:tcW w:w="8366" w:type="dxa"/>
            <w:gridSpan w:val="5"/>
            <w:vAlign w:val="top"/>
          </w:tcPr>
          <w:p w14:paraId="7A8A6D63">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将</w:t>
            </w:r>
            <w:r>
              <w:rPr>
                <w:rFonts w:hint="eastAsia" w:asciiTheme="minorEastAsia" w:hAnsiTheme="minorEastAsia" w:eastAsiaTheme="minorEastAsia" w:cstheme="minorEastAsia"/>
                <w:color w:val="auto"/>
                <w:kern w:val="2"/>
                <w:sz w:val="21"/>
                <w:szCs w:val="21"/>
                <w:highlight w:val="none"/>
                <w:lang w:val="en-US" w:eastAsia="zh-CN" w:bidi="zh-CN"/>
              </w:rPr>
              <w:t>评标工作程序范本原文</w:t>
            </w:r>
            <w:r>
              <w:rPr>
                <w:rFonts w:hint="eastAsia"/>
                <w:color w:val="auto"/>
                <w:highlight w:val="none"/>
                <w:lang w:val="en-US" w:eastAsia="zh-CN"/>
              </w:rPr>
              <w:t>1.3 评审工作程序内容修改如下：</w:t>
            </w:r>
          </w:p>
          <w:p w14:paraId="41365CD7">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1.3 评审工作程序</w:t>
            </w:r>
          </w:p>
          <w:p w14:paraId="0F2701FA">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评标委员会将按以下程序开展评标工作</w:t>
            </w:r>
          </w:p>
          <w:p w14:paraId="1B373440">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1.3.1第一个信封（商务及技术文件）：</w:t>
            </w:r>
          </w:p>
          <w:p w14:paraId="0309C891">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(l)、初步评审：包括形式评审与响应性评审、资格评审（适用于未进行资格预审）；</w:t>
            </w:r>
          </w:p>
          <w:p w14:paraId="2B334A89">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(2)、详细评审（评审打分）：评标委员会首先对通过第一个信封初步评审的投标文件进行详细评审，对投标人的施工组织设计</w:t>
            </w:r>
            <w:r>
              <w:rPr>
                <w:rFonts w:hint="eastAsia"/>
                <w:strike/>
                <w:color w:val="auto"/>
                <w:highlight w:val="none"/>
                <w:lang w:eastAsia="zh-CN"/>
              </w:rPr>
              <w:t>及承包人项目管理方案</w:t>
            </w:r>
            <w:r>
              <w:rPr>
                <w:rFonts w:hint="eastAsia"/>
                <w:color w:val="auto"/>
                <w:highlight w:val="none"/>
                <w:lang w:eastAsia="zh-CN"/>
              </w:rPr>
              <w:t>、主要人员、其他因素等分别评审打分，并按照综合得分由高到低排序，排名在招标文件规定数量前 5 名（不少于 3 名但不足 5 名的，按全部实际数量）的投标人，其投标文件第一个信封（商务及技术文件）通过详细评审。</w:t>
            </w:r>
          </w:p>
          <w:p w14:paraId="08F5D170">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1.3.2第二个信封（报价文件）：</w:t>
            </w:r>
          </w:p>
          <w:p w14:paraId="6DF0A988">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(1)、初步评审：</w:t>
            </w:r>
          </w:p>
          <w:p w14:paraId="13052CE7">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①只有对投标文件第一个信封通过详细评审的投标人的报价文件才能继续参加第二个信封报价文件的形式评审与响应性评审;</w:t>
            </w:r>
          </w:p>
          <w:p w14:paraId="5FF9578A">
            <w:pPr>
              <w:pStyle w:val="17"/>
              <w:spacing w:before="131" w:line="351" w:lineRule="auto"/>
              <w:ind w:left="110" w:right="180" w:firstLine="5"/>
              <w:jc w:val="left"/>
              <w:rPr>
                <w:rFonts w:hint="eastAsia"/>
                <w:strike/>
                <w:color w:val="auto"/>
                <w:highlight w:val="none"/>
                <w:lang w:eastAsia="zh-CN"/>
              </w:rPr>
            </w:pPr>
            <w:r>
              <w:rPr>
                <w:rFonts w:hint="eastAsia"/>
                <w:strike/>
                <w:color w:val="auto"/>
                <w:highlight w:val="none"/>
                <w:lang w:eastAsia="zh-CN"/>
              </w:rPr>
              <w:t>②报价算术性修正（如采用固化工程量清单，本步骤省略）。</w:t>
            </w:r>
          </w:p>
          <w:p w14:paraId="203BEC92">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（2）、详细评审：计算评标价。</w:t>
            </w:r>
          </w:p>
          <w:p w14:paraId="576CAED5">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1.3.3投标文件相关信息的核查。</w:t>
            </w:r>
          </w:p>
          <w:p w14:paraId="68E47486">
            <w:pPr>
              <w:pStyle w:val="17"/>
              <w:spacing w:before="131" w:line="351" w:lineRule="auto"/>
              <w:ind w:left="110" w:right="180" w:firstLine="5"/>
              <w:jc w:val="left"/>
              <w:rPr>
                <w:rFonts w:hint="eastAsia"/>
                <w:color w:val="auto"/>
                <w:highlight w:val="none"/>
                <w:lang w:eastAsia="zh-CN"/>
              </w:rPr>
            </w:pPr>
            <w:r>
              <w:rPr>
                <w:rFonts w:hint="eastAsia"/>
                <w:color w:val="auto"/>
                <w:highlight w:val="none"/>
                <w:lang w:eastAsia="zh-CN"/>
              </w:rPr>
              <w:t>1.3.4投标文件的澄清和说明(如有)。</w:t>
            </w:r>
          </w:p>
          <w:p w14:paraId="6A66FAC6">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eastAsia="zh-CN"/>
              </w:rPr>
              <w:t>1.3.5按评标办法规定按照第二个信封的评标价由低到高的顺序推荐中标候选人，编写评标报告。</w:t>
            </w:r>
          </w:p>
        </w:tc>
      </w:tr>
      <w:tr w14:paraId="3ADDB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0547635C">
            <w:pPr>
              <w:pStyle w:val="17"/>
              <w:spacing w:before="131" w:line="351" w:lineRule="auto"/>
              <w:ind w:left="110" w:right="180" w:firstLine="5"/>
              <w:jc w:val="left"/>
              <w:rPr>
                <w:rFonts w:hint="default"/>
                <w:color w:val="auto"/>
                <w:highlight w:val="none"/>
                <w:lang w:val="en-US" w:eastAsia="zh-CN"/>
              </w:rPr>
            </w:pPr>
            <w:r>
              <w:rPr>
                <w:rFonts w:hint="eastAsia"/>
                <w:color w:val="auto"/>
                <w:highlight w:val="none"/>
                <w:lang w:val="en-US" w:eastAsia="zh-CN"/>
              </w:rPr>
              <w:t>2.1.2</w:t>
            </w:r>
          </w:p>
        </w:tc>
        <w:tc>
          <w:tcPr>
            <w:tcW w:w="8366" w:type="dxa"/>
            <w:gridSpan w:val="5"/>
            <w:vAlign w:val="top"/>
          </w:tcPr>
          <w:p w14:paraId="4E35F850">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删除范本原文2.1.2资格评审标准：见资格预审文件第三章“资格审查办法”详细审查标准（适用于已进行资格预审的）。</w:t>
            </w:r>
          </w:p>
        </w:tc>
      </w:tr>
      <w:tr w14:paraId="3377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5336C898">
            <w:pPr>
              <w:pStyle w:val="17"/>
              <w:spacing w:before="131" w:line="351" w:lineRule="auto"/>
              <w:ind w:left="110" w:right="180" w:firstLine="5"/>
              <w:jc w:val="center"/>
              <w:rPr>
                <w:rFonts w:hint="default"/>
                <w:color w:val="auto"/>
                <w:highlight w:val="none"/>
                <w:lang w:val="en-US" w:eastAsia="zh-CN"/>
              </w:rPr>
            </w:pPr>
            <w:r>
              <w:rPr>
                <w:rFonts w:hint="eastAsia"/>
                <w:color w:val="auto"/>
                <w:highlight w:val="none"/>
                <w:lang w:val="en-US" w:eastAsia="zh-CN"/>
              </w:rPr>
              <w:t>2.2</w:t>
            </w:r>
          </w:p>
        </w:tc>
        <w:tc>
          <w:tcPr>
            <w:tcW w:w="8366" w:type="dxa"/>
            <w:gridSpan w:val="5"/>
            <w:vAlign w:val="top"/>
          </w:tcPr>
          <w:p w14:paraId="016A332F">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将</w:t>
            </w:r>
            <w:r>
              <w:rPr>
                <w:rFonts w:hint="eastAsia" w:asciiTheme="minorEastAsia" w:hAnsiTheme="minorEastAsia" w:eastAsiaTheme="minorEastAsia" w:cstheme="minorEastAsia"/>
                <w:color w:val="auto"/>
                <w:kern w:val="2"/>
                <w:sz w:val="21"/>
                <w:szCs w:val="21"/>
                <w:highlight w:val="none"/>
                <w:lang w:val="en-US" w:eastAsia="zh-CN" w:bidi="zh-CN"/>
              </w:rPr>
              <w:t>评标工作程序范本原文</w:t>
            </w:r>
            <w:r>
              <w:rPr>
                <w:rFonts w:hint="eastAsia"/>
                <w:color w:val="auto"/>
                <w:highlight w:val="none"/>
                <w:lang w:val="en-US" w:eastAsia="zh-CN"/>
              </w:rPr>
              <w:t>2.2内容修改如下：</w:t>
            </w:r>
          </w:p>
          <w:p w14:paraId="1A9B9C1A">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2.2 分值构成与评分标准</w:t>
            </w:r>
          </w:p>
          <w:p w14:paraId="74A3DA2B">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2.2.1  第一个信封评分分值构成</w:t>
            </w:r>
          </w:p>
          <w:p w14:paraId="06BA7AA0">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（1）施工组织设计</w:t>
            </w:r>
            <w:r>
              <w:rPr>
                <w:rFonts w:hint="eastAsia"/>
                <w:strike/>
                <w:dstrike w:val="0"/>
                <w:color w:val="auto"/>
                <w:highlight w:val="none"/>
                <w:lang w:val="en-US" w:eastAsia="zh-CN"/>
              </w:rPr>
              <w:t>及承包人项目管理方案</w:t>
            </w:r>
            <w:r>
              <w:rPr>
                <w:rFonts w:hint="eastAsia"/>
                <w:color w:val="auto"/>
                <w:highlight w:val="none"/>
                <w:lang w:val="en-US" w:eastAsia="zh-CN"/>
              </w:rPr>
              <w:t>：见评标办法前附表；</w:t>
            </w:r>
          </w:p>
          <w:p w14:paraId="3582B8F6">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（2）主要人员：见评标办法前附表；</w:t>
            </w:r>
          </w:p>
          <w:p w14:paraId="05982076">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（3）其他评分因素：见评标办法前附表。</w:t>
            </w:r>
          </w:p>
          <w:p w14:paraId="2F8AC9C0">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2.2.2  第一个信封评分评分标准</w:t>
            </w:r>
          </w:p>
          <w:p w14:paraId="42FDDF67">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（1）施工组织设计</w:t>
            </w:r>
            <w:r>
              <w:rPr>
                <w:rFonts w:hint="eastAsia"/>
                <w:strike/>
                <w:dstrike w:val="0"/>
                <w:color w:val="auto"/>
                <w:highlight w:val="none"/>
                <w:lang w:val="en-US" w:eastAsia="zh-CN"/>
              </w:rPr>
              <w:t>及承包人项目管理方案</w:t>
            </w:r>
            <w:r>
              <w:rPr>
                <w:rFonts w:hint="eastAsia"/>
                <w:color w:val="auto"/>
                <w:highlight w:val="none"/>
                <w:lang w:val="en-US" w:eastAsia="zh-CN"/>
              </w:rPr>
              <w:t>评分标准：见评标办法前附表；</w:t>
            </w:r>
          </w:p>
          <w:p w14:paraId="5F5801CC">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（2）主要人员评分标准：见评标办法前附表；</w:t>
            </w:r>
          </w:p>
          <w:p w14:paraId="65103725">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（3）其他因素评分标准：见评标办法前附表。</w:t>
            </w:r>
          </w:p>
          <w:p w14:paraId="2AAB2DEF">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2.2.3  第二个信封详细评审标准：见评标办法前附表。</w:t>
            </w:r>
          </w:p>
        </w:tc>
      </w:tr>
      <w:tr w14:paraId="70C65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55F94F2F">
            <w:pPr>
              <w:pStyle w:val="17"/>
              <w:spacing w:before="131" w:line="351" w:lineRule="auto"/>
              <w:ind w:left="110" w:right="180" w:firstLine="5"/>
              <w:jc w:val="center"/>
              <w:rPr>
                <w:rFonts w:hint="default"/>
                <w:color w:val="auto"/>
                <w:highlight w:val="none"/>
                <w:lang w:val="en-US" w:eastAsia="zh-CN"/>
              </w:rPr>
            </w:pPr>
            <w:r>
              <w:rPr>
                <w:rFonts w:hint="eastAsia"/>
                <w:color w:val="auto"/>
                <w:highlight w:val="none"/>
                <w:lang w:val="en-US" w:eastAsia="zh-CN"/>
              </w:rPr>
              <w:t>3.1.1</w:t>
            </w:r>
          </w:p>
        </w:tc>
        <w:tc>
          <w:tcPr>
            <w:tcW w:w="8366" w:type="dxa"/>
            <w:gridSpan w:val="5"/>
            <w:vAlign w:val="top"/>
          </w:tcPr>
          <w:p w14:paraId="77D32729">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删除范本原文3.1.1评标委员会依据本章第 2.1.1项、第2.1.3项规定的评审标准对投标文件第一个信封（商务及技术文件）进行初步评审。有一项不符合评审标准的，评标委员会应否决其投标。当投标人资格预审申请文件的内容发生重大变化时， 评标委员会依据本章 2.1.2项规定的标准对其更新资料进行评审。（适用于已进行资格预审的）</w:t>
            </w:r>
          </w:p>
        </w:tc>
      </w:tr>
      <w:tr w14:paraId="0D0F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23920CD1">
            <w:pPr>
              <w:pStyle w:val="17"/>
              <w:spacing w:before="131" w:line="351" w:lineRule="auto"/>
              <w:ind w:left="110" w:right="180" w:firstLine="5"/>
              <w:jc w:val="center"/>
              <w:rPr>
                <w:rFonts w:hint="default"/>
                <w:color w:val="auto"/>
                <w:highlight w:val="none"/>
                <w:lang w:val="en-US" w:eastAsia="zh-CN"/>
              </w:rPr>
            </w:pPr>
            <w:r>
              <w:rPr>
                <w:rFonts w:hint="eastAsia"/>
                <w:color w:val="auto"/>
                <w:highlight w:val="none"/>
                <w:lang w:val="en-US" w:eastAsia="zh-CN"/>
              </w:rPr>
              <w:t>3.2.1</w:t>
            </w:r>
          </w:p>
        </w:tc>
        <w:tc>
          <w:tcPr>
            <w:tcW w:w="8366" w:type="dxa"/>
            <w:gridSpan w:val="5"/>
            <w:vAlign w:val="top"/>
          </w:tcPr>
          <w:p w14:paraId="298D4F1F">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将</w:t>
            </w:r>
            <w:r>
              <w:rPr>
                <w:rFonts w:hint="eastAsia" w:asciiTheme="minorEastAsia" w:hAnsiTheme="minorEastAsia" w:eastAsiaTheme="minorEastAsia" w:cstheme="minorEastAsia"/>
                <w:color w:val="auto"/>
                <w:kern w:val="2"/>
                <w:sz w:val="21"/>
                <w:szCs w:val="21"/>
                <w:highlight w:val="none"/>
                <w:lang w:val="en-US" w:eastAsia="zh-CN" w:bidi="zh-CN"/>
              </w:rPr>
              <w:t>范本原文</w:t>
            </w:r>
            <w:r>
              <w:rPr>
                <w:rFonts w:hint="eastAsia"/>
                <w:color w:val="auto"/>
                <w:highlight w:val="none"/>
                <w:lang w:val="en-US" w:eastAsia="zh-CN"/>
              </w:rPr>
              <w:t>3.2.1内容修改如下：</w:t>
            </w:r>
          </w:p>
          <w:p w14:paraId="5C164BD6">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3.2.1评标委员会按本章第 2.2  款规定的量化因素和分值进行打分，并计算出各投标人的商务和技术得分。</w:t>
            </w:r>
          </w:p>
          <w:p w14:paraId="25E1BD9E">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（1）按本章第 2.2.2  项（1）目规定的评审因素和分值对施工组织设计</w:t>
            </w:r>
            <w:r>
              <w:rPr>
                <w:rFonts w:hint="eastAsia"/>
                <w:strike/>
                <w:dstrike w:val="0"/>
                <w:color w:val="auto"/>
                <w:highlight w:val="none"/>
                <w:lang w:val="en-US" w:eastAsia="zh-CN"/>
              </w:rPr>
              <w:t>及承包人项目管理方案</w:t>
            </w:r>
            <w:r>
              <w:rPr>
                <w:rFonts w:hint="eastAsia"/>
                <w:color w:val="auto"/>
                <w:highlight w:val="none"/>
                <w:lang w:val="en-US" w:eastAsia="zh-CN"/>
              </w:rPr>
              <w:t>部分计算出得分 A；</w:t>
            </w:r>
          </w:p>
          <w:p w14:paraId="2B9EE017">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（2）按本章第 2.2.2  项（2）目规定的评审因素和分值对主要人员部分计算出得分 B；</w:t>
            </w:r>
          </w:p>
          <w:p w14:paraId="738AD965">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（3）按本章第 2.2.2  项（3）目规定的评审因素和分值对其他部分计算出得分 C。</w:t>
            </w:r>
          </w:p>
          <w:p w14:paraId="7530A349">
            <w:pPr>
              <w:pStyle w:val="17"/>
              <w:spacing w:before="131" w:line="351" w:lineRule="auto"/>
              <w:ind w:left="110" w:right="180" w:firstLine="5"/>
              <w:jc w:val="left"/>
              <w:rPr>
                <w:rFonts w:hint="eastAsia"/>
                <w:color w:val="auto"/>
                <w:highlight w:val="none"/>
                <w:lang w:val="en-US" w:eastAsia="zh-CN"/>
              </w:rPr>
            </w:pPr>
            <w:r>
              <w:rPr>
                <w:rFonts w:hint="eastAsia"/>
                <w:color w:val="auto"/>
                <w:highlight w:val="none"/>
                <w:lang w:val="en-US" w:eastAsia="zh-CN"/>
              </w:rPr>
              <w:t>3.2.2  投标人的商务和技术得分分值计算保留小数点后四位，小数点后第五位“四舍五入”。</w:t>
            </w:r>
          </w:p>
        </w:tc>
      </w:tr>
      <w:tr w14:paraId="4AD91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002B3904">
            <w:pPr>
              <w:pStyle w:val="17"/>
              <w:spacing w:before="131" w:line="351" w:lineRule="auto"/>
              <w:ind w:left="110" w:right="180" w:firstLine="5"/>
              <w:jc w:val="center"/>
              <w:rPr>
                <w:rFonts w:hint="eastAsia"/>
                <w:color w:val="auto"/>
                <w:highlight w:val="none"/>
                <w:lang w:val="en-US" w:eastAsia="zh-CN"/>
              </w:rPr>
            </w:pPr>
            <w:r>
              <w:rPr>
                <w:rFonts w:hint="eastAsia"/>
                <w:color w:val="auto"/>
                <w:highlight w:val="none"/>
                <w:lang w:val="en-US" w:eastAsia="zh-CN"/>
              </w:rPr>
              <w:t>3.4.2</w:t>
            </w:r>
          </w:p>
        </w:tc>
        <w:tc>
          <w:tcPr>
            <w:tcW w:w="8366" w:type="dxa"/>
            <w:gridSpan w:val="5"/>
            <w:vAlign w:val="top"/>
          </w:tcPr>
          <w:p w14:paraId="16D8347B">
            <w:pPr>
              <w:pStyle w:val="17"/>
              <w:spacing w:before="131" w:line="351" w:lineRule="auto"/>
              <w:ind w:left="110" w:right="180" w:firstLine="5"/>
              <w:jc w:val="left"/>
              <w:rPr>
                <w:rFonts w:hint="default"/>
                <w:color w:val="auto"/>
                <w:highlight w:val="none"/>
                <w:lang w:val="en-US" w:eastAsia="zh-CN"/>
              </w:rPr>
            </w:pPr>
            <w:r>
              <w:rPr>
                <w:rFonts w:hint="eastAsia"/>
                <w:color w:val="auto"/>
                <w:highlight w:val="none"/>
                <w:lang w:val="en-US" w:eastAsia="zh-CN"/>
              </w:rPr>
              <w:t>删除范本原文3.4.2、3.4.3条款。</w:t>
            </w:r>
          </w:p>
        </w:tc>
      </w:tr>
      <w:tr w14:paraId="2315D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89" w:type="dxa"/>
            <w:gridSpan w:val="2"/>
            <w:vAlign w:val="center"/>
          </w:tcPr>
          <w:p w14:paraId="3992400D">
            <w:pPr>
              <w:pStyle w:val="17"/>
              <w:spacing w:before="131" w:line="351" w:lineRule="auto"/>
              <w:ind w:left="110" w:right="180" w:firstLine="5"/>
              <w:jc w:val="center"/>
              <w:rPr>
                <w:rFonts w:hint="eastAsia"/>
                <w:color w:val="auto"/>
                <w:highlight w:val="none"/>
                <w:lang w:val="en-US" w:eastAsia="zh-CN"/>
              </w:rPr>
            </w:pPr>
            <w:r>
              <w:rPr>
                <w:rFonts w:hint="eastAsia"/>
                <w:color w:val="auto"/>
                <w:highlight w:val="none"/>
                <w:lang w:val="en-US" w:eastAsia="zh-CN"/>
              </w:rPr>
              <w:t>3.6.2</w:t>
            </w:r>
          </w:p>
        </w:tc>
        <w:tc>
          <w:tcPr>
            <w:tcW w:w="8366" w:type="dxa"/>
            <w:gridSpan w:val="5"/>
            <w:vAlign w:val="top"/>
          </w:tcPr>
          <w:p w14:paraId="5940313B">
            <w:pPr>
              <w:pStyle w:val="17"/>
              <w:spacing w:before="131" w:line="351" w:lineRule="auto"/>
              <w:ind w:left="110" w:right="180" w:firstLine="5"/>
              <w:jc w:val="left"/>
              <w:rPr>
                <w:rFonts w:hint="eastAsia" w:eastAsia="宋体"/>
                <w:color w:val="auto"/>
                <w:highlight w:val="none"/>
                <w:lang w:val="en-US" w:eastAsia="zh-CN"/>
              </w:rPr>
            </w:pPr>
            <w:r>
              <w:rPr>
                <w:rFonts w:hint="eastAsia"/>
                <w:color w:val="auto"/>
                <w:highlight w:val="none"/>
                <w:lang w:val="en-US" w:eastAsia="zh-CN"/>
              </w:rPr>
              <w:t>删除范本原文第3.6.2中（2）的f条款。</w:t>
            </w:r>
          </w:p>
        </w:tc>
      </w:tr>
    </w:tbl>
    <w:p w14:paraId="0D0B6702">
      <w:pPr>
        <w:spacing w:before="170" w:line="228" w:lineRule="auto"/>
        <w:ind w:left="1441"/>
        <w:rPr>
          <w:rFonts w:ascii="黑体" w:hAnsi="黑体" w:eastAsia="黑体" w:cs="黑体"/>
          <w:color w:val="auto"/>
          <w:spacing w:val="7"/>
          <w:sz w:val="27"/>
          <w:szCs w:val="27"/>
          <w:highlight w:val="none"/>
        </w:rPr>
      </w:pPr>
    </w:p>
    <w:p w14:paraId="4CF74975">
      <w:pPr>
        <w:spacing w:before="170" w:line="228" w:lineRule="auto"/>
        <w:ind w:left="1441"/>
        <w:rPr>
          <w:rFonts w:ascii="黑体" w:hAnsi="黑体" w:eastAsia="黑体" w:cs="黑体"/>
          <w:color w:val="auto"/>
          <w:spacing w:val="7"/>
          <w:sz w:val="27"/>
          <w:szCs w:val="27"/>
          <w:highlight w:val="none"/>
        </w:rPr>
      </w:pPr>
    </w:p>
    <w:p w14:paraId="00B53AFD">
      <w:pPr>
        <w:spacing w:before="170" w:line="228" w:lineRule="auto"/>
        <w:ind w:left="1441"/>
        <w:rPr>
          <w:rFonts w:ascii="黑体" w:hAnsi="黑体" w:eastAsia="黑体" w:cs="黑体"/>
          <w:color w:val="auto"/>
          <w:spacing w:val="7"/>
          <w:sz w:val="27"/>
          <w:szCs w:val="27"/>
          <w:highlight w:val="none"/>
        </w:rPr>
      </w:pPr>
    </w:p>
    <w:p w14:paraId="20DD0C57">
      <w:pPr>
        <w:rPr>
          <w:rFonts w:ascii="黑体" w:hAnsi="黑体" w:eastAsia="黑体" w:cs="黑体"/>
          <w:color w:val="auto"/>
          <w:spacing w:val="7"/>
          <w:sz w:val="27"/>
          <w:szCs w:val="27"/>
          <w:highlight w:val="none"/>
        </w:rPr>
      </w:pPr>
      <w:r>
        <w:rPr>
          <w:rFonts w:ascii="黑体" w:hAnsi="黑体" w:eastAsia="黑体" w:cs="黑体"/>
          <w:color w:val="auto"/>
          <w:spacing w:val="7"/>
          <w:sz w:val="27"/>
          <w:szCs w:val="27"/>
          <w:highlight w:val="none"/>
        </w:rPr>
        <w:br w:type="page"/>
      </w:r>
    </w:p>
    <w:p w14:paraId="0914A539">
      <w:pPr>
        <w:spacing w:before="170" w:line="228" w:lineRule="auto"/>
        <w:ind w:left="1441"/>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1. 评标方法、组织及工作程序</w:t>
      </w:r>
    </w:p>
    <w:p w14:paraId="089463ED">
      <w:pPr>
        <w:spacing w:before="233" w:line="220" w:lineRule="auto"/>
        <w:ind w:left="144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1.1</w:t>
      </w:r>
      <w:r>
        <w:rPr>
          <w:rFonts w:ascii="宋体" w:hAnsi="宋体" w:eastAsia="宋体" w:cs="宋体"/>
          <w:color w:val="auto"/>
          <w:spacing w:val="-52"/>
          <w:sz w:val="24"/>
          <w:szCs w:val="24"/>
          <w:highlight w:val="none"/>
        </w:rPr>
        <w:t xml:space="preserve"> </w:t>
      </w:r>
      <w:r>
        <w:rPr>
          <w:rFonts w:ascii="宋体" w:hAnsi="宋体" w:eastAsia="宋体" w:cs="宋体"/>
          <w:color w:val="auto"/>
          <w:spacing w:val="-5"/>
          <w:sz w:val="24"/>
          <w:szCs w:val="24"/>
          <w:highlight w:val="none"/>
        </w:rPr>
        <w:t>评标方法</w:t>
      </w:r>
    </w:p>
    <w:p w14:paraId="0D5AA0F6">
      <w:pPr>
        <w:spacing w:before="181" w:line="360" w:lineRule="auto"/>
        <w:ind w:left="1423" w:right="1416" w:firstLine="482"/>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本次评标采用双信封的技术评分最低标价法。评标委员会对满足招标文件实质性要求的投标文件，按照本章第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2.2</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款规定对通过初步评审的投标人的施工组织设计</w:t>
      </w:r>
      <w:r>
        <w:rPr>
          <w:rFonts w:ascii="宋体" w:hAnsi="宋体" w:eastAsia="宋体" w:cs="宋体"/>
          <w:strike/>
          <w:dstrike w:val="0"/>
          <w:color w:val="auto"/>
          <w:spacing w:val="-2"/>
          <w:sz w:val="24"/>
          <w:szCs w:val="24"/>
          <w:highlight w:val="none"/>
          <w:u w:val="single" w:color="auto"/>
        </w:rPr>
        <w:t>及承包</w:t>
      </w:r>
      <w:r>
        <w:rPr>
          <w:rFonts w:ascii="宋体" w:hAnsi="宋体" w:eastAsia="宋体" w:cs="宋体"/>
          <w:strike/>
          <w:dstrike w:val="0"/>
          <w:color w:val="auto"/>
          <w:spacing w:val="-6"/>
          <w:sz w:val="24"/>
          <w:szCs w:val="24"/>
          <w:highlight w:val="none"/>
          <w:u w:val="single" w:color="auto"/>
        </w:rPr>
        <w:t>人项目管理方案</w:t>
      </w:r>
      <w:r>
        <w:rPr>
          <w:rFonts w:ascii="宋体" w:hAnsi="宋体" w:eastAsia="宋体" w:cs="宋体"/>
          <w:color w:val="auto"/>
          <w:spacing w:val="-6"/>
          <w:sz w:val="24"/>
          <w:szCs w:val="24"/>
          <w:highlight w:val="none"/>
        </w:rPr>
        <w:t>、主要人员、其他因素等进行评分，</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按照得分由高到低排序，对排</w:t>
      </w:r>
      <w:r>
        <w:rPr>
          <w:rFonts w:ascii="宋体" w:hAnsi="宋体" w:eastAsia="宋体" w:cs="宋体"/>
          <w:color w:val="auto"/>
          <w:spacing w:val="-7"/>
          <w:sz w:val="24"/>
          <w:szCs w:val="24"/>
          <w:highlight w:val="none"/>
        </w:rPr>
        <w:t>名在</w:t>
      </w:r>
      <w:r>
        <w:rPr>
          <w:rFonts w:ascii="宋体" w:hAnsi="宋体" w:eastAsia="宋体" w:cs="宋体"/>
          <w:color w:val="auto"/>
          <w:spacing w:val="-2"/>
          <w:sz w:val="24"/>
          <w:szCs w:val="24"/>
          <w:highlight w:val="none"/>
        </w:rPr>
        <w:t>招标文件规定数量</w:t>
      </w:r>
      <w:r>
        <w:rPr>
          <w:rFonts w:ascii="宋体" w:hAnsi="宋体" w:eastAsia="宋体" w:cs="宋体"/>
          <w:color w:val="auto"/>
          <w:spacing w:val="-2"/>
          <w:sz w:val="24"/>
          <w:szCs w:val="24"/>
          <w:highlight w:val="none"/>
          <w:u w:val="single" w:color="auto"/>
        </w:rPr>
        <w:t>前 5 名（不少于</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2"/>
          <w:sz w:val="24"/>
          <w:szCs w:val="24"/>
          <w:highlight w:val="none"/>
          <w:u w:val="single" w:color="auto"/>
        </w:rPr>
        <w:t>3</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2"/>
          <w:sz w:val="24"/>
          <w:szCs w:val="24"/>
          <w:highlight w:val="none"/>
          <w:u w:val="single" w:color="auto"/>
        </w:rPr>
        <w:t>名但不足</w:t>
      </w:r>
      <w:r>
        <w:rPr>
          <w:rFonts w:ascii="宋体" w:hAnsi="宋体" w:eastAsia="宋体" w:cs="宋体"/>
          <w:color w:val="auto"/>
          <w:spacing w:val="-46"/>
          <w:sz w:val="24"/>
          <w:szCs w:val="24"/>
          <w:highlight w:val="none"/>
          <w:u w:val="single" w:color="auto"/>
        </w:rPr>
        <w:t xml:space="preserve"> </w:t>
      </w:r>
      <w:r>
        <w:rPr>
          <w:rFonts w:ascii="宋体" w:hAnsi="宋体" w:eastAsia="宋体" w:cs="宋体"/>
          <w:color w:val="auto"/>
          <w:spacing w:val="-2"/>
          <w:sz w:val="24"/>
          <w:szCs w:val="24"/>
          <w:highlight w:val="none"/>
          <w:u w:val="single" w:color="auto"/>
        </w:rPr>
        <w:t>5</w:t>
      </w:r>
      <w:r>
        <w:rPr>
          <w:rFonts w:ascii="宋体" w:hAnsi="宋体" w:eastAsia="宋体" w:cs="宋体"/>
          <w:color w:val="auto"/>
          <w:spacing w:val="-48"/>
          <w:sz w:val="24"/>
          <w:szCs w:val="24"/>
          <w:highlight w:val="none"/>
          <w:u w:val="single" w:color="auto"/>
        </w:rPr>
        <w:t xml:space="preserve"> </w:t>
      </w:r>
      <w:r>
        <w:rPr>
          <w:rFonts w:ascii="宋体" w:hAnsi="宋体" w:eastAsia="宋体" w:cs="宋体"/>
          <w:color w:val="auto"/>
          <w:spacing w:val="-2"/>
          <w:sz w:val="24"/>
          <w:szCs w:val="24"/>
          <w:highlight w:val="none"/>
          <w:u w:val="single" w:color="auto"/>
        </w:rPr>
        <w:t>名时，按全部实际数量）</w:t>
      </w:r>
      <w:r>
        <w:rPr>
          <w:rFonts w:ascii="宋体" w:hAnsi="宋体" w:eastAsia="宋体" w:cs="宋体"/>
          <w:color w:val="auto"/>
          <w:spacing w:val="-2"/>
          <w:sz w:val="24"/>
          <w:szCs w:val="24"/>
          <w:highlight w:val="none"/>
        </w:rPr>
        <w:t>的投标人的</w:t>
      </w:r>
      <w:r>
        <w:rPr>
          <w:rFonts w:ascii="宋体" w:hAnsi="宋体" w:eastAsia="宋体" w:cs="宋体"/>
          <w:color w:val="auto"/>
          <w:spacing w:val="-1"/>
          <w:sz w:val="24"/>
          <w:szCs w:val="24"/>
          <w:highlight w:val="none"/>
        </w:rPr>
        <w:t>报价文件进行评审，按照评标价由低到高的</w:t>
      </w:r>
      <w:r>
        <w:rPr>
          <w:rFonts w:ascii="宋体" w:hAnsi="宋体" w:eastAsia="宋体" w:cs="宋体"/>
          <w:color w:val="auto"/>
          <w:spacing w:val="-2"/>
          <w:sz w:val="24"/>
          <w:szCs w:val="24"/>
          <w:highlight w:val="none"/>
        </w:rPr>
        <w:t>顺序推荐中标候选人的评标方法，但投标报</w:t>
      </w:r>
      <w:r>
        <w:rPr>
          <w:rFonts w:ascii="宋体" w:hAnsi="宋体" w:eastAsia="宋体" w:cs="宋体"/>
          <w:color w:val="auto"/>
          <w:spacing w:val="-5"/>
          <w:sz w:val="24"/>
          <w:szCs w:val="24"/>
          <w:highlight w:val="none"/>
        </w:rPr>
        <w:t>价低于其成本的除外。评标价相等时， 评标委员会应按照评标办法前附表规定的优先次</w:t>
      </w:r>
      <w:r>
        <w:rPr>
          <w:rFonts w:ascii="宋体" w:hAnsi="宋体" w:eastAsia="宋体" w:cs="宋体"/>
          <w:color w:val="auto"/>
          <w:spacing w:val="-3"/>
          <w:sz w:val="24"/>
          <w:szCs w:val="24"/>
          <w:highlight w:val="none"/>
        </w:rPr>
        <w:t>序推荐中标候选人或确定中标人。</w:t>
      </w:r>
    </w:p>
    <w:p w14:paraId="24B01690">
      <w:pPr>
        <w:spacing w:line="220" w:lineRule="auto"/>
        <w:ind w:left="144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1.2</w:t>
      </w:r>
      <w:r>
        <w:rPr>
          <w:rFonts w:ascii="宋体" w:hAnsi="宋体" w:eastAsia="宋体" w:cs="宋体"/>
          <w:color w:val="auto"/>
          <w:spacing w:val="-52"/>
          <w:sz w:val="24"/>
          <w:szCs w:val="24"/>
          <w:highlight w:val="none"/>
        </w:rPr>
        <w:t xml:space="preserve"> </w:t>
      </w:r>
      <w:r>
        <w:rPr>
          <w:rFonts w:ascii="宋体" w:hAnsi="宋体" w:eastAsia="宋体" w:cs="宋体"/>
          <w:color w:val="auto"/>
          <w:spacing w:val="-5"/>
          <w:sz w:val="24"/>
          <w:szCs w:val="24"/>
          <w:highlight w:val="none"/>
        </w:rPr>
        <w:t>评标组织</w:t>
      </w:r>
    </w:p>
    <w:p w14:paraId="4F9708F6">
      <w:pPr>
        <w:spacing w:before="182" w:line="220" w:lineRule="auto"/>
        <w:ind w:left="144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协助工作组</w:t>
      </w:r>
    </w:p>
    <w:p w14:paraId="6D1B584A">
      <w:pPr>
        <w:spacing w:before="182" w:line="360" w:lineRule="auto"/>
        <w:ind w:left="1426" w:right="1331"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招标人可在评标工作开始前成立协助工作组，选派熟悉招标工作、政治素质高的人</w:t>
      </w:r>
      <w:r>
        <w:rPr>
          <w:rFonts w:ascii="宋体" w:hAnsi="宋体" w:eastAsia="宋体" w:cs="宋体"/>
          <w:color w:val="auto"/>
          <w:spacing w:val="-5"/>
          <w:sz w:val="24"/>
          <w:szCs w:val="24"/>
          <w:highlight w:val="none"/>
        </w:rPr>
        <w:t>员组成，协助评标委员会工作。协助工作组</w:t>
      </w:r>
      <w:r>
        <w:rPr>
          <w:rFonts w:ascii="宋体" w:hAnsi="宋体" w:eastAsia="宋体" w:cs="宋体"/>
          <w:color w:val="auto"/>
          <w:spacing w:val="-6"/>
          <w:sz w:val="24"/>
          <w:szCs w:val="24"/>
          <w:highlight w:val="none"/>
        </w:rPr>
        <w:t>人员的具体数量由招标人视评标工作量确定。</w:t>
      </w:r>
      <w:r>
        <w:rPr>
          <w:rFonts w:ascii="宋体" w:hAnsi="宋体" w:eastAsia="宋体" w:cs="宋体"/>
          <w:color w:val="auto"/>
          <w:spacing w:val="-3"/>
          <w:sz w:val="24"/>
          <w:szCs w:val="24"/>
          <w:highlight w:val="none"/>
        </w:rPr>
        <w:t>招标人可以协助评标委员会开展下列工作并提供相关信息：</w:t>
      </w:r>
    </w:p>
    <w:p w14:paraId="78AB4DE5">
      <w:pPr>
        <w:spacing w:line="219" w:lineRule="auto"/>
        <w:ind w:left="143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（1）根据招标文件，编制评标使用的相应表格；</w:t>
      </w:r>
    </w:p>
    <w:p w14:paraId="097AA013">
      <w:pPr>
        <w:spacing w:before="183" w:line="218"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（2）对投标报价进行算术性校核（如采用固化工程量清单，</w:t>
      </w:r>
      <w:r>
        <w:rPr>
          <w:rFonts w:ascii="宋体" w:hAnsi="宋体" w:eastAsia="宋体" w:cs="宋体"/>
          <w:strike/>
          <w:dstrike w:val="0"/>
          <w:color w:val="auto"/>
          <w:spacing w:val="-3"/>
          <w:sz w:val="24"/>
          <w:szCs w:val="24"/>
          <w:highlight w:val="none"/>
        </w:rPr>
        <w:t>本步骤省略</w:t>
      </w:r>
      <w:r>
        <w:rPr>
          <w:rFonts w:ascii="宋体" w:hAnsi="宋体" w:eastAsia="宋体" w:cs="宋体"/>
          <w:strike/>
          <w:dstrike w:val="0"/>
          <w:color w:val="auto"/>
          <w:spacing w:val="-1"/>
          <w:sz w:val="24"/>
          <w:szCs w:val="24"/>
          <w:highlight w:val="none"/>
        </w:rPr>
        <w:t>）；</w:t>
      </w:r>
    </w:p>
    <w:p w14:paraId="5B492003">
      <w:pPr>
        <w:spacing w:before="184" w:line="290" w:lineRule="auto"/>
        <w:ind w:left="1425" w:right="1509" w:firstLine="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（3）以评标标准和方法为依据，列出投标文件相对于招标文件的所有偏差，并进行归</w:t>
      </w:r>
      <w:r>
        <w:rPr>
          <w:rFonts w:ascii="宋体" w:hAnsi="宋体" w:eastAsia="宋体" w:cs="宋体"/>
          <w:color w:val="auto"/>
          <w:spacing w:val="-13"/>
          <w:sz w:val="24"/>
          <w:szCs w:val="24"/>
          <w:highlight w:val="none"/>
        </w:rPr>
        <w:t>类汇总；</w:t>
      </w:r>
    </w:p>
    <w:p w14:paraId="1B2C241D">
      <w:pPr>
        <w:spacing w:before="182" w:line="313" w:lineRule="auto"/>
        <w:ind w:left="1434" w:right="1488" w:hanging="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（4）查询全国公路建设市场监督管理系统，对投标人的资质、业绩、主要人员资历和目前在岗情况、信用等级进行核实。投标截止当天查询投标人在信用中国中的行政处</w:t>
      </w:r>
      <w:r>
        <w:rPr>
          <w:rFonts w:ascii="宋体" w:hAnsi="宋体" w:eastAsia="宋体" w:cs="宋体"/>
          <w:color w:val="auto"/>
          <w:spacing w:val="-4"/>
          <w:sz w:val="24"/>
          <w:szCs w:val="24"/>
          <w:highlight w:val="none"/>
        </w:rPr>
        <w:t>罚公示信息，并提交评标委员会。</w:t>
      </w:r>
    </w:p>
    <w:p w14:paraId="04CBB6FD">
      <w:pPr>
        <w:spacing w:before="78" w:line="360" w:lineRule="auto"/>
        <w:ind w:left="1434" w:right="1416" w:firstLine="47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招标人不得对投标文件作出任何评价，不得故意遗漏或者片面摘录，不得在评标委员会对所有偏差定性之前透露存有偏差的投</w:t>
      </w:r>
      <w:r>
        <w:rPr>
          <w:rFonts w:ascii="宋体" w:hAnsi="宋体" w:eastAsia="宋体" w:cs="宋体"/>
          <w:color w:val="auto"/>
          <w:spacing w:val="-3"/>
          <w:sz w:val="24"/>
          <w:szCs w:val="24"/>
          <w:highlight w:val="none"/>
        </w:rPr>
        <w:t>标人名称。</w:t>
      </w:r>
    </w:p>
    <w:p w14:paraId="4A22F65F">
      <w:pPr>
        <w:spacing w:before="1" w:line="218" w:lineRule="auto"/>
        <w:ind w:left="144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1.2.2</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评标委员会</w:t>
      </w:r>
    </w:p>
    <w:p w14:paraId="0C94A180">
      <w:pPr>
        <w:spacing w:before="183" w:line="360"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评标委员会由招标人按国家、广东省等的有关规定依法组建。评标委员会的主要工</w:t>
      </w:r>
      <w:r>
        <w:rPr>
          <w:rFonts w:ascii="宋体" w:hAnsi="宋体" w:eastAsia="宋体" w:cs="宋体"/>
          <w:color w:val="auto"/>
          <w:spacing w:val="-10"/>
          <w:sz w:val="24"/>
          <w:szCs w:val="24"/>
          <w:highlight w:val="none"/>
        </w:rPr>
        <w:t>作内容包括：</w:t>
      </w:r>
    </w:p>
    <w:p w14:paraId="12F68035">
      <w:pPr>
        <w:spacing w:before="1" w:line="289" w:lineRule="auto"/>
        <w:ind w:left="1425" w:right="1500" w:firstLine="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（1）评标委员会开始评标工作之前，首先听取招标人、协助工作组关于工程情况和辅</w:t>
      </w:r>
      <w:r>
        <w:rPr>
          <w:rFonts w:ascii="宋体" w:hAnsi="宋体" w:eastAsia="宋体" w:cs="宋体"/>
          <w:color w:val="auto"/>
          <w:spacing w:val="-2"/>
          <w:sz w:val="24"/>
          <w:szCs w:val="24"/>
          <w:highlight w:val="none"/>
        </w:rPr>
        <w:t>助工作的说明，并认真研读招标文件，获取评标所需的重要信息和数据；</w:t>
      </w:r>
    </w:p>
    <w:p w14:paraId="5D642DF0">
      <w:pPr>
        <w:spacing w:before="182" w:line="219" w:lineRule="auto"/>
        <w:ind w:left="14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（2）对协助工作组提供的评标工作用表和评标内容进行核查；</w:t>
      </w:r>
    </w:p>
    <w:p w14:paraId="5A4EF0B1">
      <w:pPr>
        <w:spacing w:before="182" w:line="220" w:lineRule="auto"/>
        <w:ind w:left="143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（3）按照以下 1.3</w:t>
      </w:r>
      <w:r>
        <w:rPr>
          <w:rFonts w:ascii="宋体" w:hAnsi="宋体" w:eastAsia="宋体" w:cs="宋体"/>
          <w:color w:val="auto"/>
          <w:spacing w:val="-49"/>
          <w:sz w:val="24"/>
          <w:szCs w:val="24"/>
          <w:highlight w:val="none"/>
        </w:rPr>
        <w:t xml:space="preserve"> </w:t>
      </w:r>
      <w:r>
        <w:rPr>
          <w:rFonts w:ascii="宋体" w:hAnsi="宋体" w:eastAsia="宋体" w:cs="宋体"/>
          <w:color w:val="auto"/>
          <w:spacing w:val="-5"/>
          <w:sz w:val="24"/>
          <w:szCs w:val="24"/>
          <w:highlight w:val="none"/>
        </w:rPr>
        <w:t>款程序进行各项评</w:t>
      </w:r>
      <w:r>
        <w:rPr>
          <w:rFonts w:ascii="宋体" w:hAnsi="宋体" w:eastAsia="宋体" w:cs="宋体"/>
          <w:color w:val="auto"/>
          <w:spacing w:val="-6"/>
          <w:sz w:val="24"/>
          <w:szCs w:val="24"/>
          <w:highlight w:val="none"/>
        </w:rPr>
        <w:t>审工作。</w:t>
      </w:r>
    </w:p>
    <w:p w14:paraId="673F3D3C">
      <w:pPr>
        <w:spacing w:before="183" w:line="220" w:lineRule="auto"/>
        <w:ind w:left="1443"/>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1.3</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评审工作程序</w:t>
      </w:r>
    </w:p>
    <w:p w14:paraId="58366B3E">
      <w:pPr>
        <w:spacing w:before="183" w:line="220" w:lineRule="auto"/>
        <w:ind w:left="1443"/>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评标委员会将按以下程序开展评标工作</w:t>
      </w:r>
    </w:p>
    <w:p w14:paraId="268E0DD2">
      <w:pPr>
        <w:spacing w:before="181" w:line="220" w:lineRule="auto"/>
        <w:ind w:left="1431"/>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1.3.1</w:t>
      </w:r>
      <w:r>
        <w:rPr>
          <w:rFonts w:ascii="宋体" w:hAnsi="宋体" w:eastAsia="宋体" w:cs="宋体"/>
          <w:color w:val="auto"/>
          <w:spacing w:val="-4"/>
          <w:sz w:val="24"/>
          <w:szCs w:val="24"/>
          <w:highlight w:val="none"/>
        </w:rPr>
        <w:t>第一个信封（商务及技术文件</w:t>
      </w:r>
      <w:r>
        <w:rPr>
          <w:rFonts w:ascii="宋体" w:hAnsi="宋体" w:eastAsia="宋体" w:cs="宋体"/>
          <w:color w:val="auto"/>
          <w:spacing w:val="-2"/>
          <w:sz w:val="24"/>
          <w:szCs w:val="24"/>
          <w:highlight w:val="none"/>
        </w:rPr>
        <w:t>）：</w:t>
      </w:r>
    </w:p>
    <w:p w14:paraId="0B62D419">
      <w:pPr>
        <w:spacing w:before="182" w:line="220" w:lineRule="auto"/>
        <w:ind w:left="1439"/>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w:t>
      </w:r>
      <w:r>
        <w:rPr>
          <w:rFonts w:ascii="宋体" w:hAnsi="宋体" w:eastAsia="宋体" w:cs="宋体"/>
          <w:color w:val="auto"/>
          <w:spacing w:val="-2"/>
          <w:sz w:val="24"/>
          <w:szCs w:val="24"/>
          <w:highlight w:val="none"/>
        </w:rPr>
        <w:t>l</w:t>
      </w:r>
      <w:r>
        <w:rPr>
          <w:rFonts w:hint="eastAsia" w:ascii="宋体" w:hAnsi="宋体" w:eastAsia="宋体" w:cs="宋体"/>
          <w:color w:val="auto"/>
          <w:spacing w:val="-2"/>
          <w:sz w:val="24"/>
          <w:szCs w:val="24"/>
          <w:highlight w:val="none"/>
          <w:lang w:val="en-US" w:eastAsia="zh-CN"/>
        </w:rPr>
        <w:t>)</w:t>
      </w:r>
      <w:r>
        <w:rPr>
          <w:rFonts w:ascii="宋体" w:hAnsi="宋体" w:eastAsia="宋体" w:cs="宋体"/>
          <w:color w:val="auto"/>
          <w:spacing w:val="-2"/>
          <w:sz w:val="24"/>
          <w:szCs w:val="24"/>
          <w:highlight w:val="none"/>
        </w:rPr>
        <w:t>、初步评审：包括形式评审与响应性评审、资格评审（适用于</w:t>
      </w:r>
      <w:r>
        <w:rPr>
          <w:rFonts w:ascii="宋体" w:hAnsi="宋体" w:eastAsia="宋体" w:cs="宋体"/>
          <w:color w:val="auto"/>
          <w:spacing w:val="-3"/>
          <w:sz w:val="24"/>
          <w:szCs w:val="24"/>
          <w:highlight w:val="none"/>
        </w:rPr>
        <w:t>未进行资格预审</w:t>
      </w:r>
      <w:r>
        <w:rPr>
          <w:rFonts w:ascii="宋体" w:hAnsi="宋体" w:eastAsia="宋体" w:cs="宋体"/>
          <w:color w:val="auto"/>
          <w:spacing w:val="-1"/>
          <w:sz w:val="24"/>
          <w:szCs w:val="24"/>
          <w:highlight w:val="none"/>
        </w:rPr>
        <w:t>）；</w:t>
      </w:r>
    </w:p>
    <w:p w14:paraId="261656DD">
      <w:pPr>
        <w:spacing w:before="182" w:line="332" w:lineRule="auto"/>
        <w:ind w:left="1427" w:right="142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、详细评审（评审打分</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评标委员会首先对通过第一</w:t>
      </w:r>
      <w:r>
        <w:rPr>
          <w:rFonts w:ascii="宋体" w:hAnsi="宋体" w:eastAsia="宋体" w:cs="宋体"/>
          <w:color w:val="auto"/>
          <w:spacing w:val="-1"/>
          <w:sz w:val="24"/>
          <w:szCs w:val="24"/>
          <w:highlight w:val="none"/>
        </w:rPr>
        <w:t>个信封初步评审的投标文件进</w:t>
      </w:r>
      <w:r>
        <w:rPr>
          <w:rFonts w:ascii="宋体" w:hAnsi="宋体" w:eastAsia="宋体" w:cs="宋体"/>
          <w:color w:val="auto"/>
          <w:spacing w:val="-2"/>
          <w:sz w:val="24"/>
          <w:szCs w:val="24"/>
          <w:highlight w:val="none"/>
        </w:rPr>
        <w:t>行详细评审，对投标人的施工组织设计</w:t>
      </w:r>
      <w:r>
        <w:rPr>
          <w:rFonts w:ascii="宋体" w:hAnsi="宋体" w:eastAsia="宋体" w:cs="宋体"/>
          <w:strike/>
          <w:dstrike w:val="0"/>
          <w:color w:val="auto"/>
          <w:spacing w:val="-2"/>
          <w:sz w:val="24"/>
          <w:szCs w:val="24"/>
          <w:highlight w:val="none"/>
          <w:u w:val="single" w:color="auto"/>
        </w:rPr>
        <w:t>及承包人项目管理方案</w:t>
      </w:r>
      <w:r>
        <w:rPr>
          <w:rFonts w:ascii="宋体" w:hAnsi="宋体" w:eastAsia="宋体" w:cs="宋体"/>
          <w:color w:val="auto"/>
          <w:spacing w:val="-2"/>
          <w:sz w:val="24"/>
          <w:szCs w:val="24"/>
          <w:highlight w:val="none"/>
        </w:rPr>
        <w:t>、主要人员、其他因素等</w:t>
      </w:r>
      <w:r>
        <w:rPr>
          <w:rFonts w:ascii="宋体" w:hAnsi="宋体" w:eastAsia="宋体" w:cs="宋体"/>
          <w:color w:val="auto"/>
          <w:spacing w:val="-3"/>
          <w:sz w:val="24"/>
          <w:szCs w:val="24"/>
          <w:highlight w:val="none"/>
        </w:rPr>
        <w:t>分别评审打分，并按照综合得分由高到低排序，排名在招标文件规定数量</w:t>
      </w:r>
      <w:r>
        <w:rPr>
          <w:rFonts w:ascii="宋体" w:hAnsi="宋体" w:eastAsia="宋体" w:cs="宋体"/>
          <w:color w:val="auto"/>
          <w:spacing w:val="-3"/>
          <w:sz w:val="24"/>
          <w:szCs w:val="24"/>
          <w:highlight w:val="none"/>
          <w:u w:val="single" w:color="auto"/>
        </w:rPr>
        <w:t>前</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3"/>
          <w:sz w:val="24"/>
          <w:szCs w:val="24"/>
          <w:highlight w:val="none"/>
          <w:u w:val="single" w:color="auto"/>
        </w:rPr>
        <w:t>5</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3"/>
          <w:sz w:val="24"/>
          <w:szCs w:val="24"/>
          <w:highlight w:val="none"/>
          <w:u w:val="single" w:color="auto"/>
        </w:rPr>
        <w:t>名（不少于</w:t>
      </w:r>
      <w:r>
        <w:rPr>
          <w:rFonts w:ascii="宋体" w:hAnsi="宋体" w:eastAsia="宋体" w:cs="宋体"/>
          <w:color w:val="auto"/>
          <w:spacing w:val="-46"/>
          <w:sz w:val="24"/>
          <w:szCs w:val="24"/>
          <w:highlight w:val="none"/>
          <w:u w:val="single" w:color="auto"/>
        </w:rPr>
        <w:t xml:space="preserve"> </w:t>
      </w:r>
      <w:r>
        <w:rPr>
          <w:rFonts w:ascii="宋体" w:hAnsi="宋体" w:eastAsia="宋体" w:cs="宋体"/>
          <w:color w:val="auto"/>
          <w:spacing w:val="-3"/>
          <w:sz w:val="24"/>
          <w:szCs w:val="24"/>
          <w:highlight w:val="none"/>
          <w:u w:val="single" w:color="auto"/>
        </w:rPr>
        <w:t>3</w:t>
      </w:r>
      <w:r>
        <w:rPr>
          <w:rFonts w:ascii="宋体" w:hAnsi="宋体" w:eastAsia="宋体" w:cs="宋体"/>
          <w:color w:val="auto"/>
          <w:spacing w:val="-48"/>
          <w:sz w:val="24"/>
          <w:szCs w:val="24"/>
          <w:highlight w:val="none"/>
          <w:u w:val="single" w:color="auto"/>
        </w:rPr>
        <w:t xml:space="preserve"> </w:t>
      </w:r>
      <w:r>
        <w:rPr>
          <w:rFonts w:ascii="宋体" w:hAnsi="宋体" w:eastAsia="宋体" w:cs="宋体"/>
          <w:color w:val="auto"/>
          <w:spacing w:val="-3"/>
          <w:sz w:val="24"/>
          <w:szCs w:val="24"/>
          <w:highlight w:val="none"/>
          <w:u w:val="single" w:color="auto"/>
        </w:rPr>
        <w:t>名但不足</w:t>
      </w:r>
      <w:r>
        <w:rPr>
          <w:rFonts w:ascii="宋体" w:hAnsi="宋体" w:eastAsia="宋体" w:cs="宋体"/>
          <w:color w:val="auto"/>
          <w:spacing w:val="-45"/>
          <w:sz w:val="24"/>
          <w:szCs w:val="24"/>
          <w:highlight w:val="none"/>
          <w:u w:val="single" w:color="auto"/>
        </w:rPr>
        <w:t xml:space="preserve"> </w:t>
      </w:r>
      <w:r>
        <w:rPr>
          <w:rFonts w:ascii="宋体" w:hAnsi="宋体" w:eastAsia="宋体" w:cs="宋体"/>
          <w:color w:val="auto"/>
          <w:spacing w:val="-3"/>
          <w:sz w:val="24"/>
          <w:szCs w:val="24"/>
          <w:highlight w:val="none"/>
          <w:u w:val="single" w:color="auto"/>
        </w:rPr>
        <w:t>5</w:t>
      </w:r>
      <w:r>
        <w:rPr>
          <w:rFonts w:ascii="宋体" w:hAnsi="宋体" w:eastAsia="宋体" w:cs="宋体"/>
          <w:color w:val="auto"/>
          <w:spacing w:val="-48"/>
          <w:sz w:val="24"/>
          <w:szCs w:val="24"/>
          <w:highlight w:val="none"/>
          <w:u w:val="single" w:color="auto"/>
        </w:rPr>
        <w:t xml:space="preserve"> </w:t>
      </w:r>
      <w:r>
        <w:rPr>
          <w:rFonts w:ascii="宋体" w:hAnsi="宋体" w:eastAsia="宋体" w:cs="宋体"/>
          <w:color w:val="auto"/>
          <w:spacing w:val="-3"/>
          <w:sz w:val="24"/>
          <w:szCs w:val="24"/>
          <w:highlight w:val="none"/>
          <w:u w:val="single" w:color="auto"/>
        </w:rPr>
        <w:t>名的，按全部实际数量）</w:t>
      </w:r>
      <w:r>
        <w:rPr>
          <w:rFonts w:ascii="宋体" w:hAnsi="宋体" w:eastAsia="宋体" w:cs="宋体"/>
          <w:color w:val="auto"/>
          <w:spacing w:val="-3"/>
          <w:sz w:val="24"/>
          <w:szCs w:val="24"/>
          <w:highlight w:val="none"/>
        </w:rPr>
        <w:t>的投标人，其投标文件</w:t>
      </w:r>
      <w:r>
        <w:rPr>
          <w:rFonts w:ascii="宋体" w:hAnsi="宋体" w:eastAsia="宋体" w:cs="宋体"/>
          <w:color w:val="auto"/>
          <w:spacing w:val="-4"/>
          <w:sz w:val="24"/>
          <w:szCs w:val="24"/>
          <w:highlight w:val="none"/>
        </w:rPr>
        <w:t>第一个信封（商务及技术文件）通过详细评审。</w:t>
      </w:r>
    </w:p>
    <w:p w14:paraId="5FD9889D">
      <w:pPr>
        <w:spacing w:before="183" w:line="218" w:lineRule="auto"/>
        <w:ind w:left="1431"/>
        <w:rPr>
          <w:rFonts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1.3.2</w:t>
      </w:r>
      <w:r>
        <w:rPr>
          <w:rFonts w:ascii="宋体" w:hAnsi="宋体" w:eastAsia="宋体" w:cs="宋体"/>
          <w:color w:val="auto"/>
          <w:spacing w:val="-5"/>
          <w:sz w:val="24"/>
          <w:szCs w:val="24"/>
          <w:highlight w:val="none"/>
        </w:rPr>
        <w:t>第二个信封（报价文件</w:t>
      </w:r>
      <w:r>
        <w:rPr>
          <w:rFonts w:ascii="宋体" w:hAnsi="宋体" w:eastAsia="宋体" w:cs="宋体"/>
          <w:color w:val="auto"/>
          <w:spacing w:val="-2"/>
          <w:sz w:val="24"/>
          <w:szCs w:val="24"/>
          <w:highlight w:val="none"/>
        </w:rPr>
        <w:t>）：</w:t>
      </w:r>
    </w:p>
    <w:p w14:paraId="030D07F1">
      <w:pPr>
        <w:spacing w:before="184" w:line="220" w:lineRule="auto"/>
        <w:ind w:left="1443"/>
        <w:rPr>
          <w:rFonts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lang w:val="en-US" w:eastAsia="zh-CN"/>
        </w:rPr>
        <w:t>(</w:t>
      </w:r>
      <w:r>
        <w:rPr>
          <w:rFonts w:ascii="宋体" w:hAnsi="宋体" w:eastAsia="宋体" w:cs="宋体"/>
          <w:color w:val="auto"/>
          <w:spacing w:val="-10"/>
          <w:sz w:val="24"/>
          <w:szCs w:val="24"/>
          <w:highlight w:val="none"/>
        </w:rPr>
        <w:t>1</w:t>
      </w:r>
      <w:r>
        <w:rPr>
          <w:rFonts w:hint="eastAsia" w:ascii="宋体" w:hAnsi="宋体" w:eastAsia="宋体" w:cs="宋体"/>
          <w:color w:val="auto"/>
          <w:spacing w:val="-10"/>
          <w:sz w:val="24"/>
          <w:szCs w:val="24"/>
          <w:highlight w:val="none"/>
          <w:lang w:val="en-US" w:eastAsia="zh-CN"/>
        </w:rPr>
        <w:t>)</w:t>
      </w:r>
      <w:r>
        <w:rPr>
          <w:rFonts w:ascii="宋体" w:hAnsi="宋体" w:eastAsia="宋体" w:cs="宋体"/>
          <w:color w:val="auto"/>
          <w:spacing w:val="-10"/>
          <w:sz w:val="24"/>
          <w:szCs w:val="24"/>
          <w:highlight w:val="none"/>
        </w:rPr>
        <w:t>、初步评审：</w:t>
      </w:r>
    </w:p>
    <w:p w14:paraId="388BE24E">
      <w:pPr>
        <w:spacing w:before="183" w:line="289" w:lineRule="auto"/>
        <w:ind w:left="1425" w:right="1488" w:firstLine="6"/>
        <w:rPr>
          <w:rFonts w:hint="eastAsia" w:ascii="宋体" w:hAnsi="宋体" w:eastAsia="宋体" w:cs="宋体"/>
          <w:color w:val="auto"/>
          <w:sz w:val="24"/>
          <w:szCs w:val="24"/>
          <w:highlight w:val="none"/>
          <w:lang w:eastAsia="zh-CN"/>
        </w:rPr>
      </w:pPr>
      <w:r>
        <w:rPr>
          <w:rFonts w:ascii="PingFangSC-Medium" w:hAnsi="PingFangSC-Medium" w:eastAsia="PingFangSC-Medium" w:cs="PingFangSC-Medium"/>
          <w:i w:val="0"/>
          <w:iCs w:val="0"/>
          <w:caps w:val="0"/>
          <w:color w:val="auto"/>
          <w:spacing w:val="0"/>
          <w:sz w:val="21"/>
          <w:szCs w:val="21"/>
          <w:shd w:val="clear" w:fill="FFFFFF"/>
        </w:rPr>
        <w:t>①</w:t>
      </w:r>
      <w:r>
        <w:rPr>
          <w:rFonts w:ascii="宋体" w:hAnsi="宋体" w:eastAsia="宋体" w:cs="宋体"/>
          <w:color w:val="auto"/>
          <w:sz w:val="24"/>
          <w:szCs w:val="24"/>
          <w:highlight w:val="none"/>
        </w:rPr>
        <w:t>只有对投标文件第一个信封通过详细评审</w:t>
      </w:r>
      <w:r>
        <w:rPr>
          <w:rFonts w:ascii="宋体" w:hAnsi="宋体" w:eastAsia="宋体" w:cs="宋体"/>
          <w:color w:val="auto"/>
          <w:spacing w:val="-1"/>
          <w:sz w:val="24"/>
          <w:szCs w:val="24"/>
          <w:highlight w:val="none"/>
        </w:rPr>
        <w:t>的投标人的报价文件才能继续参加第二</w:t>
      </w:r>
      <w:r>
        <w:rPr>
          <w:rFonts w:ascii="宋体" w:hAnsi="宋体" w:eastAsia="宋体" w:cs="宋体"/>
          <w:color w:val="auto"/>
          <w:spacing w:val="-3"/>
          <w:sz w:val="24"/>
          <w:szCs w:val="24"/>
          <w:highlight w:val="none"/>
        </w:rPr>
        <w:t>个信封报价文件的形式评审与响应性评审</w:t>
      </w:r>
      <w:r>
        <w:rPr>
          <w:rFonts w:hint="eastAsia" w:ascii="宋体" w:hAnsi="宋体" w:eastAsia="宋体" w:cs="宋体"/>
          <w:color w:val="auto"/>
          <w:spacing w:val="-3"/>
          <w:sz w:val="24"/>
          <w:szCs w:val="24"/>
          <w:highlight w:val="none"/>
          <w:lang w:val="en-US" w:eastAsia="zh-CN"/>
        </w:rPr>
        <w:t>;</w:t>
      </w:r>
    </w:p>
    <w:p w14:paraId="183E90B3">
      <w:pPr>
        <w:spacing w:before="184" w:line="218" w:lineRule="auto"/>
        <w:ind w:left="1431"/>
        <w:rPr>
          <w:rFonts w:hint="eastAsia" w:ascii="宋体" w:hAnsi="宋体" w:eastAsia="宋体" w:cs="宋体"/>
          <w:strike/>
          <w:dstrike w:val="0"/>
          <w:color w:val="auto"/>
          <w:sz w:val="24"/>
          <w:szCs w:val="24"/>
          <w:highlight w:val="none"/>
          <w:lang w:val="en-US" w:eastAsia="zh-CN"/>
        </w:rPr>
      </w:pPr>
      <w:r>
        <w:rPr>
          <w:rFonts w:hint="eastAsia" w:ascii="宋体" w:hAnsi="宋体" w:eastAsia="宋体" w:cs="宋体"/>
          <w:strike/>
          <w:dstrike w:val="0"/>
          <w:color w:val="auto"/>
          <w:spacing w:val="-3"/>
          <w:sz w:val="24"/>
          <w:szCs w:val="24"/>
          <w:highlight w:val="none"/>
        </w:rPr>
        <w:t>②</w:t>
      </w:r>
      <w:r>
        <w:rPr>
          <w:rFonts w:ascii="宋体" w:hAnsi="宋体" w:eastAsia="宋体" w:cs="宋体"/>
          <w:strike/>
          <w:dstrike w:val="0"/>
          <w:color w:val="auto"/>
          <w:spacing w:val="-3"/>
          <w:sz w:val="24"/>
          <w:szCs w:val="24"/>
          <w:highlight w:val="none"/>
        </w:rPr>
        <w:t>报价算术性修正（如采用固化工程量清单，本步骤省略</w:t>
      </w:r>
      <w:r>
        <w:rPr>
          <w:rFonts w:ascii="宋体" w:hAnsi="宋体" w:eastAsia="宋体" w:cs="宋体"/>
          <w:strike/>
          <w:dstrike w:val="0"/>
          <w:color w:val="auto"/>
          <w:spacing w:val="5"/>
          <w:sz w:val="24"/>
          <w:szCs w:val="24"/>
          <w:highlight w:val="none"/>
        </w:rPr>
        <w:t>）</w:t>
      </w:r>
      <w:r>
        <w:rPr>
          <w:rFonts w:hint="eastAsia" w:ascii="宋体" w:hAnsi="宋体" w:eastAsia="宋体" w:cs="宋体"/>
          <w:strike/>
          <w:dstrike w:val="0"/>
          <w:color w:val="auto"/>
          <w:spacing w:val="5"/>
          <w:sz w:val="24"/>
          <w:szCs w:val="24"/>
          <w:highlight w:val="none"/>
          <w:lang w:val="en-US" w:eastAsia="zh-CN"/>
        </w:rPr>
        <w:t>。</w:t>
      </w:r>
    </w:p>
    <w:p w14:paraId="55D31BEB">
      <w:pPr>
        <w:spacing w:before="185" w:line="218" w:lineRule="auto"/>
        <w:ind w:left="1428"/>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2</w:t>
      </w: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、详细评审：计算评标价。</w:t>
      </w:r>
    </w:p>
    <w:p w14:paraId="46200332">
      <w:pPr>
        <w:spacing w:before="184" w:line="220" w:lineRule="auto"/>
        <w:ind w:left="1431"/>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1.3.3</w:t>
      </w:r>
      <w:r>
        <w:rPr>
          <w:rFonts w:ascii="宋体" w:hAnsi="宋体" w:eastAsia="宋体" w:cs="宋体"/>
          <w:color w:val="auto"/>
          <w:spacing w:val="-4"/>
          <w:sz w:val="24"/>
          <w:szCs w:val="24"/>
          <w:highlight w:val="none"/>
        </w:rPr>
        <w:t>投标文件相关信息的核查。</w:t>
      </w:r>
    </w:p>
    <w:p w14:paraId="11641990">
      <w:pPr>
        <w:spacing w:before="182" w:line="220" w:lineRule="auto"/>
        <w:ind w:left="1431"/>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4"/>
          <w:sz w:val="24"/>
          <w:szCs w:val="24"/>
          <w:highlight w:val="none"/>
        </w:rPr>
        <w:t>1.3.4</w:t>
      </w:r>
      <w:r>
        <w:rPr>
          <w:rFonts w:ascii="宋体" w:hAnsi="宋体" w:eastAsia="宋体" w:cs="宋体"/>
          <w:color w:val="auto"/>
          <w:spacing w:val="-4"/>
          <w:sz w:val="24"/>
          <w:szCs w:val="24"/>
          <w:highlight w:val="none"/>
        </w:rPr>
        <w:t>投标文件的澄清和说明(如有)</w:t>
      </w:r>
      <w:r>
        <w:rPr>
          <w:rFonts w:hint="eastAsia" w:ascii="宋体" w:hAnsi="宋体" w:eastAsia="宋体" w:cs="宋体"/>
          <w:color w:val="auto"/>
          <w:spacing w:val="-4"/>
          <w:sz w:val="24"/>
          <w:szCs w:val="24"/>
          <w:highlight w:val="none"/>
          <w:lang w:eastAsia="zh-CN"/>
        </w:rPr>
        <w:t>。</w:t>
      </w:r>
    </w:p>
    <w:p w14:paraId="0B78962E">
      <w:pPr>
        <w:spacing w:before="183" w:line="289" w:lineRule="auto"/>
        <w:ind w:left="1424" w:right="1434" w:firstLine="7"/>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1.3.5</w:t>
      </w:r>
      <w:r>
        <w:rPr>
          <w:rFonts w:ascii="宋体" w:hAnsi="宋体" w:eastAsia="宋体" w:cs="宋体"/>
          <w:color w:val="auto"/>
          <w:spacing w:val="-2"/>
          <w:sz w:val="24"/>
          <w:szCs w:val="24"/>
          <w:highlight w:val="none"/>
        </w:rPr>
        <w:t>按评标办法规定按照第二个信封的评标价由低到高的顺序推荐中</w:t>
      </w:r>
      <w:r>
        <w:rPr>
          <w:rFonts w:ascii="宋体" w:hAnsi="宋体" w:eastAsia="宋体" w:cs="宋体"/>
          <w:color w:val="auto"/>
          <w:spacing w:val="-3"/>
          <w:sz w:val="24"/>
          <w:szCs w:val="24"/>
          <w:highlight w:val="none"/>
        </w:rPr>
        <w:t>标候选人，编写</w:t>
      </w:r>
      <w:r>
        <w:rPr>
          <w:rFonts w:ascii="宋体" w:hAnsi="宋体" w:eastAsia="宋体" w:cs="宋体"/>
          <w:color w:val="auto"/>
          <w:spacing w:val="-7"/>
          <w:sz w:val="24"/>
          <w:szCs w:val="24"/>
          <w:highlight w:val="none"/>
        </w:rPr>
        <w:t>评标报告。</w:t>
      </w:r>
    </w:p>
    <w:p w14:paraId="78A42EE4">
      <w:pPr>
        <w:spacing w:before="241" w:line="229" w:lineRule="auto"/>
        <w:ind w:left="142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2. 评审标准</w:t>
      </w:r>
    </w:p>
    <w:p w14:paraId="58DE94A7">
      <w:pPr>
        <w:spacing w:before="232" w:line="222" w:lineRule="auto"/>
        <w:ind w:left="1423"/>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2.1 初步评审标准</w:t>
      </w:r>
    </w:p>
    <w:p w14:paraId="64CCED90">
      <w:pPr>
        <w:pStyle w:val="3"/>
        <w:spacing w:line="268" w:lineRule="auto"/>
        <w:rPr>
          <w:color w:val="auto"/>
          <w:highlight w:val="none"/>
        </w:rPr>
      </w:pPr>
    </w:p>
    <w:p w14:paraId="0A394274">
      <w:pPr>
        <w:spacing w:before="78" w:line="220" w:lineRule="auto"/>
        <w:ind w:left="142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2.1.1  </w:t>
      </w:r>
      <w:r>
        <w:rPr>
          <w:rFonts w:ascii="宋体" w:hAnsi="宋体" w:eastAsia="宋体" w:cs="宋体"/>
          <w:color w:val="auto"/>
          <w:spacing w:val="-1"/>
          <w:sz w:val="24"/>
          <w:szCs w:val="24"/>
          <w:highlight w:val="none"/>
        </w:rPr>
        <w:t>形式评审标准</w:t>
      </w:r>
    </w:p>
    <w:p w14:paraId="7BBED657">
      <w:pPr>
        <w:spacing w:before="181" w:line="219" w:lineRule="auto"/>
        <w:ind w:left="142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2.1.2  </w:t>
      </w:r>
      <w:r>
        <w:rPr>
          <w:rFonts w:ascii="宋体" w:hAnsi="宋体" w:eastAsia="宋体" w:cs="宋体"/>
          <w:color w:val="auto"/>
          <w:spacing w:val="-1"/>
          <w:sz w:val="24"/>
          <w:szCs w:val="24"/>
          <w:highlight w:val="none"/>
        </w:rPr>
        <w:t>资格评审标准：见评标办法前附表</w:t>
      </w:r>
    </w:p>
    <w:p w14:paraId="70678036">
      <w:pPr>
        <w:spacing w:before="182" w:line="290" w:lineRule="auto"/>
        <w:ind w:left="1423" w:right="1515" w:hanging="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 xml:space="preserve">2.1.2  </w:t>
      </w:r>
      <w:r>
        <w:rPr>
          <w:rFonts w:ascii="宋体" w:hAnsi="宋体" w:eastAsia="宋体" w:cs="宋体"/>
          <w:strike/>
          <w:dstrike w:val="0"/>
          <w:color w:val="auto"/>
          <w:sz w:val="24"/>
          <w:szCs w:val="24"/>
          <w:highlight w:val="none"/>
        </w:rPr>
        <w:t>资格评审标准：见资格预审文件第三章</w:t>
      </w:r>
      <w:r>
        <w:rPr>
          <w:rFonts w:ascii="Times New Roman" w:hAnsi="Times New Roman" w:eastAsia="Times New Roman" w:cs="Times New Roman"/>
          <w:strike/>
          <w:dstrike w:val="0"/>
          <w:color w:val="auto"/>
          <w:sz w:val="24"/>
          <w:szCs w:val="24"/>
          <w:highlight w:val="none"/>
        </w:rPr>
        <w:t>“</w:t>
      </w:r>
      <w:r>
        <w:rPr>
          <w:rFonts w:ascii="宋体" w:hAnsi="宋体" w:eastAsia="宋体" w:cs="宋体"/>
          <w:strike/>
          <w:dstrike w:val="0"/>
          <w:color w:val="auto"/>
          <w:sz w:val="24"/>
          <w:szCs w:val="24"/>
          <w:highlight w:val="none"/>
        </w:rPr>
        <w:t>资格审查办法</w:t>
      </w:r>
      <w:r>
        <w:rPr>
          <w:rFonts w:ascii="Times New Roman" w:hAnsi="Times New Roman" w:eastAsia="Times New Roman" w:cs="Times New Roman"/>
          <w:strike/>
          <w:dstrike w:val="0"/>
          <w:color w:val="auto"/>
          <w:sz w:val="24"/>
          <w:szCs w:val="24"/>
          <w:highlight w:val="none"/>
        </w:rPr>
        <w:t>”</w:t>
      </w:r>
      <w:r>
        <w:rPr>
          <w:rFonts w:ascii="宋体" w:hAnsi="宋体" w:eastAsia="宋体" w:cs="宋体"/>
          <w:strike/>
          <w:dstrike w:val="0"/>
          <w:color w:val="auto"/>
          <w:sz w:val="24"/>
          <w:szCs w:val="24"/>
          <w:highlight w:val="none"/>
        </w:rPr>
        <w:t>详细审查</w:t>
      </w:r>
      <w:r>
        <w:rPr>
          <w:rFonts w:ascii="宋体" w:hAnsi="宋体" w:eastAsia="宋体" w:cs="宋体"/>
          <w:strike/>
          <w:dstrike w:val="0"/>
          <w:color w:val="auto"/>
          <w:spacing w:val="-1"/>
          <w:sz w:val="24"/>
          <w:szCs w:val="24"/>
          <w:highlight w:val="none"/>
        </w:rPr>
        <w:t>标准（适用于已</w:t>
      </w:r>
      <w:r>
        <w:rPr>
          <w:rFonts w:ascii="宋体" w:hAnsi="宋体" w:eastAsia="宋体" w:cs="宋体"/>
          <w:strike/>
          <w:dstrike w:val="0"/>
          <w:color w:val="auto"/>
          <w:spacing w:val="-3"/>
          <w:sz w:val="24"/>
          <w:szCs w:val="24"/>
          <w:highlight w:val="none"/>
        </w:rPr>
        <w:t>进行资格预审的）</w:t>
      </w:r>
    </w:p>
    <w:p w14:paraId="20031740">
      <w:pPr>
        <w:spacing w:before="182" w:line="220" w:lineRule="auto"/>
        <w:ind w:left="142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2.1.3</w:t>
      </w:r>
      <w:r>
        <w:rPr>
          <w:rFonts w:ascii="Times New Roman" w:hAnsi="Times New Roman" w:eastAsia="Times New Roman" w:cs="Times New Roman"/>
          <w:color w:val="auto"/>
          <w:spacing w:val="10"/>
          <w:sz w:val="24"/>
          <w:szCs w:val="24"/>
          <w:highlight w:val="none"/>
        </w:rPr>
        <w:t xml:space="preserve">  </w:t>
      </w:r>
      <w:r>
        <w:rPr>
          <w:rFonts w:ascii="宋体" w:hAnsi="宋体" w:eastAsia="宋体" w:cs="宋体"/>
          <w:color w:val="auto"/>
          <w:spacing w:val="-2"/>
          <w:sz w:val="24"/>
          <w:szCs w:val="24"/>
          <w:highlight w:val="none"/>
        </w:rPr>
        <w:t>响应性评审标准</w:t>
      </w:r>
    </w:p>
    <w:p w14:paraId="557E32FD">
      <w:pPr>
        <w:spacing w:before="181" w:line="222" w:lineRule="auto"/>
        <w:ind w:left="1423"/>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2.2 分值构成与评分标准</w:t>
      </w:r>
    </w:p>
    <w:p w14:paraId="7B67D5D8">
      <w:pPr>
        <w:spacing w:before="180" w:line="222" w:lineRule="auto"/>
        <w:ind w:left="14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2.2.1  </w:t>
      </w:r>
      <w:r>
        <w:rPr>
          <w:rFonts w:ascii="黑体" w:hAnsi="黑体" w:eastAsia="黑体" w:cs="黑体"/>
          <w:color w:val="auto"/>
          <w:spacing w:val="-1"/>
          <w:sz w:val="24"/>
          <w:szCs w:val="24"/>
          <w:highlight w:val="none"/>
        </w:rPr>
        <w:t>第一个信封评分分值构成</w:t>
      </w:r>
    </w:p>
    <w:p w14:paraId="62CE0A4B">
      <w:pPr>
        <w:spacing w:before="179" w:line="219" w:lineRule="auto"/>
        <w:ind w:left="14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）施工组织设计</w:t>
      </w:r>
      <w:r>
        <w:rPr>
          <w:rFonts w:ascii="宋体" w:hAnsi="宋体" w:eastAsia="宋体" w:cs="宋体"/>
          <w:strike/>
          <w:dstrike w:val="0"/>
          <w:color w:val="auto"/>
          <w:spacing w:val="-2"/>
          <w:sz w:val="24"/>
          <w:szCs w:val="24"/>
          <w:highlight w:val="none"/>
          <w:u w:val="single" w:color="auto"/>
        </w:rPr>
        <w:t>及承包人项目管理方案</w:t>
      </w:r>
      <w:r>
        <w:rPr>
          <w:rFonts w:ascii="宋体" w:hAnsi="宋体" w:eastAsia="宋体" w:cs="宋体"/>
          <w:color w:val="auto"/>
          <w:spacing w:val="-3"/>
          <w:sz w:val="24"/>
          <w:szCs w:val="24"/>
          <w:highlight w:val="none"/>
        </w:rPr>
        <w:t>：见评标办法前附表；</w:t>
      </w:r>
    </w:p>
    <w:p w14:paraId="2A7D89EC">
      <w:pPr>
        <w:spacing w:before="184" w:line="219" w:lineRule="auto"/>
        <w:ind w:left="143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2</w:t>
      </w:r>
      <w:r>
        <w:rPr>
          <w:rFonts w:ascii="宋体" w:hAnsi="宋体" w:eastAsia="宋体" w:cs="宋体"/>
          <w:color w:val="auto"/>
          <w:spacing w:val="-5"/>
          <w:sz w:val="24"/>
          <w:szCs w:val="24"/>
          <w:highlight w:val="none"/>
        </w:rPr>
        <w:t>）主要人员：见评标办法前附表；</w:t>
      </w:r>
    </w:p>
    <w:p w14:paraId="0E734F79">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）其他评分因素：见评标办法前附表。</w:t>
      </w:r>
    </w:p>
    <w:p w14:paraId="1FFBEE58">
      <w:pPr>
        <w:spacing w:before="183" w:line="222" w:lineRule="auto"/>
        <w:ind w:left="14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2.2.2  </w:t>
      </w:r>
      <w:r>
        <w:rPr>
          <w:rFonts w:ascii="黑体" w:hAnsi="黑体" w:eastAsia="黑体" w:cs="黑体"/>
          <w:color w:val="auto"/>
          <w:spacing w:val="-1"/>
          <w:sz w:val="24"/>
          <w:szCs w:val="24"/>
          <w:highlight w:val="none"/>
        </w:rPr>
        <w:t>第一个信封评分评分标准</w:t>
      </w:r>
    </w:p>
    <w:p w14:paraId="38A949BE">
      <w:pPr>
        <w:spacing w:before="180" w:line="219" w:lineRule="auto"/>
        <w:ind w:left="14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）施工组织设计</w:t>
      </w:r>
      <w:r>
        <w:rPr>
          <w:rFonts w:ascii="宋体" w:hAnsi="宋体" w:eastAsia="宋体" w:cs="宋体"/>
          <w:strike/>
          <w:dstrike w:val="0"/>
          <w:color w:val="auto"/>
          <w:spacing w:val="-2"/>
          <w:sz w:val="24"/>
          <w:szCs w:val="24"/>
          <w:highlight w:val="none"/>
          <w:u w:val="single" w:color="auto"/>
        </w:rPr>
        <w:t>及承包人项目管理方案</w:t>
      </w:r>
      <w:r>
        <w:rPr>
          <w:rFonts w:ascii="宋体" w:hAnsi="宋体" w:eastAsia="宋体" w:cs="宋体"/>
          <w:color w:val="auto"/>
          <w:spacing w:val="-2"/>
          <w:sz w:val="24"/>
          <w:szCs w:val="24"/>
          <w:highlight w:val="none"/>
        </w:rPr>
        <w:t>评分标准：见评标办法前</w:t>
      </w:r>
      <w:r>
        <w:rPr>
          <w:rFonts w:ascii="宋体" w:hAnsi="宋体" w:eastAsia="宋体" w:cs="宋体"/>
          <w:color w:val="auto"/>
          <w:spacing w:val="-3"/>
          <w:sz w:val="24"/>
          <w:szCs w:val="24"/>
          <w:highlight w:val="none"/>
        </w:rPr>
        <w:t>附表；</w:t>
      </w:r>
    </w:p>
    <w:p w14:paraId="0667FCFE">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）主要人员评分标准：见评标办法前附表；</w:t>
      </w:r>
    </w:p>
    <w:p w14:paraId="6EF6D831">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）其他因素评分标准：见评标办法前附表。</w:t>
      </w:r>
    </w:p>
    <w:p w14:paraId="0AEEC515">
      <w:pPr>
        <w:spacing w:before="184" w:line="219" w:lineRule="auto"/>
        <w:ind w:left="142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2.2.3  </w:t>
      </w:r>
      <w:r>
        <w:rPr>
          <w:rFonts w:ascii="宋体" w:hAnsi="宋体" w:eastAsia="宋体" w:cs="宋体"/>
          <w:color w:val="auto"/>
          <w:spacing w:val="-2"/>
          <w:sz w:val="24"/>
          <w:szCs w:val="24"/>
          <w:highlight w:val="none"/>
        </w:rPr>
        <w:t>第二个信封详细评审标准：见评标办法前附表。</w:t>
      </w:r>
    </w:p>
    <w:p w14:paraId="39F8F758">
      <w:pPr>
        <w:spacing w:before="241" w:line="229" w:lineRule="auto"/>
        <w:ind w:left="1426"/>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3. 评标程序</w:t>
      </w:r>
    </w:p>
    <w:p w14:paraId="08ED86BF">
      <w:pPr>
        <w:spacing w:before="231" w:line="222"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3.1 第一个信封初步评审</w:t>
      </w:r>
    </w:p>
    <w:p w14:paraId="103D9C81">
      <w:pPr>
        <w:spacing w:before="178" w:line="325" w:lineRule="auto"/>
        <w:ind w:left="1424" w:right="1416"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3.1.1  </w:t>
      </w:r>
      <w:r>
        <w:rPr>
          <w:rFonts w:ascii="宋体" w:hAnsi="宋体" w:eastAsia="宋体" w:cs="宋体"/>
          <w:color w:val="auto"/>
          <w:sz w:val="24"/>
          <w:szCs w:val="24"/>
          <w:highlight w:val="none"/>
        </w:rPr>
        <w:t>评标委员会可以要求投标人提交第二章</w:t>
      </w:r>
      <w:r>
        <w:rPr>
          <w:rFonts w:ascii="Times New Roman" w:hAnsi="Times New Roman" w:eastAsia="Times New Roman" w:cs="Times New Roman"/>
          <w:color w:val="auto"/>
          <w:sz w:val="24"/>
          <w:szCs w:val="24"/>
          <w:highlight w:val="none"/>
        </w:rPr>
        <w:t>“</w:t>
      </w:r>
      <w:r>
        <w:rPr>
          <w:rFonts w:ascii="宋体" w:hAnsi="宋体" w:eastAsia="宋体" w:cs="宋体"/>
          <w:color w:val="auto"/>
          <w:sz w:val="24"/>
          <w:szCs w:val="24"/>
          <w:highlight w:val="none"/>
        </w:rPr>
        <w:t>投标人须知</w:t>
      </w:r>
      <w:r>
        <w:rPr>
          <w:rFonts w:ascii="Times New Roman" w:hAnsi="Times New Roman" w:eastAsia="Times New Roman" w:cs="Times New Roman"/>
          <w:color w:val="auto"/>
          <w:sz w:val="24"/>
          <w:szCs w:val="24"/>
          <w:highlight w:val="none"/>
        </w:rPr>
        <w:t>”</w:t>
      </w:r>
      <w:r>
        <w:rPr>
          <w:rFonts w:ascii="宋体" w:hAnsi="宋体" w:eastAsia="宋体" w:cs="宋体"/>
          <w:color w:val="auto"/>
          <w:sz w:val="24"/>
          <w:szCs w:val="24"/>
          <w:highlight w:val="none"/>
        </w:rPr>
        <w:t xml:space="preserve">第 </w:t>
      </w:r>
      <w:r>
        <w:rPr>
          <w:rFonts w:ascii="Times New Roman" w:hAnsi="Times New Roman" w:eastAsia="Times New Roman" w:cs="Times New Roman"/>
          <w:color w:val="auto"/>
          <w:sz w:val="24"/>
          <w:szCs w:val="24"/>
          <w:highlight w:val="none"/>
        </w:rPr>
        <w:t xml:space="preserve">3.5.1  </w:t>
      </w:r>
      <w:r>
        <w:rPr>
          <w:rFonts w:ascii="宋体" w:hAnsi="宋体" w:eastAsia="宋体" w:cs="宋体"/>
          <w:color w:val="auto"/>
          <w:spacing w:val="-1"/>
          <w:sz w:val="24"/>
          <w:szCs w:val="24"/>
          <w:highlight w:val="none"/>
        </w:rPr>
        <w:t xml:space="preserve">项至第 </w:t>
      </w:r>
      <w:r>
        <w:rPr>
          <w:rFonts w:ascii="Times New Roman" w:hAnsi="Times New Roman" w:eastAsia="Times New Roman" w:cs="Times New Roman"/>
          <w:color w:val="auto"/>
          <w:spacing w:val="-1"/>
          <w:sz w:val="24"/>
          <w:szCs w:val="24"/>
          <w:highlight w:val="none"/>
        </w:rPr>
        <w:t xml:space="preserve">3.5.6 </w:t>
      </w:r>
      <w:r>
        <w:rPr>
          <w:rFonts w:ascii="宋体" w:hAnsi="宋体" w:eastAsia="宋体" w:cs="宋体"/>
          <w:color w:val="auto"/>
          <w:spacing w:val="-1"/>
          <w:sz w:val="24"/>
          <w:szCs w:val="24"/>
          <w:highlight w:val="none"/>
        </w:rPr>
        <w:t>项规</w:t>
      </w:r>
      <w:r>
        <w:rPr>
          <w:rFonts w:ascii="宋体" w:hAnsi="宋体" w:eastAsia="宋体" w:cs="宋体"/>
          <w:color w:val="auto"/>
          <w:spacing w:val="-3"/>
          <w:sz w:val="24"/>
          <w:szCs w:val="24"/>
          <w:highlight w:val="none"/>
        </w:rPr>
        <w:t xml:space="preserve">定的有关证明和证件的原件，以便核验。评标委员会依据本章第 </w:t>
      </w:r>
      <w:r>
        <w:rPr>
          <w:rFonts w:ascii="Times New Roman" w:hAnsi="Times New Roman" w:eastAsia="Times New Roman" w:cs="Times New Roman"/>
          <w:color w:val="auto"/>
          <w:spacing w:val="-3"/>
          <w:sz w:val="24"/>
          <w:szCs w:val="24"/>
          <w:highlight w:val="none"/>
        </w:rPr>
        <w:t xml:space="preserve">2.1  </w:t>
      </w:r>
      <w:r>
        <w:rPr>
          <w:rFonts w:ascii="宋体" w:hAnsi="宋体" w:eastAsia="宋体" w:cs="宋体"/>
          <w:color w:val="auto"/>
          <w:spacing w:val="-3"/>
          <w:sz w:val="24"/>
          <w:szCs w:val="24"/>
          <w:highlight w:val="none"/>
        </w:rPr>
        <w:t>款规定的标准对投</w:t>
      </w:r>
      <w:r>
        <w:rPr>
          <w:rFonts w:ascii="宋体" w:hAnsi="宋体" w:eastAsia="宋体" w:cs="宋体"/>
          <w:color w:val="auto"/>
          <w:spacing w:val="-2"/>
          <w:sz w:val="24"/>
          <w:szCs w:val="24"/>
          <w:highlight w:val="none"/>
        </w:rPr>
        <w:t>标文件第一个信封（商务及技术文件）进行初步评审。有一项不符合评审标准的，评标</w:t>
      </w:r>
      <w:r>
        <w:rPr>
          <w:rFonts w:ascii="宋体" w:hAnsi="宋体" w:eastAsia="宋体" w:cs="宋体"/>
          <w:color w:val="auto"/>
          <w:spacing w:val="-1"/>
          <w:sz w:val="24"/>
          <w:szCs w:val="24"/>
          <w:highlight w:val="none"/>
        </w:rPr>
        <w:t>委员会应否决其投标。（适用于未进行资格预审</w:t>
      </w:r>
      <w:r>
        <w:rPr>
          <w:rFonts w:ascii="宋体" w:hAnsi="宋体" w:eastAsia="宋体" w:cs="宋体"/>
          <w:color w:val="auto"/>
          <w:spacing w:val="-2"/>
          <w:sz w:val="24"/>
          <w:szCs w:val="24"/>
          <w:highlight w:val="none"/>
        </w:rPr>
        <w:t>的）</w:t>
      </w:r>
    </w:p>
    <w:p w14:paraId="715A50DC">
      <w:pPr>
        <w:spacing w:before="183" w:line="325" w:lineRule="auto"/>
        <w:ind w:left="1425" w:right="1416"/>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 xml:space="preserve">3.1.1  </w:t>
      </w:r>
      <w:r>
        <w:rPr>
          <w:rFonts w:ascii="宋体" w:hAnsi="宋体" w:eastAsia="宋体" w:cs="宋体"/>
          <w:strike/>
          <w:dstrike w:val="0"/>
          <w:color w:val="auto"/>
          <w:sz w:val="24"/>
          <w:szCs w:val="24"/>
          <w:highlight w:val="none"/>
        </w:rPr>
        <w:t xml:space="preserve">评标委员会依据本章第 </w:t>
      </w:r>
      <w:r>
        <w:rPr>
          <w:rFonts w:ascii="Times New Roman" w:hAnsi="Times New Roman" w:eastAsia="Times New Roman" w:cs="Times New Roman"/>
          <w:strike/>
          <w:dstrike w:val="0"/>
          <w:color w:val="auto"/>
          <w:sz w:val="24"/>
          <w:szCs w:val="24"/>
          <w:highlight w:val="none"/>
        </w:rPr>
        <w:t xml:space="preserve">2.1.1  </w:t>
      </w:r>
      <w:r>
        <w:rPr>
          <w:rFonts w:ascii="宋体" w:hAnsi="宋体" w:eastAsia="宋体" w:cs="宋体"/>
          <w:strike/>
          <w:dstrike w:val="0"/>
          <w:color w:val="auto"/>
          <w:sz w:val="24"/>
          <w:szCs w:val="24"/>
          <w:highlight w:val="none"/>
        </w:rPr>
        <w:t xml:space="preserve">项、第 </w:t>
      </w:r>
      <w:r>
        <w:rPr>
          <w:rFonts w:ascii="Times New Roman" w:hAnsi="Times New Roman" w:eastAsia="Times New Roman" w:cs="Times New Roman"/>
          <w:strike/>
          <w:dstrike w:val="0"/>
          <w:color w:val="auto"/>
          <w:sz w:val="24"/>
          <w:szCs w:val="24"/>
          <w:highlight w:val="none"/>
        </w:rPr>
        <w:t xml:space="preserve">2.1.3  </w:t>
      </w:r>
      <w:r>
        <w:rPr>
          <w:rFonts w:ascii="宋体" w:hAnsi="宋体" w:eastAsia="宋体" w:cs="宋体"/>
          <w:strike/>
          <w:dstrike w:val="0"/>
          <w:color w:val="auto"/>
          <w:sz w:val="24"/>
          <w:szCs w:val="24"/>
          <w:highlight w:val="none"/>
        </w:rPr>
        <w:t>项规定的评</w:t>
      </w:r>
      <w:r>
        <w:rPr>
          <w:rFonts w:ascii="宋体" w:hAnsi="宋体" w:eastAsia="宋体" w:cs="宋体"/>
          <w:strike/>
          <w:dstrike w:val="0"/>
          <w:color w:val="auto"/>
          <w:spacing w:val="-1"/>
          <w:sz w:val="24"/>
          <w:szCs w:val="24"/>
          <w:highlight w:val="none"/>
        </w:rPr>
        <w:t>审标准对投标文件第一个</w:t>
      </w:r>
      <w:r>
        <w:rPr>
          <w:rFonts w:ascii="宋体" w:hAnsi="宋体" w:eastAsia="宋体" w:cs="宋体"/>
          <w:strike/>
          <w:dstrike w:val="0"/>
          <w:color w:val="auto"/>
          <w:spacing w:val="-2"/>
          <w:sz w:val="24"/>
          <w:szCs w:val="24"/>
          <w:highlight w:val="none"/>
        </w:rPr>
        <w:t>信封（商务及技术文件）进行初步评审。有一项不符合评审标准的，评标委员会应否决</w:t>
      </w:r>
      <w:r>
        <w:rPr>
          <w:rFonts w:ascii="宋体" w:hAnsi="宋体" w:eastAsia="宋体" w:cs="宋体"/>
          <w:strike/>
          <w:dstrike w:val="0"/>
          <w:color w:val="auto"/>
          <w:spacing w:val="-4"/>
          <w:sz w:val="24"/>
          <w:szCs w:val="24"/>
          <w:highlight w:val="none"/>
        </w:rPr>
        <w:t>其投标。当投标人资格预审申请文件的内容发生重大变化时</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65"/>
          <w:sz w:val="24"/>
          <w:szCs w:val="24"/>
          <w:highlight w:val="none"/>
        </w:rPr>
        <w:t xml:space="preserve"> </w:t>
      </w:r>
      <w:r>
        <w:rPr>
          <w:rFonts w:ascii="宋体" w:hAnsi="宋体" w:eastAsia="宋体" w:cs="宋体"/>
          <w:strike/>
          <w:dstrike w:val="0"/>
          <w:color w:val="auto"/>
          <w:spacing w:val="-5"/>
          <w:sz w:val="24"/>
          <w:szCs w:val="24"/>
          <w:highlight w:val="none"/>
        </w:rPr>
        <w:t>评标委员会依据本章</w:t>
      </w:r>
      <w:r>
        <w:rPr>
          <w:rFonts w:ascii="宋体" w:hAnsi="宋体" w:eastAsia="宋体" w:cs="宋体"/>
          <w:strike/>
          <w:dstrike w:val="0"/>
          <w:color w:val="auto"/>
          <w:spacing w:val="-55"/>
          <w:sz w:val="24"/>
          <w:szCs w:val="24"/>
          <w:highlight w:val="none"/>
        </w:rPr>
        <w:t xml:space="preserve"> </w:t>
      </w:r>
      <w:r>
        <w:rPr>
          <w:rFonts w:ascii="Times New Roman" w:hAnsi="Times New Roman" w:eastAsia="Times New Roman" w:cs="Times New Roman"/>
          <w:strike/>
          <w:dstrike w:val="0"/>
          <w:color w:val="auto"/>
          <w:spacing w:val="-5"/>
          <w:sz w:val="24"/>
          <w:szCs w:val="24"/>
          <w:highlight w:val="none"/>
        </w:rPr>
        <w:t>2.1.2</w:t>
      </w:r>
      <w:r>
        <w:rPr>
          <w:rFonts w:ascii="宋体" w:hAnsi="宋体" w:eastAsia="宋体" w:cs="宋体"/>
          <w:strike/>
          <w:dstrike w:val="0"/>
          <w:color w:val="auto"/>
          <w:spacing w:val="-1"/>
          <w:sz w:val="24"/>
          <w:szCs w:val="24"/>
          <w:highlight w:val="none"/>
        </w:rPr>
        <w:t>项规定的标准对其更新资料进行评审。（适用于已进行资格预审的）</w:t>
      </w:r>
    </w:p>
    <w:p w14:paraId="670DB289">
      <w:pPr>
        <w:spacing w:before="182" w:line="222"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3.2 第一个信封详细评审</w:t>
      </w:r>
    </w:p>
    <w:p w14:paraId="21559B2B">
      <w:pPr>
        <w:spacing w:before="180" w:line="362" w:lineRule="auto"/>
        <w:ind w:left="1444" w:right="1428" w:hanging="19"/>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3.2.1  </w:t>
      </w:r>
      <w:r>
        <w:rPr>
          <w:rFonts w:ascii="宋体" w:hAnsi="宋体" w:eastAsia="宋体" w:cs="宋体"/>
          <w:color w:val="auto"/>
          <w:sz w:val="24"/>
          <w:szCs w:val="24"/>
          <w:highlight w:val="none"/>
        </w:rPr>
        <w:t xml:space="preserve">评标委员会按本章第 </w:t>
      </w:r>
      <w:r>
        <w:rPr>
          <w:rFonts w:ascii="Times New Roman" w:hAnsi="Times New Roman" w:eastAsia="Times New Roman" w:cs="Times New Roman"/>
          <w:color w:val="auto"/>
          <w:sz w:val="24"/>
          <w:szCs w:val="24"/>
          <w:highlight w:val="none"/>
        </w:rPr>
        <w:t xml:space="preserve">2.2  </w:t>
      </w:r>
      <w:r>
        <w:rPr>
          <w:rFonts w:ascii="宋体" w:hAnsi="宋体" w:eastAsia="宋体" w:cs="宋体"/>
          <w:color w:val="auto"/>
          <w:sz w:val="24"/>
          <w:szCs w:val="24"/>
          <w:highlight w:val="none"/>
        </w:rPr>
        <w:t>款规定的量化因素和分值进行</w:t>
      </w:r>
      <w:r>
        <w:rPr>
          <w:rFonts w:ascii="宋体" w:hAnsi="宋体" w:eastAsia="宋体" w:cs="宋体"/>
          <w:color w:val="auto"/>
          <w:spacing w:val="-1"/>
          <w:sz w:val="24"/>
          <w:szCs w:val="24"/>
          <w:highlight w:val="none"/>
        </w:rPr>
        <w:t>打分，并计算出各投标人</w:t>
      </w:r>
      <w:r>
        <w:rPr>
          <w:rFonts w:ascii="宋体" w:hAnsi="宋体" w:eastAsia="宋体" w:cs="宋体"/>
          <w:color w:val="auto"/>
          <w:spacing w:val="-7"/>
          <w:sz w:val="24"/>
          <w:szCs w:val="24"/>
          <w:highlight w:val="none"/>
        </w:rPr>
        <w:t>的商务和技术得分。</w:t>
      </w:r>
    </w:p>
    <w:p w14:paraId="1049ED8C">
      <w:pPr>
        <w:spacing w:before="78" w:line="290" w:lineRule="auto"/>
        <w:ind w:left="1428" w:right="1416" w:firstLine="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 xml:space="preserve">）按本章第 </w:t>
      </w:r>
      <w:r>
        <w:rPr>
          <w:rFonts w:ascii="Times New Roman" w:hAnsi="Times New Roman" w:eastAsia="Times New Roman" w:cs="Times New Roman"/>
          <w:color w:val="auto"/>
          <w:spacing w:val="-1"/>
          <w:sz w:val="24"/>
          <w:szCs w:val="24"/>
          <w:highlight w:val="none"/>
        </w:rPr>
        <w:t xml:space="preserve">2.2.2  </w:t>
      </w:r>
      <w:r>
        <w:rPr>
          <w:rFonts w:ascii="宋体" w:hAnsi="宋体" w:eastAsia="宋体" w:cs="宋体"/>
          <w:color w:val="auto"/>
          <w:spacing w:val="-1"/>
          <w:sz w:val="24"/>
          <w:szCs w:val="24"/>
          <w:highlight w:val="none"/>
        </w:rPr>
        <w:t>项（</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）目规定的</w:t>
      </w:r>
      <w:r>
        <w:rPr>
          <w:rFonts w:ascii="宋体" w:hAnsi="宋体" w:eastAsia="宋体" w:cs="宋体"/>
          <w:color w:val="auto"/>
          <w:spacing w:val="-2"/>
          <w:sz w:val="24"/>
          <w:szCs w:val="24"/>
          <w:highlight w:val="none"/>
        </w:rPr>
        <w:t>评审因素和分值对施工组织设计</w:t>
      </w:r>
      <w:r>
        <w:rPr>
          <w:rFonts w:ascii="宋体" w:hAnsi="宋体" w:eastAsia="宋体" w:cs="宋体"/>
          <w:strike/>
          <w:dstrike w:val="0"/>
          <w:color w:val="auto"/>
          <w:spacing w:val="-2"/>
          <w:sz w:val="24"/>
          <w:szCs w:val="24"/>
          <w:highlight w:val="none"/>
          <w:u w:val="single" w:color="auto"/>
        </w:rPr>
        <w:t>及承包人项目管</w:t>
      </w:r>
      <w:r>
        <w:rPr>
          <w:rFonts w:ascii="宋体" w:hAnsi="宋体" w:eastAsia="宋体" w:cs="宋体"/>
          <w:strike/>
          <w:dstrike w:val="0"/>
          <w:color w:val="auto"/>
          <w:spacing w:val="-1"/>
          <w:sz w:val="24"/>
          <w:szCs w:val="24"/>
          <w:highlight w:val="none"/>
          <w:u w:val="single" w:color="auto"/>
        </w:rPr>
        <w:t>理方案</w:t>
      </w:r>
      <w:r>
        <w:rPr>
          <w:rFonts w:ascii="宋体" w:hAnsi="宋体" w:eastAsia="宋体" w:cs="宋体"/>
          <w:color w:val="auto"/>
          <w:spacing w:val="-1"/>
          <w:sz w:val="24"/>
          <w:szCs w:val="24"/>
          <w:highlight w:val="none"/>
        </w:rPr>
        <w:t xml:space="preserve">部分计算出得分 </w:t>
      </w:r>
      <w:r>
        <w:rPr>
          <w:rFonts w:ascii="Times New Roman" w:hAnsi="Times New Roman" w:eastAsia="Times New Roman" w:cs="Times New Roman"/>
          <w:color w:val="auto"/>
          <w:spacing w:val="-1"/>
          <w:sz w:val="24"/>
          <w:szCs w:val="24"/>
          <w:highlight w:val="none"/>
        </w:rPr>
        <w:t>A</w:t>
      </w:r>
      <w:r>
        <w:rPr>
          <w:rFonts w:ascii="宋体" w:hAnsi="宋体" w:eastAsia="宋体" w:cs="宋体"/>
          <w:color w:val="auto"/>
          <w:spacing w:val="-1"/>
          <w:sz w:val="24"/>
          <w:szCs w:val="24"/>
          <w:highlight w:val="none"/>
        </w:rPr>
        <w:t>；</w:t>
      </w:r>
    </w:p>
    <w:p w14:paraId="67870D70">
      <w:pPr>
        <w:spacing w:before="182" w:line="219" w:lineRule="auto"/>
        <w:ind w:left="1431"/>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 xml:space="preserve">）按本章第 </w:t>
      </w:r>
      <w:r>
        <w:rPr>
          <w:rFonts w:ascii="Times New Roman" w:hAnsi="Times New Roman" w:eastAsia="Times New Roman" w:cs="Times New Roman"/>
          <w:color w:val="auto"/>
          <w:sz w:val="24"/>
          <w:szCs w:val="24"/>
          <w:highlight w:val="none"/>
        </w:rPr>
        <w:t xml:space="preserve">2.2.2  </w:t>
      </w:r>
      <w:r>
        <w:rPr>
          <w:rFonts w:ascii="宋体" w:hAnsi="宋体" w:eastAsia="宋体" w:cs="宋体"/>
          <w:color w:val="auto"/>
          <w:sz w:val="24"/>
          <w:szCs w:val="24"/>
          <w:highlight w:val="none"/>
        </w:rPr>
        <w:t>项（</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）目规定的评审因素和</w:t>
      </w:r>
      <w:r>
        <w:rPr>
          <w:rFonts w:ascii="宋体" w:hAnsi="宋体" w:eastAsia="宋体" w:cs="宋体"/>
          <w:color w:val="auto"/>
          <w:spacing w:val="-1"/>
          <w:sz w:val="24"/>
          <w:szCs w:val="24"/>
          <w:highlight w:val="none"/>
        </w:rPr>
        <w:t xml:space="preserve">分值对主要人员部分计算出得分 </w:t>
      </w:r>
      <w:r>
        <w:rPr>
          <w:rFonts w:ascii="Times New Roman" w:hAnsi="Times New Roman" w:eastAsia="Times New Roman" w:cs="Times New Roman"/>
          <w:color w:val="auto"/>
          <w:spacing w:val="-1"/>
          <w:sz w:val="24"/>
          <w:szCs w:val="24"/>
          <w:highlight w:val="none"/>
        </w:rPr>
        <w:t>B</w:t>
      </w:r>
      <w:r>
        <w:rPr>
          <w:rFonts w:ascii="宋体" w:hAnsi="宋体" w:eastAsia="宋体" w:cs="宋体"/>
          <w:color w:val="auto"/>
          <w:spacing w:val="-1"/>
          <w:sz w:val="24"/>
          <w:szCs w:val="24"/>
          <w:highlight w:val="none"/>
        </w:rPr>
        <w:t>；</w:t>
      </w:r>
    </w:p>
    <w:p w14:paraId="069AF1D8">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 xml:space="preserve">）按本章第 </w:t>
      </w:r>
      <w:r>
        <w:rPr>
          <w:rFonts w:ascii="Times New Roman" w:hAnsi="Times New Roman" w:eastAsia="Times New Roman" w:cs="Times New Roman"/>
          <w:color w:val="auto"/>
          <w:sz w:val="24"/>
          <w:szCs w:val="24"/>
          <w:highlight w:val="none"/>
        </w:rPr>
        <w:t xml:space="preserve">2.2.2  </w:t>
      </w:r>
      <w:r>
        <w:rPr>
          <w:rFonts w:ascii="宋体" w:hAnsi="宋体" w:eastAsia="宋体" w:cs="宋体"/>
          <w:color w:val="auto"/>
          <w:sz w:val="24"/>
          <w:szCs w:val="24"/>
          <w:highlight w:val="none"/>
        </w:rPr>
        <w:t>项（</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）目规定的评审因</w:t>
      </w:r>
      <w:r>
        <w:rPr>
          <w:rFonts w:ascii="宋体" w:hAnsi="宋体" w:eastAsia="宋体" w:cs="宋体"/>
          <w:color w:val="auto"/>
          <w:spacing w:val="-1"/>
          <w:sz w:val="24"/>
          <w:szCs w:val="24"/>
          <w:highlight w:val="none"/>
        </w:rPr>
        <w:t xml:space="preserve">素和分值对其他部分计算出得分 </w:t>
      </w:r>
      <w:r>
        <w:rPr>
          <w:rFonts w:ascii="Times New Roman" w:hAnsi="Times New Roman" w:eastAsia="Times New Roman" w:cs="Times New Roman"/>
          <w:color w:val="auto"/>
          <w:spacing w:val="-1"/>
          <w:sz w:val="24"/>
          <w:szCs w:val="24"/>
          <w:highlight w:val="none"/>
        </w:rPr>
        <w:t>C</w:t>
      </w:r>
      <w:r>
        <w:rPr>
          <w:rFonts w:ascii="宋体" w:hAnsi="宋体" w:eastAsia="宋体" w:cs="宋体"/>
          <w:color w:val="auto"/>
          <w:spacing w:val="-1"/>
          <w:sz w:val="24"/>
          <w:szCs w:val="24"/>
          <w:highlight w:val="none"/>
        </w:rPr>
        <w:t>。</w:t>
      </w:r>
    </w:p>
    <w:p w14:paraId="1EFE86D7">
      <w:pPr>
        <w:spacing w:before="183" w:line="293" w:lineRule="auto"/>
        <w:ind w:left="1424" w:right="1488"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3.2.2  </w:t>
      </w:r>
      <w:r>
        <w:rPr>
          <w:rFonts w:ascii="宋体" w:hAnsi="宋体" w:eastAsia="宋体" w:cs="宋体"/>
          <w:color w:val="auto"/>
          <w:sz w:val="24"/>
          <w:szCs w:val="24"/>
          <w:highlight w:val="none"/>
        </w:rPr>
        <w:t>投标人的商务和技术得分分值计算保留小数点后四位，</w:t>
      </w:r>
      <w:r>
        <w:rPr>
          <w:rFonts w:ascii="宋体" w:hAnsi="宋体" w:eastAsia="宋体" w:cs="宋体"/>
          <w:color w:val="auto"/>
          <w:spacing w:val="-1"/>
          <w:sz w:val="24"/>
          <w:szCs w:val="24"/>
          <w:highlight w:val="none"/>
        </w:rPr>
        <w:t>小数点后第五位“四舍五</w:t>
      </w:r>
      <w:r>
        <w:rPr>
          <w:rFonts w:ascii="宋体" w:hAnsi="宋体" w:eastAsia="宋体" w:cs="宋体"/>
          <w:color w:val="auto"/>
          <w:spacing w:val="-10"/>
          <w:sz w:val="24"/>
          <w:szCs w:val="24"/>
          <w:highlight w:val="none"/>
        </w:rPr>
        <w:t>入”。</w:t>
      </w:r>
    </w:p>
    <w:p w14:paraId="2CB1827E">
      <w:pPr>
        <w:spacing w:before="173" w:line="220" w:lineRule="auto"/>
        <w:ind w:left="142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3.2.3  </w:t>
      </w:r>
      <w:r>
        <w:rPr>
          <w:rFonts w:ascii="宋体" w:hAnsi="宋体" w:eastAsia="宋体" w:cs="宋体"/>
          <w:color w:val="auto"/>
          <w:spacing w:val="-2"/>
          <w:sz w:val="24"/>
          <w:szCs w:val="24"/>
          <w:highlight w:val="none"/>
        </w:rPr>
        <w:t>投标人的商务和技术得分=A+B+C。</w:t>
      </w:r>
    </w:p>
    <w:p w14:paraId="56311395">
      <w:pPr>
        <w:spacing w:before="182" w:line="360" w:lineRule="auto"/>
        <w:ind w:left="1424" w:right="1481" w:firstLine="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除履约信誉得分外，投标文件</w:t>
      </w:r>
      <w:r>
        <w:rPr>
          <w:rFonts w:hint="eastAsia" w:ascii="宋体" w:hAnsi="宋体" w:eastAsia="宋体" w:cs="宋体"/>
          <w:color w:val="auto"/>
          <w:spacing w:val="-2"/>
          <w:sz w:val="24"/>
          <w:szCs w:val="24"/>
          <w:highlight w:val="none"/>
        </w:rPr>
        <w:t>第一个信封</w:t>
      </w:r>
      <w:r>
        <w:rPr>
          <w:rFonts w:ascii="宋体" w:hAnsi="宋体" w:eastAsia="宋体" w:cs="宋体"/>
          <w:color w:val="auto"/>
          <w:spacing w:val="-2"/>
          <w:sz w:val="24"/>
          <w:szCs w:val="24"/>
          <w:highlight w:val="none"/>
        </w:rPr>
        <w:t>各评分因素细分项</w:t>
      </w:r>
      <w:r>
        <w:rPr>
          <w:rFonts w:ascii="宋体" w:hAnsi="宋体" w:eastAsia="宋体" w:cs="宋体"/>
          <w:color w:val="auto"/>
          <w:spacing w:val="-3"/>
          <w:sz w:val="24"/>
          <w:szCs w:val="24"/>
          <w:highlight w:val="none"/>
        </w:rPr>
        <w:t>得分均不应低于其权重分的</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60%，</w:t>
      </w:r>
      <w:r>
        <w:rPr>
          <w:rFonts w:ascii="宋体" w:hAnsi="宋体" w:eastAsia="宋体" w:cs="宋体"/>
          <w:color w:val="auto"/>
          <w:spacing w:val="-2"/>
          <w:sz w:val="24"/>
          <w:szCs w:val="24"/>
          <w:highlight w:val="none"/>
        </w:rPr>
        <w:t>评分低于权重分值</w:t>
      </w:r>
      <w:r>
        <w:rPr>
          <w:rFonts w:ascii="宋体" w:hAnsi="宋体" w:eastAsia="宋体" w:cs="宋体"/>
          <w:color w:val="auto"/>
          <w:spacing w:val="-37"/>
          <w:sz w:val="24"/>
          <w:szCs w:val="24"/>
          <w:highlight w:val="none"/>
        </w:rPr>
        <w:t xml:space="preserve"> </w:t>
      </w:r>
      <w:r>
        <w:rPr>
          <w:rFonts w:ascii="宋体" w:hAnsi="宋体" w:eastAsia="宋体" w:cs="宋体"/>
          <w:color w:val="auto"/>
          <w:spacing w:val="-2"/>
          <w:sz w:val="24"/>
          <w:szCs w:val="24"/>
          <w:highlight w:val="none"/>
        </w:rPr>
        <w:t>60%的，评标委员会成员应当在评标报告中作出说明。</w:t>
      </w:r>
    </w:p>
    <w:p w14:paraId="5893AC2C">
      <w:pPr>
        <w:spacing w:line="360" w:lineRule="auto"/>
        <w:ind w:left="1424" w:right="1416"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评标委员会人数为</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9</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人时，计算投标人技术得分时:首先在评委技术评分中，采用</w:t>
      </w:r>
      <w:r>
        <w:rPr>
          <w:rFonts w:ascii="宋体" w:hAnsi="宋体" w:eastAsia="宋体" w:cs="宋体"/>
          <w:color w:val="auto"/>
          <w:spacing w:val="-4"/>
          <w:sz w:val="24"/>
          <w:szCs w:val="24"/>
          <w:highlight w:val="none"/>
        </w:rPr>
        <w:t>取消同一评委对同一标段各投标人评分总分的差值最大的</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4"/>
          <w:sz w:val="24"/>
          <w:szCs w:val="24"/>
          <w:highlight w:val="none"/>
        </w:rPr>
        <w:t>名评委评分分值（若有</w:t>
      </w:r>
      <w:r>
        <w:rPr>
          <w:rFonts w:ascii="宋体" w:hAnsi="宋体" w:eastAsia="宋体" w:cs="宋体"/>
          <w:color w:val="auto"/>
          <w:spacing w:val="-35"/>
          <w:sz w:val="24"/>
          <w:szCs w:val="24"/>
          <w:highlight w:val="none"/>
        </w:rPr>
        <w:t xml:space="preserve"> </w:t>
      </w:r>
      <w:r>
        <w:rPr>
          <w:rFonts w:ascii="宋体" w:hAnsi="宋体" w:eastAsia="宋体" w:cs="宋体"/>
          <w:color w:val="auto"/>
          <w:spacing w:val="-4"/>
          <w:sz w:val="24"/>
          <w:szCs w:val="24"/>
          <w:highlight w:val="none"/>
        </w:rPr>
        <w:t>2</w:t>
      </w:r>
      <w:r>
        <w:rPr>
          <w:rFonts w:ascii="宋体" w:hAnsi="宋体" w:eastAsia="宋体" w:cs="宋体"/>
          <w:color w:val="auto"/>
          <w:spacing w:val="-48"/>
          <w:sz w:val="24"/>
          <w:szCs w:val="24"/>
          <w:highlight w:val="none"/>
        </w:rPr>
        <w:t xml:space="preserve"> </w:t>
      </w:r>
      <w:r>
        <w:rPr>
          <w:rFonts w:ascii="宋体" w:hAnsi="宋体" w:eastAsia="宋体" w:cs="宋体"/>
          <w:color w:val="auto"/>
          <w:spacing w:val="-4"/>
          <w:sz w:val="24"/>
          <w:szCs w:val="24"/>
          <w:highlight w:val="none"/>
        </w:rPr>
        <w:t>名</w:t>
      </w:r>
      <w:r>
        <w:rPr>
          <w:rFonts w:ascii="宋体" w:hAnsi="宋体" w:eastAsia="宋体" w:cs="宋体"/>
          <w:color w:val="auto"/>
          <w:spacing w:val="-3"/>
          <w:sz w:val="24"/>
          <w:szCs w:val="24"/>
          <w:highlight w:val="none"/>
        </w:rPr>
        <w:t>或以上评委技术评分总分差值最大值相等时，则取消其中</w:t>
      </w:r>
      <w:r>
        <w:rPr>
          <w:rFonts w:ascii="宋体" w:hAnsi="宋体" w:eastAsia="宋体" w:cs="宋体"/>
          <w:color w:val="auto"/>
          <w:spacing w:val="-16"/>
          <w:sz w:val="24"/>
          <w:szCs w:val="24"/>
          <w:highlight w:val="none"/>
        </w:rPr>
        <w:t xml:space="preserve"> </w:t>
      </w:r>
      <w:r>
        <w:rPr>
          <w:rFonts w:ascii="宋体" w:hAnsi="宋体" w:eastAsia="宋体" w:cs="宋体"/>
          <w:color w:val="auto"/>
          <w:spacing w:val="-3"/>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名评委的所有评分，具体办</w:t>
      </w:r>
      <w:r>
        <w:rPr>
          <w:rFonts w:ascii="宋体" w:hAnsi="宋体" w:eastAsia="宋体" w:cs="宋体"/>
          <w:color w:val="auto"/>
          <w:spacing w:val="-1"/>
          <w:sz w:val="24"/>
          <w:szCs w:val="24"/>
          <w:highlight w:val="none"/>
        </w:rPr>
        <w:t>法如下</w:t>
      </w:r>
      <w:r>
        <w:rPr>
          <w:rFonts w:ascii="宋体" w:hAnsi="宋体" w:eastAsia="宋体" w:cs="宋体"/>
          <w:color w:val="auto"/>
          <w:spacing w:val="-11"/>
          <w:sz w:val="24"/>
          <w:szCs w:val="24"/>
          <w:highlight w:val="none"/>
        </w:rPr>
        <w:t>），</w:t>
      </w:r>
      <w:r>
        <w:rPr>
          <w:rFonts w:ascii="宋体" w:hAnsi="宋体" w:eastAsia="宋体" w:cs="宋体"/>
          <w:color w:val="auto"/>
          <w:spacing w:val="-1"/>
          <w:sz w:val="24"/>
          <w:szCs w:val="24"/>
          <w:highlight w:val="none"/>
        </w:rPr>
        <w:t>再对各评分因素细分项中取消一个最高、一个最低分后计算其算术平均值的</w:t>
      </w:r>
      <w:r>
        <w:rPr>
          <w:rFonts w:ascii="宋体" w:hAnsi="宋体" w:eastAsia="宋体" w:cs="宋体"/>
          <w:color w:val="auto"/>
          <w:spacing w:val="-2"/>
          <w:sz w:val="24"/>
          <w:szCs w:val="24"/>
          <w:highlight w:val="none"/>
        </w:rPr>
        <w:t>和为投标人的最终技术得分，平均值计算保留小数点后四位，小数点后第五位“四舍五</w:t>
      </w:r>
      <w:r>
        <w:rPr>
          <w:rFonts w:ascii="宋体" w:hAnsi="宋体" w:eastAsia="宋体" w:cs="宋体"/>
          <w:color w:val="auto"/>
          <w:spacing w:val="-10"/>
          <w:sz w:val="24"/>
          <w:szCs w:val="24"/>
          <w:highlight w:val="none"/>
        </w:rPr>
        <w:t>入”。</w:t>
      </w:r>
    </w:p>
    <w:p w14:paraId="55DB2D4C">
      <w:pPr>
        <w:spacing w:before="1" w:line="219"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取消其中</w:t>
      </w:r>
      <w:r>
        <w:rPr>
          <w:rFonts w:ascii="宋体" w:hAnsi="宋体" w:eastAsia="宋体" w:cs="宋体"/>
          <w:color w:val="auto"/>
          <w:spacing w:val="-26"/>
          <w:sz w:val="24"/>
          <w:szCs w:val="24"/>
          <w:highlight w:val="none"/>
        </w:rPr>
        <w:t xml:space="preserve"> </w:t>
      </w:r>
      <w:r>
        <w:rPr>
          <w:rFonts w:ascii="宋体" w:hAnsi="宋体" w:eastAsia="宋体" w:cs="宋体"/>
          <w:color w:val="auto"/>
          <w:spacing w:val="-2"/>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名评委所有评分的办法[ 办法一、办法二任选一个。]</w:t>
      </w:r>
    </w:p>
    <w:p w14:paraId="09752DC3">
      <w:pPr>
        <w:spacing w:before="183" w:line="360"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办法一：依次按照以下流程</w:t>
      </w:r>
      <w:r>
        <w:rPr>
          <w:rFonts w:ascii="宋体" w:hAnsi="宋体" w:eastAsia="宋体" w:cs="宋体"/>
          <w:color w:val="auto"/>
          <w:sz w:val="24"/>
          <w:szCs w:val="24"/>
          <w:highlight w:val="none"/>
        </w:rPr>
        <w:t>，（</w:t>
      </w:r>
      <w:r>
        <w:rPr>
          <w:rFonts w:ascii="宋体" w:hAnsi="宋体" w:eastAsia="宋体" w:cs="宋体"/>
          <w:color w:val="auto"/>
          <w:spacing w:val="-1"/>
          <w:sz w:val="24"/>
          <w:szCs w:val="24"/>
          <w:highlight w:val="none"/>
        </w:rPr>
        <w:t>1）对比上述出现技术评分总分差值最大值相等的</w:t>
      </w:r>
      <w:r>
        <w:rPr>
          <w:rFonts w:ascii="宋体" w:hAnsi="宋体" w:eastAsia="宋体" w:cs="宋体"/>
          <w:color w:val="auto"/>
          <w:spacing w:val="-2"/>
          <w:sz w:val="24"/>
          <w:szCs w:val="24"/>
          <w:highlight w:val="none"/>
        </w:rPr>
        <w:t>评委的次大差值（次大差值＝某一评委技术评分总分的最高分－该评委技术评分总分的</w:t>
      </w:r>
      <w:r>
        <w:rPr>
          <w:rFonts w:ascii="宋体" w:hAnsi="宋体" w:eastAsia="宋体" w:cs="宋体"/>
          <w:color w:val="auto"/>
          <w:sz w:val="24"/>
          <w:szCs w:val="24"/>
          <w:highlight w:val="none"/>
        </w:rPr>
        <w:t>次低分</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取消次大差值最大的评委所有评分</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2）如次大差值</w:t>
      </w:r>
      <w:r>
        <w:rPr>
          <w:rFonts w:ascii="宋体" w:hAnsi="宋体" w:eastAsia="宋体" w:cs="宋体"/>
          <w:color w:val="auto"/>
          <w:spacing w:val="-1"/>
          <w:sz w:val="24"/>
          <w:szCs w:val="24"/>
          <w:highlight w:val="none"/>
        </w:rPr>
        <w:t>仍相同，则按随机抽</w:t>
      </w:r>
      <w:r>
        <w:rPr>
          <w:rFonts w:ascii="宋体" w:hAnsi="宋体" w:eastAsia="宋体" w:cs="宋体"/>
          <w:color w:val="auto"/>
          <w:spacing w:val="-5"/>
          <w:sz w:val="24"/>
          <w:szCs w:val="24"/>
          <w:highlight w:val="none"/>
        </w:rPr>
        <w:t>取的方式选定取消</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名评委评分。</w:t>
      </w:r>
    </w:p>
    <w:p w14:paraId="3B85479B">
      <w:pPr>
        <w:spacing w:line="360" w:lineRule="auto"/>
        <w:ind w:left="1424" w:right="1331"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示例:同一评委对</w:t>
      </w:r>
      <w:r>
        <w:rPr>
          <w:rFonts w:ascii="宋体" w:hAnsi="宋体" w:eastAsia="宋体" w:cs="宋体"/>
          <w:color w:val="auto"/>
          <w:spacing w:val="-46"/>
          <w:sz w:val="24"/>
          <w:szCs w:val="24"/>
          <w:highlight w:val="none"/>
        </w:rPr>
        <w:t xml:space="preserve"> </w:t>
      </w:r>
      <w:r>
        <w:rPr>
          <w:rFonts w:ascii="宋体" w:hAnsi="宋体" w:eastAsia="宋体" w:cs="宋体"/>
          <w:color w:val="auto"/>
          <w:sz w:val="24"/>
          <w:szCs w:val="24"/>
          <w:highlight w:val="none"/>
        </w:rPr>
        <w:t>5</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名投标人技术评分总分分别为:6.65（最高分)</w:t>
      </w:r>
      <w:r>
        <w:rPr>
          <w:rFonts w:ascii="宋体" w:hAnsi="宋体" w:eastAsia="宋体" w:cs="宋体"/>
          <w:color w:val="auto"/>
          <w:spacing w:val="-1"/>
          <w:sz w:val="24"/>
          <w:szCs w:val="24"/>
          <w:highlight w:val="none"/>
        </w:rPr>
        <w:t>、5.88、5.11、</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4.90（次低分）、4.55（最低分</w:t>
      </w:r>
      <w:r>
        <w:rPr>
          <w:rFonts w:ascii="宋体" w:hAnsi="宋体" w:eastAsia="宋体" w:cs="宋体"/>
          <w:color w:val="auto"/>
          <w:spacing w:val="-33"/>
          <w:sz w:val="24"/>
          <w:szCs w:val="24"/>
          <w:highlight w:val="none"/>
        </w:rPr>
        <w:t>），</w:t>
      </w:r>
      <w:r>
        <w:rPr>
          <w:rFonts w:ascii="宋体" w:hAnsi="宋体" w:eastAsia="宋体" w:cs="宋体"/>
          <w:color w:val="auto"/>
          <w:spacing w:val="-8"/>
          <w:sz w:val="24"/>
          <w:szCs w:val="24"/>
          <w:highlight w:val="none"/>
        </w:rPr>
        <w:t>则其最大差值为</w:t>
      </w:r>
      <w:r>
        <w:rPr>
          <w:rFonts w:ascii="宋体" w:hAnsi="宋体" w:eastAsia="宋体" w:cs="宋体"/>
          <w:color w:val="auto"/>
          <w:spacing w:val="-48"/>
          <w:sz w:val="24"/>
          <w:szCs w:val="24"/>
          <w:highlight w:val="none"/>
        </w:rPr>
        <w:t xml:space="preserve"> </w:t>
      </w:r>
      <w:r>
        <w:rPr>
          <w:rFonts w:ascii="宋体" w:hAnsi="宋体" w:eastAsia="宋体" w:cs="宋体"/>
          <w:color w:val="auto"/>
          <w:spacing w:val="-8"/>
          <w:sz w:val="24"/>
          <w:szCs w:val="24"/>
          <w:highlight w:val="none"/>
        </w:rPr>
        <w:t>2.1、次大差值为</w:t>
      </w:r>
      <w:r>
        <w:rPr>
          <w:rFonts w:ascii="宋体" w:hAnsi="宋体" w:eastAsia="宋体" w:cs="宋体"/>
          <w:color w:val="auto"/>
          <w:spacing w:val="-48"/>
          <w:sz w:val="24"/>
          <w:szCs w:val="24"/>
          <w:highlight w:val="none"/>
        </w:rPr>
        <w:t xml:space="preserve"> </w:t>
      </w:r>
      <w:r>
        <w:rPr>
          <w:rFonts w:ascii="宋体" w:hAnsi="宋体" w:eastAsia="宋体" w:cs="宋体"/>
          <w:color w:val="auto"/>
          <w:spacing w:val="-8"/>
          <w:sz w:val="24"/>
          <w:szCs w:val="24"/>
          <w:highlight w:val="none"/>
        </w:rPr>
        <w:t>6.65-</w:t>
      </w:r>
      <w:r>
        <w:rPr>
          <w:rFonts w:ascii="宋体" w:hAnsi="宋体" w:eastAsia="宋体" w:cs="宋体"/>
          <w:color w:val="auto"/>
          <w:spacing w:val="-9"/>
          <w:sz w:val="24"/>
          <w:szCs w:val="24"/>
          <w:highlight w:val="none"/>
        </w:rPr>
        <w:t>4.90=1.75）。</w:t>
      </w:r>
    </w:p>
    <w:p w14:paraId="4FE364D6">
      <w:pPr>
        <w:spacing w:before="1" w:line="218"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办法二：按随机抽取的方式选定取消</w:t>
      </w:r>
      <w:r>
        <w:rPr>
          <w:rFonts w:ascii="宋体" w:hAnsi="宋体" w:eastAsia="宋体" w:cs="宋体"/>
          <w:strike/>
          <w:dstrike w:val="0"/>
          <w:color w:val="auto"/>
          <w:spacing w:val="-23"/>
          <w:sz w:val="24"/>
          <w:szCs w:val="24"/>
          <w:highlight w:val="none"/>
        </w:rPr>
        <w:t xml:space="preserve"> </w:t>
      </w:r>
      <w:r>
        <w:rPr>
          <w:rFonts w:ascii="宋体" w:hAnsi="宋体" w:eastAsia="宋体" w:cs="宋体"/>
          <w:strike/>
          <w:dstrike w:val="0"/>
          <w:color w:val="auto"/>
          <w:spacing w:val="-4"/>
          <w:sz w:val="24"/>
          <w:szCs w:val="24"/>
          <w:highlight w:val="none"/>
        </w:rPr>
        <w:t>1</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pacing w:val="-4"/>
          <w:sz w:val="24"/>
          <w:szCs w:val="24"/>
          <w:highlight w:val="none"/>
        </w:rPr>
        <w:t>名评委评分。</w:t>
      </w:r>
    </w:p>
    <w:p w14:paraId="2579AA46">
      <w:pPr>
        <w:spacing w:before="184" w:line="361" w:lineRule="auto"/>
        <w:ind w:left="1425" w:right="1416"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评标委员会人数为</w:t>
      </w:r>
      <w:r>
        <w:rPr>
          <w:rFonts w:ascii="宋体" w:hAnsi="宋体" w:eastAsia="宋体" w:cs="宋体"/>
          <w:strike/>
          <w:dstrike w:val="0"/>
          <w:color w:val="auto"/>
          <w:spacing w:val="-45"/>
          <w:sz w:val="24"/>
          <w:szCs w:val="24"/>
          <w:highlight w:val="none"/>
        </w:rPr>
        <w:t xml:space="preserve"> </w:t>
      </w:r>
      <w:r>
        <w:rPr>
          <w:rFonts w:ascii="宋体" w:hAnsi="宋体" w:eastAsia="宋体" w:cs="宋体"/>
          <w:strike/>
          <w:dstrike w:val="0"/>
          <w:color w:val="auto"/>
          <w:spacing w:val="-1"/>
          <w:sz w:val="24"/>
          <w:szCs w:val="24"/>
          <w:highlight w:val="none"/>
        </w:rPr>
        <w:t>7</w:t>
      </w:r>
      <w:r>
        <w:rPr>
          <w:rFonts w:ascii="宋体" w:hAnsi="宋体" w:eastAsia="宋体" w:cs="宋体"/>
          <w:strike/>
          <w:dstrike w:val="0"/>
          <w:color w:val="auto"/>
          <w:spacing w:val="-49"/>
          <w:sz w:val="24"/>
          <w:szCs w:val="24"/>
          <w:highlight w:val="none"/>
        </w:rPr>
        <w:t xml:space="preserve"> </w:t>
      </w:r>
      <w:r>
        <w:rPr>
          <w:rFonts w:ascii="宋体" w:hAnsi="宋体" w:eastAsia="宋体" w:cs="宋体"/>
          <w:strike/>
          <w:dstrike w:val="0"/>
          <w:color w:val="auto"/>
          <w:spacing w:val="-1"/>
          <w:sz w:val="24"/>
          <w:szCs w:val="24"/>
          <w:highlight w:val="none"/>
        </w:rPr>
        <w:t>人时，计算投标人技术得分时:对各评分因素细分项中取消一</w:t>
      </w:r>
      <w:r>
        <w:rPr>
          <w:rFonts w:ascii="宋体" w:hAnsi="宋体" w:eastAsia="宋体" w:cs="宋体"/>
          <w:strike/>
          <w:dstrike w:val="0"/>
          <w:color w:val="auto"/>
          <w:spacing w:val="-2"/>
          <w:sz w:val="24"/>
          <w:szCs w:val="24"/>
          <w:highlight w:val="none"/>
        </w:rPr>
        <w:t>个最高、一个最低分后计算算术平均值的和为投标人的最终技术得分，平均值计算保留小数点后四位，小数点后第五位“四舍五入”。如果特殊原因评标委员会人数由 7</w:t>
      </w:r>
      <w:r>
        <w:rPr>
          <w:rFonts w:ascii="宋体" w:hAnsi="宋体" w:eastAsia="宋体" w:cs="宋体"/>
          <w:strike/>
          <w:dstrike w:val="0"/>
          <w:color w:val="auto"/>
          <w:spacing w:val="-42"/>
          <w:sz w:val="24"/>
          <w:szCs w:val="24"/>
          <w:highlight w:val="none"/>
        </w:rPr>
        <w:t xml:space="preserve"> </w:t>
      </w:r>
      <w:r>
        <w:rPr>
          <w:rFonts w:ascii="宋体" w:hAnsi="宋体" w:eastAsia="宋体" w:cs="宋体"/>
          <w:strike/>
          <w:dstrike w:val="0"/>
          <w:color w:val="auto"/>
          <w:spacing w:val="-2"/>
          <w:sz w:val="24"/>
          <w:szCs w:val="24"/>
          <w:highlight w:val="none"/>
        </w:rPr>
        <w:t>人</w:t>
      </w:r>
    </w:p>
    <w:p w14:paraId="1D7AC291">
      <w:pPr>
        <w:spacing w:before="78" w:line="358" w:lineRule="auto"/>
        <w:ind w:left="1426" w:right="1488" w:hanging="1"/>
        <w:rPr>
          <w:rFonts w:ascii="宋体" w:hAnsi="宋体" w:eastAsia="宋体" w:cs="宋体"/>
          <w:strike/>
          <w:dstrike w:val="0"/>
          <w:color w:val="auto"/>
          <w:sz w:val="24"/>
          <w:szCs w:val="24"/>
          <w:highlight w:val="none"/>
        </w:rPr>
      </w:pPr>
      <w:bookmarkStart w:id="17" w:name="bookmark25"/>
      <w:bookmarkEnd w:id="17"/>
      <w:r>
        <w:rPr>
          <w:rFonts w:ascii="宋体" w:hAnsi="宋体" w:eastAsia="宋体" w:cs="宋体"/>
          <w:strike/>
          <w:dstrike w:val="0"/>
          <w:color w:val="auto"/>
          <w:spacing w:val="-1"/>
          <w:sz w:val="24"/>
          <w:szCs w:val="24"/>
          <w:highlight w:val="none"/>
        </w:rPr>
        <w:t>变为</w:t>
      </w:r>
      <w:r>
        <w:rPr>
          <w:rFonts w:ascii="宋体" w:hAnsi="宋体" w:eastAsia="宋体" w:cs="宋体"/>
          <w:strike/>
          <w:dstrike w:val="0"/>
          <w:color w:val="auto"/>
          <w:spacing w:val="-44"/>
          <w:sz w:val="24"/>
          <w:szCs w:val="24"/>
          <w:highlight w:val="none"/>
        </w:rPr>
        <w:t xml:space="preserve"> </w:t>
      </w:r>
      <w:r>
        <w:rPr>
          <w:rFonts w:ascii="宋体" w:hAnsi="宋体" w:eastAsia="宋体" w:cs="宋体"/>
          <w:strike/>
          <w:dstrike w:val="0"/>
          <w:color w:val="auto"/>
          <w:spacing w:val="-1"/>
          <w:sz w:val="24"/>
          <w:szCs w:val="24"/>
          <w:highlight w:val="none"/>
        </w:rPr>
        <w:t>5</w:t>
      </w:r>
      <w:r>
        <w:rPr>
          <w:rFonts w:ascii="宋体" w:hAnsi="宋体" w:eastAsia="宋体" w:cs="宋体"/>
          <w:strike/>
          <w:dstrike w:val="0"/>
          <w:color w:val="auto"/>
          <w:spacing w:val="-49"/>
          <w:sz w:val="24"/>
          <w:szCs w:val="24"/>
          <w:highlight w:val="none"/>
        </w:rPr>
        <w:t xml:space="preserve"> </w:t>
      </w:r>
      <w:r>
        <w:rPr>
          <w:rFonts w:ascii="宋体" w:hAnsi="宋体" w:eastAsia="宋体" w:cs="宋体"/>
          <w:strike/>
          <w:dstrike w:val="0"/>
          <w:color w:val="auto"/>
          <w:spacing w:val="-1"/>
          <w:sz w:val="24"/>
          <w:szCs w:val="24"/>
          <w:highlight w:val="none"/>
        </w:rPr>
        <w:t>人的情形，计算投标人技术得分时:对各评分因素细分项算术平均值的和为投标</w:t>
      </w:r>
      <w:r>
        <w:rPr>
          <w:rFonts w:ascii="宋体" w:hAnsi="宋体" w:eastAsia="宋体" w:cs="宋体"/>
          <w:strike/>
          <w:dstrike w:val="0"/>
          <w:color w:val="auto"/>
          <w:sz w:val="24"/>
          <w:szCs w:val="24"/>
          <w:highlight w:val="none"/>
        </w:rPr>
        <w:t>人的最终技术得分，平均值计算保留小数点后四位，小数</w:t>
      </w:r>
      <w:r>
        <w:rPr>
          <w:rFonts w:ascii="宋体" w:hAnsi="宋体" w:eastAsia="宋体" w:cs="宋体"/>
          <w:strike/>
          <w:dstrike w:val="0"/>
          <w:color w:val="auto"/>
          <w:spacing w:val="-1"/>
          <w:sz w:val="24"/>
          <w:szCs w:val="24"/>
          <w:highlight w:val="none"/>
        </w:rPr>
        <w:t>点后第五位“四舍五入”。</w:t>
      </w:r>
    </w:p>
    <w:p w14:paraId="004B906F">
      <w:pPr>
        <w:spacing w:before="5" w:line="290" w:lineRule="auto"/>
        <w:ind w:left="1425" w:right="1488"/>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3.2.4  </w:t>
      </w:r>
      <w:r>
        <w:rPr>
          <w:rFonts w:ascii="宋体" w:hAnsi="宋体" w:eastAsia="宋体" w:cs="宋体"/>
          <w:color w:val="auto"/>
          <w:sz w:val="24"/>
          <w:szCs w:val="24"/>
          <w:highlight w:val="none"/>
        </w:rPr>
        <w:t>评标委员会按照投标人的商务和技术得分由高到低排序</w:t>
      </w:r>
      <w:r>
        <w:rPr>
          <w:rFonts w:ascii="宋体" w:hAnsi="宋体" w:eastAsia="宋体" w:cs="宋体"/>
          <w:color w:val="auto"/>
          <w:spacing w:val="-1"/>
          <w:sz w:val="24"/>
          <w:szCs w:val="24"/>
          <w:highlight w:val="none"/>
        </w:rPr>
        <w:t>，排名在评标办法前附表规定数量以内的投标人，其投标文件第一个信封（商务及技术文件</w:t>
      </w:r>
      <w:r>
        <w:rPr>
          <w:rFonts w:ascii="宋体" w:hAnsi="宋体" w:eastAsia="宋体" w:cs="宋体"/>
          <w:color w:val="auto"/>
          <w:spacing w:val="-2"/>
          <w:sz w:val="24"/>
          <w:szCs w:val="24"/>
          <w:highlight w:val="none"/>
        </w:rPr>
        <w:t>）通过详细评审。</w:t>
      </w:r>
    </w:p>
    <w:p w14:paraId="47BCAC1C">
      <w:pPr>
        <w:spacing w:before="183" w:line="313" w:lineRule="auto"/>
        <w:ind w:left="1424" w:right="1427"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3.2.5  </w:t>
      </w:r>
      <w:r>
        <w:rPr>
          <w:rFonts w:ascii="宋体" w:hAnsi="宋体" w:eastAsia="宋体" w:cs="宋体"/>
          <w:color w:val="auto"/>
          <w:sz w:val="24"/>
          <w:szCs w:val="24"/>
          <w:highlight w:val="none"/>
        </w:rPr>
        <w:t>通过投标文件第一个信封（商务及技术文件）初步评审的投</w:t>
      </w:r>
      <w:r>
        <w:rPr>
          <w:rFonts w:ascii="宋体" w:hAnsi="宋体" w:eastAsia="宋体" w:cs="宋体"/>
          <w:color w:val="auto"/>
          <w:spacing w:val="-1"/>
          <w:sz w:val="24"/>
          <w:szCs w:val="24"/>
          <w:highlight w:val="none"/>
        </w:rPr>
        <w:t xml:space="preserve">标人不少于 </w:t>
      </w:r>
      <w:r>
        <w:rPr>
          <w:rFonts w:ascii="Times New Roman" w:hAnsi="Times New Roman" w:eastAsia="Times New Roman" w:cs="Times New Roman"/>
          <w:color w:val="auto"/>
          <w:spacing w:val="-1"/>
          <w:sz w:val="24"/>
          <w:szCs w:val="24"/>
          <w:highlight w:val="none"/>
        </w:rPr>
        <w:t xml:space="preserve">3 </w:t>
      </w:r>
      <w:r>
        <w:rPr>
          <w:rFonts w:ascii="宋体" w:hAnsi="宋体" w:eastAsia="宋体" w:cs="宋体"/>
          <w:color w:val="auto"/>
          <w:spacing w:val="-1"/>
          <w:sz w:val="24"/>
          <w:szCs w:val="24"/>
          <w:highlight w:val="none"/>
        </w:rPr>
        <w:t>个且未</w:t>
      </w:r>
      <w:r>
        <w:rPr>
          <w:rFonts w:ascii="宋体" w:hAnsi="宋体" w:eastAsia="宋体" w:cs="宋体"/>
          <w:color w:val="auto"/>
          <w:spacing w:val="-2"/>
          <w:sz w:val="24"/>
          <w:szCs w:val="24"/>
          <w:highlight w:val="none"/>
        </w:rPr>
        <w:t xml:space="preserve">超过评标办法前附表第 </w:t>
      </w:r>
      <w:r>
        <w:rPr>
          <w:rFonts w:ascii="Times New Roman" w:hAnsi="Times New Roman" w:eastAsia="Times New Roman" w:cs="Times New Roman"/>
          <w:color w:val="auto"/>
          <w:spacing w:val="-2"/>
          <w:sz w:val="24"/>
          <w:szCs w:val="24"/>
          <w:highlight w:val="none"/>
        </w:rPr>
        <w:t xml:space="preserve">3.2.4  </w:t>
      </w:r>
      <w:r>
        <w:rPr>
          <w:rFonts w:ascii="宋体" w:hAnsi="宋体" w:eastAsia="宋体" w:cs="宋体"/>
          <w:color w:val="auto"/>
          <w:spacing w:val="-2"/>
          <w:sz w:val="24"/>
          <w:szCs w:val="24"/>
          <w:highlight w:val="none"/>
        </w:rPr>
        <w:t>项规定数量的，均通过投标文件第一个信封（商务及技术文件）详细评审，不再对投标人的商务和技术文件进行评分。</w:t>
      </w:r>
    </w:p>
    <w:p w14:paraId="7768121E">
      <w:pPr>
        <w:spacing w:before="182" w:line="222"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3.3 第二个信封开标</w:t>
      </w:r>
    </w:p>
    <w:p w14:paraId="21B6C467">
      <w:pPr>
        <w:spacing w:before="179" w:line="360" w:lineRule="auto"/>
        <w:ind w:left="1425" w:right="141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第一个信封（商务及技术文件）评审结束后，招标人将按照第二章</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投标人须知</w:t>
      </w:r>
      <w:r>
        <w:rPr>
          <w:rFonts w:ascii="Times New Roman" w:hAnsi="Times New Roman" w:eastAsia="Times New Roman" w:cs="Times New Roman"/>
          <w:color w:val="auto"/>
          <w:spacing w:val="-1"/>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49"/>
          <w:sz w:val="24"/>
          <w:szCs w:val="24"/>
          <w:highlight w:val="none"/>
        </w:rPr>
        <w:t xml:space="preserve"> </w:t>
      </w:r>
      <w:r>
        <w:rPr>
          <w:rFonts w:ascii="Times New Roman" w:hAnsi="Times New Roman" w:eastAsia="Times New Roman" w:cs="Times New Roman"/>
          <w:color w:val="auto"/>
          <w:spacing w:val="-1"/>
          <w:sz w:val="24"/>
          <w:szCs w:val="24"/>
          <w:highlight w:val="none"/>
        </w:rPr>
        <w:t>5.1</w:t>
      </w:r>
      <w:r>
        <w:rPr>
          <w:rFonts w:ascii="宋体" w:hAnsi="宋体" w:eastAsia="宋体" w:cs="宋体"/>
          <w:color w:val="auto"/>
          <w:spacing w:val="-2"/>
          <w:sz w:val="24"/>
          <w:szCs w:val="24"/>
          <w:highlight w:val="none"/>
        </w:rPr>
        <w:t>款规定的时间和地点对通过投标文件第一个信封（商务及技术文件）评审的投标文件第</w:t>
      </w:r>
      <w:r>
        <w:rPr>
          <w:rFonts w:ascii="宋体" w:hAnsi="宋体" w:eastAsia="宋体" w:cs="宋体"/>
          <w:color w:val="auto"/>
          <w:spacing w:val="-3"/>
          <w:sz w:val="24"/>
          <w:szCs w:val="24"/>
          <w:highlight w:val="none"/>
        </w:rPr>
        <w:t>二个信封（报价文件）进行开标。</w:t>
      </w:r>
    </w:p>
    <w:p w14:paraId="0D04AC29">
      <w:pPr>
        <w:spacing w:line="221"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3.4 第二个信封初步评审</w:t>
      </w:r>
    </w:p>
    <w:p w14:paraId="4C8EB2C5">
      <w:pPr>
        <w:spacing w:before="180" w:line="289" w:lineRule="auto"/>
        <w:ind w:left="1425" w:right="133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3.4.1  </w:t>
      </w:r>
      <w:r>
        <w:rPr>
          <w:rFonts w:ascii="宋体" w:hAnsi="宋体" w:eastAsia="宋体" w:cs="宋体"/>
          <w:color w:val="auto"/>
          <w:sz w:val="24"/>
          <w:szCs w:val="24"/>
          <w:highlight w:val="none"/>
        </w:rPr>
        <w:t xml:space="preserve">评标委员会依据本章第 </w:t>
      </w:r>
      <w:r>
        <w:rPr>
          <w:rFonts w:ascii="Times New Roman" w:hAnsi="Times New Roman" w:eastAsia="Times New Roman" w:cs="Times New Roman"/>
          <w:color w:val="auto"/>
          <w:sz w:val="24"/>
          <w:szCs w:val="24"/>
          <w:highlight w:val="none"/>
        </w:rPr>
        <w:t xml:space="preserve">2.1.1  </w:t>
      </w:r>
      <w:r>
        <w:rPr>
          <w:rFonts w:ascii="宋体" w:hAnsi="宋体" w:eastAsia="宋体" w:cs="宋体"/>
          <w:color w:val="auto"/>
          <w:sz w:val="24"/>
          <w:szCs w:val="24"/>
          <w:highlight w:val="none"/>
        </w:rPr>
        <w:t xml:space="preserve">项、第 </w:t>
      </w:r>
      <w:r>
        <w:rPr>
          <w:rFonts w:ascii="Times New Roman" w:hAnsi="Times New Roman" w:eastAsia="Times New Roman" w:cs="Times New Roman"/>
          <w:color w:val="auto"/>
          <w:sz w:val="24"/>
          <w:szCs w:val="24"/>
          <w:highlight w:val="none"/>
        </w:rPr>
        <w:t xml:space="preserve">2.1.3  </w:t>
      </w:r>
      <w:r>
        <w:rPr>
          <w:rFonts w:ascii="宋体" w:hAnsi="宋体" w:eastAsia="宋体" w:cs="宋体"/>
          <w:color w:val="auto"/>
          <w:sz w:val="24"/>
          <w:szCs w:val="24"/>
          <w:highlight w:val="none"/>
        </w:rPr>
        <w:t>项规定的评</w:t>
      </w:r>
      <w:r>
        <w:rPr>
          <w:rFonts w:ascii="宋体" w:hAnsi="宋体" w:eastAsia="宋体" w:cs="宋体"/>
          <w:color w:val="auto"/>
          <w:spacing w:val="-1"/>
          <w:sz w:val="24"/>
          <w:szCs w:val="24"/>
          <w:highlight w:val="none"/>
        </w:rPr>
        <w:t>审标准对投标文件第二个</w:t>
      </w:r>
      <w:r>
        <w:rPr>
          <w:rFonts w:ascii="宋体" w:hAnsi="宋体" w:eastAsia="宋体" w:cs="宋体"/>
          <w:color w:val="auto"/>
          <w:spacing w:val="-5"/>
          <w:sz w:val="24"/>
          <w:szCs w:val="24"/>
          <w:highlight w:val="none"/>
        </w:rPr>
        <w:t>信封（报价文件）进行初步评审。有一项不符</w:t>
      </w:r>
      <w:r>
        <w:rPr>
          <w:rFonts w:ascii="宋体" w:hAnsi="宋体" w:eastAsia="宋体" w:cs="宋体"/>
          <w:color w:val="auto"/>
          <w:spacing w:val="-6"/>
          <w:sz w:val="24"/>
          <w:szCs w:val="24"/>
          <w:highlight w:val="none"/>
        </w:rPr>
        <w:t>合评审标准的，评标委员会应否决其投标。</w:t>
      </w:r>
    </w:p>
    <w:p w14:paraId="1518F548">
      <w:pPr>
        <w:spacing w:before="186" w:line="313" w:lineRule="auto"/>
        <w:ind w:left="1425" w:right="1416"/>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 xml:space="preserve">3.4.2  </w:t>
      </w:r>
      <w:r>
        <w:rPr>
          <w:rFonts w:ascii="宋体" w:hAnsi="宋体" w:eastAsia="宋体" w:cs="宋体"/>
          <w:strike/>
          <w:dstrike w:val="0"/>
          <w:color w:val="auto"/>
          <w:sz w:val="24"/>
          <w:szCs w:val="24"/>
          <w:highlight w:val="none"/>
        </w:rPr>
        <w:t>投标报价有算术错误的，评标委员会按以下原则对投标</w:t>
      </w:r>
      <w:r>
        <w:rPr>
          <w:rFonts w:ascii="宋体" w:hAnsi="宋体" w:eastAsia="宋体" w:cs="宋体"/>
          <w:strike/>
          <w:dstrike w:val="0"/>
          <w:color w:val="auto"/>
          <w:spacing w:val="-1"/>
          <w:sz w:val="24"/>
          <w:szCs w:val="24"/>
          <w:highlight w:val="none"/>
        </w:rPr>
        <w:t>报价进行修正，修正的价</w:t>
      </w:r>
      <w:r>
        <w:rPr>
          <w:rFonts w:ascii="宋体" w:hAnsi="宋体" w:eastAsia="宋体" w:cs="宋体"/>
          <w:strike/>
          <w:dstrike w:val="0"/>
          <w:color w:val="auto"/>
          <w:spacing w:val="-5"/>
          <w:sz w:val="24"/>
          <w:szCs w:val="24"/>
          <w:highlight w:val="none"/>
        </w:rPr>
        <w:t>格经投标人书面确认后具有约束力。投标人不接受修正价格的， 评标委员会应否决其投</w:t>
      </w:r>
      <w:r>
        <w:rPr>
          <w:rFonts w:ascii="宋体" w:hAnsi="宋体" w:eastAsia="宋体" w:cs="宋体"/>
          <w:strike/>
          <w:dstrike w:val="0"/>
          <w:color w:val="auto"/>
          <w:spacing w:val="-12"/>
          <w:sz w:val="24"/>
          <w:szCs w:val="24"/>
          <w:highlight w:val="none"/>
        </w:rPr>
        <w:t>标。</w:t>
      </w:r>
    </w:p>
    <w:p w14:paraId="0A8807D1">
      <w:pPr>
        <w:spacing w:before="182" w:line="220"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1</w:t>
      </w:r>
      <w:r>
        <w:rPr>
          <w:rFonts w:ascii="宋体" w:hAnsi="宋体" w:eastAsia="宋体" w:cs="宋体"/>
          <w:strike/>
          <w:dstrike w:val="0"/>
          <w:color w:val="auto"/>
          <w:spacing w:val="-2"/>
          <w:sz w:val="24"/>
          <w:szCs w:val="24"/>
          <w:highlight w:val="none"/>
        </w:rPr>
        <w:t>）投标文件中的大写金额与小写金额不一致的，以大</w:t>
      </w:r>
      <w:r>
        <w:rPr>
          <w:rFonts w:ascii="宋体" w:hAnsi="宋体" w:eastAsia="宋体" w:cs="宋体"/>
          <w:strike/>
          <w:dstrike w:val="0"/>
          <w:color w:val="auto"/>
          <w:spacing w:val="-3"/>
          <w:sz w:val="24"/>
          <w:szCs w:val="24"/>
          <w:highlight w:val="none"/>
        </w:rPr>
        <w:t>写金额为准；</w:t>
      </w:r>
    </w:p>
    <w:p w14:paraId="2B2C4A40">
      <w:pPr>
        <w:spacing w:before="182" w:line="286" w:lineRule="auto"/>
        <w:ind w:left="1427" w:right="1488" w:firstLine="4"/>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z w:val="24"/>
          <w:szCs w:val="24"/>
          <w:highlight w:val="none"/>
        </w:rPr>
        <w:t>（</w:t>
      </w:r>
      <w:r>
        <w:rPr>
          <w:rFonts w:ascii="Times New Roman" w:hAnsi="Times New Roman" w:eastAsia="Times New Roman" w:cs="Times New Roman"/>
          <w:strike/>
          <w:dstrike w:val="0"/>
          <w:color w:val="auto"/>
          <w:sz w:val="24"/>
          <w:szCs w:val="24"/>
          <w:highlight w:val="none"/>
        </w:rPr>
        <w:t>2</w:t>
      </w:r>
      <w:r>
        <w:rPr>
          <w:rFonts w:ascii="宋体" w:hAnsi="宋体" w:eastAsia="宋体" w:cs="宋体"/>
          <w:strike/>
          <w:dstrike w:val="0"/>
          <w:color w:val="auto"/>
          <w:sz w:val="24"/>
          <w:szCs w:val="24"/>
          <w:highlight w:val="none"/>
        </w:rPr>
        <w:t>）总价金额与依据单价计算出的结果不一致</w:t>
      </w:r>
      <w:r>
        <w:rPr>
          <w:rFonts w:ascii="宋体" w:hAnsi="宋体" w:eastAsia="宋体" w:cs="宋体"/>
          <w:strike/>
          <w:dstrike w:val="0"/>
          <w:color w:val="auto"/>
          <w:spacing w:val="-1"/>
          <w:sz w:val="24"/>
          <w:szCs w:val="24"/>
          <w:highlight w:val="none"/>
        </w:rPr>
        <w:t>的，以单价金额为准修正总价，但单价金额小数点有明显错误的除外</w:t>
      </w:r>
      <w:r>
        <w:rPr>
          <w:rFonts w:ascii="Times New Roman" w:hAnsi="Times New Roman" w:eastAsia="Times New Roman" w:cs="Times New Roman"/>
          <w:strike/>
          <w:dstrike w:val="0"/>
          <w:color w:val="auto"/>
          <w:spacing w:val="-1"/>
          <w:sz w:val="24"/>
          <w:szCs w:val="24"/>
          <w:highlight w:val="none"/>
        </w:rPr>
        <w:t>;</w:t>
      </w:r>
    </w:p>
    <w:p w14:paraId="547C8873">
      <w:pPr>
        <w:spacing w:before="193" w:line="289" w:lineRule="auto"/>
        <w:ind w:left="1423" w:right="1497" w:firstLine="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3</w:t>
      </w:r>
      <w:r>
        <w:rPr>
          <w:rFonts w:ascii="宋体" w:hAnsi="宋体" w:eastAsia="宋体" w:cs="宋体"/>
          <w:strike/>
          <w:dstrike w:val="0"/>
          <w:color w:val="auto"/>
          <w:spacing w:val="-1"/>
          <w:sz w:val="24"/>
          <w:szCs w:val="24"/>
          <w:highlight w:val="none"/>
        </w:rPr>
        <w:t>）当单价与数量相乘不等于合价时，以单价计算为准，如果单价有明显的小数点位</w:t>
      </w:r>
      <w:r>
        <w:rPr>
          <w:rFonts w:ascii="宋体" w:hAnsi="宋体" w:eastAsia="宋体" w:cs="宋体"/>
          <w:strike/>
          <w:dstrike w:val="0"/>
          <w:color w:val="auto"/>
          <w:spacing w:val="-3"/>
          <w:sz w:val="24"/>
          <w:szCs w:val="24"/>
          <w:highlight w:val="none"/>
        </w:rPr>
        <w:t>置差错，应以标出的合价为准，同时对单价予以修正；</w:t>
      </w:r>
    </w:p>
    <w:p w14:paraId="27D210C6">
      <w:pPr>
        <w:spacing w:before="184" w:line="218"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4</w:t>
      </w:r>
      <w:r>
        <w:rPr>
          <w:rFonts w:ascii="宋体" w:hAnsi="宋体" w:eastAsia="宋体" w:cs="宋体"/>
          <w:strike/>
          <w:dstrike w:val="0"/>
          <w:color w:val="auto"/>
          <w:spacing w:val="-1"/>
          <w:sz w:val="24"/>
          <w:szCs w:val="24"/>
          <w:highlight w:val="none"/>
        </w:rPr>
        <w:t>）当各子目的合价累计不等于总价时，应以各子</w:t>
      </w:r>
      <w:r>
        <w:rPr>
          <w:rFonts w:ascii="宋体" w:hAnsi="宋体" w:eastAsia="宋体" w:cs="宋体"/>
          <w:strike/>
          <w:dstrike w:val="0"/>
          <w:color w:val="auto"/>
          <w:spacing w:val="-2"/>
          <w:sz w:val="24"/>
          <w:szCs w:val="24"/>
          <w:highlight w:val="none"/>
        </w:rPr>
        <w:t>目合价累计数为准，修正总价。</w:t>
      </w:r>
    </w:p>
    <w:p w14:paraId="6ABF5281">
      <w:pPr>
        <w:spacing w:before="185" w:line="361" w:lineRule="auto"/>
        <w:ind w:left="1425" w:right="1416"/>
        <w:jc w:val="both"/>
        <w:rPr>
          <w:color w:val="auto"/>
          <w:highlight w:val="none"/>
        </w:rPr>
      </w:pPr>
      <w:r>
        <w:rPr>
          <w:rFonts w:ascii="Times New Roman" w:hAnsi="Times New Roman" w:eastAsia="Times New Roman" w:cs="Times New Roman"/>
          <w:strike/>
          <w:dstrike w:val="0"/>
          <w:color w:val="auto"/>
          <w:sz w:val="24"/>
          <w:szCs w:val="24"/>
          <w:highlight w:val="none"/>
        </w:rPr>
        <w:t xml:space="preserve">3.4.3  </w:t>
      </w:r>
      <w:r>
        <w:rPr>
          <w:rFonts w:ascii="宋体" w:hAnsi="宋体" w:eastAsia="宋体" w:cs="宋体"/>
          <w:strike/>
          <w:dstrike w:val="0"/>
          <w:color w:val="auto"/>
          <w:sz w:val="24"/>
          <w:szCs w:val="24"/>
          <w:highlight w:val="none"/>
        </w:rPr>
        <w:t>工程量清单中的投标报价有其他错误的，评标委员会按</w:t>
      </w:r>
      <w:r>
        <w:rPr>
          <w:rFonts w:ascii="宋体" w:hAnsi="宋体" w:eastAsia="宋体" w:cs="宋体"/>
          <w:strike/>
          <w:dstrike w:val="0"/>
          <w:color w:val="auto"/>
          <w:spacing w:val="-1"/>
          <w:sz w:val="24"/>
          <w:szCs w:val="24"/>
          <w:highlight w:val="none"/>
        </w:rPr>
        <w:t>以下原则对投标报价进行</w:t>
      </w:r>
      <w:r>
        <w:rPr>
          <w:rFonts w:ascii="宋体" w:hAnsi="宋体" w:eastAsia="宋体" w:cs="宋体"/>
          <w:strike/>
          <w:dstrike w:val="0"/>
          <w:color w:val="auto"/>
          <w:spacing w:val="-6"/>
          <w:sz w:val="24"/>
          <w:szCs w:val="24"/>
          <w:highlight w:val="none"/>
        </w:rPr>
        <w:t>修正，修正的价格经投标人书面确认后具有约束力。投标人不接受修正价格的，</w:t>
      </w:r>
      <w:r>
        <w:rPr>
          <w:rFonts w:ascii="宋体" w:hAnsi="宋体" w:eastAsia="宋体" w:cs="宋体"/>
          <w:strike/>
          <w:dstrike w:val="0"/>
          <w:color w:val="auto"/>
          <w:spacing w:val="49"/>
          <w:sz w:val="24"/>
          <w:szCs w:val="24"/>
          <w:highlight w:val="none"/>
        </w:rPr>
        <w:t xml:space="preserve"> </w:t>
      </w:r>
      <w:r>
        <w:rPr>
          <w:rFonts w:ascii="宋体" w:hAnsi="宋体" w:eastAsia="宋体" w:cs="宋体"/>
          <w:strike/>
          <w:dstrike w:val="0"/>
          <w:color w:val="auto"/>
          <w:spacing w:val="-6"/>
          <w:sz w:val="24"/>
          <w:szCs w:val="24"/>
          <w:highlight w:val="none"/>
        </w:rPr>
        <w:t>评标委</w:t>
      </w:r>
      <w:r>
        <w:rPr>
          <w:rFonts w:ascii="宋体" w:hAnsi="宋体" w:eastAsia="宋体" w:cs="宋体"/>
          <w:strike/>
          <w:dstrike w:val="0"/>
          <w:color w:val="auto"/>
          <w:spacing w:val="-5"/>
          <w:sz w:val="24"/>
          <w:szCs w:val="24"/>
          <w:highlight w:val="none"/>
        </w:rPr>
        <w:t>员会应否决其投标。</w:t>
      </w:r>
    </w:p>
    <w:p w14:paraId="477DA662">
      <w:pPr>
        <w:spacing w:before="78" w:line="313" w:lineRule="auto"/>
        <w:ind w:left="1423" w:right="1331" w:firstLine="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w:t>
      </w:r>
      <w:r>
        <w:rPr>
          <w:rFonts w:ascii="宋体" w:hAnsi="宋体" w:eastAsia="宋体" w:cs="宋体"/>
          <w:strike/>
          <w:dstrike w:val="0"/>
          <w:color w:val="auto"/>
          <w:spacing w:val="-1"/>
          <w:sz w:val="24"/>
          <w:szCs w:val="24"/>
          <w:highlight w:val="none"/>
        </w:rPr>
        <w:t>）在招标人给定的工程量清单中漏报了某个工程子目的单价、合价或总额价，或所</w:t>
      </w:r>
      <w:r>
        <w:rPr>
          <w:rFonts w:ascii="宋体" w:hAnsi="宋体" w:eastAsia="宋体" w:cs="宋体"/>
          <w:strike/>
          <w:dstrike w:val="0"/>
          <w:color w:val="auto"/>
          <w:spacing w:val="-7"/>
          <w:sz w:val="24"/>
          <w:szCs w:val="24"/>
          <w:highlight w:val="none"/>
        </w:rPr>
        <w:t>报单价、合价或总额价减少了报价范围，</w:t>
      </w:r>
      <w:r>
        <w:rPr>
          <w:rFonts w:ascii="宋体" w:hAnsi="宋体" w:eastAsia="宋体" w:cs="宋体"/>
          <w:strike/>
          <w:dstrike w:val="0"/>
          <w:color w:val="auto"/>
          <w:spacing w:val="-59"/>
          <w:sz w:val="24"/>
          <w:szCs w:val="24"/>
          <w:highlight w:val="none"/>
        </w:rPr>
        <w:t xml:space="preserve"> </w:t>
      </w:r>
      <w:r>
        <w:rPr>
          <w:rFonts w:ascii="宋体" w:hAnsi="宋体" w:eastAsia="宋体" w:cs="宋体"/>
          <w:strike/>
          <w:dstrike w:val="0"/>
          <w:color w:val="auto"/>
          <w:spacing w:val="-7"/>
          <w:sz w:val="24"/>
          <w:szCs w:val="24"/>
          <w:highlight w:val="none"/>
        </w:rPr>
        <w:t>则漏报的工程子目单价、合价和总额价或单价、</w:t>
      </w:r>
      <w:r>
        <w:rPr>
          <w:rFonts w:ascii="宋体" w:hAnsi="宋体" w:eastAsia="宋体" w:cs="宋体"/>
          <w:strike/>
          <w:dstrike w:val="0"/>
          <w:color w:val="auto"/>
          <w:spacing w:val="-1"/>
          <w:sz w:val="24"/>
          <w:szCs w:val="24"/>
          <w:highlight w:val="none"/>
        </w:rPr>
        <w:t>合价和总额价中减少的报价内容视为已含入其他工程子目的单价、合价和总</w:t>
      </w:r>
      <w:r>
        <w:rPr>
          <w:rFonts w:ascii="宋体" w:hAnsi="宋体" w:eastAsia="宋体" w:cs="宋体"/>
          <w:strike/>
          <w:dstrike w:val="0"/>
          <w:color w:val="auto"/>
          <w:spacing w:val="-2"/>
          <w:sz w:val="24"/>
          <w:szCs w:val="24"/>
          <w:highlight w:val="none"/>
        </w:rPr>
        <w:t>额价之中。</w:t>
      </w:r>
    </w:p>
    <w:p w14:paraId="4A7CC0C7">
      <w:pPr>
        <w:spacing w:before="183" w:line="313" w:lineRule="auto"/>
        <w:ind w:left="1423" w:right="1416" w:firstLine="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）在招标人给定的工程量清单中多报了某个工程子目的单价、合价或总额价，或所</w:t>
      </w:r>
      <w:r>
        <w:rPr>
          <w:rFonts w:ascii="宋体" w:hAnsi="宋体" w:eastAsia="宋体" w:cs="宋体"/>
          <w:strike/>
          <w:dstrike w:val="0"/>
          <w:color w:val="auto"/>
          <w:spacing w:val="-5"/>
          <w:sz w:val="24"/>
          <w:szCs w:val="24"/>
          <w:highlight w:val="none"/>
        </w:rPr>
        <w:t>报单价、合价或总额价增加了报价范围， 则从投标报价中扣除多报的工程子目报价或工</w:t>
      </w:r>
      <w:r>
        <w:rPr>
          <w:rFonts w:ascii="宋体" w:hAnsi="宋体" w:eastAsia="宋体" w:cs="宋体"/>
          <w:strike/>
          <w:dstrike w:val="0"/>
          <w:color w:val="auto"/>
          <w:spacing w:val="-3"/>
          <w:sz w:val="24"/>
          <w:szCs w:val="24"/>
          <w:highlight w:val="none"/>
        </w:rPr>
        <w:t>程子目报价中增加了报价范围的部分报价。</w:t>
      </w:r>
    </w:p>
    <w:p w14:paraId="3EC3C3EF">
      <w:pPr>
        <w:spacing w:before="184" w:line="289" w:lineRule="auto"/>
        <w:ind w:left="1425" w:right="1488" w:firstLine="6"/>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w:t>
      </w:r>
      <w:r>
        <w:rPr>
          <w:rFonts w:ascii="Times New Roman" w:hAnsi="Times New Roman" w:eastAsia="Times New Roman" w:cs="Times New Roman"/>
          <w:strike/>
          <w:dstrike w:val="0"/>
          <w:color w:val="auto"/>
          <w:sz w:val="24"/>
          <w:szCs w:val="24"/>
          <w:highlight w:val="none"/>
        </w:rPr>
        <w:t>3</w:t>
      </w:r>
      <w:r>
        <w:rPr>
          <w:rFonts w:ascii="宋体" w:hAnsi="宋体" w:eastAsia="宋体" w:cs="宋体"/>
          <w:strike/>
          <w:dstrike w:val="0"/>
          <w:color w:val="auto"/>
          <w:sz w:val="24"/>
          <w:szCs w:val="24"/>
          <w:highlight w:val="none"/>
        </w:rPr>
        <w:t>）当单价与数量的乘积与合价（金额）虽然</w:t>
      </w:r>
      <w:r>
        <w:rPr>
          <w:rFonts w:ascii="宋体" w:hAnsi="宋体" w:eastAsia="宋体" w:cs="宋体"/>
          <w:strike/>
          <w:dstrike w:val="0"/>
          <w:color w:val="auto"/>
          <w:spacing w:val="-1"/>
          <w:sz w:val="24"/>
          <w:szCs w:val="24"/>
          <w:highlight w:val="none"/>
        </w:rPr>
        <w:t>一致，但投标人修改了该子目的工程数</w:t>
      </w:r>
      <w:r>
        <w:rPr>
          <w:rFonts w:ascii="宋体" w:hAnsi="宋体" w:eastAsia="宋体" w:cs="宋体"/>
          <w:strike/>
          <w:dstrike w:val="0"/>
          <w:color w:val="auto"/>
          <w:spacing w:val="-2"/>
          <w:sz w:val="24"/>
          <w:szCs w:val="24"/>
          <w:highlight w:val="none"/>
        </w:rPr>
        <w:t>量，则其合价按招标人给定的工程数量乘以投标人所报单价予以修正。</w:t>
      </w:r>
    </w:p>
    <w:p w14:paraId="0015275D">
      <w:pPr>
        <w:spacing w:before="184" w:line="360" w:lineRule="auto"/>
        <w:ind w:left="1424" w:right="1488"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3.4.4  </w:t>
      </w:r>
      <w:r>
        <w:rPr>
          <w:rFonts w:ascii="宋体" w:hAnsi="宋体" w:eastAsia="宋体" w:cs="宋体"/>
          <w:color w:val="auto"/>
          <w:sz w:val="24"/>
          <w:szCs w:val="24"/>
          <w:highlight w:val="none"/>
        </w:rPr>
        <w:t>修正后的最终投标报价若超过最高投标限价或最高</w:t>
      </w:r>
      <w:r>
        <w:rPr>
          <w:rFonts w:ascii="宋体" w:hAnsi="宋体" w:eastAsia="宋体" w:cs="宋体"/>
          <w:color w:val="auto"/>
          <w:spacing w:val="-1"/>
          <w:sz w:val="24"/>
          <w:szCs w:val="24"/>
          <w:highlight w:val="none"/>
        </w:rPr>
        <w:t>评标限价（如有</w:t>
      </w:r>
      <w:r>
        <w:rPr>
          <w:rFonts w:ascii="宋体" w:hAnsi="宋体" w:eastAsia="宋体" w:cs="宋体"/>
          <w:color w:val="auto"/>
          <w:sz w:val="24"/>
          <w:szCs w:val="24"/>
          <w:highlight w:val="none"/>
        </w:rPr>
        <w:t>），</w:t>
      </w:r>
      <w:r>
        <w:rPr>
          <w:rFonts w:ascii="宋体" w:hAnsi="宋体" w:eastAsia="宋体" w:cs="宋体"/>
          <w:color w:val="auto"/>
          <w:spacing w:val="-1"/>
          <w:sz w:val="24"/>
          <w:szCs w:val="24"/>
          <w:highlight w:val="none"/>
        </w:rPr>
        <w:t>评标委员</w:t>
      </w:r>
      <w:r>
        <w:rPr>
          <w:rFonts w:ascii="宋体" w:hAnsi="宋体" w:eastAsia="宋体" w:cs="宋体"/>
          <w:color w:val="auto"/>
          <w:spacing w:val="-5"/>
          <w:sz w:val="24"/>
          <w:szCs w:val="24"/>
          <w:highlight w:val="none"/>
        </w:rPr>
        <w:t>会应否决其投标。</w:t>
      </w:r>
    </w:p>
    <w:p w14:paraId="186081F5">
      <w:pPr>
        <w:spacing w:before="1" w:line="221"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3.5 第二个信封详细评审</w:t>
      </w:r>
    </w:p>
    <w:p w14:paraId="46767B0A">
      <w:pPr>
        <w:spacing w:before="180" w:line="218" w:lineRule="auto"/>
        <w:ind w:left="1425"/>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3.5.1  </w:t>
      </w:r>
      <w:r>
        <w:rPr>
          <w:rFonts w:ascii="宋体" w:hAnsi="宋体" w:eastAsia="宋体" w:cs="宋体"/>
          <w:color w:val="auto"/>
          <w:spacing w:val="-1"/>
          <w:sz w:val="24"/>
          <w:szCs w:val="24"/>
          <w:highlight w:val="none"/>
        </w:rPr>
        <w:t xml:space="preserve">评标委员会按本章第 </w:t>
      </w:r>
      <w:r>
        <w:rPr>
          <w:rFonts w:ascii="Times New Roman" w:hAnsi="Times New Roman" w:eastAsia="Times New Roman" w:cs="Times New Roman"/>
          <w:color w:val="auto"/>
          <w:spacing w:val="-1"/>
          <w:sz w:val="24"/>
          <w:szCs w:val="24"/>
          <w:highlight w:val="none"/>
        </w:rPr>
        <w:t xml:space="preserve">2.2  </w:t>
      </w:r>
      <w:r>
        <w:rPr>
          <w:rFonts w:ascii="宋体" w:hAnsi="宋体" w:eastAsia="宋体" w:cs="宋体"/>
          <w:color w:val="auto"/>
          <w:spacing w:val="-1"/>
          <w:sz w:val="24"/>
          <w:szCs w:val="24"/>
          <w:highlight w:val="none"/>
        </w:rPr>
        <w:t>款规</w:t>
      </w:r>
      <w:r>
        <w:rPr>
          <w:rFonts w:ascii="宋体" w:hAnsi="宋体" w:eastAsia="宋体" w:cs="宋体"/>
          <w:color w:val="auto"/>
          <w:spacing w:val="-2"/>
          <w:sz w:val="24"/>
          <w:szCs w:val="24"/>
          <w:highlight w:val="none"/>
        </w:rPr>
        <w:t>定的计算出评标价。</w:t>
      </w:r>
    </w:p>
    <w:p w14:paraId="69354E76">
      <w:pPr>
        <w:spacing w:before="184" w:line="325" w:lineRule="auto"/>
        <w:ind w:left="1425" w:right="1416"/>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3.5.2  </w:t>
      </w:r>
      <w:r>
        <w:rPr>
          <w:rFonts w:ascii="宋体" w:hAnsi="宋体" w:eastAsia="宋体" w:cs="宋体"/>
          <w:color w:val="auto"/>
          <w:sz w:val="24"/>
          <w:szCs w:val="24"/>
          <w:highlight w:val="none"/>
        </w:rPr>
        <w:t>评标委员会发现投标人的报价明显低于其他投标报价，</w:t>
      </w:r>
      <w:r>
        <w:rPr>
          <w:rFonts w:ascii="宋体" w:hAnsi="宋体" w:eastAsia="宋体" w:cs="宋体"/>
          <w:color w:val="auto"/>
          <w:spacing w:val="-1"/>
          <w:sz w:val="24"/>
          <w:szCs w:val="24"/>
          <w:highlight w:val="none"/>
        </w:rPr>
        <w:t>使得其投标报价可能低于</w:t>
      </w:r>
      <w:r>
        <w:rPr>
          <w:rFonts w:ascii="宋体" w:hAnsi="宋体" w:eastAsia="宋体" w:cs="宋体"/>
          <w:color w:val="auto"/>
          <w:spacing w:val="-2"/>
          <w:sz w:val="24"/>
          <w:szCs w:val="24"/>
          <w:highlight w:val="none"/>
        </w:rPr>
        <w:t>其个别成本的，应要求该投标人作出书面说明并提供相应的证明材料。投标人不能合理说明或不能提供相应证明材料的，由评标委员会认定该投标人以低于成本报价竞标，并</w:t>
      </w:r>
      <w:r>
        <w:rPr>
          <w:rFonts w:ascii="宋体" w:hAnsi="宋体" w:eastAsia="宋体" w:cs="宋体"/>
          <w:color w:val="auto"/>
          <w:spacing w:val="-7"/>
          <w:sz w:val="24"/>
          <w:szCs w:val="24"/>
          <w:highlight w:val="none"/>
        </w:rPr>
        <w:t>否决其投标。</w:t>
      </w:r>
    </w:p>
    <w:p w14:paraId="53A1AD12">
      <w:pPr>
        <w:spacing w:before="182" w:line="222"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3.6 投标文件相关信息的核查</w:t>
      </w:r>
    </w:p>
    <w:p w14:paraId="291206BE">
      <w:pPr>
        <w:spacing w:before="160" w:line="335" w:lineRule="auto"/>
        <w:ind w:left="1427" w:right="1176" w:hanging="2"/>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3.6.1 </w:t>
      </w:r>
      <w:r>
        <w:rPr>
          <w:rFonts w:hint="eastAsia" w:ascii="Times New Roman" w:hAnsi="Times New Roman" w:eastAsia="宋体" w:cs="Times New Roman"/>
          <w:color w:val="auto"/>
          <w:spacing w:val="-1"/>
          <w:sz w:val="24"/>
          <w:szCs w:val="24"/>
          <w:highlight w:val="none"/>
          <w:lang w:val="en-US" w:eastAsia="zh-CN"/>
        </w:rPr>
        <w:t xml:space="preserve"> </w:t>
      </w:r>
      <w:r>
        <w:rPr>
          <w:rFonts w:ascii="宋体" w:hAnsi="宋体" w:eastAsia="宋体" w:cs="宋体"/>
          <w:color w:val="auto"/>
          <w:spacing w:val="-1"/>
          <w:sz w:val="24"/>
          <w:szCs w:val="24"/>
          <w:highlight w:val="none"/>
        </w:rPr>
        <w:t>在评标过程中，评标委员会应查询交通运输</w:t>
      </w:r>
      <w:r>
        <w:rPr>
          <w:rFonts w:ascii="宋体" w:hAnsi="宋体" w:eastAsia="宋体" w:cs="宋体"/>
          <w:color w:val="auto"/>
          <w:spacing w:val="-2"/>
          <w:sz w:val="24"/>
          <w:szCs w:val="24"/>
          <w:highlight w:val="none"/>
        </w:rPr>
        <w:t>主管部门“全国公路建设市场监督管</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理系统”，对投标人的资质、业绩、主要人员资历和目前在岗情况、信用等级等信息进</w:t>
      </w:r>
      <w:r>
        <w:rPr>
          <w:rFonts w:ascii="宋体" w:hAnsi="宋体" w:eastAsia="宋体" w:cs="宋体"/>
          <w:color w:val="auto"/>
          <w:spacing w:val="4"/>
          <w:sz w:val="24"/>
          <w:szCs w:val="24"/>
          <w:highlight w:val="none"/>
        </w:rPr>
        <w:t xml:space="preserve"> </w:t>
      </w:r>
      <w:r>
        <w:rPr>
          <w:rFonts w:ascii="宋体" w:hAnsi="宋体" w:eastAsia="宋体" w:cs="宋体"/>
          <w:color w:val="auto"/>
          <w:spacing w:val="-2"/>
          <w:sz w:val="24"/>
          <w:szCs w:val="24"/>
          <w:highlight w:val="none"/>
        </w:rPr>
        <w:t>行核实。若投标文件载明的信息与交通运输主管部门“全国公路建设市场监督管理系统”发布的信息不符，使得投标人的资格条件不符合招标文件规定的，评标委员会应否决其</w:t>
      </w:r>
      <w:r>
        <w:rPr>
          <w:rFonts w:ascii="宋体" w:hAnsi="宋体" w:eastAsia="宋体" w:cs="宋体"/>
          <w:color w:val="auto"/>
          <w:spacing w:val="4"/>
          <w:sz w:val="24"/>
          <w:szCs w:val="24"/>
          <w:highlight w:val="none"/>
        </w:rPr>
        <w:t xml:space="preserve"> </w:t>
      </w:r>
      <w:r>
        <w:rPr>
          <w:rFonts w:ascii="宋体" w:hAnsi="宋体" w:eastAsia="宋体" w:cs="宋体"/>
          <w:color w:val="auto"/>
          <w:spacing w:val="-11"/>
          <w:sz w:val="24"/>
          <w:szCs w:val="24"/>
          <w:highlight w:val="none"/>
        </w:rPr>
        <w:t>投标。</w:t>
      </w:r>
    </w:p>
    <w:p w14:paraId="5E518C88">
      <w:pPr>
        <w:spacing w:before="182" w:line="313" w:lineRule="auto"/>
        <w:ind w:left="1424" w:right="1416"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3.6.2  </w:t>
      </w:r>
      <w:r>
        <w:rPr>
          <w:rFonts w:ascii="宋体" w:hAnsi="宋体" w:eastAsia="宋体" w:cs="宋体"/>
          <w:color w:val="auto"/>
          <w:sz w:val="24"/>
          <w:szCs w:val="24"/>
          <w:highlight w:val="none"/>
        </w:rPr>
        <w:t>评标委员会应对在评标过程中发现的投标人与投标人之</w:t>
      </w:r>
      <w:r>
        <w:rPr>
          <w:rFonts w:ascii="宋体" w:hAnsi="宋体" w:eastAsia="宋体" w:cs="宋体"/>
          <w:color w:val="auto"/>
          <w:spacing w:val="-1"/>
          <w:sz w:val="24"/>
          <w:szCs w:val="24"/>
          <w:highlight w:val="none"/>
        </w:rPr>
        <w:t>间、投标人与招标人之间</w:t>
      </w:r>
      <w:r>
        <w:rPr>
          <w:rFonts w:ascii="宋体" w:hAnsi="宋体" w:eastAsia="宋体" w:cs="宋体"/>
          <w:color w:val="auto"/>
          <w:spacing w:val="-2"/>
          <w:sz w:val="24"/>
          <w:szCs w:val="24"/>
          <w:highlight w:val="none"/>
        </w:rPr>
        <w:t>存在的串通投标的情形进行评审和认定。投标人存在串通投标、弄虚作假、行贿等违法</w:t>
      </w:r>
      <w:r>
        <w:rPr>
          <w:rFonts w:ascii="宋体" w:hAnsi="宋体" w:eastAsia="宋体" w:cs="宋体"/>
          <w:color w:val="auto"/>
          <w:spacing w:val="-3"/>
          <w:sz w:val="24"/>
          <w:szCs w:val="24"/>
          <w:highlight w:val="none"/>
        </w:rPr>
        <w:t>行为的，评标委员会应否决其投标。</w:t>
      </w:r>
    </w:p>
    <w:p w14:paraId="4DFAF1F5">
      <w:pPr>
        <w:spacing w:before="184" w:line="220"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）有下列情形之一的，属于投标人相互串通投标：</w:t>
      </w:r>
    </w:p>
    <w:p w14:paraId="570AEC05">
      <w:pPr>
        <w:spacing w:before="181" w:line="218"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a.</w:t>
      </w:r>
      <w:r>
        <w:rPr>
          <w:rFonts w:ascii="宋体" w:hAnsi="宋体" w:eastAsia="宋体" w:cs="宋体"/>
          <w:color w:val="auto"/>
          <w:spacing w:val="-3"/>
          <w:sz w:val="24"/>
          <w:szCs w:val="24"/>
          <w:highlight w:val="none"/>
        </w:rPr>
        <w:t>投标人之间协商投标报价等投标文件的实质性内容；</w:t>
      </w:r>
    </w:p>
    <w:p w14:paraId="457562A1">
      <w:pPr>
        <w:spacing w:before="185" w:line="220" w:lineRule="auto"/>
        <w:ind w:left="1415"/>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b.</w:t>
      </w:r>
      <w:r>
        <w:rPr>
          <w:rFonts w:ascii="宋体" w:hAnsi="宋体" w:eastAsia="宋体" w:cs="宋体"/>
          <w:color w:val="auto"/>
          <w:spacing w:val="-4"/>
          <w:sz w:val="24"/>
          <w:szCs w:val="24"/>
          <w:highlight w:val="none"/>
        </w:rPr>
        <w:t>投标人之间约定中标人；</w:t>
      </w:r>
    </w:p>
    <w:p w14:paraId="1E56E939">
      <w:pPr>
        <w:spacing w:before="78" w:line="220"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c.</w:t>
      </w:r>
      <w:r>
        <w:rPr>
          <w:rFonts w:ascii="宋体" w:hAnsi="宋体" w:eastAsia="宋体" w:cs="宋体"/>
          <w:color w:val="auto"/>
          <w:spacing w:val="-3"/>
          <w:sz w:val="24"/>
          <w:szCs w:val="24"/>
          <w:highlight w:val="none"/>
        </w:rPr>
        <w:t>投标人之间约定部分投标人放弃投标或中标；</w:t>
      </w:r>
    </w:p>
    <w:p w14:paraId="4909D0F0">
      <w:pPr>
        <w:spacing w:before="182" w:line="219" w:lineRule="auto"/>
        <w:ind w:left="1423"/>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d.</w:t>
      </w:r>
      <w:r>
        <w:rPr>
          <w:rFonts w:ascii="宋体" w:hAnsi="宋体" w:eastAsia="宋体" w:cs="宋体"/>
          <w:color w:val="auto"/>
          <w:spacing w:val="-2"/>
          <w:sz w:val="24"/>
          <w:szCs w:val="24"/>
          <w:highlight w:val="none"/>
        </w:rPr>
        <w:t>属于同一集团、协会、商会等组织成员的投标人按照该组织要求协同投标；</w:t>
      </w:r>
    </w:p>
    <w:p w14:paraId="7AE19E28">
      <w:pPr>
        <w:spacing w:before="183" w:line="219"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e.</w:t>
      </w:r>
      <w:r>
        <w:rPr>
          <w:rFonts w:ascii="宋体" w:hAnsi="宋体" w:eastAsia="宋体" w:cs="宋体"/>
          <w:color w:val="auto"/>
          <w:spacing w:val="-2"/>
          <w:sz w:val="24"/>
          <w:szCs w:val="24"/>
          <w:highlight w:val="none"/>
        </w:rPr>
        <w:t>投标人之间为谋取中标或排斥特定投标人而采取的其他联合行动。</w:t>
      </w:r>
    </w:p>
    <w:p w14:paraId="4D207689">
      <w:pPr>
        <w:spacing w:before="183" w:line="220"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）有下列情形之一的，视为投标人相互串通投标：</w:t>
      </w:r>
    </w:p>
    <w:p w14:paraId="0D2F73F1">
      <w:pPr>
        <w:spacing w:before="181" w:line="220"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a.</w:t>
      </w:r>
      <w:r>
        <w:rPr>
          <w:rFonts w:ascii="宋体" w:hAnsi="宋体" w:eastAsia="宋体" w:cs="宋体"/>
          <w:color w:val="auto"/>
          <w:spacing w:val="-3"/>
          <w:sz w:val="24"/>
          <w:szCs w:val="24"/>
          <w:highlight w:val="none"/>
        </w:rPr>
        <w:t>不同投标人的投标文件由同一单位或个人编制；</w:t>
      </w:r>
    </w:p>
    <w:p w14:paraId="1C5FC3D4">
      <w:pPr>
        <w:spacing w:before="182" w:line="220" w:lineRule="auto"/>
        <w:ind w:left="1415"/>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b.</w:t>
      </w:r>
      <w:r>
        <w:rPr>
          <w:rFonts w:ascii="宋体" w:hAnsi="宋体" w:eastAsia="宋体" w:cs="宋体"/>
          <w:color w:val="auto"/>
          <w:spacing w:val="-3"/>
          <w:sz w:val="24"/>
          <w:szCs w:val="24"/>
          <w:highlight w:val="none"/>
        </w:rPr>
        <w:t>不同投标人委托同一单位或个人办理投标事宜；</w:t>
      </w:r>
    </w:p>
    <w:p w14:paraId="3D57FAC3">
      <w:pPr>
        <w:spacing w:before="182" w:line="220"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c.</w:t>
      </w:r>
      <w:r>
        <w:rPr>
          <w:rFonts w:ascii="宋体" w:hAnsi="宋体" w:eastAsia="宋体" w:cs="宋体"/>
          <w:color w:val="auto"/>
          <w:spacing w:val="-2"/>
          <w:sz w:val="24"/>
          <w:szCs w:val="24"/>
          <w:highlight w:val="none"/>
        </w:rPr>
        <w:t>不同投标人的投标文件载明的项目管理成员为同一人；</w:t>
      </w:r>
    </w:p>
    <w:p w14:paraId="16CC2E0B">
      <w:pPr>
        <w:spacing w:before="182" w:line="218" w:lineRule="auto"/>
        <w:ind w:left="1423"/>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d.</w:t>
      </w:r>
      <w:r>
        <w:rPr>
          <w:rFonts w:ascii="宋体" w:hAnsi="宋体" w:eastAsia="宋体" w:cs="宋体"/>
          <w:color w:val="auto"/>
          <w:spacing w:val="-2"/>
          <w:sz w:val="24"/>
          <w:szCs w:val="24"/>
          <w:highlight w:val="none"/>
        </w:rPr>
        <w:t>不同投标人的投标文件异常一致或投标报价呈规</w:t>
      </w:r>
      <w:r>
        <w:rPr>
          <w:rFonts w:ascii="宋体" w:hAnsi="宋体" w:eastAsia="宋体" w:cs="宋体"/>
          <w:color w:val="auto"/>
          <w:spacing w:val="-3"/>
          <w:sz w:val="24"/>
          <w:szCs w:val="24"/>
          <w:highlight w:val="none"/>
        </w:rPr>
        <w:t>律性差异；</w:t>
      </w:r>
    </w:p>
    <w:p w14:paraId="7AEF52FE">
      <w:pPr>
        <w:spacing w:before="184" w:line="220"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e.</w:t>
      </w:r>
      <w:r>
        <w:rPr>
          <w:rFonts w:ascii="宋体" w:hAnsi="宋体" w:eastAsia="宋体" w:cs="宋体"/>
          <w:color w:val="auto"/>
          <w:spacing w:val="-4"/>
          <w:sz w:val="24"/>
          <w:szCs w:val="24"/>
          <w:highlight w:val="none"/>
        </w:rPr>
        <w:t>不同投标人的投标文件相互混装；</w:t>
      </w:r>
    </w:p>
    <w:p w14:paraId="408B69D0">
      <w:pPr>
        <w:spacing w:before="182" w:line="220" w:lineRule="auto"/>
        <w:ind w:left="1425"/>
        <w:rPr>
          <w:rFonts w:ascii="宋体" w:hAnsi="宋体" w:eastAsia="宋体" w:cs="宋体"/>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f.</w:t>
      </w:r>
      <w:r>
        <w:rPr>
          <w:rFonts w:ascii="宋体" w:hAnsi="宋体" w:eastAsia="宋体" w:cs="宋体"/>
          <w:strike/>
          <w:dstrike w:val="0"/>
          <w:color w:val="auto"/>
          <w:spacing w:val="-3"/>
          <w:sz w:val="24"/>
          <w:szCs w:val="24"/>
          <w:highlight w:val="none"/>
        </w:rPr>
        <w:t>不同投标人的投标保证金从同一单位或个人的账户转出；</w:t>
      </w:r>
    </w:p>
    <w:p w14:paraId="69570EF9">
      <w:pPr>
        <w:spacing w:before="183" w:line="289" w:lineRule="auto"/>
        <w:ind w:left="1431" w:right="1416" w:hanging="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g.当一家以上投标人评标价相同时，若各投标人工程量清单细目单价也相同，视为串标</w:t>
      </w:r>
      <w:r>
        <w:rPr>
          <w:rFonts w:ascii="宋体" w:hAnsi="宋体" w:eastAsia="宋体" w:cs="宋体"/>
          <w:color w:val="auto"/>
          <w:spacing w:val="-4"/>
          <w:sz w:val="24"/>
          <w:szCs w:val="24"/>
          <w:highlight w:val="none"/>
        </w:rPr>
        <w:t>（一个标段仅一工作细目报价的除外</w:t>
      </w:r>
      <w:r>
        <w:rPr>
          <w:rFonts w:ascii="宋体" w:hAnsi="宋体" w:eastAsia="宋体" w:cs="宋体"/>
          <w:color w:val="auto"/>
          <w:spacing w:val="-2"/>
          <w:sz w:val="24"/>
          <w:szCs w:val="24"/>
          <w:highlight w:val="none"/>
        </w:rPr>
        <w:t>）；</w:t>
      </w:r>
    </w:p>
    <w:p w14:paraId="77CF8361">
      <w:pPr>
        <w:spacing w:before="184" w:line="220" w:lineRule="auto"/>
        <w:ind w:left="142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h.广东省实施《中华人民共和国招标投标法》办法第</w:t>
      </w:r>
      <w:r>
        <w:rPr>
          <w:rFonts w:ascii="宋体" w:hAnsi="宋体" w:eastAsia="宋体" w:cs="宋体"/>
          <w:color w:val="auto"/>
          <w:spacing w:val="-2"/>
          <w:sz w:val="24"/>
          <w:szCs w:val="24"/>
          <w:highlight w:val="none"/>
        </w:rPr>
        <w:t>十六条规定的情形。</w:t>
      </w:r>
    </w:p>
    <w:p w14:paraId="78C7BFC9">
      <w:pPr>
        <w:spacing w:before="183" w:line="220" w:lineRule="auto"/>
        <w:ind w:left="155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）有下列情形之一的，属于招标人与投标人串通投标：</w:t>
      </w:r>
    </w:p>
    <w:p w14:paraId="21103FA9">
      <w:pPr>
        <w:spacing w:before="182" w:line="212" w:lineRule="auto"/>
        <w:ind w:left="142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w:t>
      </w:r>
      <w:r>
        <w:rPr>
          <w:rFonts w:ascii="宋体" w:hAnsi="宋体" w:eastAsia="宋体" w:cs="宋体"/>
          <w:color w:val="auto"/>
          <w:sz w:val="24"/>
          <w:szCs w:val="24"/>
          <w:highlight w:val="none"/>
        </w:rPr>
        <w:t>招标人在开标前开启投标文件并将有关</w:t>
      </w:r>
      <w:r>
        <w:rPr>
          <w:rFonts w:ascii="宋体" w:hAnsi="宋体" w:eastAsia="宋体" w:cs="宋体"/>
          <w:color w:val="auto"/>
          <w:spacing w:val="-1"/>
          <w:sz w:val="24"/>
          <w:szCs w:val="24"/>
          <w:highlight w:val="none"/>
        </w:rPr>
        <w:t>信息泄露给其他投标人</w:t>
      </w:r>
      <w:r>
        <w:rPr>
          <w:rFonts w:ascii="Times New Roman" w:hAnsi="Times New Roman" w:eastAsia="Times New Roman" w:cs="Times New Roman"/>
          <w:color w:val="auto"/>
          <w:spacing w:val="-1"/>
          <w:sz w:val="24"/>
          <w:szCs w:val="24"/>
          <w:highlight w:val="none"/>
        </w:rPr>
        <w:t>;</w:t>
      </w:r>
    </w:p>
    <w:p w14:paraId="6CFB1650">
      <w:pPr>
        <w:spacing w:before="192" w:line="219" w:lineRule="auto"/>
        <w:ind w:left="141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b.</w:t>
      </w:r>
      <w:r>
        <w:rPr>
          <w:rFonts w:ascii="宋体" w:hAnsi="宋体" w:eastAsia="宋体" w:cs="宋体"/>
          <w:color w:val="auto"/>
          <w:spacing w:val="-2"/>
          <w:sz w:val="24"/>
          <w:szCs w:val="24"/>
          <w:highlight w:val="none"/>
        </w:rPr>
        <w:t>招标人直接或间接向投标人泄露标底、评标委员会成员等信息；</w:t>
      </w:r>
    </w:p>
    <w:p w14:paraId="7B6CDBBE">
      <w:pPr>
        <w:spacing w:before="183" w:line="218"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c.</w:t>
      </w:r>
      <w:r>
        <w:rPr>
          <w:rFonts w:ascii="宋体" w:hAnsi="宋体" w:eastAsia="宋体" w:cs="宋体"/>
          <w:color w:val="auto"/>
          <w:spacing w:val="-3"/>
          <w:sz w:val="24"/>
          <w:szCs w:val="24"/>
          <w:highlight w:val="none"/>
        </w:rPr>
        <w:t>招标人明示或暗示投标人压低或抬高投标报价；</w:t>
      </w:r>
    </w:p>
    <w:p w14:paraId="20065C97">
      <w:pPr>
        <w:spacing w:before="184" w:line="220" w:lineRule="auto"/>
        <w:ind w:left="1423"/>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d.</w:t>
      </w:r>
      <w:r>
        <w:rPr>
          <w:rFonts w:ascii="宋体" w:hAnsi="宋体" w:eastAsia="宋体" w:cs="宋体"/>
          <w:color w:val="auto"/>
          <w:spacing w:val="-4"/>
          <w:sz w:val="24"/>
          <w:szCs w:val="24"/>
          <w:highlight w:val="none"/>
        </w:rPr>
        <w:t>招标人授意投标人撤换、修改投标文件；</w:t>
      </w:r>
    </w:p>
    <w:p w14:paraId="48A0A4DC">
      <w:pPr>
        <w:spacing w:before="182" w:line="219"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e.</w:t>
      </w:r>
      <w:r>
        <w:rPr>
          <w:rFonts w:ascii="宋体" w:hAnsi="宋体" w:eastAsia="宋体" w:cs="宋体"/>
          <w:color w:val="auto"/>
          <w:spacing w:val="-3"/>
          <w:sz w:val="24"/>
          <w:szCs w:val="24"/>
          <w:highlight w:val="none"/>
        </w:rPr>
        <w:t>招标人明示或暗示投标人为特定投标人中标提供方便；</w:t>
      </w:r>
    </w:p>
    <w:p w14:paraId="5600AF32">
      <w:pPr>
        <w:spacing w:before="184" w:line="219" w:lineRule="auto"/>
        <w:ind w:left="142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f.</w:t>
      </w:r>
      <w:r>
        <w:rPr>
          <w:rFonts w:ascii="宋体" w:hAnsi="宋体" w:eastAsia="宋体" w:cs="宋体"/>
          <w:color w:val="auto"/>
          <w:spacing w:val="-2"/>
          <w:sz w:val="24"/>
          <w:szCs w:val="24"/>
          <w:highlight w:val="none"/>
        </w:rPr>
        <w:t>招标人与投标人为谋求特定投标人中标而采取的其他串通行为。</w:t>
      </w:r>
    </w:p>
    <w:p w14:paraId="7EA3965F">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）投标人有下列情形之一的，属于弄虚作假的行为：</w:t>
      </w:r>
    </w:p>
    <w:p w14:paraId="5D30D057">
      <w:pPr>
        <w:spacing w:before="183" w:line="219"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a.</w:t>
      </w:r>
      <w:r>
        <w:rPr>
          <w:rFonts w:ascii="宋体" w:hAnsi="宋体" w:eastAsia="宋体" w:cs="宋体"/>
          <w:color w:val="auto"/>
          <w:spacing w:val="-3"/>
          <w:sz w:val="24"/>
          <w:szCs w:val="24"/>
          <w:highlight w:val="none"/>
        </w:rPr>
        <w:t>使用通过受让或租借等方式获取的资格、资质证书投标；</w:t>
      </w:r>
    </w:p>
    <w:p w14:paraId="6387C854">
      <w:pPr>
        <w:spacing w:before="183" w:line="220" w:lineRule="auto"/>
        <w:ind w:left="1415"/>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b.</w:t>
      </w:r>
      <w:r>
        <w:rPr>
          <w:rFonts w:ascii="宋体" w:hAnsi="宋体" w:eastAsia="宋体" w:cs="宋体"/>
          <w:color w:val="auto"/>
          <w:spacing w:val="-4"/>
          <w:sz w:val="24"/>
          <w:szCs w:val="24"/>
          <w:highlight w:val="none"/>
        </w:rPr>
        <w:t>使用伪造、变造的许可证件；</w:t>
      </w:r>
    </w:p>
    <w:p w14:paraId="6E6D479C">
      <w:pPr>
        <w:spacing w:before="183" w:line="219"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5"/>
          <w:sz w:val="24"/>
          <w:szCs w:val="24"/>
          <w:highlight w:val="none"/>
        </w:rPr>
        <w:t>c.</w:t>
      </w:r>
      <w:r>
        <w:rPr>
          <w:rFonts w:ascii="宋体" w:hAnsi="宋体" w:eastAsia="宋体" w:cs="宋体"/>
          <w:color w:val="auto"/>
          <w:spacing w:val="-5"/>
          <w:sz w:val="24"/>
          <w:szCs w:val="24"/>
          <w:highlight w:val="none"/>
        </w:rPr>
        <w:t>提供虚假的财务状况或业绩；</w:t>
      </w:r>
    </w:p>
    <w:p w14:paraId="3B460950">
      <w:pPr>
        <w:spacing w:before="183" w:line="219" w:lineRule="auto"/>
        <w:ind w:left="1423"/>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d.</w:t>
      </w:r>
      <w:r>
        <w:rPr>
          <w:rFonts w:ascii="宋体" w:hAnsi="宋体" w:eastAsia="宋体" w:cs="宋体"/>
          <w:color w:val="auto"/>
          <w:spacing w:val="-2"/>
          <w:sz w:val="24"/>
          <w:szCs w:val="24"/>
          <w:highlight w:val="none"/>
        </w:rPr>
        <w:t>提供虚假的项目负责人或主要技术人员简历、劳</w:t>
      </w:r>
      <w:r>
        <w:rPr>
          <w:rFonts w:ascii="宋体" w:hAnsi="宋体" w:eastAsia="宋体" w:cs="宋体"/>
          <w:color w:val="auto"/>
          <w:spacing w:val="-3"/>
          <w:sz w:val="24"/>
          <w:szCs w:val="24"/>
          <w:highlight w:val="none"/>
        </w:rPr>
        <w:t>动关系证明；</w:t>
      </w:r>
    </w:p>
    <w:p w14:paraId="63E40FD7">
      <w:pPr>
        <w:spacing w:before="183" w:line="219" w:lineRule="auto"/>
        <w:ind w:left="1424"/>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e.</w:t>
      </w:r>
      <w:r>
        <w:rPr>
          <w:rFonts w:ascii="宋体" w:hAnsi="宋体" w:eastAsia="宋体" w:cs="宋体"/>
          <w:color w:val="auto"/>
          <w:spacing w:val="-6"/>
          <w:sz w:val="24"/>
          <w:szCs w:val="24"/>
          <w:highlight w:val="none"/>
        </w:rPr>
        <w:t>提供虚假的信用状况；</w:t>
      </w:r>
    </w:p>
    <w:p w14:paraId="083EF0F4">
      <w:pPr>
        <w:spacing w:before="184" w:line="219" w:lineRule="auto"/>
        <w:ind w:left="1425"/>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f.</w:t>
      </w:r>
      <w:r>
        <w:rPr>
          <w:rFonts w:ascii="宋体" w:hAnsi="宋体" w:eastAsia="宋体" w:cs="宋体"/>
          <w:color w:val="auto"/>
          <w:spacing w:val="-4"/>
          <w:sz w:val="24"/>
          <w:szCs w:val="24"/>
          <w:highlight w:val="none"/>
        </w:rPr>
        <w:t>其他弄虚作假的行为。</w:t>
      </w:r>
    </w:p>
    <w:p w14:paraId="0E429AA2">
      <w:pPr>
        <w:spacing w:before="183" w:line="313" w:lineRule="auto"/>
        <w:ind w:left="1425" w:right="1331"/>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3.6.3 </w:t>
      </w:r>
      <w:r>
        <w:rPr>
          <w:rFonts w:ascii="宋体" w:hAnsi="宋体" w:eastAsia="宋体" w:cs="宋体"/>
          <w:color w:val="auto"/>
          <w:spacing w:val="-3"/>
          <w:sz w:val="24"/>
          <w:szCs w:val="24"/>
          <w:highlight w:val="none"/>
        </w:rPr>
        <w:t>依法必须进行招标的项目，除第一中标候选人或者中标人，其他投标人存在串通投</w:t>
      </w:r>
      <w:r>
        <w:rPr>
          <w:rFonts w:ascii="宋体" w:hAnsi="宋体" w:eastAsia="宋体" w:cs="宋体"/>
          <w:color w:val="auto"/>
          <w:spacing w:val="-6"/>
          <w:sz w:val="24"/>
          <w:szCs w:val="24"/>
          <w:highlight w:val="none"/>
        </w:rPr>
        <w:t>标、弄虚作假、行贿情形且在评标过程中未被发现的，</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视为对中标结果没有造成实质性</w:t>
      </w:r>
      <w:r>
        <w:rPr>
          <w:rFonts w:ascii="宋体" w:hAnsi="宋体" w:eastAsia="宋体" w:cs="宋体"/>
          <w:color w:val="auto"/>
          <w:spacing w:val="-5"/>
          <w:sz w:val="24"/>
          <w:szCs w:val="24"/>
          <w:highlight w:val="none"/>
        </w:rPr>
        <w:t>影响，招标人可以依法继续开展招标活动。投</w:t>
      </w:r>
      <w:r>
        <w:rPr>
          <w:rFonts w:ascii="宋体" w:hAnsi="宋体" w:eastAsia="宋体" w:cs="宋体"/>
          <w:color w:val="auto"/>
          <w:spacing w:val="-6"/>
          <w:sz w:val="24"/>
          <w:szCs w:val="24"/>
          <w:highlight w:val="none"/>
        </w:rPr>
        <w:t>标人的违法行为由行政监督部门依法处理。</w:t>
      </w:r>
    </w:p>
    <w:p w14:paraId="120FB8A2">
      <w:pPr>
        <w:spacing w:before="78" w:line="221"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3.7 投标文件的澄清和说明</w:t>
      </w:r>
    </w:p>
    <w:p w14:paraId="626BB19A">
      <w:pPr>
        <w:spacing w:before="180" w:line="313" w:lineRule="auto"/>
        <w:ind w:left="1430" w:right="1416" w:hanging="5"/>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3.7.1  </w:t>
      </w:r>
      <w:r>
        <w:rPr>
          <w:rFonts w:ascii="宋体" w:hAnsi="宋体" w:eastAsia="宋体" w:cs="宋体"/>
          <w:color w:val="auto"/>
          <w:sz w:val="24"/>
          <w:szCs w:val="24"/>
          <w:highlight w:val="none"/>
        </w:rPr>
        <w:t>在评标过程中，评标委员会可以要求投标人对投标文件</w:t>
      </w:r>
      <w:r>
        <w:rPr>
          <w:rFonts w:ascii="宋体" w:hAnsi="宋体" w:eastAsia="宋体" w:cs="宋体"/>
          <w:color w:val="auto"/>
          <w:spacing w:val="-1"/>
          <w:sz w:val="24"/>
          <w:szCs w:val="24"/>
          <w:highlight w:val="none"/>
        </w:rPr>
        <w:t>中含义不明确的内容、明</w:t>
      </w:r>
      <w:r>
        <w:rPr>
          <w:rFonts w:ascii="宋体" w:hAnsi="宋体" w:eastAsia="宋体" w:cs="宋体"/>
          <w:color w:val="auto"/>
          <w:spacing w:val="-2"/>
          <w:sz w:val="24"/>
          <w:szCs w:val="24"/>
          <w:highlight w:val="none"/>
        </w:rPr>
        <w:t>显文字或计算错误进行书面澄清或说明。评标委员会不接受投标人主动提出的澄清、说明。投标人不按评标委员会要求澄清或说明的，评标委员会应否决其投标。</w:t>
      </w:r>
    </w:p>
    <w:p w14:paraId="3F6C7A07">
      <w:pPr>
        <w:spacing w:before="184" w:line="289" w:lineRule="auto"/>
        <w:ind w:left="1444" w:right="1488" w:hanging="19"/>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3.7.2  </w:t>
      </w:r>
      <w:r>
        <w:rPr>
          <w:rFonts w:ascii="宋体" w:hAnsi="宋体" w:eastAsia="宋体" w:cs="宋体"/>
          <w:color w:val="auto"/>
          <w:sz w:val="24"/>
          <w:szCs w:val="24"/>
          <w:highlight w:val="none"/>
        </w:rPr>
        <w:t>澄清和说明不得超出投标文件的范围或改变投标文件的</w:t>
      </w:r>
      <w:r>
        <w:rPr>
          <w:rFonts w:ascii="宋体" w:hAnsi="宋体" w:eastAsia="宋体" w:cs="宋体"/>
          <w:color w:val="auto"/>
          <w:spacing w:val="-1"/>
          <w:sz w:val="24"/>
          <w:szCs w:val="24"/>
          <w:highlight w:val="none"/>
        </w:rPr>
        <w:t>实质性内容（算术性错误</w:t>
      </w:r>
      <w:r>
        <w:rPr>
          <w:rFonts w:ascii="宋体" w:hAnsi="宋体" w:eastAsia="宋体" w:cs="宋体"/>
          <w:color w:val="auto"/>
          <w:spacing w:val="-2"/>
          <w:sz w:val="24"/>
          <w:szCs w:val="24"/>
          <w:highlight w:val="none"/>
        </w:rPr>
        <w:t>的修正除外）。投标人的书面澄清、说明属于投标文件的组成</w:t>
      </w:r>
      <w:r>
        <w:rPr>
          <w:rFonts w:ascii="宋体" w:hAnsi="宋体" w:eastAsia="宋体" w:cs="宋体"/>
          <w:color w:val="auto"/>
          <w:spacing w:val="-3"/>
          <w:sz w:val="24"/>
          <w:szCs w:val="24"/>
          <w:highlight w:val="none"/>
        </w:rPr>
        <w:t>部分。</w:t>
      </w:r>
    </w:p>
    <w:p w14:paraId="366DF6CF">
      <w:pPr>
        <w:spacing w:before="184" w:line="289" w:lineRule="auto"/>
        <w:ind w:left="1425" w:right="1488"/>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3.7.3  </w:t>
      </w:r>
      <w:r>
        <w:rPr>
          <w:rFonts w:ascii="宋体" w:hAnsi="宋体" w:eastAsia="宋体" w:cs="宋体"/>
          <w:color w:val="auto"/>
          <w:sz w:val="24"/>
          <w:szCs w:val="24"/>
          <w:highlight w:val="none"/>
        </w:rPr>
        <w:t>评标委员会不得暗示或诱导投标人作出澄清、说明，对</w:t>
      </w:r>
      <w:r>
        <w:rPr>
          <w:rFonts w:ascii="宋体" w:hAnsi="宋体" w:eastAsia="宋体" w:cs="宋体"/>
          <w:color w:val="auto"/>
          <w:spacing w:val="-1"/>
          <w:sz w:val="24"/>
          <w:szCs w:val="24"/>
          <w:highlight w:val="none"/>
        </w:rPr>
        <w:t>投标人提交的澄清、说明有疑问的，可以要求投标人进一步澄清或说明，直至</w:t>
      </w:r>
      <w:r>
        <w:rPr>
          <w:rFonts w:ascii="宋体" w:hAnsi="宋体" w:eastAsia="宋体" w:cs="宋体"/>
          <w:color w:val="auto"/>
          <w:spacing w:val="-2"/>
          <w:sz w:val="24"/>
          <w:szCs w:val="24"/>
          <w:highlight w:val="none"/>
        </w:rPr>
        <w:t>满足评标委员会的要求。</w:t>
      </w:r>
    </w:p>
    <w:p w14:paraId="79925DAF">
      <w:pPr>
        <w:spacing w:before="185" w:line="289" w:lineRule="auto"/>
        <w:ind w:left="1424" w:right="1488"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3.7.4  </w:t>
      </w:r>
      <w:r>
        <w:rPr>
          <w:rFonts w:ascii="宋体" w:hAnsi="宋体" w:eastAsia="宋体" w:cs="宋体"/>
          <w:color w:val="auto"/>
          <w:sz w:val="24"/>
          <w:szCs w:val="24"/>
          <w:highlight w:val="none"/>
        </w:rPr>
        <w:t>凡超出招标文件规定的或给发包人带来未曾要求的利益</w:t>
      </w:r>
      <w:r>
        <w:rPr>
          <w:rFonts w:ascii="宋体" w:hAnsi="宋体" w:eastAsia="宋体" w:cs="宋体"/>
          <w:color w:val="auto"/>
          <w:spacing w:val="-1"/>
          <w:sz w:val="24"/>
          <w:szCs w:val="24"/>
          <w:highlight w:val="none"/>
        </w:rPr>
        <w:t>的变化、偏差或其他因素</w:t>
      </w:r>
      <w:r>
        <w:rPr>
          <w:rFonts w:ascii="宋体" w:hAnsi="宋体" w:eastAsia="宋体" w:cs="宋体"/>
          <w:color w:val="auto"/>
          <w:spacing w:val="-5"/>
          <w:sz w:val="24"/>
          <w:szCs w:val="24"/>
          <w:highlight w:val="none"/>
        </w:rPr>
        <w:t>在评标时不予考虑。</w:t>
      </w:r>
    </w:p>
    <w:p w14:paraId="17D0CF99">
      <w:pPr>
        <w:spacing w:before="184" w:line="222"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3.8 不得否决投标的情形</w:t>
      </w:r>
    </w:p>
    <w:p w14:paraId="429A186B">
      <w:pPr>
        <w:spacing w:before="179" w:line="360" w:lineRule="auto"/>
        <w:ind w:left="1424" w:right="1488" w:firstLine="3"/>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投标文件存在第二章“投标人须知”第 </w:t>
      </w:r>
      <w:r>
        <w:rPr>
          <w:rFonts w:ascii="Times New Roman" w:hAnsi="Times New Roman" w:eastAsia="Times New Roman" w:cs="Times New Roman"/>
          <w:color w:val="auto"/>
          <w:sz w:val="24"/>
          <w:szCs w:val="24"/>
          <w:highlight w:val="none"/>
        </w:rPr>
        <w:t xml:space="preserve">1.12.3  </w:t>
      </w:r>
      <w:r>
        <w:rPr>
          <w:rFonts w:ascii="宋体" w:hAnsi="宋体" w:eastAsia="宋体" w:cs="宋体"/>
          <w:color w:val="auto"/>
          <w:sz w:val="24"/>
          <w:szCs w:val="24"/>
          <w:highlight w:val="none"/>
        </w:rPr>
        <w:t>项所列</w:t>
      </w:r>
      <w:r>
        <w:rPr>
          <w:rFonts w:ascii="宋体" w:hAnsi="宋体" w:eastAsia="宋体" w:cs="宋体"/>
          <w:color w:val="auto"/>
          <w:spacing w:val="-1"/>
          <w:sz w:val="24"/>
          <w:szCs w:val="24"/>
          <w:highlight w:val="none"/>
        </w:rPr>
        <w:t>情形的，均视为细微偏差，评标</w:t>
      </w:r>
      <w:r>
        <w:rPr>
          <w:rFonts w:ascii="宋体" w:hAnsi="宋体" w:eastAsia="宋体" w:cs="宋体"/>
          <w:color w:val="auto"/>
          <w:sz w:val="24"/>
          <w:szCs w:val="24"/>
          <w:highlight w:val="none"/>
        </w:rPr>
        <w:t xml:space="preserve">委员会不得否决投标人的投标，应按照第二章“投标人须知”第 </w:t>
      </w:r>
      <w:r>
        <w:rPr>
          <w:rFonts w:ascii="Times New Roman" w:hAnsi="Times New Roman" w:eastAsia="Times New Roman" w:cs="Times New Roman"/>
          <w:color w:val="auto"/>
          <w:sz w:val="24"/>
          <w:szCs w:val="24"/>
          <w:highlight w:val="none"/>
        </w:rPr>
        <w:t>1.12</w:t>
      </w:r>
      <w:r>
        <w:rPr>
          <w:rFonts w:ascii="Times New Roman" w:hAnsi="Times New Roman" w:eastAsia="Times New Roman" w:cs="Times New Roman"/>
          <w:color w:val="auto"/>
          <w:spacing w:val="-1"/>
          <w:sz w:val="24"/>
          <w:szCs w:val="24"/>
          <w:highlight w:val="none"/>
        </w:rPr>
        <w:t xml:space="preserve">.4  </w:t>
      </w:r>
      <w:r>
        <w:rPr>
          <w:rFonts w:ascii="宋体" w:hAnsi="宋体" w:eastAsia="宋体" w:cs="宋体"/>
          <w:color w:val="auto"/>
          <w:spacing w:val="-1"/>
          <w:sz w:val="24"/>
          <w:szCs w:val="24"/>
          <w:highlight w:val="none"/>
        </w:rPr>
        <w:t>项规定的原则</w:t>
      </w:r>
      <w:r>
        <w:rPr>
          <w:rFonts w:ascii="宋体" w:hAnsi="宋体" w:eastAsia="宋体" w:cs="宋体"/>
          <w:color w:val="auto"/>
          <w:spacing w:val="-10"/>
          <w:sz w:val="24"/>
          <w:szCs w:val="24"/>
          <w:highlight w:val="none"/>
        </w:rPr>
        <w:t>处理。</w:t>
      </w:r>
    </w:p>
    <w:p w14:paraId="40A9A186">
      <w:pPr>
        <w:spacing w:before="1" w:line="221" w:lineRule="auto"/>
        <w:ind w:left="1425"/>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3.9 评标结果</w:t>
      </w:r>
    </w:p>
    <w:p w14:paraId="7EA811E8">
      <w:pPr>
        <w:spacing w:before="181" w:line="289" w:lineRule="auto"/>
        <w:ind w:left="1424" w:right="1515" w:firstLine="1"/>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3.9.1  </w:t>
      </w:r>
      <w:r>
        <w:rPr>
          <w:rFonts w:ascii="宋体" w:hAnsi="宋体" w:eastAsia="宋体" w:cs="宋体"/>
          <w:color w:val="auto"/>
          <w:sz w:val="24"/>
          <w:szCs w:val="24"/>
          <w:highlight w:val="none"/>
        </w:rPr>
        <w:t>除第二章</w:t>
      </w:r>
      <w:r>
        <w:rPr>
          <w:rFonts w:ascii="Times New Roman" w:hAnsi="Times New Roman" w:eastAsia="Times New Roman" w:cs="Times New Roman"/>
          <w:color w:val="auto"/>
          <w:sz w:val="24"/>
          <w:szCs w:val="24"/>
          <w:highlight w:val="none"/>
        </w:rPr>
        <w:t>“</w:t>
      </w:r>
      <w:r>
        <w:rPr>
          <w:rFonts w:ascii="宋体" w:hAnsi="宋体" w:eastAsia="宋体" w:cs="宋体"/>
          <w:color w:val="auto"/>
          <w:sz w:val="24"/>
          <w:szCs w:val="24"/>
          <w:highlight w:val="none"/>
        </w:rPr>
        <w:t>投标人须知</w:t>
      </w:r>
      <w:r>
        <w:rPr>
          <w:rFonts w:ascii="Times New Roman" w:hAnsi="Times New Roman" w:eastAsia="Times New Roman" w:cs="Times New Roman"/>
          <w:color w:val="auto"/>
          <w:sz w:val="24"/>
          <w:szCs w:val="24"/>
          <w:highlight w:val="none"/>
        </w:rPr>
        <w:t>”</w:t>
      </w:r>
      <w:r>
        <w:rPr>
          <w:rFonts w:ascii="宋体" w:hAnsi="宋体" w:eastAsia="宋体" w:cs="宋体"/>
          <w:color w:val="auto"/>
          <w:sz w:val="24"/>
          <w:szCs w:val="24"/>
          <w:highlight w:val="none"/>
        </w:rPr>
        <w:t>前附表授权直接确定中标人外</w:t>
      </w:r>
      <w:r>
        <w:rPr>
          <w:rFonts w:ascii="宋体" w:hAnsi="宋体" w:eastAsia="宋体" w:cs="宋体"/>
          <w:color w:val="auto"/>
          <w:spacing w:val="-1"/>
          <w:sz w:val="24"/>
          <w:szCs w:val="24"/>
          <w:highlight w:val="none"/>
        </w:rPr>
        <w:t>，评标委员会按照评标价由</w:t>
      </w:r>
      <w:r>
        <w:rPr>
          <w:rFonts w:ascii="宋体" w:hAnsi="宋体" w:eastAsia="宋体" w:cs="宋体"/>
          <w:color w:val="auto"/>
          <w:spacing w:val="-3"/>
          <w:sz w:val="24"/>
          <w:szCs w:val="24"/>
          <w:highlight w:val="none"/>
        </w:rPr>
        <w:t>低到高的顺序推荐中标候选人，并标明排序。</w:t>
      </w:r>
    </w:p>
    <w:p w14:paraId="5D8FCEC0">
      <w:pPr>
        <w:spacing w:before="183" w:line="218" w:lineRule="auto"/>
        <w:ind w:left="1425"/>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3.9.2  </w:t>
      </w:r>
      <w:r>
        <w:rPr>
          <w:rFonts w:ascii="宋体" w:hAnsi="宋体" w:eastAsia="宋体" w:cs="宋体"/>
          <w:color w:val="auto"/>
          <w:spacing w:val="-1"/>
          <w:sz w:val="24"/>
          <w:szCs w:val="24"/>
          <w:highlight w:val="none"/>
        </w:rPr>
        <w:t>评标委员会完成评标后，应向</w:t>
      </w:r>
      <w:r>
        <w:rPr>
          <w:rFonts w:ascii="宋体" w:hAnsi="宋体" w:eastAsia="宋体" w:cs="宋体"/>
          <w:color w:val="auto"/>
          <w:spacing w:val="-2"/>
          <w:sz w:val="24"/>
          <w:szCs w:val="24"/>
          <w:highlight w:val="none"/>
        </w:rPr>
        <w:t>招标人提交书面评标报告。</w:t>
      </w:r>
    </w:p>
    <w:p w14:paraId="0E87330D">
      <w:pPr>
        <w:spacing w:before="187" w:line="336" w:lineRule="auto"/>
        <w:ind w:left="1424" w:right="1416" w:firstLine="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3.9.3  </w:t>
      </w:r>
      <w:r>
        <w:rPr>
          <w:rFonts w:ascii="宋体" w:hAnsi="宋体" w:eastAsia="宋体" w:cs="宋体"/>
          <w:color w:val="auto"/>
          <w:spacing w:val="-1"/>
          <w:sz w:val="24"/>
          <w:szCs w:val="24"/>
          <w:highlight w:val="none"/>
        </w:rPr>
        <w:t>通过第一个信封商务及技术文件评审的投标人少于3</w:t>
      </w:r>
      <w:r>
        <w:rPr>
          <w:rFonts w:ascii="宋体" w:hAnsi="宋体" w:eastAsia="宋体" w:cs="宋体"/>
          <w:color w:val="auto"/>
          <w:spacing w:val="-50"/>
          <w:sz w:val="24"/>
          <w:szCs w:val="24"/>
          <w:highlight w:val="none"/>
        </w:rPr>
        <w:t xml:space="preserve"> </w:t>
      </w:r>
      <w:r>
        <w:rPr>
          <w:rFonts w:ascii="宋体" w:hAnsi="宋体" w:eastAsia="宋体" w:cs="宋体"/>
          <w:color w:val="auto"/>
          <w:spacing w:val="-1"/>
          <w:sz w:val="24"/>
          <w:szCs w:val="24"/>
          <w:highlight w:val="none"/>
        </w:rPr>
        <w:t>个的，评标委员会应当对投</w:t>
      </w:r>
      <w:r>
        <w:rPr>
          <w:rFonts w:ascii="宋体" w:hAnsi="宋体" w:eastAsia="宋体" w:cs="宋体"/>
          <w:color w:val="auto"/>
          <w:spacing w:val="-2"/>
          <w:sz w:val="24"/>
          <w:szCs w:val="24"/>
          <w:highlight w:val="none"/>
        </w:rPr>
        <w:t>标是否明显缺乏竞争和是否需要否决全部投标进行充分论证，并在评标报告中记载论证过程和结果；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w:t>
      </w:r>
      <w:r>
        <w:rPr>
          <w:rFonts w:ascii="宋体" w:hAnsi="宋体" w:eastAsia="宋体" w:cs="宋体"/>
          <w:color w:val="auto"/>
          <w:spacing w:val="-3"/>
          <w:sz w:val="24"/>
          <w:szCs w:val="24"/>
          <w:highlight w:val="none"/>
        </w:rPr>
        <w:t>评标报告中阐明理由并推荐中标候选人。</w:t>
      </w:r>
    </w:p>
    <w:p w14:paraId="1439D03F">
      <w:pPr>
        <w:spacing w:before="182" w:line="332" w:lineRule="auto"/>
        <w:ind w:left="1424" w:right="1416" w:firstLine="1"/>
        <w:rPr>
          <w:color w:val="auto"/>
          <w:highlight w:val="none"/>
        </w:rPr>
      </w:pPr>
      <w:r>
        <w:rPr>
          <w:rFonts w:ascii="Times New Roman" w:hAnsi="Times New Roman" w:eastAsia="Times New Roman" w:cs="Times New Roman"/>
          <w:color w:val="auto"/>
          <w:spacing w:val="-3"/>
          <w:sz w:val="24"/>
          <w:szCs w:val="24"/>
          <w:highlight w:val="none"/>
        </w:rPr>
        <w:t xml:space="preserve">3.9.4 </w:t>
      </w:r>
      <w:r>
        <w:rPr>
          <w:rFonts w:ascii="宋体" w:hAnsi="宋体" w:eastAsia="宋体" w:cs="宋体"/>
          <w:color w:val="auto"/>
          <w:spacing w:val="-3"/>
          <w:sz w:val="24"/>
          <w:szCs w:val="24"/>
          <w:highlight w:val="none"/>
        </w:rPr>
        <w:t>通过第一个信封商务及技术文件评审的投标</w:t>
      </w:r>
      <w:r>
        <w:rPr>
          <w:rFonts w:ascii="宋体" w:hAnsi="宋体" w:eastAsia="宋体" w:cs="宋体"/>
          <w:color w:val="auto"/>
          <w:spacing w:val="-4"/>
          <w:sz w:val="24"/>
          <w:szCs w:val="24"/>
          <w:highlight w:val="none"/>
        </w:rPr>
        <w:t>人在</w:t>
      </w:r>
      <w:r>
        <w:rPr>
          <w:rFonts w:ascii="宋体" w:hAnsi="宋体" w:eastAsia="宋体" w:cs="宋体"/>
          <w:color w:val="auto"/>
          <w:spacing w:val="-46"/>
          <w:sz w:val="24"/>
          <w:szCs w:val="24"/>
          <w:highlight w:val="none"/>
        </w:rPr>
        <w:t xml:space="preserve"> </w:t>
      </w:r>
      <w:r>
        <w:rPr>
          <w:rFonts w:ascii="宋体" w:hAnsi="宋体" w:eastAsia="宋体" w:cs="宋体"/>
          <w:color w:val="auto"/>
          <w:spacing w:val="-4"/>
          <w:sz w:val="24"/>
          <w:szCs w:val="24"/>
          <w:highlight w:val="none"/>
        </w:rPr>
        <w:t>3</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个及以上的，招标人应当按照招</w:t>
      </w:r>
      <w:r>
        <w:rPr>
          <w:rFonts w:ascii="宋体" w:hAnsi="宋体" w:eastAsia="宋体" w:cs="宋体"/>
          <w:color w:val="auto"/>
          <w:spacing w:val="-2"/>
          <w:sz w:val="24"/>
          <w:szCs w:val="24"/>
          <w:highlight w:val="none"/>
        </w:rPr>
        <w:t>标文件规定的程序进行第二个信封报价文件开标；在对报价文件进行评审后，有效投标不足</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3</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个的，评标委员会应当对投标是否明显缺乏竞争和是否需要否决全部</w:t>
      </w:r>
      <w:r>
        <w:rPr>
          <w:rFonts w:ascii="宋体" w:hAnsi="宋体" w:eastAsia="宋体" w:cs="宋体"/>
          <w:color w:val="auto"/>
          <w:spacing w:val="-3"/>
          <w:sz w:val="24"/>
          <w:szCs w:val="24"/>
          <w:highlight w:val="none"/>
        </w:rPr>
        <w:t>投标进行充</w:t>
      </w:r>
      <w:r>
        <w:rPr>
          <w:rFonts w:ascii="宋体" w:hAnsi="宋体" w:eastAsia="宋体" w:cs="宋体"/>
          <w:color w:val="auto"/>
          <w:spacing w:val="-6"/>
          <w:sz w:val="24"/>
          <w:szCs w:val="24"/>
          <w:highlight w:val="none"/>
        </w:rPr>
        <w:t>分论证，并在评标报告中记载论证过程和结果。未否决全部投标的，</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评标委员会应当在</w:t>
      </w:r>
      <w:r>
        <w:rPr>
          <w:rFonts w:ascii="宋体" w:hAnsi="宋体" w:eastAsia="宋体" w:cs="宋体"/>
          <w:color w:val="auto"/>
          <w:spacing w:val="-3"/>
          <w:sz w:val="24"/>
          <w:szCs w:val="24"/>
          <w:highlight w:val="none"/>
        </w:rPr>
        <w:t>评标报告中阐明理由并推荐中标候选人。</w:t>
      </w:r>
    </w:p>
    <w:p w14:paraId="4C52C884">
      <w:pPr>
        <w:spacing w:before="78" w:line="353" w:lineRule="auto"/>
        <w:ind w:left="1425" w:right="1416"/>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3.9.5 </w:t>
      </w:r>
      <w:r>
        <w:rPr>
          <w:rFonts w:ascii="宋体" w:hAnsi="宋体" w:eastAsia="宋体" w:cs="宋体"/>
          <w:color w:val="auto"/>
          <w:spacing w:val="-3"/>
          <w:sz w:val="24"/>
          <w:szCs w:val="24"/>
          <w:highlight w:val="none"/>
        </w:rPr>
        <w:t>如果发生无法确定推荐中标候选人的其他意外情况，评标委员会可建议招标人重新</w:t>
      </w:r>
      <w:r>
        <w:rPr>
          <w:rFonts w:ascii="宋体" w:hAnsi="宋体" w:eastAsia="宋体" w:cs="宋体"/>
          <w:color w:val="auto"/>
          <w:spacing w:val="-11"/>
          <w:sz w:val="24"/>
          <w:szCs w:val="24"/>
          <w:highlight w:val="none"/>
        </w:rPr>
        <w:t>招标。</w:t>
      </w:r>
    </w:p>
    <w:p w14:paraId="664A5C13">
      <w:pPr>
        <w:spacing w:line="232" w:lineRule="auto"/>
        <w:ind w:left="1425"/>
        <w:rPr>
          <w:rFonts w:ascii="宋体" w:hAnsi="宋体" w:eastAsia="宋体" w:cs="宋体"/>
          <w:color w:val="auto"/>
          <w:sz w:val="12"/>
          <w:szCs w:val="12"/>
          <w:highlight w:val="none"/>
        </w:rPr>
      </w:pPr>
      <w:r>
        <w:rPr>
          <w:rFonts w:ascii="Times New Roman" w:hAnsi="Times New Roman" w:eastAsia="Times New Roman" w:cs="Times New Roman"/>
          <w:color w:val="auto"/>
          <w:sz w:val="24"/>
          <w:szCs w:val="24"/>
          <w:highlight w:val="none"/>
        </w:rPr>
        <w:t xml:space="preserve">3.9.6 </w:t>
      </w:r>
      <w:r>
        <w:rPr>
          <w:rFonts w:ascii="宋体" w:hAnsi="宋体" w:eastAsia="宋体" w:cs="宋体"/>
          <w:color w:val="auto"/>
          <w:sz w:val="24"/>
          <w:szCs w:val="24"/>
          <w:highlight w:val="none"/>
        </w:rPr>
        <w:t>本招标文件规定的否决投标条款包含</w:t>
      </w:r>
      <w:r>
        <w:rPr>
          <w:rFonts w:ascii="宋体" w:hAnsi="宋体" w:eastAsia="宋体" w:cs="宋体"/>
          <w:color w:val="auto"/>
          <w:spacing w:val="-1"/>
          <w:sz w:val="24"/>
          <w:szCs w:val="24"/>
          <w:highlight w:val="none"/>
        </w:rPr>
        <w:t>在以下条款：</w:t>
      </w:r>
    </w:p>
    <w:p w14:paraId="7482EA71">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（1）投标人须知前附表后附录资格审查条件；</w:t>
      </w:r>
    </w:p>
    <w:p w14:paraId="4DD9984C">
      <w:pPr>
        <w:tabs>
          <w:tab w:val="left" w:pos="1551"/>
        </w:tabs>
        <w:spacing w:before="183" w:line="290" w:lineRule="auto"/>
        <w:ind w:left="1429" w:right="1417" w:hanging="13"/>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u w:val="single" w:color="auto"/>
        </w:rPr>
        <w:tab/>
      </w:r>
      <w:r>
        <w:rPr>
          <w:rFonts w:ascii="宋体" w:hAnsi="宋体" w:eastAsia="宋体" w:cs="宋体"/>
          <w:color w:val="auto"/>
          <w:spacing w:val="-6"/>
          <w:sz w:val="24"/>
          <w:szCs w:val="24"/>
          <w:highlight w:val="none"/>
          <w:u w:val="single" w:color="auto"/>
        </w:rPr>
        <w:t>（2）投标人须知</w:t>
      </w:r>
      <w:r>
        <w:rPr>
          <w:rFonts w:ascii="宋体" w:hAnsi="宋体" w:eastAsia="宋体" w:cs="宋体"/>
          <w:color w:val="auto"/>
          <w:spacing w:val="-33"/>
          <w:sz w:val="24"/>
          <w:szCs w:val="24"/>
          <w:highlight w:val="none"/>
          <w:u w:val="single" w:color="auto"/>
        </w:rPr>
        <w:t xml:space="preserve"> </w:t>
      </w:r>
      <w:r>
        <w:rPr>
          <w:rFonts w:ascii="宋体" w:hAnsi="宋体" w:eastAsia="宋体" w:cs="宋体"/>
          <w:color w:val="auto"/>
          <w:spacing w:val="-6"/>
          <w:sz w:val="24"/>
          <w:szCs w:val="24"/>
          <w:highlight w:val="none"/>
          <w:u w:val="single" w:color="auto"/>
        </w:rPr>
        <w:t>1.4.3</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6"/>
          <w:sz w:val="24"/>
          <w:szCs w:val="24"/>
          <w:highlight w:val="none"/>
          <w:u w:val="single" w:color="auto"/>
        </w:rPr>
        <w:t>项、1.4.4</w:t>
      </w:r>
      <w:r>
        <w:rPr>
          <w:rFonts w:ascii="宋体" w:hAnsi="宋体" w:eastAsia="宋体" w:cs="宋体"/>
          <w:color w:val="auto"/>
          <w:spacing w:val="-46"/>
          <w:sz w:val="24"/>
          <w:szCs w:val="24"/>
          <w:highlight w:val="none"/>
          <w:u w:val="single" w:color="auto"/>
        </w:rPr>
        <w:t xml:space="preserve"> </w:t>
      </w:r>
      <w:r>
        <w:rPr>
          <w:rFonts w:ascii="宋体" w:hAnsi="宋体" w:eastAsia="宋体" w:cs="宋体"/>
          <w:color w:val="auto"/>
          <w:spacing w:val="-6"/>
          <w:sz w:val="24"/>
          <w:szCs w:val="24"/>
          <w:highlight w:val="none"/>
          <w:u w:val="single" w:color="auto"/>
        </w:rPr>
        <w:t>项、1.4.</w:t>
      </w:r>
      <w:r>
        <w:rPr>
          <w:rFonts w:ascii="宋体" w:hAnsi="宋体" w:eastAsia="宋体" w:cs="宋体"/>
          <w:color w:val="auto"/>
          <w:spacing w:val="-7"/>
          <w:sz w:val="24"/>
          <w:szCs w:val="24"/>
          <w:highlight w:val="none"/>
          <w:u w:val="single" w:color="auto"/>
        </w:rPr>
        <w:t>5</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7"/>
          <w:sz w:val="24"/>
          <w:szCs w:val="24"/>
          <w:highlight w:val="none"/>
          <w:u w:val="single" w:color="auto"/>
        </w:rPr>
        <w:t>项、1.12.2</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7"/>
          <w:sz w:val="24"/>
          <w:szCs w:val="24"/>
          <w:highlight w:val="none"/>
          <w:u w:val="single" w:color="auto"/>
        </w:rPr>
        <w:t>项、</w:t>
      </w:r>
      <w:r>
        <w:rPr>
          <w:rFonts w:ascii="宋体" w:hAnsi="宋体" w:eastAsia="宋体" w:cs="宋体"/>
          <w:strike/>
          <w:dstrike w:val="0"/>
          <w:color w:val="auto"/>
          <w:spacing w:val="-7"/>
          <w:sz w:val="24"/>
          <w:szCs w:val="24"/>
          <w:highlight w:val="none"/>
          <w:u w:val="single" w:color="auto"/>
        </w:rPr>
        <w:t>3.4.2</w:t>
      </w:r>
      <w:r>
        <w:rPr>
          <w:rFonts w:ascii="宋体" w:hAnsi="宋体" w:eastAsia="宋体" w:cs="宋体"/>
          <w:strike/>
          <w:dstrike w:val="0"/>
          <w:color w:val="auto"/>
          <w:spacing w:val="-47"/>
          <w:sz w:val="24"/>
          <w:szCs w:val="24"/>
          <w:highlight w:val="none"/>
          <w:u w:val="single" w:color="auto"/>
        </w:rPr>
        <w:t xml:space="preserve"> </w:t>
      </w:r>
      <w:r>
        <w:rPr>
          <w:rFonts w:ascii="宋体" w:hAnsi="宋体" w:eastAsia="宋体" w:cs="宋体"/>
          <w:strike/>
          <w:dstrike w:val="0"/>
          <w:color w:val="auto"/>
          <w:spacing w:val="-7"/>
          <w:sz w:val="24"/>
          <w:szCs w:val="24"/>
          <w:highlight w:val="none"/>
          <w:u w:val="single" w:color="auto"/>
        </w:rPr>
        <w:t>项、</w:t>
      </w:r>
      <w:r>
        <w:rPr>
          <w:rFonts w:ascii="宋体" w:hAnsi="宋体" w:eastAsia="宋体" w:cs="宋体"/>
          <w:color w:val="auto"/>
          <w:spacing w:val="-7"/>
          <w:sz w:val="24"/>
          <w:szCs w:val="24"/>
          <w:highlight w:val="none"/>
          <w:u w:val="single" w:color="auto"/>
        </w:rPr>
        <w:t>3.5</w:t>
      </w:r>
      <w:r>
        <w:rPr>
          <w:rFonts w:ascii="宋体" w:hAnsi="宋体" w:eastAsia="宋体" w:cs="宋体"/>
          <w:color w:val="auto"/>
          <w:spacing w:val="-47"/>
          <w:sz w:val="24"/>
          <w:szCs w:val="24"/>
          <w:highlight w:val="none"/>
          <w:u w:val="single" w:color="auto"/>
        </w:rPr>
        <w:t xml:space="preserve"> </w:t>
      </w:r>
      <w:r>
        <w:rPr>
          <w:rFonts w:ascii="宋体" w:hAnsi="宋体" w:eastAsia="宋体" w:cs="宋体"/>
          <w:color w:val="auto"/>
          <w:spacing w:val="-7"/>
          <w:sz w:val="24"/>
          <w:szCs w:val="24"/>
          <w:highlight w:val="none"/>
          <w:u w:val="single" w:color="auto"/>
        </w:rPr>
        <w:t>项、3.6.1</w:t>
      </w:r>
      <w:r>
        <w:rPr>
          <w:rFonts w:ascii="宋体" w:hAnsi="宋体" w:eastAsia="宋体" w:cs="宋体"/>
          <w:color w:val="auto"/>
          <w:spacing w:val="-4"/>
          <w:sz w:val="24"/>
          <w:szCs w:val="24"/>
          <w:highlight w:val="none"/>
          <w:u w:val="single" w:color="auto"/>
        </w:rPr>
        <w:t>项；</w:t>
      </w:r>
    </w:p>
    <w:p w14:paraId="22C5FA20">
      <w:pPr>
        <w:spacing w:before="181" w:line="219" w:lineRule="auto"/>
        <w:ind w:left="143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（3）本评标办法的否决条款。</w:t>
      </w:r>
    </w:p>
    <w:p w14:paraId="2DC69185">
      <w:pPr>
        <w:pStyle w:val="3"/>
        <w:spacing w:line="243" w:lineRule="auto"/>
        <w:rPr>
          <w:color w:val="auto"/>
          <w:highlight w:val="none"/>
        </w:rPr>
      </w:pPr>
    </w:p>
    <w:p w14:paraId="61B3749E">
      <w:pPr>
        <w:pStyle w:val="3"/>
        <w:spacing w:line="243" w:lineRule="auto"/>
        <w:rPr>
          <w:color w:val="auto"/>
          <w:highlight w:val="none"/>
        </w:rPr>
      </w:pPr>
    </w:p>
    <w:p w14:paraId="2375095E">
      <w:pPr>
        <w:pStyle w:val="3"/>
        <w:spacing w:line="243" w:lineRule="auto"/>
        <w:rPr>
          <w:color w:val="auto"/>
          <w:highlight w:val="none"/>
        </w:rPr>
      </w:pPr>
    </w:p>
    <w:p w14:paraId="1770733C">
      <w:pPr>
        <w:pStyle w:val="3"/>
        <w:spacing w:line="243" w:lineRule="auto"/>
        <w:rPr>
          <w:color w:val="auto"/>
          <w:highlight w:val="none"/>
        </w:rPr>
      </w:pPr>
    </w:p>
    <w:p w14:paraId="5BFE9A42">
      <w:pPr>
        <w:pStyle w:val="3"/>
        <w:spacing w:line="243" w:lineRule="auto"/>
        <w:rPr>
          <w:color w:val="auto"/>
          <w:highlight w:val="none"/>
        </w:rPr>
      </w:pPr>
    </w:p>
    <w:p w14:paraId="68616369">
      <w:pPr>
        <w:pStyle w:val="3"/>
        <w:spacing w:line="243" w:lineRule="auto"/>
        <w:rPr>
          <w:color w:val="auto"/>
          <w:highlight w:val="none"/>
        </w:rPr>
      </w:pPr>
    </w:p>
    <w:p w14:paraId="0DF9A457">
      <w:pPr>
        <w:pStyle w:val="3"/>
        <w:spacing w:line="243" w:lineRule="auto"/>
        <w:rPr>
          <w:color w:val="auto"/>
          <w:highlight w:val="none"/>
        </w:rPr>
      </w:pPr>
    </w:p>
    <w:p w14:paraId="3D2B6B5D">
      <w:pPr>
        <w:pStyle w:val="3"/>
        <w:spacing w:line="243" w:lineRule="auto"/>
        <w:rPr>
          <w:color w:val="auto"/>
          <w:highlight w:val="none"/>
        </w:rPr>
      </w:pPr>
    </w:p>
    <w:p w14:paraId="663C9A45">
      <w:pPr>
        <w:pStyle w:val="3"/>
        <w:spacing w:line="243" w:lineRule="auto"/>
        <w:rPr>
          <w:color w:val="auto"/>
          <w:highlight w:val="none"/>
        </w:rPr>
      </w:pPr>
    </w:p>
    <w:p w14:paraId="5E62D16C">
      <w:pPr>
        <w:pStyle w:val="3"/>
        <w:spacing w:line="243" w:lineRule="auto"/>
        <w:rPr>
          <w:color w:val="auto"/>
          <w:highlight w:val="none"/>
        </w:rPr>
      </w:pPr>
    </w:p>
    <w:p w14:paraId="0456090C">
      <w:pPr>
        <w:pStyle w:val="3"/>
        <w:spacing w:line="243" w:lineRule="auto"/>
        <w:rPr>
          <w:color w:val="auto"/>
          <w:highlight w:val="none"/>
        </w:rPr>
      </w:pPr>
    </w:p>
    <w:p w14:paraId="6CED53CE">
      <w:pPr>
        <w:pStyle w:val="3"/>
        <w:spacing w:line="243" w:lineRule="auto"/>
        <w:rPr>
          <w:color w:val="auto"/>
          <w:highlight w:val="none"/>
        </w:rPr>
      </w:pPr>
    </w:p>
    <w:p w14:paraId="5CF0F236">
      <w:pPr>
        <w:pStyle w:val="3"/>
        <w:spacing w:line="243" w:lineRule="auto"/>
        <w:rPr>
          <w:color w:val="auto"/>
          <w:highlight w:val="none"/>
        </w:rPr>
      </w:pPr>
    </w:p>
    <w:p w14:paraId="2090925F">
      <w:pPr>
        <w:pStyle w:val="3"/>
        <w:spacing w:line="243" w:lineRule="auto"/>
        <w:rPr>
          <w:color w:val="auto"/>
          <w:highlight w:val="none"/>
        </w:rPr>
      </w:pPr>
    </w:p>
    <w:p w14:paraId="43EF52D0">
      <w:pPr>
        <w:pStyle w:val="3"/>
        <w:spacing w:line="243" w:lineRule="auto"/>
        <w:rPr>
          <w:color w:val="auto"/>
          <w:highlight w:val="none"/>
        </w:rPr>
      </w:pPr>
    </w:p>
    <w:p w14:paraId="70711229">
      <w:pPr>
        <w:pStyle w:val="3"/>
        <w:spacing w:line="243" w:lineRule="auto"/>
        <w:rPr>
          <w:color w:val="auto"/>
          <w:highlight w:val="none"/>
        </w:rPr>
      </w:pPr>
    </w:p>
    <w:p w14:paraId="2045C64E">
      <w:pPr>
        <w:pStyle w:val="3"/>
        <w:spacing w:line="243" w:lineRule="auto"/>
        <w:rPr>
          <w:color w:val="auto"/>
          <w:highlight w:val="none"/>
        </w:rPr>
      </w:pPr>
    </w:p>
    <w:p w14:paraId="46367B33">
      <w:pPr>
        <w:pStyle w:val="3"/>
        <w:spacing w:line="243" w:lineRule="auto"/>
        <w:rPr>
          <w:color w:val="auto"/>
          <w:highlight w:val="none"/>
        </w:rPr>
      </w:pPr>
    </w:p>
    <w:p w14:paraId="2FECAB1A">
      <w:pPr>
        <w:pStyle w:val="3"/>
        <w:spacing w:line="243" w:lineRule="auto"/>
        <w:rPr>
          <w:color w:val="auto"/>
          <w:highlight w:val="none"/>
        </w:rPr>
      </w:pPr>
    </w:p>
    <w:p w14:paraId="231C9BB4">
      <w:pPr>
        <w:pStyle w:val="3"/>
        <w:spacing w:line="243" w:lineRule="auto"/>
        <w:rPr>
          <w:color w:val="auto"/>
          <w:highlight w:val="none"/>
        </w:rPr>
      </w:pPr>
    </w:p>
    <w:p w14:paraId="2EDF8E9A">
      <w:pPr>
        <w:pStyle w:val="3"/>
        <w:spacing w:line="243" w:lineRule="auto"/>
        <w:rPr>
          <w:color w:val="auto"/>
          <w:highlight w:val="none"/>
        </w:rPr>
      </w:pPr>
    </w:p>
    <w:p w14:paraId="4B54C3BF">
      <w:pPr>
        <w:pStyle w:val="3"/>
        <w:spacing w:line="243" w:lineRule="auto"/>
        <w:rPr>
          <w:color w:val="auto"/>
          <w:highlight w:val="none"/>
        </w:rPr>
      </w:pPr>
    </w:p>
    <w:p w14:paraId="765A25A6">
      <w:pPr>
        <w:pStyle w:val="3"/>
        <w:spacing w:line="243" w:lineRule="auto"/>
        <w:rPr>
          <w:color w:val="auto"/>
          <w:highlight w:val="none"/>
        </w:rPr>
      </w:pPr>
    </w:p>
    <w:p w14:paraId="725CAE08">
      <w:pPr>
        <w:pStyle w:val="3"/>
        <w:spacing w:line="243" w:lineRule="auto"/>
        <w:rPr>
          <w:color w:val="auto"/>
          <w:highlight w:val="none"/>
        </w:rPr>
      </w:pPr>
    </w:p>
    <w:p w14:paraId="418144FE">
      <w:pPr>
        <w:pStyle w:val="3"/>
        <w:spacing w:line="284" w:lineRule="auto"/>
        <w:rPr>
          <w:color w:val="auto"/>
          <w:highlight w:val="none"/>
        </w:rPr>
      </w:pPr>
    </w:p>
    <w:p w14:paraId="3F604226">
      <w:pPr>
        <w:pStyle w:val="3"/>
        <w:spacing w:line="241" w:lineRule="auto"/>
        <w:rPr>
          <w:color w:val="auto"/>
          <w:highlight w:val="none"/>
        </w:rPr>
      </w:pPr>
    </w:p>
    <w:p w14:paraId="3097449F">
      <w:pPr>
        <w:pStyle w:val="3"/>
        <w:spacing w:line="241" w:lineRule="auto"/>
        <w:rPr>
          <w:color w:val="auto"/>
          <w:highlight w:val="none"/>
        </w:rPr>
      </w:pPr>
    </w:p>
    <w:p w14:paraId="107319B2">
      <w:pPr>
        <w:pStyle w:val="3"/>
        <w:spacing w:line="241" w:lineRule="auto"/>
        <w:rPr>
          <w:color w:val="auto"/>
          <w:highlight w:val="none"/>
        </w:rPr>
      </w:pPr>
    </w:p>
    <w:p w14:paraId="4A1F368F">
      <w:pPr>
        <w:pStyle w:val="3"/>
        <w:spacing w:line="242" w:lineRule="auto"/>
        <w:rPr>
          <w:color w:val="auto"/>
          <w:highlight w:val="none"/>
        </w:rPr>
      </w:pPr>
    </w:p>
    <w:p w14:paraId="620C388A">
      <w:pPr>
        <w:pStyle w:val="3"/>
        <w:spacing w:line="242" w:lineRule="auto"/>
        <w:rPr>
          <w:color w:val="auto"/>
          <w:highlight w:val="none"/>
        </w:rPr>
      </w:pPr>
    </w:p>
    <w:p w14:paraId="06B82902">
      <w:pPr>
        <w:pStyle w:val="3"/>
        <w:spacing w:line="242" w:lineRule="auto"/>
        <w:rPr>
          <w:color w:val="auto"/>
          <w:highlight w:val="none"/>
        </w:rPr>
      </w:pPr>
    </w:p>
    <w:p w14:paraId="7CDA6162">
      <w:pPr>
        <w:pStyle w:val="3"/>
        <w:spacing w:line="242" w:lineRule="auto"/>
        <w:rPr>
          <w:color w:val="auto"/>
          <w:highlight w:val="none"/>
        </w:rPr>
      </w:pPr>
    </w:p>
    <w:p w14:paraId="435D9BE4">
      <w:pPr>
        <w:pStyle w:val="3"/>
        <w:spacing w:line="242" w:lineRule="auto"/>
        <w:rPr>
          <w:color w:val="auto"/>
          <w:highlight w:val="none"/>
        </w:rPr>
      </w:pPr>
    </w:p>
    <w:p w14:paraId="05B9EF62">
      <w:pPr>
        <w:pStyle w:val="3"/>
        <w:spacing w:line="242" w:lineRule="auto"/>
        <w:rPr>
          <w:color w:val="auto"/>
          <w:highlight w:val="none"/>
        </w:rPr>
      </w:pPr>
    </w:p>
    <w:p w14:paraId="58F8A627">
      <w:pPr>
        <w:pStyle w:val="3"/>
        <w:spacing w:line="242" w:lineRule="auto"/>
        <w:rPr>
          <w:color w:val="auto"/>
          <w:highlight w:val="none"/>
        </w:rPr>
      </w:pPr>
    </w:p>
    <w:p w14:paraId="0887FBF4">
      <w:pPr>
        <w:pStyle w:val="3"/>
        <w:spacing w:line="242" w:lineRule="auto"/>
        <w:rPr>
          <w:color w:val="auto"/>
          <w:highlight w:val="none"/>
        </w:rPr>
      </w:pPr>
    </w:p>
    <w:p w14:paraId="4397F8D9">
      <w:pPr>
        <w:pStyle w:val="3"/>
        <w:spacing w:line="242" w:lineRule="auto"/>
        <w:rPr>
          <w:color w:val="auto"/>
          <w:highlight w:val="none"/>
        </w:rPr>
      </w:pPr>
    </w:p>
    <w:p w14:paraId="6DE62B2F">
      <w:pPr>
        <w:pStyle w:val="3"/>
        <w:spacing w:line="242" w:lineRule="auto"/>
        <w:rPr>
          <w:color w:val="auto"/>
          <w:highlight w:val="none"/>
        </w:rPr>
      </w:pPr>
    </w:p>
    <w:p w14:paraId="5616DADA">
      <w:pPr>
        <w:pStyle w:val="3"/>
        <w:spacing w:line="242" w:lineRule="auto"/>
        <w:rPr>
          <w:color w:val="auto"/>
          <w:highlight w:val="none"/>
        </w:rPr>
      </w:pPr>
    </w:p>
    <w:p w14:paraId="08E1C00C">
      <w:pPr>
        <w:pStyle w:val="3"/>
        <w:spacing w:line="242" w:lineRule="auto"/>
        <w:rPr>
          <w:color w:val="auto"/>
          <w:highlight w:val="none"/>
        </w:rPr>
      </w:pPr>
    </w:p>
    <w:p w14:paraId="6569DEFE">
      <w:pPr>
        <w:pStyle w:val="3"/>
        <w:spacing w:line="242" w:lineRule="auto"/>
        <w:rPr>
          <w:color w:val="auto"/>
          <w:highlight w:val="none"/>
        </w:rPr>
      </w:pPr>
    </w:p>
    <w:p w14:paraId="78561035">
      <w:pPr>
        <w:pStyle w:val="3"/>
        <w:spacing w:line="242" w:lineRule="auto"/>
        <w:rPr>
          <w:color w:val="auto"/>
          <w:highlight w:val="none"/>
        </w:rPr>
      </w:pPr>
    </w:p>
    <w:p w14:paraId="59C38C11">
      <w:pPr>
        <w:pStyle w:val="3"/>
        <w:spacing w:line="242" w:lineRule="auto"/>
        <w:rPr>
          <w:color w:val="auto"/>
          <w:highlight w:val="none"/>
        </w:rPr>
      </w:pPr>
    </w:p>
    <w:p w14:paraId="77919B88">
      <w:pPr>
        <w:pStyle w:val="3"/>
        <w:spacing w:line="242" w:lineRule="auto"/>
        <w:rPr>
          <w:color w:val="auto"/>
          <w:highlight w:val="none"/>
        </w:rPr>
      </w:pPr>
    </w:p>
    <w:p w14:paraId="514AF41E">
      <w:pPr>
        <w:pStyle w:val="3"/>
        <w:spacing w:line="242" w:lineRule="auto"/>
        <w:rPr>
          <w:color w:val="auto"/>
          <w:highlight w:val="none"/>
        </w:rPr>
      </w:pPr>
    </w:p>
    <w:p w14:paraId="31A28B2F">
      <w:pPr>
        <w:pStyle w:val="3"/>
        <w:spacing w:line="242" w:lineRule="auto"/>
        <w:rPr>
          <w:color w:val="auto"/>
          <w:highlight w:val="none"/>
        </w:rPr>
      </w:pPr>
    </w:p>
    <w:p w14:paraId="7D9FF88E">
      <w:pPr>
        <w:pStyle w:val="3"/>
        <w:spacing w:line="242" w:lineRule="auto"/>
        <w:rPr>
          <w:color w:val="auto"/>
          <w:highlight w:val="none"/>
        </w:rPr>
      </w:pPr>
    </w:p>
    <w:p w14:paraId="3A0CD29A">
      <w:pPr>
        <w:pStyle w:val="3"/>
        <w:spacing w:line="242" w:lineRule="auto"/>
        <w:rPr>
          <w:color w:val="auto"/>
          <w:highlight w:val="none"/>
        </w:rPr>
      </w:pPr>
    </w:p>
    <w:p w14:paraId="0FC7516F">
      <w:pPr>
        <w:pStyle w:val="3"/>
        <w:spacing w:line="242" w:lineRule="auto"/>
        <w:rPr>
          <w:color w:val="auto"/>
          <w:highlight w:val="none"/>
        </w:rPr>
      </w:pPr>
    </w:p>
    <w:p w14:paraId="25D0C34C">
      <w:pPr>
        <w:pStyle w:val="3"/>
        <w:spacing w:line="242" w:lineRule="auto"/>
        <w:rPr>
          <w:color w:val="auto"/>
          <w:highlight w:val="none"/>
        </w:rPr>
      </w:pPr>
    </w:p>
    <w:p w14:paraId="366A0E4F">
      <w:pPr>
        <w:pStyle w:val="3"/>
        <w:spacing w:line="242" w:lineRule="auto"/>
        <w:rPr>
          <w:color w:val="auto"/>
          <w:highlight w:val="none"/>
        </w:rPr>
      </w:pPr>
    </w:p>
    <w:p w14:paraId="215E6091">
      <w:pPr>
        <w:pStyle w:val="3"/>
        <w:spacing w:line="242" w:lineRule="auto"/>
        <w:rPr>
          <w:color w:val="auto"/>
          <w:highlight w:val="none"/>
        </w:rPr>
      </w:pPr>
    </w:p>
    <w:p w14:paraId="04F82A7E">
      <w:pPr>
        <w:pStyle w:val="3"/>
        <w:spacing w:line="242" w:lineRule="auto"/>
        <w:rPr>
          <w:color w:val="auto"/>
          <w:highlight w:val="none"/>
        </w:rPr>
      </w:pPr>
    </w:p>
    <w:p w14:paraId="692E8223">
      <w:pPr>
        <w:pStyle w:val="3"/>
        <w:spacing w:line="242" w:lineRule="auto"/>
        <w:rPr>
          <w:color w:val="auto"/>
          <w:highlight w:val="none"/>
        </w:rPr>
      </w:pPr>
    </w:p>
    <w:p w14:paraId="20B6B9C7">
      <w:pPr>
        <w:pStyle w:val="3"/>
        <w:spacing w:line="242" w:lineRule="auto"/>
        <w:rPr>
          <w:color w:val="auto"/>
          <w:highlight w:val="none"/>
        </w:rPr>
      </w:pPr>
    </w:p>
    <w:p w14:paraId="4888B62D">
      <w:pPr>
        <w:spacing w:before="140" w:line="223" w:lineRule="auto"/>
        <w:ind w:left="3654"/>
        <w:outlineLvl w:val="0"/>
        <w:rPr>
          <w:rFonts w:ascii="宋体" w:hAnsi="宋体" w:eastAsia="宋体" w:cs="宋体"/>
          <w:color w:val="auto"/>
          <w:sz w:val="43"/>
          <w:szCs w:val="43"/>
          <w:highlight w:val="none"/>
        </w:rPr>
      </w:pPr>
      <w:bookmarkStart w:id="18" w:name="_Toc24207"/>
      <w:r>
        <w:rPr>
          <w:rFonts w:ascii="宋体" w:hAnsi="宋体" w:eastAsia="宋体" w:cs="宋体"/>
          <w:b/>
          <w:bCs/>
          <w:color w:val="auto"/>
          <w:spacing w:val="5"/>
          <w:sz w:val="43"/>
          <w:szCs w:val="43"/>
          <w:highlight w:val="none"/>
        </w:rPr>
        <w:t>第四章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合同条款及格式</w:t>
      </w:r>
      <w:bookmarkEnd w:id="18"/>
    </w:p>
    <w:p w14:paraId="4F324475">
      <w:pPr>
        <w:rPr>
          <w:rFonts w:ascii="宋体" w:hAnsi="宋体" w:eastAsia="宋体" w:cs="宋体"/>
          <w:color w:val="auto"/>
          <w:sz w:val="43"/>
          <w:szCs w:val="43"/>
          <w:highlight w:val="none"/>
        </w:rPr>
      </w:pPr>
      <w:r>
        <w:rPr>
          <w:rFonts w:ascii="宋体" w:hAnsi="宋体" w:eastAsia="宋体" w:cs="宋体"/>
          <w:color w:val="auto"/>
          <w:sz w:val="43"/>
          <w:szCs w:val="43"/>
          <w:highlight w:val="none"/>
        </w:rPr>
        <w:br w:type="page"/>
      </w:r>
    </w:p>
    <w:p w14:paraId="0766FFF3">
      <w:pPr>
        <w:tabs>
          <w:tab w:val="left" w:pos="6580"/>
        </w:tabs>
        <w:spacing w:line="600" w:lineRule="atLeast"/>
        <w:ind w:right="356"/>
        <w:jc w:val="center"/>
        <w:rPr>
          <w:rFonts w:hint="eastAsia" w:asciiTheme="minorEastAsia" w:hAnsiTheme="minorEastAsia" w:eastAsiaTheme="minorEastAsia" w:cstheme="minorEastAsia"/>
          <w:b/>
          <w:color w:val="auto"/>
          <w:sz w:val="36"/>
          <w:szCs w:val="36"/>
          <w:highlight w:val="none"/>
          <w:lang w:val="en-US" w:eastAsia="zh-CN"/>
        </w:rPr>
      </w:pPr>
    </w:p>
    <w:p w14:paraId="0F78054B">
      <w:pPr>
        <w:tabs>
          <w:tab w:val="left" w:pos="6580"/>
        </w:tabs>
        <w:spacing w:line="600" w:lineRule="atLeast"/>
        <w:ind w:right="356"/>
        <w:jc w:val="center"/>
        <w:rPr>
          <w:rFonts w:hint="eastAsia" w:asciiTheme="minorEastAsia" w:hAnsiTheme="minorEastAsia" w:eastAsiaTheme="minorEastAsia" w:cstheme="minorEastAsia"/>
          <w:b/>
          <w:color w:val="auto"/>
          <w:sz w:val="36"/>
          <w:szCs w:val="36"/>
          <w:highlight w:val="none"/>
          <w:lang w:val="en-US" w:eastAsia="zh-CN"/>
        </w:rPr>
      </w:pPr>
    </w:p>
    <w:p w14:paraId="3DFFD44D">
      <w:pPr>
        <w:tabs>
          <w:tab w:val="left" w:pos="6580"/>
        </w:tabs>
        <w:spacing w:line="600" w:lineRule="atLeast"/>
        <w:ind w:right="356"/>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lang w:val="en-US" w:eastAsia="zh-CN"/>
        </w:rPr>
        <w:t>增龙公路S119正果镇区段改线项目施工</w:t>
      </w:r>
    </w:p>
    <w:p w14:paraId="397F4BE9">
      <w:pPr>
        <w:tabs>
          <w:tab w:val="left" w:pos="6580"/>
        </w:tabs>
        <w:spacing w:line="600" w:lineRule="atLeast"/>
        <w:ind w:right="356"/>
        <w:jc w:val="center"/>
        <w:rPr>
          <w:rFonts w:hint="eastAsia" w:asciiTheme="minorEastAsia" w:hAnsiTheme="minorEastAsia" w:eastAsiaTheme="minorEastAsia" w:cstheme="minorEastAsia"/>
          <w:b/>
          <w:color w:val="auto"/>
          <w:sz w:val="44"/>
          <w:szCs w:val="44"/>
          <w:highlight w:val="none"/>
        </w:rPr>
      </w:pPr>
    </w:p>
    <w:p w14:paraId="6CE16251">
      <w:pPr>
        <w:spacing w:line="360" w:lineRule="auto"/>
        <w:rPr>
          <w:rFonts w:hint="eastAsia" w:asciiTheme="minorEastAsia" w:hAnsiTheme="minorEastAsia" w:eastAsiaTheme="minorEastAsia" w:cstheme="minorEastAsia"/>
          <w:color w:val="auto"/>
          <w:sz w:val="24"/>
          <w:highlight w:val="none"/>
        </w:rPr>
      </w:pPr>
    </w:p>
    <w:p w14:paraId="60523D3F">
      <w:pPr>
        <w:rPr>
          <w:rFonts w:hint="eastAsia" w:asciiTheme="minorEastAsia" w:hAnsiTheme="minorEastAsia" w:eastAsiaTheme="minorEastAsia" w:cstheme="minorEastAsia"/>
          <w:color w:val="auto"/>
          <w:sz w:val="24"/>
          <w:highlight w:val="none"/>
        </w:rPr>
      </w:pPr>
    </w:p>
    <w:p w14:paraId="4F22F608">
      <w:pPr>
        <w:rPr>
          <w:rFonts w:hint="eastAsia" w:asciiTheme="minorEastAsia" w:hAnsiTheme="minorEastAsia" w:eastAsiaTheme="minorEastAsia" w:cstheme="minorEastAsia"/>
          <w:color w:val="auto"/>
          <w:sz w:val="24"/>
          <w:highlight w:val="none"/>
        </w:rPr>
      </w:pPr>
    </w:p>
    <w:p w14:paraId="63ED2B6B">
      <w:pPr>
        <w:rPr>
          <w:rFonts w:hint="eastAsia" w:asciiTheme="minorEastAsia" w:hAnsiTheme="minorEastAsia" w:eastAsiaTheme="minorEastAsia" w:cstheme="minorEastAsia"/>
          <w:color w:val="auto"/>
          <w:sz w:val="24"/>
          <w:highlight w:val="none"/>
        </w:rPr>
      </w:pPr>
    </w:p>
    <w:p w14:paraId="4787DD4F">
      <w:pPr>
        <w:rPr>
          <w:rFonts w:hint="eastAsia" w:asciiTheme="minorEastAsia" w:hAnsiTheme="minorEastAsia" w:eastAsiaTheme="minorEastAsia" w:cstheme="minorEastAsia"/>
          <w:color w:val="auto"/>
          <w:sz w:val="24"/>
          <w:highlight w:val="none"/>
        </w:rPr>
      </w:pPr>
    </w:p>
    <w:p w14:paraId="677AC1E2">
      <w:pPr>
        <w:adjustRightInd w:val="0"/>
        <w:ind w:left="1458" w:right="1534"/>
        <w:jc w:val="center"/>
        <w:rPr>
          <w:rFonts w:hint="eastAsia" w:asciiTheme="minorEastAsia" w:hAnsiTheme="minorEastAsia" w:eastAsiaTheme="minorEastAsia" w:cstheme="minorEastAsia"/>
          <w:color w:val="auto"/>
          <w:spacing w:val="80"/>
          <w:sz w:val="84"/>
          <w:szCs w:val="84"/>
          <w:highlight w:val="none"/>
        </w:rPr>
      </w:pPr>
    </w:p>
    <w:p w14:paraId="48E9DA91">
      <w:pPr>
        <w:adjustRightInd w:val="0"/>
        <w:ind w:left="1458" w:right="1534"/>
        <w:jc w:val="center"/>
        <w:rPr>
          <w:rFonts w:hint="eastAsia" w:asciiTheme="minorEastAsia" w:hAnsiTheme="minorEastAsia" w:eastAsiaTheme="minorEastAsia" w:cstheme="minorEastAsia"/>
          <w:color w:val="auto"/>
          <w:spacing w:val="80"/>
          <w:sz w:val="84"/>
          <w:szCs w:val="84"/>
          <w:highlight w:val="none"/>
        </w:rPr>
      </w:pPr>
      <w:r>
        <w:rPr>
          <w:rFonts w:hint="eastAsia" w:asciiTheme="minorEastAsia" w:hAnsiTheme="minorEastAsia" w:eastAsiaTheme="minorEastAsia" w:cstheme="minorEastAsia"/>
          <w:color w:val="auto"/>
          <w:spacing w:val="80"/>
          <w:sz w:val="84"/>
          <w:szCs w:val="84"/>
          <w:highlight w:val="none"/>
        </w:rPr>
        <w:t>施工合同</w:t>
      </w:r>
    </w:p>
    <w:p w14:paraId="6592CE4A">
      <w:pPr>
        <w:rPr>
          <w:rFonts w:hint="eastAsia" w:asciiTheme="minorEastAsia" w:hAnsiTheme="minorEastAsia" w:eastAsiaTheme="minorEastAsia" w:cstheme="minorEastAsia"/>
          <w:color w:val="auto"/>
          <w:sz w:val="24"/>
          <w:highlight w:val="none"/>
        </w:rPr>
      </w:pPr>
    </w:p>
    <w:p w14:paraId="751B84EC">
      <w:pPr>
        <w:rPr>
          <w:rFonts w:hint="eastAsia" w:asciiTheme="minorEastAsia" w:hAnsiTheme="minorEastAsia" w:eastAsiaTheme="minorEastAsia" w:cstheme="minorEastAsia"/>
          <w:color w:val="auto"/>
          <w:sz w:val="24"/>
          <w:highlight w:val="none"/>
        </w:rPr>
      </w:pPr>
    </w:p>
    <w:p w14:paraId="516F2977">
      <w:pPr>
        <w:rPr>
          <w:rFonts w:hint="eastAsia" w:asciiTheme="minorEastAsia" w:hAnsiTheme="minorEastAsia" w:eastAsiaTheme="minorEastAsia" w:cstheme="minorEastAsia"/>
          <w:color w:val="auto"/>
          <w:sz w:val="24"/>
          <w:highlight w:val="none"/>
        </w:rPr>
      </w:pPr>
    </w:p>
    <w:p w14:paraId="5B4D2B88">
      <w:pPr>
        <w:rPr>
          <w:rFonts w:hint="eastAsia" w:asciiTheme="minorEastAsia" w:hAnsiTheme="minorEastAsia" w:eastAsiaTheme="minorEastAsia" w:cstheme="minorEastAsia"/>
          <w:color w:val="auto"/>
          <w:sz w:val="24"/>
          <w:highlight w:val="none"/>
        </w:rPr>
      </w:pPr>
    </w:p>
    <w:p w14:paraId="4498E78C">
      <w:pPr>
        <w:rPr>
          <w:rFonts w:hint="eastAsia" w:asciiTheme="minorEastAsia" w:hAnsiTheme="minorEastAsia" w:eastAsiaTheme="minorEastAsia" w:cstheme="minorEastAsia"/>
          <w:color w:val="auto"/>
          <w:sz w:val="24"/>
          <w:highlight w:val="none"/>
        </w:rPr>
      </w:pPr>
    </w:p>
    <w:p w14:paraId="147E7700">
      <w:pPr>
        <w:rPr>
          <w:rFonts w:hint="eastAsia" w:asciiTheme="minorEastAsia" w:hAnsiTheme="minorEastAsia" w:eastAsiaTheme="minorEastAsia" w:cstheme="minorEastAsia"/>
          <w:color w:val="auto"/>
          <w:sz w:val="24"/>
          <w:highlight w:val="none"/>
        </w:rPr>
      </w:pPr>
    </w:p>
    <w:p w14:paraId="0BBD91BB">
      <w:pPr>
        <w:rPr>
          <w:rFonts w:hint="eastAsia" w:asciiTheme="minorEastAsia" w:hAnsiTheme="minorEastAsia" w:eastAsiaTheme="minorEastAsia" w:cstheme="minorEastAsia"/>
          <w:color w:val="auto"/>
          <w:sz w:val="24"/>
          <w:highlight w:val="none"/>
        </w:rPr>
      </w:pPr>
    </w:p>
    <w:p w14:paraId="72AF45BF">
      <w:pPr>
        <w:rPr>
          <w:rFonts w:hint="eastAsia" w:asciiTheme="minorEastAsia" w:hAnsiTheme="minorEastAsia" w:eastAsiaTheme="minorEastAsia" w:cstheme="minorEastAsia"/>
          <w:color w:val="auto"/>
          <w:sz w:val="24"/>
          <w:highlight w:val="none"/>
        </w:rPr>
      </w:pPr>
    </w:p>
    <w:p w14:paraId="3BD1CB0D">
      <w:pPr>
        <w:rPr>
          <w:rFonts w:hint="eastAsia" w:asciiTheme="minorEastAsia" w:hAnsiTheme="minorEastAsia" w:eastAsiaTheme="minorEastAsia" w:cstheme="minorEastAsia"/>
          <w:color w:val="auto"/>
          <w:sz w:val="24"/>
          <w:highlight w:val="none"/>
        </w:rPr>
      </w:pPr>
    </w:p>
    <w:p w14:paraId="5065DBD0">
      <w:pPr>
        <w:rPr>
          <w:rFonts w:hint="eastAsia" w:asciiTheme="minorEastAsia" w:hAnsiTheme="minorEastAsia" w:eastAsiaTheme="minorEastAsia" w:cstheme="minorEastAsia"/>
          <w:color w:val="auto"/>
          <w:sz w:val="24"/>
          <w:highlight w:val="none"/>
        </w:rPr>
      </w:pPr>
    </w:p>
    <w:p w14:paraId="6462861C">
      <w:pPr>
        <w:rPr>
          <w:rFonts w:hint="eastAsia" w:asciiTheme="minorEastAsia" w:hAnsiTheme="minorEastAsia" w:eastAsiaTheme="minorEastAsia" w:cstheme="minorEastAsia"/>
          <w:color w:val="auto"/>
          <w:sz w:val="24"/>
          <w:highlight w:val="none"/>
        </w:rPr>
      </w:pPr>
    </w:p>
    <w:p w14:paraId="193E5086">
      <w:pPr>
        <w:rPr>
          <w:rFonts w:hint="eastAsia" w:asciiTheme="minorEastAsia" w:hAnsiTheme="minorEastAsia" w:eastAsiaTheme="minorEastAsia" w:cstheme="minorEastAsia"/>
          <w:color w:val="auto"/>
          <w:sz w:val="24"/>
          <w:highlight w:val="none"/>
        </w:rPr>
      </w:pPr>
    </w:p>
    <w:p w14:paraId="76F7C18D">
      <w:pPr>
        <w:tabs>
          <w:tab w:val="left" w:pos="6580"/>
        </w:tabs>
        <w:spacing w:line="600" w:lineRule="atLeast"/>
        <w:ind w:right="356"/>
        <w:jc w:val="center"/>
        <w:rPr>
          <w:rFonts w:hint="eastAsia" w:asciiTheme="minorEastAsia" w:hAnsiTheme="minorEastAsia" w:eastAsiaTheme="minorEastAsia" w:cstheme="minorEastAsia"/>
          <w:color w:val="auto"/>
          <w:sz w:val="30"/>
          <w:szCs w:val="30"/>
          <w:highlight w:val="none"/>
        </w:rPr>
      </w:pPr>
    </w:p>
    <w:p w14:paraId="444236F9">
      <w:pPr>
        <w:tabs>
          <w:tab w:val="left" w:pos="6580"/>
        </w:tabs>
        <w:spacing w:line="600" w:lineRule="atLeast"/>
        <w:ind w:right="356" w:firstLine="2400" w:firstLineChars="80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发包人：</w:t>
      </w:r>
      <w:r>
        <w:rPr>
          <w:rFonts w:hint="eastAsia" w:asciiTheme="minorEastAsia" w:hAnsiTheme="minorEastAsia" w:eastAsiaTheme="minorEastAsia" w:cstheme="minorEastAsia"/>
          <w:color w:val="auto"/>
          <w:sz w:val="30"/>
          <w:szCs w:val="30"/>
          <w:highlight w:val="none"/>
          <w:lang w:val="en-US" w:eastAsia="zh-CN"/>
        </w:rPr>
        <w:t>广州市增城区正果镇人民政府</w:t>
      </w:r>
    </w:p>
    <w:p w14:paraId="3FB7865B">
      <w:pPr>
        <w:tabs>
          <w:tab w:val="left" w:pos="6580"/>
        </w:tabs>
        <w:spacing w:line="600" w:lineRule="atLeast"/>
        <w:ind w:right="356" w:firstLine="2400" w:firstLineChars="80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承包人：</w:t>
      </w:r>
    </w:p>
    <w:p w14:paraId="5F562787">
      <w:pPr>
        <w:ind w:firstLine="2259" w:firstLineChars="750"/>
        <w:rPr>
          <w:rFonts w:hint="eastAsia" w:asciiTheme="minorEastAsia" w:hAnsiTheme="minorEastAsia" w:eastAsiaTheme="minorEastAsia" w:cstheme="minorEastAsia"/>
          <w:b/>
          <w:color w:val="auto"/>
          <w:sz w:val="30"/>
          <w:szCs w:val="30"/>
          <w:highlight w:val="none"/>
        </w:rPr>
      </w:pPr>
    </w:p>
    <w:p w14:paraId="433986BE">
      <w:pPr>
        <w:ind w:firstLine="2259" w:firstLineChars="750"/>
        <w:rPr>
          <w:rFonts w:hint="eastAsia" w:asciiTheme="minorEastAsia" w:hAnsiTheme="minorEastAsia" w:eastAsiaTheme="minorEastAsia" w:cstheme="minorEastAsia"/>
          <w:b/>
          <w:color w:val="auto"/>
          <w:sz w:val="30"/>
          <w:szCs w:val="30"/>
          <w:highlight w:val="none"/>
        </w:rPr>
      </w:pPr>
    </w:p>
    <w:p w14:paraId="5CDF0298">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u w:val="single"/>
        </w:rPr>
        <w:t>20</w:t>
      </w:r>
      <w:r>
        <w:rPr>
          <w:rFonts w:hint="eastAsia" w:asciiTheme="minorEastAsia" w:hAnsiTheme="minorEastAsia" w:eastAsiaTheme="minorEastAsia" w:cstheme="minorEastAsia"/>
          <w:b/>
          <w:color w:val="auto"/>
          <w:sz w:val="30"/>
          <w:szCs w:val="30"/>
          <w:highlight w:val="none"/>
          <w:u w:val="single"/>
          <w:lang w:val="en-US" w:eastAsia="zh-CN"/>
        </w:rPr>
        <w:t>26</w:t>
      </w:r>
      <w:r>
        <w:rPr>
          <w:rFonts w:hint="eastAsia" w:asciiTheme="minorEastAsia" w:hAnsiTheme="minorEastAsia" w:eastAsiaTheme="minorEastAsia" w:cstheme="minorEastAsia"/>
          <w:b/>
          <w:color w:val="auto"/>
          <w:sz w:val="30"/>
          <w:szCs w:val="30"/>
          <w:highlight w:val="none"/>
        </w:rPr>
        <w:t>年</w:t>
      </w:r>
      <w:r>
        <w:rPr>
          <w:rFonts w:hint="eastAsia" w:asciiTheme="minorEastAsia" w:hAnsiTheme="minorEastAsia" w:eastAsiaTheme="minorEastAsia" w:cstheme="minorEastAsia"/>
          <w:b/>
          <w:color w:val="auto"/>
          <w:sz w:val="30"/>
          <w:szCs w:val="30"/>
          <w:highlight w:val="none"/>
          <w:u w:val="single"/>
        </w:rPr>
        <w:t xml:space="preserve"> </w:t>
      </w:r>
      <w:r>
        <w:rPr>
          <w:rFonts w:hint="eastAsia" w:asciiTheme="minorEastAsia" w:hAnsiTheme="minorEastAsia" w:eastAsiaTheme="minorEastAsia" w:cstheme="minorEastAsia"/>
          <w:b/>
          <w:color w:val="auto"/>
          <w:sz w:val="30"/>
          <w:szCs w:val="30"/>
          <w:highlight w:val="none"/>
          <w:u w:val="single"/>
          <w:lang w:val="en-US" w:eastAsia="zh-CN"/>
        </w:rPr>
        <w:t xml:space="preserve"> </w:t>
      </w:r>
      <w:r>
        <w:rPr>
          <w:rFonts w:hint="eastAsia" w:asciiTheme="minorEastAsia" w:hAnsiTheme="minorEastAsia" w:eastAsiaTheme="minorEastAsia" w:cstheme="minorEastAsia"/>
          <w:b/>
          <w:color w:val="auto"/>
          <w:sz w:val="30"/>
          <w:szCs w:val="30"/>
          <w:highlight w:val="none"/>
        </w:rPr>
        <w:t>月</w:t>
      </w:r>
    </w:p>
    <w:p w14:paraId="37749EDA">
      <w:pPr>
        <w:jc w:val="center"/>
        <w:rPr>
          <w:rFonts w:hint="eastAsia" w:asciiTheme="minorEastAsia" w:hAnsiTheme="minorEastAsia" w:eastAsiaTheme="minorEastAsia" w:cstheme="minorEastAsia"/>
          <w:b/>
          <w:color w:val="auto"/>
          <w:sz w:val="32"/>
          <w:szCs w:val="32"/>
          <w:highlight w:val="none"/>
        </w:rPr>
      </w:pPr>
    </w:p>
    <w:p w14:paraId="7B5C6E5E">
      <w:pPr>
        <w:ind w:firstLine="3839" w:firstLineChars="1195"/>
        <w:rPr>
          <w:rFonts w:hint="eastAsia" w:asciiTheme="minorEastAsia" w:hAnsiTheme="minorEastAsia" w:eastAsiaTheme="minorEastAsia" w:cstheme="minorEastAsia"/>
          <w:b/>
          <w:color w:val="auto"/>
          <w:sz w:val="32"/>
          <w:szCs w:val="32"/>
          <w:highlight w:val="none"/>
        </w:rPr>
      </w:pPr>
    </w:p>
    <w:p w14:paraId="24B8CD49">
      <w:pPr>
        <w:jc w:val="center"/>
        <w:rPr>
          <w:rFonts w:hint="eastAsia" w:asciiTheme="minorEastAsia" w:hAnsiTheme="minorEastAsia" w:eastAsiaTheme="minorEastAsia" w:cstheme="minorEastAsia"/>
          <w:b/>
          <w:color w:val="auto"/>
          <w:sz w:val="36"/>
          <w:szCs w:val="36"/>
          <w:highlight w:val="none"/>
        </w:rPr>
      </w:pPr>
    </w:p>
    <w:p w14:paraId="76286FB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合同协议书</w:t>
      </w:r>
    </w:p>
    <w:p w14:paraId="6118BC94">
      <w:pPr>
        <w:keepNext w:val="0"/>
        <w:keepLines w:val="0"/>
        <w:widowControl w:val="0"/>
        <w:suppressLineNumbers w:val="0"/>
        <w:spacing w:before="0" w:beforeAutospacing="0" w:after="0" w:afterAutospacing="0" w:line="400" w:lineRule="exact"/>
        <w:ind w:left="638" w:leftChars="304" w:right="764" w:rightChars="364" w:firstLine="630" w:firstLineChars="3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广州市增城区正果镇人民政府</w:t>
      </w:r>
      <w:r>
        <w:rPr>
          <w:rFonts w:hint="eastAsia" w:ascii="宋体" w:hAnsi="宋体" w:eastAsia="宋体" w:cs="宋体"/>
          <w:color w:val="auto"/>
          <w:kern w:val="2"/>
          <w:sz w:val="21"/>
          <w:szCs w:val="21"/>
          <w:highlight w:val="none"/>
          <w:lang w:val="en-US" w:eastAsia="zh-CN" w:bidi="ar"/>
        </w:rPr>
        <w:t>（以下简称“发包人”）为实施</w:t>
      </w:r>
      <w:r>
        <w:rPr>
          <w:rFonts w:hint="eastAsia" w:ascii="宋体" w:hAnsi="宋体" w:eastAsia="宋体" w:cs="宋体"/>
          <w:color w:val="auto"/>
          <w:kern w:val="2"/>
          <w:sz w:val="21"/>
          <w:szCs w:val="21"/>
          <w:highlight w:val="none"/>
          <w:u w:val="single"/>
          <w:lang w:val="en-US" w:eastAsia="zh-CN" w:bidi="ar"/>
        </w:rPr>
        <w:t>增龙公路S119正果镇区段改线项目</w:t>
      </w:r>
      <w:r>
        <w:rPr>
          <w:rFonts w:hint="eastAsia" w:ascii="宋体" w:hAnsi="宋体" w:eastAsia="宋体" w:cs="宋体"/>
          <w:color w:val="auto"/>
          <w:kern w:val="2"/>
          <w:sz w:val="21"/>
          <w:szCs w:val="21"/>
          <w:highlight w:val="none"/>
          <w:lang w:val="en-US" w:eastAsia="zh-CN" w:bidi="ar"/>
        </w:rPr>
        <w:t>，已接受</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（以下简称“承包人”）对该项目施工的投标。发包人和承包人共同达成如下协议。</w:t>
      </w:r>
    </w:p>
    <w:p w14:paraId="0F802A39">
      <w:pPr>
        <w:keepNext w:val="0"/>
        <w:keepLines w:val="0"/>
        <w:widowControl w:val="0"/>
        <w:suppressLineNumbers w:val="0"/>
        <w:autoSpaceDE w:val="0"/>
        <w:autoSpaceDN/>
        <w:spacing w:before="0" w:beforeAutospacing="0" w:after="0" w:afterAutospacing="0" w:line="400" w:lineRule="exact"/>
        <w:ind w:left="638" w:leftChars="304" w:right="764" w:rightChars="364" w:firstLine="420" w:firstLineChars="200"/>
        <w:jc w:val="left"/>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1．工程内容：</w:t>
      </w:r>
      <w:r>
        <w:rPr>
          <w:rFonts w:hint="eastAsia" w:ascii="宋体" w:hAnsi="宋体" w:eastAsia="宋体" w:cs="宋体"/>
          <w:color w:val="auto"/>
          <w:kern w:val="2"/>
          <w:sz w:val="21"/>
          <w:szCs w:val="21"/>
          <w:highlight w:val="none"/>
          <w:u w:val="single"/>
          <w:lang w:val="en-US" w:eastAsia="zh-CN" w:bidi="ar"/>
        </w:rPr>
        <w:t>项目位于广州市增城区正果镇北起S380,南至S119正果大道,道路全长约3.29km，红线宽23.5m,双向4车道,沥青混凝土路面,设计速度为60km/h,为一级公路。沿线共设置正果大桥和到蔚中桥两座桥梁。主要建设内容包括道路、交通、桥涵、给排水、电力、通信照明、绿化等工程（具体内容以施工图纸及招标工程量清单为准）。</w:t>
      </w:r>
    </w:p>
    <w:p w14:paraId="2CFE8311">
      <w:pPr>
        <w:keepNext w:val="0"/>
        <w:keepLines w:val="0"/>
        <w:widowControl w:val="0"/>
        <w:suppressLineNumbers w:val="0"/>
        <w:spacing w:before="0" w:beforeAutospacing="0" w:after="0" w:afterAutospacing="0" w:line="400" w:lineRule="exact"/>
        <w:ind w:left="840" w:leftChars="40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 下列文件应视为构成合同文件的组成部分：</w:t>
      </w:r>
    </w:p>
    <w:p w14:paraId="41DBADF7">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（1）本协议书及各种合同附件（含评标期间和合同谈判过程中的澄清文件和补充资料）；</w:t>
      </w:r>
    </w:p>
    <w:p w14:paraId="1CBB5DEE">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（2）中标通知书；</w:t>
      </w:r>
    </w:p>
    <w:p w14:paraId="4B17A869">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（3）补遗书；</w:t>
      </w:r>
    </w:p>
    <w:p w14:paraId="042EF3A2">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（4）投标函及投标函附录；</w:t>
      </w:r>
    </w:p>
    <w:p w14:paraId="7AD1972F">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（5）项目专用合同条款及数据表（含招标文件补遗书中与此有关的部分）；</w:t>
      </w:r>
    </w:p>
    <w:p w14:paraId="0941AB77">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（6）公路工程专用合同条款【中华人民共和国交通运输部《公路工程标准施工招标文件》（2018年版）（交通运输部公告2017年第51号）第四章《合同条款及格式》第二节A】；</w:t>
      </w:r>
    </w:p>
    <w:p w14:paraId="097D671C">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（7）通用合同条款【中华人民共和国交通运输部《公路工程标准施工招标文件》（2018年版）（交通运输部公告2017年第51号）第四章《合同条款及格式》第一节】；</w:t>
      </w:r>
    </w:p>
    <w:p w14:paraId="51720A0B">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（8）技术规范（含招标文件补遗书中与此有关的部分）；</w:t>
      </w:r>
    </w:p>
    <w:p w14:paraId="7FC84DDF">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（9）图纸；</w:t>
      </w:r>
    </w:p>
    <w:p w14:paraId="597E43C9">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（10）修正后已标价工程量清单；</w:t>
      </w:r>
    </w:p>
    <w:p w14:paraId="641CB1E4">
      <w:pPr>
        <w:keepNext w:val="0"/>
        <w:keepLines w:val="0"/>
        <w:widowControl/>
        <w:suppressLineNumbers w:val="0"/>
        <w:autoSpaceDE w:val="0"/>
        <w:autoSpaceDN/>
        <w:spacing w:before="0" w:beforeAutospacing="0" w:after="0" w:afterAutospacing="0" w:line="400" w:lineRule="exact"/>
        <w:ind w:left="840" w:leftChars="400" w:right="764" w:rightChars="364" w:firstLine="420" w:firstLineChars="20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（11）承包人有关人员、设备投入的承诺及投标文件中的施工组织设计；</w:t>
      </w:r>
    </w:p>
    <w:p w14:paraId="5AFEACEE">
      <w:pPr>
        <w:keepNext w:val="0"/>
        <w:keepLines w:val="0"/>
        <w:widowControl w:val="0"/>
        <w:suppressLineNumbers w:val="0"/>
        <w:spacing w:before="0" w:beforeAutospacing="0" w:after="0" w:afterAutospacing="0" w:line="400" w:lineRule="exact"/>
        <w:ind w:left="840" w:leftChars="400"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（12）其他合同文件。</w:t>
      </w:r>
    </w:p>
    <w:p w14:paraId="317DC350">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 上述文件互相补充和解释，如有不明确或不一致之处，以合同约定次序在先者为准。</w:t>
      </w:r>
    </w:p>
    <w:p w14:paraId="3764D121">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 根据工程量清单所列的预计数量和单价或总额价计算的签约合同价：人民币（大写）</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b/>
          <w:bCs w:val="0"/>
          <w:color w:val="auto"/>
          <w:kern w:val="2"/>
          <w:sz w:val="21"/>
          <w:szCs w:val="21"/>
          <w:highlight w:val="none"/>
          <w:lang w:val="en-US" w:eastAsia="zh-CN" w:bidi="ar"/>
        </w:rPr>
        <w:t xml:space="preserve">元（¥  </w:t>
      </w:r>
      <w:r>
        <w:rPr>
          <w:rFonts w:hint="eastAsia" w:ascii="宋体" w:hAnsi="宋体" w:eastAsia="宋体" w:cs="宋体"/>
          <w:b/>
          <w:bCs w:val="0"/>
          <w:color w:val="auto"/>
          <w:kern w:val="2"/>
          <w:sz w:val="21"/>
          <w:szCs w:val="21"/>
          <w:highlight w:val="none"/>
          <w:u w:val="single"/>
          <w:lang w:val="en-US" w:eastAsia="zh-CN" w:bidi="ar"/>
        </w:rPr>
        <w:t xml:space="preserve">        元</w:t>
      </w:r>
      <w:r>
        <w:rPr>
          <w:rFonts w:hint="eastAsia" w:ascii="宋体" w:hAnsi="宋体" w:eastAsia="宋体" w:cs="宋体"/>
          <w:b/>
          <w:bCs w:val="0"/>
          <w:color w:val="auto"/>
          <w:kern w:val="2"/>
          <w:sz w:val="21"/>
          <w:szCs w:val="21"/>
          <w:highlight w:val="none"/>
          <w:lang w:val="en-US" w:eastAsia="zh-CN" w:bidi="ar"/>
        </w:rPr>
        <w:t>），其中税金</w:t>
      </w:r>
      <w:r>
        <w:rPr>
          <w:rFonts w:hint="eastAsia" w:ascii="宋体" w:hAnsi="宋体" w:eastAsia="宋体" w:cs="宋体"/>
          <w:b/>
          <w:bCs w:val="0"/>
          <w:color w:val="auto"/>
          <w:kern w:val="2"/>
          <w:sz w:val="21"/>
          <w:szCs w:val="21"/>
          <w:highlight w:val="none"/>
          <w:u w:val="single"/>
          <w:lang w:val="en-US" w:eastAsia="zh-CN" w:bidi="ar"/>
        </w:rPr>
        <w:t xml:space="preserve">        </w:t>
      </w:r>
      <w:r>
        <w:rPr>
          <w:rFonts w:hint="eastAsia" w:ascii="宋体" w:hAnsi="宋体" w:eastAsia="宋体" w:cs="宋体"/>
          <w:b/>
          <w:bCs w:val="0"/>
          <w:color w:val="auto"/>
          <w:kern w:val="2"/>
          <w:sz w:val="21"/>
          <w:szCs w:val="21"/>
          <w:highlight w:val="none"/>
          <w:lang w:val="en-US" w:eastAsia="zh-CN" w:bidi="ar"/>
        </w:rPr>
        <w:t>元</w:t>
      </w:r>
      <w:r>
        <w:rPr>
          <w:rFonts w:hint="eastAsia" w:ascii="宋体" w:hAnsi="宋体" w:eastAsia="宋体" w:cs="宋体"/>
          <w:color w:val="auto"/>
          <w:kern w:val="2"/>
          <w:sz w:val="21"/>
          <w:szCs w:val="21"/>
          <w:highlight w:val="none"/>
          <w:lang w:val="en-US" w:eastAsia="zh-CN" w:bidi="ar"/>
        </w:rPr>
        <w:t>。该签约合同价为单价合同，结算方式以清单单价与核定的工程数量计算为准。</w:t>
      </w:r>
    </w:p>
    <w:p w14:paraId="2A9E3243">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 承包人项目经理：</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。承包人项目总工：</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p>
    <w:p w14:paraId="74D857A5">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 工程质量符合</w:t>
      </w:r>
      <w:r>
        <w:rPr>
          <w:rFonts w:hint="eastAsia" w:ascii="宋体" w:hAnsi="宋体" w:eastAsia="宋体" w:cs="宋体"/>
          <w:color w:val="auto"/>
          <w:kern w:val="2"/>
          <w:sz w:val="21"/>
          <w:szCs w:val="21"/>
          <w:highlight w:val="none"/>
          <w:u w:val="single"/>
          <w:lang w:val="en-US" w:eastAsia="zh-CN" w:bidi="ar"/>
        </w:rPr>
        <w:t xml:space="preserve">  合格  </w:t>
      </w:r>
      <w:r>
        <w:rPr>
          <w:rFonts w:hint="eastAsia" w:ascii="宋体" w:hAnsi="宋体" w:eastAsia="宋体" w:cs="宋体"/>
          <w:color w:val="auto"/>
          <w:kern w:val="2"/>
          <w:sz w:val="21"/>
          <w:szCs w:val="21"/>
          <w:highlight w:val="none"/>
          <w:lang w:val="en-US" w:eastAsia="zh-CN" w:bidi="ar"/>
        </w:rPr>
        <w:t>标准。</w:t>
      </w:r>
    </w:p>
    <w:p w14:paraId="4773E00E">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 承包人承诺按合同约定承担工程的实施、完成及缺陷修复。</w:t>
      </w:r>
    </w:p>
    <w:p w14:paraId="72896E34">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 发包人承诺按合同约定的条件、时间和方式向承包人支付合同价款</w:t>
      </w:r>
      <w:r>
        <w:rPr>
          <w:rFonts w:hint="eastAsia" w:ascii="宋体" w:hAnsi="宋体" w:eastAsia="宋体" w:cs="宋体"/>
          <w:b/>
          <w:bCs w:val="0"/>
          <w:color w:val="auto"/>
          <w:kern w:val="2"/>
          <w:sz w:val="21"/>
          <w:szCs w:val="21"/>
          <w:highlight w:val="none"/>
          <w:lang w:val="en-US" w:eastAsia="zh-CN" w:bidi="ar"/>
        </w:rPr>
        <w:t>。</w:t>
      </w:r>
    </w:p>
    <w:p w14:paraId="54F74605">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 承包人应按照监理人指示开工，工期为</w:t>
      </w:r>
      <w:r>
        <w:rPr>
          <w:rFonts w:hint="eastAsia" w:ascii="宋体" w:hAnsi="宋体" w:eastAsia="宋体" w:cs="宋体"/>
          <w:color w:val="auto"/>
          <w:kern w:val="2"/>
          <w:sz w:val="21"/>
          <w:szCs w:val="21"/>
          <w:highlight w:val="none"/>
          <w:u w:val="single"/>
          <w:lang w:val="en-US" w:eastAsia="zh-CN" w:bidi="ar"/>
        </w:rPr>
        <w:t xml:space="preserve">  27个月  </w:t>
      </w:r>
      <w:r>
        <w:rPr>
          <w:rFonts w:hint="eastAsia" w:ascii="宋体" w:hAnsi="宋体" w:eastAsia="宋体" w:cs="宋体"/>
          <w:color w:val="auto"/>
          <w:kern w:val="2"/>
          <w:sz w:val="21"/>
          <w:szCs w:val="21"/>
          <w:highlight w:val="none"/>
          <w:lang w:val="en-US" w:eastAsia="zh-CN" w:bidi="ar"/>
        </w:rPr>
        <w:t>。</w:t>
      </w:r>
    </w:p>
    <w:p w14:paraId="58ADB478">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10．预付款支付：</w:t>
      </w:r>
    </w:p>
    <w:p w14:paraId="3C2A2E15">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①开工预付款金额：最高不超过30%，最低不低于10%签约合同价（扣除暂列金额，具体金额以双方协商为准），须提供等额的开工预付款保函。</w:t>
      </w:r>
    </w:p>
    <w:p w14:paraId="0994E7B2">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②发包人应在该支付证书收到后28天内核批，并支付开工预付款的70%的价款；在投标文件载明的主要设备进场和完成驻地建设后，再支付预付款30%。</w:t>
      </w:r>
    </w:p>
    <w:p w14:paraId="1BAF2C1A">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1"/>
          <w:szCs w:val="21"/>
          <w:highlight w:val="none"/>
          <w:lang w:val="en-US" w:eastAsia="zh-CN" w:bidi="ar"/>
        </w:rPr>
        <w:t>③开工预付款在支付累计金额未达到签约合同价（扣除暂列金额）的30%之前不予扣回，在达到签约合同价（扣除暂列金额）30%之后，开始按工程进度以固定比例（即每完成签约合同价的1%，扣回开工预付款的2%）分期从各月的进度付款证书中扣回，全部金额在进度付款证书的累计金额达到签约合同价（扣除暂列金额）的80%时扣完</w:t>
      </w:r>
      <w:r>
        <w:rPr>
          <w:rFonts w:hint="eastAsia" w:ascii="宋体" w:hAnsi="宋体" w:eastAsia="宋体" w:cs="宋体"/>
          <w:color w:val="auto"/>
          <w:kern w:val="2"/>
          <w:sz w:val="24"/>
          <w:szCs w:val="24"/>
          <w:highlight w:val="none"/>
          <w:lang w:val="en-US" w:eastAsia="zh-CN" w:bidi="ar"/>
        </w:rPr>
        <w:t>。</w:t>
      </w:r>
    </w:p>
    <w:p w14:paraId="007D9129">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1"/>
          <w:szCs w:val="21"/>
          <w:highlight w:val="none"/>
          <w:lang w:val="en-US" w:eastAsia="zh-CN" w:bidi="ar"/>
        </w:rPr>
        <w:t>④需要开设工人工资专户，并将合同总额 1%的金额作为人工费用预付款一次性拨付到工人工资专户。</w:t>
      </w:r>
    </w:p>
    <w:p w14:paraId="70F5862A">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11.进度款的支付：</w:t>
      </w:r>
    </w:p>
    <w:p w14:paraId="76CFC7A1">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①支付方式：按月支付</w:t>
      </w:r>
    </w:p>
    <w:p w14:paraId="0BAD9A43">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②工程进度款计算公式：承包人每月完工后，可按完成工程量申报工程进度款，经监理和发包人审核后，可予支付已完工作量的90%（不含预付款）。</w:t>
      </w:r>
    </w:p>
    <w:p w14:paraId="4CD4B300">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③当所有款项累计支付达到签约合同价款（扣除暂列金额）的85%时，暂停支付所有款项。</w:t>
      </w:r>
    </w:p>
    <w:p w14:paraId="0A2D03FC">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④在交工验收后，发包人付至签约合同价款（扣除暂列金额）的90%；另暂列金额由发包人掌握，可用于工程变更及材料价差调整款项支付。</w:t>
      </w:r>
    </w:p>
    <w:p w14:paraId="04B005D6">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⑤在完工结算经增城区财政投资评审中心确认，发包人已与承包人签订结算协议并收到承包人提交结算造价3%的工程质量保证金银行保函，且承包人按时完整移交工程竣工档案后，发包人付至结算造价的100%。若在保修期内，承包人未出现违约情形，发包人应在保修期届满，收到承包人的退回申请手续后30天内将工程质量保证金银行保函退回给承包人。</w:t>
      </w:r>
    </w:p>
    <w:p w14:paraId="5E2BBC87">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⑥安全生产费的支付方式：</w:t>
      </w:r>
      <w:r>
        <w:rPr>
          <w:rFonts w:hint="default" w:ascii="Calibri" w:hAnsi="Calibri" w:eastAsia="Calibri" w:cs="Calibri"/>
          <w:color w:val="auto"/>
          <w:kern w:val="2"/>
          <w:sz w:val="21"/>
          <w:szCs w:val="21"/>
          <w:highlight w:val="none"/>
          <w:lang w:val="en-US" w:eastAsia="zh-CN" w:bidi="ar"/>
        </w:rPr>
        <w:t>经审查符合开工条件支付该项价款的60%；中间安全评价合格后支付30%；工程竣工安全评价合格后支付10%。</w:t>
      </w:r>
    </w:p>
    <w:p w14:paraId="05203CC0">
      <w:pPr>
        <w:keepNext w:val="0"/>
        <w:keepLines w:val="0"/>
        <w:widowControl/>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⑦因变更引起的工程项目支付方式：需报发包人上级主管部门审批的变更工程项目，在发包人审核完成而尚未获得上级主管部门审批时，可采用暂定计量，暂定计量金额不超过发包人审核后的合同变更金额的70%。待上级主管部门审批后按审批结果进行实际计量，并扣回已暂计量的金额。</w:t>
      </w:r>
      <w:r>
        <w:rPr>
          <w:rFonts w:hint="eastAsia" w:ascii="宋体" w:hAnsi="宋体" w:eastAsia="宋体" w:cs="宋体"/>
          <w:color w:val="auto"/>
          <w:spacing w:val="-6"/>
          <w:kern w:val="2"/>
          <w:sz w:val="21"/>
          <w:szCs w:val="21"/>
          <w:highlight w:val="none"/>
          <w:lang w:val="en-US" w:eastAsia="zh-CN" w:bidi="ar"/>
        </w:rPr>
        <w:t>如果上级主管部门审批结果低于暂定计量金额，则在本标段其他工程项目的进度款中扣回。</w:t>
      </w:r>
    </w:p>
    <w:p w14:paraId="6F0367D3">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⑧对于招标范围外的增加工程项目支付方式：经发包人审定纳入总工程量中，按结算款支付执行。</w:t>
      </w:r>
    </w:p>
    <w:p w14:paraId="1B2D4325">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default" w:ascii="Calibri" w:hAnsi="Calibri"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⑨最终结清：工程完工结算经发包人审核后15个工作日内将相关支付手续文件报送市（区）财政审核部门审核，市（区）财政审核部门审核数为本项目最终工程结算数。</w:t>
      </w:r>
      <w:r>
        <w:rPr>
          <w:rFonts w:hint="default" w:ascii="Calibri" w:hAnsi="Calibri" w:eastAsia="Calibri" w:cs="Calibri"/>
          <w:color w:val="auto"/>
          <w:kern w:val="2"/>
          <w:sz w:val="21"/>
          <w:szCs w:val="21"/>
          <w:highlight w:val="none"/>
          <w:lang w:val="en-US" w:eastAsia="zh-CN" w:bidi="ar"/>
        </w:rPr>
        <w:t>承包人应按交通运输部及广东省交通运输厅关于交通基本建设项目竣工决算编制的有关规定，及时编制相应的工程结算文件，报监理人审核发包人确认。承包人向监理人提交最终结清申请单(包括相关证明材料)的份数在项目专用合同条款数据表中约定</w:t>
      </w:r>
      <w:r>
        <w:rPr>
          <w:rFonts w:hint="eastAsia" w:ascii="宋体" w:hAnsi="宋体" w:eastAsia="宋体" w:cs="宋体"/>
          <w:color w:val="auto"/>
          <w:kern w:val="2"/>
          <w:sz w:val="21"/>
          <w:szCs w:val="21"/>
          <w:highlight w:val="none"/>
          <w:lang w:val="en-US" w:eastAsia="zh-CN" w:bidi="ar"/>
        </w:rPr>
        <w:t>；</w:t>
      </w:r>
      <w:r>
        <w:rPr>
          <w:rFonts w:hint="default" w:ascii="Calibri" w:hAnsi="Calibri" w:eastAsia="Calibri" w:cs="Calibri"/>
          <w:color w:val="auto"/>
          <w:kern w:val="2"/>
          <w:sz w:val="21"/>
          <w:szCs w:val="21"/>
          <w:highlight w:val="none"/>
          <w:lang w:val="en-US" w:eastAsia="zh-CN" w:bidi="ar"/>
        </w:rPr>
        <w:t>期限</w:t>
      </w:r>
      <w:r>
        <w:rPr>
          <w:rFonts w:hint="eastAsia" w:ascii="宋体" w:hAnsi="宋体" w:eastAsia="宋体" w:cs="宋体"/>
          <w:color w:val="auto"/>
          <w:kern w:val="2"/>
          <w:sz w:val="21"/>
          <w:szCs w:val="21"/>
          <w:highlight w:val="none"/>
          <w:lang w:val="en-US" w:eastAsia="zh-CN" w:bidi="ar"/>
        </w:rPr>
        <w:t>：</w:t>
      </w:r>
      <w:r>
        <w:rPr>
          <w:rFonts w:hint="default" w:ascii="Calibri" w:hAnsi="Calibri" w:eastAsia="Calibri" w:cs="Calibri"/>
          <w:color w:val="auto"/>
          <w:kern w:val="2"/>
          <w:sz w:val="21"/>
          <w:szCs w:val="21"/>
          <w:highlight w:val="none"/>
          <w:lang w:val="en-US" w:eastAsia="zh-CN" w:bidi="ar"/>
        </w:rPr>
        <w:t>缺陷责任期终止证书签发后28天内。</w:t>
      </w:r>
    </w:p>
    <w:p w14:paraId="696323FE">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default" w:ascii="Calibri" w:hAnsi="Calibri" w:eastAsia="Calibri" w:cs="Calibri"/>
          <w:color w:val="auto"/>
          <w:kern w:val="2"/>
          <w:sz w:val="21"/>
          <w:szCs w:val="21"/>
          <w:highlight w:val="none"/>
          <w:lang w:val="en-US" w:eastAsia="zh-CN" w:bidi="ar"/>
        </w:rPr>
        <w:t>最终结清申请单中的总金额应认为是代表了根据合同规定应付给承包人的全部款项的最后结算，结算金额以承包人的实际完成工程量x中标单价，最终以财政部门审定的金额为准，且按项目所在地财政部门的相关规定执行</w:t>
      </w:r>
      <w:r>
        <w:rPr>
          <w:rFonts w:hint="eastAsia" w:ascii="宋体" w:hAnsi="宋体" w:eastAsia="宋体" w:cs="宋体"/>
          <w:color w:val="auto"/>
          <w:kern w:val="2"/>
          <w:sz w:val="21"/>
          <w:szCs w:val="21"/>
          <w:highlight w:val="none"/>
          <w:lang w:val="en-US" w:eastAsia="zh-CN" w:bidi="ar"/>
        </w:rPr>
        <w:t>。</w:t>
      </w:r>
    </w:p>
    <w:p w14:paraId="5244D8DD">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暂列金额应由监理人报发包人批准后指令全部或部分地使用，或者根本不予动用，具体支付条件按招标文件相关条款约定。</w:t>
      </w:r>
    </w:p>
    <w:p w14:paraId="3E910179">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工人工资支付专用账户实行专款专用、专户核算，工人工资支付专用账户的管理和支付必须符合《广东省建设工程领域工人工资支付专用账户管理办法》（粤人社规〔2018〕14号）、《广州市交通运输局关于进一步规范建设项目农民工工资支付管理工作的通知》（穗交运函〔 2019 〕1541号）和《广州市建设领域工人工资支付分账管理实施细则》（穗建规字〔2020〕37号）等有关规定实行工人工资支付分账管理。工程款中的工人工资与其他款项实行分开银行账户管理，承包人在商业银行设立工人工资支付专用账户用于支付工资，承包人通过工人工资支付专用账户，依法按时足额将工人工资直接支付到工人的工资个人账户。承包人在工程开工前，在工程所在地商业银行设立工人工资支付专用账户，并在用工之日起15日内为每个工人办理工资个人账户，工人工资支付专用账户和工人工资的开户行宜选择同一家商业银行，以银行转账方式支付工资。承包人建立用工管理台账，真实、准确记录工人名册、劳动合同、工程进度、工时、劳务承包款和工人工资支付情况等信息，并保存两年以上备查。工程进度款中的工人工资比例为进度款的10%，发包人以银行转账方式拨付至工人工资支付专用账户，承包人最迟应在每月20日前支付上月工人工资，工人工资支付周期不得超过一个月，且发放的工人工资不得低于本市最低工资标准。工人工资支付专用账户内资金少于应支付工人工资总额的，承包人按时补足。承包人还应按规定购置电子考勤设备，及制定相应的考核制度。</w:t>
      </w:r>
    </w:p>
    <w:p w14:paraId="50BC5B6F">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以上款项以银行转账或支票方式支付。由于合同费用拨付需经财政部门审批，实际支付时间可能滞后于合同约定的时限，承包人不能视为发包人违约，承包人不能追究违约责任。</w:t>
      </w:r>
    </w:p>
    <w:p w14:paraId="2F5C0F5F">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因发包人使用的是财政资金，具体支付时间以财政部门为准，发包人在合同规定的付款时间内向财政部门提交申请付款手续（不含政府财政支付部门审核的时间）视为发包人履行合同规定的付款义务。</w:t>
      </w:r>
    </w:p>
    <w:p w14:paraId="23857C19">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如因财政资金的下达、拨付问题导致付款延迟的，不视为发包人违约，承包人不得据此追究发包人的违约责任和其他经济损失,且不得因款项支付进度问题影响承包人的项目建设进度。</w:t>
      </w:r>
    </w:p>
    <w:p w14:paraId="3BFAE3E5">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 本协议书在双方法定代表人或其委托代理人签署并加盖单位章后生效。全部工程完工后经竣交工验收合格、缺陷责任期满签发缺陷责任终止证书后失效。</w:t>
      </w:r>
    </w:p>
    <w:p w14:paraId="73B8036F">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14．本协议书正本二份、副本</w:t>
      </w:r>
      <w:r>
        <w:rPr>
          <w:rFonts w:hint="eastAsia" w:ascii="宋体" w:hAnsi="宋体" w:eastAsia="宋体" w:cs="宋体"/>
          <w:color w:val="auto"/>
          <w:kern w:val="2"/>
          <w:sz w:val="21"/>
          <w:szCs w:val="21"/>
          <w:highlight w:val="none"/>
          <w:u w:val="single"/>
          <w:lang w:val="en-US" w:eastAsia="zh-CN" w:bidi="ar"/>
        </w:rPr>
        <w:t>捌</w:t>
      </w:r>
      <w:r>
        <w:rPr>
          <w:rFonts w:hint="eastAsia" w:ascii="宋体" w:hAnsi="宋体" w:eastAsia="宋体" w:cs="宋体"/>
          <w:color w:val="auto"/>
          <w:kern w:val="2"/>
          <w:sz w:val="21"/>
          <w:szCs w:val="21"/>
          <w:highlight w:val="none"/>
          <w:lang w:val="en-US" w:eastAsia="zh-CN" w:bidi="ar"/>
        </w:rPr>
        <w:t>份，合同双方各执正本一份，副本</w:t>
      </w:r>
      <w:r>
        <w:rPr>
          <w:rFonts w:hint="eastAsia" w:ascii="宋体" w:hAnsi="宋体" w:eastAsia="宋体" w:cs="宋体"/>
          <w:color w:val="auto"/>
          <w:kern w:val="2"/>
          <w:sz w:val="21"/>
          <w:szCs w:val="21"/>
          <w:highlight w:val="none"/>
          <w:u w:val="single"/>
          <w:lang w:val="en-US" w:eastAsia="zh-CN" w:bidi="ar"/>
        </w:rPr>
        <w:t xml:space="preserve"> 肆 </w:t>
      </w:r>
      <w:r>
        <w:rPr>
          <w:rFonts w:hint="eastAsia" w:ascii="宋体" w:hAnsi="宋体" w:eastAsia="宋体" w:cs="宋体"/>
          <w:color w:val="auto"/>
          <w:kern w:val="2"/>
          <w:sz w:val="21"/>
          <w:szCs w:val="21"/>
          <w:highlight w:val="none"/>
          <w:lang w:val="en-US" w:eastAsia="zh-CN" w:bidi="ar"/>
        </w:rPr>
        <w:t>份，当正本与副本的内容不一致时，以正本为准。</w:t>
      </w:r>
    </w:p>
    <w:p w14:paraId="4CE98299">
      <w:pPr>
        <w:keepNext w:val="0"/>
        <w:keepLines w:val="0"/>
        <w:widowControl w:val="0"/>
        <w:suppressLineNumbers w:val="0"/>
        <w:spacing w:before="0" w:beforeAutospacing="0" w:after="0" w:afterAutospacing="0" w:line="400" w:lineRule="exact"/>
        <w:ind w:left="1058" w:leftChars="504" w:right="764" w:rightChars="364"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14.合同未尽事宜，双方另行签订补充协议。补充协议是合同的组成部分。</w:t>
      </w:r>
    </w:p>
    <w:p w14:paraId="0DD885C3">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3F269E4B">
      <w:pPr>
        <w:keepNext w:val="0"/>
        <w:keepLines w:val="0"/>
        <w:widowControl w:val="0"/>
        <w:suppressLineNumbers w:val="0"/>
        <w:spacing w:before="0" w:beforeAutospacing="0" w:after="0" w:afterAutospacing="0" w:line="400" w:lineRule="exact"/>
        <w:ind w:left="0" w:right="0" w:firstLine="1890" w:firstLineChars="9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发包人：（盖单位章）                     承包人：（盖单位章）</w:t>
      </w:r>
    </w:p>
    <w:p w14:paraId="437F0AF8">
      <w:pPr>
        <w:keepNext w:val="0"/>
        <w:keepLines w:val="0"/>
        <w:widowControl w:val="0"/>
        <w:suppressLineNumbers w:val="0"/>
        <w:spacing w:before="0" w:beforeAutospacing="0" w:after="0" w:afterAutospacing="0" w:line="400" w:lineRule="exact"/>
        <w:ind w:left="0" w:right="0" w:firstLine="1890" w:firstLineChars="9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法定代表人或                            法定代表人或</w:t>
      </w:r>
    </w:p>
    <w:p w14:paraId="0D153FB5">
      <w:pPr>
        <w:keepNext w:val="0"/>
        <w:keepLines w:val="0"/>
        <w:widowControl w:val="0"/>
        <w:suppressLineNumbers w:val="0"/>
        <w:spacing w:before="0" w:beforeAutospacing="0" w:after="0" w:afterAutospacing="0" w:line="400" w:lineRule="exact"/>
        <w:ind w:right="0" w:firstLine="1890" w:firstLineChars="9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其委托代理人：（签字）                  其委托代理人：（签字）</w:t>
      </w:r>
    </w:p>
    <w:p w14:paraId="24634451">
      <w:pPr>
        <w:ind w:firstLine="2310" w:firstLineChars="1100"/>
        <w:jc w:val="both"/>
        <w:rPr>
          <w:rFonts w:ascii="宋体" w:hAnsi="宋体" w:eastAsia="宋体" w:cs="宋体"/>
          <w:b/>
          <w:bCs/>
          <w:color w:val="auto"/>
          <w:spacing w:val="6"/>
          <w:sz w:val="31"/>
          <w:szCs w:val="31"/>
          <w:highlight w:val="none"/>
        </w:rPr>
      </w:pPr>
      <w:r>
        <w:rPr>
          <w:rFonts w:hint="eastAsia" w:ascii="宋体" w:hAnsi="宋体" w:eastAsia="宋体" w:cs="宋体"/>
          <w:color w:val="auto"/>
          <w:kern w:val="2"/>
          <w:sz w:val="21"/>
          <w:szCs w:val="21"/>
          <w:highlight w:val="none"/>
          <w:lang w:val="en-US" w:eastAsia="zh-CN" w:bidi="ar"/>
        </w:rPr>
        <w:t>年   月   日                           年   月   日</w:t>
      </w:r>
    </w:p>
    <w:p w14:paraId="2EC9AFD8">
      <w:pPr>
        <w:spacing w:before="101" w:line="225" w:lineRule="auto"/>
        <w:ind w:left="4358"/>
        <w:rPr>
          <w:rFonts w:ascii="宋体" w:hAnsi="宋体" w:eastAsia="宋体" w:cs="宋体"/>
          <w:b/>
          <w:bCs/>
          <w:color w:val="auto"/>
          <w:spacing w:val="6"/>
          <w:sz w:val="31"/>
          <w:szCs w:val="31"/>
          <w:highlight w:val="none"/>
        </w:rPr>
      </w:pPr>
    </w:p>
    <w:p w14:paraId="497A22A8">
      <w:pPr>
        <w:spacing w:before="101" w:line="225" w:lineRule="auto"/>
        <w:ind w:left="4358"/>
        <w:rPr>
          <w:rFonts w:ascii="宋体" w:hAnsi="宋体" w:eastAsia="宋体" w:cs="宋体"/>
          <w:b/>
          <w:bCs/>
          <w:color w:val="auto"/>
          <w:spacing w:val="6"/>
          <w:sz w:val="31"/>
          <w:szCs w:val="31"/>
          <w:highlight w:val="none"/>
        </w:rPr>
      </w:pPr>
    </w:p>
    <w:p w14:paraId="00ECEDF9">
      <w:pPr>
        <w:spacing w:before="101" w:line="225" w:lineRule="auto"/>
        <w:ind w:left="4358"/>
        <w:rPr>
          <w:rFonts w:ascii="宋体" w:hAnsi="宋体" w:eastAsia="宋体" w:cs="宋体"/>
          <w:b/>
          <w:bCs/>
          <w:color w:val="auto"/>
          <w:spacing w:val="6"/>
          <w:sz w:val="31"/>
          <w:szCs w:val="31"/>
          <w:highlight w:val="none"/>
        </w:rPr>
      </w:pPr>
    </w:p>
    <w:p w14:paraId="65EFDA61">
      <w:pPr>
        <w:spacing w:before="101" w:line="225" w:lineRule="auto"/>
        <w:ind w:left="4358"/>
        <w:rPr>
          <w:rFonts w:ascii="宋体" w:hAnsi="宋体" w:eastAsia="宋体" w:cs="宋体"/>
          <w:b/>
          <w:bCs/>
          <w:color w:val="auto"/>
          <w:spacing w:val="6"/>
          <w:sz w:val="31"/>
          <w:szCs w:val="31"/>
          <w:highlight w:val="none"/>
        </w:rPr>
      </w:pPr>
    </w:p>
    <w:p w14:paraId="1809337B">
      <w:pPr>
        <w:spacing w:before="101" w:line="225" w:lineRule="auto"/>
        <w:ind w:left="4358"/>
        <w:rPr>
          <w:rFonts w:ascii="宋体" w:hAnsi="宋体" w:eastAsia="宋体" w:cs="宋体"/>
          <w:b/>
          <w:bCs/>
          <w:color w:val="auto"/>
          <w:spacing w:val="6"/>
          <w:sz w:val="31"/>
          <w:szCs w:val="31"/>
          <w:highlight w:val="none"/>
        </w:rPr>
      </w:pPr>
    </w:p>
    <w:p w14:paraId="1B3F785B">
      <w:pPr>
        <w:spacing w:before="101" w:line="225" w:lineRule="auto"/>
        <w:ind w:left="4358"/>
        <w:rPr>
          <w:rFonts w:ascii="宋体" w:hAnsi="宋体" w:eastAsia="宋体" w:cs="宋体"/>
          <w:b/>
          <w:bCs/>
          <w:color w:val="auto"/>
          <w:spacing w:val="6"/>
          <w:sz w:val="31"/>
          <w:szCs w:val="31"/>
          <w:highlight w:val="none"/>
        </w:rPr>
      </w:pPr>
    </w:p>
    <w:p w14:paraId="201F67DF">
      <w:pPr>
        <w:spacing w:before="101" w:line="225" w:lineRule="auto"/>
        <w:ind w:left="4358"/>
        <w:rPr>
          <w:rFonts w:ascii="宋体" w:hAnsi="宋体" w:eastAsia="宋体" w:cs="宋体"/>
          <w:b/>
          <w:bCs/>
          <w:color w:val="auto"/>
          <w:spacing w:val="6"/>
          <w:sz w:val="31"/>
          <w:szCs w:val="31"/>
          <w:highlight w:val="none"/>
        </w:rPr>
      </w:pPr>
    </w:p>
    <w:p w14:paraId="58697352">
      <w:pPr>
        <w:spacing w:before="101" w:line="225" w:lineRule="auto"/>
        <w:ind w:left="4358"/>
        <w:rPr>
          <w:rFonts w:ascii="宋体" w:hAnsi="宋体" w:eastAsia="宋体" w:cs="宋体"/>
          <w:b/>
          <w:bCs/>
          <w:color w:val="auto"/>
          <w:spacing w:val="6"/>
          <w:sz w:val="31"/>
          <w:szCs w:val="31"/>
          <w:highlight w:val="none"/>
        </w:rPr>
      </w:pPr>
    </w:p>
    <w:p w14:paraId="364376B7">
      <w:pPr>
        <w:spacing w:before="101" w:line="225" w:lineRule="auto"/>
        <w:ind w:left="4358"/>
        <w:rPr>
          <w:rFonts w:ascii="宋体" w:hAnsi="宋体" w:eastAsia="宋体" w:cs="宋体"/>
          <w:b/>
          <w:bCs/>
          <w:color w:val="auto"/>
          <w:spacing w:val="6"/>
          <w:sz w:val="31"/>
          <w:szCs w:val="31"/>
          <w:highlight w:val="none"/>
        </w:rPr>
      </w:pPr>
    </w:p>
    <w:p w14:paraId="6D75F038">
      <w:pPr>
        <w:spacing w:before="101" w:line="225" w:lineRule="auto"/>
        <w:ind w:left="4358"/>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第一节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通用合同条款</w:t>
      </w:r>
    </w:p>
    <w:p w14:paraId="7388392A">
      <w:pPr>
        <w:pStyle w:val="3"/>
        <w:spacing w:line="276" w:lineRule="auto"/>
        <w:rPr>
          <w:color w:val="auto"/>
          <w:highlight w:val="none"/>
        </w:rPr>
      </w:pPr>
    </w:p>
    <w:p w14:paraId="70CAC84A">
      <w:pPr>
        <w:pStyle w:val="3"/>
        <w:spacing w:line="276" w:lineRule="auto"/>
        <w:rPr>
          <w:color w:val="auto"/>
          <w:highlight w:val="none"/>
        </w:rPr>
      </w:pPr>
    </w:p>
    <w:p w14:paraId="52808BC6">
      <w:pPr>
        <w:pStyle w:val="3"/>
        <w:spacing w:line="277" w:lineRule="auto"/>
        <w:rPr>
          <w:color w:val="auto"/>
          <w:highlight w:val="none"/>
        </w:rPr>
      </w:pPr>
    </w:p>
    <w:p w14:paraId="7A7D6735">
      <w:pPr>
        <w:pStyle w:val="3"/>
        <w:spacing w:line="277" w:lineRule="auto"/>
        <w:rPr>
          <w:color w:val="auto"/>
          <w:highlight w:val="none"/>
        </w:rPr>
      </w:pPr>
    </w:p>
    <w:p w14:paraId="7E2AA42F">
      <w:pPr>
        <w:spacing w:before="87" w:line="226" w:lineRule="auto"/>
        <w:ind w:left="2135"/>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详见《标准施工招标文件》（2007</w:t>
      </w:r>
      <w:r>
        <w:rPr>
          <w:rFonts w:ascii="宋体" w:hAnsi="宋体" w:eastAsia="宋体" w:cs="宋体"/>
          <w:color w:val="auto"/>
          <w:spacing w:val="-52"/>
          <w:sz w:val="27"/>
          <w:szCs w:val="27"/>
          <w:highlight w:val="none"/>
        </w:rPr>
        <w:t xml:space="preserve"> </w:t>
      </w:r>
      <w:r>
        <w:rPr>
          <w:rFonts w:ascii="宋体" w:hAnsi="宋体" w:eastAsia="宋体" w:cs="宋体"/>
          <w:b/>
          <w:bCs/>
          <w:color w:val="auto"/>
          <w:spacing w:val="5"/>
          <w:sz w:val="27"/>
          <w:szCs w:val="27"/>
          <w:highlight w:val="none"/>
        </w:rPr>
        <w:t>版）的通用合同条款内容。</w:t>
      </w:r>
    </w:p>
    <w:p w14:paraId="4B71B450">
      <w:pPr>
        <w:spacing w:line="226" w:lineRule="auto"/>
        <w:rPr>
          <w:rFonts w:ascii="宋体" w:hAnsi="宋体" w:eastAsia="宋体" w:cs="宋体"/>
          <w:color w:val="auto"/>
          <w:sz w:val="27"/>
          <w:szCs w:val="27"/>
          <w:highlight w:val="none"/>
        </w:rPr>
        <w:sectPr>
          <w:headerReference r:id="rId46" w:type="default"/>
          <w:footerReference r:id="rId47" w:type="default"/>
          <w:footnotePr>
            <w:numFmt w:val="decimalEnclosedCircleChinese"/>
            <w:numRestart w:val="eachPage"/>
          </w:footnotePr>
          <w:pgSz w:w="11905" w:h="16840"/>
          <w:pgMar w:top="1182" w:right="0" w:bottom="1171" w:left="0" w:header="849" w:footer="937" w:gutter="0"/>
          <w:pgNumType w:fmt="decimal"/>
          <w:cols w:space="720" w:num="1"/>
        </w:sectPr>
      </w:pPr>
    </w:p>
    <w:p w14:paraId="61162D15">
      <w:pPr>
        <w:pStyle w:val="3"/>
        <w:spacing w:line="285" w:lineRule="auto"/>
        <w:rPr>
          <w:color w:val="auto"/>
          <w:highlight w:val="none"/>
        </w:rPr>
      </w:pPr>
    </w:p>
    <w:p w14:paraId="0ECBBDDB">
      <w:pPr>
        <w:spacing w:before="101" w:line="225" w:lineRule="auto"/>
        <w:ind w:left="4439"/>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第二节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专用合同条款</w:t>
      </w:r>
    </w:p>
    <w:p w14:paraId="7A72A8A4">
      <w:pPr>
        <w:pStyle w:val="3"/>
        <w:spacing w:line="276" w:lineRule="auto"/>
        <w:rPr>
          <w:color w:val="auto"/>
          <w:highlight w:val="none"/>
        </w:rPr>
      </w:pPr>
    </w:p>
    <w:p w14:paraId="34CFEC37">
      <w:pPr>
        <w:pStyle w:val="3"/>
        <w:spacing w:line="276" w:lineRule="auto"/>
        <w:rPr>
          <w:color w:val="auto"/>
          <w:highlight w:val="none"/>
        </w:rPr>
      </w:pPr>
    </w:p>
    <w:p w14:paraId="48763065">
      <w:pPr>
        <w:pStyle w:val="3"/>
        <w:spacing w:line="276" w:lineRule="auto"/>
        <w:rPr>
          <w:color w:val="auto"/>
          <w:highlight w:val="none"/>
        </w:rPr>
      </w:pPr>
    </w:p>
    <w:p w14:paraId="70518098">
      <w:pPr>
        <w:pStyle w:val="3"/>
        <w:spacing w:line="277" w:lineRule="auto"/>
        <w:rPr>
          <w:color w:val="auto"/>
          <w:highlight w:val="none"/>
        </w:rPr>
      </w:pPr>
    </w:p>
    <w:p w14:paraId="07375F42">
      <w:pPr>
        <w:spacing w:before="88" w:line="229" w:lineRule="auto"/>
        <w:ind w:left="1426"/>
        <w:rPr>
          <w:rFonts w:ascii="宋体" w:hAnsi="宋体" w:eastAsia="宋体" w:cs="宋体"/>
          <w:color w:val="auto"/>
          <w:sz w:val="27"/>
          <w:szCs w:val="27"/>
          <w:highlight w:val="none"/>
        </w:rPr>
      </w:pPr>
      <w:r>
        <w:rPr>
          <w:rFonts w:ascii="宋体" w:hAnsi="宋体" w:eastAsia="宋体" w:cs="宋体"/>
          <w:b/>
          <w:bCs/>
          <w:color w:val="auto"/>
          <w:spacing w:val="-14"/>
          <w:sz w:val="27"/>
          <w:szCs w:val="27"/>
          <w:highlight w:val="none"/>
        </w:rPr>
        <w:t>包括：</w:t>
      </w:r>
    </w:p>
    <w:p w14:paraId="54363AFD">
      <w:pPr>
        <w:spacing w:before="287" w:line="427" w:lineRule="auto"/>
        <w:ind w:left="1999" w:right="2210" w:hanging="21"/>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A</w:t>
      </w:r>
      <w:r>
        <w:rPr>
          <w:rFonts w:ascii="宋体" w:hAnsi="宋体" w:eastAsia="宋体" w:cs="宋体"/>
          <w:color w:val="auto"/>
          <w:spacing w:val="7"/>
          <w:sz w:val="27"/>
          <w:szCs w:val="27"/>
          <w:highlight w:val="none"/>
        </w:rPr>
        <w:t xml:space="preserve">  </w:t>
      </w:r>
      <w:r>
        <w:rPr>
          <w:rFonts w:ascii="宋体" w:hAnsi="宋体" w:eastAsia="宋体" w:cs="宋体"/>
          <w:b/>
          <w:bCs/>
          <w:color w:val="auto"/>
          <w:spacing w:val="7"/>
          <w:sz w:val="27"/>
          <w:szCs w:val="27"/>
          <w:highlight w:val="none"/>
        </w:rPr>
        <w:t>公路工程专用合同条款详见《公路工程标准施工招标文件》</w:t>
      </w:r>
      <w:r>
        <w:rPr>
          <w:rFonts w:ascii="宋体" w:hAnsi="宋体" w:eastAsia="宋体" w:cs="宋体"/>
          <w:color w:val="auto"/>
          <w:spacing w:val="9"/>
          <w:sz w:val="27"/>
          <w:szCs w:val="27"/>
          <w:highlight w:val="none"/>
        </w:rPr>
        <w:t xml:space="preserve"> </w:t>
      </w:r>
      <w:r>
        <w:rPr>
          <w:rFonts w:ascii="宋体" w:hAnsi="宋体" w:eastAsia="宋体" w:cs="宋体"/>
          <w:b/>
          <w:bCs/>
          <w:color w:val="auto"/>
          <w:spacing w:val="2"/>
          <w:sz w:val="27"/>
          <w:szCs w:val="27"/>
          <w:highlight w:val="none"/>
        </w:rPr>
        <w:t>（2018</w:t>
      </w:r>
      <w:r>
        <w:rPr>
          <w:rFonts w:ascii="宋体" w:hAnsi="宋体" w:eastAsia="宋体" w:cs="宋体"/>
          <w:color w:val="auto"/>
          <w:spacing w:val="-37"/>
          <w:sz w:val="27"/>
          <w:szCs w:val="27"/>
          <w:highlight w:val="none"/>
        </w:rPr>
        <w:t xml:space="preserve"> </w:t>
      </w:r>
      <w:r>
        <w:rPr>
          <w:rFonts w:ascii="宋体" w:hAnsi="宋体" w:eastAsia="宋体" w:cs="宋体"/>
          <w:b/>
          <w:bCs/>
          <w:color w:val="auto"/>
          <w:spacing w:val="2"/>
          <w:sz w:val="27"/>
          <w:szCs w:val="27"/>
          <w:highlight w:val="none"/>
        </w:rPr>
        <w:t>版）的第四章第二节</w:t>
      </w:r>
    </w:p>
    <w:p w14:paraId="22CA4180">
      <w:pPr>
        <w:spacing w:line="226" w:lineRule="auto"/>
        <w:ind w:left="1980"/>
        <w:rPr>
          <w:rFonts w:ascii="宋体" w:hAnsi="宋体" w:eastAsia="宋体" w:cs="宋体"/>
          <w:color w:val="auto"/>
          <w:sz w:val="27"/>
          <w:szCs w:val="27"/>
          <w:highlight w:val="none"/>
        </w:rPr>
      </w:pPr>
      <w:r>
        <w:rPr>
          <w:rFonts w:ascii="宋体" w:hAnsi="宋体" w:eastAsia="宋体" w:cs="宋体"/>
          <w:b/>
          <w:bCs/>
          <w:color w:val="auto"/>
          <w:spacing w:val="6"/>
          <w:sz w:val="27"/>
          <w:szCs w:val="27"/>
          <w:highlight w:val="none"/>
        </w:rPr>
        <w:t>B</w:t>
      </w:r>
      <w:r>
        <w:rPr>
          <w:rFonts w:ascii="宋体" w:hAnsi="宋体" w:eastAsia="宋体" w:cs="宋体"/>
          <w:color w:val="auto"/>
          <w:spacing w:val="6"/>
          <w:sz w:val="27"/>
          <w:szCs w:val="27"/>
          <w:highlight w:val="none"/>
        </w:rPr>
        <w:t xml:space="preserve">  </w:t>
      </w:r>
      <w:r>
        <w:rPr>
          <w:rFonts w:ascii="宋体" w:hAnsi="宋体" w:eastAsia="宋体" w:cs="宋体"/>
          <w:b/>
          <w:bCs/>
          <w:color w:val="auto"/>
          <w:spacing w:val="6"/>
          <w:sz w:val="27"/>
          <w:szCs w:val="27"/>
          <w:highlight w:val="none"/>
        </w:rPr>
        <w:t>项目专用合同条款</w:t>
      </w:r>
    </w:p>
    <w:p w14:paraId="444B68C9">
      <w:pPr>
        <w:spacing w:line="226" w:lineRule="auto"/>
        <w:rPr>
          <w:rFonts w:ascii="宋体" w:hAnsi="宋体" w:eastAsia="宋体" w:cs="宋体"/>
          <w:color w:val="auto"/>
          <w:sz w:val="27"/>
          <w:szCs w:val="27"/>
          <w:highlight w:val="none"/>
        </w:rPr>
        <w:sectPr>
          <w:headerReference r:id="rId48" w:type="default"/>
          <w:footerReference r:id="rId49" w:type="default"/>
          <w:pgSz w:w="11905" w:h="16840"/>
          <w:pgMar w:top="1182" w:right="0" w:bottom="1171" w:left="0" w:header="849" w:footer="937" w:gutter="0"/>
          <w:pgNumType w:fmt="decimal"/>
          <w:cols w:space="720" w:num="1"/>
        </w:sectPr>
      </w:pPr>
    </w:p>
    <w:p w14:paraId="7703A29A">
      <w:pPr>
        <w:pStyle w:val="3"/>
        <w:spacing w:line="258" w:lineRule="auto"/>
        <w:rPr>
          <w:color w:val="auto"/>
          <w:highlight w:val="none"/>
        </w:rPr>
      </w:pPr>
    </w:p>
    <w:p w14:paraId="617857B4">
      <w:pPr>
        <w:spacing w:before="101" w:line="241" w:lineRule="auto"/>
        <w:ind w:left="4431"/>
        <w:rPr>
          <w:rFonts w:ascii="宋体" w:hAnsi="宋体" w:eastAsia="宋体" w:cs="宋体"/>
          <w:color w:val="auto"/>
          <w:sz w:val="15"/>
          <w:szCs w:val="15"/>
          <w:highlight w:val="none"/>
        </w:rPr>
      </w:pPr>
      <w:r>
        <w:rPr>
          <w:rFonts w:ascii="宋体" w:hAnsi="宋体" w:eastAsia="宋体" w:cs="宋体"/>
          <w:b/>
          <w:bCs/>
          <w:color w:val="auto"/>
          <w:spacing w:val="6"/>
          <w:sz w:val="31"/>
          <w:szCs w:val="31"/>
          <w:highlight w:val="none"/>
        </w:rPr>
        <w:t>B.项目专用合同条款</w:t>
      </w:r>
    </w:p>
    <w:p w14:paraId="27AAB720">
      <w:pPr>
        <w:pStyle w:val="3"/>
        <w:spacing w:line="436" w:lineRule="auto"/>
        <w:rPr>
          <w:color w:val="auto"/>
          <w:highlight w:val="none"/>
        </w:rPr>
      </w:pPr>
    </w:p>
    <w:p w14:paraId="0F22B5AB">
      <w:pPr>
        <w:spacing w:before="78" w:line="220" w:lineRule="auto"/>
        <w:ind w:left="1428"/>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说</w:t>
      </w:r>
      <w:r>
        <w:rPr>
          <w:rFonts w:ascii="宋体" w:hAnsi="宋体" w:eastAsia="宋体" w:cs="宋体"/>
          <w:color w:val="auto"/>
          <w:spacing w:val="15"/>
          <w:sz w:val="24"/>
          <w:szCs w:val="24"/>
          <w:highlight w:val="none"/>
        </w:rPr>
        <w:t xml:space="preserve">  </w:t>
      </w:r>
      <w:r>
        <w:rPr>
          <w:rFonts w:ascii="宋体" w:hAnsi="宋体" w:eastAsia="宋体" w:cs="宋体"/>
          <w:color w:val="auto"/>
          <w:spacing w:val="-15"/>
          <w:sz w:val="24"/>
          <w:szCs w:val="24"/>
          <w:highlight w:val="none"/>
        </w:rPr>
        <w:t>明：</w:t>
      </w:r>
    </w:p>
    <w:p w14:paraId="51B8FE66">
      <w:pPr>
        <w:spacing w:before="182" w:line="340" w:lineRule="auto"/>
        <w:ind w:left="1424" w:right="1331" w:firstLine="49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招标人在根据本范本编制项目招标文件中的“项目专用合同条款”时，可根据</w:t>
      </w:r>
      <w:r>
        <w:rPr>
          <w:rFonts w:ascii="宋体" w:hAnsi="宋体" w:eastAsia="宋体" w:cs="宋体"/>
          <w:color w:val="auto"/>
          <w:spacing w:val="-1"/>
          <w:sz w:val="24"/>
          <w:szCs w:val="24"/>
          <w:highlight w:val="none"/>
        </w:rPr>
        <w:t>招标项目的具体特点和实际需要，对“通用</w:t>
      </w:r>
      <w:r>
        <w:rPr>
          <w:rFonts w:ascii="宋体" w:hAnsi="宋体" w:eastAsia="宋体" w:cs="宋体"/>
          <w:color w:val="auto"/>
          <w:spacing w:val="-2"/>
          <w:sz w:val="24"/>
          <w:szCs w:val="24"/>
          <w:highlight w:val="none"/>
        </w:rPr>
        <w:t>合同条款”及“公路工程专用合同条款”进行补充和细化，除“通用合同条款”明确“专用合同条款”可做出不同约定及“公路工</w:t>
      </w:r>
      <w:r>
        <w:rPr>
          <w:rFonts w:ascii="宋体" w:hAnsi="宋体" w:eastAsia="宋体" w:cs="宋体"/>
          <w:color w:val="auto"/>
          <w:spacing w:val="2"/>
          <w:sz w:val="24"/>
          <w:szCs w:val="24"/>
          <w:highlight w:val="none"/>
        </w:rPr>
        <w:t>程专用合同条款”明确“项目专用合同条款</w:t>
      </w:r>
      <w:r>
        <w:rPr>
          <w:rFonts w:ascii="宋体" w:hAnsi="宋体" w:eastAsia="宋体" w:cs="宋体"/>
          <w:color w:val="auto"/>
          <w:spacing w:val="1"/>
          <w:sz w:val="24"/>
          <w:szCs w:val="24"/>
          <w:highlight w:val="none"/>
        </w:rPr>
        <w:t>” 可做出不同约定外，补充和细化的内容</w:t>
      </w:r>
      <w:r>
        <w:rPr>
          <w:rFonts w:ascii="宋体" w:hAnsi="宋体" w:eastAsia="宋体" w:cs="宋体"/>
          <w:color w:val="auto"/>
          <w:spacing w:val="-8"/>
          <w:sz w:val="24"/>
          <w:szCs w:val="24"/>
          <w:highlight w:val="none"/>
        </w:rPr>
        <w:t>不得与“通用合同条款”及“公路工程专用合同条款”强制性</w:t>
      </w:r>
      <w:r>
        <w:rPr>
          <w:rFonts w:ascii="宋体" w:hAnsi="宋体" w:eastAsia="宋体" w:cs="宋体"/>
          <w:color w:val="auto"/>
          <w:spacing w:val="-9"/>
          <w:sz w:val="24"/>
          <w:szCs w:val="24"/>
          <w:highlight w:val="none"/>
        </w:rPr>
        <w:t>规定相抵触。同时， 补充、</w:t>
      </w:r>
      <w:r>
        <w:rPr>
          <w:rFonts w:ascii="宋体" w:hAnsi="宋体" w:eastAsia="宋体" w:cs="宋体"/>
          <w:color w:val="auto"/>
          <w:spacing w:val="-2"/>
          <w:sz w:val="24"/>
          <w:szCs w:val="24"/>
          <w:highlight w:val="none"/>
        </w:rPr>
        <w:t>细化或约定的不同内容，不得违反法律、行政法规的强制性规定和平等、自愿、公平和</w:t>
      </w:r>
      <w:r>
        <w:rPr>
          <w:rFonts w:ascii="宋体" w:hAnsi="宋体" w:eastAsia="宋体" w:cs="宋体"/>
          <w:color w:val="auto"/>
          <w:spacing w:val="-6"/>
          <w:sz w:val="24"/>
          <w:szCs w:val="24"/>
          <w:highlight w:val="none"/>
        </w:rPr>
        <w:t>诚实信用原则。</w:t>
      </w:r>
    </w:p>
    <w:p w14:paraId="0E19F0FA">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 项目专用合同条款的编号应与通用合同条款和公路工程专用合同条款一致。</w:t>
      </w:r>
    </w:p>
    <w:p w14:paraId="6BF36FE4">
      <w:pPr>
        <w:spacing w:before="181" w:line="220" w:lineRule="auto"/>
        <w:ind w:left="19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 项目专用合同条款可对下列内容进行补充和细化：</w:t>
      </w:r>
    </w:p>
    <w:p w14:paraId="42101A2A">
      <w:pPr>
        <w:spacing w:before="182" w:line="325" w:lineRule="auto"/>
        <w:ind w:left="1425" w:right="1416" w:firstLine="522"/>
        <w:rPr>
          <w:rFonts w:ascii="宋体" w:hAnsi="宋体" w:eastAsia="宋体" w:cs="宋体"/>
          <w:color w:val="auto"/>
          <w:sz w:val="24"/>
          <w:szCs w:val="24"/>
          <w:highlight w:val="none"/>
        </w:rPr>
      </w:pPr>
      <w:r>
        <w:rPr>
          <w:rFonts w:ascii="宋体" w:hAnsi="宋体" w:eastAsia="宋体" w:cs="宋体"/>
          <w:color w:val="auto"/>
          <w:sz w:val="24"/>
          <w:szCs w:val="24"/>
          <w:highlight w:val="none"/>
        </w:rPr>
        <w:t>(1)“通用合同条款”中明确指出“专用合同条款”可对“通用合同条款”进行修</w:t>
      </w:r>
      <w:r>
        <w:rPr>
          <w:rFonts w:ascii="宋体" w:hAnsi="宋体" w:eastAsia="宋体" w:cs="宋体"/>
          <w:color w:val="auto"/>
          <w:spacing w:val="-5"/>
          <w:sz w:val="24"/>
          <w:szCs w:val="24"/>
          <w:highlight w:val="none"/>
        </w:rPr>
        <w:t>改的内容(在“通用合同条款”中用“应按合同约定”、“应按专用合同条款约定”“除</w:t>
      </w:r>
      <w:r>
        <w:rPr>
          <w:rFonts w:ascii="宋体" w:hAnsi="宋体" w:eastAsia="宋体" w:cs="宋体"/>
          <w:color w:val="auto"/>
          <w:spacing w:val="-2"/>
          <w:sz w:val="24"/>
          <w:szCs w:val="24"/>
          <w:highlight w:val="none"/>
        </w:rPr>
        <w:t>合同另有约定外”、“除专用合同条款另有约定外”、“在专用合同条款中约定”等多</w:t>
      </w:r>
      <w:r>
        <w:rPr>
          <w:rFonts w:ascii="宋体" w:hAnsi="宋体" w:eastAsia="宋体" w:cs="宋体"/>
          <w:color w:val="auto"/>
          <w:spacing w:val="-7"/>
          <w:sz w:val="24"/>
          <w:szCs w:val="24"/>
          <w:highlight w:val="none"/>
        </w:rPr>
        <w:t>种文字形式表达)；</w:t>
      </w:r>
    </w:p>
    <w:p w14:paraId="5DF76AB2">
      <w:pPr>
        <w:spacing w:before="182" w:line="325" w:lineRule="auto"/>
        <w:ind w:left="1425" w:right="1415" w:firstLine="522"/>
        <w:rPr>
          <w:rFonts w:ascii="宋体" w:hAnsi="宋体" w:eastAsia="宋体" w:cs="宋体"/>
          <w:color w:val="auto"/>
          <w:sz w:val="24"/>
          <w:szCs w:val="24"/>
          <w:highlight w:val="none"/>
        </w:rPr>
      </w:pPr>
      <w:r>
        <w:rPr>
          <w:rFonts w:ascii="宋体" w:hAnsi="宋体" w:eastAsia="宋体" w:cs="宋体"/>
          <w:color w:val="auto"/>
          <w:sz w:val="24"/>
          <w:szCs w:val="24"/>
          <w:highlight w:val="none"/>
        </w:rPr>
        <w:t>(2)“公路工程专用合同条款”中明确指出“项目专用合同条款”可对“公路工程</w:t>
      </w:r>
      <w:r>
        <w:rPr>
          <w:rFonts w:ascii="宋体" w:hAnsi="宋体" w:eastAsia="宋体" w:cs="宋体"/>
          <w:color w:val="auto"/>
          <w:spacing w:val="-2"/>
          <w:sz w:val="24"/>
          <w:szCs w:val="24"/>
          <w:highlight w:val="none"/>
        </w:rPr>
        <w:t>专用合同条款”进行修改的内容（在“公路工程专用合同条款”中用“除项目专用合同条款另有约定外”、“项目专用合同条款可能约定的”、“项目专用合同条款约定的其</w:t>
      </w:r>
      <w:r>
        <w:rPr>
          <w:rFonts w:ascii="宋体" w:hAnsi="宋体" w:eastAsia="宋体" w:cs="宋体"/>
          <w:color w:val="auto"/>
          <w:spacing w:val="-5"/>
          <w:sz w:val="24"/>
          <w:szCs w:val="24"/>
          <w:highlight w:val="none"/>
        </w:rPr>
        <w:t>他情形”等多种文字形式表达</w:t>
      </w:r>
      <w:r>
        <w:rPr>
          <w:rFonts w:ascii="宋体" w:hAnsi="宋体" w:eastAsia="宋体" w:cs="宋体"/>
          <w:color w:val="auto"/>
          <w:spacing w:val="1"/>
          <w:sz w:val="24"/>
          <w:szCs w:val="24"/>
          <w:highlight w:val="none"/>
        </w:rPr>
        <w:t>）；</w:t>
      </w:r>
    </w:p>
    <w:p w14:paraId="13CD89B1">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(3)其他需要补充、细化的内容。</w:t>
      </w:r>
    </w:p>
    <w:p w14:paraId="579C09BE">
      <w:pPr>
        <w:pStyle w:val="3"/>
        <w:spacing w:line="250" w:lineRule="auto"/>
        <w:rPr>
          <w:color w:val="auto"/>
          <w:highlight w:val="none"/>
        </w:rPr>
      </w:pPr>
    </w:p>
    <w:p w14:paraId="0C44C801">
      <w:pPr>
        <w:pStyle w:val="3"/>
        <w:spacing w:line="250" w:lineRule="auto"/>
        <w:rPr>
          <w:color w:val="auto"/>
          <w:highlight w:val="none"/>
        </w:rPr>
      </w:pPr>
    </w:p>
    <w:p w14:paraId="5ACADF4E">
      <w:pPr>
        <w:pStyle w:val="3"/>
        <w:spacing w:line="250" w:lineRule="auto"/>
        <w:rPr>
          <w:color w:val="auto"/>
          <w:highlight w:val="none"/>
        </w:rPr>
      </w:pPr>
    </w:p>
    <w:p w14:paraId="5A1EE521">
      <w:pPr>
        <w:pStyle w:val="3"/>
        <w:spacing w:line="250" w:lineRule="auto"/>
        <w:rPr>
          <w:color w:val="auto"/>
          <w:highlight w:val="none"/>
        </w:rPr>
      </w:pPr>
    </w:p>
    <w:p w14:paraId="5ECB8E04">
      <w:pPr>
        <w:pStyle w:val="3"/>
        <w:spacing w:line="250" w:lineRule="auto"/>
        <w:rPr>
          <w:color w:val="auto"/>
          <w:highlight w:val="none"/>
        </w:rPr>
      </w:pPr>
    </w:p>
    <w:p w14:paraId="5E2F36E5">
      <w:pPr>
        <w:pStyle w:val="3"/>
        <w:spacing w:line="250" w:lineRule="auto"/>
        <w:rPr>
          <w:color w:val="auto"/>
          <w:highlight w:val="none"/>
        </w:rPr>
      </w:pPr>
    </w:p>
    <w:p w14:paraId="6CD59D3D">
      <w:pPr>
        <w:pStyle w:val="3"/>
        <w:spacing w:line="250" w:lineRule="auto"/>
        <w:rPr>
          <w:color w:val="auto"/>
          <w:highlight w:val="none"/>
        </w:rPr>
      </w:pPr>
    </w:p>
    <w:p w14:paraId="40D0A2AE">
      <w:pPr>
        <w:pStyle w:val="3"/>
        <w:spacing w:line="251" w:lineRule="auto"/>
        <w:rPr>
          <w:color w:val="auto"/>
          <w:highlight w:val="none"/>
        </w:rPr>
      </w:pPr>
    </w:p>
    <w:p w14:paraId="7D4D3E1D">
      <w:pPr>
        <w:pStyle w:val="3"/>
        <w:spacing w:line="251" w:lineRule="auto"/>
        <w:rPr>
          <w:color w:val="auto"/>
          <w:highlight w:val="none"/>
        </w:rPr>
      </w:pPr>
    </w:p>
    <w:p w14:paraId="2F5237ED">
      <w:pPr>
        <w:pStyle w:val="3"/>
        <w:spacing w:line="251" w:lineRule="auto"/>
        <w:rPr>
          <w:color w:val="auto"/>
          <w:highlight w:val="none"/>
        </w:rPr>
      </w:pPr>
    </w:p>
    <w:p w14:paraId="6D8ABB85">
      <w:pPr>
        <w:pStyle w:val="3"/>
        <w:spacing w:line="251" w:lineRule="auto"/>
        <w:rPr>
          <w:color w:val="auto"/>
          <w:highlight w:val="none"/>
        </w:rPr>
      </w:pPr>
    </w:p>
    <w:p w14:paraId="33D48563">
      <w:pPr>
        <w:pStyle w:val="3"/>
        <w:spacing w:line="251" w:lineRule="auto"/>
        <w:rPr>
          <w:color w:val="auto"/>
          <w:highlight w:val="none"/>
        </w:rPr>
      </w:pPr>
    </w:p>
    <w:p w14:paraId="14B40BFF">
      <w:pPr>
        <w:rPr>
          <w:rFonts w:ascii="宋体" w:hAnsi="宋体" w:eastAsia="宋体" w:cs="宋体"/>
          <w:color w:val="auto"/>
          <w:sz w:val="18"/>
          <w:szCs w:val="18"/>
          <w:highlight w:val="none"/>
        </w:rPr>
        <w:sectPr>
          <w:headerReference r:id="rId50" w:type="default"/>
          <w:footerReference r:id="rId51" w:type="default"/>
          <w:pgSz w:w="11905" w:h="16840"/>
          <w:pgMar w:top="1182" w:right="0" w:bottom="1171" w:left="0" w:header="849" w:footer="937" w:gutter="0"/>
          <w:pgNumType w:fmt="decimal"/>
          <w:cols w:space="720" w:num="1"/>
        </w:sectPr>
      </w:pPr>
    </w:p>
    <w:p w14:paraId="1E6E7710">
      <w:pPr>
        <w:pStyle w:val="3"/>
        <w:spacing w:line="285" w:lineRule="auto"/>
        <w:rPr>
          <w:color w:val="auto"/>
          <w:highlight w:val="none"/>
        </w:rPr>
      </w:pPr>
    </w:p>
    <w:p w14:paraId="55D67872">
      <w:pPr>
        <w:spacing w:before="101" w:line="225" w:lineRule="auto"/>
        <w:ind w:left="4203"/>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项目专用合同条款数据表</w:t>
      </w:r>
    </w:p>
    <w:p w14:paraId="45747FEA">
      <w:pPr>
        <w:pStyle w:val="3"/>
        <w:spacing w:line="306" w:lineRule="auto"/>
        <w:rPr>
          <w:color w:val="auto"/>
          <w:highlight w:val="none"/>
        </w:rPr>
      </w:pPr>
    </w:p>
    <w:p w14:paraId="372DBC77">
      <w:pPr>
        <w:spacing w:before="68" w:line="374" w:lineRule="auto"/>
        <w:ind w:left="1425" w:right="1420" w:firstLine="1"/>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说明：本数据表是项目专用合同条款中适用于本项目</w:t>
      </w:r>
      <w:r>
        <w:rPr>
          <w:rFonts w:ascii="宋体" w:hAnsi="宋体" w:eastAsia="宋体" w:cs="宋体"/>
          <w:color w:val="auto"/>
          <w:sz w:val="21"/>
          <w:szCs w:val="21"/>
          <w:highlight w:val="none"/>
        </w:rPr>
        <w:t>的信息和数据的归纳与提示，是项目专用合同</w:t>
      </w:r>
      <w:r>
        <w:rPr>
          <w:rFonts w:ascii="宋体" w:hAnsi="宋体" w:eastAsia="宋体" w:cs="宋体"/>
          <w:color w:val="auto"/>
          <w:spacing w:val="1"/>
          <w:sz w:val="21"/>
          <w:szCs w:val="21"/>
          <w:highlight w:val="none"/>
        </w:rPr>
        <w:t>条款的组成部分。第九章“投标文件格式”的投标函附录中的数</w:t>
      </w:r>
      <w:r>
        <w:rPr>
          <w:rFonts w:ascii="宋体" w:hAnsi="宋体" w:eastAsia="宋体" w:cs="宋体"/>
          <w:color w:val="auto"/>
          <w:sz w:val="21"/>
          <w:szCs w:val="21"/>
          <w:highlight w:val="none"/>
        </w:rPr>
        <w:t>据（供投标人确认）与本表所列有</w:t>
      </w:r>
      <w:r>
        <w:rPr>
          <w:rFonts w:ascii="宋体" w:hAnsi="宋体" w:eastAsia="宋体" w:cs="宋体"/>
          <w:color w:val="auto"/>
          <w:spacing w:val="-1"/>
          <w:sz w:val="21"/>
          <w:szCs w:val="21"/>
          <w:highlight w:val="none"/>
        </w:rPr>
        <w:t>重复。编写招标文件的单位应仔细校核，不使数据出现差错或不一致。</w:t>
      </w:r>
    </w:p>
    <w:tbl>
      <w:tblPr>
        <w:tblStyle w:val="16"/>
        <w:tblW w:w="9427"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349"/>
        <w:gridCol w:w="7171"/>
      </w:tblGrid>
      <w:tr w14:paraId="6321C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7" w:type="dxa"/>
            <w:vAlign w:val="top"/>
          </w:tcPr>
          <w:p w14:paraId="06ACC6F9">
            <w:pPr>
              <w:pStyle w:val="17"/>
              <w:spacing w:before="226" w:line="221" w:lineRule="auto"/>
              <w:ind w:left="248"/>
              <w:rPr>
                <w:color w:val="auto"/>
                <w:highlight w:val="none"/>
              </w:rPr>
            </w:pPr>
            <w:r>
              <w:rPr>
                <w:b/>
                <w:bCs/>
                <w:color w:val="auto"/>
                <w:spacing w:val="-4"/>
                <w:highlight w:val="none"/>
              </w:rPr>
              <w:t>序号</w:t>
            </w:r>
          </w:p>
        </w:tc>
        <w:tc>
          <w:tcPr>
            <w:tcW w:w="1349" w:type="dxa"/>
            <w:vAlign w:val="top"/>
          </w:tcPr>
          <w:p w14:paraId="687D8E6A">
            <w:pPr>
              <w:pStyle w:val="17"/>
              <w:spacing w:before="225" w:line="220" w:lineRule="auto"/>
              <w:ind w:left="365"/>
              <w:rPr>
                <w:color w:val="auto"/>
                <w:highlight w:val="none"/>
              </w:rPr>
            </w:pPr>
            <w:r>
              <w:rPr>
                <w:b/>
                <w:bCs/>
                <w:color w:val="auto"/>
                <w:spacing w:val="-6"/>
                <w:highlight w:val="none"/>
              </w:rPr>
              <w:t>条目号</w:t>
            </w:r>
          </w:p>
        </w:tc>
        <w:tc>
          <w:tcPr>
            <w:tcW w:w="7171" w:type="dxa"/>
            <w:vAlign w:val="top"/>
          </w:tcPr>
          <w:p w14:paraId="5054DECC">
            <w:pPr>
              <w:pStyle w:val="17"/>
              <w:spacing w:before="225" w:line="220" w:lineRule="auto"/>
              <w:ind w:left="3064"/>
              <w:rPr>
                <w:color w:val="auto"/>
                <w:highlight w:val="none"/>
              </w:rPr>
            </w:pPr>
            <w:r>
              <w:rPr>
                <w:b/>
                <w:bCs/>
                <w:color w:val="auto"/>
                <w:spacing w:val="-4"/>
                <w:highlight w:val="none"/>
              </w:rPr>
              <w:t>信息或数据</w:t>
            </w:r>
          </w:p>
        </w:tc>
      </w:tr>
      <w:tr w14:paraId="45673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40243902">
            <w:pPr>
              <w:spacing w:line="268" w:lineRule="auto"/>
              <w:rPr>
                <w:rFonts w:ascii="Arial"/>
                <w:color w:val="auto"/>
                <w:sz w:val="21"/>
                <w:highlight w:val="none"/>
              </w:rPr>
            </w:pPr>
          </w:p>
          <w:p w14:paraId="325AB1CD">
            <w:pPr>
              <w:pStyle w:val="17"/>
              <w:spacing w:before="68" w:line="241" w:lineRule="auto"/>
              <w:ind w:left="421"/>
              <w:rPr>
                <w:color w:val="auto"/>
                <w:highlight w:val="none"/>
              </w:rPr>
            </w:pPr>
            <w:r>
              <w:rPr>
                <w:color w:val="auto"/>
                <w:highlight w:val="none"/>
              </w:rPr>
              <w:t>1</w:t>
            </w:r>
          </w:p>
        </w:tc>
        <w:tc>
          <w:tcPr>
            <w:tcW w:w="1349" w:type="dxa"/>
            <w:vAlign w:val="top"/>
          </w:tcPr>
          <w:p w14:paraId="03D8A017">
            <w:pPr>
              <w:spacing w:line="267" w:lineRule="auto"/>
              <w:rPr>
                <w:rFonts w:ascii="Arial"/>
                <w:color w:val="auto"/>
                <w:sz w:val="21"/>
                <w:highlight w:val="none"/>
              </w:rPr>
            </w:pPr>
          </w:p>
          <w:p w14:paraId="7F511086">
            <w:pPr>
              <w:pStyle w:val="17"/>
              <w:spacing w:before="69" w:line="239" w:lineRule="auto"/>
              <w:ind w:left="324"/>
              <w:rPr>
                <w:color w:val="auto"/>
                <w:highlight w:val="none"/>
              </w:rPr>
            </w:pPr>
            <w:r>
              <w:rPr>
                <w:color w:val="auto"/>
                <w:spacing w:val="-4"/>
                <w:highlight w:val="none"/>
              </w:rPr>
              <w:t>1.1.2.2</w:t>
            </w:r>
          </w:p>
        </w:tc>
        <w:tc>
          <w:tcPr>
            <w:tcW w:w="7171" w:type="dxa"/>
            <w:vAlign w:val="top"/>
          </w:tcPr>
          <w:p w14:paraId="4BE1FCE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发 包 人：广州市增城区正果镇人民政府</w:t>
            </w:r>
          </w:p>
          <w:p w14:paraId="58E76C2C">
            <w:pPr>
              <w:pStyle w:val="17"/>
              <w:spacing w:before="148" w:line="220" w:lineRule="auto"/>
              <w:rPr>
                <w:color w:val="auto"/>
                <w:highlight w:val="none"/>
              </w:rPr>
            </w:pPr>
            <w:r>
              <w:rPr>
                <w:rFonts w:hint="eastAsia" w:ascii="宋体" w:hAnsi="宋体" w:eastAsia="宋体" w:cs="宋体"/>
                <w:color w:val="auto"/>
                <w:kern w:val="2"/>
                <w:sz w:val="21"/>
                <w:szCs w:val="21"/>
                <w:highlight w:val="none"/>
                <w:lang w:val="en-US" w:eastAsia="zh-CN" w:bidi="ar"/>
              </w:rPr>
              <w:t>地    址：广州市增城区正果镇正南街80号        邮政编码： 511300</w:t>
            </w:r>
          </w:p>
        </w:tc>
      </w:tr>
      <w:tr w14:paraId="21E7D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5B80E129">
            <w:pPr>
              <w:spacing w:line="269" w:lineRule="auto"/>
              <w:rPr>
                <w:rFonts w:ascii="Arial"/>
                <w:color w:val="auto"/>
                <w:sz w:val="21"/>
                <w:highlight w:val="none"/>
              </w:rPr>
            </w:pPr>
          </w:p>
          <w:p w14:paraId="747E1B29">
            <w:pPr>
              <w:pStyle w:val="17"/>
              <w:spacing w:before="68" w:line="241" w:lineRule="auto"/>
              <w:ind w:left="408"/>
              <w:rPr>
                <w:color w:val="auto"/>
                <w:highlight w:val="none"/>
              </w:rPr>
            </w:pPr>
            <w:r>
              <w:rPr>
                <w:color w:val="auto"/>
                <w:highlight w:val="none"/>
              </w:rPr>
              <w:t>2</w:t>
            </w:r>
          </w:p>
        </w:tc>
        <w:tc>
          <w:tcPr>
            <w:tcW w:w="1349" w:type="dxa"/>
            <w:vAlign w:val="top"/>
          </w:tcPr>
          <w:p w14:paraId="546392A6">
            <w:pPr>
              <w:spacing w:line="268" w:lineRule="auto"/>
              <w:rPr>
                <w:rFonts w:ascii="Arial"/>
                <w:color w:val="auto"/>
                <w:sz w:val="21"/>
                <w:highlight w:val="none"/>
              </w:rPr>
            </w:pPr>
          </w:p>
          <w:p w14:paraId="3F8B1A68">
            <w:pPr>
              <w:pStyle w:val="17"/>
              <w:spacing w:before="69" w:line="239" w:lineRule="auto"/>
              <w:ind w:left="324"/>
              <w:rPr>
                <w:color w:val="auto"/>
                <w:highlight w:val="none"/>
              </w:rPr>
            </w:pPr>
            <w:r>
              <w:rPr>
                <w:color w:val="auto"/>
                <w:spacing w:val="-4"/>
                <w:highlight w:val="none"/>
              </w:rPr>
              <w:t>1.1.2.6</w:t>
            </w:r>
          </w:p>
        </w:tc>
        <w:tc>
          <w:tcPr>
            <w:tcW w:w="7171" w:type="dxa"/>
            <w:vAlign w:val="top"/>
          </w:tcPr>
          <w:p w14:paraId="70969304">
            <w:pPr>
              <w:pStyle w:val="17"/>
              <w:spacing w:before="140" w:line="222" w:lineRule="auto"/>
              <w:ind w:left="113"/>
              <w:rPr>
                <w:color w:val="auto"/>
                <w:highlight w:val="none"/>
              </w:rPr>
            </w:pPr>
            <w:r>
              <w:rPr>
                <w:color w:val="auto"/>
                <w:spacing w:val="-11"/>
                <w:highlight w:val="none"/>
              </w:rPr>
              <w:t>监理人：</w:t>
            </w:r>
            <w:r>
              <w:rPr>
                <w:rFonts w:hint="eastAsia" w:ascii="宋体" w:hAnsi="宋体" w:eastAsia="宋体" w:cs="宋体"/>
                <w:color w:val="auto"/>
                <w:kern w:val="2"/>
                <w:sz w:val="21"/>
                <w:szCs w:val="21"/>
                <w:highlight w:val="none"/>
                <w:lang w:val="en-US" w:eastAsia="zh-CN" w:bidi="ar"/>
              </w:rPr>
              <w:t>待定</w:t>
            </w:r>
          </w:p>
          <w:p w14:paraId="39C843ED">
            <w:pPr>
              <w:pStyle w:val="17"/>
              <w:spacing w:before="146" w:line="220" w:lineRule="auto"/>
              <w:ind w:left="112"/>
              <w:rPr>
                <w:color w:val="auto"/>
                <w:highlight w:val="none"/>
              </w:rPr>
            </w:pPr>
            <w:r>
              <w:rPr>
                <w:color w:val="auto"/>
                <w:spacing w:val="-9"/>
                <w:highlight w:val="none"/>
              </w:rPr>
              <w:t>地址：</w:t>
            </w:r>
            <w:r>
              <w:rPr>
                <w:color w:val="auto"/>
                <w:spacing w:val="1"/>
                <w:highlight w:val="none"/>
              </w:rPr>
              <w:t xml:space="preserve">  </w:t>
            </w:r>
            <w:r>
              <w:rPr>
                <w:rFonts w:hint="eastAsia" w:ascii="宋体" w:hAnsi="宋体" w:eastAsia="宋体" w:cs="宋体"/>
                <w:color w:val="auto"/>
                <w:kern w:val="2"/>
                <w:sz w:val="21"/>
                <w:szCs w:val="21"/>
                <w:highlight w:val="none"/>
                <w:lang w:val="en-US" w:eastAsia="zh-CN" w:bidi="ar"/>
              </w:rPr>
              <w:t>待定</w:t>
            </w:r>
            <w:r>
              <w:rPr>
                <w:color w:val="auto"/>
                <w:spacing w:val="1"/>
                <w:highlight w:val="none"/>
              </w:rPr>
              <w:t xml:space="preserve">              </w:t>
            </w:r>
            <w:r>
              <w:rPr>
                <w:color w:val="auto"/>
                <w:spacing w:val="-9"/>
                <w:highlight w:val="none"/>
              </w:rPr>
              <w:t>邮政编码：</w:t>
            </w:r>
            <w:r>
              <w:rPr>
                <w:rFonts w:hint="eastAsia" w:ascii="宋体" w:hAnsi="宋体" w:eastAsia="宋体" w:cs="宋体"/>
                <w:color w:val="auto"/>
                <w:kern w:val="2"/>
                <w:sz w:val="21"/>
                <w:szCs w:val="21"/>
                <w:highlight w:val="none"/>
                <w:lang w:val="en-US" w:eastAsia="zh-CN" w:bidi="ar"/>
              </w:rPr>
              <w:t>待定</w:t>
            </w:r>
          </w:p>
        </w:tc>
      </w:tr>
      <w:tr w14:paraId="5963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193A672B">
            <w:pPr>
              <w:spacing w:line="269" w:lineRule="auto"/>
              <w:rPr>
                <w:rFonts w:ascii="Arial"/>
                <w:color w:val="auto"/>
                <w:sz w:val="21"/>
                <w:highlight w:val="none"/>
              </w:rPr>
            </w:pPr>
          </w:p>
          <w:p w14:paraId="558BAD96">
            <w:pPr>
              <w:pStyle w:val="17"/>
              <w:spacing w:before="68"/>
              <w:ind w:left="410"/>
              <w:rPr>
                <w:color w:val="auto"/>
                <w:highlight w:val="none"/>
              </w:rPr>
            </w:pPr>
            <w:r>
              <w:rPr>
                <w:color w:val="auto"/>
                <w:highlight w:val="none"/>
              </w:rPr>
              <w:t>3</w:t>
            </w:r>
          </w:p>
        </w:tc>
        <w:tc>
          <w:tcPr>
            <w:tcW w:w="1349" w:type="dxa"/>
            <w:vAlign w:val="top"/>
          </w:tcPr>
          <w:p w14:paraId="4936C899">
            <w:pPr>
              <w:spacing w:line="269" w:lineRule="auto"/>
              <w:rPr>
                <w:rFonts w:ascii="Arial"/>
                <w:color w:val="auto"/>
                <w:sz w:val="21"/>
                <w:highlight w:val="none"/>
              </w:rPr>
            </w:pPr>
          </w:p>
          <w:p w14:paraId="4BE735D2">
            <w:pPr>
              <w:pStyle w:val="17"/>
              <w:spacing w:before="69" w:line="239" w:lineRule="auto"/>
              <w:ind w:left="273"/>
              <w:rPr>
                <w:color w:val="auto"/>
                <w:highlight w:val="none"/>
              </w:rPr>
            </w:pPr>
            <w:r>
              <w:rPr>
                <w:color w:val="auto"/>
                <w:highlight w:val="none"/>
              </w:rPr>
              <w:fldChar w:fldCharType="begin"/>
            </w:r>
            <w:r>
              <w:rPr>
                <w:color w:val="auto"/>
                <w:highlight w:val="none"/>
              </w:rPr>
              <w:instrText xml:space="preserve"> HYPERLINK "1.1.2.10" </w:instrText>
            </w:r>
            <w:r>
              <w:rPr>
                <w:color w:val="auto"/>
                <w:highlight w:val="none"/>
              </w:rPr>
              <w:fldChar w:fldCharType="separate"/>
            </w:r>
            <w:r>
              <w:rPr>
                <w:color w:val="auto"/>
                <w:spacing w:val="-3"/>
                <w:highlight w:val="none"/>
              </w:rPr>
              <w:t>1.1.2.10</w:t>
            </w:r>
            <w:r>
              <w:rPr>
                <w:color w:val="auto"/>
                <w:spacing w:val="-3"/>
                <w:highlight w:val="none"/>
              </w:rPr>
              <w:fldChar w:fldCharType="end"/>
            </w:r>
          </w:p>
        </w:tc>
        <w:tc>
          <w:tcPr>
            <w:tcW w:w="7171" w:type="dxa"/>
            <w:vAlign w:val="top"/>
          </w:tcPr>
          <w:p w14:paraId="251C4AB3">
            <w:pPr>
              <w:pStyle w:val="17"/>
              <w:spacing w:before="140" w:line="221" w:lineRule="auto"/>
              <w:ind w:left="112"/>
              <w:rPr>
                <w:color w:val="auto"/>
                <w:highlight w:val="none"/>
              </w:rPr>
            </w:pPr>
            <w:r>
              <w:rPr>
                <w:color w:val="auto"/>
                <w:spacing w:val="-11"/>
                <w:highlight w:val="none"/>
              </w:rPr>
              <w:t>试验人：</w:t>
            </w:r>
            <w:r>
              <w:rPr>
                <w:rFonts w:hint="eastAsia" w:ascii="宋体" w:hAnsi="宋体" w:eastAsia="宋体" w:cs="宋体"/>
                <w:color w:val="auto"/>
                <w:kern w:val="2"/>
                <w:sz w:val="21"/>
                <w:szCs w:val="21"/>
                <w:highlight w:val="none"/>
                <w:lang w:val="en-US" w:eastAsia="zh-CN" w:bidi="ar"/>
              </w:rPr>
              <w:t>待定</w:t>
            </w:r>
          </w:p>
          <w:p w14:paraId="349FC2A0">
            <w:pPr>
              <w:pStyle w:val="17"/>
              <w:spacing w:before="147" w:line="220" w:lineRule="auto"/>
              <w:ind w:left="112"/>
              <w:rPr>
                <w:color w:val="auto"/>
                <w:highlight w:val="none"/>
              </w:rPr>
            </w:pPr>
            <w:r>
              <w:rPr>
                <w:color w:val="auto"/>
                <w:spacing w:val="-9"/>
                <w:highlight w:val="none"/>
              </w:rPr>
              <w:t>地址：</w:t>
            </w:r>
            <w:r>
              <w:rPr>
                <w:rFonts w:hint="eastAsia" w:ascii="宋体" w:hAnsi="宋体" w:eastAsia="宋体" w:cs="宋体"/>
                <w:color w:val="auto"/>
                <w:kern w:val="2"/>
                <w:sz w:val="21"/>
                <w:szCs w:val="21"/>
                <w:highlight w:val="none"/>
                <w:lang w:val="en-US" w:eastAsia="zh-CN" w:bidi="ar"/>
              </w:rPr>
              <w:t>待定</w:t>
            </w:r>
            <w:r>
              <w:rPr>
                <w:color w:val="auto"/>
                <w:spacing w:val="1"/>
                <w:highlight w:val="none"/>
              </w:rPr>
              <w:t xml:space="preserve">                </w:t>
            </w:r>
            <w:r>
              <w:rPr>
                <w:color w:val="auto"/>
                <w:spacing w:val="-9"/>
                <w:highlight w:val="none"/>
              </w:rPr>
              <w:t>邮政编码：</w:t>
            </w:r>
            <w:r>
              <w:rPr>
                <w:rFonts w:hint="eastAsia" w:ascii="宋体" w:hAnsi="宋体" w:eastAsia="宋体" w:cs="宋体"/>
                <w:color w:val="auto"/>
                <w:kern w:val="2"/>
                <w:sz w:val="21"/>
                <w:szCs w:val="21"/>
                <w:highlight w:val="none"/>
                <w:lang w:val="en-US" w:eastAsia="zh-CN" w:bidi="ar"/>
              </w:rPr>
              <w:t>待定</w:t>
            </w:r>
          </w:p>
        </w:tc>
      </w:tr>
      <w:tr w14:paraId="5940B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907" w:type="dxa"/>
            <w:vAlign w:val="top"/>
          </w:tcPr>
          <w:p w14:paraId="33D46D16">
            <w:pPr>
              <w:spacing w:line="371" w:lineRule="auto"/>
              <w:rPr>
                <w:rFonts w:ascii="Arial"/>
                <w:color w:val="auto"/>
                <w:sz w:val="21"/>
                <w:highlight w:val="none"/>
              </w:rPr>
            </w:pPr>
          </w:p>
          <w:p w14:paraId="2E2C634F">
            <w:pPr>
              <w:pStyle w:val="17"/>
              <w:spacing w:before="68" w:line="241" w:lineRule="auto"/>
              <w:ind w:left="405"/>
              <w:rPr>
                <w:color w:val="auto"/>
                <w:highlight w:val="none"/>
              </w:rPr>
            </w:pPr>
            <w:r>
              <w:rPr>
                <w:color w:val="auto"/>
                <w:highlight w:val="none"/>
              </w:rPr>
              <w:t>4</w:t>
            </w:r>
          </w:p>
        </w:tc>
        <w:tc>
          <w:tcPr>
            <w:tcW w:w="1349" w:type="dxa"/>
            <w:vAlign w:val="top"/>
          </w:tcPr>
          <w:p w14:paraId="462CE450">
            <w:pPr>
              <w:spacing w:line="371" w:lineRule="auto"/>
              <w:rPr>
                <w:rFonts w:ascii="Arial"/>
                <w:color w:val="auto"/>
                <w:sz w:val="21"/>
                <w:highlight w:val="none"/>
              </w:rPr>
            </w:pPr>
          </w:p>
          <w:p w14:paraId="5EF3207D">
            <w:pPr>
              <w:pStyle w:val="17"/>
              <w:spacing w:before="68" w:line="239" w:lineRule="auto"/>
              <w:ind w:left="324"/>
              <w:rPr>
                <w:color w:val="auto"/>
                <w:highlight w:val="none"/>
              </w:rPr>
            </w:pPr>
            <w:r>
              <w:rPr>
                <w:color w:val="auto"/>
                <w:spacing w:val="-4"/>
                <w:highlight w:val="none"/>
              </w:rPr>
              <w:t>1.1.4.5</w:t>
            </w:r>
          </w:p>
        </w:tc>
        <w:tc>
          <w:tcPr>
            <w:tcW w:w="7171" w:type="dxa"/>
            <w:vAlign w:val="top"/>
          </w:tcPr>
          <w:p w14:paraId="15E7670D">
            <w:pPr>
              <w:pStyle w:val="17"/>
              <w:spacing w:before="226" w:line="338" w:lineRule="auto"/>
              <w:ind w:left="117" w:right="107" w:hanging="5"/>
              <w:rPr>
                <w:color w:val="auto"/>
                <w:highlight w:val="none"/>
              </w:rPr>
            </w:pPr>
            <w:r>
              <w:rPr>
                <w:color w:val="auto"/>
                <w:spacing w:val="-3"/>
                <w:highlight w:val="none"/>
              </w:rPr>
              <w:t>缺陷责任期：自实际交工日期起计算</w:t>
            </w:r>
            <w:r>
              <w:rPr>
                <w:color w:val="auto"/>
                <w:spacing w:val="-3"/>
                <w:highlight w:val="none"/>
                <w:u w:val="single" w:color="auto"/>
              </w:rPr>
              <w:t xml:space="preserve"> </w:t>
            </w:r>
            <w:r>
              <w:rPr>
                <w:rFonts w:hint="eastAsia" w:ascii="宋体" w:hAnsi="宋体" w:eastAsia="宋体" w:cs="宋体"/>
                <w:color w:val="auto"/>
                <w:kern w:val="2"/>
                <w:sz w:val="21"/>
                <w:szCs w:val="21"/>
                <w:highlight w:val="none"/>
                <w:u w:val="single"/>
                <w:lang w:val="en-US" w:eastAsia="zh-CN" w:bidi="ar"/>
              </w:rPr>
              <w:t>2</w:t>
            </w:r>
            <w:r>
              <w:rPr>
                <w:color w:val="auto"/>
                <w:spacing w:val="-3"/>
                <w:highlight w:val="none"/>
                <w:u w:val="single" w:color="auto"/>
              </w:rPr>
              <w:t xml:space="preserve">  </w:t>
            </w:r>
            <w:r>
              <w:rPr>
                <w:color w:val="auto"/>
                <w:spacing w:val="-96"/>
                <w:highlight w:val="none"/>
              </w:rPr>
              <w:t xml:space="preserve"> </w:t>
            </w:r>
            <w:r>
              <w:rPr>
                <w:color w:val="auto"/>
                <w:spacing w:val="-3"/>
                <w:highlight w:val="none"/>
              </w:rPr>
              <w:t>年</w:t>
            </w:r>
            <w:r>
              <w:rPr>
                <w:color w:val="auto"/>
                <w:spacing w:val="-23"/>
                <w:position w:val="10"/>
                <w:sz w:val="10"/>
                <w:szCs w:val="10"/>
                <w:highlight w:val="none"/>
              </w:rPr>
              <w:t xml:space="preserve"> </w:t>
            </w:r>
            <w:r>
              <w:rPr>
                <w:color w:val="auto"/>
                <w:spacing w:val="-3"/>
                <w:highlight w:val="none"/>
              </w:rPr>
              <w:t xml:space="preserve">, </w:t>
            </w:r>
            <w:r>
              <w:rPr>
                <w:color w:val="auto"/>
                <w:spacing w:val="-3"/>
                <w:highlight w:val="none"/>
                <w:u w:val="single" w:color="auto"/>
              </w:rPr>
              <w:t>其中</w:t>
            </w:r>
            <w:r>
              <w:rPr>
                <w:color w:val="auto"/>
                <w:spacing w:val="-4"/>
                <w:highlight w:val="none"/>
                <w:u w:val="single" w:color="auto"/>
              </w:rPr>
              <w:t>绿化工程的施工养护期自</w:t>
            </w:r>
            <w:r>
              <w:rPr>
                <w:color w:val="auto"/>
                <w:spacing w:val="-1"/>
                <w:highlight w:val="none"/>
                <w:u w:val="single" w:color="auto"/>
              </w:rPr>
              <w:t>实际交工日期起计算</w:t>
            </w:r>
            <w:r>
              <w:rPr>
                <w:rFonts w:hint="eastAsia"/>
                <w:color w:val="auto"/>
                <w:spacing w:val="-1"/>
                <w:highlight w:val="none"/>
                <w:u w:val="single" w:color="auto"/>
                <w:lang w:val="en-US" w:eastAsia="zh-CN"/>
              </w:rPr>
              <w:t>12</w:t>
            </w:r>
            <w:r>
              <w:rPr>
                <w:color w:val="auto"/>
                <w:spacing w:val="-1"/>
                <w:highlight w:val="none"/>
                <w:u w:val="single" w:color="auto"/>
              </w:rPr>
              <w:t>个月。</w:t>
            </w:r>
          </w:p>
        </w:tc>
      </w:tr>
      <w:tr w14:paraId="30D0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907" w:type="dxa"/>
            <w:vAlign w:val="top"/>
          </w:tcPr>
          <w:p w14:paraId="1F7CF1FE">
            <w:pPr>
              <w:spacing w:line="377" w:lineRule="auto"/>
              <w:rPr>
                <w:rFonts w:ascii="Arial"/>
                <w:color w:val="auto"/>
                <w:sz w:val="21"/>
                <w:highlight w:val="none"/>
              </w:rPr>
            </w:pPr>
          </w:p>
          <w:p w14:paraId="356FB7B4">
            <w:pPr>
              <w:pStyle w:val="17"/>
              <w:spacing w:before="68"/>
              <w:ind w:left="410"/>
              <w:rPr>
                <w:color w:val="auto"/>
                <w:highlight w:val="none"/>
              </w:rPr>
            </w:pPr>
            <w:r>
              <w:rPr>
                <w:color w:val="auto"/>
                <w:highlight w:val="none"/>
              </w:rPr>
              <w:t>5</w:t>
            </w:r>
          </w:p>
        </w:tc>
        <w:tc>
          <w:tcPr>
            <w:tcW w:w="1349" w:type="dxa"/>
            <w:vAlign w:val="top"/>
          </w:tcPr>
          <w:p w14:paraId="1856AC69">
            <w:pPr>
              <w:spacing w:line="377" w:lineRule="auto"/>
              <w:rPr>
                <w:rFonts w:ascii="Arial"/>
                <w:color w:val="auto"/>
                <w:sz w:val="21"/>
                <w:highlight w:val="none"/>
              </w:rPr>
            </w:pPr>
          </w:p>
          <w:p w14:paraId="651A0AED">
            <w:pPr>
              <w:pStyle w:val="17"/>
              <w:spacing w:before="68" w:line="239" w:lineRule="auto"/>
              <w:ind w:left="430"/>
              <w:rPr>
                <w:color w:val="auto"/>
                <w:highlight w:val="none"/>
              </w:rPr>
            </w:pPr>
            <w:r>
              <w:rPr>
                <w:color w:val="auto"/>
                <w:spacing w:val="-5"/>
                <w:highlight w:val="none"/>
              </w:rPr>
              <w:t>1.6.3</w:t>
            </w:r>
          </w:p>
        </w:tc>
        <w:tc>
          <w:tcPr>
            <w:tcW w:w="7171" w:type="dxa"/>
            <w:vAlign w:val="top"/>
          </w:tcPr>
          <w:p w14:paraId="35AB0CCE">
            <w:pPr>
              <w:pStyle w:val="17"/>
              <w:spacing w:before="249" w:line="334" w:lineRule="auto"/>
              <w:ind w:left="112" w:right="112" w:firstLine="20"/>
              <w:rPr>
                <w:color w:val="auto"/>
                <w:highlight w:val="none"/>
              </w:rPr>
            </w:pPr>
            <w:r>
              <w:rPr>
                <w:color w:val="auto"/>
                <w:highlight w:val="none"/>
              </w:rPr>
              <w:t>图纸需要修改和补充的，应由监理人取得发包人同</w:t>
            </w:r>
            <w:r>
              <w:rPr>
                <w:color w:val="auto"/>
                <w:spacing w:val="-1"/>
                <w:highlight w:val="none"/>
              </w:rPr>
              <w:t>意后，在该工程或工程相</w:t>
            </w:r>
            <w:r>
              <w:rPr>
                <w:color w:val="auto"/>
                <w:spacing w:val="-2"/>
                <w:highlight w:val="none"/>
              </w:rPr>
              <w:t>应部位施工前</w:t>
            </w:r>
            <w:r>
              <w:rPr>
                <w:color w:val="auto"/>
                <w:spacing w:val="-2"/>
                <w:highlight w:val="none"/>
                <w:u w:val="single" w:color="auto"/>
              </w:rPr>
              <w:t xml:space="preserve"> </w:t>
            </w:r>
            <w:r>
              <w:rPr>
                <w:rFonts w:hint="eastAsia"/>
                <w:color w:val="auto"/>
                <w:spacing w:val="-2"/>
                <w:highlight w:val="none"/>
                <w:u w:val="single" w:color="auto"/>
                <w:lang w:val="en-US" w:eastAsia="zh-CN"/>
              </w:rPr>
              <w:t>3</w:t>
            </w:r>
            <w:r>
              <w:rPr>
                <w:color w:val="auto"/>
                <w:spacing w:val="-2"/>
                <w:highlight w:val="none"/>
                <w:u w:val="single" w:color="auto"/>
              </w:rPr>
              <w:t xml:space="preserve"> </w:t>
            </w:r>
            <w:r>
              <w:rPr>
                <w:color w:val="auto"/>
                <w:spacing w:val="-93"/>
                <w:highlight w:val="none"/>
              </w:rPr>
              <w:t xml:space="preserve"> </w:t>
            </w:r>
            <w:r>
              <w:rPr>
                <w:color w:val="auto"/>
                <w:spacing w:val="-2"/>
                <w:highlight w:val="none"/>
              </w:rPr>
              <w:t>天签发图纸修改图给承</w:t>
            </w:r>
            <w:r>
              <w:rPr>
                <w:color w:val="auto"/>
                <w:spacing w:val="-3"/>
                <w:highlight w:val="none"/>
              </w:rPr>
              <w:t>包人。</w:t>
            </w:r>
          </w:p>
        </w:tc>
      </w:tr>
      <w:tr w14:paraId="7F866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138A4032">
            <w:pPr>
              <w:spacing w:line="271" w:lineRule="auto"/>
              <w:rPr>
                <w:rFonts w:ascii="Arial"/>
                <w:color w:val="auto"/>
                <w:sz w:val="21"/>
                <w:highlight w:val="none"/>
              </w:rPr>
            </w:pPr>
          </w:p>
          <w:p w14:paraId="0368F640">
            <w:pPr>
              <w:pStyle w:val="17"/>
              <w:spacing w:before="68"/>
              <w:ind w:left="408"/>
              <w:rPr>
                <w:color w:val="auto"/>
                <w:highlight w:val="none"/>
              </w:rPr>
            </w:pPr>
            <w:r>
              <w:rPr>
                <w:color w:val="auto"/>
                <w:highlight w:val="none"/>
              </w:rPr>
              <w:t>6</w:t>
            </w:r>
          </w:p>
        </w:tc>
        <w:tc>
          <w:tcPr>
            <w:tcW w:w="1349" w:type="dxa"/>
            <w:vAlign w:val="top"/>
          </w:tcPr>
          <w:p w14:paraId="44DC2BCC">
            <w:pPr>
              <w:spacing w:line="272" w:lineRule="auto"/>
              <w:rPr>
                <w:rFonts w:ascii="Arial"/>
                <w:color w:val="auto"/>
                <w:sz w:val="21"/>
                <w:highlight w:val="none"/>
              </w:rPr>
            </w:pPr>
          </w:p>
          <w:p w14:paraId="6E95AAB3">
            <w:pPr>
              <w:pStyle w:val="17"/>
              <w:spacing w:before="68" w:line="239" w:lineRule="auto"/>
              <w:ind w:left="419"/>
              <w:rPr>
                <w:color w:val="auto"/>
                <w:highlight w:val="none"/>
              </w:rPr>
            </w:pPr>
            <w:r>
              <w:rPr>
                <w:color w:val="auto"/>
                <w:spacing w:val="-3"/>
                <w:highlight w:val="none"/>
              </w:rPr>
              <w:t>3.1.1</w:t>
            </w:r>
          </w:p>
        </w:tc>
        <w:tc>
          <w:tcPr>
            <w:tcW w:w="7171" w:type="dxa"/>
            <w:vAlign w:val="top"/>
          </w:tcPr>
          <w:p w14:paraId="7B05CB0E">
            <w:pPr>
              <w:pStyle w:val="17"/>
              <w:spacing w:before="142" w:line="220" w:lineRule="auto"/>
              <w:ind w:left="113"/>
              <w:rPr>
                <w:color w:val="auto"/>
                <w:highlight w:val="none"/>
              </w:rPr>
            </w:pPr>
            <w:r>
              <w:rPr>
                <w:color w:val="auto"/>
                <w:spacing w:val="-3"/>
                <w:highlight w:val="none"/>
              </w:rPr>
              <w:t>监理人在行使下列权力前需要经发包人事先批准：</w:t>
            </w:r>
          </w:p>
          <w:p w14:paraId="3C1A9A93">
            <w:pPr>
              <w:pStyle w:val="17"/>
              <w:spacing w:before="149" w:line="220" w:lineRule="auto"/>
              <w:ind w:left="149"/>
              <w:rPr>
                <w:color w:val="auto"/>
                <w:highlight w:val="none"/>
              </w:rPr>
            </w:pPr>
            <w:r>
              <w:rPr>
                <w:color w:val="auto"/>
                <w:spacing w:val="-2"/>
                <w:highlight w:val="none"/>
              </w:rPr>
              <w:t>(6)根据第 15.3 款发出的变更指示，均需要</w:t>
            </w:r>
            <w:r>
              <w:rPr>
                <w:color w:val="auto"/>
                <w:spacing w:val="-3"/>
                <w:highlight w:val="none"/>
              </w:rPr>
              <w:t>经发包人事先批准。</w:t>
            </w:r>
          </w:p>
        </w:tc>
      </w:tr>
      <w:tr w14:paraId="0A77B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5901DFC4">
            <w:pPr>
              <w:spacing w:line="272" w:lineRule="auto"/>
              <w:rPr>
                <w:rFonts w:ascii="Arial"/>
                <w:color w:val="auto"/>
                <w:sz w:val="21"/>
                <w:highlight w:val="none"/>
              </w:rPr>
            </w:pPr>
          </w:p>
          <w:p w14:paraId="531909C0">
            <w:pPr>
              <w:pStyle w:val="17"/>
              <w:spacing w:before="69"/>
              <w:ind w:left="411"/>
              <w:rPr>
                <w:color w:val="auto"/>
                <w:highlight w:val="none"/>
              </w:rPr>
            </w:pPr>
            <w:r>
              <w:rPr>
                <w:color w:val="auto"/>
                <w:highlight w:val="none"/>
              </w:rPr>
              <w:t>7</w:t>
            </w:r>
          </w:p>
        </w:tc>
        <w:tc>
          <w:tcPr>
            <w:tcW w:w="1349" w:type="dxa"/>
            <w:vAlign w:val="top"/>
          </w:tcPr>
          <w:p w14:paraId="2D6C97F4">
            <w:pPr>
              <w:spacing w:line="273" w:lineRule="auto"/>
              <w:rPr>
                <w:rFonts w:ascii="Arial"/>
                <w:color w:val="auto"/>
                <w:sz w:val="21"/>
                <w:highlight w:val="none"/>
              </w:rPr>
            </w:pPr>
          </w:p>
          <w:p w14:paraId="762FCE03">
            <w:pPr>
              <w:pStyle w:val="17"/>
              <w:spacing w:before="68" w:line="239" w:lineRule="auto"/>
              <w:ind w:left="419"/>
              <w:rPr>
                <w:color w:val="auto"/>
                <w:highlight w:val="none"/>
              </w:rPr>
            </w:pPr>
            <w:r>
              <w:rPr>
                <w:color w:val="auto"/>
                <w:spacing w:val="-3"/>
                <w:highlight w:val="none"/>
              </w:rPr>
              <w:t>5.2.1</w:t>
            </w:r>
          </w:p>
        </w:tc>
        <w:tc>
          <w:tcPr>
            <w:tcW w:w="7171" w:type="dxa"/>
            <w:vAlign w:val="center"/>
          </w:tcPr>
          <w:p w14:paraId="4B71626F">
            <w:pPr>
              <w:pStyle w:val="17"/>
              <w:spacing w:before="150" w:line="219" w:lineRule="auto"/>
              <w:ind w:left="115"/>
              <w:jc w:val="both"/>
              <w:rPr>
                <w:color w:val="auto"/>
                <w:highlight w:val="none"/>
              </w:rPr>
            </w:pPr>
            <w:r>
              <w:rPr>
                <w:color w:val="auto"/>
                <w:spacing w:val="-1"/>
                <w:highlight w:val="none"/>
              </w:rPr>
              <w:t>发包人是否提供材料或工程设备：</w:t>
            </w:r>
            <w:r>
              <w:rPr>
                <w:color w:val="auto"/>
                <w:spacing w:val="-1"/>
                <w:highlight w:val="none"/>
                <w:u w:val="single" w:color="auto"/>
              </w:rPr>
              <w:t xml:space="preserve"> 否</w:t>
            </w:r>
            <w:r>
              <w:rPr>
                <w:color w:val="auto"/>
                <w:spacing w:val="2"/>
                <w:highlight w:val="none"/>
                <w:u w:val="single" w:color="auto"/>
              </w:rPr>
              <w:t xml:space="preserve"> </w:t>
            </w:r>
          </w:p>
        </w:tc>
      </w:tr>
      <w:tr w14:paraId="5843A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53D71275">
            <w:pPr>
              <w:spacing w:line="272" w:lineRule="auto"/>
              <w:rPr>
                <w:rFonts w:ascii="Arial"/>
                <w:color w:val="auto"/>
                <w:sz w:val="21"/>
                <w:highlight w:val="none"/>
              </w:rPr>
            </w:pPr>
          </w:p>
          <w:p w14:paraId="76707F13">
            <w:pPr>
              <w:pStyle w:val="17"/>
              <w:spacing w:before="68"/>
              <w:ind w:left="407"/>
              <w:rPr>
                <w:color w:val="auto"/>
                <w:highlight w:val="none"/>
              </w:rPr>
            </w:pPr>
            <w:r>
              <w:rPr>
                <w:color w:val="auto"/>
                <w:highlight w:val="none"/>
              </w:rPr>
              <w:t>8</w:t>
            </w:r>
          </w:p>
        </w:tc>
        <w:tc>
          <w:tcPr>
            <w:tcW w:w="1349" w:type="dxa"/>
            <w:vAlign w:val="top"/>
          </w:tcPr>
          <w:p w14:paraId="397F8DD5">
            <w:pPr>
              <w:spacing w:line="273" w:lineRule="auto"/>
              <w:rPr>
                <w:rFonts w:ascii="Arial"/>
                <w:color w:val="auto"/>
                <w:sz w:val="21"/>
                <w:highlight w:val="none"/>
              </w:rPr>
            </w:pPr>
          </w:p>
          <w:p w14:paraId="15C5903B">
            <w:pPr>
              <w:pStyle w:val="17"/>
              <w:spacing w:before="68" w:line="239" w:lineRule="auto"/>
              <w:ind w:left="521"/>
              <w:rPr>
                <w:color w:val="auto"/>
                <w:highlight w:val="none"/>
              </w:rPr>
            </w:pPr>
            <w:r>
              <w:rPr>
                <w:color w:val="auto"/>
                <w:spacing w:val="-4"/>
                <w:highlight w:val="none"/>
              </w:rPr>
              <w:t>6.2</w:t>
            </w:r>
          </w:p>
        </w:tc>
        <w:tc>
          <w:tcPr>
            <w:tcW w:w="7171" w:type="dxa"/>
            <w:vAlign w:val="center"/>
          </w:tcPr>
          <w:p w14:paraId="575AD9C0">
            <w:pPr>
              <w:pStyle w:val="17"/>
              <w:spacing w:before="143" w:line="219" w:lineRule="auto"/>
              <w:ind w:left="115"/>
              <w:jc w:val="both"/>
              <w:rPr>
                <w:color w:val="auto"/>
                <w:highlight w:val="none"/>
              </w:rPr>
            </w:pPr>
            <w:r>
              <w:rPr>
                <w:color w:val="auto"/>
                <w:spacing w:val="-1"/>
                <w:highlight w:val="none"/>
              </w:rPr>
              <w:t>发包人是否提供施工设备和临时设施：</w:t>
            </w:r>
            <w:r>
              <w:rPr>
                <w:color w:val="auto"/>
                <w:spacing w:val="-1"/>
                <w:highlight w:val="none"/>
                <w:u w:val="single" w:color="auto"/>
              </w:rPr>
              <w:t xml:space="preserve"> 否</w:t>
            </w:r>
            <w:r>
              <w:rPr>
                <w:color w:val="auto"/>
                <w:spacing w:val="3"/>
                <w:highlight w:val="none"/>
                <w:u w:val="single" w:color="auto"/>
              </w:rPr>
              <w:t xml:space="preserve"> </w:t>
            </w:r>
          </w:p>
        </w:tc>
      </w:tr>
      <w:tr w14:paraId="3E375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907" w:type="dxa"/>
            <w:vAlign w:val="top"/>
          </w:tcPr>
          <w:p w14:paraId="6581E9CB">
            <w:pPr>
              <w:spacing w:line="335" w:lineRule="auto"/>
              <w:rPr>
                <w:rFonts w:ascii="Arial"/>
                <w:color w:val="auto"/>
                <w:sz w:val="21"/>
                <w:highlight w:val="none"/>
              </w:rPr>
            </w:pPr>
          </w:p>
          <w:p w14:paraId="288C8D14">
            <w:pPr>
              <w:spacing w:line="336" w:lineRule="auto"/>
              <w:rPr>
                <w:rFonts w:ascii="Arial"/>
                <w:color w:val="auto"/>
                <w:sz w:val="21"/>
                <w:highlight w:val="none"/>
              </w:rPr>
            </w:pPr>
          </w:p>
          <w:p w14:paraId="2D7AEC16">
            <w:pPr>
              <w:pStyle w:val="17"/>
              <w:spacing w:before="68"/>
              <w:ind w:left="407"/>
              <w:rPr>
                <w:color w:val="auto"/>
                <w:highlight w:val="none"/>
              </w:rPr>
            </w:pPr>
            <w:r>
              <w:rPr>
                <w:color w:val="auto"/>
                <w:highlight w:val="none"/>
              </w:rPr>
              <w:t>9</w:t>
            </w:r>
          </w:p>
        </w:tc>
        <w:tc>
          <w:tcPr>
            <w:tcW w:w="1349" w:type="dxa"/>
            <w:vAlign w:val="top"/>
          </w:tcPr>
          <w:p w14:paraId="0A1378C6">
            <w:pPr>
              <w:spacing w:line="335" w:lineRule="auto"/>
              <w:rPr>
                <w:rFonts w:ascii="Arial"/>
                <w:color w:val="auto"/>
                <w:sz w:val="21"/>
                <w:highlight w:val="none"/>
              </w:rPr>
            </w:pPr>
          </w:p>
          <w:p w14:paraId="09ABAEC5">
            <w:pPr>
              <w:spacing w:line="336" w:lineRule="auto"/>
              <w:rPr>
                <w:rFonts w:ascii="Arial"/>
                <w:color w:val="auto"/>
                <w:sz w:val="21"/>
                <w:highlight w:val="none"/>
              </w:rPr>
            </w:pPr>
          </w:p>
          <w:p w14:paraId="6F71875B">
            <w:pPr>
              <w:pStyle w:val="17"/>
              <w:spacing w:before="68" w:line="239" w:lineRule="auto"/>
              <w:ind w:left="415"/>
              <w:rPr>
                <w:color w:val="auto"/>
                <w:highlight w:val="none"/>
              </w:rPr>
            </w:pPr>
            <w:r>
              <w:rPr>
                <w:color w:val="auto"/>
                <w:spacing w:val="-2"/>
                <w:highlight w:val="none"/>
              </w:rPr>
              <w:t>8.1.1</w:t>
            </w:r>
          </w:p>
        </w:tc>
        <w:tc>
          <w:tcPr>
            <w:tcW w:w="7171" w:type="dxa"/>
            <w:vAlign w:val="top"/>
          </w:tcPr>
          <w:p w14:paraId="56863D3F">
            <w:pPr>
              <w:pStyle w:val="17"/>
              <w:spacing w:before="144" w:line="351" w:lineRule="auto"/>
              <w:ind w:left="112" w:right="109" w:firstLine="3"/>
              <w:rPr>
                <w:color w:val="auto"/>
                <w:highlight w:val="none"/>
              </w:rPr>
            </w:pPr>
            <w:r>
              <w:rPr>
                <w:color w:val="auto"/>
                <w:highlight w:val="none"/>
              </w:rPr>
              <w:t>发包人提供测量基准点、基准线和水准点及其书面资料的期限：</w:t>
            </w:r>
            <w:r>
              <w:rPr>
                <w:color w:val="auto"/>
                <w:highlight w:val="none"/>
                <w:u w:val="single" w:color="auto"/>
              </w:rPr>
              <w:t>在签订施工</w:t>
            </w:r>
            <w:r>
              <w:rPr>
                <w:color w:val="auto"/>
                <w:spacing w:val="-1"/>
                <w:highlight w:val="none"/>
                <w:u w:val="single" w:color="auto"/>
              </w:rPr>
              <w:t>承包合同后一个月内。</w:t>
            </w:r>
          </w:p>
          <w:p w14:paraId="1E1D530C">
            <w:pPr>
              <w:pStyle w:val="17"/>
              <w:spacing w:before="1" w:line="286" w:lineRule="auto"/>
              <w:ind w:left="121" w:right="110" w:hanging="9"/>
              <w:rPr>
                <w:color w:val="auto"/>
                <w:highlight w:val="none"/>
              </w:rPr>
            </w:pPr>
            <w:r>
              <w:rPr>
                <w:color w:val="auto"/>
                <w:highlight w:val="none"/>
              </w:rPr>
              <w:t>承包人将施工控制网资料报送监理人审批的期限：</w:t>
            </w:r>
            <w:r>
              <w:rPr>
                <w:color w:val="auto"/>
                <w:highlight w:val="none"/>
                <w:u w:val="single" w:color="auto"/>
              </w:rPr>
              <w:t>在收到发包人提供的上述</w:t>
            </w:r>
            <w:r>
              <w:rPr>
                <w:color w:val="auto"/>
                <w:spacing w:val="-3"/>
                <w:highlight w:val="none"/>
                <w:u w:val="single" w:color="auto"/>
              </w:rPr>
              <w:t>资料一个月内。</w:t>
            </w:r>
          </w:p>
        </w:tc>
      </w:tr>
      <w:tr w14:paraId="356FE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907" w:type="dxa"/>
            <w:vAlign w:val="top"/>
          </w:tcPr>
          <w:p w14:paraId="268909C6">
            <w:pPr>
              <w:spacing w:line="472" w:lineRule="auto"/>
              <w:rPr>
                <w:rFonts w:ascii="Arial"/>
                <w:color w:val="auto"/>
                <w:sz w:val="21"/>
                <w:highlight w:val="none"/>
              </w:rPr>
            </w:pPr>
          </w:p>
          <w:p w14:paraId="0DE4EEE8">
            <w:pPr>
              <w:pStyle w:val="17"/>
              <w:spacing w:before="68"/>
              <w:ind w:left="369"/>
              <w:rPr>
                <w:color w:val="auto"/>
                <w:highlight w:val="none"/>
              </w:rPr>
            </w:pPr>
            <w:r>
              <w:rPr>
                <w:color w:val="auto"/>
                <w:spacing w:val="-6"/>
                <w:highlight w:val="none"/>
              </w:rPr>
              <w:t>10</w:t>
            </w:r>
          </w:p>
        </w:tc>
        <w:tc>
          <w:tcPr>
            <w:tcW w:w="1349" w:type="dxa"/>
            <w:vAlign w:val="top"/>
          </w:tcPr>
          <w:p w14:paraId="0A3BE379">
            <w:pPr>
              <w:spacing w:line="472" w:lineRule="auto"/>
              <w:rPr>
                <w:rFonts w:ascii="Arial"/>
                <w:color w:val="auto"/>
                <w:sz w:val="21"/>
                <w:highlight w:val="none"/>
              </w:rPr>
            </w:pPr>
          </w:p>
          <w:p w14:paraId="64A973FE">
            <w:pPr>
              <w:pStyle w:val="17"/>
              <w:spacing w:before="68" w:line="239" w:lineRule="auto"/>
              <w:ind w:left="483"/>
              <w:rPr>
                <w:color w:val="auto"/>
                <w:highlight w:val="none"/>
              </w:rPr>
            </w:pPr>
            <w:r>
              <w:rPr>
                <w:color w:val="auto"/>
                <w:spacing w:val="-6"/>
                <w:highlight w:val="none"/>
              </w:rPr>
              <w:t>11.3</w:t>
            </w:r>
          </w:p>
        </w:tc>
        <w:tc>
          <w:tcPr>
            <w:tcW w:w="7171" w:type="dxa"/>
            <w:vAlign w:val="center"/>
          </w:tcPr>
          <w:p w14:paraId="2DBBEBA6">
            <w:pPr>
              <w:pStyle w:val="17"/>
              <w:spacing w:before="128" w:line="232" w:lineRule="auto"/>
              <w:ind w:left="115"/>
              <w:rPr>
                <w:color w:val="auto"/>
              </w:rPr>
            </w:pPr>
            <w:r>
              <w:rPr>
                <w:color w:val="auto"/>
                <w:spacing w:val="-2"/>
              </w:rPr>
              <w:t>如顺延合同工期在</w:t>
            </w:r>
            <w:r>
              <w:rPr>
                <w:color w:val="auto"/>
                <w:spacing w:val="-2"/>
                <w:u w:val="single" w:color="auto"/>
              </w:rPr>
              <w:t xml:space="preserve"> </w:t>
            </w:r>
            <w:r>
              <w:rPr>
                <w:rFonts w:hint="eastAsia"/>
                <w:color w:val="auto"/>
                <w:spacing w:val="-2"/>
                <w:u w:val="single" w:color="auto"/>
                <w:lang w:val="en-US" w:eastAsia="zh-CN"/>
              </w:rPr>
              <w:t>3</w:t>
            </w:r>
            <w:r>
              <w:rPr>
                <w:color w:val="auto"/>
                <w:spacing w:val="-2"/>
                <w:u w:val="single" w:color="auto"/>
              </w:rPr>
              <w:t xml:space="preserve"> </w:t>
            </w:r>
            <w:r>
              <w:rPr>
                <w:color w:val="auto"/>
                <w:spacing w:val="-90"/>
              </w:rPr>
              <w:t xml:space="preserve"> </w:t>
            </w:r>
            <w:r>
              <w:rPr>
                <w:color w:val="auto"/>
                <w:spacing w:val="-2"/>
              </w:rPr>
              <w:t>个月及以内的，发包人将不予增加费用；</w:t>
            </w:r>
          </w:p>
          <w:p w14:paraId="588678E3">
            <w:pPr>
              <w:pStyle w:val="17"/>
              <w:spacing w:before="136" w:line="294" w:lineRule="auto"/>
              <w:ind w:left="115" w:right="107"/>
              <w:jc w:val="both"/>
              <w:rPr>
                <w:color w:val="auto"/>
                <w:highlight w:val="none"/>
              </w:rPr>
            </w:pPr>
            <w:r>
              <w:rPr>
                <w:color w:val="auto"/>
                <w:spacing w:val="-3"/>
              </w:rPr>
              <w:t>如顺延合同工期在</w:t>
            </w:r>
            <w:r>
              <w:rPr>
                <w:color w:val="auto"/>
                <w:spacing w:val="-3"/>
                <w:u w:val="single" w:color="auto"/>
              </w:rPr>
              <w:t xml:space="preserve"> </w:t>
            </w:r>
            <w:r>
              <w:rPr>
                <w:rFonts w:hint="eastAsia"/>
                <w:color w:val="auto"/>
                <w:spacing w:val="-3"/>
                <w:u w:val="single" w:color="auto"/>
                <w:lang w:val="en-US" w:eastAsia="zh-CN"/>
              </w:rPr>
              <w:t>3</w:t>
            </w:r>
            <w:r>
              <w:rPr>
                <w:color w:val="auto"/>
                <w:spacing w:val="-3"/>
                <w:u w:val="single" w:color="auto"/>
              </w:rPr>
              <w:t xml:space="preserve"> </w:t>
            </w:r>
            <w:r>
              <w:rPr>
                <w:color w:val="auto"/>
                <w:spacing w:val="-96"/>
              </w:rPr>
              <w:t xml:space="preserve"> </w:t>
            </w:r>
            <w:r>
              <w:rPr>
                <w:color w:val="auto"/>
                <w:spacing w:val="-3"/>
              </w:rPr>
              <w:t>个月以上的</w:t>
            </w:r>
            <w:r>
              <w:rPr>
                <w:color w:val="auto"/>
                <w:spacing w:val="-4"/>
              </w:rPr>
              <w:t>，发包人将按如下原则给予补偿：</w:t>
            </w:r>
            <w:r>
              <w:rPr>
                <w:color w:val="auto"/>
                <w:spacing w:val="-4"/>
                <w:u w:val="single" w:color="auto"/>
              </w:rPr>
              <w:t>详</w:t>
            </w:r>
            <w:r>
              <w:rPr>
                <w:color w:val="auto"/>
                <w:spacing w:val="-2"/>
                <w:u w:val="single" w:color="auto"/>
              </w:rPr>
              <w:t>见专用合同条款。</w:t>
            </w:r>
          </w:p>
        </w:tc>
      </w:tr>
    </w:tbl>
    <w:p w14:paraId="735C5C70">
      <w:pPr>
        <w:pStyle w:val="3"/>
        <w:spacing w:line="274" w:lineRule="auto"/>
        <w:rPr>
          <w:color w:val="auto"/>
          <w:highlight w:val="none"/>
        </w:rPr>
      </w:pPr>
    </w:p>
    <w:p w14:paraId="49809474">
      <w:pPr>
        <w:pStyle w:val="3"/>
        <w:spacing w:line="274" w:lineRule="auto"/>
        <w:rPr>
          <w:color w:val="auto"/>
          <w:highlight w:val="none"/>
        </w:rPr>
      </w:pPr>
    </w:p>
    <w:p w14:paraId="4D0A2522">
      <w:pPr>
        <w:spacing w:line="217" w:lineRule="auto"/>
        <w:rPr>
          <w:rFonts w:ascii="宋体" w:hAnsi="宋体" w:eastAsia="宋体" w:cs="宋体"/>
          <w:color w:val="auto"/>
          <w:sz w:val="18"/>
          <w:szCs w:val="18"/>
          <w:highlight w:val="none"/>
        </w:rPr>
        <w:sectPr>
          <w:headerReference r:id="rId52" w:type="default"/>
          <w:footerReference r:id="rId53" w:type="default"/>
          <w:pgSz w:w="11905" w:h="16840"/>
          <w:pgMar w:top="1182" w:right="0" w:bottom="1171" w:left="0" w:header="849" w:footer="937" w:gutter="0"/>
          <w:pgNumType w:fmt="decimal"/>
          <w:cols w:space="720" w:num="1"/>
        </w:sectPr>
      </w:pPr>
    </w:p>
    <w:p w14:paraId="38A91941">
      <w:pPr>
        <w:spacing w:line="234" w:lineRule="exact"/>
        <w:rPr>
          <w:color w:val="auto"/>
          <w:highlight w:val="none"/>
        </w:rPr>
      </w:pPr>
    </w:p>
    <w:tbl>
      <w:tblPr>
        <w:tblStyle w:val="16"/>
        <w:tblW w:w="9427"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349"/>
        <w:gridCol w:w="7171"/>
      </w:tblGrid>
      <w:tr w14:paraId="19CFE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7" w:type="dxa"/>
            <w:vAlign w:val="top"/>
          </w:tcPr>
          <w:p w14:paraId="4FBFE718">
            <w:pPr>
              <w:pStyle w:val="17"/>
              <w:spacing w:before="226" w:line="221" w:lineRule="auto"/>
              <w:ind w:left="248"/>
              <w:rPr>
                <w:color w:val="auto"/>
                <w:highlight w:val="none"/>
              </w:rPr>
            </w:pPr>
            <w:r>
              <w:rPr>
                <w:b/>
                <w:bCs/>
                <w:color w:val="auto"/>
                <w:spacing w:val="-4"/>
                <w:highlight w:val="none"/>
              </w:rPr>
              <w:t>序号</w:t>
            </w:r>
          </w:p>
        </w:tc>
        <w:tc>
          <w:tcPr>
            <w:tcW w:w="1349" w:type="dxa"/>
            <w:vAlign w:val="top"/>
          </w:tcPr>
          <w:p w14:paraId="57BD010D">
            <w:pPr>
              <w:pStyle w:val="17"/>
              <w:spacing w:before="225" w:line="220" w:lineRule="auto"/>
              <w:ind w:left="365"/>
              <w:rPr>
                <w:color w:val="auto"/>
                <w:highlight w:val="none"/>
              </w:rPr>
            </w:pPr>
            <w:r>
              <w:rPr>
                <w:b/>
                <w:bCs/>
                <w:color w:val="auto"/>
                <w:spacing w:val="-6"/>
                <w:highlight w:val="none"/>
              </w:rPr>
              <w:t>条目号</w:t>
            </w:r>
          </w:p>
        </w:tc>
        <w:tc>
          <w:tcPr>
            <w:tcW w:w="7171" w:type="dxa"/>
            <w:vAlign w:val="top"/>
          </w:tcPr>
          <w:p w14:paraId="7CA7E19D">
            <w:pPr>
              <w:pStyle w:val="17"/>
              <w:spacing w:before="225" w:line="220" w:lineRule="auto"/>
              <w:ind w:left="3064"/>
              <w:rPr>
                <w:color w:val="auto"/>
                <w:highlight w:val="none"/>
              </w:rPr>
            </w:pPr>
            <w:r>
              <w:rPr>
                <w:b/>
                <w:bCs/>
                <w:color w:val="auto"/>
                <w:spacing w:val="-4"/>
                <w:highlight w:val="none"/>
              </w:rPr>
              <w:t>信息或数据</w:t>
            </w:r>
          </w:p>
        </w:tc>
      </w:tr>
      <w:tr w14:paraId="44F7D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3C20F1B8">
            <w:pPr>
              <w:pStyle w:val="17"/>
              <w:spacing w:before="221" w:line="241" w:lineRule="auto"/>
              <w:ind w:left="369"/>
              <w:rPr>
                <w:color w:val="auto"/>
                <w:highlight w:val="none"/>
              </w:rPr>
            </w:pPr>
            <w:r>
              <w:rPr>
                <w:color w:val="auto"/>
                <w:spacing w:val="-11"/>
                <w:highlight w:val="none"/>
              </w:rPr>
              <w:t>11</w:t>
            </w:r>
          </w:p>
        </w:tc>
        <w:tc>
          <w:tcPr>
            <w:tcW w:w="1349" w:type="dxa"/>
            <w:vAlign w:val="top"/>
          </w:tcPr>
          <w:p w14:paraId="470AF2C7">
            <w:pPr>
              <w:pStyle w:val="17"/>
              <w:spacing w:before="221" w:line="232" w:lineRule="auto"/>
              <w:ind w:left="273"/>
              <w:rPr>
                <w:color w:val="auto"/>
                <w:highlight w:val="none"/>
              </w:rPr>
            </w:pPr>
            <w:r>
              <w:rPr>
                <w:color w:val="auto"/>
                <w:spacing w:val="-5"/>
                <w:highlight w:val="none"/>
              </w:rPr>
              <w:t>11.3</w:t>
            </w:r>
            <w:r>
              <w:rPr>
                <w:color w:val="auto"/>
                <w:spacing w:val="6"/>
                <w:highlight w:val="none"/>
              </w:rPr>
              <w:t xml:space="preserve"> </w:t>
            </w:r>
            <w:r>
              <w:rPr>
                <w:color w:val="auto"/>
                <w:spacing w:val="-5"/>
                <w:highlight w:val="none"/>
              </w:rPr>
              <w:t>4）</w:t>
            </w:r>
          </w:p>
        </w:tc>
        <w:tc>
          <w:tcPr>
            <w:tcW w:w="7171" w:type="dxa"/>
            <w:vAlign w:val="top"/>
          </w:tcPr>
          <w:p w14:paraId="2361E084">
            <w:pPr>
              <w:pStyle w:val="17"/>
              <w:spacing w:before="207" w:line="232" w:lineRule="auto"/>
              <w:ind w:left="111"/>
              <w:rPr>
                <w:color w:val="auto"/>
                <w:highlight w:val="none"/>
              </w:rPr>
            </w:pPr>
            <w:r>
              <w:rPr>
                <w:color w:val="auto"/>
                <w:spacing w:val="-5"/>
                <w:highlight w:val="none"/>
              </w:rPr>
              <w:t>仅对超出</w:t>
            </w:r>
            <w:r>
              <w:rPr>
                <w:color w:val="auto"/>
                <w:spacing w:val="-93"/>
                <w:highlight w:val="none"/>
              </w:rPr>
              <w:t xml:space="preserve"> </w:t>
            </w:r>
            <w:r>
              <w:rPr>
                <w:color w:val="auto"/>
                <w:spacing w:val="15"/>
                <w:highlight w:val="none"/>
                <w:u w:val="single" w:color="auto"/>
              </w:rPr>
              <w:t xml:space="preserve"> </w:t>
            </w:r>
            <w:r>
              <w:rPr>
                <w:rFonts w:hint="eastAsia"/>
                <w:color w:val="auto"/>
                <w:spacing w:val="15"/>
                <w:highlight w:val="none"/>
                <w:u w:val="single" w:color="auto"/>
                <w:lang w:val="en-US" w:eastAsia="zh-CN"/>
              </w:rPr>
              <w:t>3</w:t>
            </w:r>
            <w:r>
              <w:rPr>
                <w:color w:val="auto"/>
                <w:spacing w:val="15"/>
                <w:highlight w:val="none"/>
                <w:u w:val="single" w:color="auto"/>
              </w:rPr>
              <w:t xml:space="preserve"> </w:t>
            </w:r>
            <w:r>
              <w:rPr>
                <w:color w:val="auto"/>
                <w:spacing w:val="-97"/>
                <w:highlight w:val="none"/>
              </w:rPr>
              <w:t xml:space="preserve"> </w:t>
            </w:r>
            <w:r>
              <w:rPr>
                <w:color w:val="auto"/>
                <w:spacing w:val="-5"/>
                <w:highlight w:val="none"/>
              </w:rPr>
              <w:t>个月</w:t>
            </w:r>
            <w:r>
              <w:rPr>
                <w:color w:val="auto"/>
                <w:spacing w:val="-18"/>
                <w:position w:val="10"/>
                <w:sz w:val="10"/>
                <w:szCs w:val="10"/>
                <w:highlight w:val="none"/>
              </w:rPr>
              <w:t xml:space="preserve"> </w:t>
            </w:r>
            <w:r>
              <w:rPr>
                <w:color w:val="auto"/>
                <w:spacing w:val="-5"/>
                <w:highlight w:val="none"/>
              </w:rPr>
              <w:t>以上部分进行补偿。</w:t>
            </w:r>
          </w:p>
        </w:tc>
      </w:tr>
      <w:tr w14:paraId="3E1F3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051703B7">
            <w:pPr>
              <w:pStyle w:val="17"/>
              <w:spacing w:before="221" w:line="241" w:lineRule="auto"/>
              <w:ind w:left="369"/>
              <w:rPr>
                <w:color w:val="auto"/>
                <w:highlight w:val="none"/>
              </w:rPr>
            </w:pPr>
            <w:r>
              <w:rPr>
                <w:color w:val="auto"/>
                <w:spacing w:val="-11"/>
                <w:highlight w:val="none"/>
              </w:rPr>
              <w:t>12</w:t>
            </w:r>
          </w:p>
        </w:tc>
        <w:tc>
          <w:tcPr>
            <w:tcW w:w="1349" w:type="dxa"/>
            <w:vAlign w:val="top"/>
          </w:tcPr>
          <w:p w14:paraId="5B3F55B1">
            <w:pPr>
              <w:pStyle w:val="17"/>
              <w:spacing w:before="221" w:line="232" w:lineRule="auto"/>
              <w:ind w:left="220"/>
              <w:rPr>
                <w:color w:val="auto"/>
                <w:highlight w:val="none"/>
              </w:rPr>
            </w:pPr>
            <w:r>
              <w:rPr>
                <w:color w:val="auto"/>
                <w:spacing w:val="-5"/>
                <w:highlight w:val="none"/>
              </w:rPr>
              <w:t>11.5（3）</w:t>
            </w:r>
          </w:p>
        </w:tc>
        <w:tc>
          <w:tcPr>
            <w:tcW w:w="7171" w:type="dxa"/>
            <w:vAlign w:val="top"/>
          </w:tcPr>
          <w:p w14:paraId="61D3F86C">
            <w:pPr>
              <w:pStyle w:val="17"/>
              <w:spacing w:before="221" w:line="220" w:lineRule="auto"/>
              <w:ind w:left="111"/>
              <w:rPr>
                <w:color w:val="auto"/>
                <w:highlight w:val="none"/>
              </w:rPr>
            </w:pPr>
            <w:r>
              <w:rPr>
                <w:rFonts w:hint="eastAsia"/>
                <w:color w:val="auto"/>
                <w:spacing w:val="-1"/>
                <w:highlight w:val="none"/>
              </w:rPr>
              <w:t>逾期交工违约金：超出工期在10天内的罚款为3000/天；超出工期在10—20天内罚款为5000/天；超出工期在20天以上的罚款为8000/天。</w:t>
            </w:r>
          </w:p>
        </w:tc>
      </w:tr>
      <w:tr w14:paraId="6B54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4822A7A1">
            <w:pPr>
              <w:pStyle w:val="17"/>
              <w:spacing w:before="221"/>
              <w:ind w:left="369"/>
              <w:rPr>
                <w:color w:val="auto"/>
                <w:highlight w:val="none"/>
              </w:rPr>
            </w:pPr>
            <w:r>
              <w:rPr>
                <w:color w:val="auto"/>
                <w:spacing w:val="-11"/>
                <w:highlight w:val="none"/>
              </w:rPr>
              <w:t>13</w:t>
            </w:r>
          </w:p>
        </w:tc>
        <w:tc>
          <w:tcPr>
            <w:tcW w:w="1349" w:type="dxa"/>
            <w:vAlign w:val="top"/>
          </w:tcPr>
          <w:p w14:paraId="550120FB">
            <w:pPr>
              <w:pStyle w:val="17"/>
              <w:spacing w:before="221" w:line="232" w:lineRule="auto"/>
              <w:ind w:left="220"/>
              <w:rPr>
                <w:color w:val="auto"/>
                <w:highlight w:val="none"/>
              </w:rPr>
            </w:pPr>
            <w:r>
              <w:rPr>
                <w:color w:val="auto"/>
                <w:spacing w:val="-5"/>
                <w:highlight w:val="none"/>
              </w:rPr>
              <w:t>11.5（3）</w:t>
            </w:r>
          </w:p>
        </w:tc>
        <w:tc>
          <w:tcPr>
            <w:tcW w:w="7171" w:type="dxa"/>
            <w:vAlign w:val="top"/>
          </w:tcPr>
          <w:p w14:paraId="4FF90DEA">
            <w:pPr>
              <w:pStyle w:val="17"/>
              <w:spacing w:before="205" w:line="232" w:lineRule="auto"/>
              <w:ind w:left="111"/>
              <w:rPr>
                <w:color w:val="auto"/>
                <w:sz w:val="10"/>
                <w:szCs w:val="10"/>
                <w:highlight w:val="none"/>
              </w:rPr>
            </w:pPr>
            <w:r>
              <w:rPr>
                <w:color w:val="auto"/>
                <w:spacing w:val="-1"/>
                <w:highlight w:val="none"/>
              </w:rPr>
              <w:t>逾期交工违约金限额：</w:t>
            </w:r>
            <w:r>
              <w:rPr>
                <w:color w:val="auto"/>
                <w:spacing w:val="-1"/>
                <w:highlight w:val="none"/>
                <w:u w:val="single" w:color="auto"/>
              </w:rPr>
              <w:t xml:space="preserve"> </w:t>
            </w:r>
            <w:r>
              <w:rPr>
                <w:rFonts w:hint="eastAsia"/>
                <w:color w:val="auto"/>
                <w:spacing w:val="-1"/>
                <w:highlight w:val="none"/>
                <w:u w:val="single" w:color="auto"/>
                <w:lang w:val="en-US" w:eastAsia="zh-CN"/>
              </w:rPr>
              <w:t>10</w:t>
            </w:r>
            <w:r>
              <w:rPr>
                <w:color w:val="auto"/>
                <w:spacing w:val="-1"/>
                <w:highlight w:val="none"/>
                <w:u w:val="single" w:color="auto"/>
              </w:rPr>
              <w:t xml:space="preserve"> </w:t>
            </w:r>
            <w:r>
              <w:rPr>
                <w:color w:val="auto"/>
                <w:spacing w:val="-87"/>
                <w:highlight w:val="none"/>
              </w:rPr>
              <w:t xml:space="preserve"> </w:t>
            </w:r>
            <w:r>
              <w:rPr>
                <w:color w:val="auto"/>
                <w:spacing w:val="-1"/>
                <w:highlight w:val="none"/>
              </w:rPr>
              <w:t>%签约合同价</w:t>
            </w:r>
          </w:p>
        </w:tc>
      </w:tr>
      <w:tr w14:paraId="49246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7" w:type="dxa"/>
            <w:vAlign w:val="top"/>
          </w:tcPr>
          <w:p w14:paraId="0C26C02B">
            <w:pPr>
              <w:pStyle w:val="17"/>
              <w:spacing w:before="220" w:line="241" w:lineRule="auto"/>
              <w:ind w:left="369"/>
              <w:rPr>
                <w:color w:val="auto"/>
                <w:highlight w:val="none"/>
              </w:rPr>
            </w:pPr>
            <w:r>
              <w:rPr>
                <w:color w:val="auto"/>
                <w:spacing w:val="-11"/>
                <w:highlight w:val="none"/>
              </w:rPr>
              <w:t>14</w:t>
            </w:r>
          </w:p>
        </w:tc>
        <w:tc>
          <w:tcPr>
            <w:tcW w:w="1349" w:type="dxa"/>
            <w:vAlign w:val="top"/>
          </w:tcPr>
          <w:p w14:paraId="5E20039B">
            <w:pPr>
              <w:pStyle w:val="17"/>
              <w:spacing w:before="220" w:line="239" w:lineRule="auto"/>
              <w:ind w:left="483"/>
              <w:rPr>
                <w:color w:val="auto"/>
                <w:highlight w:val="none"/>
              </w:rPr>
            </w:pPr>
            <w:r>
              <w:rPr>
                <w:color w:val="auto"/>
                <w:spacing w:val="-6"/>
                <w:highlight w:val="none"/>
              </w:rPr>
              <w:t>11.6</w:t>
            </w:r>
          </w:p>
        </w:tc>
        <w:tc>
          <w:tcPr>
            <w:tcW w:w="7171" w:type="dxa"/>
            <w:vAlign w:val="top"/>
          </w:tcPr>
          <w:p w14:paraId="3F0687EE">
            <w:pPr>
              <w:pStyle w:val="17"/>
              <w:spacing w:before="206" w:line="233" w:lineRule="auto"/>
              <w:ind w:left="113"/>
              <w:rPr>
                <w:rFonts w:hint="eastAsia" w:eastAsia="宋体"/>
                <w:color w:val="auto"/>
                <w:sz w:val="10"/>
                <w:szCs w:val="10"/>
                <w:highlight w:val="none"/>
                <w:lang w:val="en-US" w:eastAsia="zh-CN"/>
              </w:rPr>
            </w:pPr>
            <w:r>
              <w:rPr>
                <w:color w:val="auto"/>
                <w:spacing w:val="-1"/>
                <w:highlight w:val="none"/>
              </w:rPr>
              <w:t>提前交工的奖金：</w:t>
            </w:r>
            <w:r>
              <w:rPr>
                <w:color w:val="auto"/>
                <w:spacing w:val="-1"/>
                <w:highlight w:val="none"/>
                <w:u w:val="single" w:color="auto"/>
              </w:rPr>
              <w:t xml:space="preserve"> </w:t>
            </w:r>
            <w:r>
              <w:rPr>
                <w:rFonts w:hint="eastAsia"/>
                <w:color w:val="auto"/>
                <w:spacing w:val="-1"/>
                <w:highlight w:val="none"/>
                <w:u w:val="single" w:color="auto"/>
              </w:rPr>
              <w:t>不适用</w:t>
            </w:r>
            <w:r>
              <w:rPr>
                <w:rFonts w:hint="eastAsia"/>
                <w:color w:val="auto"/>
                <w:spacing w:val="-1"/>
                <w:highlight w:val="none"/>
                <w:u w:val="single" w:color="auto"/>
                <w:lang w:val="en-US" w:eastAsia="zh-CN"/>
              </w:rPr>
              <w:t xml:space="preserve"> </w:t>
            </w:r>
          </w:p>
        </w:tc>
      </w:tr>
      <w:tr w14:paraId="05D92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58D824CB">
            <w:pPr>
              <w:pStyle w:val="17"/>
              <w:spacing w:before="221"/>
              <w:ind w:left="369"/>
              <w:rPr>
                <w:color w:val="auto"/>
                <w:highlight w:val="none"/>
              </w:rPr>
            </w:pPr>
            <w:r>
              <w:rPr>
                <w:color w:val="auto"/>
                <w:spacing w:val="-11"/>
                <w:highlight w:val="none"/>
              </w:rPr>
              <w:t>15</w:t>
            </w:r>
          </w:p>
        </w:tc>
        <w:tc>
          <w:tcPr>
            <w:tcW w:w="1349" w:type="dxa"/>
            <w:vAlign w:val="top"/>
          </w:tcPr>
          <w:p w14:paraId="397F34D7">
            <w:pPr>
              <w:pStyle w:val="17"/>
              <w:spacing w:before="221" w:line="239" w:lineRule="auto"/>
              <w:ind w:left="483"/>
              <w:rPr>
                <w:color w:val="auto"/>
                <w:highlight w:val="none"/>
              </w:rPr>
            </w:pPr>
            <w:r>
              <w:rPr>
                <w:color w:val="auto"/>
                <w:spacing w:val="-6"/>
                <w:highlight w:val="none"/>
              </w:rPr>
              <w:t>11.6</w:t>
            </w:r>
          </w:p>
        </w:tc>
        <w:tc>
          <w:tcPr>
            <w:tcW w:w="7171" w:type="dxa"/>
            <w:vAlign w:val="top"/>
          </w:tcPr>
          <w:p w14:paraId="1DC3659E">
            <w:pPr>
              <w:pStyle w:val="17"/>
              <w:spacing w:before="207" w:line="231" w:lineRule="auto"/>
              <w:ind w:left="113"/>
              <w:rPr>
                <w:color w:val="auto"/>
                <w:sz w:val="10"/>
                <w:szCs w:val="10"/>
                <w:highlight w:val="none"/>
              </w:rPr>
            </w:pPr>
            <w:r>
              <w:rPr>
                <w:color w:val="auto"/>
                <w:spacing w:val="-1"/>
                <w:highlight w:val="none"/>
              </w:rPr>
              <w:t>提前交工的奖金限额：</w:t>
            </w:r>
            <w:r>
              <w:rPr>
                <w:rFonts w:hint="eastAsia"/>
                <w:color w:val="auto"/>
                <w:spacing w:val="-1"/>
                <w:highlight w:val="none"/>
                <w:u w:val="single" w:color="auto"/>
              </w:rPr>
              <w:t>不适用</w:t>
            </w:r>
          </w:p>
        </w:tc>
      </w:tr>
      <w:tr w14:paraId="04CF7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425C1DC4">
            <w:pPr>
              <w:spacing w:line="269" w:lineRule="auto"/>
              <w:rPr>
                <w:rFonts w:ascii="Arial"/>
                <w:color w:val="auto"/>
                <w:sz w:val="21"/>
                <w:highlight w:val="none"/>
              </w:rPr>
            </w:pPr>
          </w:p>
          <w:p w14:paraId="60A3D190">
            <w:pPr>
              <w:pStyle w:val="17"/>
              <w:spacing w:before="68"/>
              <w:ind w:left="369"/>
              <w:rPr>
                <w:color w:val="auto"/>
                <w:highlight w:val="none"/>
              </w:rPr>
            </w:pPr>
            <w:r>
              <w:rPr>
                <w:color w:val="auto"/>
                <w:spacing w:val="-11"/>
                <w:highlight w:val="none"/>
              </w:rPr>
              <w:t>16</w:t>
            </w:r>
          </w:p>
        </w:tc>
        <w:tc>
          <w:tcPr>
            <w:tcW w:w="1349" w:type="dxa"/>
            <w:vAlign w:val="top"/>
          </w:tcPr>
          <w:p w14:paraId="76BDDF8E">
            <w:pPr>
              <w:spacing w:line="269" w:lineRule="auto"/>
              <w:rPr>
                <w:rFonts w:ascii="Arial"/>
                <w:color w:val="auto"/>
                <w:sz w:val="21"/>
                <w:highlight w:val="none"/>
              </w:rPr>
            </w:pPr>
          </w:p>
          <w:p w14:paraId="57B24E96">
            <w:pPr>
              <w:pStyle w:val="17"/>
              <w:spacing w:before="69" w:line="239" w:lineRule="auto"/>
              <w:ind w:left="430"/>
              <w:rPr>
                <w:color w:val="auto"/>
                <w:highlight w:val="none"/>
              </w:rPr>
            </w:pPr>
            <w:r>
              <w:rPr>
                <w:color w:val="auto"/>
                <w:spacing w:val="-5"/>
                <w:highlight w:val="none"/>
              </w:rPr>
              <w:t>13.11</w:t>
            </w:r>
          </w:p>
        </w:tc>
        <w:tc>
          <w:tcPr>
            <w:tcW w:w="7171" w:type="dxa"/>
            <w:vAlign w:val="center"/>
          </w:tcPr>
          <w:p w14:paraId="001B35D1">
            <w:pPr>
              <w:pStyle w:val="17"/>
              <w:spacing w:before="138" w:line="288" w:lineRule="auto"/>
              <w:ind w:left="111" w:right="107"/>
              <w:jc w:val="both"/>
              <w:rPr>
                <w:color w:val="auto"/>
                <w:sz w:val="10"/>
                <w:szCs w:val="10"/>
                <w:highlight w:val="none"/>
              </w:rPr>
            </w:pPr>
            <w:r>
              <w:rPr>
                <w:color w:val="auto"/>
                <w:spacing w:val="1"/>
                <w:highlight w:val="none"/>
              </w:rPr>
              <w:t>优质优价价款：</w:t>
            </w:r>
            <w:r>
              <w:rPr>
                <w:rFonts w:hint="eastAsia"/>
                <w:color w:val="auto"/>
                <w:spacing w:val="1"/>
                <w:highlight w:val="none"/>
                <w:u w:val="single"/>
              </w:rPr>
              <w:t>不适用</w:t>
            </w:r>
          </w:p>
        </w:tc>
      </w:tr>
      <w:tr w14:paraId="37D35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907" w:type="dxa"/>
            <w:vAlign w:val="top"/>
          </w:tcPr>
          <w:p w14:paraId="140C8D8E">
            <w:pPr>
              <w:spacing w:line="468" w:lineRule="auto"/>
              <w:rPr>
                <w:rFonts w:ascii="Arial"/>
                <w:color w:val="auto"/>
                <w:sz w:val="21"/>
                <w:highlight w:val="none"/>
              </w:rPr>
            </w:pPr>
          </w:p>
          <w:p w14:paraId="69C464B3">
            <w:pPr>
              <w:pStyle w:val="17"/>
              <w:spacing w:before="68"/>
              <w:ind w:left="369"/>
              <w:rPr>
                <w:color w:val="auto"/>
                <w:highlight w:val="none"/>
              </w:rPr>
            </w:pPr>
            <w:r>
              <w:rPr>
                <w:color w:val="auto"/>
                <w:spacing w:val="-6"/>
                <w:highlight w:val="none"/>
              </w:rPr>
              <w:t>17</w:t>
            </w:r>
          </w:p>
        </w:tc>
        <w:tc>
          <w:tcPr>
            <w:tcW w:w="1349" w:type="dxa"/>
            <w:vAlign w:val="top"/>
          </w:tcPr>
          <w:p w14:paraId="3A838348">
            <w:pPr>
              <w:spacing w:line="468" w:lineRule="auto"/>
              <w:rPr>
                <w:rFonts w:ascii="Arial"/>
                <w:color w:val="auto"/>
                <w:sz w:val="21"/>
                <w:highlight w:val="none"/>
              </w:rPr>
            </w:pPr>
          </w:p>
          <w:p w14:paraId="393874A6">
            <w:pPr>
              <w:pStyle w:val="17"/>
              <w:spacing w:before="69" w:line="239" w:lineRule="auto"/>
              <w:ind w:left="273"/>
              <w:rPr>
                <w:color w:val="auto"/>
                <w:highlight w:val="none"/>
              </w:rPr>
            </w:pPr>
            <w:r>
              <w:rPr>
                <w:color w:val="auto"/>
                <w:highlight w:val="none"/>
              </w:rPr>
              <w:fldChar w:fldCharType="begin"/>
            </w:r>
            <w:r>
              <w:rPr>
                <w:color w:val="auto"/>
                <w:highlight w:val="none"/>
              </w:rPr>
              <w:instrText xml:space="preserve"> HYPERLINK "15.4.4.2" </w:instrText>
            </w:r>
            <w:r>
              <w:rPr>
                <w:color w:val="auto"/>
                <w:highlight w:val="none"/>
              </w:rPr>
              <w:fldChar w:fldCharType="separate"/>
            </w:r>
            <w:r>
              <w:rPr>
                <w:color w:val="auto"/>
                <w:spacing w:val="-3"/>
                <w:highlight w:val="none"/>
              </w:rPr>
              <w:t>15.4.4.2</w:t>
            </w:r>
            <w:r>
              <w:rPr>
                <w:color w:val="auto"/>
                <w:spacing w:val="-3"/>
                <w:highlight w:val="none"/>
              </w:rPr>
              <w:fldChar w:fldCharType="end"/>
            </w:r>
          </w:p>
        </w:tc>
        <w:tc>
          <w:tcPr>
            <w:tcW w:w="7171" w:type="dxa"/>
            <w:vAlign w:val="top"/>
          </w:tcPr>
          <w:p w14:paraId="65086304">
            <w:pPr>
              <w:pStyle w:val="17"/>
              <w:spacing w:before="139" w:line="220" w:lineRule="auto"/>
              <w:ind w:left="112"/>
              <w:rPr>
                <w:color w:val="auto"/>
                <w:highlight w:val="none"/>
              </w:rPr>
            </w:pPr>
            <w:r>
              <w:rPr>
                <w:color w:val="auto"/>
                <w:spacing w:val="-4"/>
                <w:highlight w:val="none"/>
              </w:rPr>
              <w:t>应急抢险工程变更金额确定原则：</w:t>
            </w:r>
          </w:p>
          <w:p w14:paraId="5F3DAEF2">
            <w:pPr>
              <w:pStyle w:val="17"/>
              <w:spacing w:before="149" w:line="220" w:lineRule="auto"/>
              <w:ind w:left="133"/>
              <w:rPr>
                <w:color w:val="auto"/>
                <w:highlight w:val="none"/>
              </w:rPr>
            </w:pPr>
            <w:r>
              <w:rPr>
                <w:color w:val="auto"/>
                <w:spacing w:val="-3"/>
                <w:highlight w:val="none"/>
              </w:rPr>
              <w:t>□变更金额=审批的变更预算</w:t>
            </w:r>
          </w:p>
          <w:p w14:paraId="7C034D7B">
            <w:pPr>
              <w:pStyle w:val="17"/>
              <w:spacing w:before="150" w:line="220" w:lineRule="auto"/>
              <w:ind w:left="133"/>
              <w:rPr>
                <w:color w:val="auto"/>
                <w:highlight w:val="none"/>
              </w:rPr>
            </w:pPr>
            <w:r>
              <w:rPr>
                <w:rFonts w:hint="eastAsia"/>
                <w:color w:val="auto"/>
                <w:spacing w:val="-2"/>
                <w:highlight w:val="none"/>
                <w:lang w:eastAsia="zh-CN"/>
              </w:rPr>
              <w:t>☑</w:t>
            </w:r>
            <w:r>
              <w:rPr>
                <w:color w:val="auto"/>
                <w:spacing w:val="-2"/>
                <w:highlight w:val="none"/>
              </w:rPr>
              <w:t>变更金额=审批的变更预算×（1-中标下浮率）</w:t>
            </w:r>
          </w:p>
        </w:tc>
      </w:tr>
      <w:tr w14:paraId="4A10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633903C5">
            <w:pPr>
              <w:spacing w:line="270" w:lineRule="auto"/>
              <w:rPr>
                <w:rFonts w:ascii="Arial"/>
                <w:color w:val="auto"/>
                <w:sz w:val="21"/>
                <w:highlight w:val="none"/>
              </w:rPr>
            </w:pPr>
          </w:p>
          <w:p w14:paraId="7EACB747">
            <w:pPr>
              <w:pStyle w:val="17"/>
              <w:spacing w:before="68"/>
              <w:ind w:left="369"/>
              <w:rPr>
                <w:color w:val="auto"/>
                <w:highlight w:val="none"/>
              </w:rPr>
            </w:pPr>
            <w:r>
              <w:rPr>
                <w:color w:val="auto"/>
                <w:spacing w:val="-11"/>
                <w:highlight w:val="none"/>
              </w:rPr>
              <w:t>18</w:t>
            </w:r>
          </w:p>
        </w:tc>
        <w:tc>
          <w:tcPr>
            <w:tcW w:w="1349" w:type="dxa"/>
            <w:vAlign w:val="top"/>
          </w:tcPr>
          <w:p w14:paraId="226CEBE8">
            <w:pPr>
              <w:spacing w:line="270" w:lineRule="auto"/>
              <w:rPr>
                <w:rFonts w:ascii="Arial"/>
                <w:color w:val="auto"/>
                <w:sz w:val="21"/>
                <w:highlight w:val="none"/>
              </w:rPr>
            </w:pPr>
          </w:p>
          <w:p w14:paraId="71854B88">
            <w:pPr>
              <w:pStyle w:val="17"/>
              <w:spacing w:before="68" w:line="239" w:lineRule="auto"/>
              <w:ind w:left="378"/>
              <w:rPr>
                <w:color w:val="auto"/>
                <w:highlight w:val="none"/>
              </w:rPr>
            </w:pPr>
            <w:r>
              <w:rPr>
                <w:color w:val="auto"/>
                <w:spacing w:val="-4"/>
                <w:highlight w:val="none"/>
              </w:rPr>
              <w:t>15.5.2</w:t>
            </w:r>
          </w:p>
        </w:tc>
        <w:tc>
          <w:tcPr>
            <w:tcW w:w="7171" w:type="dxa"/>
            <w:vAlign w:val="top"/>
          </w:tcPr>
          <w:p w14:paraId="08232188">
            <w:pPr>
              <w:pStyle w:val="17"/>
              <w:spacing w:before="141" w:line="287" w:lineRule="auto"/>
              <w:ind w:left="113" w:right="112" w:hanging="1"/>
              <w:rPr>
                <w:color w:val="auto"/>
                <w:highlight w:val="none"/>
              </w:rPr>
            </w:pPr>
            <w:r>
              <w:rPr>
                <w:color w:val="auto"/>
                <w:highlight w:val="none"/>
              </w:rPr>
              <w:t>承包人提出的合理化建议降低了合同价格或者提高了工程经济效益的，发包</w:t>
            </w:r>
            <w:r>
              <w:rPr>
                <w:color w:val="auto"/>
                <w:spacing w:val="-2"/>
                <w:highlight w:val="none"/>
              </w:rPr>
              <w:t>人按所节约成本的</w:t>
            </w:r>
            <w:r>
              <w:rPr>
                <w:color w:val="auto"/>
                <w:spacing w:val="-2"/>
                <w:highlight w:val="none"/>
                <w:u w:val="single" w:color="auto"/>
              </w:rPr>
              <w:t xml:space="preserve"> </w:t>
            </w:r>
            <w:r>
              <w:rPr>
                <w:rFonts w:hint="eastAsia" w:ascii="宋体" w:hAnsi="宋体" w:eastAsia="宋体" w:cs="宋体"/>
                <w:color w:val="auto"/>
                <w:kern w:val="2"/>
                <w:sz w:val="21"/>
                <w:szCs w:val="21"/>
                <w:highlight w:val="none"/>
                <w:u w:val="single"/>
                <w:lang w:val="en-US" w:eastAsia="zh-CN" w:bidi="ar"/>
              </w:rPr>
              <w:t>/</w:t>
            </w:r>
            <w:r>
              <w:rPr>
                <w:color w:val="auto"/>
                <w:spacing w:val="-2"/>
                <w:highlight w:val="none"/>
                <w:u w:val="single" w:color="auto"/>
              </w:rPr>
              <w:t xml:space="preserve"> </w:t>
            </w:r>
            <w:r>
              <w:rPr>
                <w:color w:val="auto"/>
                <w:spacing w:val="-86"/>
                <w:highlight w:val="none"/>
              </w:rPr>
              <w:t xml:space="preserve"> </w:t>
            </w:r>
            <w:r>
              <w:rPr>
                <w:color w:val="auto"/>
                <w:spacing w:val="-2"/>
                <w:highlight w:val="none"/>
              </w:rPr>
              <w:t>%或增加收益的</w:t>
            </w:r>
            <w:r>
              <w:rPr>
                <w:color w:val="auto"/>
                <w:spacing w:val="-2"/>
                <w:highlight w:val="none"/>
                <w:u w:val="single" w:color="auto"/>
              </w:rPr>
              <w:t xml:space="preserve"> </w:t>
            </w:r>
            <w:r>
              <w:rPr>
                <w:rFonts w:hint="eastAsia" w:ascii="宋体" w:hAnsi="宋体" w:eastAsia="宋体" w:cs="宋体"/>
                <w:color w:val="auto"/>
                <w:kern w:val="2"/>
                <w:sz w:val="21"/>
                <w:szCs w:val="21"/>
                <w:highlight w:val="none"/>
                <w:u w:val="single"/>
                <w:lang w:val="en-US" w:eastAsia="zh-CN" w:bidi="ar"/>
              </w:rPr>
              <w:t>/</w:t>
            </w:r>
            <w:r>
              <w:rPr>
                <w:color w:val="auto"/>
                <w:spacing w:val="-2"/>
                <w:highlight w:val="none"/>
                <w:u w:val="single" w:color="auto"/>
              </w:rPr>
              <w:t xml:space="preserve"> </w:t>
            </w:r>
            <w:r>
              <w:rPr>
                <w:color w:val="auto"/>
                <w:spacing w:val="-102"/>
                <w:highlight w:val="none"/>
              </w:rPr>
              <w:t xml:space="preserve"> </w:t>
            </w:r>
            <w:r>
              <w:rPr>
                <w:color w:val="auto"/>
                <w:spacing w:val="-2"/>
                <w:highlight w:val="none"/>
              </w:rPr>
              <w:t>%给予奖励。</w:t>
            </w:r>
          </w:p>
        </w:tc>
      </w:tr>
      <w:tr w14:paraId="34EF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4443EF70">
            <w:pPr>
              <w:spacing w:line="271" w:lineRule="auto"/>
              <w:rPr>
                <w:rFonts w:ascii="Arial"/>
                <w:color w:val="auto"/>
                <w:sz w:val="21"/>
                <w:highlight w:val="none"/>
              </w:rPr>
            </w:pPr>
          </w:p>
          <w:p w14:paraId="6AA89C25">
            <w:pPr>
              <w:pStyle w:val="17"/>
              <w:spacing w:before="68"/>
              <w:ind w:left="369"/>
              <w:rPr>
                <w:color w:val="auto"/>
                <w:highlight w:val="none"/>
              </w:rPr>
            </w:pPr>
            <w:r>
              <w:rPr>
                <w:color w:val="auto"/>
                <w:spacing w:val="-6"/>
                <w:highlight w:val="none"/>
              </w:rPr>
              <w:t>19</w:t>
            </w:r>
          </w:p>
        </w:tc>
        <w:tc>
          <w:tcPr>
            <w:tcW w:w="1349" w:type="dxa"/>
            <w:vAlign w:val="top"/>
          </w:tcPr>
          <w:p w14:paraId="217C888D">
            <w:pPr>
              <w:spacing w:line="271" w:lineRule="auto"/>
              <w:rPr>
                <w:rFonts w:ascii="Arial"/>
                <w:color w:val="auto"/>
                <w:sz w:val="21"/>
                <w:highlight w:val="none"/>
              </w:rPr>
            </w:pPr>
          </w:p>
          <w:p w14:paraId="146E177C">
            <w:pPr>
              <w:pStyle w:val="17"/>
              <w:spacing w:before="68" w:line="239" w:lineRule="auto"/>
              <w:ind w:left="483"/>
              <w:rPr>
                <w:color w:val="auto"/>
                <w:highlight w:val="none"/>
              </w:rPr>
            </w:pPr>
            <w:r>
              <w:rPr>
                <w:color w:val="auto"/>
                <w:spacing w:val="-6"/>
                <w:highlight w:val="none"/>
              </w:rPr>
              <w:t>16.1</w:t>
            </w:r>
          </w:p>
        </w:tc>
        <w:tc>
          <w:tcPr>
            <w:tcW w:w="7171" w:type="dxa"/>
            <w:vAlign w:val="top"/>
          </w:tcPr>
          <w:p w14:paraId="4C16BAFF">
            <w:pPr>
              <w:pStyle w:val="17"/>
              <w:spacing w:before="141" w:line="218" w:lineRule="auto"/>
              <w:ind w:left="133"/>
              <w:rPr>
                <w:color w:val="auto"/>
                <w:highlight w:val="none"/>
              </w:rPr>
            </w:pPr>
            <w:r>
              <w:rPr>
                <w:rFonts w:hint="eastAsia"/>
                <w:color w:val="auto"/>
                <w:spacing w:val="-2"/>
                <w:highlight w:val="none"/>
                <w:lang w:eastAsia="zh-CN"/>
              </w:rPr>
              <w:t>☑</w:t>
            </w:r>
            <w:r>
              <w:rPr>
                <w:color w:val="auto"/>
                <w:spacing w:val="-2"/>
                <w:highlight w:val="none"/>
              </w:rPr>
              <w:t>因物价波动引起的价格调整按照</w:t>
            </w:r>
            <w:r>
              <w:rPr>
                <w:color w:val="auto"/>
                <w:spacing w:val="-2"/>
                <w:highlight w:val="none"/>
                <w:u w:val="single" w:color="auto"/>
              </w:rPr>
              <w:t xml:space="preserve"> </w:t>
            </w:r>
            <w:r>
              <w:rPr>
                <w:rFonts w:hint="eastAsia"/>
                <w:color w:val="auto"/>
                <w:spacing w:val="-2"/>
                <w:highlight w:val="none"/>
                <w:u w:val="single" w:color="auto"/>
              </w:rPr>
              <w:t>第16.1.2采用造价信息调整价格差额</w:t>
            </w:r>
            <w:r>
              <w:rPr>
                <w:color w:val="auto"/>
                <w:spacing w:val="-2"/>
                <w:highlight w:val="none"/>
              </w:rPr>
              <w:t>约定的原则处理</w:t>
            </w:r>
          </w:p>
          <w:p w14:paraId="1119D9C6">
            <w:pPr>
              <w:pStyle w:val="17"/>
              <w:spacing w:before="136" w:line="232" w:lineRule="auto"/>
              <w:ind w:left="133"/>
              <w:rPr>
                <w:color w:val="auto"/>
                <w:sz w:val="10"/>
                <w:szCs w:val="10"/>
                <w:highlight w:val="none"/>
              </w:rPr>
            </w:pPr>
            <w:r>
              <w:rPr>
                <w:color w:val="auto"/>
                <w:spacing w:val="-3"/>
                <w:highlight w:val="none"/>
              </w:rPr>
              <w:t>□合同期内不调价</w:t>
            </w:r>
          </w:p>
        </w:tc>
      </w:tr>
      <w:tr w14:paraId="58D2D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07" w:type="dxa"/>
            <w:vAlign w:val="top"/>
          </w:tcPr>
          <w:p w14:paraId="24D188D0">
            <w:pPr>
              <w:spacing w:line="470" w:lineRule="auto"/>
              <w:rPr>
                <w:rFonts w:ascii="Arial"/>
                <w:color w:val="auto"/>
                <w:sz w:val="21"/>
                <w:highlight w:val="none"/>
              </w:rPr>
            </w:pPr>
          </w:p>
          <w:p w14:paraId="77930167">
            <w:pPr>
              <w:pStyle w:val="17"/>
              <w:spacing w:before="68"/>
              <w:ind w:left="356"/>
              <w:rPr>
                <w:color w:val="auto"/>
                <w:highlight w:val="none"/>
              </w:rPr>
            </w:pPr>
            <w:r>
              <w:rPr>
                <w:color w:val="auto"/>
                <w:spacing w:val="-5"/>
                <w:highlight w:val="none"/>
              </w:rPr>
              <w:t>20</w:t>
            </w:r>
          </w:p>
        </w:tc>
        <w:tc>
          <w:tcPr>
            <w:tcW w:w="1349" w:type="dxa"/>
            <w:vAlign w:val="top"/>
          </w:tcPr>
          <w:p w14:paraId="43438FBE">
            <w:pPr>
              <w:spacing w:line="470" w:lineRule="auto"/>
              <w:rPr>
                <w:rFonts w:ascii="Arial"/>
                <w:color w:val="auto"/>
                <w:sz w:val="21"/>
                <w:highlight w:val="none"/>
              </w:rPr>
            </w:pPr>
          </w:p>
          <w:p w14:paraId="70579F95">
            <w:pPr>
              <w:pStyle w:val="17"/>
              <w:spacing w:before="68" w:line="239" w:lineRule="auto"/>
              <w:ind w:left="378"/>
              <w:rPr>
                <w:color w:val="auto"/>
                <w:highlight w:val="none"/>
              </w:rPr>
            </w:pPr>
            <w:r>
              <w:rPr>
                <w:color w:val="auto"/>
                <w:spacing w:val="-4"/>
                <w:highlight w:val="none"/>
              </w:rPr>
              <w:t>17.1.7</w:t>
            </w:r>
          </w:p>
        </w:tc>
        <w:tc>
          <w:tcPr>
            <w:tcW w:w="7171" w:type="dxa"/>
            <w:vAlign w:val="top"/>
          </w:tcPr>
          <w:p w14:paraId="6158E084">
            <w:pPr>
              <w:pStyle w:val="17"/>
              <w:spacing w:before="140" w:line="220" w:lineRule="auto"/>
              <w:ind w:left="114"/>
              <w:rPr>
                <w:color w:val="auto"/>
                <w:highlight w:val="none"/>
              </w:rPr>
            </w:pPr>
            <w:r>
              <w:rPr>
                <w:color w:val="auto"/>
                <w:spacing w:val="-4"/>
                <w:highlight w:val="none"/>
              </w:rPr>
              <w:t>路面备料款的暂定计量和支付：</w:t>
            </w:r>
          </w:p>
          <w:p w14:paraId="5BEB8D8C">
            <w:pPr>
              <w:pStyle w:val="17"/>
              <w:spacing w:before="150" w:line="287" w:lineRule="auto"/>
              <w:ind w:left="112" w:right="108"/>
              <w:rPr>
                <w:color w:val="auto"/>
                <w:highlight w:val="none"/>
              </w:rPr>
            </w:pPr>
            <w:r>
              <w:rPr>
                <w:color w:val="auto"/>
                <w:spacing w:val="-3"/>
                <w:highlight w:val="none"/>
              </w:rPr>
              <w:t>计量数量：以承包人实际进场并经监理人和发包人代表验收确认数量的</w:t>
            </w:r>
            <w:r>
              <w:rPr>
                <w:color w:val="auto"/>
                <w:spacing w:val="-103"/>
                <w:highlight w:val="none"/>
              </w:rPr>
              <w:t xml:space="preserve"> </w:t>
            </w:r>
            <w:r>
              <w:rPr>
                <w:color w:val="auto"/>
                <w:spacing w:val="35"/>
                <w:highlight w:val="none"/>
                <w:u w:val="single" w:color="auto"/>
              </w:rPr>
              <w:t xml:space="preserve"> </w:t>
            </w:r>
            <w:r>
              <w:rPr>
                <w:rFonts w:hint="eastAsia"/>
                <w:color w:val="auto"/>
                <w:spacing w:val="35"/>
                <w:highlight w:val="none"/>
                <w:u w:val="single" w:color="auto"/>
                <w:lang w:val="en-US" w:eastAsia="zh-CN"/>
              </w:rPr>
              <w:t>0</w:t>
            </w:r>
            <w:r>
              <w:rPr>
                <w:color w:val="auto"/>
                <w:spacing w:val="35"/>
                <w:highlight w:val="none"/>
                <w:u w:val="single" w:color="auto"/>
              </w:rPr>
              <w:t xml:space="preserve"> </w:t>
            </w:r>
            <w:r>
              <w:rPr>
                <w:color w:val="auto"/>
                <w:spacing w:val="-102"/>
                <w:highlight w:val="none"/>
              </w:rPr>
              <w:t xml:space="preserve"> </w:t>
            </w:r>
            <w:r>
              <w:rPr>
                <w:color w:val="auto"/>
                <w:spacing w:val="-3"/>
                <w:highlight w:val="none"/>
              </w:rPr>
              <w:t>%</w:t>
            </w:r>
            <w:r>
              <w:rPr>
                <w:color w:val="auto"/>
                <w:spacing w:val="-10"/>
                <w:highlight w:val="none"/>
              </w:rPr>
              <w:t>计。</w:t>
            </w:r>
          </w:p>
        </w:tc>
      </w:tr>
      <w:tr w14:paraId="2E2AD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597CECF2">
            <w:pPr>
              <w:pStyle w:val="17"/>
              <w:spacing w:before="225" w:line="241" w:lineRule="auto"/>
              <w:ind w:left="356"/>
              <w:rPr>
                <w:color w:val="auto"/>
                <w:highlight w:val="none"/>
              </w:rPr>
            </w:pPr>
            <w:r>
              <w:rPr>
                <w:color w:val="auto"/>
                <w:spacing w:val="-5"/>
                <w:highlight w:val="none"/>
              </w:rPr>
              <w:t>21</w:t>
            </w:r>
          </w:p>
        </w:tc>
        <w:tc>
          <w:tcPr>
            <w:tcW w:w="1349" w:type="dxa"/>
            <w:vAlign w:val="top"/>
          </w:tcPr>
          <w:p w14:paraId="6F2D79F9">
            <w:pPr>
              <w:pStyle w:val="17"/>
              <w:spacing w:before="225" w:line="232" w:lineRule="auto"/>
              <w:ind w:left="126"/>
              <w:rPr>
                <w:color w:val="auto"/>
                <w:highlight w:val="none"/>
              </w:rPr>
            </w:pPr>
            <w:r>
              <w:rPr>
                <w:color w:val="auto"/>
                <w:spacing w:val="-3"/>
                <w:highlight w:val="none"/>
              </w:rPr>
              <w:t>17.2.1（1）</w:t>
            </w:r>
          </w:p>
        </w:tc>
        <w:tc>
          <w:tcPr>
            <w:tcW w:w="7171" w:type="dxa"/>
            <w:vAlign w:val="top"/>
          </w:tcPr>
          <w:p w14:paraId="77FCC19F">
            <w:pPr>
              <w:pStyle w:val="17"/>
              <w:spacing w:before="209" w:line="232" w:lineRule="auto"/>
              <w:ind w:left="113"/>
              <w:rPr>
                <w:rFonts w:hint="eastAsia" w:eastAsia="宋体"/>
                <w:color w:val="auto"/>
                <w:sz w:val="10"/>
                <w:szCs w:val="10"/>
                <w:highlight w:val="none"/>
                <w:lang w:eastAsia="zh-CN"/>
              </w:rPr>
            </w:pPr>
            <w:r>
              <w:rPr>
                <w:color w:val="auto"/>
                <w:spacing w:val="-1"/>
                <w:highlight w:val="none"/>
              </w:rPr>
              <w:t>开工预付款金额：</w:t>
            </w:r>
            <w:r>
              <w:rPr>
                <w:rFonts w:hint="eastAsia"/>
                <w:color w:val="auto"/>
                <w:spacing w:val="-1"/>
                <w:highlight w:val="none"/>
                <w:u w:val="single" w:color="auto"/>
              </w:rPr>
              <w:t>最高不超过30%，最低不低于10%签约合同价（扣除暂列金额，具体金额以双方协商为准），须提供等额的开工预付款保函</w:t>
            </w:r>
            <w:r>
              <w:rPr>
                <w:rFonts w:hint="eastAsia"/>
                <w:color w:val="auto"/>
                <w:spacing w:val="-1"/>
                <w:highlight w:val="none"/>
                <w:u w:val="single" w:color="auto"/>
                <w:lang w:eastAsia="zh-CN"/>
              </w:rPr>
              <w:t>。</w:t>
            </w:r>
          </w:p>
        </w:tc>
      </w:tr>
      <w:tr w14:paraId="5F5C4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64746934">
            <w:pPr>
              <w:pStyle w:val="17"/>
              <w:spacing w:before="225" w:line="241" w:lineRule="auto"/>
              <w:ind w:left="356"/>
              <w:rPr>
                <w:color w:val="auto"/>
                <w:highlight w:val="none"/>
              </w:rPr>
            </w:pPr>
            <w:r>
              <w:rPr>
                <w:color w:val="auto"/>
                <w:spacing w:val="-5"/>
                <w:highlight w:val="none"/>
              </w:rPr>
              <w:t>22</w:t>
            </w:r>
          </w:p>
        </w:tc>
        <w:tc>
          <w:tcPr>
            <w:tcW w:w="1349" w:type="dxa"/>
            <w:vAlign w:val="top"/>
          </w:tcPr>
          <w:p w14:paraId="7B491847">
            <w:pPr>
              <w:pStyle w:val="17"/>
              <w:spacing w:before="225" w:line="232" w:lineRule="auto"/>
              <w:ind w:left="126"/>
              <w:rPr>
                <w:color w:val="auto"/>
                <w:highlight w:val="none"/>
              </w:rPr>
            </w:pPr>
            <w:r>
              <w:rPr>
                <w:color w:val="auto"/>
                <w:spacing w:val="-3"/>
                <w:highlight w:val="none"/>
              </w:rPr>
              <w:t>17.2.1（2）</w:t>
            </w:r>
          </w:p>
        </w:tc>
        <w:tc>
          <w:tcPr>
            <w:tcW w:w="7171" w:type="dxa"/>
            <w:vAlign w:val="top"/>
          </w:tcPr>
          <w:p w14:paraId="39A7142F">
            <w:pPr>
              <w:pStyle w:val="17"/>
              <w:spacing w:before="209" w:line="233" w:lineRule="auto"/>
              <w:ind w:left="112"/>
              <w:rPr>
                <w:rFonts w:hint="default"/>
                <w:color w:val="auto"/>
                <w:sz w:val="10"/>
                <w:szCs w:val="10"/>
                <w:highlight w:val="none"/>
                <w:lang w:val="en-US"/>
              </w:rPr>
            </w:pPr>
            <w:r>
              <w:rPr>
                <w:color w:val="auto"/>
                <w:highlight w:val="none"/>
              </w:rPr>
              <w:t>材料、设备预付款比例：</w:t>
            </w:r>
            <w:r>
              <w:rPr>
                <w:color w:val="auto"/>
                <w:highlight w:val="none"/>
                <w:u w:val="single" w:color="auto"/>
              </w:rPr>
              <w:t xml:space="preserve"> </w:t>
            </w:r>
            <w:r>
              <w:rPr>
                <w:rFonts w:hint="eastAsia" w:ascii="宋体" w:hAnsi="宋体" w:eastAsia="宋体" w:cs="宋体"/>
                <w:color w:val="auto"/>
                <w:kern w:val="2"/>
                <w:sz w:val="21"/>
                <w:szCs w:val="21"/>
                <w:highlight w:val="none"/>
                <w:u w:val="single"/>
                <w:lang w:val="en-US" w:eastAsia="zh-CN" w:bidi="ar"/>
              </w:rPr>
              <w:t>/</w:t>
            </w:r>
            <w:r>
              <w:rPr>
                <w:rFonts w:hint="eastAsia" w:cs="宋体"/>
                <w:color w:val="auto"/>
                <w:kern w:val="2"/>
                <w:sz w:val="21"/>
                <w:szCs w:val="21"/>
                <w:highlight w:val="none"/>
                <w:u w:val="single"/>
                <w:lang w:val="en-US" w:eastAsia="zh-CN" w:bidi="ar"/>
              </w:rPr>
              <w:t xml:space="preserve"> 。</w:t>
            </w:r>
          </w:p>
        </w:tc>
      </w:tr>
      <w:tr w14:paraId="2A617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7" w:type="dxa"/>
            <w:vAlign w:val="top"/>
          </w:tcPr>
          <w:p w14:paraId="3D6DF548">
            <w:pPr>
              <w:pStyle w:val="17"/>
              <w:spacing w:before="224"/>
              <w:ind w:left="356"/>
              <w:rPr>
                <w:color w:val="auto"/>
                <w:highlight w:val="none"/>
              </w:rPr>
            </w:pPr>
            <w:r>
              <w:rPr>
                <w:color w:val="auto"/>
                <w:spacing w:val="-5"/>
                <w:highlight w:val="none"/>
              </w:rPr>
              <w:t>23</w:t>
            </w:r>
          </w:p>
        </w:tc>
        <w:tc>
          <w:tcPr>
            <w:tcW w:w="1349" w:type="dxa"/>
            <w:vAlign w:val="top"/>
          </w:tcPr>
          <w:p w14:paraId="2D88AE74">
            <w:pPr>
              <w:pStyle w:val="17"/>
              <w:spacing w:before="224" w:line="239" w:lineRule="auto"/>
              <w:ind w:left="378"/>
              <w:rPr>
                <w:color w:val="auto"/>
                <w:highlight w:val="none"/>
              </w:rPr>
            </w:pPr>
            <w:r>
              <w:rPr>
                <w:color w:val="auto"/>
                <w:spacing w:val="-4"/>
                <w:highlight w:val="none"/>
              </w:rPr>
              <w:t>17.3.2</w:t>
            </w:r>
          </w:p>
        </w:tc>
        <w:tc>
          <w:tcPr>
            <w:tcW w:w="7171" w:type="dxa"/>
            <w:vAlign w:val="top"/>
          </w:tcPr>
          <w:p w14:paraId="7C83C1EF">
            <w:pPr>
              <w:pStyle w:val="17"/>
              <w:spacing w:before="224" w:line="220" w:lineRule="auto"/>
              <w:ind w:left="111"/>
              <w:rPr>
                <w:color w:val="auto"/>
                <w:highlight w:val="none"/>
              </w:rPr>
            </w:pPr>
            <w:r>
              <w:rPr>
                <w:color w:val="auto"/>
                <w:highlight w:val="none"/>
              </w:rPr>
              <w:t>承包人在每个付款周期末向监理人提交进度付款申请单</w:t>
            </w:r>
            <w:r>
              <w:rPr>
                <w:color w:val="auto"/>
                <w:spacing w:val="-1"/>
                <w:highlight w:val="none"/>
              </w:rPr>
              <w:t>的份数：</w:t>
            </w:r>
            <w:r>
              <w:rPr>
                <w:color w:val="auto"/>
                <w:spacing w:val="-1"/>
                <w:highlight w:val="none"/>
                <w:u w:val="single" w:color="auto"/>
              </w:rPr>
              <w:t xml:space="preserve"> </w:t>
            </w:r>
            <w:r>
              <w:rPr>
                <w:rFonts w:hint="eastAsia"/>
                <w:color w:val="auto"/>
                <w:spacing w:val="-1"/>
                <w:highlight w:val="none"/>
                <w:u w:val="single" w:color="auto"/>
                <w:lang w:val="en-US" w:eastAsia="zh-CN"/>
              </w:rPr>
              <w:t>5</w:t>
            </w:r>
            <w:r>
              <w:rPr>
                <w:color w:val="auto"/>
                <w:spacing w:val="-1"/>
                <w:highlight w:val="none"/>
                <w:u w:val="single" w:color="auto"/>
              </w:rPr>
              <w:t xml:space="preserve"> </w:t>
            </w:r>
            <w:r>
              <w:rPr>
                <w:color w:val="auto"/>
                <w:spacing w:val="-97"/>
                <w:highlight w:val="none"/>
              </w:rPr>
              <w:t xml:space="preserve"> </w:t>
            </w:r>
            <w:r>
              <w:rPr>
                <w:color w:val="auto"/>
                <w:spacing w:val="-1"/>
                <w:highlight w:val="none"/>
              </w:rPr>
              <w:t>份</w:t>
            </w:r>
          </w:p>
        </w:tc>
      </w:tr>
      <w:tr w14:paraId="4E45D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25A2119E">
            <w:pPr>
              <w:pStyle w:val="17"/>
              <w:spacing w:before="226" w:line="241" w:lineRule="auto"/>
              <w:ind w:left="356"/>
              <w:rPr>
                <w:color w:val="auto"/>
                <w:highlight w:val="none"/>
              </w:rPr>
            </w:pPr>
            <w:r>
              <w:rPr>
                <w:color w:val="auto"/>
                <w:spacing w:val="-5"/>
                <w:highlight w:val="none"/>
              </w:rPr>
              <w:t>24</w:t>
            </w:r>
          </w:p>
        </w:tc>
        <w:tc>
          <w:tcPr>
            <w:tcW w:w="1349" w:type="dxa"/>
            <w:vAlign w:val="top"/>
          </w:tcPr>
          <w:p w14:paraId="7D1C8DBF">
            <w:pPr>
              <w:pStyle w:val="17"/>
              <w:spacing w:before="226" w:line="222" w:lineRule="auto"/>
              <w:ind w:left="220"/>
              <w:rPr>
                <w:color w:val="auto"/>
                <w:highlight w:val="none"/>
              </w:rPr>
            </w:pPr>
            <w:r>
              <w:rPr>
                <w:color w:val="auto"/>
                <w:spacing w:val="-3"/>
                <w:highlight w:val="none"/>
              </w:rPr>
              <w:t>17.3.3(1)</w:t>
            </w:r>
          </w:p>
        </w:tc>
        <w:tc>
          <w:tcPr>
            <w:tcW w:w="7171" w:type="dxa"/>
            <w:vAlign w:val="top"/>
          </w:tcPr>
          <w:p w14:paraId="01605365">
            <w:pPr>
              <w:pStyle w:val="17"/>
              <w:spacing w:before="210" w:line="232" w:lineRule="auto"/>
              <w:ind w:left="110"/>
              <w:rPr>
                <w:color w:val="auto"/>
                <w:sz w:val="10"/>
                <w:szCs w:val="10"/>
                <w:highlight w:val="none"/>
              </w:rPr>
            </w:pPr>
            <w:r>
              <w:rPr>
                <w:color w:val="auto"/>
                <w:spacing w:val="-1"/>
                <w:highlight w:val="none"/>
              </w:rPr>
              <w:t>进度付款证书最低限额：</w:t>
            </w:r>
            <w:r>
              <w:rPr>
                <w:color w:val="auto"/>
                <w:spacing w:val="-1"/>
                <w:highlight w:val="none"/>
                <w:u w:val="single" w:color="auto"/>
              </w:rPr>
              <w:t xml:space="preserve"> </w:t>
            </w:r>
            <w:r>
              <w:rPr>
                <w:rFonts w:hint="eastAsia"/>
                <w:color w:val="auto"/>
                <w:spacing w:val="-1"/>
                <w:highlight w:val="none"/>
                <w:u w:val="single" w:color="auto"/>
              </w:rPr>
              <w:t>50万元人民币</w:t>
            </w:r>
          </w:p>
        </w:tc>
      </w:tr>
      <w:tr w14:paraId="315E2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07" w:type="dxa"/>
            <w:vAlign w:val="top"/>
          </w:tcPr>
          <w:p w14:paraId="1B430062">
            <w:pPr>
              <w:pStyle w:val="17"/>
              <w:spacing w:before="225"/>
              <w:ind w:left="356"/>
              <w:rPr>
                <w:color w:val="auto"/>
                <w:highlight w:val="none"/>
              </w:rPr>
            </w:pPr>
            <w:r>
              <w:rPr>
                <w:color w:val="auto"/>
                <w:spacing w:val="-5"/>
                <w:highlight w:val="none"/>
              </w:rPr>
              <w:t>25</w:t>
            </w:r>
          </w:p>
        </w:tc>
        <w:tc>
          <w:tcPr>
            <w:tcW w:w="1349" w:type="dxa"/>
            <w:vAlign w:val="top"/>
          </w:tcPr>
          <w:p w14:paraId="4DCCC7C6">
            <w:pPr>
              <w:pStyle w:val="17"/>
              <w:spacing w:before="226" w:line="222" w:lineRule="auto"/>
              <w:ind w:left="220"/>
              <w:rPr>
                <w:color w:val="auto"/>
                <w:highlight w:val="none"/>
              </w:rPr>
            </w:pPr>
            <w:r>
              <w:rPr>
                <w:color w:val="auto"/>
                <w:spacing w:val="-3"/>
                <w:highlight w:val="none"/>
              </w:rPr>
              <w:t>17.3.3(2)</w:t>
            </w:r>
          </w:p>
        </w:tc>
        <w:tc>
          <w:tcPr>
            <w:tcW w:w="7171" w:type="dxa"/>
            <w:vAlign w:val="top"/>
          </w:tcPr>
          <w:p w14:paraId="326753DE">
            <w:pPr>
              <w:pStyle w:val="17"/>
              <w:spacing w:before="210" w:line="232" w:lineRule="auto"/>
              <w:ind w:left="110"/>
              <w:rPr>
                <w:rFonts w:hint="eastAsia" w:eastAsia="宋体"/>
                <w:color w:val="auto"/>
                <w:sz w:val="10"/>
                <w:szCs w:val="10"/>
                <w:highlight w:val="none"/>
                <w:lang w:val="en-US" w:eastAsia="zh-CN"/>
              </w:rPr>
            </w:pPr>
            <w:r>
              <w:rPr>
                <w:color w:val="auto"/>
                <w:spacing w:val="-1"/>
                <w:highlight w:val="none"/>
              </w:rPr>
              <w:t>逾期付款违约金的利率：</w:t>
            </w:r>
            <w:r>
              <w:rPr>
                <w:rFonts w:hint="eastAsia" w:ascii="宋体" w:hAnsi="宋体" w:eastAsia="宋体" w:cs="宋体"/>
                <w:snapToGrid w:val="0"/>
                <w:color w:val="auto"/>
                <w:spacing w:val="-1"/>
                <w:kern w:val="0"/>
                <w:sz w:val="21"/>
                <w:szCs w:val="21"/>
                <w:highlight w:val="none"/>
                <w:u w:val="single" w:color="auto"/>
                <w:lang w:val="en-US" w:eastAsia="zh-CN" w:bidi="ar"/>
              </w:rPr>
              <w:t>相当于中国人民银行短期贷款利率加手续费</w:t>
            </w:r>
            <w:r>
              <w:rPr>
                <w:rFonts w:hint="eastAsia"/>
                <w:color w:val="auto"/>
                <w:spacing w:val="-1"/>
                <w:highlight w:val="none"/>
                <w:u w:val="single" w:color="auto"/>
                <w:lang w:val="en-US" w:eastAsia="zh-CN"/>
              </w:rPr>
              <w:t xml:space="preserve"> </w:t>
            </w:r>
          </w:p>
        </w:tc>
      </w:tr>
    </w:tbl>
    <w:p w14:paraId="33D43E59">
      <w:pPr>
        <w:pStyle w:val="3"/>
        <w:spacing w:line="431" w:lineRule="auto"/>
        <w:rPr>
          <w:color w:val="auto"/>
          <w:highlight w:val="none"/>
        </w:rPr>
      </w:pPr>
    </w:p>
    <w:p w14:paraId="79701B0C">
      <w:pPr>
        <w:spacing w:line="217" w:lineRule="auto"/>
        <w:rPr>
          <w:rFonts w:ascii="宋体" w:hAnsi="宋体" w:eastAsia="宋体" w:cs="宋体"/>
          <w:color w:val="auto"/>
          <w:sz w:val="18"/>
          <w:szCs w:val="18"/>
          <w:highlight w:val="none"/>
        </w:rPr>
        <w:sectPr>
          <w:headerReference r:id="rId54" w:type="default"/>
          <w:footerReference r:id="rId55" w:type="default"/>
          <w:pgSz w:w="11905" w:h="16840"/>
          <w:pgMar w:top="1182" w:right="0" w:bottom="1171" w:left="0" w:header="849" w:footer="937" w:gutter="0"/>
          <w:pgNumType w:fmt="decimal"/>
          <w:cols w:space="720" w:num="1"/>
        </w:sectPr>
      </w:pPr>
    </w:p>
    <w:p w14:paraId="1389127A">
      <w:pPr>
        <w:spacing w:line="234" w:lineRule="exact"/>
        <w:rPr>
          <w:color w:val="auto"/>
          <w:highlight w:val="none"/>
        </w:rPr>
      </w:pPr>
    </w:p>
    <w:tbl>
      <w:tblPr>
        <w:tblStyle w:val="16"/>
        <w:tblW w:w="9427"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
        <w:gridCol w:w="1"/>
        <w:gridCol w:w="1348"/>
        <w:gridCol w:w="1"/>
        <w:gridCol w:w="7170"/>
        <w:gridCol w:w="1"/>
      </w:tblGrid>
      <w:tr w14:paraId="2DDD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7" w:hRule="atLeast"/>
        </w:trPr>
        <w:tc>
          <w:tcPr>
            <w:tcW w:w="906" w:type="dxa"/>
            <w:vAlign w:val="top"/>
          </w:tcPr>
          <w:p w14:paraId="163627A8">
            <w:pPr>
              <w:pStyle w:val="17"/>
              <w:spacing w:before="226" w:line="221" w:lineRule="auto"/>
              <w:ind w:left="248"/>
              <w:rPr>
                <w:color w:val="auto"/>
                <w:highlight w:val="none"/>
              </w:rPr>
            </w:pPr>
            <w:r>
              <w:rPr>
                <w:b/>
                <w:bCs/>
                <w:color w:val="auto"/>
                <w:spacing w:val="-4"/>
                <w:highlight w:val="none"/>
              </w:rPr>
              <w:t>序号</w:t>
            </w:r>
          </w:p>
        </w:tc>
        <w:tc>
          <w:tcPr>
            <w:tcW w:w="1349" w:type="dxa"/>
            <w:gridSpan w:val="2"/>
            <w:vAlign w:val="top"/>
          </w:tcPr>
          <w:p w14:paraId="08D3EDD3">
            <w:pPr>
              <w:pStyle w:val="17"/>
              <w:spacing w:before="225" w:line="220" w:lineRule="auto"/>
              <w:ind w:left="366"/>
              <w:rPr>
                <w:color w:val="auto"/>
                <w:highlight w:val="none"/>
              </w:rPr>
            </w:pPr>
            <w:r>
              <w:rPr>
                <w:b/>
                <w:bCs/>
                <w:color w:val="auto"/>
                <w:spacing w:val="-6"/>
                <w:highlight w:val="none"/>
              </w:rPr>
              <w:t>条目号</w:t>
            </w:r>
          </w:p>
        </w:tc>
        <w:tc>
          <w:tcPr>
            <w:tcW w:w="7171" w:type="dxa"/>
            <w:gridSpan w:val="2"/>
            <w:vAlign w:val="top"/>
          </w:tcPr>
          <w:p w14:paraId="2AD80681">
            <w:pPr>
              <w:pStyle w:val="17"/>
              <w:spacing w:before="225" w:line="220" w:lineRule="auto"/>
              <w:ind w:left="3065"/>
              <w:rPr>
                <w:color w:val="auto"/>
                <w:highlight w:val="none"/>
              </w:rPr>
            </w:pPr>
            <w:r>
              <w:rPr>
                <w:b/>
                <w:bCs/>
                <w:color w:val="auto"/>
                <w:spacing w:val="-4"/>
                <w:highlight w:val="none"/>
              </w:rPr>
              <w:t>信息或数据</w:t>
            </w:r>
          </w:p>
        </w:tc>
      </w:tr>
      <w:tr w14:paraId="76C99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362" w:hRule="atLeast"/>
        </w:trPr>
        <w:tc>
          <w:tcPr>
            <w:tcW w:w="906" w:type="dxa"/>
            <w:vAlign w:val="top"/>
          </w:tcPr>
          <w:p w14:paraId="7E5E860C">
            <w:pPr>
              <w:spacing w:line="265" w:lineRule="auto"/>
              <w:rPr>
                <w:rFonts w:ascii="Arial"/>
                <w:color w:val="auto"/>
                <w:sz w:val="21"/>
                <w:highlight w:val="none"/>
              </w:rPr>
            </w:pPr>
          </w:p>
          <w:p w14:paraId="6BEAFEED">
            <w:pPr>
              <w:spacing w:line="266" w:lineRule="auto"/>
              <w:rPr>
                <w:rFonts w:ascii="Arial"/>
                <w:color w:val="auto"/>
                <w:sz w:val="21"/>
                <w:highlight w:val="none"/>
              </w:rPr>
            </w:pPr>
          </w:p>
          <w:p w14:paraId="1EC7BDEF">
            <w:pPr>
              <w:pStyle w:val="17"/>
              <w:spacing w:before="68"/>
              <w:ind w:left="356"/>
              <w:rPr>
                <w:color w:val="auto"/>
                <w:highlight w:val="none"/>
              </w:rPr>
            </w:pPr>
            <w:r>
              <w:rPr>
                <w:color w:val="auto"/>
                <w:spacing w:val="-5"/>
                <w:highlight w:val="none"/>
              </w:rPr>
              <w:t>26</w:t>
            </w:r>
          </w:p>
        </w:tc>
        <w:tc>
          <w:tcPr>
            <w:tcW w:w="1349" w:type="dxa"/>
            <w:gridSpan w:val="2"/>
            <w:vAlign w:val="top"/>
          </w:tcPr>
          <w:p w14:paraId="28C3DF3F">
            <w:pPr>
              <w:spacing w:line="265" w:lineRule="auto"/>
              <w:rPr>
                <w:rFonts w:ascii="Arial"/>
                <w:color w:val="auto"/>
                <w:sz w:val="21"/>
                <w:highlight w:val="none"/>
              </w:rPr>
            </w:pPr>
          </w:p>
          <w:p w14:paraId="4F29143D">
            <w:pPr>
              <w:spacing w:line="266" w:lineRule="auto"/>
              <w:rPr>
                <w:rFonts w:ascii="Arial"/>
                <w:color w:val="auto"/>
                <w:sz w:val="21"/>
                <w:highlight w:val="none"/>
              </w:rPr>
            </w:pPr>
          </w:p>
          <w:p w14:paraId="0984DBDB">
            <w:pPr>
              <w:pStyle w:val="17"/>
              <w:spacing w:before="68" w:line="239" w:lineRule="auto"/>
              <w:ind w:left="379"/>
              <w:rPr>
                <w:color w:val="auto"/>
                <w:highlight w:val="none"/>
              </w:rPr>
            </w:pPr>
            <w:r>
              <w:rPr>
                <w:color w:val="auto"/>
                <w:spacing w:val="-4"/>
                <w:highlight w:val="none"/>
              </w:rPr>
              <w:t>17.4.1</w:t>
            </w:r>
          </w:p>
        </w:tc>
        <w:tc>
          <w:tcPr>
            <w:tcW w:w="7171" w:type="dxa"/>
            <w:gridSpan w:val="2"/>
            <w:vAlign w:val="top"/>
          </w:tcPr>
          <w:p w14:paraId="006868DB">
            <w:pPr>
              <w:pStyle w:val="17"/>
              <w:spacing w:before="123" w:line="356" w:lineRule="auto"/>
              <w:ind w:left="112" w:right="106" w:firstLine="1"/>
              <w:jc w:val="both"/>
              <w:rPr>
                <w:color w:val="auto"/>
                <w:sz w:val="10"/>
                <w:szCs w:val="10"/>
                <w:highlight w:val="none"/>
                <w:u w:val="single" w:color="auto"/>
              </w:rPr>
            </w:pPr>
            <w:r>
              <w:rPr>
                <w:color w:val="auto"/>
                <w:highlight w:val="none"/>
              </w:rPr>
              <w:t>质量保证金限额：</w:t>
            </w:r>
            <w:r>
              <w:rPr>
                <w:rFonts w:hint="eastAsia"/>
                <w:color w:val="auto"/>
                <w:highlight w:val="none"/>
                <w:u w:val="single" w:color="auto"/>
              </w:rPr>
              <w:t>3%合同价格，采用银行保函的方式提交。</w:t>
            </w:r>
          </w:p>
          <w:p w14:paraId="68554151">
            <w:pPr>
              <w:pStyle w:val="17"/>
              <w:spacing w:before="1" w:line="219" w:lineRule="auto"/>
              <w:ind w:left="114"/>
              <w:rPr>
                <w:color w:val="auto"/>
                <w:highlight w:val="none"/>
              </w:rPr>
            </w:pPr>
            <w:r>
              <w:rPr>
                <w:color w:val="auto"/>
                <w:spacing w:val="-5"/>
                <w:highlight w:val="none"/>
              </w:rPr>
              <w:t>质量保证金是否计付利息：</w:t>
            </w:r>
          </w:p>
          <w:p w14:paraId="1322600B">
            <w:pPr>
              <w:pStyle w:val="17"/>
              <w:spacing w:before="149" w:line="288" w:lineRule="auto"/>
              <w:ind w:left="134" w:right="1706"/>
              <w:rPr>
                <w:color w:val="auto"/>
                <w:highlight w:val="none"/>
              </w:rPr>
            </w:pPr>
            <w:r>
              <w:rPr>
                <w:color w:val="auto"/>
                <w:spacing w:val="-1"/>
                <w:highlight w:val="none"/>
              </w:rPr>
              <w:t>□是，利息的计算方式：</w:t>
            </w:r>
            <w:r>
              <w:rPr>
                <w:color w:val="auto"/>
                <w:spacing w:val="-1"/>
                <w:highlight w:val="none"/>
                <w:u w:val="single" w:color="auto"/>
              </w:rPr>
              <w:t xml:space="preserve">                             </w:t>
            </w:r>
            <w:r>
              <w:rPr>
                <w:rFonts w:hint="eastAsia"/>
                <w:color w:val="auto"/>
                <w:spacing w:val="-8"/>
                <w:highlight w:val="none"/>
                <w:lang w:eastAsia="zh-CN"/>
              </w:rPr>
              <w:t>☑</w:t>
            </w:r>
            <w:r>
              <w:rPr>
                <w:color w:val="auto"/>
                <w:spacing w:val="-8"/>
                <w:highlight w:val="none"/>
              </w:rPr>
              <w:t>否</w:t>
            </w:r>
          </w:p>
        </w:tc>
      </w:tr>
      <w:tr w14:paraId="743DB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906" w:type="dxa"/>
            <w:vAlign w:val="top"/>
          </w:tcPr>
          <w:p w14:paraId="5B131DFA">
            <w:pPr>
              <w:pStyle w:val="17"/>
              <w:spacing w:before="222"/>
              <w:ind w:left="356"/>
              <w:rPr>
                <w:color w:val="auto"/>
                <w:highlight w:val="none"/>
              </w:rPr>
            </w:pPr>
            <w:r>
              <w:rPr>
                <w:color w:val="auto"/>
                <w:spacing w:val="-5"/>
                <w:highlight w:val="none"/>
              </w:rPr>
              <w:t>27</w:t>
            </w:r>
          </w:p>
        </w:tc>
        <w:tc>
          <w:tcPr>
            <w:tcW w:w="1349" w:type="dxa"/>
            <w:gridSpan w:val="2"/>
            <w:vAlign w:val="top"/>
          </w:tcPr>
          <w:p w14:paraId="615EC15D">
            <w:pPr>
              <w:pStyle w:val="17"/>
              <w:spacing w:before="222" w:line="232" w:lineRule="auto"/>
              <w:ind w:left="127"/>
              <w:rPr>
                <w:color w:val="auto"/>
                <w:highlight w:val="none"/>
              </w:rPr>
            </w:pPr>
            <w:r>
              <w:rPr>
                <w:color w:val="auto"/>
                <w:spacing w:val="-3"/>
                <w:highlight w:val="none"/>
              </w:rPr>
              <w:t>17.5.1（1）</w:t>
            </w:r>
          </w:p>
        </w:tc>
        <w:tc>
          <w:tcPr>
            <w:tcW w:w="7171" w:type="dxa"/>
            <w:gridSpan w:val="2"/>
            <w:vAlign w:val="top"/>
          </w:tcPr>
          <w:p w14:paraId="727D8342">
            <w:pPr>
              <w:pStyle w:val="17"/>
              <w:spacing w:before="222" w:line="219" w:lineRule="auto"/>
              <w:ind w:left="113"/>
              <w:rPr>
                <w:color w:val="auto"/>
                <w:highlight w:val="none"/>
              </w:rPr>
            </w:pPr>
            <w:r>
              <w:rPr>
                <w:color w:val="auto"/>
                <w:highlight w:val="none"/>
              </w:rPr>
              <w:t>承包人向监理人提交交工付款申请单(包括相关证明材料</w:t>
            </w:r>
            <w:r>
              <w:rPr>
                <w:color w:val="auto"/>
                <w:spacing w:val="-1"/>
                <w:highlight w:val="none"/>
              </w:rPr>
              <w:t>)的份数：</w:t>
            </w:r>
            <w:r>
              <w:rPr>
                <w:color w:val="auto"/>
                <w:spacing w:val="-1"/>
                <w:highlight w:val="none"/>
                <w:u w:val="single" w:color="auto"/>
              </w:rPr>
              <w:t xml:space="preserve">  </w:t>
            </w:r>
            <w:r>
              <w:rPr>
                <w:rFonts w:hint="eastAsia"/>
                <w:color w:val="auto"/>
                <w:spacing w:val="-1"/>
                <w:highlight w:val="none"/>
                <w:u w:val="single" w:color="auto"/>
                <w:lang w:val="en-US" w:eastAsia="zh-CN"/>
              </w:rPr>
              <w:t>5</w:t>
            </w:r>
            <w:r>
              <w:rPr>
                <w:color w:val="auto"/>
                <w:spacing w:val="-1"/>
                <w:highlight w:val="none"/>
                <w:u w:val="single" w:color="auto"/>
              </w:rPr>
              <w:t xml:space="preserve">  </w:t>
            </w:r>
            <w:r>
              <w:rPr>
                <w:color w:val="auto"/>
                <w:spacing w:val="-97"/>
                <w:highlight w:val="none"/>
              </w:rPr>
              <w:t xml:space="preserve"> </w:t>
            </w:r>
            <w:r>
              <w:rPr>
                <w:color w:val="auto"/>
                <w:spacing w:val="-1"/>
                <w:highlight w:val="none"/>
              </w:rPr>
              <w:t>份</w:t>
            </w:r>
          </w:p>
        </w:tc>
      </w:tr>
      <w:tr w14:paraId="4214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906" w:type="dxa"/>
            <w:vAlign w:val="top"/>
          </w:tcPr>
          <w:p w14:paraId="15A5476F">
            <w:pPr>
              <w:pStyle w:val="17"/>
              <w:spacing w:before="222"/>
              <w:ind w:left="356"/>
              <w:rPr>
                <w:color w:val="auto"/>
                <w:highlight w:val="none"/>
              </w:rPr>
            </w:pPr>
            <w:r>
              <w:rPr>
                <w:color w:val="auto"/>
                <w:spacing w:val="-5"/>
                <w:highlight w:val="none"/>
              </w:rPr>
              <w:t>28</w:t>
            </w:r>
          </w:p>
        </w:tc>
        <w:tc>
          <w:tcPr>
            <w:tcW w:w="1349" w:type="dxa"/>
            <w:gridSpan w:val="2"/>
            <w:vAlign w:val="top"/>
          </w:tcPr>
          <w:p w14:paraId="6000D510">
            <w:pPr>
              <w:pStyle w:val="17"/>
              <w:spacing w:before="222" w:line="232" w:lineRule="auto"/>
              <w:ind w:left="127"/>
              <w:rPr>
                <w:color w:val="auto"/>
                <w:highlight w:val="none"/>
              </w:rPr>
            </w:pPr>
            <w:r>
              <w:rPr>
                <w:color w:val="auto"/>
                <w:spacing w:val="-3"/>
                <w:highlight w:val="none"/>
              </w:rPr>
              <w:t>17.6.1（1）</w:t>
            </w:r>
          </w:p>
        </w:tc>
        <w:tc>
          <w:tcPr>
            <w:tcW w:w="7171" w:type="dxa"/>
            <w:gridSpan w:val="2"/>
            <w:vAlign w:val="top"/>
          </w:tcPr>
          <w:p w14:paraId="0A1DCBFB">
            <w:pPr>
              <w:pStyle w:val="17"/>
              <w:spacing w:before="222" w:line="219" w:lineRule="auto"/>
              <w:ind w:left="113"/>
              <w:rPr>
                <w:color w:val="auto"/>
                <w:highlight w:val="none"/>
              </w:rPr>
            </w:pPr>
            <w:r>
              <w:rPr>
                <w:color w:val="auto"/>
                <w:highlight w:val="none"/>
              </w:rPr>
              <w:t>承包人向监理人提交最终结清申请单(包括相关证明材料</w:t>
            </w:r>
            <w:r>
              <w:rPr>
                <w:color w:val="auto"/>
                <w:spacing w:val="-1"/>
                <w:highlight w:val="none"/>
              </w:rPr>
              <w:t>)的份数：</w:t>
            </w:r>
            <w:r>
              <w:rPr>
                <w:color w:val="auto"/>
                <w:spacing w:val="-1"/>
                <w:highlight w:val="none"/>
                <w:u w:val="single" w:color="auto"/>
              </w:rPr>
              <w:t xml:space="preserve">  </w:t>
            </w:r>
            <w:r>
              <w:rPr>
                <w:rFonts w:hint="eastAsia"/>
                <w:color w:val="auto"/>
                <w:spacing w:val="-1"/>
                <w:highlight w:val="none"/>
                <w:u w:val="single" w:color="auto"/>
                <w:lang w:val="en-US" w:eastAsia="zh-CN"/>
              </w:rPr>
              <w:t>5</w:t>
            </w:r>
            <w:r>
              <w:rPr>
                <w:color w:val="auto"/>
                <w:spacing w:val="-1"/>
                <w:highlight w:val="none"/>
                <w:u w:val="single" w:color="auto"/>
              </w:rPr>
              <w:t xml:space="preserve">  </w:t>
            </w:r>
            <w:r>
              <w:rPr>
                <w:color w:val="auto"/>
                <w:spacing w:val="-97"/>
                <w:highlight w:val="none"/>
              </w:rPr>
              <w:t xml:space="preserve"> </w:t>
            </w:r>
            <w:r>
              <w:rPr>
                <w:color w:val="auto"/>
                <w:spacing w:val="-1"/>
                <w:highlight w:val="none"/>
              </w:rPr>
              <w:t>份</w:t>
            </w:r>
          </w:p>
        </w:tc>
      </w:tr>
      <w:tr w14:paraId="4A55C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906" w:type="dxa"/>
            <w:vAlign w:val="top"/>
          </w:tcPr>
          <w:p w14:paraId="09B3B128">
            <w:pPr>
              <w:pStyle w:val="17"/>
              <w:spacing w:before="223"/>
              <w:ind w:left="356"/>
              <w:rPr>
                <w:color w:val="auto"/>
                <w:highlight w:val="none"/>
              </w:rPr>
            </w:pPr>
            <w:r>
              <w:rPr>
                <w:color w:val="auto"/>
                <w:spacing w:val="-5"/>
                <w:highlight w:val="none"/>
              </w:rPr>
              <w:t>29</w:t>
            </w:r>
          </w:p>
        </w:tc>
        <w:tc>
          <w:tcPr>
            <w:tcW w:w="1349" w:type="dxa"/>
            <w:gridSpan w:val="2"/>
            <w:vAlign w:val="top"/>
          </w:tcPr>
          <w:p w14:paraId="7D20AE4E">
            <w:pPr>
              <w:pStyle w:val="17"/>
              <w:spacing w:before="223" w:line="232" w:lineRule="auto"/>
              <w:ind w:left="221"/>
              <w:rPr>
                <w:color w:val="auto"/>
                <w:highlight w:val="none"/>
              </w:rPr>
            </w:pPr>
            <w:r>
              <w:rPr>
                <w:color w:val="auto"/>
                <w:spacing w:val="-5"/>
                <w:highlight w:val="none"/>
              </w:rPr>
              <w:t>18.2（2）</w:t>
            </w:r>
          </w:p>
        </w:tc>
        <w:tc>
          <w:tcPr>
            <w:tcW w:w="7171" w:type="dxa"/>
            <w:gridSpan w:val="2"/>
            <w:vAlign w:val="top"/>
          </w:tcPr>
          <w:p w14:paraId="54D7C999">
            <w:pPr>
              <w:pStyle w:val="17"/>
              <w:spacing w:before="222" w:line="220" w:lineRule="auto"/>
              <w:ind w:left="114"/>
              <w:rPr>
                <w:color w:val="auto"/>
                <w:highlight w:val="none"/>
              </w:rPr>
            </w:pPr>
            <w:r>
              <w:rPr>
                <w:color w:val="auto"/>
                <w:spacing w:val="-1"/>
                <w:highlight w:val="none"/>
              </w:rPr>
              <w:t>竣工资料的份数：</w:t>
            </w:r>
            <w:r>
              <w:rPr>
                <w:color w:val="auto"/>
                <w:spacing w:val="-1"/>
                <w:highlight w:val="none"/>
                <w:u w:val="single" w:color="auto"/>
              </w:rPr>
              <w:t xml:space="preserve">  </w:t>
            </w:r>
            <w:r>
              <w:rPr>
                <w:rFonts w:hint="eastAsia"/>
                <w:color w:val="auto"/>
                <w:spacing w:val="-1"/>
                <w:highlight w:val="none"/>
                <w:u w:val="single" w:color="auto"/>
                <w:lang w:val="en-US" w:eastAsia="zh-CN"/>
              </w:rPr>
              <w:t>6</w:t>
            </w:r>
            <w:r>
              <w:rPr>
                <w:color w:val="auto"/>
                <w:spacing w:val="-1"/>
                <w:highlight w:val="none"/>
                <w:u w:val="single" w:color="auto"/>
              </w:rPr>
              <w:t xml:space="preserve">  </w:t>
            </w:r>
            <w:r>
              <w:rPr>
                <w:color w:val="auto"/>
                <w:spacing w:val="-95"/>
                <w:highlight w:val="none"/>
              </w:rPr>
              <w:t xml:space="preserve"> </w:t>
            </w:r>
            <w:r>
              <w:rPr>
                <w:color w:val="auto"/>
                <w:spacing w:val="-1"/>
                <w:highlight w:val="none"/>
              </w:rPr>
              <w:t>份</w:t>
            </w:r>
          </w:p>
        </w:tc>
      </w:tr>
      <w:tr w14:paraId="77DFB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539" w:hRule="atLeast"/>
        </w:trPr>
        <w:tc>
          <w:tcPr>
            <w:tcW w:w="906" w:type="dxa"/>
            <w:vAlign w:val="top"/>
          </w:tcPr>
          <w:p w14:paraId="59BEAC7D">
            <w:pPr>
              <w:spacing w:line="317" w:lineRule="auto"/>
              <w:rPr>
                <w:rFonts w:ascii="Arial"/>
                <w:color w:val="auto"/>
                <w:sz w:val="21"/>
                <w:highlight w:val="none"/>
              </w:rPr>
            </w:pPr>
          </w:p>
          <w:p w14:paraId="232B6F32">
            <w:pPr>
              <w:spacing w:line="317" w:lineRule="auto"/>
              <w:rPr>
                <w:rFonts w:ascii="Arial"/>
                <w:color w:val="auto"/>
                <w:sz w:val="21"/>
                <w:highlight w:val="none"/>
              </w:rPr>
            </w:pPr>
          </w:p>
          <w:p w14:paraId="3F780949">
            <w:pPr>
              <w:pStyle w:val="17"/>
              <w:spacing w:before="68"/>
              <w:ind w:left="357"/>
              <w:rPr>
                <w:color w:val="auto"/>
                <w:highlight w:val="none"/>
              </w:rPr>
            </w:pPr>
            <w:r>
              <w:rPr>
                <w:color w:val="auto"/>
                <w:spacing w:val="-6"/>
                <w:highlight w:val="none"/>
              </w:rPr>
              <w:t>30</w:t>
            </w:r>
          </w:p>
        </w:tc>
        <w:tc>
          <w:tcPr>
            <w:tcW w:w="1349" w:type="dxa"/>
            <w:gridSpan w:val="2"/>
            <w:vAlign w:val="top"/>
          </w:tcPr>
          <w:p w14:paraId="63B26412">
            <w:pPr>
              <w:spacing w:line="317" w:lineRule="auto"/>
              <w:rPr>
                <w:rFonts w:ascii="Arial"/>
                <w:color w:val="auto"/>
                <w:sz w:val="21"/>
                <w:highlight w:val="none"/>
              </w:rPr>
            </w:pPr>
          </w:p>
          <w:p w14:paraId="388933AF">
            <w:pPr>
              <w:spacing w:line="318" w:lineRule="auto"/>
              <w:rPr>
                <w:rFonts w:ascii="Arial"/>
                <w:color w:val="auto"/>
                <w:sz w:val="21"/>
                <w:highlight w:val="none"/>
              </w:rPr>
            </w:pPr>
          </w:p>
          <w:p w14:paraId="74667C84">
            <w:pPr>
              <w:pStyle w:val="17"/>
              <w:spacing w:before="68" w:line="239" w:lineRule="auto"/>
              <w:ind w:left="379"/>
              <w:rPr>
                <w:color w:val="auto"/>
                <w:highlight w:val="none"/>
              </w:rPr>
            </w:pPr>
            <w:r>
              <w:rPr>
                <w:color w:val="auto"/>
                <w:spacing w:val="-4"/>
                <w:highlight w:val="none"/>
              </w:rPr>
              <w:t>18.5.1</w:t>
            </w:r>
          </w:p>
        </w:tc>
        <w:tc>
          <w:tcPr>
            <w:tcW w:w="7171" w:type="dxa"/>
            <w:gridSpan w:val="2"/>
            <w:vAlign w:val="top"/>
          </w:tcPr>
          <w:p w14:paraId="2201C03E">
            <w:pPr>
              <w:pStyle w:val="17"/>
              <w:spacing w:before="307" w:line="220" w:lineRule="auto"/>
              <w:ind w:left="115"/>
              <w:rPr>
                <w:color w:val="auto"/>
                <w:highlight w:val="none"/>
              </w:rPr>
            </w:pPr>
            <w:r>
              <w:rPr>
                <w:color w:val="auto"/>
                <w:spacing w:val="-1"/>
                <w:highlight w:val="none"/>
              </w:rPr>
              <w:t>单位工程或工程设备是否需投入施工期运行：</w:t>
            </w:r>
            <w:r>
              <w:rPr>
                <w:color w:val="auto"/>
                <w:spacing w:val="-1"/>
                <w:highlight w:val="none"/>
                <w:u w:val="single" w:color="auto"/>
              </w:rPr>
              <w:t xml:space="preserve"> 是</w:t>
            </w:r>
            <w:r>
              <w:rPr>
                <w:color w:val="auto"/>
                <w:spacing w:val="6"/>
                <w:highlight w:val="none"/>
                <w:u w:val="single" w:color="auto"/>
              </w:rPr>
              <w:t xml:space="preserve">  </w:t>
            </w:r>
          </w:p>
          <w:p w14:paraId="0789A9AB">
            <w:pPr>
              <w:pStyle w:val="17"/>
              <w:spacing w:before="148" w:line="354" w:lineRule="auto"/>
              <w:ind w:left="115" w:right="111"/>
              <w:rPr>
                <w:color w:val="auto"/>
                <w:highlight w:val="none"/>
              </w:rPr>
            </w:pPr>
            <w:r>
              <w:rPr>
                <w:color w:val="auto"/>
                <w:highlight w:val="none"/>
              </w:rPr>
              <w:t>如单位工程或工程设备需要进行施工期运行，需要施工期运行的单位工程或</w:t>
            </w:r>
            <w:r>
              <w:rPr>
                <w:color w:val="auto"/>
                <w:spacing w:val="-2"/>
                <w:highlight w:val="none"/>
              </w:rPr>
              <w:t>工程设备规定如下：</w:t>
            </w:r>
            <w:r>
              <w:rPr>
                <w:rFonts w:hint="eastAsia"/>
                <w:color w:val="auto"/>
                <w:highlight w:val="none"/>
                <w:u w:val="single" w:color="auto"/>
              </w:rPr>
              <w:t>按监理人及发包人认可的总进度计划约定部位和时间。</w:t>
            </w:r>
          </w:p>
        </w:tc>
      </w:tr>
      <w:tr w14:paraId="4E61F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217" w:hRule="atLeast"/>
        </w:trPr>
        <w:tc>
          <w:tcPr>
            <w:tcW w:w="906" w:type="dxa"/>
            <w:vAlign w:val="top"/>
          </w:tcPr>
          <w:p w14:paraId="5D62B334">
            <w:pPr>
              <w:spacing w:line="271" w:lineRule="auto"/>
              <w:rPr>
                <w:rFonts w:ascii="Arial"/>
                <w:color w:val="auto"/>
                <w:sz w:val="21"/>
                <w:highlight w:val="none"/>
              </w:rPr>
            </w:pPr>
          </w:p>
          <w:p w14:paraId="0697AECD">
            <w:pPr>
              <w:pStyle w:val="17"/>
              <w:spacing w:before="68"/>
              <w:ind w:left="357"/>
              <w:rPr>
                <w:color w:val="auto"/>
                <w:highlight w:val="none"/>
              </w:rPr>
            </w:pPr>
            <w:r>
              <w:rPr>
                <w:color w:val="auto"/>
                <w:spacing w:val="-6"/>
                <w:highlight w:val="none"/>
              </w:rPr>
              <w:t>31</w:t>
            </w:r>
          </w:p>
        </w:tc>
        <w:tc>
          <w:tcPr>
            <w:tcW w:w="1349" w:type="dxa"/>
            <w:gridSpan w:val="2"/>
            <w:vAlign w:val="top"/>
          </w:tcPr>
          <w:p w14:paraId="21F6B928">
            <w:pPr>
              <w:spacing w:line="271" w:lineRule="auto"/>
              <w:rPr>
                <w:rFonts w:ascii="Arial"/>
                <w:color w:val="auto"/>
                <w:sz w:val="21"/>
                <w:highlight w:val="none"/>
              </w:rPr>
            </w:pPr>
          </w:p>
          <w:p w14:paraId="37992EEF">
            <w:pPr>
              <w:pStyle w:val="17"/>
              <w:spacing w:before="68" w:line="239" w:lineRule="auto"/>
              <w:ind w:left="379"/>
              <w:rPr>
                <w:color w:val="auto"/>
                <w:highlight w:val="none"/>
              </w:rPr>
            </w:pPr>
            <w:r>
              <w:rPr>
                <w:color w:val="auto"/>
                <w:spacing w:val="-4"/>
                <w:highlight w:val="none"/>
              </w:rPr>
              <w:t>18.6.1</w:t>
            </w:r>
          </w:p>
        </w:tc>
        <w:tc>
          <w:tcPr>
            <w:tcW w:w="7171" w:type="dxa"/>
            <w:gridSpan w:val="2"/>
            <w:vAlign w:val="top"/>
          </w:tcPr>
          <w:p w14:paraId="55A93E6C">
            <w:pPr>
              <w:pStyle w:val="17"/>
              <w:spacing w:before="140" w:line="219" w:lineRule="auto"/>
              <w:ind w:left="114"/>
              <w:rPr>
                <w:color w:val="auto"/>
                <w:highlight w:val="none"/>
              </w:rPr>
            </w:pPr>
            <w:r>
              <w:rPr>
                <w:color w:val="auto"/>
                <w:spacing w:val="-1"/>
                <w:highlight w:val="none"/>
              </w:rPr>
              <w:t>本工程及工程设备是否进行试运行：</w:t>
            </w:r>
            <w:r>
              <w:rPr>
                <w:color w:val="auto"/>
                <w:spacing w:val="-1"/>
                <w:highlight w:val="none"/>
                <w:u w:val="single" w:color="auto"/>
              </w:rPr>
              <w:t xml:space="preserve"> 是</w:t>
            </w:r>
            <w:r>
              <w:rPr>
                <w:color w:val="auto"/>
                <w:spacing w:val="4"/>
                <w:highlight w:val="none"/>
                <w:u w:val="single" w:color="auto"/>
              </w:rPr>
              <w:t xml:space="preserve">  </w:t>
            </w:r>
          </w:p>
          <w:p w14:paraId="4242D508">
            <w:pPr>
              <w:pStyle w:val="17"/>
              <w:spacing w:before="150" w:line="219" w:lineRule="auto"/>
              <w:ind w:left="116"/>
              <w:rPr>
                <w:color w:val="auto"/>
                <w:highlight w:val="none"/>
              </w:rPr>
            </w:pPr>
            <w:r>
              <w:rPr>
                <w:color w:val="auto"/>
                <w:spacing w:val="-1"/>
                <w:highlight w:val="none"/>
              </w:rPr>
              <w:t>如本工程及工程设备需要进行试运行，试运行的具体规定如下：</w:t>
            </w:r>
            <w:r>
              <w:rPr>
                <w:rFonts w:hint="eastAsia"/>
                <w:color w:val="auto"/>
                <w:spacing w:val="3"/>
                <w:highlight w:val="none"/>
                <w:u w:val="single" w:color="auto"/>
              </w:rPr>
              <w:t>按监理人及发包人认可的总进度计划约定部位和时间。</w:t>
            </w:r>
          </w:p>
        </w:tc>
      </w:tr>
      <w:tr w14:paraId="04238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334" w:hRule="atLeast"/>
        </w:trPr>
        <w:tc>
          <w:tcPr>
            <w:tcW w:w="906" w:type="dxa"/>
            <w:vAlign w:val="center"/>
          </w:tcPr>
          <w:p w14:paraId="797A5044">
            <w:pPr>
              <w:pStyle w:val="17"/>
              <w:spacing w:before="68"/>
              <w:jc w:val="center"/>
              <w:rPr>
                <w:color w:val="auto"/>
                <w:highlight w:val="none"/>
              </w:rPr>
            </w:pPr>
            <w:r>
              <w:rPr>
                <w:color w:val="auto"/>
                <w:spacing w:val="-6"/>
                <w:highlight w:val="none"/>
              </w:rPr>
              <w:t>32</w:t>
            </w:r>
          </w:p>
        </w:tc>
        <w:tc>
          <w:tcPr>
            <w:tcW w:w="1349" w:type="dxa"/>
            <w:gridSpan w:val="2"/>
            <w:vAlign w:val="center"/>
          </w:tcPr>
          <w:p w14:paraId="18642393">
            <w:pPr>
              <w:pStyle w:val="17"/>
              <w:spacing w:before="68" w:line="232" w:lineRule="auto"/>
              <w:jc w:val="center"/>
              <w:rPr>
                <w:color w:val="auto"/>
                <w:highlight w:val="none"/>
              </w:rPr>
            </w:pPr>
            <w:r>
              <w:rPr>
                <w:color w:val="auto"/>
                <w:spacing w:val="-6"/>
                <w:highlight w:val="none"/>
              </w:rPr>
              <w:t>19.7（1）</w:t>
            </w:r>
          </w:p>
        </w:tc>
        <w:tc>
          <w:tcPr>
            <w:tcW w:w="7171" w:type="dxa"/>
            <w:gridSpan w:val="2"/>
            <w:vAlign w:val="center"/>
          </w:tcPr>
          <w:p w14:paraId="26389CE4">
            <w:pPr>
              <w:pStyle w:val="17"/>
              <w:spacing w:before="151" w:line="220" w:lineRule="auto"/>
              <w:ind w:left="119"/>
              <w:jc w:val="left"/>
              <w:rPr>
                <w:rFonts w:hint="eastAsia"/>
                <w:color w:val="auto"/>
                <w:highlight w:val="none"/>
              </w:rPr>
            </w:pPr>
            <w:r>
              <w:rPr>
                <w:color w:val="auto"/>
                <w:spacing w:val="-2"/>
                <w:highlight w:val="none"/>
              </w:rPr>
              <w:t>保修期</w:t>
            </w:r>
            <w:r>
              <w:rPr>
                <w:color w:val="auto"/>
                <w:spacing w:val="-20"/>
                <w:position w:val="9"/>
                <w:sz w:val="10"/>
                <w:szCs w:val="10"/>
                <w:highlight w:val="none"/>
              </w:rPr>
              <w:t xml:space="preserve"> </w:t>
            </w:r>
            <w:r>
              <w:rPr>
                <w:color w:val="auto"/>
                <w:spacing w:val="-2"/>
                <w:highlight w:val="none"/>
              </w:rPr>
              <w:t>:</w:t>
            </w:r>
            <w:r>
              <w:rPr>
                <w:rFonts w:hint="eastAsia"/>
                <w:color w:val="auto"/>
                <w:highlight w:val="none"/>
              </w:rPr>
              <w:t>自实际交工日期起计算 5 年（绿化工程除外）</w:t>
            </w:r>
          </w:p>
          <w:p w14:paraId="5316FF41">
            <w:pPr>
              <w:pStyle w:val="17"/>
              <w:spacing w:before="151" w:line="220" w:lineRule="auto"/>
              <w:ind w:left="119"/>
              <w:jc w:val="left"/>
              <w:rPr>
                <w:color w:val="auto"/>
                <w:highlight w:val="none"/>
              </w:rPr>
            </w:pPr>
            <w:r>
              <w:rPr>
                <w:rFonts w:hint="eastAsia"/>
                <w:color w:val="auto"/>
                <w:highlight w:val="none"/>
              </w:rPr>
              <w:t>绿化工程： 自本项目实际交工日期之日起计算12个月后，移交发包人或发包人 委托的养护单位进行后续的管理养护工作。</w:t>
            </w:r>
          </w:p>
        </w:tc>
      </w:tr>
      <w:tr w14:paraId="1C1D9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07" w:type="dxa"/>
            <w:gridSpan w:val="2"/>
            <w:vAlign w:val="top"/>
          </w:tcPr>
          <w:p w14:paraId="1429A555">
            <w:pPr>
              <w:pStyle w:val="17"/>
              <w:spacing w:before="222"/>
              <w:ind w:left="357"/>
              <w:rPr>
                <w:color w:val="auto"/>
                <w:highlight w:val="none"/>
              </w:rPr>
            </w:pPr>
            <w:r>
              <w:rPr>
                <w:color w:val="auto"/>
                <w:spacing w:val="-6"/>
                <w:highlight w:val="none"/>
              </w:rPr>
              <w:t>33</w:t>
            </w:r>
          </w:p>
        </w:tc>
        <w:tc>
          <w:tcPr>
            <w:tcW w:w="1349" w:type="dxa"/>
            <w:gridSpan w:val="2"/>
            <w:vAlign w:val="top"/>
          </w:tcPr>
          <w:p w14:paraId="62EC3B9E">
            <w:pPr>
              <w:pStyle w:val="17"/>
              <w:spacing w:before="222" w:line="239" w:lineRule="auto"/>
              <w:ind w:left="470"/>
              <w:rPr>
                <w:color w:val="auto"/>
                <w:highlight w:val="none"/>
              </w:rPr>
            </w:pPr>
            <w:r>
              <w:rPr>
                <w:color w:val="auto"/>
                <w:spacing w:val="-3"/>
                <w:highlight w:val="none"/>
              </w:rPr>
              <w:t>20.1</w:t>
            </w:r>
          </w:p>
        </w:tc>
        <w:tc>
          <w:tcPr>
            <w:tcW w:w="7171" w:type="dxa"/>
            <w:gridSpan w:val="2"/>
            <w:vAlign w:val="top"/>
          </w:tcPr>
          <w:p w14:paraId="4894E588">
            <w:pPr>
              <w:rPr>
                <w:color w:val="auto"/>
                <w:highlight w:val="none"/>
              </w:rPr>
            </w:pPr>
            <w:r>
              <w:rPr>
                <w:rFonts w:hint="eastAsia"/>
                <w:color w:val="auto"/>
                <w:spacing w:val="-1"/>
                <w:highlight w:val="none"/>
              </w:rPr>
              <w:t>建筑工程一切险及第三方责任险的保险费率按工程量清单第100章至900章合计金额（</w:t>
            </w:r>
            <w:r>
              <w:rPr>
                <w:rFonts w:hint="eastAsia" w:ascii="Arial" w:hAnsi="Arial" w:eastAsia="Arial" w:cs="Arial"/>
                <w:snapToGrid w:val="0"/>
                <w:color w:val="auto"/>
                <w:spacing w:val="-1"/>
                <w:kern w:val="0"/>
                <w:sz w:val="21"/>
                <w:szCs w:val="21"/>
                <w:highlight w:val="none"/>
                <w:lang w:val="en-US" w:eastAsia="zh-CN" w:bidi="ar"/>
              </w:rPr>
              <w:t>扣除建筑工程一切险及第三者责任险的保险费、安全生产费、</w:t>
            </w:r>
            <w:r>
              <w:rPr>
                <w:rFonts w:hint="eastAsia" w:cs="Arial"/>
                <w:snapToGrid w:val="0"/>
                <w:color w:val="auto"/>
                <w:spacing w:val="-1"/>
                <w:kern w:val="0"/>
                <w:sz w:val="21"/>
                <w:szCs w:val="21"/>
                <w:highlight w:val="none"/>
                <w:lang w:val="en-US" w:eastAsia="zh-CN" w:bidi="ar"/>
              </w:rPr>
              <w:t>暂列金额、</w:t>
            </w:r>
            <w:r>
              <w:rPr>
                <w:rFonts w:hint="eastAsia" w:ascii="Arial" w:hAnsi="Arial" w:eastAsia="Arial" w:cs="Arial"/>
                <w:snapToGrid w:val="0"/>
                <w:color w:val="auto"/>
                <w:spacing w:val="-1"/>
                <w:kern w:val="0"/>
                <w:sz w:val="21"/>
                <w:szCs w:val="21"/>
                <w:highlight w:val="none"/>
                <w:lang w:val="en-US" w:eastAsia="zh-CN" w:bidi="ar"/>
              </w:rPr>
              <w:t>机电工程设备购置费以及临时用地费</w:t>
            </w:r>
            <w:r>
              <w:rPr>
                <w:rFonts w:hint="eastAsia"/>
                <w:color w:val="auto"/>
                <w:spacing w:val="-1"/>
                <w:highlight w:val="none"/>
              </w:rPr>
              <w:t>）的4‰计取。</w:t>
            </w:r>
          </w:p>
        </w:tc>
      </w:tr>
      <w:tr w14:paraId="32176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gridSpan w:val="2"/>
            <w:vAlign w:val="top"/>
          </w:tcPr>
          <w:p w14:paraId="616535DB">
            <w:pPr>
              <w:pStyle w:val="17"/>
              <w:spacing w:before="222"/>
              <w:ind w:left="357"/>
              <w:rPr>
                <w:color w:val="auto"/>
                <w:highlight w:val="none"/>
              </w:rPr>
            </w:pPr>
            <w:r>
              <w:rPr>
                <w:color w:val="auto"/>
                <w:spacing w:val="-6"/>
                <w:highlight w:val="none"/>
              </w:rPr>
              <w:t>34</w:t>
            </w:r>
          </w:p>
        </w:tc>
        <w:tc>
          <w:tcPr>
            <w:tcW w:w="1349" w:type="dxa"/>
            <w:gridSpan w:val="2"/>
            <w:vAlign w:val="top"/>
          </w:tcPr>
          <w:p w14:paraId="370938EC">
            <w:pPr>
              <w:pStyle w:val="17"/>
              <w:spacing w:before="222" w:line="239" w:lineRule="auto"/>
              <w:ind w:left="365"/>
              <w:rPr>
                <w:color w:val="auto"/>
                <w:highlight w:val="none"/>
              </w:rPr>
            </w:pPr>
            <w:r>
              <w:rPr>
                <w:color w:val="auto"/>
                <w:spacing w:val="-2"/>
                <w:highlight w:val="none"/>
              </w:rPr>
              <w:t>20.4.2</w:t>
            </w:r>
          </w:p>
        </w:tc>
        <w:tc>
          <w:tcPr>
            <w:tcW w:w="7171" w:type="dxa"/>
            <w:gridSpan w:val="2"/>
            <w:vAlign w:val="top"/>
          </w:tcPr>
          <w:p w14:paraId="31159347">
            <w:pPr>
              <w:pStyle w:val="17"/>
              <w:spacing w:before="222" w:line="220" w:lineRule="auto"/>
              <w:ind w:left="112"/>
              <w:rPr>
                <w:color w:val="auto"/>
                <w:highlight w:val="none"/>
              </w:rPr>
            </w:pPr>
            <w:r>
              <w:rPr>
                <w:color w:val="auto"/>
                <w:spacing w:val="-1"/>
                <w:highlight w:val="none"/>
              </w:rPr>
              <w:t>第三者责任险的最低投保金额：</w:t>
            </w:r>
            <w:r>
              <w:rPr>
                <w:color w:val="auto"/>
                <w:spacing w:val="-1"/>
                <w:highlight w:val="none"/>
                <w:u w:val="single" w:color="auto"/>
              </w:rPr>
              <w:t xml:space="preserve"> </w:t>
            </w:r>
            <w:r>
              <w:rPr>
                <w:rFonts w:hint="eastAsia"/>
                <w:color w:val="auto"/>
                <w:spacing w:val="-1"/>
                <w:highlight w:val="none"/>
                <w:u w:val="single" w:color="auto"/>
                <w:lang w:val="en-US" w:eastAsia="zh-CN"/>
              </w:rPr>
              <w:t>100</w:t>
            </w:r>
            <w:r>
              <w:rPr>
                <w:color w:val="auto"/>
                <w:spacing w:val="-1"/>
                <w:highlight w:val="none"/>
                <w:u w:val="single" w:color="auto"/>
              </w:rPr>
              <w:t xml:space="preserve">  </w:t>
            </w:r>
            <w:r>
              <w:rPr>
                <w:color w:val="auto"/>
                <w:spacing w:val="-79"/>
                <w:highlight w:val="none"/>
              </w:rPr>
              <w:t xml:space="preserve"> </w:t>
            </w:r>
            <w:r>
              <w:rPr>
                <w:color w:val="auto"/>
                <w:spacing w:val="-1"/>
                <w:highlight w:val="none"/>
              </w:rPr>
              <w:t>万元，事故次数不限(不计免赔额)</w:t>
            </w:r>
          </w:p>
        </w:tc>
      </w:tr>
      <w:tr w14:paraId="6AC52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gridSpan w:val="2"/>
            <w:vAlign w:val="top"/>
          </w:tcPr>
          <w:p w14:paraId="5BE868B2">
            <w:pPr>
              <w:pStyle w:val="17"/>
              <w:spacing w:before="222"/>
              <w:ind w:left="357"/>
              <w:rPr>
                <w:color w:val="auto"/>
                <w:highlight w:val="none"/>
              </w:rPr>
            </w:pPr>
            <w:r>
              <w:rPr>
                <w:color w:val="auto"/>
                <w:spacing w:val="-6"/>
                <w:highlight w:val="none"/>
              </w:rPr>
              <w:t>35</w:t>
            </w:r>
          </w:p>
        </w:tc>
        <w:tc>
          <w:tcPr>
            <w:tcW w:w="1349" w:type="dxa"/>
            <w:gridSpan w:val="2"/>
            <w:vAlign w:val="top"/>
          </w:tcPr>
          <w:p w14:paraId="33747840">
            <w:pPr>
              <w:pStyle w:val="17"/>
              <w:spacing w:before="222" w:line="239" w:lineRule="auto"/>
              <w:ind w:left="365"/>
              <w:rPr>
                <w:color w:val="auto"/>
                <w:highlight w:val="none"/>
              </w:rPr>
            </w:pPr>
            <w:r>
              <w:rPr>
                <w:color w:val="auto"/>
                <w:spacing w:val="-2"/>
                <w:highlight w:val="none"/>
              </w:rPr>
              <w:t>21.1.1</w:t>
            </w:r>
          </w:p>
        </w:tc>
        <w:tc>
          <w:tcPr>
            <w:tcW w:w="7171" w:type="dxa"/>
            <w:gridSpan w:val="2"/>
            <w:vAlign w:val="top"/>
          </w:tcPr>
          <w:p w14:paraId="2A029EC9">
            <w:pPr>
              <w:pStyle w:val="17"/>
              <w:spacing w:before="222" w:line="220" w:lineRule="auto"/>
              <w:ind w:left="114"/>
              <w:rPr>
                <w:color w:val="auto"/>
                <w:highlight w:val="none"/>
              </w:rPr>
            </w:pPr>
            <w:r>
              <w:rPr>
                <w:color w:val="auto"/>
                <w:spacing w:val="-3"/>
                <w:highlight w:val="none"/>
              </w:rPr>
              <w:t>21.1.1</w:t>
            </w:r>
            <w:r>
              <w:rPr>
                <w:color w:val="auto"/>
                <w:spacing w:val="45"/>
                <w:highlight w:val="none"/>
              </w:rPr>
              <w:t xml:space="preserve"> </w:t>
            </w:r>
            <w:r>
              <w:rPr>
                <w:color w:val="auto"/>
                <w:spacing w:val="-3"/>
                <w:highlight w:val="none"/>
              </w:rPr>
              <w:t>(6)不可抗力的其他情形：</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648BF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907" w:type="dxa"/>
            <w:gridSpan w:val="2"/>
            <w:vAlign w:val="top"/>
          </w:tcPr>
          <w:p w14:paraId="683F1B66">
            <w:pPr>
              <w:spacing w:line="468" w:lineRule="auto"/>
              <w:rPr>
                <w:rFonts w:ascii="Arial"/>
                <w:color w:val="auto"/>
                <w:sz w:val="21"/>
                <w:highlight w:val="none"/>
              </w:rPr>
            </w:pPr>
          </w:p>
          <w:p w14:paraId="2CED48AD">
            <w:pPr>
              <w:pStyle w:val="17"/>
              <w:spacing w:before="68"/>
              <w:ind w:left="357"/>
              <w:rPr>
                <w:color w:val="auto"/>
                <w:highlight w:val="none"/>
              </w:rPr>
            </w:pPr>
            <w:r>
              <w:rPr>
                <w:color w:val="auto"/>
                <w:spacing w:val="-3"/>
                <w:highlight w:val="none"/>
              </w:rPr>
              <w:t>36</w:t>
            </w:r>
          </w:p>
        </w:tc>
        <w:tc>
          <w:tcPr>
            <w:tcW w:w="1349" w:type="dxa"/>
            <w:gridSpan w:val="2"/>
            <w:vAlign w:val="top"/>
          </w:tcPr>
          <w:p w14:paraId="3B98E5F1">
            <w:pPr>
              <w:spacing w:line="468" w:lineRule="auto"/>
              <w:rPr>
                <w:rFonts w:ascii="Arial"/>
                <w:color w:val="auto"/>
                <w:sz w:val="21"/>
                <w:highlight w:val="none"/>
              </w:rPr>
            </w:pPr>
          </w:p>
          <w:p w14:paraId="4F23C7C3">
            <w:pPr>
              <w:pStyle w:val="17"/>
              <w:spacing w:before="68" w:line="239" w:lineRule="auto"/>
              <w:ind w:left="470"/>
              <w:rPr>
                <w:color w:val="auto"/>
                <w:highlight w:val="none"/>
              </w:rPr>
            </w:pPr>
            <w:r>
              <w:rPr>
                <w:color w:val="auto"/>
                <w:spacing w:val="-3"/>
                <w:highlight w:val="none"/>
              </w:rPr>
              <w:t>24.1</w:t>
            </w:r>
          </w:p>
        </w:tc>
        <w:tc>
          <w:tcPr>
            <w:tcW w:w="7171" w:type="dxa"/>
            <w:gridSpan w:val="2"/>
            <w:vAlign w:val="center"/>
          </w:tcPr>
          <w:p w14:paraId="6D2406BF">
            <w:pPr>
              <w:pStyle w:val="17"/>
              <w:spacing w:line="218" w:lineRule="auto"/>
              <w:ind w:left="115"/>
              <w:jc w:val="both"/>
              <w:rPr>
                <w:color w:val="auto"/>
                <w:highlight w:val="none"/>
              </w:rPr>
            </w:pPr>
            <w:r>
              <w:rPr>
                <w:color w:val="auto"/>
                <w:highlight w:val="none"/>
              </w:rPr>
              <w:t>争议的最终解决方式：</w:t>
            </w:r>
            <w:r>
              <w:rPr>
                <w:rFonts w:hint="eastAsia"/>
                <w:color w:val="auto"/>
                <w:highlight w:val="none"/>
                <w:u w:val="single" w:color="auto"/>
              </w:rPr>
              <w:t>向广州市增城区人民法院提起诉讼</w:t>
            </w:r>
            <w:r>
              <w:rPr>
                <w:color w:val="auto"/>
                <w:spacing w:val="-1"/>
                <w:highlight w:val="none"/>
              </w:rPr>
              <w:t>。</w:t>
            </w:r>
          </w:p>
        </w:tc>
      </w:tr>
      <w:tr w14:paraId="52650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907" w:type="dxa"/>
            <w:gridSpan w:val="2"/>
            <w:vAlign w:val="top"/>
          </w:tcPr>
          <w:p w14:paraId="02B24493">
            <w:pPr>
              <w:spacing w:line="289" w:lineRule="auto"/>
              <w:rPr>
                <w:rFonts w:ascii="Arial"/>
                <w:color w:val="auto"/>
                <w:sz w:val="21"/>
                <w:highlight w:val="none"/>
              </w:rPr>
            </w:pPr>
          </w:p>
          <w:p w14:paraId="115A22E8">
            <w:pPr>
              <w:spacing w:line="289" w:lineRule="auto"/>
              <w:rPr>
                <w:rFonts w:ascii="Arial"/>
                <w:color w:val="auto"/>
                <w:sz w:val="21"/>
                <w:highlight w:val="none"/>
              </w:rPr>
            </w:pPr>
          </w:p>
          <w:p w14:paraId="0C505645">
            <w:pPr>
              <w:spacing w:line="289" w:lineRule="auto"/>
              <w:rPr>
                <w:rFonts w:ascii="Arial"/>
                <w:color w:val="auto"/>
                <w:sz w:val="21"/>
                <w:highlight w:val="none"/>
              </w:rPr>
            </w:pPr>
          </w:p>
          <w:p w14:paraId="6A82CE6F">
            <w:pPr>
              <w:pStyle w:val="17"/>
              <w:spacing w:before="68"/>
              <w:ind w:left="357"/>
              <w:rPr>
                <w:color w:val="auto"/>
                <w:highlight w:val="none"/>
              </w:rPr>
            </w:pPr>
            <w:r>
              <w:rPr>
                <w:color w:val="auto"/>
                <w:spacing w:val="-3"/>
                <w:highlight w:val="none"/>
              </w:rPr>
              <w:t>37</w:t>
            </w:r>
          </w:p>
        </w:tc>
        <w:tc>
          <w:tcPr>
            <w:tcW w:w="1349" w:type="dxa"/>
            <w:gridSpan w:val="2"/>
            <w:vAlign w:val="top"/>
          </w:tcPr>
          <w:p w14:paraId="46158273">
            <w:pPr>
              <w:spacing w:line="289" w:lineRule="auto"/>
              <w:rPr>
                <w:rFonts w:ascii="Arial"/>
                <w:color w:val="auto"/>
                <w:sz w:val="21"/>
                <w:highlight w:val="none"/>
              </w:rPr>
            </w:pPr>
          </w:p>
          <w:p w14:paraId="7EEB2E7E">
            <w:pPr>
              <w:spacing w:line="289" w:lineRule="auto"/>
              <w:rPr>
                <w:rFonts w:ascii="Arial"/>
                <w:color w:val="auto"/>
                <w:sz w:val="21"/>
                <w:highlight w:val="none"/>
              </w:rPr>
            </w:pPr>
          </w:p>
          <w:p w14:paraId="22102491">
            <w:pPr>
              <w:spacing w:line="289" w:lineRule="auto"/>
              <w:rPr>
                <w:rFonts w:ascii="Arial"/>
                <w:color w:val="auto"/>
                <w:sz w:val="21"/>
                <w:highlight w:val="none"/>
              </w:rPr>
            </w:pPr>
          </w:p>
          <w:p w14:paraId="0ED6DB3A">
            <w:pPr>
              <w:pStyle w:val="17"/>
              <w:spacing w:before="68" w:line="239" w:lineRule="auto"/>
              <w:ind w:left="470"/>
              <w:rPr>
                <w:color w:val="auto"/>
                <w:highlight w:val="none"/>
              </w:rPr>
            </w:pPr>
            <w:r>
              <w:rPr>
                <w:color w:val="auto"/>
                <w:spacing w:val="-3"/>
                <w:highlight w:val="none"/>
              </w:rPr>
              <w:t>25.4</w:t>
            </w:r>
          </w:p>
        </w:tc>
        <w:tc>
          <w:tcPr>
            <w:tcW w:w="7171" w:type="dxa"/>
            <w:gridSpan w:val="2"/>
            <w:vAlign w:val="center"/>
          </w:tcPr>
          <w:p w14:paraId="5A97CDDF">
            <w:pPr>
              <w:pStyle w:val="17"/>
              <w:spacing w:line="314" w:lineRule="auto"/>
              <w:ind w:left="113" w:right="110" w:firstLine="2"/>
              <w:jc w:val="both"/>
              <w:rPr>
                <w:rFonts w:hint="eastAsia"/>
                <w:color w:val="auto"/>
                <w:highlight w:val="none"/>
              </w:rPr>
            </w:pPr>
            <w:r>
              <w:rPr>
                <w:rFonts w:hint="eastAsia"/>
                <w:color w:val="auto"/>
                <w:highlight w:val="none"/>
              </w:rPr>
              <w:t>结算单元按合同约定完成并通过质量中间验收，原则上3个月内完成过程结算文件的编制、审核、签认工作。</w:t>
            </w:r>
          </w:p>
          <w:p w14:paraId="67EA4BA6">
            <w:pPr>
              <w:pStyle w:val="17"/>
              <w:spacing w:line="314" w:lineRule="auto"/>
              <w:ind w:left="113" w:right="110" w:firstLine="2"/>
              <w:jc w:val="both"/>
              <w:rPr>
                <w:color w:val="auto"/>
                <w:highlight w:val="none"/>
              </w:rPr>
            </w:pPr>
            <w:r>
              <w:rPr>
                <w:rFonts w:hint="eastAsia"/>
                <w:color w:val="auto"/>
                <w:highlight w:val="none"/>
              </w:rPr>
              <w:t xml:space="preserve">未按要求完成过程结算的费用项，最高支付金额不宜超过发包人审核确认的 </w:t>
            </w:r>
            <w:r>
              <w:rPr>
                <w:rFonts w:hint="eastAsia"/>
                <w:color w:val="auto"/>
                <w:highlight w:val="none"/>
                <w:u w:val="single"/>
              </w:rPr>
              <w:t xml:space="preserve">97 </w:t>
            </w:r>
            <w:r>
              <w:rPr>
                <w:rFonts w:hint="eastAsia"/>
                <w:color w:val="auto"/>
                <w:highlight w:val="none"/>
              </w:rPr>
              <w:t>%, 过程结算后方可支付剩余金额</w:t>
            </w:r>
            <w:r>
              <w:rPr>
                <w:color w:val="auto"/>
                <w:spacing w:val="-4"/>
                <w:highlight w:val="none"/>
              </w:rPr>
              <w:t>。</w:t>
            </w:r>
          </w:p>
        </w:tc>
      </w:tr>
    </w:tbl>
    <w:p w14:paraId="70EE6C5A">
      <w:pPr>
        <w:pStyle w:val="3"/>
        <w:rPr>
          <w:color w:val="auto"/>
          <w:highlight w:val="none"/>
        </w:rPr>
      </w:pPr>
    </w:p>
    <w:p w14:paraId="7251CBB2">
      <w:pPr>
        <w:spacing w:before="101" w:line="225" w:lineRule="auto"/>
        <w:ind w:left="4685"/>
        <w:rPr>
          <w:rFonts w:ascii="宋体" w:hAnsi="宋体" w:eastAsia="宋体" w:cs="宋体"/>
          <w:b/>
          <w:bCs/>
          <w:color w:val="auto"/>
          <w:spacing w:val="5"/>
          <w:sz w:val="31"/>
          <w:szCs w:val="31"/>
          <w:highlight w:val="none"/>
        </w:rPr>
      </w:pPr>
    </w:p>
    <w:p w14:paraId="7C2C6E98">
      <w:pPr>
        <w:spacing w:before="101" w:line="225" w:lineRule="auto"/>
        <w:ind w:left="468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项目专用合同条款</w:t>
      </w:r>
    </w:p>
    <w:p w14:paraId="48EFC5FB">
      <w:pPr>
        <w:pStyle w:val="3"/>
        <w:spacing w:line="437" w:lineRule="auto"/>
        <w:rPr>
          <w:color w:val="auto"/>
          <w:highlight w:val="none"/>
        </w:rPr>
      </w:pPr>
    </w:p>
    <w:p w14:paraId="0FBCC11D">
      <w:pPr>
        <w:spacing w:before="78" w:line="361" w:lineRule="auto"/>
        <w:ind w:left="1424"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说明：本部分所列的项目专用合同条款是对“公路工程专用合同条款”中规定必须在项目专用合同条款中明确的内容的集中，招标人编制的“项目专用合同条款”不限于</w:t>
      </w:r>
      <w:r>
        <w:rPr>
          <w:rFonts w:ascii="宋体" w:hAnsi="宋体" w:eastAsia="宋体" w:cs="宋体"/>
          <w:color w:val="auto"/>
          <w:spacing w:val="-5"/>
          <w:sz w:val="24"/>
          <w:szCs w:val="24"/>
          <w:highlight w:val="none"/>
        </w:rPr>
        <w:t>本部分所列内容。合同条款中如果国家或有关部门颁布了新的技术标准或规范， 则应采</w:t>
      </w:r>
      <w:r>
        <w:rPr>
          <w:rFonts w:ascii="宋体" w:hAnsi="宋体" w:eastAsia="宋体" w:cs="宋体"/>
          <w:color w:val="auto"/>
          <w:spacing w:val="-4"/>
          <w:sz w:val="24"/>
          <w:szCs w:val="24"/>
          <w:highlight w:val="none"/>
        </w:rPr>
        <w:t>用新的标准或规范进行执行。</w:t>
      </w:r>
    </w:p>
    <w:p w14:paraId="7E6C7A9F">
      <w:pPr>
        <w:pStyle w:val="3"/>
        <w:spacing w:line="382" w:lineRule="auto"/>
        <w:rPr>
          <w:color w:val="auto"/>
          <w:highlight w:val="none"/>
        </w:rPr>
      </w:pPr>
    </w:p>
    <w:p w14:paraId="30AAE40E">
      <w:pPr>
        <w:spacing w:before="78" w:line="220" w:lineRule="auto"/>
        <w:ind w:left="192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1.一般约定</w:t>
      </w:r>
    </w:p>
    <w:p w14:paraId="3F4EC13F">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1.1</w:t>
      </w:r>
      <w:r>
        <w:rPr>
          <w:rFonts w:ascii="宋体" w:hAnsi="宋体" w:eastAsia="宋体" w:cs="宋体"/>
          <w:color w:val="auto"/>
          <w:spacing w:val="16"/>
          <w:sz w:val="24"/>
          <w:szCs w:val="24"/>
          <w:highlight w:val="none"/>
        </w:rPr>
        <w:t xml:space="preserve"> </w:t>
      </w:r>
      <w:r>
        <w:rPr>
          <w:rFonts w:ascii="宋体" w:hAnsi="宋体" w:eastAsia="宋体" w:cs="宋体"/>
          <w:color w:val="auto"/>
          <w:spacing w:val="-6"/>
          <w:sz w:val="24"/>
          <w:szCs w:val="24"/>
          <w:highlight w:val="none"/>
        </w:rPr>
        <w:t>词语定义</w:t>
      </w:r>
    </w:p>
    <w:p w14:paraId="1A2358D7">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第</w:t>
      </w:r>
      <w:r>
        <w:rPr>
          <w:rFonts w:ascii="宋体" w:hAnsi="宋体" w:eastAsia="宋体" w:cs="宋体"/>
          <w:color w:val="auto"/>
          <w:spacing w:val="36"/>
          <w:sz w:val="24"/>
          <w:szCs w:val="24"/>
          <w:highlight w:val="none"/>
        </w:rPr>
        <w:t xml:space="preserve"> </w:t>
      </w:r>
      <w:r>
        <w:rPr>
          <w:rFonts w:ascii="宋体" w:hAnsi="宋体" w:eastAsia="宋体" w:cs="宋体"/>
          <w:color w:val="auto"/>
          <w:spacing w:val="-9"/>
          <w:sz w:val="24"/>
          <w:szCs w:val="24"/>
          <w:highlight w:val="none"/>
        </w:rPr>
        <w:t>1.1.2</w:t>
      </w:r>
      <w:r>
        <w:rPr>
          <w:rFonts w:ascii="宋体" w:hAnsi="宋体" w:eastAsia="宋体" w:cs="宋体"/>
          <w:color w:val="auto"/>
          <w:spacing w:val="-50"/>
          <w:sz w:val="24"/>
          <w:szCs w:val="24"/>
          <w:highlight w:val="none"/>
        </w:rPr>
        <w:t xml:space="preserve"> </w:t>
      </w:r>
      <w:r>
        <w:rPr>
          <w:rFonts w:ascii="宋体" w:hAnsi="宋体" w:eastAsia="宋体" w:cs="宋体"/>
          <w:color w:val="auto"/>
          <w:spacing w:val="-9"/>
          <w:sz w:val="24"/>
          <w:szCs w:val="24"/>
          <w:highlight w:val="none"/>
        </w:rPr>
        <w:t>款细化为：</w:t>
      </w:r>
    </w:p>
    <w:p w14:paraId="316FB8BB">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1.1.2</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合同当事人和人员</w:t>
      </w:r>
    </w:p>
    <w:p w14:paraId="0D433D95">
      <w:pPr>
        <w:spacing w:before="181" w:line="219" w:lineRule="auto"/>
        <w:ind w:left="1906"/>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本项补充第</w:t>
      </w:r>
      <w:r>
        <w:rPr>
          <w:rFonts w:ascii="宋体" w:hAnsi="宋体" w:eastAsia="宋体" w:cs="宋体"/>
          <w:color w:val="auto"/>
          <w:spacing w:val="-30"/>
          <w:sz w:val="24"/>
          <w:szCs w:val="24"/>
          <w:highlight w:val="none"/>
        </w:rPr>
        <w:t xml:space="preserve"> </w:t>
      </w:r>
      <w:r>
        <w:rPr>
          <w:rFonts w:ascii="宋体" w:hAnsi="宋体" w:eastAsia="宋体" w:cs="宋体"/>
          <w:color w:val="auto"/>
          <w:spacing w:val="-7"/>
          <w:sz w:val="24"/>
          <w:szCs w:val="24"/>
          <w:highlight w:val="none"/>
        </w:rPr>
        <w:t>1.1.2.9 目～第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7"/>
          <w:sz w:val="24"/>
          <w:szCs w:val="24"/>
          <w:highlight w:val="none"/>
        </w:rPr>
        <w:t>1.1.2.14 目：</w:t>
      </w:r>
    </w:p>
    <w:p w14:paraId="3EA86E5C">
      <w:pPr>
        <w:spacing w:before="183" w:line="220" w:lineRule="auto"/>
        <w:ind w:left="1923"/>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1.1.2.9</w:t>
      </w:r>
      <w:r>
        <w:rPr>
          <w:rFonts w:ascii="宋体" w:hAnsi="宋体" w:eastAsia="宋体" w:cs="宋体"/>
          <w:color w:val="auto"/>
          <w:spacing w:val="-41"/>
          <w:sz w:val="24"/>
          <w:szCs w:val="24"/>
          <w:highlight w:val="none"/>
        </w:rPr>
        <w:t xml:space="preserve"> </w:t>
      </w:r>
      <w:r>
        <w:rPr>
          <w:rFonts w:ascii="宋体" w:hAnsi="宋体" w:eastAsia="宋体" w:cs="宋体"/>
          <w:color w:val="auto"/>
          <w:spacing w:val="-7"/>
          <w:sz w:val="24"/>
          <w:szCs w:val="24"/>
          <w:highlight w:val="none"/>
        </w:rPr>
        <w:t>发包人代表：</w:t>
      </w:r>
    </w:p>
    <w:p w14:paraId="2590D7DF">
      <w:pPr>
        <w:spacing w:before="183" w:line="360" w:lineRule="auto"/>
        <w:ind w:left="1424" w:right="1416"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发包人代表（或称发包人驻地代表）是发包人派出到合同段执行发包人授予的一定</w:t>
      </w:r>
      <w:r>
        <w:rPr>
          <w:rFonts w:ascii="宋体" w:hAnsi="宋体" w:eastAsia="宋体" w:cs="宋体"/>
          <w:color w:val="auto"/>
          <w:spacing w:val="-4"/>
          <w:sz w:val="24"/>
          <w:szCs w:val="24"/>
          <w:highlight w:val="none"/>
        </w:rPr>
        <w:t>权力及职责的现场管理人员。</w:t>
      </w:r>
    </w:p>
    <w:p w14:paraId="5252EE91">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1.1.2.10</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试验检测中心承包人（试验人</w:t>
      </w:r>
      <w:r>
        <w:rPr>
          <w:rFonts w:ascii="宋体" w:hAnsi="宋体" w:eastAsia="宋体" w:cs="宋体"/>
          <w:color w:val="auto"/>
          <w:spacing w:val="-3"/>
          <w:sz w:val="24"/>
          <w:szCs w:val="24"/>
          <w:highlight w:val="none"/>
        </w:rPr>
        <w:t>）：</w:t>
      </w:r>
    </w:p>
    <w:p w14:paraId="6470DAAC">
      <w:pPr>
        <w:spacing w:before="183" w:line="36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受发包人委托实施本合同工程试验检测工作管理的法人或其他组织，代表发包人对本合同工程进行抽检，以及对承包人的试验检测工作进行现场管理。</w:t>
      </w:r>
    </w:p>
    <w:p w14:paraId="66924AD3">
      <w:pPr>
        <w:spacing w:before="1" w:line="218"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1.1.2.11</w:t>
      </w:r>
      <w:r>
        <w:rPr>
          <w:rFonts w:ascii="宋体" w:hAnsi="宋体" w:eastAsia="宋体" w:cs="宋体"/>
          <w:color w:val="auto"/>
          <w:spacing w:val="-44"/>
          <w:sz w:val="24"/>
          <w:szCs w:val="24"/>
          <w:highlight w:val="none"/>
        </w:rPr>
        <w:t xml:space="preserve"> </w:t>
      </w:r>
      <w:r>
        <w:rPr>
          <w:rFonts w:ascii="宋体" w:hAnsi="宋体" w:eastAsia="宋体" w:cs="宋体"/>
          <w:color w:val="auto"/>
          <w:spacing w:val="-4"/>
          <w:sz w:val="24"/>
          <w:szCs w:val="24"/>
          <w:highlight w:val="none"/>
        </w:rPr>
        <w:t>第三方监测、风险管理及科研单位：</w:t>
      </w:r>
    </w:p>
    <w:p w14:paraId="47F79A16">
      <w:pPr>
        <w:spacing w:before="183" w:line="36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受发包人委托</w:t>
      </w:r>
      <w:r>
        <w:rPr>
          <w:rFonts w:ascii="宋体" w:hAnsi="宋体" w:eastAsia="宋体" w:cs="宋体"/>
          <w:color w:val="auto"/>
          <w:spacing w:val="-2"/>
          <w:sz w:val="24"/>
          <w:szCs w:val="24"/>
          <w:highlight w:val="none"/>
        </w:rPr>
        <w:t>实施</w:t>
      </w:r>
      <w:r>
        <w:rPr>
          <w:rFonts w:ascii="宋体" w:hAnsi="宋体" w:eastAsia="宋体" w:cs="宋体"/>
          <w:color w:val="auto"/>
          <w:spacing w:val="-1"/>
          <w:sz w:val="24"/>
          <w:szCs w:val="24"/>
          <w:highlight w:val="none"/>
        </w:rPr>
        <w:t>本合同工程监测、风险管</w:t>
      </w:r>
      <w:r>
        <w:rPr>
          <w:rFonts w:ascii="宋体" w:hAnsi="宋体" w:eastAsia="宋体" w:cs="宋体"/>
          <w:color w:val="auto"/>
          <w:spacing w:val="-2"/>
          <w:sz w:val="24"/>
          <w:szCs w:val="24"/>
          <w:highlight w:val="none"/>
        </w:rPr>
        <w:t>理及科研任务的法人或其他组织。</w:t>
      </w:r>
    </w:p>
    <w:p w14:paraId="66E2505D">
      <w:pPr>
        <w:spacing w:before="1" w:line="218" w:lineRule="auto"/>
        <w:ind w:left="192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1.1.6</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其他</w:t>
      </w:r>
    </w:p>
    <w:p w14:paraId="5F14882A">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9"/>
          <w:sz w:val="24"/>
          <w:szCs w:val="24"/>
          <w:highlight w:val="none"/>
        </w:rPr>
        <w:t>1.1.6.6 目至第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9"/>
          <w:sz w:val="24"/>
          <w:szCs w:val="24"/>
          <w:highlight w:val="none"/>
        </w:rPr>
        <w:t>1.1.6.8 目细化为：</w:t>
      </w:r>
    </w:p>
    <w:p w14:paraId="2EE84AE4">
      <w:pPr>
        <w:spacing w:before="182" w:line="290" w:lineRule="auto"/>
        <w:ind w:left="1428" w:right="1418" w:firstLine="49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1.1.6.6</w:t>
      </w:r>
      <w:r>
        <w:rPr>
          <w:rFonts w:ascii="宋体" w:hAnsi="宋体" w:eastAsia="宋体" w:cs="宋体"/>
          <w:color w:val="auto"/>
          <w:spacing w:val="-40"/>
          <w:sz w:val="24"/>
          <w:szCs w:val="24"/>
          <w:highlight w:val="none"/>
        </w:rPr>
        <w:t xml:space="preserve"> </w:t>
      </w:r>
      <w:r>
        <w:rPr>
          <w:rFonts w:ascii="宋体" w:hAnsi="宋体" w:eastAsia="宋体" w:cs="宋体"/>
          <w:color w:val="auto"/>
          <w:spacing w:val="-1"/>
          <w:sz w:val="24"/>
          <w:szCs w:val="24"/>
          <w:highlight w:val="none"/>
        </w:rPr>
        <w:t>转包：指承包人违反法律和不履行合同约定的责任和义务，将中标工程全部委托或以施工分包的名义将中标工程支解后全部委托给其他</w:t>
      </w:r>
      <w:r>
        <w:rPr>
          <w:rFonts w:ascii="宋体" w:hAnsi="宋体" w:eastAsia="宋体" w:cs="宋体"/>
          <w:color w:val="auto"/>
          <w:spacing w:val="-2"/>
          <w:sz w:val="24"/>
          <w:szCs w:val="24"/>
          <w:highlight w:val="none"/>
        </w:rPr>
        <w:t>施工企业施工的行为。</w:t>
      </w:r>
    </w:p>
    <w:p w14:paraId="70472FF7">
      <w:pPr>
        <w:spacing w:before="184" w:line="313" w:lineRule="auto"/>
        <w:ind w:left="1426" w:right="1416" w:firstLine="49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1.1.6.7 施工分包：指承包人将其所承包工程中的部分单位工程、分部工程或者分项工程发包给专业分包人，整体结算，由分包人自行编制施工方案和组织完成全部施工作业并能独立控制分包工程质量、施工进度、生产安全等的施工活动。</w:t>
      </w:r>
    </w:p>
    <w:p w14:paraId="2B466DF5">
      <w:pPr>
        <w:spacing w:before="183" w:line="325" w:lineRule="auto"/>
        <w:ind w:left="1424" w:right="1415" w:firstLine="49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1.1.6.8</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劳务合作：指承包人（分包人）与他人合作完成的其他以劳务活动为主，</w:t>
      </w:r>
      <w:r>
        <w:rPr>
          <w:rFonts w:ascii="宋体" w:hAnsi="宋体" w:eastAsia="宋体" w:cs="宋体"/>
          <w:color w:val="auto"/>
          <w:spacing w:val="-2"/>
          <w:sz w:val="24"/>
          <w:szCs w:val="24"/>
          <w:highlight w:val="none"/>
        </w:rPr>
        <w:t>由劳务企业提供劳务作业人员及所需机具（不限制规模</w:t>
      </w:r>
      <w:r>
        <w:rPr>
          <w:rFonts w:ascii="宋体" w:hAnsi="宋体" w:eastAsia="宋体" w:cs="宋体"/>
          <w:color w:val="auto"/>
          <w:spacing w:val="9"/>
          <w:sz w:val="24"/>
          <w:szCs w:val="24"/>
          <w:highlight w:val="none"/>
        </w:rPr>
        <w:t>），</w:t>
      </w:r>
      <w:r>
        <w:rPr>
          <w:rFonts w:ascii="宋体" w:hAnsi="宋体" w:eastAsia="宋体" w:cs="宋体"/>
          <w:color w:val="auto"/>
          <w:spacing w:val="-2"/>
          <w:sz w:val="24"/>
          <w:szCs w:val="24"/>
          <w:highlight w:val="none"/>
        </w:rPr>
        <w:t>由承包人（分包人</w:t>
      </w:r>
      <w:r>
        <w:rPr>
          <w:rFonts w:ascii="宋体" w:hAnsi="宋体" w:eastAsia="宋体" w:cs="宋体"/>
          <w:color w:val="auto"/>
          <w:spacing w:val="-3"/>
          <w:sz w:val="24"/>
          <w:szCs w:val="24"/>
          <w:highlight w:val="none"/>
        </w:rPr>
        <w:t>）负责施</w:t>
      </w:r>
      <w:r>
        <w:rPr>
          <w:rFonts w:ascii="宋体" w:hAnsi="宋体" w:eastAsia="宋体" w:cs="宋体"/>
          <w:color w:val="auto"/>
          <w:spacing w:val="-2"/>
          <w:sz w:val="24"/>
          <w:szCs w:val="24"/>
          <w:highlight w:val="none"/>
        </w:rPr>
        <w:t>工方案编制和组织实施并统一控制工程质量、施工进度、主要材料采购、生产安全等的</w:t>
      </w:r>
      <w:r>
        <w:rPr>
          <w:rFonts w:ascii="宋体" w:hAnsi="宋体" w:eastAsia="宋体" w:cs="宋体"/>
          <w:color w:val="auto"/>
          <w:spacing w:val="-7"/>
          <w:sz w:val="24"/>
          <w:szCs w:val="24"/>
          <w:highlight w:val="none"/>
        </w:rPr>
        <w:t>施工活动。</w:t>
      </w:r>
    </w:p>
    <w:p w14:paraId="4929508C">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1.6</w:t>
      </w:r>
      <w:r>
        <w:rPr>
          <w:rFonts w:ascii="宋体" w:hAnsi="宋体" w:eastAsia="宋体" w:cs="宋体"/>
          <w:color w:val="auto"/>
          <w:spacing w:val="41"/>
          <w:sz w:val="24"/>
          <w:szCs w:val="24"/>
          <w:highlight w:val="none"/>
        </w:rPr>
        <w:t xml:space="preserve"> </w:t>
      </w:r>
      <w:r>
        <w:rPr>
          <w:rFonts w:ascii="宋体" w:hAnsi="宋体" w:eastAsia="宋体" w:cs="宋体"/>
          <w:color w:val="auto"/>
          <w:spacing w:val="-6"/>
          <w:sz w:val="24"/>
          <w:szCs w:val="24"/>
          <w:highlight w:val="none"/>
        </w:rPr>
        <w:t>图纸和承包人文件</w:t>
      </w:r>
    </w:p>
    <w:p w14:paraId="5A51B521">
      <w:pPr>
        <w:spacing w:before="182" w:line="219"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1.6.1</w:t>
      </w:r>
      <w:r>
        <w:rPr>
          <w:rFonts w:ascii="宋体" w:hAnsi="宋体" w:eastAsia="宋体" w:cs="宋体"/>
          <w:color w:val="auto"/>
          <w:spacing w:val="-22"/>
          <w:sz w:val="24"/>
          <w:szCs w:val="24"/>
          <w:highlight w:val="none"/>
        </w:rPr>
        <w:t xml:space="preserve"> </w:t>
      </w:r>
      <w:r>
        <w:rPr>
          <w:rFonts w:ascii="宋体" w:hAnsi="宋体" w:eastAsia="宋体" w:cs="宋体"/>
          <w:color w:val="auto"/>
          <w:spacing w:val="-6"/>
          <w:sz w:val="24"/>
          <w:szCs w:val="24"/>
          <w:highlight w:val="none"/>
        </w:rPr>
        <w:t>图纸的提供</w:t>
      </w:r>
    </w:p>
    <w:p w14:paraId="0DCFA224">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本项细化为：</w:t>
      </w:r>
    </w:p>
    <w:p w14:paraId="2EF33A32">
      <w:pPr>
        <w:spacing w:before="183" w:line="360" w:lineRule="auto"/>
        <w:ind w:left="1425" w:right="1403"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发包人应在发出中标通知书之后42天内，</w:t>
      </w:r>
      <w:r>
        <w:rPr>
          <w:rFonts w:ascii="宋体" w:hAnsi="宋体" w:eastAsia="宋体" w:cs="宋体"/>
          <w:color w:val="auto"/>
          <w:sz w:val="24"/>
          <w:szCs w:val="24"/>
          <w:highlight w:val="none"/>
        </w:rPr>
        <w:t>向承包人免费提供由发包人或其委托的</w:t>
      </w:r>
      <w:r>
        <w:rPr>
          <w:rFonts w:ascii="宋体" w:hAnsi="宋体" w:eastAsia="宋体" w:cs="宋体"/>
          <w:color w:val="auto"/>
          <w:spacing w:val="-2"/>
          <w:sz w:val="24"/>
          <w:szCs w:val="24"/>
          <w:highlight w:val="none"/>
        </w:rPr>
        <w:t>设计单位设计的施工图纸、技术规范和其他技术资料2份，并向承包人进行技术交底。</w:t>
      </w:r>
      <w:r>
        <w:rPr>
          <w:rFonts w:ascii="宋体" w:hAnsi="宋体" w:eastAsia="宋体" w:cs="宋体"/>
          <w:color w:val="auto"/>
          <w:spacing w:val="-6"/>
          <w:sz w:val="24"/>
          <w:szCs w:val="24"/>
          <w:highlight w:val="none"/>
        </w:rPr>
        <w:t>承包人需要更多份数时，应自费复制。上述图纸、技术规范和其他技术资</w:t>
      </w:r>
      <w:r>
        <w:rPr>
          <w:rFonts w:ascii="宋体" w:hAnsi="宋体" w:eastAsia="宋体" w:cs="宋体"/>
          <w:color w:val="auto"/>
          <w:spacing w:val="-7"/>
          <w:sz w:val="24"/>
          <w:szCs w:val="24"/>
          <w:highlight w:val="none"/>
        </w:rPr>
        <w:t>料，未经发包</w:t>
      </w:r>
      <w:r>
        <w:rPr>
          <w:rFonts w:ascii="宋体" w:hAnsi="宋体" w:eastAsia="宋体" w:cs="宋体"/>
          <w:color w:val="auto"/>
          <w:spacing w:val="-2"/>
          <w:sz w:val="24"/>
          <w:szCs w:val="24"/>
          <w:highlight w:val="none"/>
        </w:rPr>
        <w:t>人同意，承包人不得提供给与本工程无关的第三方,否则视为承包人违约并按</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22.1款处理，造成发包人损失的，承包人应赔偿发包人的全部损失，且发包人有权从合同价款中</w:t>
      </w:r>
      <w:r>
        <w:rPr>
          <w:rFonts w:ascii="宋体" w:hAnsi="宋体" w:eastAsia="宋体" w:cs="宋体"/>
          <w:color w:val="auto"/>
          <w:spacing w:val="-8"/>
          <w:sz w:val="24"/>
          <w:szCs w:val="24"/>
          <w:highlight w:val="none"/>
        </w:rPr>
        <w:t>予以扣除。</w:t>
      </w:r>
    </w:p>
    <w:p w14:paraId="0F1F5A5D">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1.6.3</w:t>
      </w:r>
      <w:r>
        <w:rPr>
          <w:rFonts w:ascii="宋体" w:hAnsi="宋体" w:eastAsia="宋体" w:cs="宋体"/>
          <w:color w:val="auto"/>
          <w:spacing w:val="-22"/>
          <w:sz w:val="24"/>
          <w:szCs w:val="24"/>
          <w:highlight w:val="none"/>
        </w:rPr>
        <w:t xml:space="preserve"> </w:t>
      </w:r>
      <w:r>
        <w:rPr>
          <w:rFonts w:ascii="宋体" w:hAnsi="宋体" w:eastAsia="宋体" w:cs="宋体"/>
          <w:color w:val="auto"/>
          <w:spacing w:val="-6"/>
          <w:sz w:val="24"/>
          <w:szCs w:val="24"/>
          <w:highlight w:val="none"/>
        </w:rPr>
        <w:t>图纸的修改</w:t>
      </w:r>
    </w:p>
    <w:p w14:paraId="77D5BC52">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本项补充：</w:t>
      </w:r>
    </w:p>
    <w:p w14:paraId="22403030">
      <w:pPr>
        <w:spacing w:before="183"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承包人不得对施工图的任何部分进行修改，所有设计修改必须经设计单位认可及发</w:t>
      </w:r>
      <w:r>
        <w:rPr>
          <w:rFonts w:ascii="宋体" w:hAnsi="宋体" w:eastAsia="宋体" w:cs="宋体"/>
          <w:color w:val="auto"/>
          <w:spacing w:val="-3"/>
          <w:sz w:val="24"/>
          <w:szCs w:val="24"/>
          <w:highlight w:val="none"/>
        </w:rPr>
        <w:t>包人同意，否则视为承包人违约并按</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22.1</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款处理。</w:t>
      </w:r>
    </w:p>
    <w:p w14:paraId="135309A4">
      <w:pPr>
        <w:spacing w:before="1" w:line="220"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1.6.4</w:t>
      </w:r>
      <w:r>
        <w:rPr>
          <w:rFonts w:ascii="宋体" w:hAnsi="宋体" w:eastAsia="宋体" w:cs="宋体"/>
          <w:color w:val="auto"/>
          <w:spacing w:val="-22"/>
          <w:sz w:val="24"/>
          <w:szCs w:val="24"/>
          <w:highlight w:val="none"/>
        </w:rPr>
        <w:t xml:space="preserve"> </w:t>
      </w:r>
      <w:r>
        <w:rPr>
          <w:rFonts w:ascii="宋体" w:hAnsi="宋体" w:eastAsia="宋体" w:cs="宋体"/>
          <w:color w:val="auto"/>
          <w:spacing w:val="-6"/>
          <w:sz w:val="24"/>
          <w:szCs w:val="24"/>
          <w:highlight w:val="none"/>
        </w:rPr>
        <w:t>图纸的错误</w:t>
      </w:r>
    </w:p>
    <w:p w14:paraId="65057DDB">
      <w:pPr>
        <w:spacing w:before="181"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本项细化为：</w:t>
      </w:r>
    </w:p>
    <w:p w14:paraId="61EE74FE">
      <w:pPr>
        <w:spacing w:before="183"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承包人须组织相关技术工作人员对有关的工程设计、技术规范、图纸或其他资料进</w:t>
      </w:r>
      <w:r>
        <w:rPr>
          <w:rFonts w:ascii="宋体" w:hAnsi="宋体" w:eastAsia="宋体" w:cs="宋体"/>
          <w:color w:val="auto"/>
          <w:spacing w:val="-6"/>
          <w:sz w:val="24"/>
          <w:szCs w:val="24"/>
          <w:highlight w:val="none"/>
        </w:rPr>
        <w:t>行复核，发现资料中的任何差错、遗漏或缺陷后，应及时通知监理人。承包人未能</w:t>
      </w:r>
      <w:r>
        <w:rPr>
          <w:rFonts w:ascii="宋体" w:hAnsi="宋体" w:eastAsia="宋体" w:cs="宋体"/>
          <w:color w:val="auto"/>
          <w:spacing w:val="-7"/>
          <w:sz w:val="24"/>
          <w:szCs w:val="24"/>
          <w:highlight w:val="none"/>
        </w:rPr>
        <w:t>在合</w:t>
      </w:r>
      <w:r>
        <w:rPr>
          <w:rFonts w:ascii="宋体" w:hAnsi="宋体" w:eastAsia="宋体" w:cs="宋体"/>
          <w:color w:val="auto"/>
          <w:spacing w:val="-2"/>
          <w:sz w:val="24"/>
          <w:szCs w:val="24"/>
          <w:highlight w:val="none"/>
        </w:rPr>
        <w:t>同规定的时间内将发现的有关工程设计、技术规范、图纸或其他资料中的差错、遗漏或缺陷通知监理人的，由此造成的一切损失和责任均由承包人承担。</w:t>
      </w:r>
    </w:p>
    <w:p w14:paraId="5A6776FE">
      <w:pPr>
        <w:spacing w:line="360" w:lineRule="auto"/>
        <w:ind w:left="1426" w:right="1349" w:firstLine="479"/>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针对图纸与工程量清单的差、错、漏等问题，</w:t>
      </w:r>
      <w:r>
        <w:rPr>
          <w:rFonts w:ascii="宋体" w:hAnsi="宋体" w:eastAsia="宋体" w:cs="宋体"/>
          <w:color w:val="auto"/>
          <w:spacing w:val="-68"/>
          <w:sz w:val="24"/>
          <w:szCs w:val="24"/>
          <w:highlight w:val="none"/>
        </w:rPr>
        <w:t xml:space="preserve"> </w:t>
      </w:r>
      <w:r>
        <w:rPr>
          <w:rFonts w:ascii="宋体" w:hAnsi="宋体" w:eastAsia="宋体" w:cs="宋体"/>
          <w:color w:val="auto"/>
          <w:spacing w:val="-8"/>
          <w:sz w:val="24"/>
          <w:szCs w:val="24"/>
          <w:highlight w:val="none"/>
        </w:rPr>
        <w:t>承包人应在</w:t>
      </w:r>
      <w:r>
        <w:rPr>
          <w:rFonts w:ascii="宋体" w:hAnsi="宋体" w:eastAsia="宋体" w:cs="宋体"/>
          <w:color w:val="auto"/>
          <w:spacing w:val="-9"/>
          <w:sz w:val="24"/>
          <w:szCs w:val="24"/>
          <w:highlight w:val="none"/>
        </w:rPr>
        <w:t>合同签订后</w:t>
      </w:r>
      <w:r>
        <w:rPr>
          <w:rFonts w:hint="eastAsia" w:ascii="宋体" w:hAnsi="宋体" w:eastAsia="宋体" w:cs="宋体"/>
          <w:color w:val="auto"/>
          <w:spacing w:val="-46"/>
          <w:sz w:val="24"/>
          <w:szCs w:val="24"/>
          <w:highlight w:val="none"/>
          <w:lang w:val="en-US" w:eastAsia="zh-CN"/>
        </w:rPr>
        <w:t>5</w:t>
      </w:r>
      <w:r>
        <w:rPr>
          <w:rFonts w:ascii="宋体" w:hAnsi="宋体" w:eastAsia="宋体" w:cs="宋体"/>
          <w:color w:val="auto"/>
          <w:spacing w:val="-9"/>
          <w:sz w:val="24"/>
          <w:szCs w:val="24"/>
          <w:highlight w:val="none"/>
        </w:rPr>
        <w:t>个月内提出，</w:t>
      </w:r>
      <w:r>
        <w:rPr>
          <w:rFonts w:ascii="宋体" w:hAnsi="宋体" w:eastAsia="宋体" w:cs="宋体"/>
          <w:color w:val="auto"/>
          <w:spacing w:val="-2"/>
          <w:sz w:val="24"/>
          <w:szCs w:val="24"/>
          <w:highlight w:val="none"/>
        </w:rPr>
        <w:t>合同签订后</w:t>
      </w:r>
      <w:r>
        <w:rPr>
          <w:rFonts w:hint="eastAsia" w:ascii="宋体" w:hAnsi="宋体" w:eastAsia="宋体" w:cs="宋体"/>
          <w:color w:val="auto"/>
          <w:spacing w:val="-2"/>
          <w:sz w:val="24"/>
          <w:szCs w:val="24"/>
          <w:highlight w:val="none"/>
          <w:lang w:val="en-US" w:eastAsia="zh-CN"/>
        </w:rPr>
        <w:t>8</w:t>
      </w:r>
      <w:r>
        <w:rPr>
          <w:rFonts w:ascii="宋体" w:hAnsi="宋体" w:eastAsia="宋体" w:cs="宋体"/>
          <w:color w:val="auto"/>
          <w:spacing w:val="-2"/>
          <w:sz w:val="24"/>
          <w:szCs w:val="24"/>
          <w:highlight w:val="none"/>
        </w:rPr>
        <w:t>个月内完成设计工程量核查，统一作为一次变更处理。</w:t>
      </w:r>
    </w:p>
    <w:p w14:paraId="0060F640">
      <w:pPr>
        <w:spacing w:before="1" w:line="219" w:lineRule="auto"/>
        <w:ind w:left="1908"/>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2.</w:t>
      </w:r>
      <w:r>
        <w:rPr>
          <w:rFonts w:ascii="宋体" w:hAnsi="宋体" w:eastAsia="宋体" w:cs="宋体"/>
          <w:color w:val="auto"/>
          <w:spacing w:val="18"/>
          <w:sz w:val="24"/>
          <w:szCs w:val="24"/>
          <w:highlight w:val="none"/>
        </w:rPr>
        <w:t xml:space="preserve"> </w:t>
      </w:r>
      <w:r>
        <w:rPr>
          <w:rFonts w:ascii="宋体" w:hAnsi="宋体" w:eastAsia="宋体" w:cs="宋体"/>
          <w:b/>
          <w:bCs/>
          <w:color w:val="auto"/>
          <w:spacing w:val="-6"/>
          <w:sz w:val="24"/>
          <w:szCs w:val="24"/>
          <w:highlight w:val="none"/>
        </w:rPr>
        <w:t>发包人义务</w:t>
      </w:r>
    </w:p>
    <w:p w14:paraId="665F9ECA">
      <w:pPr>
        <w:spacing w:before="182" w:line="219"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2.3 提供施工场地</w:t>
      </w:r>
    </w:p>
    <w:p w14:paraId="4957AB68">
      <w:pPr>
        <w:spacing w:before="184"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本款补充：</w:t>
      </w:r>
    </w:p>
    <w:p w14:paraId="6AD38415">
      <w:pPr>
        <w:spacing w:before="184" w:line="361" w:lineRule="auto"/>
        <w:ind w:left="1425" w:right="1211"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承包人应主动协助发包人做好本合同段范围内土地征收、房屋拆迁及管线迁改工作。</w:t>
      </w:r>
      <w:r>
        <w:rPr>
          <w:rFonts w:ascii="宋体" w:hAnsi="宋体" w:eastAsia="宋体" w:cs="宋体"/>
          <w:color w:val="auto"/>
          <w:spacing w:val="-2"/>
          <w:sz w:val="24"/>
          <w:szCs w:val="24"/>
          <w:highlight w:val="none"/>
        </w:rPr>
        <w:t>如果由于发包人未能按照本款规定办妥永久占地征用手续，影响承包人工程施工的，承</w:t>
      </w:r>
      <w:r>
        <w:rPr>
          <w:rFonts w:ascii="宋体" w:hAnsi="宋体" w:eastAsia="宋体" w:cs="宋体"/>
          <w:color w:val="auto"/>
          <w:spacing w:val="-6"/>
          <w:sz w:val="24"/>
          <w:szCs w:val="24"/>
          <w:highlight w:val="none"/>
        </w:rPr>
        <w:t>包人须及时调整工程施工组织安排，合理组织和安排工程施工。</w:t>
      </w:r>
    </w:p>
    <w:p w14:paraId="0D7067EA">
      <w:pPr>
        <w:spacing w:before="78" w:line="360" w:lineRule="auto"/>
        <w:ind w:left="1464" w:right="1416" w:firstLine="43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但如果由于承包人未能按照本款规定提交占地计划，因而影响发包人办理永久工程</w:t>
      </w:r>
      <w:r>
        <w:rPr>
          <w:rFonts w:ascii="宋体" w:hAnsi="宋体" w:eastAsia="宋体" w:cs="宋体"/>
          <w:color w:val="auto"/>
          <w:spacing w:val="-3"/>
          <w:sz w:val="24"/>
          <w:szCs w:val="24"/>
          <w:highlight w:val="none"/>
        </w:rPr>
        <w:t>占地征用手续而导致延误工期或增加费用，则由承包人自行负责。</w:t>
      </w:r>
    </w:p>
    <w:p w14:paraId="0868CF7D">
      <w:pPr>
        <w:spacing w:line="219"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2.8</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其他义务</w:t>
      </w:r>
    </w:p>
    <w:p w14:paraId="29BB46FC">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本款补充：</w:t>
      </w:r>
    </w:p>
    <w:p w14:paraId="54AD4CE2">
      <w:pPr>
        <w:spacing w:before="182" w:line="313" w:lineRule="auto"/>
        <w:ind w:left="1437" w:right="1416" w:firstLine="47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（1）发包人不提供进出施工现场的水、陆交通通道，不提供水、电、通讯的接入</w:t>
      </w:r>
      <w:r>
        <w:rPr>
          <w:rFonts w:ascii="宋体" w:hAnsi="宋体" w:eastAsia="宋体" w:cs="宋体"/>
          <w:color w:val="auto"/>
          <w:spacing w:val="-2"/>
          <w:sz w:val="24"/>
          <w:szCs w:val="24"/>
          <w:highlight w:val="none"/>
        </w:rPr>
        <w:t>点及施工船舶临时停泊水域及停靠码头，由承包人自行落实解决，相关费用已包含在合</w:t>
      </w:r>
      <w:r>
        <w:rPr>
          <w:rFonts w:ascii="宋体" w:hAnsi="宋体" w:eastAsia="宋体" w:cs="宋体"/>
          <w:color w:val="auto"/>
          <w:spacing w:val="-3"/>
          <w:sz w:val="24"/>
          <w:szCs w:val="24"/>
          <w:highlight w:val="none"/>
        </w:rPr>
        <w:t>同价格中，发包人不另行支付（除合同另有约定外）。</w:t>
      </w:r>
    </w:p>
    <w:p w14:paraId="755061B8">
      <w:pPr>
        <w:spacing w:before="183" w:line="332" w:lineRule="auto"/>
        <w:ind w:left="1424" w:right="1414"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w:t>
      </w:r>
      <w:r>
        <w:rPr>
          <w:rFonts w:hint="eastAsia" w:ascii="宋体" w:hAnsi="宋体" w:eastAsia="宋体" w:cs="宋体"/>
          <w:color w:val="auto"/>
          <w:spacing w:val="1"/>
          <w:sz w:val="24"/>
          <w:szCs w:val="24"/>
          <w:highlight w:val="none"/>
        </w:rPr>
        <w:t>施工过程中的淤泥、弃方、建筑垃圾等承包人需按照发包人指定的15公里范围内已经办理相关许可手续的抛弃地点（倾倒区）进行弃置。若不按发包人指定地点倾倒淤泥、弃方、建筑垃圾等的，由此产生的费用（包含但不限于消纳费、环境监测、渔业资源补偿等）视为已包含在承包人合同单价中，发包人不予额外补偿，由此引起的一切责任（包括违约金、赔偿等）均由承包人负责。</w:t>
      </w:r>
    </w:p>
    <w:p w14:paraId="14E2682C">
      <w:pPr>
        <w:spacing w:before="183" w:line="290" w:lineRule="auto"/>
        <w:ind w:left="1431" w:right="1427"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（3）发包人原则上与承包人签订合同前应向承包人提供工程款支付担保，具体约</w:t>
      </w:r>
      <w:r>
        <w:rPr>
          <w:rFonts w:ascii="宋体" w:hAnsi="宋体" w:eastAsia="宋体" w:cs="宋体"/>
          <w:color w:val="auto"/>
          <w:spacing w:val="-14"/>
          <w:sz w:val="24"/>
          <w:szCs w:val="24"/>
          <w:highlight w:val="none"/>
        </w:rPr>
        <w:t>定如下：</w:t>
      </w:r>
    </w:p>
    <w:p w14:paraId="333BEB36">
      <w:pPr>
        <w:spacing w:before="181" w:line="290" w:lineRule="auto"/>
        <w:ind w:left="1425"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①工程款支付担保形式：可采用银行保函、工程担保公司保函、工程保证保险或其他合法形式，不能以承诺的方式替代工程款支付担保。</w:t>
      </w:r>
    </w:p>
    <w:p w14:paraId="4D1C7A9E">
      <w:pPr>
        <w:spacing w:before="183"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②工程款支付担保方式</w:t>
      </w:r>
    </w:p>
    <w:p w14:paraId="652489D3">
      <w:pPr>
        <w:spacing w:before="186" w:line="220" w:lineRule="auto"/>
        <w:ind w:left="1929"/>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 xml:space="preserve"> 非分段滚动方式</w:t>
      </w:r>
    </w:p>
    <w:p w14:paraId="51D0A912">
      <w:pPr>
        <w:spacing w:before="181" w:line="220"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支付担保的金额：中标合同额的</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2"/>
          <w:sz w:val="24"/>
          <w:szCs w:val="24"/>
          <w:highlight w:val="none"/>
        </w:rPr>
        <w:t>%，</w:t>
      </w:r>
    </w:p>
    <w:p w14:paraId="3E150AA6">
      <w:pPr>
        <w:spacing w:before="183" w:line="220" w:lineRule="auto"/>
        <w:ind w:left="192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分段滚动方式</w:t>
      </w:r>
    </w:p>
    <w:p w14:paraId="6755F3B6">
      <w:pPr>
        <w:spacing w:before="181" w:line="220" w:lineRule="auto"/>
        <w:ind w:left="18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A.分段中标合同额的</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8"/>
          <w:sz w:val="24"/>
          <w:szCs w:val="24"/>
          <w:highlight w:val="none"/>
        </w:rPr>
        <w:t xml:space="preserve"> </w:t>
      </w:r>
      <w:r>
        <w:rPr>
          <w:rFonts w:ascii="宋体" w:hAnsi="宋体" w:eastAsia="宋体" w:cs="宋体"/>
          <w:color w:val="auto"/>
          <w:spacing w:val="-1"/>
          <w:sz w:val="24"/>
          <w:szCs w:val="24"/>
          <w:highlight w:val="none"/>
        </w:rPr>
        <w:t>%，其中，分段中标合同额=中标合同额÷</w:t>
      </w:r>
      <w:r>
        <w:rPr>
          <w:rFonts w:ascii="宋体" w:hAnsi="宋体" w:eastAsia="宋体" w:cs="宋体"/>
          <w:color w:val="auto"/>
          <w:spacing w:val="-2"/>
          <w:sz w:val="24"/>
          <w:szCs w:val="24"/>
          <w:highlight w:val="none"/>
        </w:rPr>
        <w:t>分段周期。</w:t>
      </w:r>
    </w:p>
    <w:p w14:paraId="715E65C6">
      <w:pPr>
        <w:spacing w:before="182" w:line="290" w:lineRule="auto"/>
        <w:ind w:left="1424" w:right="1426" w:firstLine="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B.分段一般是指将中标合同额按分段周期平均划分，分段周期为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（招标人可</w:t>
      </w:r>
      <w:r>
        <w:rPr>
          <w:rFonts w:ascii="宋体" w:hAnsi="宋体" w:eastAsia="宋体" w:cs="宋体"/>
          <w:color w:val="auto"/>
          <w:spacing w:val="-4"/>
          <w:sz w:val="24"/>
          <w:szCs w:val="24"/>
          <w:highlight w:val="none"/>
        </w:rPr>
        <w:t>选择年，或季度，或月）。</w:t>
      </w:r>
    </w:p>
    <w:p w14:paraId="65A1CEDF">
      <w:pPr>
        <w:spacing w:before="182" w:line="290" w:lineRule="auto"/>
        <w:ind w:left="1426" w:right="1416" w:firstLine="47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C.滚动是在承包人、发包人和监理人签字确认分段工程进度款， 且发包人支付该分</w:t>
      </w:r>
      <w:r>
        <w:rPr>
          <w:rFonts w:ascii="宋体" w:hAnsi="宋体" w:eastAsia="宋体" w:cs="宋体"/>
          <w:color w:val="auto"/>
          <w:spacing w:val="-1"/>
          <w:sz w:val="24"/>
          <w:szCs w:val="24"/>
          <w:highlight w:val="none"/>
        </w:rPr>
        <w:t>段工程款后，当期工程款支付担保解除，自动进入</w:t>
      </w:r>
      <w:r>
        <w:rPr>
          <w:rFonts w:ascii="宋体" w:hAnsi="宋体" w:eastAsia="宋体" w:cs="宋体"/>
          <w:color w:val="auto"/>
          <w:spacing w:val="-2"/>
          <w:sz w:val="24"/>
          <w:szCs w:val="24"/>
          <w:highlight w:val="none"/>
        </w:rPr>
        <w:t>下一期工程款的担保。</w:t>
      </w:r>
    </w:p>
    <w:p w14:paraId="40CCEDE1">
      <w:pPr>
        <w:spacing w:before="183" w:line="313" w:lineRule="auto"/>
        <w:ind w:left="1424" w:right="1415" w:firstLine="47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④工程款支付担保的有效期自发包人与承包人签订的合同生效之日起至发包人根</w:t>
      </w:r>
      <w:r>
        <w:rPr>
          <w:rFonts w:ascii="宋体" w:hAnsi="宋体" w:eastAsia="宋体" w:cs="宋体"/>
          <w:color w:val="auto"/>
          <w:spacing w:val="-2"/>
          <w:sz w:val="24"/>
          <w:szCs w:val="24"/>
          <w:highlight w:val="none"/>
        </w:rPr>
        <w:t>据本合同约定支付完除质量保证金以外的全部款项之日止。承包人应在发包人退还其履约保证金时同步一次性向发包人退还工程款支付担保。</w:t>
      </w:r>
    </w:p>
    <w:p w14:paraId="14A1451B">
      <w:pPr>
        <w:spacing w:before="183" w:line="217" w:lineRule="auto"/>
        <w:ind w:left="1903"/>
        <w:rPr>
          <w:rFonts w:ascii="宋体" w:hAnsi="宋体" w:eastAsia="宋体" w:cs="宋体"/>
          <w:color w:val="auto"/>
          <w:sz w:val="24"/>
          <w:szCs w:val="24"/>
          <w:highlight w:val="none"/>
        </w:rPr>
      </w:pPr>
      <w:r>
        <w:rPr>
          <w:rFonts w:ascii="宋体" w:hAnsi="宋体" w:eastAsia="宋体" w:cs="宋体"/>
          <w:color w:val="auto"/>
          <w:sz w:val="24"/>
          <w:szCs w:val="24"/>
          <w:highlight w:val="none"/>
        </w:rPr>
        <w:t>⑤发包人未按合同约定提供工程款支付担保的责任：</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397B53C3">
      <w:pPr>
        <w:spacing w:before="185" w:line="219" w:lineRule="auto"/>
        <w:ind w:left="1911"/>
        <w:rPr>
          <w:rFonts w:ascii="宋体" w:hAnsi="宋体" w:eastAsia="宋体" w:cs="宋体"/>
          <w:color w:val="auto"/>
          <w:sz w:val="24"/>
          <w:szCs w:val="24"/>
          <w:highlight w:val="none"/>
        </w:rPr>
      </w:pPr>
      <w:r>
        <w:rPr>
          <w:rFonts w:ascii="宋体" w:hAnsi="宋体" w:eastAsia="宋体" w:cs="宋体"/>
          <w:color w:val="auto"/>
          <w:sz w:val="24"/>
          <w:szCs w:val="24"/>
          <w:highlight w:val="none"/>
        </w:rPr>
        <w:t>（4）发包人应要求承包人在建设过程中对</w:t>
      </w:r>
      <w:r>
        <w:rPr>
          <w:rFonts w:ascii="宋体" w:hAnsi="宋体" w:eastAsia="宋体" w:cs="宋体"/>
          <w:color w:val="auto"/>
          <w:spacing w:val="-68"/>
          <w:sz w:val="24"/>
          <w:szCs w:val="24"/>
          <w:highlight w:val="none"/>
        </w:rPr>
        <w:t xml:space="preserve"> </w:t>
      </w:r>
      <w:r>
        <w:rPr>
          <w:rFonts w:ascii="宋体" w:hAnsi="宋体" w:eastAsia="宋体" w:cs="宋体"/>
          <w:color w:val="auto"/>
          <w:sz w:val="24"/>
          <w:szCs w:val="24"/>
          <w:highlight w:val="none"/>
        </w:rPr>
        <w:t>“项目现场管理机构”的履约情况每季</w:t>
      </w:r>
    </w:p>
    <w:p w14:paraId="6CF7F9F2">
      <w:pPr>
        <w:spacing w:line="219" w:lineRule="auto"/>
        <w:rPr>
          <w:rFonts w:ascii="宋体" w:hAnsi="宋体" w:eastAsia="宋体" w:cs="宋体"/>
          <w:color w:val="auto"/>
          <w:sz w:val="24"/>
          <w:szCs w:val="24"/>
          <w:highlight w:val="none"/>
        </w:rPr>
        <w:sectPr>
          <w:headerReference r:id="rId56" w:type="default"/>
          <w:footerReference r:id="rId57" w:type="default"/>
          <w:pgSz w:w="11905" w:h="16840"/>
          <w:pgMar w:top="1182" w:right="0" w:bottom="1171" w:left="0" w:header="849" w:footer="937" w:gutter="0"/>
          <w:pgNumType w:fmt="decimal"/>
          <w:cols w:space="720" w:num="1"/>
        </w:sectPr>
      </w:pPr>
    </w:p>
    <w:p w14:paraId="1695D21B">
      <w:pPr>
        <w:pStyle w:val="3"/>
        <w:spacing w:line="268" w:lineRule="auto"/>
        <w:rPr>
          <w:color w:val="auto"/>
          <w:highlight w:val="none"/>
        </w:rPr>
      </w:pPr>
    </w:p>
    <w:p w14:paraId="5DA64474">
      <w:pPr>
        <w:spacing w:before="78" w:line="360" w:lineRule="auto"/>
        <w:ind w:left="1424" w:right="1416"/>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度/半年进行监管和支持，重要事项（主要包括主要负责人员履职情况、质量安全保证</w:t>
      </w:r>
      <w:r>
        <w:rPr>
          <w:rFonts w:ascii="宋体" w:hAnsi="宋体" w:eastAsia="宋体" w:cs="宋体"/>
          <w:color w:val="auto"/>
          <w:spacing w:val="-2"/>
          <w:sz w:val="24"/>
          <w:szCs w:val="24"/>
          <w:highlight w:val="none"/>
        </w:rPr>
        <w:t>体系运转情况、施工组织总体策划、现场施工质量安全情况、危大工程施工情况、变更申报及过程结算开展情况等）提级管理，应设立专项管理工作，并可单独列支相关“专项费用”，应对施工单位项目部的履约情况进行检查指导，将承包人的履约情况纳入其</w:t>
      </w:r>
      <w:r>
        <w:rPr>
          <w:rFonts w:ascii="宋体" w:hAnsi="宋体" w:eastAsia="宋体" w:cs="宋体"/>
          <w:color w:val="auto"/>
          <w:spacing w:val="-6"/>
          <w:sz w:val="24"/>
          <w:szCs w:val="24"/>
          <w:highlight w:val="none"/>
        </w:rPr>
        <w:t>年度信用管理。</w:t>
      </w:r>
    </w:p>
    <w:p w14:paraId="62B2CB8E">
      <w:pPr>
        <w:spacing w:before="2" w:line="359" w:lineRule="auto"/>
        <w:ind w:left="1429" w:right="142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（5）发包人在开工后按广东省《公路工程造价管理指南》的规定建立造价管理台</w:t>
      </w:r>
      <w:r>
        <w:rPr>
          <w:rFonts w:ascii="宋体" w:hAnsi="宋体" w:eastAsia="宋体" w:cs="宋体"/>
          <w:color w:val="auto"/>
          <w:spacing w:val="-2"/>
          <w:sz w:val="24"/>
          <w:szCs w:val="24"/>
          <w:highlight w:val="none"/>
        </w:rPr>
        <w:t>账，并在建设过程中汇总，定期维护、及时更新和动态管理。</w:t>
      </w:r>
    </w:p>
    <w:p w14:paraId="7C971AFA">
      <w:pPr>
        <w:spacing w:line="222" w:lineRule="auto"/>
        <w:ind w:left="1910"/>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3.监理人</w:t>
      </w:r>
    </w:p>
    <w:p w14:paraId="7C012EB9">
      <w:pPr>
        <w:spacing w:before="178" w:line="220" w:lineRule="auto"/>
        <w:ind w:left="19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3.1 监理人的职责和权力</w:t>
      </w:r>
    </w:p>
    <w:p w14:paraId="05664A6D">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3.1.1</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20B763AC">
      <w:pPr>
        <w:spacing w:before="182" w:line="219" w:lineRule="auto"/>
        <w:ind w:left="191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3.1.1（6）本项细化为：</w:t>
      </w:r>
    </w:p>
    <w:p w14:paraId="78E379B7">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（6）根据第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15.3 款发出的变更指示，均需要经发包人事先批准。</w:t>
      </w:r>
    </w:p>
    <w:p w14:paraId="1BFA4F60">
      <w:pPr>
        <w:spacing w:before="183" w:line="360" w:lineRule="auto"/>
        <w:ind w:left="1426" w:right="1403"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增加以下内容：监理人关于本合同段工程的有关决定，都必须抄送发包人。发包人</w:t>
      </w:r>
      <w:r>
        <w:rPr>
          <w:rFonts w:ascii="宋体" w:hAnsi="宋体" w:eastAsia="宋体" w:cs="宋体"/>
          <w:color w:val="auto"/>
          <w:spacing w:val="-1"/>
          <w:sz w:val="24"/>
          <w:szCs w:val="24"/>
          <w:highlight w:val="none"/>
        </w:rPr>
        <w:t>和承包人双方对工程施工的有关协议或决定，必须抄送监理人。监</w:t>
      </w:r>
      <w:r>
        <w:rPr>
          <w:rFonts w:ascii="宋体" w:hAnsi="宋体" w:eastAsia="宋体" w:cs="宋体"/>
          <w:color w:val="auto"/>
          <w:spacing w:val="-2"/>
          <w:sz w:val="24"/>
          <w:szCs w:val="24"/>
          <w:highlight w:val="none"/>
        </w:rPr>
        <w:t>理人涉及工程变更、</w:t>
      </w:r>
      <w:r>
        <w:rPr>
          <w:rFonts w:ascii="宋体" w:hAnsi="宋体" w:eastAsia="宋体" w:cs="宋体"/>
          <w:color w:val="auto"/>
          <w:spacing w:val="-7"/>
          <w:sz w:val="24"/>
          <w:szCs w:val="24"/>
          <w:highlight w:val="none"/>
        </w:rPr>
        <w:t>工程量增减、议价、索赔、改变工期、改变技术标准、改变重大施工技术方案，</w:t>
      </w:r>
      <w:r>
        <w:rPr>
          <w:rFonts w:ascii="宋体" w:hAnsi="宋体" w:eastAsia="宋体" w:cs="宋体"/>
          <w:color w:val="auto"/>
          <w:spacing w:val="86"/>
          <w:sz w:val="24"/>
          <w:szCs w:val="24"/>
          <w:highlight w:val="none"/>
        </w:rPr>
        <w:t xml:space="preserve"> </w:t>
      </w:r>
      <w:r>
        <w:rPr>
          <w:rFonts w:ascii="宋体" w:hAnsi="宋体" w:eastAsia="宋体" w:cs="宋体"/>
          <w:color w:val="auto"/>
          <w:spacing w:val="-7"/>
          <w:sz w:val="24"/>
          <w:szCs w:val="24"/>
          <w:highlight w:val="none"/>
        </w:rPr>
        <w:t>以及与</w:t>
      </w:r>
      <w:r>
        <w:rPr>
          <w:rFonts w:ascii="宋体" w:hAnsi="宋体" w:eastAsia="宋体" w:cs="宋体"/>
          <w:color w:val="auto"/>
          <w:spacing w:val="-1"/>
          <w:sz w:val="24"/>
          <w:szCs w:val="24"/>
          <w:highlight w:val="none"/>
        </w:rPr>
        <w:t>费用有关的指令，均需事先与发包人协商，</w:t>
      </w:r>
      <w:r>
        <w:rPr>
          <w:rFonts w:ascii="宋体" w:hAnsi="宋体" w:eastAsia="宋体" w:cs="宋体"/>
          <w:color w:val="auto"/>
          <w:spacing w:val="-2"/>
          <w:sz w:val="24"/>
          <w:szCs w:val="24"/>
          <w:highlight w:val="none"/>
        </w:rPr>
        <w:t>发包人书面认可后方能生效。</w:t>
      </w:r>
    </w:p>
    <w:p w14:paraId="760050DB">
      <w:pPr>
        <w:spacing w:before="1" w:line="219"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3.1.2</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0111A583">
      <w:pPr>
        <w:spacing w:before="182" w:line="360" w:lineRule="auto"/>
        <w:ind w:left="1425" w:right="1416" w:firstLine="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除本合同规定必须经发包人另行批准的事项外，如果监理人已经行使了上述职权，</w:t>
      </w:r>
      <w:r>
        <w:rPr>
          <w:rFonts w:ascii="宋体" w:hAnsi="宋体" w:eastAsia="宋体" w:cs="宋体"/>
          <w:color w:val="auto"/>
          <w:spacing w:val="-5"/>
          <w:sz w:val="24"/>
          <w:szCs w:val="24"/>
          <w:highlight w:val="none"/>
        </w:rPr>
        <w:t>都应认为已从发包人处取得了必要的批准。但如果监理人的某些决定不妥或有错误， 不</w:t>
      </w:r>
      <w:r>
        <w:rPr>
          <w:rFonts w:ascii="宋体" w:hAnsi="宋体" w:eastAsia="宋体" w:cs="宋体"/>
          <w:color w:val="auto"/>
          <w:spacing w:val="-2"/>
          <w:sz w:val="24"/>
          <w:szCs w:val="24"/>
          <w:highlight w:val="none"/>
        </w:rPr>
        <w:t>妨碍政府监督部门或发包人事后进行撤销或变更。</w:t>
      </w:r>
    </w:p>
    <w:p w14:paraId="702FEEFA">
      <w:pPr>
        <w:spacing w:before="1" w:line="218"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本条增加第 3.6</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款和第</w:t>
      </w:r>
      <w:r>
        <w:rPr>
          <w:rFonts w:ascii="宋体" w:hAnsi="宋体" w:eastAsia="宋体" w:cs="宋体"/>
          <w:color w:val="auto"/>
          <w:spacing w:val="14"/>
          <w:sz w:val="24"/>
          <w:szCs w:val="24"/>
          <w:highlight w:val="none"/>
        </w:rPr>
        <w:t xml:space="preserve"> </w:t>
      </w:r>
      <w:r>
        <w:rPr>
          <w:rFonts w:ascii="宋体" w:hAnsi="宋体" w:eastAsia="宋体" w:cs="宋体"/>
          <w:color w:val="auto"/>
          <w:spacing w:val="-4"/>
          <w:sz w:val="24"/>
          <w:szCs w:val="24"/>
          <w:highlight w:val="none"/>
        </w:rPr>
        <w:t>3.7</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款：</w:t>
      </w:r>
    </w:p>
    <w:p w14:paraId="71228FC9">
      <w:pPr>
        <w:spacing w:before="183" w:line="220" w:lineRule="auto"/>
        <w:ind w:left="19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3.6 发包人、监理人、试验人、承包人、风险管理等单位的关系</w:t>
      </w:r>
    </w:p>
    <w:p w14:paraId="54C33647">
      <w:pPr>
        <w:spacing w:before="180" w:line="340" w:lineRule="auto"/>
        <w:ind w:left="1424" w:right="1328"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3.6.1</w:t>
      </w:r>
      <w:r>
        <w:rPr>
          <w:rFonts w:ascii="宋体" w:hAnsi="宋体" w:eastAsia="宋体" w:cs="宋体"/>
          <w:color w:val="auto"/>
          <w:spacing w:val="-51"/>
          <w:sz w:val="24"/>
          <w:szCs w:val="24"/>
          <w:highlight w:val="none"/>
        </w:rPr>
        <w:t xml:space="preserve"> </w:t>
      </w:r>
      <w:r>
        <w:rPr>
          <w:rFonts w:ascii="宋体" w:hAnsi="宋体" w:eastAsia="宋体" w:cs="宋体"/>
          <w:color w:val="auto"/>
          <w:sz w:val="24"/>
          <w:szCs w:val="24"/>
          <w:highlight w:val="none"/>
        </w:rPr>
        <w:t>在整个建设过程中，发包人与监理人、试</w:t>
      </w:r>
      <w:r>
        <w:rPr>
          <w:rFonts w:ascii="宋体" w:hAnsi="宋体" w:eastAsia="宋体" w:cs="宋体"/>
          <w:color w:val="auto"/>
          <w:spacing w:val="-1"/>
          <w:sz w:val="24"/>
          <w:szCs w:val="24"/>
          <w:highlight w:val="none"/>
        </w:rPr>
        <w:t>验人、第三方监测、风险管理单位</w:t>
      </w:r>
      <w:r>
        <w:rPr>
          <w:rFonts w:ascii="宋体" w:hAnsi="宋体" w:eastAsia="宋体" w:cs="宋体"/>
          <w:color w:val="auto"/>
          <w:spacing w:val="-5"/>
          <w:sz w:val="24"/>
          <w:szCs w:val="24"/>
          <w:highlight w:val="none"/>
        </w:rPr>
        <w:t>之间是委托与被委托的关系，同时也是建设命运共同体</w:t>
      </w:r>
      <w:r>
        <w:rPr>
          <w:rFonts w:ascii="宋体" w:hAnsi="宋体" w:eastAsia="宋体" w:cs="宋体"/>
          <w:color w:val="auto"/>
          <w:spacing w:val="-6"/>
          <w:sz w:val="24"/>
          <w:szCs w:val="24"/>
          <w:highlight w:val="none"/>
        </w:rPr>
        <w:t>，努力营造“共建、共管、共创、</w:t>
      </w:r>
      <w:r>
        <w:rPr>
          <w:rFonts w:ascii="宋体" w:hAnsi="宋体" w:eastAsia="宋体" w:cs="宋体"/>
          <w:color w:val="auto"/>
          <w:spacing w:val="-5"/>
          <w:sz w:val="24"/>
          <w:szCs w:val="24"/>
          <w:highlight w:val="none"/>
        </w:rPr>
        <w:t>共享”的建设环境；监理人与承包人是监理与被监理的</w:t>
      </w:r>
      <w:r>
        <w:rPr>
          <w:rFonts w:ascii="宋体" w:hAnsi="宋体" w:eastAsia="宋体" w:cs="宋体"/>
          <w:color w:val="auto"/>
          <w:spacing w:val="-6"/>
          <w:sz w:val="24"/>
          <w:szCs w:val="24"/>
          <w:highlight w:val="none"/>
        </w:rPr>
        <w:t>关系；承包人在项目实施过程中，</w:t>
      </w:r>
      <w:r>
        <w:rPr>
          <w:rFonts w:ascii="宋体" w:hAnsi="宋体" w:eastAsia="宋体" w:cs="宋体"/>
          <w:color w:val="auto"/>
          <w:spacing w:val="-2"/>
          <w:sz w:val="24"/>
          <w:szCs w:val="24"/>
          <w:highlight w:val="none"/>
        </w:rPr>
        <w:t>必须接受发包人的统一管理，同时应按合同规定接受监理人和试验人的监督和管理。任何与施工承包合同有关的施工活动，都必须同时经发包人或发包人委托的监理人审查认定，认为符合合同规定，发包人才同意计量。承包人应服从发包人的统一协调，积极配合发包人委托的单位开展工作，相关费用已包含在合同总价中。</w:t>
      </w:r>
    </w:p>
    <w:p w14:paraId="2A42ED5E">
      <w:pPr>
        <w:spacing w:before="185" w:line="219" w:lineRule="auto"/>
        <w:ind w:left="1910"/>
        <w:rPr>
          <w:rFonts w:ascii="宋体" w:hAnsi="宋体" w:eastAsia="宋体" w:cs="宋体"/>
          <w:color w:val="auto"/>
          <w:sz w:val="24"/>
          <w:szCs w:val="24"/>
          <w:highlight w:val="none"/>
        </w:rPr>
      </w:pPr>
      <w:r>
        <w:rPr>
          <w:rFonts w:ascii="宋体" w:hAnsi="宋体" w:eastAsia="宋体" w:cs="宋体"/>
          <w:color w:val="auto"/>
          <w:sz w:val="24"/>
          <w:szCs w:val="24"/>
          <w:highlight w:val="none"/>
        </w:rPr>
        <w:t>3.6.2</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本项目工程实行承包人自检、社会监</w:t>
      </w:r>
      <w:r>
        <w:rPr>
          <w:rFonts w:ascii="宋体" w:hAnsi="宋体" w:eastAsia="宋体" w:cs="宋体"/>
          <w:color w:val="auto"/>
          <w:spacing w:val="-1"/>
          <w:sz w:val="24"/>
          <w:szCs w:val="24"/>
          <w:highlight w:val="none"/>
        </w:rPr>
        <w:t>理（含试验人）、发包人管理和政府监</w:t>
      </w:r>
    </w:p>
    <w:p w14:paraId="1A406414">
      <w:pPr>
        <w:spacing w:line="219" w:lineRule="auto"/>
        <w:rPr>
          <w:rFonts w:ascii="宋体" w:hAnsi="宋体" w:eastAsia="宋体" w:cs="宋体"/>
          <w:color w:val="auto"/>
          <w:sz w:val="24"/>
          <w:szCs w:val="24"/>
          <w:highlight w:val="none"/>
        </w:rPr>
        <w:sectPr>
          <w:headerReference r:id="rId58" w:type="default"/>
          <w:footerReference r:id="rId59" w:type="default"/>
          <w:pgSz w:w="11905" w:h="16840"/>
          <w:pgMar w:top="1182" w:right="0" w:bottom="1171" w:left="0" w:header="849" w:footer="937" w:gutter="0"/>
          <w:pgNumType w:fmt="decimal"/>
          <w:cols w:space="720" w:num="1"/>
        </w:sectPr>
      </w:pPr>
    </w:p>
    <w:p w14:paraId="277C5094">
      <w:pPr>
        <w:pStyle w:val="3"/>
        <w:spacing w:line="268" w:lineRule="auto"/>
        <w:rPr>
          <w:color w:val="auto"/>
          <w:highlight w:val="none"/>
        </w:rPr>
      </w:pPr>
    </w:p>
    <w:p w14:paraId="61D09102">
      <w:pPr>
        <w:spacing w:before="78" w:line="360" w:lineRule="auto"/>
        <w:ind w:left="1424" w:right="1416" w:firstLine="5"/>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督的质量保证体系。对工程质量出现问题而降低质量标准或返工而造成的一切经济和工期损失，由承包人承担，并视为承包人违约；监理人根据监理合同规定负监理不周的责</w:t>
      </w:r>
      <w:r>
        <w:rPr>
          <w:rFonts w:ascii="宋体" w:hAnsi="宋体" w:eastAsia="宋体" w:cs="宋体"/>
          <w:color w:val="auto"/>
          <w:spacing w:val="-1"/>
          <w:sz w:val="24"/>
          <w:szCs w:val="24"/>
          <w:highlight w:val="none"/>
        </w:rPr>
        <w:t>任。监理人对某一分部或分项工程的认可不影响政府机构或发包人</w:t>
      </w:r>
      <w:r>
        <w:rPr>
          <w:rFonts w:ascii="宋体" w:hAnsi="宋体" w:eastAsia="宋体" w:cs="宋体"/>
          <w:color w:val="auto"/>
          <w:spacing w:val="-2"/>
          <w:sz w:val="24"/>
          <w:szCs w:val="24"/>
          <w:highlight w:val="none"/>
        </w:rPr>
        <w:t>在事后的否定。</w:t>
      </w:r>
    </w:p>
    <w:p w14:paraId="3286A40A">
      <w:pPr>
        <w:spacing w:line="219" w:lineRule="auto"/>
        <w:ind w:left="19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3.7 发包人代表（或称发包人驻地代表）</w:t>
      </w:r>
    </w:p>
    <w:p w14:paraId="230777D6">
      <w:pPr>
        <w:spacing w:before="181" w:line="290" w:lineRule="auto"/>
        <w:ind w:left="1426" w:right="1419"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3.7.1</w:t>
      </w:r>
      <w:r>
        <w:rPr>
          <w:rFonts w:ascii="宋体" w:hAnsi="宋体" w:eastAsia="宋体" w:cs="宋体"/>
          <w:color w:val="auto"/>
          <w:spacing w:val="-28"/>
          <w:sz w:val="24"/>
          <w:szCs w:val="24"/>
          <w:highlight w:val="none"/>
        </w:rPr>
        <w:t xml:space="preserve"> </w:t>
      </w:r>
      <w:r>
        <w:rPr>
          <w:rFonts w:ascii="宋体" w:hAnsi="宋体" w:eastAsia="宋体" w:cs="宋体"/>
          <w:color w:val="auto"/>
          <w:spacing w:val="-1"/>
          <w:sz w:val="24"/>
          <w:szCs w:val="24"/>
          <w:highlight w:val="none"/>
        </w:rPr>
        <w:t>发包人代表根据发包人的授权，代表发包人履行项目管理和控制职责，具体</w:t>
      </w:r>
      <w:r>
        <w:rPr>
          <w:rFonts w:ascii="宋体" w:hAnsi="宋体" w:eastAsia="宋体" w:cs="宋体"/>
          <w:color w:val="auto"/>
          <w:spacing w:val="-3"/>
          <w:sz w:val="24"/>
          <w:szCs w:val="24"/>
          <w:highlight w:val="none"/>
        </w:rPr>
        <w:t>职责和权限由发包人另行明确。</w:t>
      </w:r>
    </w:p>
    <w:p w14:paraId="7229B3E3">
      <w:pPr>
        <w:spacing w:before="181" w:line="290" w:lineRule="auto"/>
        <w:ind w:left="1430" w:right="1419"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3.7.2</w:t>
      </w:r>
      <w:r>
        <w:rPr>
          <w:rFonts w:ascii="宋体" w:hAnsi="宋体" w:eastAsia="宋体" w:cs="宋体"/>
          <w:color w:val="auto"/>
          <w:spacing w:val="-28"/>
          <w:sz w:val="24"/>
          <w:szCs w:val="24"/>
          <w:highlight w:val="none"/>
        </w:rPr>
        <w:t xml:space="preserve"> </w:t>
      </w:r>
      <w:r>
        <w:rPr>
          <w:rFonts w:ascii="宋体" w:hAnsi="宋体" w:eastAsia="宋体" w:cs="宋体"/>
          <w:color w:val="auto"/>
          <w:spacing w:val="-1"/>
          <w:sz w:val="24"/>
          <w:szCs w:val="24"/>
          <w:highlight w:val="none"/>
        </w:rPr>
        <w:t>发包人代表对承包人的现场工程质量、进度、安全、文明环保等进行检查和</w:t>
      </w:r>
      <w:r>
        <w:rPr>
          <w:rFonts w:ascii="宋体" w:hAnsi="宋体" w:eastAsia="宋体" w:cs="宋体"/>
          <w:color w:val="auto"/>
          <w:spacing w:val="-3"/>
          <w:sz w:val="24"/>
          <w:szCs w:val="24"/>
          <w:highlight w:val="none"/>
        </w:rPr>
        <w:t>督导，并有权要求承包人对存在问题进行整改。</w:t>
      </w:r>
    </w:p>
    <w:p w14:paraId="41CAAB96">
      <w:pPr>
        <w:spacing w:before="182" w:line="220" w:lineRule="auto"/>
        <w:ind w:left="190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4.承包人</w:t>
      </w:r>
    </w:p>
    <w:p w14:paraId="229D3997">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承包人的一般义务</w:t>
      </w:r>
    </w:p>
    <w:p w14:paraId="3C703FD5">
      <w:pPr>
        <w:spacing w:before="183"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4.1.2</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依法纳税</w:t>
      </w:r>
    </w:p>
    <w:p w14:paraId="1184CB65">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本项补充：</w:t>
      </w:r>
    </w:p>
    <w:p w14:paraId="2C5B672E">
      <w:pPr>
        <w:spacing w:before="184" w:line="360" w:lineRule="auto"/>
        <w:ind w:left="1424" w:right="1415" w:firstLine="484"/>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省、市和地方有关单位要收取的税费和规费（包括但不限于按交通运输部公布的《公</w:t>
      </w:r>
      <w:r>
        <w:rPr>
          <w:rFonts w:ascii="宋体" w:hAnsi="宋体" w:eastAsia="宋体" w:cs="宋体"/>
          <w:color w:val="auto"/>
          <w:spacing w:val="1"/>
          <w:sz w:val="24"/>
          <w:szCs w:val="24"/>
          <w:highlight w:val="none"/>
        </w:rPr>
        <w:t>路工程建设项目概算预算编制办法》(</w:t>
      </w:r>
      <w:r>
        <w:rPr>
          <w:rFonts w:ascii="宋体" w:hAnsi="宋体" w:eastAsia="宋体" w:cs="宋体"/>
          <w:color w:val="auto"/>
          <w:sz w:val="24"/>
          <w:szCs w:val="24"/>
          <w:highlight w:val="none"/>
        </w:rPr>
        <w:t>JTG</w:t>
      </w:r>
      <w:r>
        <w:rPr>
          <w:rFonts w:ascii="宋体" w:hAnsi="宋体" w:eastAsia="宋体" w:cs="宋体"/>
          <w:color w:val="auto"/>
          <w:spacing w:val="1"/>
          <w:sz w:val="24"/>
          <w:szCs w:val="24"/>
          <w:highlight w:val="none"/>
        </w:rPr>
        <w:t xml:space="preserve"> 3830-2018)规定的建筑安装工程造价内的增</w:t>
      </w:r>
      <w:r>
        <w:rPr>
          <w:rFonts w:ascii="宋体" w:hAnsi="宋体" w:eastAsia="宋体" w:cs="宋体"/>
          <w:color w:val="auto"/>
          <w:spacing w:val="-6"/>
          <w:sz w:val="24"/>
          <w:szCs w:val="24"/>
          <w:highlight w:val="none"/>
        </w:rPr>
        <w:t>值税、城市维护建设税、教育费附加和地方教育附加税、堤围防护费等</w:t>
      </w:r>
      <w:r>
        <w:rPr>
          <w:rFonts w:ascii="宋体" w:hAnsi="宋体" w:eastAsia="宋体" w:cs="宋体"/>
          <w:color w:val="auto"/>
          <w:spacing w:val="2"/>
          <w:sz w:val="24"/>
          <w:szCs w:val="24"/>
          <w:highlight w:val="none"/>
        </w:rPr>
        <w:t>）</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6"/>
          <w:sz w:val="24"/>
          <w:szCs w:val="24"/>
          <w:highlight w:val="none"/>
        </w:rPr>
        <w:t>已包含在工</w:t>
      </w:r>
      <w:r>
        <w:rPr>
          <w:rFonts w:ascii="宋体" w:hAnsi="宋体" w:eastAsia="宋体" w:cs="宋体"/>
          <w:color w:val="auto"/>
          <w:spacing w:val="-2"/>
          <w:sz w:val="24"/>
          <w:szCs w:val="24"/>
          <w:highlight w:val="none"/>
        </w:rPr>
        <w:t>程量清单单价及总价中，由承包人负责缴纳并承担所需费用。</w:t>
      </w:r>
    </w:p>
    <w:p w14:paraId="009EAFD7">
      <w:pPr>
        <w:spacing w:line="219"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4.1.4 对施工作业和施工方法的完备性负责</w:t>
      </w:r>
    </w:p>
    <w:p w14:paraId="25023B53">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本项细化为：</w:t>
      </w:r>
    </w:p>
    <w:p w14:paraId="13202CF7">
      <w:pPr>
        <w:spacing w:line="360" w:lineRule="auto"/>
        <w:ind w:left="1425" w:right="1416" w:firstLine="480"/>
        <w:jc w:val="both"/>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承包人应按合同约定的工作内容和施工进度要求，根据《广东省公路工程施工标准化指南》及《公路工程施工安全防护设施技术指南》编制施工组织设计和施工方案</w:t>
      </w:r>
      <w:r>
        <w:rPr>
          <w:rFonts w:ascii="宋体" w:hAnsi="宋体" w:eastAsia="宋体" w:cs="宋体"/>
          <w:color w:val="auto"/>
          <w:spacing w:val="-4"/>
          <w:sz w:val="24"/>
          <w:szCs w:val="24"/>
          <w:highlight w:val="none"/>
        </w:rPr>
        <w:t>。</w:t>
      </w:r>
    </w:p>
    <w:p w14:paraId="254FE480">
      <w:pPr>
        <w:spacing w:line="220"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4.1.5</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保证工程施工和人员的安全</w:t>
      </w:r>
    </w:p>
    <w:p w14:paraId="237CE1D2">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本项补充：</w:t>
      </w:r>
    </w:p>
    <w:p w14:paraId="7E46CBAC">
      <w:pPr>
        <w:spacing w:before="185" w:line="361"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承包人在施工中必须按相关规定和标准设置安全标志、标牌等必要的安全设施， 否</w:t>
      </w:r>
      <w:r>
        <w:rPr>
          <w:rFonts w:ascii="宋体" w:hAnsi="宋体" w:eastAsia="宋体" w:cs="宋体"/>
          <w:color w:val="auto"/>
          <w:spacing w:val="-2"/>
          <w:sz w:val="24"/>
          <w:szCs w:val="24"/>
          <w:highlight w:val="none"/>
        </w:rPr>
        <w:t>则发包人将委托其他单位制作或设置，发生的费用从安全生产费中扣除，不足部分从工</w:t>
      </w:r>
      <w:r>
        <w:rPr>
          <w:rFonts w:ascii="宋体" w:hAnsi="宋体" w:eastAsia="宋体" w:cs="宋体"/>
          <w:color w:val="auto"/>
          <w:spacing w:val="-6"/>
          <w:sz w:val="24"/>
          <w:szCs w:val="24"/>
          <w:highlight w:val="none"/>
        </w:rPr>
        <w:t>程款中扣除。</w:t>
      </w:r>
    </w:p>
    <w:p w14:paraId="3BEDF4FB">
      <w:pPr>
        <w:spacing w:line="361" w:lineRule="auto"/>
        <w:rPr>
          <w:rFonts w:ascii="宋体" w:hAnsi="宋体" w:eastAsia="宋体" w:cs="宋体"/>
          <w:color w:val="auto"/>
          <w:sz w:val="24"/>
          <w:szCs w:val="24"/>
          <w:highlight w:val="none"/>
        </w:rPr>
        <w:sectPr>
          <w:headerReference r:id="rId60" w:type="default"/>
          <w:footerReference r:id="rId61" w:type="default"/>
          <w:pgSz w:w="11905" w:h="16840"/>
          <w:pgMar w:top="1182" w:right="0" w:bottom="1171" w:left="0" w:header="849" w:footer="937" w:gutter="0"/>
          <w:pgNumType w:fmt="decimal"/>
          <w:cols w:space="720" w:num="1"/>
        </w:sectPr>
      </w:pPr>
    </w:p>
    <w:p w14:paraId="41F890CF">
      <w:pPr>
        <w:pStyle w:val="3"/>
        <w:spacing w:line="267" w:lineRule="auto"/>
        <w:rPr>
          <w:color w:val="auto"/>
          <w:highlight w:val="none"/>
        </w:rPr>
      </w:pPr>
    </w:p>
    <w:p w14:paraId="2B76479D">
      <w:pPr>
        <w:spacing w:before="78" w:line="220"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4.1.7</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避免施工对公众与他人的利益造成损害</w:t>
      </w:r>
    </w:p>
    <w:p w14:paraId="21AAF0F2">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0B68E3AD">
      <w:pPr>
        <w:spacing w:before="184" w:line="313" w:lineRule="auto"/>
        <w:ind w:left="1427" w:right="1416" w:firstLine="52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(1)承包人在进行合同约定的各项工作时，不得侵害发包人与他人使用公用道路、</w:t>
      </w:r>
      <w:r>
        <w:rPr>
          <w:rFonts w:ascii="宋体" w:hAnsi="宋体" w:eastAsia="宋体" w:cs="宋体"/>
          <w:color w:val="auto"/>
          <w:spacing w:val="-6"/>
          <w:sz w:val="24"/>
          <w:szCs w:val="24"/>
          <w:highlight w:val="none"/>
        </w:rPr>
        <w:t>水源、市政管网等公共设施的权利，</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避免对邻近的公共设施产生干扰。承包人占用或使</w:t>
      </w:r>
      <w:r>
        <w:rPr>
          <w:rFonts w:ascii="宋体" w:hAnsi="宋体" w:eastAsia="宋体" w:cs="宋体"/>
          <w:color w:val="auto"/>
          <w:spacing w:val="-2"/>
          <w:sz w:val="24"/>
          <w:szCs w:val="24"/>
          <w:highlight w:val="none"/>
        </w:rPr>
        <w:t>用他人的施工场地，影响他人作业或生活的，应承担相应责任。</w:t>
      </w:r>
    </w:p>
    <w:p w14:paraId="31682040">
      <w:pPr>
        <w:spacing w:before="181" w:line="340" w:lineRule="auto"/>
        <w:ind w:left="1424" w:right="1328" w:firstLine="523"/>
        <w:rPr>
          <w:rFonts w:ascii="宋体" w:hAnsi="宋体" w:eastAsia="宋体" w:cs="宋体"/>
          <w:color w:val="auto"/>
          <w:sz w:val="24"/>
          <w:szCs w:val="24"/>
          <w:highlight w:val="none"/>
        </w:rPr>
      </w:pPr>
      <w:r>
        <w:rPr>
          <w:rFonts w:ascii="宋体" w:hAnsi="宋体" w:eastAsia="宋体" w:cs="宋体"/>
          <w:color w:val="auto"/>
          <w:sz w:val="24"/>
          <w:szCs w:val="24"/>
          <w:highlight w:val="none"/>
        </w:rPr>
        <w:t>(2)承包人对实施和完成本合同工程及缺陷修复工程中的一切施工作业（尤其是爆</w:t>
      </w:r>
      <w:r>
        <w:rPr>
          <w:rFonts w:ascii="宋体" w:hAnsi="宋体" w:eastAsia="宋体" w:cs="宋体"/>
          <w:color w:val="auto"/>
          <w:spacing w:val="-5"/>
          <w:sz w:val="24"/>
          <w:szCs w:val="24"/>
          <w:highlight w:val="none"/>
        </w:rPr>
        <w:t>破作业、钻孔桩施工、路基路面碾压等存在震动</w:t>
      </w:r>
      <w:r>
        <w:rPr>
          <w:rFonts w:ascii="宋体" w:hAnsi="宋体" w:eastAsia="宋体" w:cs="宋体"/>
          <w:color w:val="auto"/>
          <w:spacing w:val="-6"/>
          <w:sz w:val="24"/>
          <w:szCs w:val="24"/>
          <w:highlight w:val="none"/>
        </w:rPr>
        <w:t>的施工作业以及需要临时改变当地交通、</w:t>
      </w:r>
      <w:r>
        <w:rPr>
          <w:rFonts w:ascii="宋体" w:hAnsi="宋体" w:eastAsia="宋体" w:cs="宋体"/>
          <w:color w:val="auto"/>
          <w:spacing w:val="-7"/>
          <w:sz w:val="24"/>
          <w:szCs w:val="24"/>
          <w:highlight w:val="none"/>
        </w:rPr>
        <w:t>灌溉、排水现状的施工作业</w:t>
      </w:r>
      <w:r>
        <w:rPr>
          <w:rFonts w:ascii="宋体" w:hAnsi="宋体" w:eastAsia="宋体" w:cs="宋体"/>
          <w:color w:val="auto"/>
          <w:spacing w:val="-17"/>
          <w:sz w:val="24"/>
          <w:szCs w:val="24"/>
          <w:highlight w:val="none"/>
        </w:rPr>
        <w:t>）</w:t>
      </w:r>
      <w:r>
        <w:rPr>
          <w:rFonts w:ascii="宋体" w:hAnsi="宋体" w:eastAsia="宋体" w:cs="宋体"/>
          <w:color w:val="auto"/>
          <w:spacing w:val="-26"/>
          <w:sz w:val="24"/>
          <w:szCs w:val="24"/>
          <w:highlight w:val="none"/>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7"/>
          <w:sz w:val="24"/>
          <w:szCs w:val="24"/>
          <w:highlight w:val="none"/>
        </w:rPr>
        <w:t>有责任采取足够的预防措施，以</w:t>
      </w:r>
      <w:r>
        <w:rPr>
          <w:rFonts w:ascii="宋体" w:hAnsi="宋体" w:eastAsia="宋体" w:cs="宋体"/>
          <w:color w:val="auto"/>
          <w:spacing w:val="-8"/>
          <w:sz w:val="24"/>
          <w:szCs w:val="24"/>
          <w:highlight w:val="none"/>
        </w:rPr>
        <w:t>保证不影响临近建筑物、</w:t>
      </w:r>
      <w:r>
        <w:rPr>
          <w:rFonts w:ascii="宋体" w:hAnsi="宋体" w:eastAsia="宋体" w:cs="宋体"/>
          <w:color w:val="auto"/>
          <w:spacing w:val="-2"/>
          <w:sz w:val="24"/>
          <w:szCs w:val="24"/>
          <w:highlight w:val="none"/>
        </w:rPr>
        <w:t>构造物的安全与正常使用，不对群众的财产造成损失，也不干扰群众的生产、生活和通</w:t>
      </w:r>
      <w:r>
        <w:rPr>
          <w:rFonts w:ascii="宋体" w:hAnsi="宋体" w:eastAsia="宋体" w:cs="宋体"/>
          <w:color w:val="auto"/>
          <w:spacing w:val="-4"/>
          <w:sz w:val="24"/>
          <w:szCs w:val="24"/>
          <w:highlight w:val="none"/>
        </w:rPr>
        <w:t>行方便（难以避免的一定程度的干扰除外</w:t>
      </w:r>
      <w:r>
        <w:rPr>
          <w:rFonts w:ascii="宋体" w:hAnsi="宋体" w:eastAsia="宋体" w:cs="宋体"/>
          <w:color w:val="auto"/>
          <w:spacing w:val="-24"/>
          <w:sz w:val="24"/>
          <w:szCs w:val="24"/>
          <w:highlight w:val="none"/>
        </w:rPr>
        <w:t>），</w:t>
      </w:r>
      <w:r>
        <w:rPr>
          <w:rFonts w:ascii="宋体" w:hAnsi="宋体" w:eastAsia="宋体" w:cs="宋体"/>
          <w:color w:val="auto"/>
          <w:spacing w:val="-4"/>
          <w:sz w:val="24"/>
          <w:szCs w:val="24"/>
          <w:highlight w:val="none"/>
        </w:rPr>
        <w:t>如发生上述</w:t>
      </w:r>
      <w:r>
        <w:rPr>
          <w:rFonts w:ascii="宋体" w:hAnsi="宋体" w:eastAsia="宋体" w:cs="宋体"/>
          <w:color w:val="auto"/>
          <w:spacing w:val="-5"/>
          <w:sz w:val="24"/>
          <w:szCs w:val="24"/>
          <w:highlight w:val="none"/>
        </w:rPr>
        <w:t>情况，并由此导致索赔、赔偿、</w:t>
      </w:r>
      <w:r>
        <w:rPr>
          <w:rFonts w:ascii="宋体" w:hAnsi="宋体" w:eastAsia="宋体" w:cs="宋体"/>
          <w:color w:val="auto"/>
          <w:spacing w:val="-2"/>
          <w:sz w:val="24"/>
          <w:szCs w:val="24"/>
          <w:highlight w:val="none"/>
        </w:rPr>
        <w:t>诉讼费用及其他开支时，应由承包人承担一切责任及费用。承包人在报价和组织施工时</w:t>
      </w:r>
      <w:r>
        <w:rPr>
          <w:rFonts w:ascii="宋体" w:hAnsi="宋体" w:eastAsia="宋体" w:cs="宋体"/>
          <w:color w:val="auto"/>
          <w:spacing w:val="-4"/>
          <w:sz w:val="24"/>
          <w:szCs w:val="24"/>
          <w:highlight w:val="none"/>
        </w:rPr>
        <w:t>应充分考虑这一因素。</w:t>
      </w:r>
    </w:p>
    <w:p w14:paraId="7CABE11A">
      <w:pPr>
        <w:spacing w:before="186" w:line="344" w:lineRule="auto"/>
        <w:ind w:left="1425" w:right="1416"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（3）承包人在实施和完成本合同工程及缺陷修复工作中的一切施工作业，在经过</w:t>
      </w:r>
      <w:r>
        <w:rPr>
          <w:rFonts w:ascii="宋体" w:hAnsi="宋体" w:eastAsia="宋体" w:cs="宋体"/>
          <w:color w:val="auto"/>
          <w:spacing w:val="-2"/>
          <w:sz w:val="24"/>
          <w:szCs w:val="24"/>
          <w:highlight w:val="none"/>
        </w:rPr>
        <w:t>原地貌为鱼塘时，须在征地红线处筑设围堰分界，围堰需坚固且堰顶标高应高出原塘基</w:t>
      </w:r>
      <w:r>
        <w:rPr>
          <w:rFonts w:ascii="宋体" w:hAnsi="宋体" w:eastAsia="宋体" w:cs="宋体"/>
          <w:color w:val="auto"/>
          <w:spacing w:val="-6"/>
          <w:sz w:val="24"/>
          <w:szCs w:val="24"/>
          <w:highlight w:val="none"/>
        </w:rPr>
        <w:t>至少</w:t>
      </w:r>
      <w:r>
        <w:rPr>
          <w:rFonts w:ascii="宋体" w:hAnsi="宋体" w:eastAsia="宋体" w:cs="宋体"/>
          <w:color w:val="auto"/>
          <w:spacing w:val="-48"/>
          <w:sz w:val="24"/>
          <w:szCs w:val="24"/>
          <w:highlight w:val="none"/>
        </w:rPr>
        <w:t xml:space="preserve"> </w:t>
      </w:r>
      <w:r>
        <w:rPr>
          <w:rFonts w:ascii="宋体" w:hAnsi="宋体" w:eastAsia="宋体" w:cs="宋体"/>
          <w:color w:val="auto"/>
          <w:spacing w:val="-6"/>
          <w:sz w:val="24"/>
          <w:szCs w:val="24"/>
          <w:highlight w:val="none"/>
        </w:rPr>
        <w:t>0.5</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米，以保证施工作业不污染、不影响征</w:t>
      </w:r>
      <w:r>
        <w:rPr>
          <w:rFonts w:ascii="宋体" w:hAnsi="宋体" w:eastAsia="宋体" w:cs="宋体"/>
          <w:color w:val="auto"/>
          <w:spacing w:val="-7"/>
          <w:sz w:val="24"/>
          <w:szCs w:val="24"/>
          <w:highlight w:val="none"/>
        </w:rPr>
        <w:t>地红线外鱼塘的养殖与正常使用，不对</w:t>
      </w:r>
      <w:r>
        <w:rPr>
          <w:rFonts w:ascii="宋体" w:hAnsi="宋体" w:eastAsia="宋体" w:cs="宋体"/>
          <w:color w:val="auto"/>
          <w:spacing w:val="-2"/>
          <w:sz w:val="24"/>
          <w:szCs w:val="24"/>
          <w:highlight w:val="none"/>
        </w:rPr>
        <w:t>群众的财产造成损失，施工过程也不干扰群众的生产。如因承包人责任（如施工考虑不周或措施不当等）而造成征地红线外鱼塘污染的，承包人应负责对涉及的鱼塘进行清淤</w:t>
      </w:r>
      <w:r>
        <w:rPr>
          <w:rFonts w:ascii="宋体" w:hAnsi="宋体" w:eastAsia="宋体" w:cs="宋体"/>
          <w:color w:val="auto"/>
          <w:spacing w:val="-6"/>
          <w:sz w:val="24"/>
          <w:szCs w:val="24"/>
          <w:highlight w:val="none"/>
        </w:rPr>
        <w:t>处理，并由此导致施工受阻、停工、索赔、赔偿、诉讼费用及其他开支时，</w:t>
      </w:r>
      <w:r>
        <w:rPr>
          <w:rFonts w:ascii="宋体" w:hAnsi="宋体" w:eastAsia="宋体" w:cs="宋体"/>
          <w:color w:val="auto"/>
          <w:spacing w:val="54"/>
          <w:sz w:val="24"/>
          <w:szCs w:val="24"/>
          <w:highlight w:val="none"/>
        </w:rPr>
        <w:t xml:space="preserve"> </w:t>
      </w:r>
      <w:r>
        <w:rPr>
          <w:rFonts w:ascii="宋体" w:hAnsi="宋体" w:eastAsia="宋体" w:cs="宋体"/>
          <w:color w:val="auto"/>
          <w:spacing w:val="-7"/>
          <w:sz w:val="24"/>
          <w:szCs w:val="24"/>
          <w:highlight w:val="none"/>
        </w:rPr>
        <w:t>应由承包人</w:t>
      </w:r>
      <w:r>
        <w:rPr>
          <w:rFonts w:ascii="宋体" w:hAnsi="宋体" w:eastAsia="宋体" w:cs="宋体"/>
          <w:color w:val="auto"/>
          <w:spacing w:val="-2"/>
          <w:sz w:val="24"/>
          <w:szCs w:val="24"/>
          <w:highlight w:val="none"/>
        </w:rPr>
        <w:t>自行处理并承担一切责任及费用，同时发包人有权要求承包人采取措施进行补救。若承包人拒不接受或在限期内未采取必要措施的，发包人有权委托其他承包人或分包人进行</w:t>
      </w:r>
      <w:r>
        <w:rPr>
          <w:rFonts w:ascii="宋体" w:hAnsi="宋体" w:eastAsia="宋体" w:cs="宋体"/>
          <w:color w:val="auto"/>
          <w:spacing w:val="-1"/>
          <w:sz w:val="24"/>
          <w:szCs w:val="24"/>
          <w:highlight w:val="none"/>
        </w:rPr>
        <w:t>补救，产生费用由承包人承担。承包人在报价和组织施工时应充分考虑这一因素。</w:t>
      </w:r>
    </w:p>
    <w:p w14:paraId="74DC4549">
      <w:pPr>
        <w:spacing w:before="183" w:line="290" w:lineRule="auto"/>
        <w:ind w:left="1464" w:right="1427" w:firstLine="44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（4）承包人未经河道管理部门许可，不得擅自改变河岸现水边线、采用推填方式</w:t>
      </w:r>
      <w:r>
        <w:rPr>
          <w:rFonts w:ascii="宋体" w:hAnsi="宋体" w:eastAsia="宋体" w:cs="宋体"/>
          <w:color w:val="auto"/>
          <w:spacing w:val="-2"/>
          <w:sz w:val="24"/>
          <w:szCs w:val="24"/>
          <w:highlight w:val="none"/>
        </w:rPr>
        <w:t>占用河道解决施工作业面不足或施工便道问题，否则引起的一切后</w:t>
      </w:r>
      <w:r>
        <w:rPr>
          <w:rFonts w:ascii="宋体" w:hAnsi="宋体" w:eastAsia="宋体" w:cs="宋体"/>
          <w:color w:val="auto"/>
          <w:spacing w:val="-3"/>
          <w:sz w:val="24"/>
          <w:szCs w:val="24"/>
          <w:highlight w:val="none"/>
        </w:rPr>
        <w:t>果由承包人承担。</w:t>
      </w:r>
    </w:p>
    <w:p w14:paraId="4E70D6C9">
      <w:pPr>
        <w:spacing w:before="183" w:line="289" w:lineRule="auto"/>
        <w:ind w:left="1429" w:right="1481"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（5）如桥梁桩基位于水域等地基软弱地段，承包人应采取</w:t>
      </w:r>
      <w:r>
        <w:rPr>
          <w:rFonts w:ascii="宋体" w:hAnsi="宋体" w:eastAsia="宋体" w:cs="宋体"/>
          <w:color w:val="auto"/>
          <w:spacing w:val="-1"/>
          <w:sz w:val="24"/>
          <w:szCs w:val="24"/>
          <w:highlight w:val="none"/>
        </w:rPr>
        <w:t>相应的施工辅助措施，</w:t>
      </w:r>
      <w:r>
        <w:rPr>
          <w:rFonts w:ascii="宋体" w:hAnsi="宋体" w:eastAsia="宋体" w:cs="宋体"/>
          <w:color w:val="auto"/>
          <w:spacing w:val="-4"/>
          <w:sz w:val="24"/>
          <w:szCs w:val="24"/>
          <w:highlight w:val="none"/>
        </w:rPr>
        <w:t>发生费用已包含在合同总价中。</w:t>
      </w:r>
    </w:p>
    <w:p w14:paraId="2B144B95">
      <w:pPr>
        <w:spacing w:before="186" w:line="313" w:lineRule="auto"/>
        <w:ind w:left="1427" w:right="1426"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（6）承包人应按交警、交通、铁路、航道、海事、国土、市政园林、水</w:t>
      </w:r>
      <w:r>
        <w:rPr>
          <w:rFonts w:ascii="宋体" w:hAnsi="宋体" w:eastAsia="宋体" w:cs="宋体"/>
          <w:color w:val="auto"/>
          <w:sz w:val="24"/>
          <w:szCs w:val="24"/>
          <w:highlight w:val="none"/>
        </w:rPr>
        <w:t>务、管道</w:t>
      </w:r>
      <w:r>
        <w:rPr>
          <w:rFonts w:ascii="宋体" w:hAnsi="宋体" w:eastAsia="宋体" w:cs="宋体"/>
          <w:color w:val="auto"/>
          <w:spacing w:val="-2"/>
          <w:sz w:val="24"/>
          <w:szCs w:val="24"/>
          <w:highlight w:val="none"/>
        </w:rPr>
        <w:t>等管理部门的规定办理施工方案报批等相关手续</w:t>
      </w:r>
      <w:r>
        <w:rPr>
          <w:rFonts w:ascii="宋体" w:hAnsi="宋体" w:eastAsia="宋体" w:cs="宋体"/>
          <w:color w:val="auto"/>
          <w:spacing w:val="-6"/>
          <w:sz w:val="24"/>
          <w:szCs w:val="24"/>
          <w:highlight w:val="none"/>
        </w:rPr>
        <w:t>。</w:t>
      </w:r>
    </w:p>
    <w:p w14:paraId="60626115">
      <w:pPr>
        <w:spacing w:before="182" w:line="362"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承包人利用现有道路作为施工便道的，需对道路采取一定的保护措施，施工完成后应以不低于现有标准对施工损坏的道路进行修复（具体标准须满足权属单位的要求</w:t>
      </w:r>
      <w:r>
        <w:rPr>
          <w:rFonts w:ascii="宋体" w:hAnsi="宋体" w:eastAsia="宋体" w:cs="宋体"/>
          <w:color w:val="auto"/>
          <w:spacing w:val="4"/>
          <w:sz w:val="24"/>
          <w:szCs w:val="24"/>
          <w:highlight w:val="none"/>
        </w:rPr>
        <w:t>），</w:t>
      </w:r>
    </w:p>
    <w:p w14:paraId="5180CBB6">
      <w:pPr>
        <w:spacing w:line="362" w:lineRule="auto"/>
        <w:rPr>
          <w:rFonts w:ascii="宋体" w:hAnsi="宋体" w:eastAsia="宋体" w:cs="宋体"/>
          <w:color w:val="auto"/>
          <w:sz w:val="24"/>
          <w:szCs w:val="24"/>
          <w:highlight w:val="none"/>
        </w:rPr>
        <w:sectPr>
          <w:headerReference r:id="rId62" w:type="default"/>
          <w:footerReference r:id="rId63" w:type="default"/>
          <w:pgSz w:w="11905" w:h="16840"/>
          <w:pgMar w:top="1182" w:right="0" w:bottom="1171" w:left="0" w:header="849" w:footer="937" w:gutter="0"/>
          <w:pgNumType w:fmt="decimal"/>
          <w:cols w:space="720" w:num="1"/>
        </w:sectPr>
      </w:pPr>
    </w:p>
    <w:p w14:paraId="13D16C1A">
      <w:pPr>
        <w:pStyle w:val="3"/>
        <w:spacing w:line="267" w:lineRule="auto"/>
        <w:rPr>
          <w:color w:val="auto"/>
          <w:highlight w:val="none"/>
        </w:rPr>
      </w:pPr>
    </w:p>
    <w:p w14:paraId="78E7D48C">
      <w:pPr>
        <w:spacing w:before="78" w:line="220" w:lineRule="auto"/>
        <w:ind w:left="145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由此产生的一切费用均由承包人承担。</w:t>
      </w:r>
    </w:p>
    <w:p w14:paraId="61235290">
      <w:pPr>
        <w:spacing w:before="181" w:line="325" w:lineRule="auto"/>
        <w:ind w:left="1424" w:right="1415"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（7）承包人在实施和完成本合同工程及缺陷修复工作中的一切施工作业应保证发</w:t>
      </w:r>
      <w:r>
        <w:rPr>
          <w:rFonts w:ascii="宋体" w:hAnsi="宋体" w:eastAsia="宋体" w:cs="宋体"/>
          <w:color w:val="auto"/>
          <w:spacing w:val="-1"/>
          <w:sz w:val="24"/>
          <w:szCs w:val="24"/>
          <w:highlight w:val="none"/>
        </w:rPr>
        <w:t>包人免于承担因承包人借用、占用或使用当</w:t>
      </w:r>
      <w:r>
        <w:rPr>
          <w:rFonts w:ascii="宋体" w:hAnsi="宋体" w:eastAsia="宋体" w:cs="宋体"/>
          <w:color w:val="auto"/>
          <w:spacing w:val="-2"/>
          <w:sz w:val="24"/>
          <w:szCs w:val="24"/>
          <w:highlight w:val="none"/>
        </w:rPr>
        <w:t>地道路、铁路、航道、市政、水利或其他公</w:t>
      </w:r>
      <w:r>
        <w:rPr>
          <w:rFonts w:ascii="宋体" w:hAnsi="宋体" w:eastAsia="宋体" w:cs="宋体"/>
          <w:color w:val="auto"/>
          <w:spacing w:val="-6"/>
          <w:sz w:val="24"/>
          <w:szCs w:val="24"/>
          <w:highlight w:val="none"/>
        </w:rPr>
        <w:t>共设施所引发的补偿费、诉讼费、损害赔偿、指控费及其他开支。</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一旦发生，发包人有</w:t>
      </w:r>
      <w:r>
        <w:rPr>
          <w:rFonts w:ascii="宋体" w:hAnsi="宋体" w:eastAsia="宋体" w:cs="宋体"/>
          <w:color w:val="auto"/>
          <w:spacing w:val="-3"/>
          <w:sz w:val="24"/>
          <w:szCs w:val="24"/>
          <w:highlight w:val="none"/>
        </w:rPr>
        <w:t>权在承包人的工程进度款或结算款中扣回。</w:t>
      </w:r>
    </w:p>
    <w:p w14:paraId="185D9FA7">
      <w:pPr>
        <w:spacing w:before="182" w:line="325" w:lineRule="auto"/>
        <w:ind w:left="1424" w:right="1418"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（8）承包人应按有关环境保护、水土保持、文物保护、通航安全、防洪安全</w:t>
      </w:r>
      <w:r>
        <w:rPr>
          <w:rFonts w:ascii="宋体" w:hAnsi="宋体" w:eastAsia="宋体" w:cs="宋体"/>
          <w:color w:val="auto"/>
          <w:sz w:val="24"/>
          <w:szCs w:val="24"/>
          <w:highlight w:val="none"/>
        </w:rPr>
        <w:t>、放</w:t>
      </w:r>
      <w:r>
        <w:rPr>
          <w:rFonts w:ascii="宋体" w:hAnsi="宋体" w:eastAsia="宋体" w:cs="宋体"/>
          <w:color w:val="auto"/>
          <w:spacing w:val="-2"/>
          <w:sz w:val="24"/>
          <w:szCs w:val="24"/>
          <w:highlight w:val="none"/>
        </w:rPr>
        <w:t>射性环境评价、压覆矿床等专项评价报告以及相关审批部门批复意见的要求进行施工</w:t>
      </w:r>
      <w:r>
        <w:rPr>
          <w:rFonts w:ascii="宋体" w:hAnsi="宋体" w:eastAsia="宋体" w:cs="宋体"/>
          <w:color w:val="auto"/>
          <w:spacing w:val="-8"/>
          <w:sz w:val="24"/>
          <w:szCs w:val="24"/>
          <w:highlight w:val="none"/>
        </w:rPr>
        <w:t>。</w:t>
      </w:r>
    </w:p>
    <w:p w14:paraId="462996CA">
      <w:pPr>
        <w:spacing w:before="181" w:line="290" w:lineRule="auto"/>
        <w:ind w:left="1471" w:right="1427" w:firstLine="44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（9）承包人由于未切实履行以上条款的约定，导致发生工程阻工、停工，造成项</w:t>
      </w:r>
      <w:r>
        <w:rPr>
          <w:rFonts w:ascii="宋体" w:hAnsi="宋体" w:eastAsia="宋体" w:cs="宋体"/>
          <w:color w:val="auto"/>
          <w:spacing w:val="-5"/>
          <w:sz w:val="24"/>
          <w:szCs w:val="24"/>
          <w:highlight w:val="none"/>
        </w:rPr>
        <w:t>目工期延误，视为承包人违约，按</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22.1</w:t>
      </w:r>
      <w:r>
        <w:rPr>
          <w:rFonts w:ascii="宋体" w:hAnsi="宋体" w:eastAsia="宋体" w:cs="宋体"/>
          <w:color w:val="auto"/>
          <w:spacing w:val="-49"/>
          <w:sz w:val="24"/>
          <w:szCs w:val="24"/>
          <w:highlight w:val="none"/>
        </w:rPr>
        <w:t xml:space="preserve"> </w:t>
      </w:r>
      <w:r>
        <w:rPr>
          <w:rFonts w:ascii="宋体" w:hAnsi="宋体" w:eastAsia="宋体" w:cs="宋体"/>
          <w:color w:val="auto"/>
          <w:spacing w:val="-5"/>
          <w:sz w:val="24"/>
          <w:szCs w:val="24"/>
          <w:highlight w:val="none"/>
        </w:rPr>
        <w:t>条处理。</w:t>
      </w:r>
    </w:p>
    <w:p w14:paraId="51FDB482">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4.1.8</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为他人提供方便</w:t>
      </w:r>
    </w:p>
    <w:p w14:paraId="108464CA">
      <w:pPr>
        <w:spacing w:before="184"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794159E3">
      <w:pPr>
        <w:spacing w:before="184" w:line="313" w:lineRule="auto"/>
        <w:ind w:left="1425" w:right="1331" w:firstLine="486"/>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（1）承包人应免费提供临时道路、便桥给本项目其</w:t>
      </w:r>
      <w:r>
        <w:rPr>
          <w:rFonts w:ascii="宋体" w:hAnsi="宋体" w:eastAsia="宋体" w:cs="宋体"/>
          <w:color w:val="auto"/>
          <w:spacing w:val="-8"/>
          <w:sz w:val="24"/>
          <w:szCs w:val="24"/>
          <w:highlight w:val="none"/>
        </w:rPr>
        <w:t>他参建单位使用，</w:t>
      </w:r>
      <w:r>
        <w:rPr>
          <w:rFonts w:ascii="宋体" w:hAnsi="宋体" w:eastAsia="宋体" w:cs="宋体"/>
          <w:color w:val="auto"/>
          <w:spacing w:val="53"/>
          <w:sz w:val="24"/>
          <w:szCs w:val="24"/>
          <w:highlight w:val="none"/>
        </w:rPr>
        <w:t xml:space="preserve"> </w:t>
      </w:r>
      <w:r>
        <w:rPr>
          <w:rFonts w:ascii="宋体" w:hAnsi="宋体" w:eastAsia="宋体" w:cs="宋体"/>
          <w:color w:val="auto"/>
          <w:spacing w:val="-8"/>
          <w:sz w:val="24"/>
          <w:szCs w:val="24"/>
          <w:highlight w:val="none"/>
        </w:rPr>
        <w:t>并提供方便。</w:t>
      </w:r>
      <w:r>
        <w:rPr>
          <w:rFonts w:ascii="宋体" w:hAnsi="宋体" w:eastAsia="宋体" w:cs="宋体"/>
          <w:color w:val="auto"/>
          <w:spacing w:val="-2"/>
          <w:sz w:val="24"/>
          <w:szCs w:val="24"/>
          <w:highlight w:val="none"/>
        </w:rPr>
        <w:t>承包人在施工期内，必须密切配合其他承包人在本合同段范围内的施工作业。如发生冲突，承包人应无条件接受发包人的协调及安</w:t>
      </w:r>
      <w:r>
        <w:rPr>
          <w:rFonts w:ascii="宋体" w:hAnsi="宋体" w:eastAsia="宋体" w:cs="宋体"/>
          <w:color w:val="auto"/>
          <w:spacing w:val="-3"/>
          <w:sz w:val="24"/>
          <w:szCs w:val="24"/>
          <w:highlight w:val="none"/>
        </w:rPr>
        <w:t>排。</w:t>
      </w:r>
    </w:p>
    <w:p w14:paraId="582B176C">
      <w:pPr>
        <w:spacing w:before="183" w:line="313" w:lineRule="auto"/>
        <w:ind w:left="1425" w:right="1416"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（2）如果本项目的预制构件由预制合同段统一预制，无论运输安装由预制合同段</w:t>
      </w:r>
      <w:r>
        <w:rPr>
          <w:rFonts w:ascii="宋体" w:hAnsi="宋体" w:eastAsia="宋体" w:cs="宋体"/>
          <w:strike/>
          <w:dstrike w:val="0"/>
          <w:color w:val="auto"/>
          <w:spacing w:val="-2"/>
          <w:sz w:val="24"/>
          <w:szCs w:val="24"/>
          <w:highlight w:val="none"/>
        </w:rPr>
        <w:t>负责还是使用单位自行负责，承包人应积极配合，免费提供临时道路、便桥供预制构件运输使用，并做好便道便桥的维护，确保安全畅通。</w:t>
      </w:r>
    </w:p>
    <w:p w14:paraId="4B041A0D">
      <w:pPr>
        <w:spacing w:before="184" w:line="313" w:lineRule="auto"/>
        <w:ind w:left="1425" w:right="1416"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（3）承包人应按照监理人或发包人的要求负责安装其他工程所需的预埋件。由于</w:t>
      </w:r>
      <w:r>
        <w:rPr>
          <w:rFonts w:ascii="宋体" w:hAnsi="宋体" w:eastAsia="宋体" w:cs="宋体"/>
          <w:color w:val="auto"/>
          <w:spacing w:val="-6"/>
          <w:sz w:val="24"/>
          <w:szCs w:val="24"/>
          <w:highlight w:val="none"/>
        </w:rPr>
        <w:t>承包人未按相关设计图纸施工预埋件，造成的损失（包括拆除、重新预埋所需费用）</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由</w:t>
      </w:r>
      <w:r>
        <w:rPr>
          <w:rFonts w:ascii="宋体" w:hAnsi="宋体" w:eastAsia="宋体" w:cs="宋体"/>
          <w:color w:val="auto"/>
          <w:spacing w:val="-7"/>
          <w:sz w:val="24"/>
          <w:szCs w:val="24"/>
          <w:highlight w:val="none"/>
        </w:rPr>
        <w:t>承包人承担。</w:t>
      </w:r>
    </w:p>
    <w:p w14:paraId="0E682335">
      <w:pPr>
        <w:spacing w:before="182" w:line="289" w:lineRule="auto"/>
        <w:ind w:left="1425" w:right="1462"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（4）承包人应配合试验、检测单位完成相应的试验或检测工作，包括桩基检测、</w:t>
      </w:r>
      <w:r>
        <w:rPr>
          <w:rFonts w:ascii="宋体" w:hAnsi="宋体" w:eastAsia="宋体" w:cs="宋体"/>
          <w:color w:val="auto"/>
          <w:spacing w:val="-1"/>
          <w:sz w:val="24"/>
          <w:szCs w:val="24"/>
          <w:highlight w:val="none"/>
        </w:rPr>
        <w:t>地质钻孔等，所需配合费用已包含在合同总价中（桩基静载、梁板荷</w:t>
      </w:r>
      <w:r>
        <w:rPr>
          <w:rFonts w:ascii="宋体" w:hAnsi="宋体" w:eastAsia="宋体" w:cs="宋体"/>
          <w:color w:val="auto"/>
          <w:spacing w:val="-2"/>
          <w:sz w:val="24"/>
          <w:szCs w:val="24"/>
          <w:highlight w:val="none"/>
        </w:rPr>
        <w:t>载试验除外）。</w:t>
      </w:r>
    </w:p>
    <w:p w14:paraId="39365F59">
      <w:pPr>
        <w:spacing w:before="184" w:line="220"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4.1.9 工程的维护和照管</w:t>
      </w:r>
    </w:p>
    <w:p w14:paraId="58D8F6FE">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本项细化为：</w:t>
      </w:r>
    </w:p>
    <w:p w14:paraId="34C01DBD">
      <w:pPr>
        <w:spacing w:before="186" w:line="361" w:lineRule="auto"/>
        <w:ind w:left="1424" w:right="1416" w:firstLine="487"/>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（1）交工验收证书颁发前，承包人应负责照管和维护工程及将用于或安装在本工</w:t>
      </w:r>
      <w:r>
        <w:rPr>
          <w:rFonts w:ascii="宋体" w:hAnsi="宋体" w:eastAsia="宋体" w:cs="宋体"/>
          <w:color w:val="auto"/>
          <w:spacing w:val="-6"/>
          <w:sz w:val="24"/>
          <w:szCs w:val="24"/>
          <w:highlight w:val="none"/>
        </w:rPr>
        <w:t>程中的材料、设备和征地界桩。交工验收证书颁发时尚有部分未交工工程的，承包人还应负责该未交工工程、材料、设备、征地界桩的照管和维护工作，直至交工后移</w:t>
      </w:r>
      <w:r>
        <w:rPr>
          <w:rFonts w:ascii="宋体" w:hAnsi="宋体" w:eastAsia="宋体" w:cs="宋体"/>
          <w:color w:val="auto"/>
          <w:spacing w:val="-7"/>
          <w:sz w:val="24"/>
          <w:szCs w:val="24"/>
          <w:highlight w:val="none"/>
        </w:rPr>
        <w:t>交给发包人为止。</w:t>
      </w:r>
    </w:p>
    <w:p w14:paraId="55857ED2">
      <w:pPr>
        <w:spacing w:line="361" w:lineRule="auto"/>
        <w:rPr>
          <w:rFonts w:ascii="宋体" w:hAnsi="宋体" w:eastAsia="宋体" w:cs="宋体"/>
          <w:color w:val="auto"/>
          <w:sz w:val="24"/>
          <w:szCs w:val="24"/>
          <w:highlight w:val="none"/>
        </w:rPr>
        <w:sectPr>
          <w:headerReference r:id="rId64" w:type="default"/>
          <w:footerReference r:id="rId65" w:type="default"/>
          <w:pgSz w:w="11905" w:h="16840"/>
          <w:pgMar w:top="1182" w:right="0" w:bottom="1171" w:left="0" w:header="849" w:footer="937" w:gutter="0"/>
          <w:pgNumType w:fmt="decimal"/>
          <w:cols w:space="720" w:num="1"/>
        </w:sectPr>
      </w:pPr>
    </w:p>
    <w:p w14:paraId="4236C641">
      <w:pPr>
        <w:pStyle w:val="3"/>
        <w:spacing w:line="268" w:lineRule="auto"/>
        <w:rPr>
          <w:color w:val="auto"/>
          <w:highlight w:val="none"/>
        </w:rPr>
      </w:pPr>
    </w:p>
    <w:p w14:paraId="3F033F0F">
      <w:pPr>
        <w:spacing w:before="78" w:line="313" w:lineRule="auto"/>
        <w:ind w:left="1425" w:right="1416"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（2）在承包人负责照管与维护期间，如果本工程或材料、设备、征地界桩等发生</w:t>
      </w:r>
      <w:r>
        <w:rPr>
          <w:rFonts w:ascii="宋体" w:hAnsi="宋体" w:eastAsia="宋体" w:cs="宋体"/>
          <w:color w:val="auto"/>
          <w:spacing w:val="-2"/>
          <w:sz w:val="24"/>
          <w:szCs w:val="24"/>
          <w:highlight w:val="none"/>
        </w:rPr>
        <w:t>损失或损害，除不可抗力原因之外，承包人均应自费弥补，并达到合同要求。承包人还应对按第</w:t>
      </w:r>
      <w:r>
        <w:rPr>
          <w:rFonts w:ascii="宋体" w:hAnsi="宋体" w:eastAsia="宋体" w:cs="宋体"/>
          <w:color w:val="auto"/>
          <w:spacing w:val="-32"/>
          <w:sz w:val="24"/>
          <w:szCs w:val="24"/>
          <w:highlight w:val="none"/>
        </w:rPr>
        <w:t xml:space="preserve"> </w:t>
      </w:r>
      <w:r>
        <w:rPr>
          <w:rFonts w:ascii="宋体" w:hAnsi="宋体" w:eastAsia="宋体" w:cs="宋体"/>
          <w:color w:val="auto"/>
          <w:spacing w:val="-2"/>
          <w:sz w:val="24"/>
          <w:szCs w:val="24"/>
          <w:highlight w:val="none"/>
        </w:rPr>
        <w:t>19</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条规定而实施作业过程中由承包人造成的对工程的任何损</w:t>
      </w:r>
      <w:r>
        <w:rPr>
          <w:rFonts w:ascii="宋体" w:hAnsi="宋体" w:eastAsia="宋体" w:cs="宋体"/>
          <w:color w:val="auto"/>
          <w:spacing w:val="-3"/>
          <w:sz w:val="24"/>
          <w:szCs w:val="24"/>
          <w:highlight w:val="none"/>
        </w:rPr>
        <w:t>失或损害负责。</w:t>
      </w:r>
    </w:p>
    <w:p w14:paraId="24806AEF">
      <w:pPr>
        <w:spacing w:before="181" w:line="290" w:lineRule="auto"/>
        <w:ind w:left="1438" w:right="1331" w:firstLine="47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（3）临时开放交通期间、交工检测后至交工验收期间因交通事故导致的交安设施、</w:t>
      </w:r>
      <w:r>
        <w:rPr>
          <w:rFonts w:ascii="宋体" w:hAnsi="宋体" w:eastAsia="宋体" w:cs="宋体"/>
          <w:color w:val="auto"/>
          <w:spacing w:val="-2"/>
          <w:sz w:val="24"/>
          <w:szCs w:val="24"/>
          <w:highlight w:val="none"/>
        </w:rPr>
        <w:t>临时防护设施损坏的，按发包人后续下发的相关管理办法执行。</w:t>
      </w:r>
    </w:p>
    <w:p w14:paraId="7CA5D7C7">
      <w:pPr>
        <w:spacing w:before="182" w:line="220"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4.1.10 其他义务</w:t>
      </w:r>
    </w:p>
    <w:p w14:paraId="66F7AF8B">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4.1.10（1）目补充：</w:t>
      </w:r>
    </w:p>
    <w:p w14:paraId="5E08C5A6">
      <w:pPr>
        <w:spacing w:before="182" w:line="360" w:lineRule="auto"/>
        <w:ind w:left="1424" w:right="1415" w:firstLine="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临时用地的面积和使用期应满足工程需要和《广东省公路工程施工标准化指南》的</w:t>
      </w:r>
      <w:r>
        <w:rPr>
          <w:rFonts w:ascii="宋体" w:hAnsi="宋体" w:eastAsia="宋体" w:cs="宋体"/>
          <w:color w:val="auto"/>
          <w:spacing w:val="-1"/>
          <w:sz w:val="24"/>
          <w:szCs w:val="24"/>
          <w:highlight w:val="none"/>
        </w:rPr>
        <w:t>要求，因临时占地发生的协调、租用、复耕</w:t>
      </w:r>
      <w:r>
        <w:rPr>
          <w:rFonts w:ascii="宋体" w:hAnsi="宋体" w:eastAsia="宋体" w:cs="宋体"/>
          <w:color w:val="auto"/>
          <w:spacing w:val="-2"/>
          <w:sz w:val="24"/>
          <w:szCs w:val="24"/>
          <w:highlight w:val="none"/>
        </w:rPr>
        <w:t>、验收等相关费用由承包人承担。临时用地</w:t>
      </w:r>
      <w:r>
        <w:rPr>
          <w:rFonts w:ascii="宋体" w:hAnsi="宋体" w:eastAsia="宋体" w:cs="宋体"/>
          <w:color w:val="auto"/>
          <w:spacing w:val="-5"/>
          <w:sz w:val="24"/>
          <w:szCs w:val="24"/>
          <w:highlight w:val="none"/>
        </w:rPr>
        <w:t>中如有地面附着物（包括但不限于电力、电信、房屋、坟</w:t>
      </w:r>
      <w:r>
        <w:rPr>
          <w:rFonts w:ascii="宋体" w:hAnsi="宋体" w:eastAsia="宋体" w:cs="宋体"/>
          <w:color w:val="auto"/>
          <w:spacing w:val="-6"/>
          <w:sz w:val="24"/>
          <w:szCs w:val="24"/>
          <w:highlight w:val="none"/>
        </w:rPr>
        <w:t>墓等</w:t>
      </w:r>
      <w:r>
        <w:rPr>
          <w:rFonts w:ascii="宋体" w:hAnsi="宋体" w:eastAsia="宋体" w:cs="宋体"/>
          <w:color w:val="auto"/>
          <w:spacing w:val="-13"/>
          <w:sz w:val="24"/>
          <w:szCs w:val="24"/>
          <w:highlight w:val="none"/>
        </w:rPr>
        <w:t>）</w:t>
      </w:r>
      <w:r>
        <w:rPr>
          <w:rFonts w:ascii="宋体" w:hAnsi="宋体" w:eastAsia="宋体" w:cs="宋体"/>
          <w:color w:val="auto"/>
          <w:spacing w:val="39"/>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6"/>
          <w:sz w:val="24"/>
          <w:szCs w:val="24"/>
          <w:highlight w:val="none"/>
        </w:rPr>
        <w:t>其拆迁补偿费用已计入合同总价中。临时用地必须按规定办理相关手续，</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且不得对周边环境、公众及他人造</w:t>
      </w:r>
      <w:r>
        <w:rPr>
          <w:rFonts w:ascii="宋体" w:hAnsi="宋体" w:eastAsia="宋体" w:cs="宋体"/>
          <w:color w:val="auto"/>
          <w:spacing w:val="-9"/>
          <w:sz w:val="24"/>
          <w:szCs w:val="24"/>
          <w:highlight w:val="none"/>
        </w:rPr>
        <w:t>成损害。</w:t>
      </w:r>
    </w:p>
    <w:p w14:paraId="46A9E5CE">
      <w:pPr>
        <w:spacing w:before="1" w:line="218"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将本款第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4.1.10(2)目细化为：</w:t>
      </w:r>
    </w:p>
    <w:p w14:paraId="7F6FD66A">
      <w:pPr>
        <w:spacing w:before="184" w:line="360" w:lineRule="auto"/>
        <w:ind w:left="1423" w:right="1416" w:firstLine="52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(2)除合同另有规定外，承包人应承担并支付为获得本合同工程所需的石料、砂、砾石、黏土或其他当地材料等所发生的料场</w:t>
      </w:r>
      <w:r>
        <w:rPr>
          <w:rFonts w:ascii="宋体" w:hAnsi="宋体" w:eastAsia="宋体" w:cs="宋体"/>
          <w:color w:val="auto"/>
          <w:spacing w:val="-2"/>
          <w:sz w:val="24"/>
          <w:szCs w:val="24"/>
          <w:highlight w:val="none"/>
        </w:rPr>
        <w:t>使用费及其他开支或补偿费。发包人应尽可</w:t>
      </w:r>
      <w:r>
        <w:rPr>
          <w:rFonts w:ascii="宋体" w:hAnsi="宋体" w:eastAsia="宋体" w:cs="宋体"/>
          <w:color w:val="auto"/>
          <w:spacing w:val="-1"/>
          <w:sz w:val="24"/>
          <w:szCs w:val="24"/>
          <w:highlight w:val="none"/>
        </w:rPr>
        <w:t>能协助承包人办理料场租用手续及解决使用</w:t>
      </w:r>
      <w:r>
        <w:rPr>
          <w:rFonts w:ascii="宋体" w:hAnsi="宋体" w:eastAsia="宋体" w:cs="宋体"/>
          <w:color w:val="auto"/>
          <w:spacing w:val="-2"/>
          <w:sz w:val="24"/>
          <w:szCs w:val="24"/>
          <w:highlight w:val="none"/>
        </w:rPr>
        <w:t>过程中的有关问题。承包人应按发包人要求</w:t>
      </w:r>
      <w:r>
        <w:rPr>
          <w:rFonts w:ascii="宋体" w:hAnsi="宋体" w:eastAsia="宋体" w:cs="宋体"/>
          <w:color w:val="auto"/>
          <w:spacing w:val="-1"/>
          <w:sz w:val="24"/>
          <w:szCs w:val="24"/>
          <w:highlight w:val="none"/>
        </w:rPr>
        <w:t>将砂、石料等地材的供货合同等资料提供给</w:t>
      </w:r>
      <w:r>
        <w:rPr>
          <w:rFonts w:ascii="宋体" w:hAnsi="宋体" w:eastAsia="宋体" w:cs="宋体"/>
          <w:color w:val="auto"/>
          <w:spacing w:val="-2"/>
          <w:sz w:val="24"/>
          <w:szCs w:val="24"/>
          <w:highlight w:val="none"/>
        </w:rPr>
        <w:t>发包人和监理人备案。取材的料场和货源应</w:t>
      </w:r>
      <w:r>
        <w:rPr>
          <w:rFonts w:ascii="宋体" w:hAnsi="宋体" w:eastAsia="宋体" w:cs="宋体"/>
          <w:color w:val="auto"/>
          <w:spacing w:val="-1"/>
          <w:sz w:val="24"/>
          <w:szCs w:val="24"/>
          <w:highlight w:val="none"/>
        </w:rPr>
        <w:t>保持相对固定，承包人及其供货人应接受发</w:t>
      </w:r>
      <w:r>
        <w:rPr>
          <w:rFonts w:ascii="宋体" w:hAnsi="宋体" w:eastAsia="宋体" w:cs="宋体"/>
          <w:color w:val="auto"/>
          <w:spacing w:val="-2"/>
          <w:sz w:val="24"/>
          <w:szCs w:val="24"/>
          <w:highlight w:val="none"/>
        </w:rPr>
        <w:t>包人和监理人的监督检查，如有变更应及时</w:t>
      </w:r>
      <w:r>
        <w:rPr>
          <w:rFonts w:ascii="宋体" w:hAnsi="宋体" w:eastAsia="宋体" w:cs="宋体"/>
          <w:color w:val="auto"/>
          <w:spacing w:val="-1"/>
          <w:sz w:val="24"/>
          <w:szCs w:val="24"/>
          <w:highlight w:val="none"/>
        </w:rPr>
        <w:t>通知发包人或监理人并送交相应有关资料。</w:t>
      </w:r>
      <w:r>
        <w:rPr>
          <w:rFonts w:ascii="宋体" w:hAnsi="宋体" w:eastAsia="宋体" w:cs="宋体"/>
          <w:color w:val="auto"/>
          <w:spacing w:val="-2"/>
          <w:sz w:val="24"/>
          <w:szCs w:val="24"/>
          <w:highlight w:val="none"/>
        </w:rPr>
        <w:t>监理人征得发包人同意后有权要求承包人更</w:t>
      </w:r>
      <w:r>
        <w:rPr>
          <w:rFonts w:ascii="宋体" w:hAnsi="宋体" w:eastAsia="宋体" w:cs="宋体"/>
          <w:color w:val="auto"/>
          <w:spacing w:val="-3"/>
          <w:sz w:val="24"/>
          <w:szCs w:val="24"/>
          <w:highlight w:val="none"/>
        </w:rPr>
        <w:t>换不符合要求的料场，承包人必须接受。</w:t>
      </w:r>
    </w:p>
    <w:p w14:paraId="0838FB4A">
      <w:pPr>
        <w:spacing w:before="1" w:line="218"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将本款第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4.1.10(3)目细化为：</w:t>
      </w:r>
    </w:p>
    <w:p w14:paraId="132D4A42">
      <w:pPr>
        <w:spacing w:before="183" w:line="360" w:lineRule="auto"/>
        <w:ind w:left="1424" w:right="1416" w:firstLine="523"/>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(3)承包人应严格遵守国家有关解决拖欠工程款和民工工资的法律、法规，及时支</w:t>
      </w:r>
      <w:r>
        <w:rPr>
          <w:rFonts w:ascii="宋体" w:hAnsi="宋体" w:eastAsia="宋体" w:cs="宋体"/>
          <w:color w:val="auto"/>
          <w:spacing w:val="-2"/>
          <w:sz w:val="24"/>
          <w:szCs w:val="24"/>
          <w:highlight w:val="none"/>
        </w:rPr>
        <w:t>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257C9D4D">
      <w:pPr>
        <w:spacing w:line="361" w:lineRule="auto"/>
        <w:ind w:left="1426" w:right="1416" w:firstLine="479"/>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承包人的项目经理部是农民工工资支付行为的主体，承包人的项目经理是民工工资</w:t>
      </w:r>
      <w:r>
        <w:rPr>
          <w:rFonts w:ascii="宋体" w:hAnsi="宋体" w:eastAsia="宋体" w:cs="宋体"/>
          <w:color w:val="auto"/>
          <w:spacing w:val="-5"/>
          <w:sz w:val="24"/>
          <w:szCs w:val="24"/>
          <w:highlight w:val="none"/>
        </w:rPr>
        <w:t>支付的责任人。项目经理部要建立全体民工花名册和工资支付表， 确保将工资直接发放</w:t>
      </w:r>
      <w:r>
        <w:rPr>
          <w:rFonts w:ascii="宋体" w:hAnsi="宋体" w:eastAsia="宋体" w:cs="宋体"/>
          <w:color w:val="auto"/>
          <w:spacing w:val="-2"/>
          <w:sz w:val="24"/>
          <w:szCs w:val="24"/>
          <w:highlight w:val="none"/>
        </w:rPr>
        <w:t>给民工本人，或委托银行发放民工工资，严禁发放给“包工头”或其他不具备用工主体</w:t>
      </w:r>
      <w:r>
        <w:rPr>
          <w:rFonts w:ascii="宋体" w:hAnsi="宋体" w:eastAsia="宋体" w:cs="宋体"/>
          <w:color w:val="auto"/>
          <w:spacing w:val="-5"/>
          <w:sz w:val="24"/>
          <w:szCs w:val="24"/>
          <w:highlight w:val="none"/>
        </w:rPr>
        <w:t>资格的组织和个人。承包人要加强对分包企业劳动用工和工资发放的监督管理， 不得以</w:t>
      </w:r>
    </w:p>
    <w:p w14:paraId="2DE16331">
      <w:pPr>
        <w:spacing w:line="361" w:lineRule="auto"/>
        <w:rPr>
          <w:rFonts w:ascii="宋体" w:hAnsi="宋体" w:eastAsia="宋体" w:cs="宋体"/>
          <w:color w:val="auto"/>
          <w:sz w:val="24"/>
          <w:szCs w:val="24"/>
          <w:highlight w:val="none"/>
        </w:rPr>
        <w:sectPr>
          <w:headerReference r:id="rId66" w:type="default"/>
          <w:footerReference r:id="rId67" w:type="default"/>
          <w:pgSz w:w="11905" w:h="16840"/>
          <w:pgMar w:top="1182" w:right="0" w:bottom="1171" w:left="0" w:header="849" w:footer="937" w:gutter="0"/>
          <w:pgNumType w:fmt="decimal"/>
          <w:cols w:space="720" w:num="1"/>
        </w:sectPr>
      </w:pPr>
    </w:p>
    <w:p w14:paraId="103A56D2">
      <w:pPr>
        <w:pStyle w:val="3"/>
        <w:spacing w:line="268" w:lineRule="auto"/>
        <w:rPr>
          <w:color w:val="auto"/>
          <w:highlight w:val="none"/>
        </w:rPr>
      </w:pPr>
    </w:p>
    <w:p w14:paraId="03A3671C">
      <w:pPr>
        <w:spacing w:before="78" w:line="360" w:lineRule="auto"/>
        <w:ind w:left="1425" w:right="1331" w:firstLine="2"/>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工程款未到位等为由克扣或拖欠民工工资，不得将合同应收工程款等经营风险转嫁给民</w:t>
      </w:r>
      <w:r>
        <w:rPr>
          <w:rFonts w:ascii="宋体" w:hAnsi="宋体" w:eastAsia="宋体" w:cs="宋体"/>
          <w:color w:val="auto"/>
          <w:spacing w:val="-5"/>
          <w:sz w:val="24"/>
          <w:szCs w:val="24"/>
          <w:highlight w:val="none"/>
        </w:rPr>
        <w:t>工；因承包人将工程转包或违法分包致使拖欠</w:t>
      </w:r>
      <w:r>
        <w:rPr>
          <w:rFonts w:ascii="宋体" w:hAnsi="宋体" w:eastAsia="宋体" w:cs="宋体"/>
          <w:color w:val="auto"/>
          <w:spacing w:val="-6"/>
          <w:sz w:val="24"/>
          <w:szCs w:val="24"/>
          <w:highlight w:val="none"/>
        </w:rPr>
        <w:t>民工工资的，由承包人依法承担清偿责任。</w:t>
      </w:r>
      <w:r>
        <w:rPr>
          <w:rFonts w:ascii="宋体" w:hAnsi="宋体" w:eastAsia="宋体" w:cs="宋体"/>
          <w:color w:val="auto"/>
          <w:spacing w:val="-2"/>
          <w:sz w:val="24"/>
          <w:szCs w:val="24"/>
          <w:highlight w:val="none"/>
        </w:rPr>
        <w:t>承包人项目部应当配备劳资专管员，对民工实行实名制管理，通过登录广东省交通运输厅工程建设管养平台（实名制管理系统）为每一位进场工人建立实名制档案，记录施工</w:t>
      </w:r>
      <w:r>
        <w:rPr>
          <w:rFonts w:ascii="宋体" w:hAnsi="宋体" w:eastAsia="宋体" w:cs="宋体"/>
          <w:color w:val="auto"/>
          <w:spacing w:val="-5"/>
          <w:sz w:val="24"/>
          <w:szCs w:val="24"/>
          <w:highlight w:val="none"/>
        </w:rPr>
        <w:t>人员进出场情况和施工现场作业民工的身份信</w:t>
      </w:r>
      <w:r>
        <w:rPr>
          <w:rFonts w:ascii="宋体" w:hAnsi="宋体" w:eastAsia="宋体" w:cs="宋体"/>
          <w:color w:val="auto"/>
          <w:spacing w:val="-6"/>
          <w:sz w:val="24"/>
          <w:szCs w:val="24"/>
          <w:highlight w:val="none"/>
        </w:rPr>
        <w:t>息、劳动考勤与计量，建立劳动计酬手册、</w:t>
      </w:r>
      <w:r>
        <w:rPr>
          <w:rFonts w:ascii="宋体" w:hAnsi="宋体" w:eastAsia="宋体" w:cs="宋体"/>
          <w:color w:val="auto"/>
          <w:spacing w:val="-5"/>
          <w:sz w:val="24"/>
          <w:szCs w:val="24"/>
          <w:highlight w:val="none"/>
        </w:rPr>
        <w:t>工资结算与支付等管理台账，实时掌握施工现</w:t>
      </w:r>
      <w:r>
        <w:rPr>
          <w:rFonts w:ascii="宋体" w:hAnsi="宋体" w:eastAsia="宋体" w:cs="宋体"/>
          <w:color w:val="auto"/>
          <w:spacing w:val="-6"/>
          <w:sz w:val="24"/>
          <w:szCs w:val="24"/>
          <w:highlight w:val="none"/>
        </w:rPr>
        <w:t>场用工及其工资支付情况，不得以包代管。</w:t>
      </w:r>
    </w:p>
    <w:p w14:paraId="4D709C04">
      <w:pPr>
        <w:spacing w:before="3" w:line="359" w:lineRule="auto"/>
        <w:ind w:left="1423" w:right="1416" w:firstLine="484"/>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工资支付表应如实记录支付单位、支付时间、支付对象、支付数额、支付对象的身</w:t>
      </w:r>
      <w:r>
        <w:rPr>
          <w:rFonts w:ascii="宋体" w:hAnsi="宋体" w:eastAsia="宋体" w:cs="宋体"/>
          <w:color w:val="auto"/>
          <w:spacing w:val="-6"/>
          <w:sz w:val="24"/>
          <w:szCs w:val="24"/>
          <w:highlight w:val="none"/>
        </w:rPr>
        <w:t>份证号和签字等信息。承包人应签订劳务合同，</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必须明确上述主要条款，并对主要条款</w:t>
      </w:r>
      <w:r>
        <w:rPr>
          <w:rFonts w:ascii="宋体" w:hAnsi="宋体" w:eastAsia="宋体" w:cs="宋体"/>
          <w:color w:val="auto"/>
          <w:spacing w:val="-1"/>
          <w:sz w:val="24"/>
          <w:szCs w:val="24"/>
          <w:highlight w:val="none"/>
        </w:rPr>
        <w:t>进行细化，防止恶意讨薪者恶意上访，民工花名册和工资支付表应</w:t>
      </w:r>
      <w:r>
        <w:rPr>
          <w:rFonts w:ascii="宋体" w:hAnsi="宋体" w:eastAsia="宋体" w:cs="宋体"/>
          <w:color w:val="auto"/>
          <w:spacing w:val="-2"/>
          <w:sz w:val="24"/>
          <w:szCs w:val="24"/>
          <w:highlight w:val="none"/>
        </w:rPr>
        <w:t>报监理人备查。</w:t>
      </w:r>
    </w:p>
    <w:p w14:paraId="389019EB">
      <w:pPr>
        <w:spacing w:before="1" w:line="218"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将本款第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4.1.10(4)目细化为：</w:t>
      </w:r>
    </w:p>
    <w:p w14:paraId="515BD84A">
      <w:pPr>
        <w:spacing w:before="183" w:line="360"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分解工程价款中的人工费用，在工程项目所在地银行开设民工工资（劳务费）专用账户，专项用于支付民工工资。项目实行分包人农民工工资委托承包人代发制度，分包人负责按月计算每位民工当月或上月应得工资额，承包人核查分包人提交的经民工签字确认的工资支付表，承包人的开户银行应根据承包人提供的经民工本人签字确认工资支付表，通过承包人设立的民工工资（劳务费）专用账户直接将工资划入民工个</w:t>
      </w:r>
      <w:r>
        <w:rPr>
          <w:rFonts w:ascii="宋体" w:hAnsi="宋体" w:eastAsia="宋体" w:cs="宋体"/>
          <w:color w:val="auto"/>
          <w:spacing w:val="-5"/>
          <w:sz w:val="24"/>
          <w:szCs w:val="24"/>
          <w:highlight w:val="none"/>
        </w:rPr>
        <w:t>人工资账户。发包人应按照本合同约定的比例或承包人提供的人工费用数额， 将应付工</w:t>
      </w:r>
      <w:r>
        <w:rPr>
          <w:rFonts w:ascii="宋体" w:hAnsi="宋体" w:eastAsia="宋体" w:cs="宋体"/>
          <w:color w:val="auto"/>
          <w:spacing w:val="-2"/>
          <w:sz w:val="24"/>
          <w:szCs w:val="24"/>
          <w:highlight w:val="none"/>
        </w:rPr>
        <w:t>程款中的人工费单独拨付到承包人开设的民工工资（劳务费）专用账户。民工工资（劳务费）专用账户应向人力资源社会保障部门和交通运输主管部门备案，并委托开户银行</w:t>
      </w:r>
      <w:r>
        <w:rPr>
          <w:rFonts w:ascii="宋体" w:hAnsi="宋体" w:eastAsia="宋体" w:cs="宋体"/>
          <w:color w:val="auto"/>
          <w:spacing w:val="-6"/>
          <w:sz w:val="24"/>
          <w:szCs w:val="24"/>
          <w:highlight w:val="none"/>
        </w:rPr>
        <w:t>负责日常监管，确保专款专用。开户银行发现账户资金不足、被挪用等情况</w:t>
      </w:r>
      <w:r>
        <w:rPr>
          <w:rFonts w:hint="eastAsia" w:ascii="宋体" w:hAnsi="宋体" w:eastAsia="宋体" w:cs="宋体"/>
          <w:color w:val="auto"/>
          <w:spacing w:val="-6"/>
          <w:sz w:val="24"/>
          <w:szCs w:val="24"/>
          <w:highlight w:val="none"/>
          <w:lang w:val="en-US" w:eastAsia="zh-CN"/>
        </w:rPr>
        <w:t>,</w:t>
      </w:r>
      <w:r>
        <w:rPr>
          <w:rFonts w:ascii="宋体" w:hAnsi="宋体" w:eastAsia="宋体" w:cs="宋体"/>
          <w:color w:val="auto"/>
          <w:spacing w:val="-6"/>
          <w:sz w:val="24"/>
          <w:szCs w:val="24"/>
          <w:highlight w:val="none"/>
        </w:rPr>
        <w:t>应及时向</w:t>
      </w:r>
      <w:r>
        <w:rPr>
          <w:rFonts w:ascii="宋体" w:hAnsi="宋体" w:eastAsia="宋体" w:cs="宋体"/>
          <w:color w:val="auto"/>
          <w:spacing w:val="-2"/>
          <w:sz w:val="24"/>
          <w:szCs w:val="24"/>
          <w:highlight w:val="none"/>
        </w:rPr>
        <w:t>人力资源社会保障部门和交通运输主管部门报告。</w:t>
      </w:r>
    </w:p>
    <w:p w14:paraId="21DE380C">
      <w:pPr>
        <w:spacing w:before="1" w:line="218"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将本款第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4.1.10(6)目细化为：</w:t>
      </w:r>
    </w:p>
    <w:p w14:paraId="50A19DB6">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承包人应履行的其他义务：</w:t>
      </w:r>
    </w:p>
    <w:p w14:paraId="46E1DC32">
      <w:pPr>
        <w:spacing w:before="183" w:line="217"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①工序衔接与协调</w:t>
      </w:r>
    </w:p>
    <w:p w14:paraId="34C3A993">
      <w:pPr>
        <w:spacing w:before="186" w:line="360" w:lineRule="auto"/>
        <w:ind w:left="1424" w:right="1416" w:firstLine="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多个承包人在同一区域施工时，发包人和监理人有权协调工程的实施并对工程的衔接发出指示，承包人应在发包人和监理人的统一协调下工作，承包人由此增加的费用已</w:t>
      </w:r>
      <w:r>
        <w:rPr>
          <w:rFonts w:ascii="宋体" w:hAnsi="宋体" w:eastAsia="宋体" w:cs="宋体"/>
          <w:color w:val="auto"/>
          <w:spacing w:val="-5"/>
          <w:sz w:val="24"/>
          <w:szCs w:val="24"/>
          <w:highlight w:val="none"/>
        </w:rPr>
        <w:t>包含在合同总价中。</w:t>
      </w:r>
    </w:p>
    <w:p w14:paraId="47BCD9CE">
      <w:pPr>
        <w:spacing w:line="361" w:lineRule="auto"/>
        <w:ind w:left="1427" w:right="1415" w:firstLine="477"/>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施工用地和临时用地交付承包人后，承包人应采取有效的措施进行管控，包括必要的围蔽和安保措施，防止与本项目无关的人员或单位进入、借用、占用或侵占（发包人</w:t>
      </w:r>
      <w:r>
        <w:rPr>
          <w:rFonts w:ascii="宋体" w:hAnsi="宋体" w:eastAsia="宋体" w:cs="宋体"/>
          <w:color w:val="auto"/>
          <w:spacing w:val="-1"/>
          <w:sz w:val="24"/>
          <w:szCs w:val="24"/>
          <w:highlight w:val="none"/>
        </w:rPr>
        <w:t>同意的除外</w:t>
      </w:r>
      <w:r>
        <w:rPr>
          <w:rFonts w:ascii="宋体" w:hAnsi="宋体" w:eastAsia="宋体" w:cs="宋体"/>
          <w:color w:val="auto"/>
          <w:spacing w:val="-11"/>
          <w:sz w:val="24"/>
          <w:szCs w:val="24"/>
          <w:highlight w:val="none"/>
        </w:rPr>
        <w:t>），</w:t>
      </w:r>
      <w:r>
        <w:rPr>
          <w:rFonts w:ascii="宋体" w:hAnsi="宋体" w:eastAsia="宋体" w:cs="宋体"/>
          <w:color w:val="auto"/>
          <w:spacing w:val="-1"/>
          <w:sz w:val="24"/>
          <w:szCs w:val="24"/>
          <w:highlight w:val="none"/>
        </w:rPr>
        <w:t>否则由此引起的施工干扰、工程方案变更、工期延后、费用增加</w:t>
      </w:r>
      <w:r>
        <w:rPr>
          <w:rFonts w:ascii="宋体" w:hAnsi="宋体" w:eastAsia="宋体" w:cs="宋体"/>
          <w:color w:val="auto"/>
          <w:spacing w:val="-2"/>
          <w:sz w:val="24"/>
          <w:szCs w:val="24"/>
          <w:highlight w:val="none"/>
        </w:rPr>
        <w:t>等一切</w:t>
      </w:r>
      <w:r>
        <w:rPr>
          <w:rFonts w:ascii="宋体" w:hAnsi="宋体" w:eastAsia="宋体" w:cs="宋体"/>
          <w:color w:val="auto"/>
          <w:spacing w:val="-5"/>
          <w:sz w:val="24"/>
          <w:szCs w:val="24"/>
          <w:highlight w:val="none"/>
        </w:rPr>
        <w:t>后果由承包人承担。</w:t>
      </w:r>
    </w:p>
    <w:p w14:paraId="44FCEE12">
      <w:pPr>
        <w:spacing w:line="361" w:lineRule="auto"/>
        <w:rPr>
          <w:rFonts w:ascii="宋体" w:hAnsi="宋体" w:eastAsia="宋体" w:cs="宋体"/>
          <w:color w:val="auto"/>
          <w:sz w:val="24"/>
          <w:szCs w:val="24"/>
          <w:highlight w:val="none"/>
        </w:rPr>
        <w:sectPr>
          <w:headerReference r:id="rId68" w:type="default"/>
          <w:footerReference r:id="rId69" w:type="default"/>
          <w:pgSz w:w="11905" w:h="16840"/>
          <w:pgMar w:top="1182" w:right="0" w:bottom="1171" w:left="0" w:header="849" w:footer="937" w:gutter="0"/>
          <w:pgNumType w:fmt="decimal"/>
          <w:cols w:space="720" w:num="1"/>
        </w:sectPr>
      </w:pPr>
    </w:p>
    <w:p w14:paraId="4A05FE3E">
      <w:pPr>
        <w:pStyle w:val="3"/>
        <w:spacing w:line="268" w:lineRule="auto"/>
        <w:rPr>
          <w:color w:val="auto"/>
          <w:highlight w:val="none"/>
        </w:rPr>
      </w:pPr>
    </w:p>
    <w:p w14:paraId="204F7D76">
      <w:pPr>
        <w:spacing w:before="78" w:line="36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交工验收前，承包人应将测量控制点、高边坡、软基、桥梁等观测点的资料移交给</w:t>
      </w:r>
      <w:r>
        <w:rPr>
          <w:rFonts w:ascii="宋体" w:hAnsi="宋体" w:eastAsia="宋体" w:cs="宋体"/>
          <w:color w:val="auto"/>
          <w:spacing w:val="-6"/>
          <w:sz w:val="24"/>
          <w:szCs w:val="24"/>
          <w:highlight w:val="none"/>
        </w:rPr>
        <w:t>养护单位使用。</w:t>
      </w:r>
    </w:p>
    <w:p w14:paraId="716D0987">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②施工工艺要求</w:t>
      </w:r>
    </w:p>
    <w:p w14:paraId="3B7B5472">
      <w:pPr>
        <w:spacing w:before="185"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承包人应采取一切必要的措施，严格执行《广东省公路工程施工标准化指南》和施工过程中发包人下发的工程管理手册（或</w:t>
      </w:r>
      <w:r>
        <w:rPr>
          <w:rFonts w:ascii="宋体" w:hAnsi="宋体" w:eastAsia="宋体" w:cs="宋体"/>
          <w:color w:val="auto"/>
          <w:spacing w:val="-7"/>
          <w:sz w:val="24"/>
          <w:szCs w:val="24"/>
          <w:highlight w:val="none"/>
        </w:rPr>
        <w:t>创新工艺工法要求）、标准化和标杆管理、技术规范的各项规定</w:t>
      </w:r>
      <w:r>
        <w:rPr>
          <w:rFonts w:hint="eastAsia" w:ascii="宋体" w:hAnsi="宋体" w:eastAsia="宋体" w:cs="宋体"/>
          <w:color w:val="auto"/>
          <w:spacing w:val="-7"/>
          <w:sz w:val="24"/>
          <w:szCs w:val="24"/>
          <w:highlight w:val="none"/>
          <w:lang w:val="en-US" w:eastAsia="zh-CN"/>
        </w:rPr>
        <w:t>,</w:t>
      </w:r>
      <w:r>
        <w:rPr>
          <w:rFonts w:ascii="宋体" w:hAnsi="宋体" w:eastAsia="宋体" w:cs="宋体"/>
          <w:color w:val="auto"/>
          <w:spacing w:val="-7"/>
          <w:sz w:val="24"/>
          <w:szCs w:val="24"/>
          <w:highlight w:val="none"/>
        </w:rPr>
        <w:t>以及在建设过程中发</w:t>
      </w:r>
      <w:r>
        <w:rPr>
          <w:rFonts w:ascii="宋体" w:hAnsi="宋体" w:eastAsia="宋体" w:cs="宋体"/>
          <w:color w:val="auto"/>
          <w:spacing w:val="-2"/>
          <w:sz w:val="24"/>
          <w:szCs w:val="24"/>
          <w:highlight w:val="none"/>
        </w:rPr>
        <w:t>包人提出的工艺工法要求，以保证达到合同规定的质量标准。在工程竣工质量要求较招标文件技术规范未发生改变的情况下，发包人或监理人对施工工艺提出的合理要求，原则上承包人不得就此要求发包人给予额外费用补偿，由此发生的一切费用视为已计入合</w:t>
      </w:r>
      <w:r>
        <w:rPr>
          <w:rFonts w:ascii="宋体" w:hAnsi="宋体" w:eastAsia="宋体" w:cs="宋体"/>
          <w:color w:val="auto"/>
          <w:sz w:val="24"/>
          <w:szCs w:val="24"/>
          <w:highlight w:val="none"/>
        </w:rPr>
        <w:t>同总价中。发包人提出或受施工条件限制需改变原施工工艺（工法）的，按</w:t>
      </w:r>
      <w:r>
        <w:rPr>
          <w:rFonts w:ascii="宋体" w:hAnsi="宋体" w:eastAsia="宋体" w:cs="宋体"/>
          <w:color w:val="auto"/>
          <w:spacing w:val="-13"/>
          <w:sz w:val="24"/>
          <w:szCs w:val="24"/>
          <w:highlight w:val="none"/>
        </w:rPr>
        <w:t xml:space="preserve"> </w:t>
      </w:r>
      <w:r>
        <w:rPr>
          <w:rFonts w:ascii="宋体" w:hAnsi="宋体" w:eastAsia="宋体" w:cs="宋体"/>
          <w:color w:val="auto"/>
          <w:sz w:val="24"/>
          <w:szCs w:val="24"/>
          <w:highlight w:val="none"/>
        </w:rPr>
        <w:t>16.5</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款约</w:t>
      </w:r>
      <w:r>
        <w:rPr>
          <w:rFonts w:ascii="宋体" w:hAnsi="宋体" w:eastAsia="宋体" w:cs="宋体"/>
          <w:color w:val="auto"/>
          <w:spacing w:val="-2"/>
          <w:sz w:val="24"/>
          <w:szCs w:val="24"/>
          <w:highlight w:val="none"/>
        </w:rPr>
        <w:t>定执行。</w:t>
      </w:r>
    </w:p>
    <w:p w14:paraId="2809D685">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③卫生与供水</w:t>
      </w:r>
    </w:p>
    <w:p w14:paraId="6FE835DF">
      <w:pPr>
        <w:spacing w:before="185" w:line="360"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自费采取应有的卫生防护措施，经常保持现场及其驻地整洁和卫生，为其雇用的员工供应清洁的饮用水和合格的生活用水，以保护职员和工人的健康。在炎热的高温条件下施工时，承包人应注意采取防暑降温措施。</w:t>
      </w:r>
    </w:p>
    <w:p w14:paraId="68E57705">
      <w:pPr>
        <w:spacing w:line="360" w:lineRule="auto"/>
        <w:ind w:left="1427" w:right="1416" w:firstLine="478"/>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承包人在组织人员进驻工程现场时，应切实采取预防疫情的有效措施，配备必要的</w:t>
      </w:r>
      <w:r>
        <w:rPr>
          <w:rFonts w:ascii="宋体" w:hAnsi="宋体" w:eastAsia="宋体" w:cs="宋体"/>
          <w:color w:val="auto"/>
          <w:spacing w:val="-6"/>
          <w:sz w:val="24"/>
          <w:szCs w:val="24"/>
          <w:highlight w:val="none"/>
        </w:rPr>
        <w:t>医疗用品、以及消毒、测温、通风等设施、设备，</w:t>
      </w:r>
      <w:r>
        <w:rPr>
          <w:rFonts w:ascii="宋体" w:hAnsi="宋体" w:eastAsia="宋体" w:cs="宋体"/>
          <w:color w:val="auto"/>
          <w:spacing w:val="55"/>
          <w:sz w:val="24"/>
          <w:szCs w:val="24"/>
          <w:highlight w:val="none"/>
        </w:rPr>
        <w:t xml:space="preserve"> </w:t>
      </w:r>
      <w:r>
        <w:rPr>
          <w:rFonts w:ascii="宋体" w:hAnsi="宋体" w:eastAsia="宋体" w:cs="宋体"/>
          <w:color w:val="auto"/>
          <w:spacing w:val="-6"/>
          <w:sz w:val="24"/>
          <w:szCs w:val="24"/>
          <w:highlight w:val="none"/>
        </w:rPr>
        <w:t>加强疫情防控工作</w:t>
      </w:r>
      <w:r>
        <w:rPr>
          <w:rFonts w:ascii="宋体" w:hAnsi="宋体" w:eastAsia="宋体" w:cs="宋体"/>
          <w:color w:val="auto"/>
          <w:spacing w:val="-7"/>
          <w:sz w:val="24"/>
          <w:szCs w:val="24"/>
          <w:highlight w:val="none"/>
        </w:rPr>
        <w:t>。承包人应至少设</w:t>
      </w:r>
      <w:r>
        <w:rPr>
          <w:rFonts w:ascii="宋体" w:hAnsi="宋体" w:eastAsia="宋体" w:cs="宋体"/>
          <w:color w:val="auto"/>
          <w:spacing w:val="-2"/>
          <w:sz w:val="24"/>
          <w:szCs w:val="24"/>
          <w:highlight w:val="none"/>
        </w:rPr>
        <w:t>一名专职的、具有一定卫生常识及传染病防治知识的卫生督查员，负责承包人所在施工</w:t>
      </w:r>
      <w:r>
        <w:rPr>
          <w:rFonts w:ascii="宋体" w:hAnsi="宋体" w:eastAsia="宋体" w:cs="宋体"/>
          <w:color w:val="auto"/>
          <w:spacing w:val="1"/>
          <w:sz w:val="24"/>
          <w:szCs w:val="24"/>
          <w:highlight w:val="none"/>
        </w:rPr>
        <w:t>现场的传染病检查、控制和报告工作。供餐</w:t>
      </w:r>
      <w:r>
        <w:rPr>
          <w:rFonts w:ascii="宋体" w:hAnsi="宋体" w:eastAsia="宋体" w:cs="宋体"/>
          <w:color w:val="auto"/>
          <w:spacing w:val="-37"/>
          <w:sz w:val="24"/>
          <w:szCs w:val="24"/>
          <w:highlight w:val="none"/>
        </w:rPr>
        <w:t xml:space="preserve"> </w:t>
      </w:r>
      <w:r>
        <w:rPr>
          <w:rFonts w:ascii="宋体" w:hAnsi="宋体" w:eastAsia="宋体" w:cs="宋体"/>
          <w:color w:val="auto"/>
          <w:sz w:val="24"/>
          <w:szCs w:val="24"/>
          <w:highlight w:val="none"/>
        </w:rPr>
        <w:t>50</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人以上食堂必须向当地县级市场监管部</w:t>
      </w:r>
      <w:r>
        <w:rPr>
          <w:rFonts w:ascii="宋体" w:hAnsi="宋体" w:eastAsia="宋体" w:cs="宋体"/>
          <w:color w:val="auto"/>
          <w:spacing w:val="-4"/>
          <w:sz w:val="24"/>
          <w:szCs w:val="24"/>
          <w:highlight w:val="none"/>
        </w:rPr>
        <w:t>门申办食品经营许可证。</w:t>
      </w:r>
    </w:p>
    <w:p w14:paraId="67ACFDF5">
      <w:pPr>
        <w:spacing w:line="360" w:lineRule="auto"/>
        <w:ind w:left="1425" w:right="1349" w:firstLine="479"/>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承包人还应建立人员流动登记制度，信息报告制度，与当地卫</w:t>
      </w:r>
      <w:r>
        <w:rPr>
          <w:rFonts w:ascii="宋体" w:hAnsi="宋体" w:eastAsia="宋体" w:cs="宋体"/>
          <w:color w:val="auto"/>
          <w:spacing w:val="-7"/>
          <w:sz w:val="24"/>
          <w:szCs w:val="24"/>
          <w:highlight w:val="none"/>
        </w:rPr>
        <w:t>生防疫部门积极合作，</w:t>
      </w:r>
      <w:r>
        <w:rPr>
          <w:rFonts w:ascii="宋体" w:hAnsi="宋体" w:eastAsia="宋体" w:cs="宋体"/>
          <w:color w:val="auto"/>
          <w:spacing w:val="-2"/>
          <w:sz w:val="24"/>
          <w:szCs w:val="24"/>
          <w:highlight w:val="none"/>
        </w:rPr>
        <w:t>做好各项防范措施的落实工作。一旦暴发任何具有传染性的疾病时，承包人应遵守并执</w:t>
      </w:r>
      <w:r>
        <w:rPr>
          <w:rFonts w:ascii="宋体" w:hAnsi="宋体" w:eastAsia="宋体" w:cs="宋体"/>
          <w:color w:val="auto"/>
          <w:sz w:val="24"/>
          <w:szCs w:val="24"/>
          <w:highlight w:val="none"/>
        </w:rPr>
        <w:t>行当地政府或卫生防疫部门为防治和消灭上述传染病蔓延而制订的规章、命令和要求，</w:t>
      </w:r>
      <w:r>
        <w:rPr>
          <w:rFonts w:ascii="宋体" w:hAnsi="宋体" w:eastAsia="宋体" w:cs="宋体"/>
          <w:color w:val="auto"/>
          <w:spacing w:val="-3"/>
          <w:sz w:val="24"/>
          <w:szCs w:val="24"/>
          <w:highlight w:val="none"/>
        </w:rPr>
        <w:t>并及时报告当地卫生防疫部门及发包人。</w:t>
      </w:r>
    </w:p>
    <w:p w14:paraId="17D29C52">
      <w:pPr>
        <w:spacing w:line="361" w:lineRule="auto"/>
        <w:ind w:left="1424"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承包人应将其采取上述措施而可能发生的全部费用计入投标报价中，发包人将不另</w:t>
      </w:r>
      <w:r>
        <w:rPr>
          <w:rFonts w:ascii="宋体" w:hAnsi="宋体" w:eastAsia="宋体" w:cs="宋体"/>
          <w:color w:val="auto"/>
          <w:spacing w:val="-6"/>
          <w:sz w:val="24"/>
          <w:szCs w:val="24"/>
          <w:highlight w:val="none"/>
        </w:rPr>
        <w:t>行支付。如发生属不可抗力的公共卫生事件</w:t>
      </w:r>
      <w:r>
        <w:rPr>
          <w:rFonts w:hint="eastAsia" w:ascii="宋体" w:hAnsi="宋体" w:eastAsia="宋体" w:cs="宋体"/>
          <w:color w:val="auto"/>
          <w:spacing w:val="-6"/>
          <w:sz w:val="24"/>
          <w:szCs w:val="24"/>
          <w:highlight w:val="none"/>
          <w:lang w:val="en-US" w:eastAsia="zh-CN"/>
        </w:rPr>
        <w:t>,</w:t>
      </w:r>
      <w:r>
        <w:rPr>
          <w:rFonts w:ascii="宋体" w:hAnsi="宋体" w:eastAsia="宋体" w:cs="宋体"/>
          <w:color w:val="auto"/>
          <w:spacing w:val="-6"/>
          <w:sz w:val="24"/>
          <w:szCs w:val="24"/>
          <w:highlight w:val="none"/>
        </w:rPr>
        <w:t>承包人采取防控措施而发生的费用，参照</w:t>
      </w:r>
      <w:r>
        <w:rPr>
          <w:rFonts w:ascii="宋体" w:hAnsi="宋体" w:eastAsia="宋体" w:cs="宋体"/>
          <w:color w:val="auto"/>
          <w:spacing w:val="-2"/>
          <w:sz w:val="24"/>
          <w:szCs w:val="24"/>
          <w:highlight w:val="none"/>
        </w:rPr>
        <w:t>政府部门的相关规定，予以合理补偿。因承包人采取措施不力所造成的一切后果，均由</w:t>
      </w:r>
      <w:r>
        <w:rPr>
          <w:rFonts w:ascii="宋体" w:hAnsi="宋体" w:eastAsia="宋体" w:cs="宋体"/>
          <w:color w:val="auto"/>
          <w:spacing w:val="-5"/>
          <w:sz w:val="24"/>
          <w:szCs w:val="24"/>
          <w:highlight w:val="none"/>
        </w:rPr>
        <w:t>承包人自行负责。</w:t>
      </w:r>
    </w:p>
    <w:p w14:paraId="465470B4">
      <w:pPr>
        <w:spacing w:line="361" w:lineRule="auto"/>
        <w:rPr>
          <w:rFonts w:ascii="宋体" w:hAnsi="宋体" w:eastAsia="宋体" w:cs="宋体"/>
          <w:color w:val="auto"/>
          <w:sz w:val="24"/>
          <w:szCs w:val="24"/>
          <w:highlight w:val="none"/>
        </w:rPr>
        <w:sectPr>
          <w:headerReference r:id="rId70" w:type="default"/>
          <w:footerReference r:id="rId71" w:type="default"/>
          <w:pgSz w:w="11905" w:h="16840"/>
          <w:pgMar w:top="1182" w:right="0" w:bottom="1171" w:left="0" w:header="849" w:footer="937" w:gutter="0"/>
          <w:pgNumType w:fmt="decimal"/>
          <w:cols w:space="720" w:num="1"/>
        </w:sectPr>
      </w:pPr>
    </w:p>
    <w:p w14:paraId="59EB0430">
      <w:pPr>
        <w:pStyle w:val="3"/>
        <w:spacing w:line="268" w:lineRule="auto"/>
        <w:rPr>
          <w:color w:val="auto"/>
          <w:highlight w:val="none"/>
        </w:rPr>
      </w:pPr>
    </w:p>
    <w:p w14:paraId="72223F7B">
      <w:pPr>
        <w:spacing w:before="78"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④项目审计、稽查和检查等的配合</w:t>
      </w:r>
    </w:p>
    <w:p w14:paraId="1A34C7BE">
      <w:pPr>
        <w:spacing w:before="184" w:line="290" w:lineRule="auto"/>
        <w:ind w:left="1424" w:right="1349" w:firstLine="47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A、与本工程项目相关的审计和稽查， 承包人应高度重视并委派专人积极予以配合，</w:t>
      </w:r>
      <w:r>
        <w:rPr>
          <w:rFonts w:ascii="宋体" w:hAnsi="宋体" w:eastAsia="宋体" w:cs="宋体"/>
          <w:color w:val="auto"/>
          <w:spacing w:val="-2"/>
          <w:sz w:val="24"/>
          <w:szCs w:val="24"/>
          <w:highlight w:val="none"/>
        </w:rPr>
        <w:t>对审计和稽查的有关意见承包人应无条件地及时整改。</w:t>
      </w:r>
    </w:p>
    <w:p w14:paraId="54F5C751">
      <w:pPr>
        <w:spacing w:before="182" w:line="290" w:lineRule="auto"/>
        <w:ind w:left="1426" w:right="1428" w:firstLine="47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B、有关单位对本项目的各种检查和视察等活动，承包人和监理人有义务积极配合</w:t>
      </w:r>
      <w:r>
        <w:rPr>
          <w:rFonts w:ascii="宋体" w:hAnsi="宋体" w:eastAsia="宋体" w:cs="宋体"/>
          <w:color w:val="auto"/>
          <w:spacing w:val="-6"/>
          <w:sz w:val="24"/>
          <w:szCs w:val="24"/>
          <w:highlight w:val="none"/>
        </w:rPr>
        <w:t>开展各项工作。</w:t>
      </w:r>
    </w:p>
    <w:p w14:paraId="5CC2D25E">
      <w:pPr>
        <w:spacing w:before="183" w:line="289" w:lineRule="auto"/>
        <w:ind w:left="1428" w:right="1428" w:firstLine="47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C、本工程项目有关的各类统计报表和汇报材料包括项目后评价报告，承包人和监</w:t>
      </w:r>
      <w:r>
        <w:rPr>
          <w:rFonts w:ascii="宋体" w:hAnsi="宋体" w:eastAsia="宋体" w:cs="宋体"/>
          <w:color w:val="auto"/>
          <w:spacing w:val="-2"/>
          <w:sz w:val="24"/>
          <w:szCs w:val="24"/>
          <w:highlight w:val="none"/>
        </w:rPr>
        <w:t>理人有义务配合发包人做好编制工作并提供相应的资料。</w:t>
      </w:r>
    </w:p>
    <w:p w14:paraId="405A0EBA">
      <w:pPr>
        <w:spacing w:before="181" w:line="325" w:lineRule="auto"/>
        <w:ind w:left="1426" w:right="1416" w:firstLine="47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D、承包人应按监理人和发包人的有关要求，建立相应的计量、支付、变更和造价</w:t>
      </w:r>
      <w:r>
        <w:rPr>
          <w:rFonts w:ascii="宋体" w:hAnsi="宋体" w:eastAsia="宋体" w:cs="宋体"/>
          <w:color w:val="auto"/>
          <w:spacing w:val="-2"/>
          <w:sz w:val="24"/>
          <w:szCs w:val="24"/>
          <w:highlight w:val="none"/>
        </w:rPr>
        <w:t>等台帐，同时承包人和监理人应配合发包人建立相应的台帐，三方各自的台帐应动态更新，并确保一致，直至工程结算完成。承包人应按省级公路工程造价管理信息化平台的</w:t>
      </w:r>
      <w:r>
        <w:rPr>
          <w:rFonts w:ascii="宋体" w:hAnsi="宋体" w:eastAsia="宋体" w:cs="宋体"/>
          <w:color w:val="auto"/>
          <w:spacing w:val="-4"/>
          <w:sz w:val="24"/>
          <w:szCs w:val="24"/>
          <w:highlight w:val="none"/>
        </w:rPr>
        <w:t>要求，及时上传造价文件。</w:t>
      </w:r>
    </w:p>
    <w:p w14:paraId="7B642D7A">
      <w:pPr>
        <w:spacing w:before="166" w:line="231" w:lineRule="auto"/>
        <w:ind w:left="1903"/>
        <w:rPr>
          <w:rFonts w:ascii="宋体" w:hAnsi="宋体" w:eastAsia="宋体" w:cs="宋体"/>
          <w:strike/>
          <w:dstrike w:val="0"/>
          <w:color w:val="auto"/>
          <w:sz w:val="12"/>
          <w:szCs w:val="12"/>
          <w:highlight w:val="none"/>
        </w:rPr>
      </w:pPr>
      <w:r>
        <w:rPr>
          <w:rFonts w:ascii="宋体" w:hAnsi="宋体" w:eastAsia="宋体" w:cs="宋体"/>
          <w:strike/>
          <w:dstrike w:val="0"/>
          <w:color w:val="auto"/>
          <w:spacing w:val="-1"/>
          <w:sz w:val="24"/>
          <w:szCs w:val="24"/>
          <w:highlight w:val="none"/>
        </w:rPr>
        <w:t>⑤双标管理（标杆管理、标准化管理）</w:t>
      </w:r>
    </w:p>
    <w:p w14:paraId="472D9259">
      <w:pPr>
        <w:spacing w:before="186" w:line="360" w:lineRule="auto"/>
        <w:ind w:left="1425" w:right="1416"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承包人须贯彻落实交通运输部和广东省交通运输厅“平安百年品质工程”建设有关要求，进一步深化标准化管理和标杆管理，推进精品建造和精细管理；严格遵守和执行交通运输部、广东省交通运输厅有关高速公路建设标准化管理（含发包人下发的标准化管理指南，如有</w:t>
      </w:r>
      <w:r>
        <w:rPr>
          <w:rFonts w:ascii="宋体" w:hAnsi="宋体" w:eastAsia="宋体" w:cs="宋体"/>
          <w:strike/>
          <w:dstrike w:val="0"/>
          <w:color w:val="auto"/>
          <w:spacing w:val="6"/>
          <w:sz w:val="24"/>
          <w:szCs w:val="24"/>
          <w:highlight w:val="none"/>
        </w:rPr>
        <w:t>），</w:t>
      </w:r>
      <w:r>
        <w:rPr>
          <w:rFonts w:ascii="宋体" w:hAnsi="宋体" w:eastAsia="宋体" w:cs="宋体"/>
          <w:strike/>
          <w:dstrike w:val="0"/>
          <w:color w:val="auto"/>
          <w:spacing w:val="-2"/>
          <w:sz w:val="24"/>
          <w:szCs w:val="24"/>
          <w:highlight w:val="none"/>
        </w:rPr>
        <w:t>高速公路建设样板（标杆）工程，高速公路施工优质优价，安全生产标准化，平安工地建设活动以及发包人制定的工程管理手册等规定。</w:t>
      </w:r>
    </w:p>
    <w:p w14:paraId="2FBDBF0B">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⑥工程质量和施工档案</w:t>
      </w:r>
    </w:p>
    <w:p w14:paraId="08CBFF7A">
      <w:pPr>
        <w:spacing w:before="186" w:line="360"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在施工过程中，如果工程质量不符合设计和规范要求以及优质工程有关管理规定，监理人或发包人要求停工和返工的，承包人必须立即执行，由此产生的各种费用由承包</w:t>
      </w:r>
      <w:r>
        <w:rPr>
          <w:rFonts w:ascii="宋体" w:hAnsi="宋体" w:eastAsia="宋体" w:cs="宋体"/>
          <w:color w:val="auto"/>
          <w:spacing w:val="-4"/>
          <w:sz w:val="24"/>
          <w:szCs w:val="24"/>
          <w:highlight w:val="none"/>
        </w:rPr>
        <w:t>人承担，工期不予顺延。</w:t>
      </w:r>
    </w:p>
    <w:p w14:paraId="2D6E32E6">
      <w:pPr>
        <w:spacing w:line="360" w:lineRule="auto"/>
        <w:ind w:left="1423" w:right="1403" w:firstLine="481"/>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承包人对已完工程必须进行严格的质量自检，只有自检合格</w:t>
      </w:r>
      <w:r>
        <w:rPr>
          <w:rFonts w:ascii="宋体" w:hAnsi="宋体" w:eastAsia="宋体" w:cs="宋体"/>
          <w:color w:val="auto"/>
          <w:spacing w:val="-2"/>
          <w:sz w:val="24"/>
          <w:szCs w:val="24"/>
          <w:highlight w:val="none"/>
        </w:rPr>
        <w:t>的工程才能向监理人、</w:t>
      </w:r>
      <w:r>
        <w:rPr>
          <w:rFonts w:ascii="宋体" w:hAnsi="宋体" w:eastAsia="宋体" w:cs="宋体"/>
          <w:color w:val="auto"/>
          <w:spacing w:val="1"/>
          <w:sz w:val="24"/>
          <w:szCs w:val="24"/>
          <w:highlight w:val="none"/>
        </w:rPr>
        <w:t>发包人提出验收和计量的申请。监理人在收到验收申请</w:t>
      </w:r>
      <w:r>
        <w:rPr>
          <w:rFonts w:ascii="宋体" w:hAnsi="宋体" w:eastAsia="宋体" w:cs="宋体"/>
          <w:color w:val="auto"/>
          <w:sz w:val="24"/>
          <w:szCs w:val="24"/>
          <w:highlight w:val="none"/>
        </w:rPr>
        <w:t>后的</w:t>
      </w:r>
      <w:r>
        <w:rPr>
          <w:rFonts w:ascii="宋体" w:hAnsi="宋体" w:eastAsia="宋体" w:cs="宋体"/>
          <w:color w:val="auto"/>
          <w:spacing w:val="-42"/>
          <w:sz w:val="24"/>
          <w:szCs w:val="24"/>
          <w:highlight w:val="none"/>
        </w:rPr>
        <w:t xml:space="preserve"> </w:t>
      </w:r>
      <w:r>
        <w:rPr>
          <w:rFonts w:ascii="宋体" w:hAnsi="宋体" w:eastAsia="宋体" w:cs="宋体"/>
          <w:color w:val="auto"/>
          <w:sz w:val="24"/>
          <w:szCs w:val="24"/>
          <w:highlight w:val="none"/>
        </w:rPr>
        <w:t>48</w:t>
      </w:r>
      <w:r>
        <w:rPr>
          <w:rFonts w:ascii="宋体" w:hAnsi="宋体" w:eastAsia="宋体" w:cs="宋体"/>
          <w:color w:val="auto"/>
          <w:spacing w:val="-41"/>
          <w:sz w:val="24"/>
          <w:szCs w:val="24"/>
          <w:highlight w:val="none"/>
        </w:rPr>
        <w:t xml:space="preserve"> </w:t>
      </w:r>
      <w:r>
        <w:rPr>
          <w:rFonts w:ascii="宋体" w:hAnsi="宋体" w:eastAsia="宋体" w:cs="宋体"/>
          <w:color w:val="auto"/>
          <w:sz w:val="24"/>
          <w:szCs w:val="24"/>
          <w:highlight w:val="none"/>
        </w:rPr>
        <w:t>小时内对工程进行抽检</w:t>
      </w:r>
      <w:r>
        <w:rPr>
          <w:rFonts w:ascii="宋体" w:hAnsi="宋体" w:eastAsia="宋体" w:cs="宋体"/>
          <w:color w:val="auto"/>
          <w:spacing w:val="-1"/>
          <w:sz w:val="24"/>
          <w:szCs w:val="24"/>
          <w:highlight w:val="none"/>
        </w:rPr>
        <w:t>和验收，对检验不合格的工程由承包人自费</w:t>
      </w:r>
      <w:r>
        <w:rPr>
          <w:rFonts w:ascii="宋体" w:hAnsi="宋体" w:eastAsia="宋体" w:cs="宋体"/>
          <w:color w:val="auto"/>
          <w:spacing w:val="-2"/>
          <w:sz w:val="24"/>
          <w:szCs w:val="24"/>
          <w:highlight w:val="none"/>
        </w:rPr>
        <w:t>修复或返工。如果工程不合格是由于承包人</w:t>
      </w:r>
      <w:r>
        <w:rPr>
          <w:rFonts w:ascii="宋体" w:hAnsi="宋体" w:eastAsia="宋体" w:cs="宋体"/>
          <w:color w:val="auto"/>
          <w:spacing w:val="-1"/>
          <w:sz w:val="24"/>
          <w:szCs w:val="24"/>
          <w:highlight w:val="none"/>
        </w:rPr>
        <w:t>的原因所致，则对承包人按项目专用合同条</w:t>
      </w:r>
      <w:r>
        <w:rPr>
          <w:rFonts w:ascii="宋体" w:hAnsi="宋体" w:eastAsia="宋体" w:cs="宋体"/>
          <w:color w:val="auto"/>
          <w:spacing w:val="-2"/>
          <w:sz w:val="24"/>
          <w:szCs w:val="24"/>
          <w:highlight w:val="none"/>
        </w:rPr>
        <w:t>款及发包人下发的工程质量管理办法的规定</w:t>
      </w:r>
      <w:r>
        <w:rPr>
          <w:rFonts w:ascii="宋体" w:hAnsi="宋体" w:eastAsia="宋体" w:cs="宋体"/>
          <w:color w:val="auto"/>
          <w:spacing w:val="-7"/>
          <w:sz w:val="24"/>
          <w:szCs w:val="24"/>
          <w:highlight w:val="none"/>
        </w:rPr>
        <w:t>进行处罚。</w:t>
      </w:r>
    </w:p>
    <w:p w14:paraId="0A7FF316">
      <w:pPr>
        <w:spacing w:line="360" w:lineRule="auto"/>
        <w:ind w:left="1425" w:right="1349"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承包人必须设置专职档案员（资料员</w:t>
      </w:r>
      <w:r>
        <w:rPr>
          <w:rFonts w:ascii="宋体" w:hAnsi="宋体" w:eastAsia="宋体" w:cs="宋体"/>
          <w:color w:val="auto"/>
          <w:spacing w:val="-13"/>
          <w:sz w:val="24"/>
          <w:szCs w:val="24"/>
          <w:highlight w:val="none"/>
        </w:rPr>
        <w:t>），</w:t>
      </w:r>
      <w:r>
        <w:rPr>
          <w:rFonts w:ascii="宋体" w:hAnsi="宋体" w:eastAsia="宋体" w:cs="宋体"/>
          <w:color w:val="auto"/>
          <w:spacing w:val="-1"/>
          <w:sz w:val="24"/>
          <w:szCs w:val="24"/>
          <w:highlight w:val="none"/>
        </w:rPr>
        <w:t>专职档案员应具有公路项目的竣工资</w:t>
      </w:r>
      <w:r>
        <w:rPr>
          <w:rFonts w:ascii="宋体" w:hAnsi="宋体" w:eastAsia="宋体" w:cs="宋体"/>
          <w:color w:val="auto"/>
          <w:spacing w:val="-6"/>
          <w:sz w:val="24"/>
          <w:szCs w:val="24"/>
          <w:highlight w:val="none"/>
        </w:rPr>
        <w:t>料编制经验。承包人应将项目竣工文件材料的收集、整理、立卷、归档，</w:t>
      </w:r>
      <w:r>
        <w:rPr>
          <w:rFonts w:ascii="宋体" w:hAnsi="宋体" w:eastAsia="宋体" w:cs="宋体"/>
          <w:color w:val="auto"/>
          <w:spacing w:val="55"/>
          <w:sz w:val="24"/>
          <w:szCs w:val="24"/>
          <w:highlight w:val="none"/>
        </w:rPr>
        <w:t xml:space="preserve"> </w:t>
      </w:r>
      <w:r>
        <w:rPr>
          <w:rFonts w:ascii="宋体" w:hAnsi="宋体" w:eastAsia="宋体" w:cs="宋体"/>
          <w:color w:val="auto"/>
          <w:spacing w:val="-6"/>
          <w:sz w:val="24"/>
          <w:szCs w:val="24"/>
          <w:highlight w:val="none"/>
        </w:rPr>
        <w:t>纳</w:t>
      </w:r>
      <w:r>
        <w:rPr>
          <w:rFonts w:ascii="宋体" w:hAnsi="宋体" w:eastAsia="宋体" w:cs="宋体"/>
          <w:color w:val="auto"/>
          <w:spacing w:val="-7"/>
          <w:sz w:val="24"/>
          <w:szCs w:val="24"/>
          <w:highlight w:val="none"/>
        </w:rPr>
        <w:t>入项目的日</w:t>
      </w:r>
      <w:r>
        <w:rPr>
          <w:rFonts w:ascii="宋体" w:hAnsi="宋体" w:eastAsia="宋体" w:cs="宋体"/>
          <w:color w:val="auto"/>
          <w:spacing w:val="-6"/>
          <w:sz w:val="24"/>
          <w:szCs w:val="24"/>
          <w:highlight w:val="none"/>
        </w:rPr>
        <w:t>常管理工作中，落实档案材料管理领导责任人制，专人负责竣工文件材料立卷归档工作，</w:t>
      </w:r>
      <w:r>
        <w:rPr>
          <w:rFonts w:ascii="宋体" w:hAnsi="宋体" w:eastAsia="宋体" w:cs="宋体"/>
          <w:color w:val="auto"/>
          <w:spacing w:val="-2"/>
          <w:sz w:val="24"/>
          <w:szCs w:val="24"/>
          <w:highlight w:val="none"/>
        </w:rPr>
        <w:t>确保项目竣工文件材料的完整、准确与系统。工程结束后需按时、按质、按量提交符合</w:t>
      </w:r>
      <w:r>
        <w:rPr>
          <w:rFonts w:ascii="宋体" w:hAnsi="宋体" w:eastAsia="宋体" w:cs="宋体"/>
          <w:color w:val="auto"/>
          <w:spacing w:val="-3"/>
          <w:sz w:val="24"/>
          <w:szCs w:val="24"/>
          <w:highlight w:val="none"/>
        </w:rPr>
        <w:t>发包人要求的竣工文件纸质档案及电子档案。</w:t>
      </w:r>
    </w:p>
    <w:p w14:paraId="455CC7F5">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⑦施工补勘</w:t>
      </w:r>
    </w:p>
    <w:p w14:paraId="5C66728B">
      <w:pPr>
        <w:spacing w:before="185" w:line="360" w:lineRule="auto"/>
        <w:ind w:left="1428" w:right="1416" w:firstLine="47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在工程施工期间，如果监理人要求承包人进行补钻孔或勘探性的开挖工作，须事先</w:t>
      </w:r>
      <w:r>
        <w:rPr>
          <w:rFonts w:ascii="宋体" w:hAnsi="宋体" w:eastAsia="宋体" w:cs="宋体"/>
          <w:color w:val="auto"/>
          <w:spacing w:val="-1"/>
          <w:sz w:val="24"/>
          <w:szCs w:val="24"/>
          <w:highlight w:val="none"/>
        </w:rPr>
        <w:t>征得发包人同意。如果此项费用未包含在工程量</w:t>
      </w:r>
      <w:r>
        <w:rPr>
          <w:rFonts w:ascii="宋体" w:hAnsi="宋体" w:eastAsia="宋体" w:cs="宋体"/>
          <w:color w:val="auto"/>
          <w:spacing w:val="-2"/>
          <w:sz w:val="24"/>
          <w:szCs w:val="24"/>
          <w:highlight w:val="none"/>
        </w:rPr>
        <w:t>清单项目中，则按变更处理。</w:t>
      </w:r>
    </w:p>
    <w:p w14:paraId="7DCF883A">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⑧遗留问题的处理</w:t>
      </w:r>
    </w:p>
    <w:p w14:paraId="401374A6">
      <w:pPr>
        <w:spacing w:before="185" w:line="361" w:lineRule="auto"/>
        <w:ind w:left="1424" w:right="1416" w:firstLine="480"/>
        <w:rPr>
          <w:color w:val="auto"/>
          <w:highlight w:val="none"/>
        </w:rPr>
      </w:pPr>
      <w:r>
        <w:rPr>
          <w:rFonts w:ascii="宋体" w:hAnsi="宋体" w:eastAsia="宋体" w:cs="宋体"/>
          <w:color w:val="auto"/>
          <w:spacing w:val="-5"/>
          <w:sz w:val="24"/>
          <w:szCs w:val="24"/>
          <w:highlight w:val="none"/>
        </w:rPr>
        <w:t>承包人在施工过程中应与相关单位或部门多协调、多沟通， 妥善处理因施工引起的</w:t>
      </w:r>
      <w:r>
        <w:rPr>
          <w:rFonts w:ascii="宋体" w:hAnsi="宋体" w:eastAsia="宋体" w:cs="宋体"/>
          <w:color w:val="auto"/>
          <w:spacing w:val="-2"/>
          <w:sz w:val="24"/>
          <w:szCs w:val="24"/>
          <w:highlight w:val="none"/>
        </w:rPr>
        <w:t>对地方所产生的影响。承包人在施工过程中应自觉缴纳地方政府及相关单位要求的各类押金、保证金、租金或补偿及使用费用等。如承包人未能妥善处理与地方政府及相关单位的关系而影响施工的，发包人有权不需经承包人同意，代付上述各类款项，并从承包</w:t>
      </w:r>
    </w:p>
    <w:p w14:paraId="588A7F20">
      <w:pPr>
        <w:spacing w:before="78" w:line="220" w:lineRule="auto"/>
        <w:ind w:left="14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人计量款中扣回，最终从承包人结算款中予以如数扣回</w:t>
      </w:r>
      <w:r>
        <w:rPr>
          <w:rFonts w:ascii="宋体" w:hAnsi="宋体" w:eastAsia="宋体" w:cs="宋体"/>
          <w:color w:val="auto"/>
          <w:spacing w:val="-2"/>
          <w:sz w:val="24"/>
          <w:szCs w:val="24"/>
          <w:highlight w:val="none"/>
        </w:rPr>
        <w:t>，承包人应无条件接受。</w:t>
      </w:r>
    </w:p>
    <w:p w14:paraId="4B4E3B11">
      <w:pPr>
        <w:spacing w:before="180" w:line="357" w:lineRule="auto"/>
        <w:ind w:left="1427"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工程交工后竣工验收前，承包人所在合同段遗留的问题，承包人应积极主动地进行</w:t>
      </w:r>
      <w:r>
        <w:rPr>
          <w:rFonts w:ascii="宋体" w:hAnsi="宋体" w:eastAsia="宋体" w:cs="宋体"/>
          <w:color w:val="auto"/>
          <w:spacing w:val="-5"/>
          <w:sz w:val="24"/>
          <w:szCs w:val="24"/>
          <w:highlight w:val="none"/>
        </w:rPr>
        <w:t>处理和解决并承担所有费用。如上述问题特别是与地方有关的遗留问题， 承包人在发包</w:t>
      </w:r>
      <w:r>
        <w:rPr>
          <w:rFonts w:ascii="宋体" w:hAnsi="宋体" w:eastAsia="宋体" w:cs="宋体"/>
          <w:color w:val="auto"/>
          <w:spacing w:val="-2"/>
          <w:sz w:val="24"/>
          <w:szCs w:val="24"/>
          <w:highlight w:val="none"/>
        </w:rPr>
        <w:t>人规定的期限内不能妥善处理的，发包人有权另行委托其他单位进行处理，发生的全部费用从应付给承包人的任何款项中扣回，承包人须无条件接受。</w:t>
      </w:r>
    </w:p>
    <w:p w14:paraId="7F9743D7">
      <w:pPr>
        <w:spacing w:line="231" w:lineRule="auto"/>
        <w:ind w:left="1903"/>
        <w:rPr>
          <w:rFonts w:ascii="宋体" w:hAnsi="宋体" w:eastAsia="宋体" w:cs="宋体"/>
          <w:strike w:val="0"/>
          <w:dstrike w:val="0"/>
          <w:color w:val="auto"/>
          <w:sz w:val="12"/>
          <w:szCs w:val="12"/>
          <w:highlight w:val="none"/>
        </w:rPr>
      </w:pPr>
      <w:r>
        <w:rPr>
          <w:rFonts w:ascii="宋体" w:hAnsi="宋体" w:eastAsia="宋体" w:cs="宋体"/>
          <w:strike w:val="0"/>
          <w:dstrike w:val="0"/>
          <w:color w:val="auto"/>
          <w:spacing w:val="-2"/>
          <w:sz w:val="24"/>
          <w:szCs w:val="24"/>
          <w:highlight w:val="none"/>
        </w:rPr>
        <w:t>⑨验收及其他</w:t>
      </w:r>
    </w:p>
    <w:p w14:paraId="2CF47E1B">
      <w:pPr>
        <w:spacing w:before="185" w:line="360" w:lineRule="auto"/>
        <w:ind w:left="1426" w:right="1331" w:firstLine="479"/>
        <w:rPr>
          <w:rFonts w:ascii="宋体" w:hAnsi="宋体" w:eastAsia="宋体" w:cs="宋体"/>
          <w:color w:val="auto"/>
          <w:sz w:val="24"/>
          <w:szCs w:val="24"/>
          <w:highlight w:val="none"/>
        </w:rPr>
      </w:pPr>
      <w:r>
        <w:rPr>
          <w:rFonts w:ascii="宋体" w:hAnsi="宋体" w:eastAsia="宋体" w:cs="宋体"/>
          <w:strike w:val="0"/>
          <w:dstrike w:val="0"/>
          <w:color w:val="auto"/>
          <w:spacing w:val="-6"/>
          <w:sz w:val="24"/>
          <w:szCs w:val="24"/>
          <w:highlight w:val="none"/>
        </w:rPr>
        <w:t>根据《广东省交通运输厅关于进一步加强公路水路建设工程防</w:t>
      </w:r>
      <w:r>
        <w:rPr>
          <w:rFonts w:ascii="宋体" w:hAnsi="宋体" w:eastAsia="宋体" w:cs="宋体"/>
          <w:strike w:val="0"/>
          <w:dstrike w:val="0"/>
          <w:color w:val="auto"/>
          <w:spacing w:val="-7"/>
          <w:sz w:val="24"/>
          <w:szCs w:val="24"/>
          <w:highlight w:val="none"/>
        </w:rPr>
        <w:t>雷工作的通知》要求，</w:t>
      </w:r>
      <w:r>
        <w:rPr>
          <w:rFonts w:ascii="宋体" w:hAnsi="宋体" w:eastAsia="宋体" w:cs="宋体"/>
          <w:strike w:val="0"/>
          <w:dstrike w:val="0"/>
          <w:color w:val="auto"/>
          <w:spacing w:val="-2"/>
          <w:sz w:val="24"/>
          <w:szCs w:val="24"/>
          <w:highlight w:val="none"/>
        </w:rPr>
        <w:t>本项目将防雷减灾工作纳入安全生产日常管理，发包人将根据上级要求及相关技术规范</w:t>
      </w:r>
      <w:r>
        <w:rPr>
          <w:rFonts w:ascii="宋体" w:hAnsi="宋体" w:eastAsia="宋体" w:cs="宋体"/>
          <w:strike w:val="0"/>
          <w:dstrike w:val="0"/>
          <w:color w:val="auto"/>
          <w:spacing w:val="-6"/>
          <w:sz w:val="24"/>
          <w:szCs w:val="24"/>
          <w:highlight w:val="none"/>
        </w:rPr>
        <w:t>统筹安排，在本项目中落实防雷装置与主体工程同时设计、同时施工、同时验收</w:t>
      </w:r>
      <w:r>
        <w:rPr>
          <w:rFonts w:ascii="宋体" w:hAnsi="宋体" w:eastAsia="宋体" w:cs="宋体"/>
          <w:strike w:val="0"/>
          <w:dstrike w:val="0"/>
          <w:color w:val="auto"/>
          <w:spacing w:val="-7"/>
          <w:sz w:val="24"/>
          <w:szCs w:val="24"/>
          <w:highlight w:val="none"/>
        </w:rPr>
        <w:t>，</w:t>
      </w:r>
      <w:r>
        <w:rPr>
          <w:rFonts w:ascii="宋体" w:hAnsi="宋体" w:eastAsia="宋体" w:cs="宋体"/>
          <w:strike w:val="0"/>
          <w:dstrike w:val="0"/>
          <w:color w:val="auto"/>
          <w:spacing w:val="51"/>
          <w:sz w:val="24"/>
          <w:szCs w:val="24"/>
          <w:highlight w:val="none"/>
        </w:rPr>
        <w:t xml:space="preserve"> </w:t>
      </w:r>
      <w:r>
        <w:rPr>
          <w:rFonts w:ascii="宋体" w:hAnsi="宋体" w:eastAsia="宋体" w:cs="宋体"/>
          <w:strike w:val="0"/>
          <w:dstrike w:val="0"/>
          <w:color w:val="auto"/>
          <w:spacing w:val="-7"/>
          <w:sz w:val="24"/>
          <w:szCs w:val="24"/>
          <w:highlight w:val="none"/>
        </w:rPr>
        <w:t>承包</w:t>
      </w:r>
      <w:r>
        <w:rPr>
          <w:rFonts w:ascii="宋体" w:hAnsi="宋体" w:eastAsia="宋体" w:cs="宋体"/>
          <w:strike w:val="0"/>
          <w:dstrike w:val="0"/>
          <w:color w:val="auto"/>
          <w:spacing w:val="-2"/>
          <w:sz w:val="24"/>
          <w:szCs w:val="24"/>
          <w:highlight w:val="none"/>
        </w:rPr>
        <w:t>人必须承担相应防雷工作的主体责任，严格按本项目防雷设计与相关要求组织实施防雷工程施工，必须采购满足设计文件技术指标和功能参数的材料设备，材料设备必须提供</w:t>
      </w:r>
      <w:r>
        <w:rPr>
          <w:rFonts w:ascii="宋体" w:hAnsi="宋体" w:eastAsia="宋体" w:cs="宋体"/>
          <w:strike w:val="0"/>
          <w:dstrike w:val="0"/>
          <w:color w:val="auto"/>
          <w:spacing w:val="-5"/>
          <w:sz w:val="24"/>
          <w:szCs w:val="24"/>
          <w:highlight w:val="none"/>
        </w:rPr>
        <w:t>质量检验报告并接受质量监督，相关设备需</w:t>
      </w:r>
      <w:r>
        <w:rPr>
          <w:rFonts w:ascii="宋体" w:hAnsi="宋体" w:eastAsia="宋体" w:cs="宋体"/>
          <w:strike w:val="0"/>
          <w:dstrike w:val="0"/>
          <w:color w:val="auto"/>
          <w:spacing w:val="-6"/>
          <w:sz w:val="24"/>
          <w:szCs w:val="24"/>
          <w:highlight w:val="none"/>
        </w:rPr>
        <w:t>报监理人批准，确保项目防雷工程验收合格。</w:t>
      </w:r>
    </w:p>
    <w:p w14:paraId="1EFF9572">
      <w:pPr>
        <w:spacing w:line="217" w:lineRule="auto"/>
        <w:ind w:left="19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⑩应履行的其他义务</w:t>
      </w:r>
    </w:p>
    <w:p w14:paraId="30AC5216">
      <w:pPr>
        <w:spacing w:before="182" w:line="332" w:lineRule="auto"/>
        <w:ind w:left="1424" w:right="1416" w:firstLine="47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A、承包人因非本合同项目的诉讼、仲裁或行</w:t>
      </w:r>
      <w:r>
        <w:rPr>
          <w:rFonts w:ascii="宋体" w:hAnsi="宋体" w:eastAsia="宋体" w:cs="宋体"/>
          <w:color w:val="auto"/>
          <w:spacing w:val="1"/>
          <w:sz w:val="24"/>
          <w:szCs w:val="24"/>
          <w:highlight w:val="none"/>
        </w:rPr>
        <w:t>政处罚，导致法院或其他有权机关依</w:t>
      </w:r>
      <w:r>
        <w:rPr>
          <w:rFonts w:ascii="宋体" w:hAnsi="宋体" w:eastAsia="宋体" w:cs="宋体"/>
          <w:color w:val="auto"/>
          <w:spacing w:val="-2"/>
          <w:sz w:val="24"/>
          <w:szCs w:val="24"/>
          <w:highlight w:val="none"/>
        </w:rPr>
        <w:t>法到发包人或发包人开户银行执行扣除承包人已完成工程量结算款项的，承包人须无条</w:t>
      </w:r>
      <w:r>
        <w:rPr>
          <w:rFonts w:ascii="宋体" w:hAnsi="宋体" w:eastAsia="宋体" w:cs="宋体"/>
          <w:color w:val="auto"/>
          <w:spacing w:val="-6"/>
          <w:sz w:val="24"/>
          <w:szCs w:val="24"/>
          <w:highlight w:val="none"/>
        </w:rPr>
        <w:t>件接受该项执行扣款事实，承认已经收到发包人应付的该项工程进度款。此外，</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承包人</w:t>
      </w:r>
      <w:r>
        <w:rPr>
          <w:rFonts w:ascii="宋体" w:hAnsi="宋体" w:eastAsia="宋体" w:cs="宋体"/>
          <w:color w:val="auto"/>
          <w:spacing w:val="-2"/>
          <w:sz w:val="24"/>
          <w:szCs w:val="24"/>
          <w:highlight w:val="none"/>
        </w:rPr>
        <w:t>还须对因该事件构成对发包人的负面影响与经济损失承担全额赔偿责任，同时视为承包人违反工程价款专款专用的约定，按</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4.9</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款约定进</w:t>
      </w:r>
      <w:r>
        <w:rPr>
          <w:rFonts w:ascii="宋体" w:hAnsi="宋体" w:eastAsia="宋体" w:cs="宋体"/>
          <w:color w:val="auto"/>
          <w:spacing w:val="-3"/>
          <w:sz w:val="24"/>
          <w:szCs w:val="24"/>
          <w:highlight w:val="none"/>
        </w:rPr>
        <w:t>行处理。</w:t>
      </w:r>
    </w:p>
    <w:p w14:paraId="390F7326">
      <w:pPr>
        <w:spacing w:before="186" w:line="289" w:lineRule="auto"/>
        <w:ind w:left="1445" w:right="1428" w:firstLine="45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B、承包人应根据发包人的要求和施工现场实际情况开展施工作业，必须按发包人</w:t>
      </w:r>
      <w:r>
        <w:rPr>
          <w:rFonts w:ascii="宋体" w:hAnsi="宋体" w:eastAsia="宋体" w:cs="宋体"/>
          <w:color w:val="auto"/>
          <w:spacing w:val="-2"/>
          <w:sz w:val="24"/>
          <w:szCs w:val="24"/>
          <w:highlight w:val="none"/>
        </w:rPr>
        <w:t>的指令开展施工，必要时必须借助地方道路或收费公路作为运输通道。</w:t>
      </w:r>
    </w:p>
    <w:p w14:paraId="2D6B9B19">
      <w:pPr>
        <w:spacing w:before="184" w:line="290" w:lineRule="auto"/>
        <w:ind w:left="1426" w:right="1428" w:firstLine="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C、海事、海洋、航道、环保、边防、公安、渔政、港口、交通维护、治安协调等</w:t>
      </w:r>
      <w:r>
        <w:rPr>
          <w:rFonts w:ascii="宋体" w:hAnsi="宋体" w:eastAsia="宋体" w:cs="宋体"/>
          <w:color w:val="auto"/>
          <w:spacing w:val="-6"/>
          <w:sz w:val="24"/>
          <w:szCs w:val="24"/>
          <w:highlight w:val="none"/>
        </w:rPr>
        <w:t>有关事宜费用。</w:t>
      </w:r>
    </w:p>
    <w:p w14:paraId="010F722F">
      <w:pPr>
        <w:spacing w:before="181" w:line="360" w:lineRule="auto"/>
        <w:ind w:left="1424" w:right="1349" w:firstLine="480"/>
        <w:jc w:val="both"/>
        <w:rPr>
          <w:rFonts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因承包人施工给渔业资源、电力电缆、通信电缆（包括国防电缆等）、供水排水管道等造成损害的，承包人应承担一切责任和赔偿费</w:t>
      </w:r>
      <w:r>
        <w:rPr>
          <w:rFonts w:ascii="宋体" w:hAnsi="宋体" w:eastAsia="宋体" w:cs="宋体"/>
          <w:color w:val="auto"/>
          <w:spacing w:val="-6"/>
          <w:sz w:val="24"/>
          <w:szCs w:val="24"/>
          <w:highlight w:val="none"/>
        </w:rPr>
        <w:t>。</w:t>
      </w:r>
    </w:p>
    <w:p w14:paraId="6BBF6AA7">
      <w:pPr>
        <w:spacing w:before="1" w:line="407" w:lineRule="auto"/>
        <w:ind w:left="1422" w:right="1416" w:firstLine="484"/>
        <w:jc w:val="both"/>
        <w:rPr>
          <w:color w:val="auto"/>
          <w:highlight w:val="none"/>
        </w:rPr>
      </w:pPr>
      <w:r>
        <w:rPr>
          <w:rFonts w:ascii="宋体" w:hAnsi="宋体" w:eastAsia="宋体" w:cs="宋体"/>
          <w:color w:val="auto"/>
          <w:spacing w:val="-5"/>
          <w:sz w:val="24"/>
          <w:szCs w:val="24"/>
          <w:highlight w:val="none"/>
        </w:rPr>
        <w:t>现有航道的占用、改移和恢复： 如本项目施工对现有航道造成直接影响，为保证施</w:t>
      </w:r>
      <w:r>
        <w:rPr>
          <w:rFonts w:ascii="宋体" w:hAnsi="宋体" w:eastAsia="宋体" w:cs="宋体"/>
          <w:color w:val="auto"/>
          <w:spacing w:val="-1"/>
          <w:sz w:val="24"/>
          <w:szCs w:val="24"/>
          <w:highlight w:val="none"/>
        </w:rPr>
        <w:t>工期间各类船舶的正常通行和行驶安全，承包</w:t>
      </w:r>
      <w:r>
        <w:rPr>
          <w:rFonts w:ascii="宋体" w:hAnsi="宋体" w:eastAsia="宋体" w:cs="宋体"/>
          <w:color w:val="auto"/>
          <w:spacing w:val="-2"/>
          <w:sz w:val="24"/>
          <w:szCs w:val="24"/>
          <w:highlight w:val="none"/>
        </w:rPr>
        <w:t>人须对现有航道进行临时改移和维护，待</w:t>
      </w:r>
    </w:p>
    <w:p w14:paraId="1A878C36">
      <w:pPr>
        <w:spacing w:before="78" w:line="360" w:lineRule="auto"/>
        <w:ind w:left="1425" w:right="140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相关工程完成施工、现有航道具备恢复通航条件时再按原通航标准及时予以恢复， 工作</w:t>
      </w:r>
      <w:r>
        <w:rPr>
          <w:rFonts w:ascii="宋体" w:hAnsi="宋体" w:eastAsia="宋体" w:cs="宋体"/>
          <w:color w:val="auto"/>
          <w:spacing w:val="-1"/>
          <w:sz w:val="24"/>
          <w:szCs w:val="24"/>
          <w:highlight w:val="none"/>
        </w:rPr>
        <w:t>内容包括但不限于勘察、设计、办理各种报批、施工许可手续、施工</w:t>
      </w:r>
      <w:r>
        <w:rPr>
          <w:rFonts w:ascii="宋体" w:hAnsi="宋体" w:eastAsia="宋体" w:cs="宋体"/>
          <w:color w:val="auto"/>
          <w:spacing w:val="-2"/>
          <w:sz w:val="24"/>
          <w:szCs w:val="24"/>
          <w:highlight w:val="none"/>
        </w:rPr>
        <w:t>、临时航道验收、</w:t>
      </w:r>
      <w:r>
        <w:rPr>
          <w:rFonts w:ascii="宋体" w:hAnsi="宋体" w:eastAsia="宋体" w:cs="宋体"/>
          <w:color w:val="auto"/>
          <w:spacing w:val="-6"/>
          <w:sz w:val="24"/>
          <w:szCs w:val="24"/>
          <w:highlight w:val="none"/>
        </w:rPr>
        <w:t>航道维护、既有航道恢复以及验收等</w:t>
      </w:r>
      <w:r>
        <w:rPr>
          <w:rFonts w:ascii="宋体" w:hAnsi="宋体" w:eastAsia="宋体" w:cs="宋体"/>
          <w:color w:val="auto"/>
          <w:spacing w:val="-10"/>
          <w:sz w:val="24"/>
          <w:szCs w:val="24"/>
          <w:highlight w:val="none"/>
        </w:rPr>
        <w:t>。</w:t>
      </w:r>
    </w:p>
    <w:p w14:paraId="6F058638">
      <w:pPr>
        <w:spacing w:line="360" w:lineRule="auto"/>
        <w:ind w:left="1427" w:right="1416" w:firstLine="480"/>
        <w:jc w:val="both"/>
        <w:rPr>
          <w:rFonts w:ascii="宋体" w:hAnsi="宋体" w:eastAsia="宋体" w:cs="宋体"/>
          <w:color w:val="auto"/>
          <w:spacing w:val="-2"/>
          <w:sz w:val="24"/>
          <w:szCs w:val="24"/>
          <w:highlight w:val="none"/>
        </w:rPr>
      </w:pPr>
      <w:r>
        <w:rPr>
          <w:rFonts w:ascii="宋体" w:hAnsi="宋体" w:eastAsia="宋体" w:cs="宋体"/>
          <w:color w:val="auto"/>
          <w:spacing w:val="-5"/>
          <w:sz w:val="24"/>
          <w:szCs w:val="24"/>
          <w:highlight w:val="none"/>
        </w:rPr>
        <w:t>现有道路、市政设施及绿化、青苗的占用和恢复： 如本项目施工需临时占用现有道</w:t>
      </w:r>
      <w:r>
        <w:rPr>
          <w:rFonts w:ascii="宋体" w:hAnsi="宋体" w:eastAsia="宋体" w:cs="宋体"/>
          <w:color w:val="auto"/>
          <w:spacing w:val="-6"/>
          <w:sz w:val="24"/>
          <w:szCs w:val="24"/>
          <w:highlight w:val="none"/>
        </w:rPr>
        <w:t>路、路灯照明、人行设施、绿化、青苗等，</w:t>
      </w:r>
      <w:r>
        <w:rPr>
          <w:rFonts w:ascii="宋体" w:hAnsi="宋体" w:eastAsia="宋体" w:cs="宋体"/>
          <w:color w:val="auto"/>
          <w:spacing w:val="55"/>
          <w:sz w:val="24"/>
          <w:szCs w:val="24"/>
          <w:highlight w:val="none"/>
        </w:rPr>
        <w:t xml:space="preserve"> </w:t>
      </w:r>
      <w:r>
        <w:rPr>
          <w:rFonts w:ascii="宋体" w:hAnsi="宋体" w:eastAsia="宋体" w:cs="宋体"/>
          <w:color w:val="auto"/>
          <w:spacing w:val="-6"/>
          <w:sz w:val="24"/>
          <w:szCs w:val="24"/>
          <w:highlight w:val="none"/>
        </w:rPr>
        <w:t>承包人应在施工前编制占</w:t>
      </w:r>
      <w:r>
        <w:rPr>
          <w:rFonts w:ascii="宋体" w:hAnsi="宋体" w:eastAsia="宋体" w:cs="宋体"/>
          <w:color w:val="auto"/>
          <w:spacing w:val="-7"/>
          <w:sz w:val="24"/>
          <w:szCs w:val="24"/>
          <w:highlight w:val="none"/>
        </w:rPr>
        <w:t>用恢复计划，及时</w:t>
      </w:r>
      <w:r>
        <w:rPr>
          <w:rFonts w:ascii="宋体" w:hAnsi="宋体" w:eastAsia="宋体" w:cs="宋体"/>
          <w:color w:val="auto"/>
          <w:spacing w:val="-1"/>
          <w:sz w:val="24"/>
          <w:szCs w:val="24"/>
          <w:highlight w:val="none"/>
        </w:rPr>
        <w:t>向公路、交警、市政园林等部门办理有关手续，并承担</w:t>
      </w:r>
      <w:r>
        <w:rPr>
          <w:rFonts w:ascii="宋体" w:hAnsi="宋体" w:eastAsia="宋体" w:cs="宋体"/>
          <w:color w:val="auto"/>
          <w:spacing w:val="-2"/>
          <w:sz w:val="24"/>
          <w:szCs w:val="24"/>
          <w:highlight w:val="none"/>
        </w:rPr>
        <w:t>相应的修复和补偿费用。</w:t>
      </w:r>
    </w:p>
    <w:p w14:paraId="29553004">
      <w:pPr>
        <w:spacing w:line="360" w:lineRule="auto"/>
        <w:ind w:left="1427" w:right="1416" w:firstLine="480"/>
        <w:jc w:val="both"/>
        <w:rPr>
          <w:rFonts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配合树木迁移、管线迁改等施工相关工作，对影响项目关键时间节点的问题，承包人有义务解决，并消除影响因素。承包人积极配合发包人或代建单位开展征地拆迁相关工作。</w:t>
      </w:r>
    </w:p>
    <w:p w14:paraId="5F84B9EE">
      <w:pPr>
        <w:spacing w:line="219" w:lineRule="auto"/>
        <w:ind w:left="19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D、承担因违反有关部门规定造成的损失和违约金</w:t>
      </w:r>
    </w:p>
    <w:p w14:paraId="5136A1AB">
      <w:pPr>
        <w:spacing w:before="182" w:line="360" w:lineRule="auto"/>
        <w:ind w:left="1426" w:right="1349"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承包人必须严格按照有关部门的规定和要求组织施工</w:t>
      </w:r>
      <w:r>
        <w:rPr>
          <w:rFonts w:hint="eastAsia" w:ascii="宋体" w:hAnsi="宋体" w:eastAsia="宋体" w:cs="宋体"/>
          <w:color w:val="auto"/>
          <w:spacing w:val="-2"/>
          <w:sz w:val="24"/>
          <w:szCs w:val="24"/>
          <w:highlight w:val="none"/>
          <w:lang w:val="en-US" w:eastAsia="zh-CN"/>
        </w:rPr>
        <w:t>,</w:t>
      </w:r>
      <w:r>
        <w:rPr>
          <w:rFonts w:ascii="宋体" w:hAnsi="宋体" w:eastAsia="宋体" w:cs="宋体"/>
          <w:color w:val="auto"/>
          <w:spacing w:val="-2"/>
          <w:sz w:val="24"/>
          <w:szCs w:val="24"/>
          <w:highlight w:val="none"/>
        </w:rPr>
        <w:t>如有违反，应承担相应的损</w:t>
      </w:r>
      <w:r>
        <w:rPr>
          <w:rFonts w:ascii="宋体" w:hAnsi="宋体" w:eastAsia="宋体" w:cs="宋体"/>
          <w:color w:val="auto"/>
          <w:spacing w:val="-5"/>
          <w:sz w:val="24"/>
          <w:szCs w:val="24"/>
          <w:highlight w:val="none"/>
        </w:rPr>
        <w:t>失及违约金。同时， 应充分考虑相关行业主管部门的监测保护要求和受影响单位的管制</w:t>
      </w:r>
      <w:r>
        <w:rPr>
          <w:rFonts w:ascii="宋体" w:hAnsi="宋体" w:eastAsia="宋体" w:cs="宋体"/>
          <w:color w:val="auto"/>
          <w:spacing w:val="-7"/>
          <w:sz w:val="24"/>
          <w:szCs w:val="24"/>
          <w:highlight w:val="none"/>
        </w:rPr>
        <w:t>要求，以及可能对作业点的控制或作业强度、作业时间等限制</w:t>
      </w:r>
      <w:r>
        <w:rPr>
          <w:rFonts w:hint="eastAsia" w:ascii="宋体" w:hAnsi="宋体" w:eastAsia="宋体" w:cs="宋体"/>
          <w:color w:val="auto"/>
          <w:spacing w:val="-7"/>
          <w:sz w:val="24"/>
          <w:szCs w:val="24"/>
          <w:highlight w:val="none"/>
          <w:lang w:val="en-US" w:eastAsia="zh-CN"/>
        </w:rPr>
        <w:t>,</w:t>
      </w:r>
      <w:r>
        <w:rPr>
          <w:rFonts w:ascii="宋体" w:hAnsi="宋体" w:eastAsia="宋体" w:cs="宋体"/>
          <w:color w:val="auto"/>
          <w:spacing w:val="-68"/>
          <w:sz w:val="24"/>
          <w:szCs w:val="24"/>
          <w:highlight w:val="none"/>
        </w:rPr>
        <w:t xml:space="preserve"> </w:t>
      </w:r>
      <w:r>
        <w:rPr>
          <w:rFonts w:ascii="宋体" w:hAnsi="宋体" w:eastAsia="宋体" w:cs="宋体"/>
          <w:color w:val="auto"/>
          <w:spacing w:val="-8"/>
          <w:sz w:val="24"/>
          <w:szCs w:val="24"/>
          <w:highlight w:val="none"/>
        </w:rPr>
        <w:t>对合同工期产生的影响</w:t>
      </w:r>
      <w:r>
        <w:rPr>
          <w:rFonts w:ascii="宋体" w:hAnsi="宋体" w:eastAsia="宋体" w:cs="宋体"/>
          <w:color w:val="auto"/>
          <w:spacing w:val="-2"/>
          <w:sz w:val="24"/>
          <w:szCs w:val="24"/>
          <w:highlight w:val="none"/>
        </w:rPr>
        <w:t>。</w:t>
      </w:r>
    </w:p>
    <w:p w14:paraId="0388A516">
      <w:pPr>
        <w:spacing w:before="2" w:line="312" w:lineRule="auto"/>
        <w:ind w:left="1425" w:right="1416" w:firstLine="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E、承包人应根据工程施工情况及监理人的指令，及时向监理人提交开工报告、测</w:t>
      </w:r>
      <w:r>
        <w:rPr>
          <w:rFonts w:ascii="宋体" w:hAnsi="宋体" w:eastAsia="宋体" w:cs="宋体"/>
          <w:color w:val="auto"/>
          <w:spacing w:val="-2"/>
          <w:sz w:val="24"/>
          <w:szCs w:val="24"/>
          <w:highlight w:val="none"/>
        </w:rPr>
        <w:t>量报告、试验检验报告、隐蔽工程验收通知、工程质量自检报告、交工验收申请报告及</w:t>
      </w:r>
      <w:r>
        <w:rPr>
          <w:rFonts w:ascii="宋体" w:hAnsi="宋体" w:eastAsia="宋体" w:cs="宋体"/>
          <w:color w:val="auto"/>
          <w:spacing w:val="-5"/>
          <w:sz w:val="24"/>
          <w:szCs w:val="24"/>
          <w:highlight w:val="none"/>
        </w:rPr>
        <w:t>工程事故报告等。</w:t>
      </w:r>
    </w:p>
    <w:p w14:paraId="7C779F49">
      <w:pPr>
        <w:spacing w:before="184" w:line="290" w:lineRule="auto"/>
        <w:ind w:left="1430" w:right="1424" w:firstLine="471"/>
        <w:rPr>
          <w:rFonts w:ascii="宋体" w:hAnsi="宋体" w:eastAsia="宋体" w:cs="宋体"/>
          <w:color w:val="auto"/>
          <w:sz w:val="24"/>
          <w:szCs w:val="24"/>
          <w:highlight w:val="none"/>
        </w:rPr>
      </w:pPr>
      <w:r>
        <w:rPr>
          <w:rFonts w:ascii="宋体" w:hAnsi="宋体" w:eastAsia="宋体" w:cs="宋体"/>
          <w:color w:val="auto"/>
          <w:sz w:val="24"/>
          <w:szCs w:val="24"/>
          <w:highlight w:val="none"/>
        </w:rPr>
        <w:t>F、承包人在进场后</w:t>
      </w:r>
      <w:r>
        <w:rPr>
          <w:rFonts w:ascii="宋体" w:hAnsi="宋体" w:eastAsia="宋体" w:cs="宋体"/>
          <w:color w:val="auto"/>
          <w:spacing w:val="-14"/>
          <w:sz w:val="24"/>
          <w:szCs w:val="24"/>
          <w:highlight w:val="none"/>
        </w:rPr>
        <w:t xml:space="preserve"> </w:t>
      </w:r>
      <w:r>
        <w:rPr>
          <w:rFonts w:ascii="宋体" w:hAnsi="宋体" w:eastAsia="宋体" w:cs="宋体"/>
          <w:color w:val="auto"/>
          <w:sz w:val="24"/>
          <w:szCs w:val="24"/>
          <w:highlight w:val="none"/>
        </w:rPr>
        <w:t>1</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个月内对用地红线进行全面复核，如有误，必须立即书面通</w:t>
      </w:r>
      <w:r>
        <w:rPr>
          <w:rFonts w:ascii="宋体" w:hAnsi="宋体" w:eastAsia="宋体" w:cs="宋体"/>
          <w:color w:val="auto"/>
          <w:spacing w:val="-8"/>
          <w:sz w:val="24"/>
          <w:szCs w:val="24"/>
          <w:highlight w:val="none"/>
        </w:rPr>
        <w:t>知发包人。</w:t>
      </w:r>
    </w:p>
    <w:p w14:paraId="4A87575F">
      <w:pPr>
        <w:spacing w:before="181" w:line="325" w:lineRule="auto"/>
        <w:ind w:left="1425" w:right="1416" w:firstLine="477"/>
        <w:rPr>
          <w:rFonts w:ascii="宋体" w:hAnsi="宋体" w:eastAsia="宋体" w:cs="宋体"/>
          <w:color w:val="auto"/>
          <w:spacing w:val="-5"/>
          <w:sz w:val="24"/>
          <w:szCs w:val="24"/>
          <w:highlight w:val="none"/>
        </w:rPr>
      </w:pPr>
      <w:r>
        <w:rPr>
          <w:rFonts w:ascii="宋体" w:hAnsi="宋体" w:eastAsia="宋体" w:cs="宋体"/>
          <w:color w:val="auto"/>
          <w:spacing w:val="1"/>
          <w:sz w:val="24"/>
          <w:szCs w:val="24"/>
          <w:highlight w:val="none"/>
        </w:rPr>
        <w:t>G、承包人进场后应对施工位置进行复核，对管线（包括但不限于电力电缆、通信</w:t>
      </w:r>
      <w:r>
        <w:rPr>
          <w:rFonts w:ascii="宋体" w:hAnsi="宋体" w:eastAsia="宋体" w:cs="宋体"/>
          <w:color w:val="auto"/>
          <w:spacing w:val="-5"/>
          <w:sz w:val="24"/>
          <w:szCs w:val="24"/>
          <w:highlight w:val="none"/>
        </w:rPr>
        <w:t>电缆、国防电缆、供水排水管道等） 进行复核排查，对影响施工的管线等及时摸排清楚</w:t>
      </w:r>
      <w:r>
        <w:rPr>
          <w:rFonts w:ascii="宋体" w:hAnsi="宋体" w:eastAsia="宋体" w:cs="宋体"/>
          <w:color w:val="auto"/>
          <w:spacing w:val="-6"/>
          <w:sz w:val="24"/>
          <w:szCs w:val="24"/>
          <w:highlight w:val="none"/>
        </w:rPr>
        <w:t>并通知监理人及发包人。如承包人未及时复查管线，</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施工造成管线破坏的，一切责任和</w:t>
      </w:r>
      <w:r>
        <w:rPr>
          <w:rFonts w:ascii="宋体" w:hAnsi="宋体" w:eastAsia="宋体" w:cs="宋体"/>
          <w:color w:val="auto"/>
          <w:spacing w:val="-5"/>
          <w:sz w:val="24"/>
          <w:szCs w:val="24"/>
          <w:highlight w:val="none"/>
        </w:rPr>
        <w:t>损失由承包人承担。</w:t>
      </w:r>
    </w:p>
    <w:p w14:paraId="6D1C5414">
      <w:pPr>
        <w:spacing w:before="181" w:line="325" w:lineRule="auto"/>
        <w:ind w:left="1425" w:right="1416" w:firstLine="47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⑪根据《自然资源部关于规范和完善砂石开采管理的通知》(自然资发(2023)57号)《广东省自然资源厅关于进一步规范工程建设项目涉砂石土处置工作的通知》(粤自然资函[2023]492号)等相关规定，本项目除自用外仍有剩余的砂石料需依法依规处置，承包人应配合发包人将剩余的砂石料运至项目红线内或临时用地范围内堆放，相关费用已在相应的工程量中计列。</w:t>
      </w:r>
    </w:p>
    <w:p w14:paraId="5B9C3DEC">
      <w:pPr>
        <w:spacing w:before="1" w:line="220"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4.2 履约保证金</w:t>
      </w:r>
    </w:p>
    <w:p w14:paraId="3C077DEE">
      <w:pPr>
        <w:spacing w:before="183" w:line="360" w:lineRule="auto"/>
        <w:ind w:left="1425" w:right="1416" w:firstLine="480"/>
        <w:rPr>
          <w:rFonts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本项目不设置履约保证金</w:t>
      </w:r>
      <w:r>
        <w:rPr>
          <w:rFonts w:ascii="宋体" w:hAnsi="宋体" w:eastAsia="宋体" w:cs="宋体"/>
          <w:color w:val="auto"/>
          <w:spacing w:val="-2"/>
          <w:sz w:val="24"/>
          <w:szCs w:val="24"/>
          <w:highlight w:val="none"/>
        </w:rPr>
        <w:t>。</w:t>
      </w:r>
    </w:p>
    <w:p w14:paraId="1DC69F76">
      <w:pPr>
        <w:spacing w:line="219"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 转包、分包和劳务合作</w:t>
      </w:r>
    </w:p>
    <w:p w14:paraId="4777F0FF">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0DFB2134">
      <w:pPr>
        <w:spacing w:before="183" w:line="290" w:lineRule="auto"/>
        <w:ind w:left="1427" w:right="1416" w:firstLine="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4.3.1 承包人不得将其承包的全部工程</w:t>
      </w:r>
      <w:r>
        <w:rPr>
          <w:rFonts w:ascii="宋体" w:hAnsi="宋体" w:eastAsia="宋体" w:cs="宋体"/>
          <w:color w:val="auto"/>
          <w:spacing w:val="-2"/>
          <w:sz w:val="24"/>
          <w:szCs w:val="24"/>
          <w:highlight w:val="none"/>
        </w:rPr>
        <w:t>转包给第三人，或将其承包的全部工程支解</w:t>
      </w:r>
      <w:r>
        <w:rPr>
          <w:rFonts w:ascii="宋体" w:hAnsi="宋体" w:eastAsia="宋体" w:cs="宋体"/>
          <w:color w:val="auto"/>
          <w:spacing w:val="-3"/>
          <w:sz w:val="24"/>
          <w:szCs w:val="24"/>
          <w:highlight w:val="none"/>
        </w:rPr>
        <w:t>后以施工分包的名义转包给第三人。</w:t>
      </w:r>
    </w:p>
    <w:p w14:paraId="2EA11256">
      <w:pPr>
        <w:spacing w:before="182" w:line="313" w:lineRule="auto"/>
        <w:ind w:left="1427" w:right="1416"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4.3.2 承包人可以将部分单位工程、分部工</w:t>
      </w:r>
      <w:r>
        <w:rPr>
          <w:rFonts w:ascii="宋体" w:hAnsi="宋体" w:eastAsia="宋体" w:cs="宋体"/>
          <w:color w:val="auto"/>
          <w:spacing w:val="-5"/>
          <w:sz w:val="24"/>
          <w:szCs w:val="24"/>
          <w:highlight w:val="none"/>
        </w:rPr>
        <w:t>程或者分项工程分包给第三人， 但不得涉及发包人不允许分包的工程范围。除承包人在投标文件中已明确的分包计划外， 承包</w:t>
      </w:r>
      <w:r>
        <w:rPr>
          <w:rFonts w:ascii="宋体" w:hAnsi="宋体" w:eastAsia="宋体" w:cs="宋体"/>
          <w:color w:val="auto"/>
          <w:spacing w:val="-1"/>
          <w:sz w:val="24"/>
          <w:szCs w:val="24"/>
          <w:highlight w:val="none"/>
        </w:rPr>
        <w:t>人拟进行分包的，应向监理人提出申请并经发</w:t>
      </w:r>
      <w:r>
        <w:rPr>
          <w:rFonts w:ascii="宋体" w:hAnsi="宋体" w:eastAsia="宋体" w:cs="宋体"/>
          <w:color w:val="auto"/>
          <w:spacing w:val="-2"/>
          <w:sz w:val="24"/>
          <w:szCs w:val="24"/>
          <w:highlight w:val="none"/>
        </w:rPr>
        <w:t>包人同意后，方可进行分包。</w:t>
      </w:r>
    </w:p>
    <w:p w14:paraId="7AB9F4C7">
      <w:pPr>
        <w:spacing w:before="183" w:line="220" w:lineRule="auto"/>
        <w:ind w:left="190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发包人不允许分包的工程范围为：</w:t>
      </w:r>
      <w:r>
        <w:rPr>
          <w:rFonts w:hint="eastAsia" w:ascii="宋体" w:hAnsi="宋体" w:eastAsia="宋体" w:cs="宋体"/>
          <w:color w:val="auto"/>
          <w:spacing w:val="-1"/>
          <w:sz w:val="24"/>
          <w:szCs w:val="24"/>
          <w:highlight w:val="none"/>
          <w:u w:val="single"/>
          <w:lang w:val="en-US" w:eastAsia="zh-CN"/>
        </w:rPr>
        <w:t>桥梁工程、路基工程、路面工程</w:t>
      </w:r>
      <w:r>
        <w:rPr>
          <w:rFonts w:ascii="宋体" w:hAnsi="宋体" w:eastAsia="宋体" w:cs="宋体"/>
          <w:color w:val="auto"/>
          <w:spacing w:val="-1"/>
          <w:sz w:val="24"/>
          <w:szCs w:val="24"/>
          <w:highlight w:val="none"/>
        </w:rPr>
        <w:t>。</w:t>
      </w:r>
    </w:p>
    <w:p w14:paraId="30F450A4">
      <w:pPr>
        <w:spacing w:before="183" w:line="360" w:lineRule="auto"/>
        <w:ind w:left="1428"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承包人如有分包计划，所有的分包必须符合交通运输部现行《公路工程施工分包管理办法》及《广东省交通运输厅关于公路工程施工分包管理实施细则》关于施工分包和</w:t>
      </w:r>
      <w:r>
        <w:rPr>
          <w:rFonts w:ascii="宋体" w:hAnsi="宋体" w:eastAsia="宋体" w:cs="宋体"/>
          <w:color w:val="auto"/>
          <w:spacing w:val="-5"/>
          <w:sz w:val="24"/>
          <w:szCs w:val="24"/>
          <w:highlight w:val="none"/>
        </w:rPr>
        <w:t>劳务合作的有关规定。</w:t>
      </w:r>
    </w:p>
    <w:p w14:paraId="6E64DF95">
      <w:pPr>
        <w:spacing w:before="4" w:line="359" w:lineRule="auto"/>
        <w:ind w:left="1426" w:right="1415" w:firstLine="482"/>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如实际的分包单价（或总额价）超出承包人与发包人签定的承包合同对应的清单单</w:t>
      </w:r>
      <w:r>
        <w:rPr>
          <w:rFonts w:ascii="宋体" w:hAnsi="宋体" w:eastAsia="宋体" w:cs="宋体"/>
          <w:color w:val="auto"/>
          <w:spacing w:val="-1"/>
          <w:sz w:val="24"/>
          <w:szCs w:val="24"/>
          <w:highlight w:val="none"/>
        </w:rPr>
        <w:t>价（或总额价</w:t>
      </w:r>
      <w:r>
        <w:rPr>
          <w:rFonts w:ascii="宋体" w:hAnsi="宋体" w:eastAsia="宋体" w:cs="宋体"/>
          <w:color w:val="auto"/>
          <w:spacing w:val="-12"/>
          <w:sz w:val="24"/>
          <w:szCs w:val="24"/>
          <w:highlight w:val="none"/>
        </w:rPr>
        <w:t>），</w:t>
      </w:r>
      <w:r>
        <w:rPr>
          <w:rFonts w:ascii="宋体" w:hAnsi="宋体" w:eastAsia="宋体" w:cs="宋体"/>
          <w:color w:val="auto"/>
          <w:spacing w:val="-1"/>
          <w:sz w:val="24"/>
          <w:szCs w:val="24"/>
          <w:highlight w:val="none"/>
        </w:rPr>
        <w:t>视为承包人的风险，承包人应从合同总价中进行调配，发包人不因此</w:t>
      </w:r>
      <w:r>
        <w:rPr>
          <w:rFonts w:ascii="宋体" w:hAnsi="宋体" w:eastAsia="宋体" w:cs="宋体"/>
          <w:color w:val="auto"/>
          <w:spacing w:val="-4"/>
          <w:sz w:val="24"/>
          <w:szCs w:val="24"/>
          <w:highlight w:val="none"/>
        </w:rPr>
        <w:t>向承包人增加支付任何费用。</w:t>
      </w:r>
    </w:p>
    <w:p w14:paraId="677792D4">
      <w:pPr>
        <w:spacing w:line="360" w:lineRule="auto"/>
        <w:ind w:left="1428"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承包人应无条件提供本合同段的临时工程和设施（包括但不限于便道、便桥、电力线路等）供分包人使用，不得向分包人收取临时工程和设施费用。</w:t>
      </w:r>
    </w:p>
    <w:p w14:paraId="43821A4E">
      <w:pPr>
        <w:spacing w:line="360" w:lineRule="auto"/>
        <w:ind w:left="1424"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工程的计量由承包人负责统一上报，承包人应将发包人支付的属分包人部分的款项</w:t>
      </w:r>
      <w:r>
        <w:rPr>
          <w:rFonts w:ascii="宋体" w:hAnsi="宋体" w:eastAsia="宋体" w:cs="宋体"/>
          <w:color w:val="auto"/>
          <w:spacing w:val="-5"/>
          <w:sz w:val="24"/>
          <w:szCs w:val="24"/>
          <w:highlight w:val="none"/>
        </w:rPr>
        <w:t>及时向分包人支付。发包人有权根据具体情况将相应款项直接向分包人支付， 并从应付</w:t>
      </w:r>
      <w:r>
        <w:rPr>
          <w:rFonts w:ascii="宋体" w:hAnsi="宋体" w:eastAsia="宋体" w:cs="宋体"/>
          <w:color w:val="auto"/>
          <w:spacing w:val="-2"/>
          <w:sz w:val="24"/>
          <w:szCs w:val="24"/>
          <w:highlight w:val="none"/>
        </w:rPr>
        <w:t>给承包人款项中相应扣回。承包人须负责分包部分原始资料的存档和竣工资料的统一编制等工作。发包人对承包人分包工程的同意并不免除承包人应承担的责任和义务。承包</w:t>
      </w:r>
      <w:r>
        <w:rPr>
          <w:rFonts w:ascii="宋体" w:hAnsi="宋体" w:eastAsia="宋体" w:cs="宋体"/>
          <w:color w:val="auto"/>
          <w:spacing w:val="-6"/>
          <w:sz w:val="24"/>
          <w:szCs w:val="24"/>
          <w:highlight w:val="none"/>
        </w:rPr>
        <w:t>人应将任何分包人、分包代理人、雇员或工人的行为、违约和疏忽，</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视为承包人自己的</w:t>
      </w:r>
      <w:r>
        <w:rPr>
          <w:rFonts w:ascii="宋体" w:hAnsi="宋体" w:eastAsia="宋体" w:cs="宋体"/>
          <w:color w:val="auto"/>
          <w:spacing w:val="-3"/>
          <w:sz w:val="24"/>
          <w:szCs w:val="24"/>
          <w:highlight w:val="none"/>
        </w:rPr>
        <w:t>行为、违约和疏忽，并为之负完全的责任。</w:t>
      </w:r>
    </w:p>
    <w:p w14:paraId="54A301EB">
      <w:pPr>
        <w:spacing w:before="1" w:line="361" w:lineRule="auto"/>
        <w:ind w:left="1425" w:right="1416"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承包人应依照部、省相关公路工程分包管理规定</w:t>
      </w:r>
      <w:r>
        <w:rPr>
          <w:rFonts w:hint="eastAsia" w:ascii="宋体" w:hAnsi="宋体" w:eastAsia="宋体" w:cs="宋体"/>
          <w:color w:val="auto"/>
          <w:spacing w:val="-5"/>
          <w:sz w:val="24"/>
          <w:szCs w:val="24"/>
          <w:highlight w:val="none"/>
          <w:lang w:val="en-US" w:eastAsia="zh-CN"/>
        </w:rPr>
        <w:t>,</w:t>
      </w:r>
      <w:r>
        <w:rPr>
          <w:rFonts w:ascii="宋体" w:hAnsi="宋体" w:eastAsia="宋体" w:cs="宋体"/>
          <w:color w:val="auto"/>
          <w:spacing w:val="-5"/>
          <w:sz w:val="24"/>
          <w:szCs w:val="24"/>
          <w:highlight w:val="none"/>
        </w:rPr>
        <w:t xml:space="preserve"> 按照合同约定或者经发包人书面</w:t>
      </w:r>
      <w:r>
        <w:rPr>
          <w:rFonts w:ascii="宋体" w:hAnsi="宋体" w:eastAsia="宋体" w:cs="宋体"/>
          <w:color w:val="auto"/>
          <w:spacing w:val="-2"/>
          <w:sz w:val="24"/>
          <w:szCs w:val="24"/>
          <w:highlight w:val="none"/>
        </w:rPr>
        <w:t>同意，可以将中标项目中负面清单以外的部分单位工程、分部工程或者分项工程分包给满足相应条件的其他专业施工单位完成。负面清单所列主体和关键性工作不得进行施工</w:t>
      </w:r>
    </w:p>
    <w:p w14:paraId="210AC9AA">
      <w:pPr>
        <w:spacing w:before="78" w:line="360" w:lineRule="auto"/>
        <w:ind w:left="1426" w:right="1416" w:firstLine="1"/>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分包。但因工程变更等原因</w:t>
      </w:r>
      <w:r>
        <w:rPr>
          <w:rFonts w:hint="eastAsia" w:ascii="宋体" w:hAnsi="宋体" w:eastAsia="宋体" w:cs="宋体"/>
          <w:color w:val="auto"/>
          <w:spacing w:val="-6"/>
          <w:sz w:val="24"/>
          <w:szCs w:val="24"/>
          <w:highlight w:val="none"/>
          <w:lang w:val="en-US" w:eastAsia="zh-CN"/>
        </w:rPr>
        <w:t>,</w:t>
      </w:r>
      <w:r>
        <w:rPr>
          <w:rFonts w:ascii="宋体" w:hAnsi="宋体" w:eastAsia="宋体" w:cs="宋体"/>
          <w:color w:val="auto"/>
          <w:spacing w:val="-6"/>
          <w:sz w:val="24"/>
          <w:szCs w:val="24"/>
          <w:highlight w:val="none"/>
        </w:rPr>
        <w:t>增加有特殊性技术要求、特殊工艺或者涉及专利保护等的</w:t>
      </w:r>
      <w:r>
        <w:rPr>
          <w:rFonts w:ascii="宋体" w:hAnsi="宋体" w:eastAsia="宋体" w:cs="宋体"/>
          <w:color w:val="auto"/>
          <w:spacing w:val="-2"/>
          <w:sz w:val="24"/>
          <w:szCs w:val="24"/>
          <w:highlight w:val="none"/>
        </w:rPr>
        <w:t>专项工程，且按照规定无须再进行招标的，以及工程实施中承包人和发包人一致认为对</w:t>
      </w:r>
      <w:r>
        <w:rPr>
          <w:rFonts w:ascii="宋体" w:hAnsi="宋体" w:eastAsia="宋体" w:cs="宋体"/>
          <w:color w:val="auto"/>
          <w:spacing w:val="-7"/>
          <w:sz w:val="24"/>
          <w:szCs w:val="24"/>
          <w:highlight w:val="none"/>
        </w:rPr>
        <w:t>专项工程实行专项分包，有利于项目工程质量、安全、进度和造价管理的</w:t>
      </w:r>
      <w:r>
        <w:rPr>
          <w:rFonts w:hint="eastAsia" w:ascii="宋体" w:hAnsi="宋体" w:eastAsia="宋体" w:cs="宋体"/>
          <w:color w:val="auto"/>
          <w:spacing w:val="-7"/>
          <w:sz w:val="24"/>
          <w:szCs w:val="24"/>
          <w:highlight w:val="none"/>
          <w:lang w:val="en-US" w:eastAsia="zh-CN"/>
        </w:rPr>
        <w:t>,</w:t>
      </w:r>
      <w:r>
        <w:rPr>
          <w:rFonts w:ascii="宋体" w:hAnsi="宋体" w:eastAsia="宋体" w:cs="宋体"/>
          <w:color w:val="auto"/>
          <w:spacing w:val="-7"/>
          <w:sz w:val="24"/>
          <w:szCs w:val="24"/>
          <w:highlight w:val="none"/>
        </w:rPr>
        <w:t>由承包人提</w:t>
      </w:r>
      <w:r>
        <w:rPr>
          <w:rFonts w:ascii="宋体" w:hAnsi="宋体" w:eastAsia="宋体" w:cs="宋体"/>
          <w:color w:val="auto"/>
          <w:spacing w:val="-2"/>
          <w:sz w:val="24"/>
          <w:szCs w:val="24"/>
          <w:highlight w:val="none"/>
        </w:rPr>
        <w:t>出书面申请，报监理人审查，经发包人书面同意，可以分包。</w:t>
      </w:r>
    </w:p>
    <w:p w14:paraId="7D42A9A6">
      <w:pPr>
        <w:spacing w:before="1" w:line="289" w:lineRule="auto"/>
        <w:ind w:left="1432" w:right="1416" w:firstLine="47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4.3.3 分包人的资格能力应与其分包工</w:t>
      </w:r>
      <w:r>
        <w:rPr>
          <w:rFonts w:ascii="宋体" w:hAnsi="宋体" w:eastAsia="宋体" w:cs="宋体"/>
          <w:color w:val="auto"/>
          <w:spacing w:val="-2"/>
          <w:sz w:val="24"/>
          <w:szCs w:val="24"/>
          <w:highlight w:val="none"/>
        </w:rPr>
        <w:t>程的标准和规模相适应，分包人应当具备如</w:t>
      </w:r>
      <w:r>
        <w:rPr>
          <w:rFonts w:ascii="宋体" w:hAnsi="宋体" w:eastAsia="宋体" w:cs="宋体"/>
          <w:color w:val="auto"/>
          <w:spacing w:val="-14"/>
          <w:sz w:val="24"/>
          <w:szCs w:val="24"/>
          <w:highlight w:val="none"/>
        </w:rPr>
        <w:t>下条件：</w:t>
      </w:r>
    </w:p>
    <w:p w14:paraId="44E06F86">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a.具有经依法登记的法人资格；</w:t>
      </w:r>
    </w:p>
    <w:p w14:paraId="55098F6E">
      <w:pPr>
        <w:spacing w:before="182" w:line="220" w:lineRule="auto"/>
        <w:ind w:left="190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b.具有从事类似工程经验的管理与技术人员；</w:t>
      </w:r>
    </w:p>
    <w:p w14:paraId="4D92A8B9">
      <w:pPr>
        <w:spacing w:before="183" w:line="220" w:lineRule="auto"/>
        <w:ind w:left="19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c.具有（自有或租赁）分包工程所需的施工设备和辅助设施；</w:t>
      </w:r>
    </w:p>
    <w:p w14:paraId="40C8197F">
      <w:pPr>
        <w:spacing w:before="181" w:line="290" w:lineRule="auto"/>
        <w:ind w:left="1448" w:right="1416" w:firstLine="46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d.单位工程设有资质要求的，单位工程及所含分部工程、分项工程的分包人应具备</w:t>
      </w:r>
      <w:r>
        <w:rPr>
          <w:rFonts w:ascii="宋体" w:hAnsi="宋体" w:eastAsia="宋体" w:cs="宋体"/>
          <w:color w:val="auto"/>
          <w:spacing w:val="-6"/>
          <w:sz w:val="24"/>
          <w:szCs w:val="24"/>
          <w:highlight w:val="none"/>
        </w:rPr>
        <w:t>国家规定的相应专业承包资质条件；</w:t>
      </w:r>
    </w:p>
    <w:p w14:paraId="227B6759">
      <w:pPr>
        <w:spacing w:before="182" w:line="238"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e.</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
          <w:sz w:val="24"/>
          <w:szCs w:val="24"/>
          <w:highlight w:val="none"/>
        </w:rPr>
        <w:t>。</w:t>
      </w:r>
    </w:p>
    <w:p w14:paraId="5F6F282E">
      <w:pPr>
        <w:spacing w:before="159" w:line="360"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4.3.4 分包人不得将承接的分包工程再</w:t>
      </w:r>
      <w:r>
        <w:rPr>
          <w:rFonts w:ascii="宋体" w:hAnsi="宋体" w:eastAsia="宋体" w:cs="宋体"/>
          <w:color w:val="auto"/>
          <w:spacing w:val="-2"/>
          <w:sz w:val="24"/>
          <w:szCs w:val="24"/>
          <w:highlight w:val="none"/>
        </w:rPr>
        <w:t>进行分包和转包，但可将劳务作业分包给具有施工劳务资质或专业作业资质的劳务合作企业。</w:t>
      </w:r>
    </w:p>
    <w:p w14:paraId="2D9939EC">
      <w:pPr>
        <w:spacing w:before="6" w:line="331" w:lineRule="auto"/>
        <w:ind w:left="1425" w:right="1328" w:firstLine="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4.3.5 承包人和分包人应依法签订分包</w:t>
      </w:r>
      <w:r>
        <w:rPr>
          <w:rFonts w:ascii="宋体" w:hAnsi="宋体" w:eastAsia="宋体" w:cs="宋体"/>
          <w:color w:val="auto"/>
          <w:spacing w:val="-2"/>
          <w:sz w:val="24"/>
          <w:szCs w:val="24"/>
          <w:highlight w:val="none"/>
        </w:rPr>
        <w:t>合同，并履行合同约定的义务。分包合同可</w:t>
      </w:r>
      <w:r>
        <w:rPr>
          <w:rFonts w:ascii="宋体" w:hAnsi="宋体" w:eastAsia="宋体" w:cs="宋体"/>
          <w:color w:val="auto"/>
          <w:sz w:val="24"/>
          <w:szCs w:val="24"/>
          <w:highlight w:val="none"/>
        </w:rPr>
        <w:t>参照交通运输主管部门制定的示范格式文本编写，但必须遵循本合同约定的各项原则，</w:t>
      </w:r>
      <w:r>
        <w:rPr>
          <w:rFonts w:ascii="宋体" w:hAnsi="宋体" w:eastAsia="宋体" w:cs="宋体"/>
          <w:color w:val="auto"/>
          <w:spacing w:val="-5"/>
          <w:sz w:val="24"/>
          <w:szCs w:val="24"/>
          <w:highlight w:val="none"/>
        </w:rPr>
        <w:t>满足本合同中的质量、安全、进度、环保、农民工工</w:t>
      </w:r>
      <w:r>
        <w:rPr>
          <w:rFonts w:ascii="宋体" w:hAnsi="宋体" w:eastAsia="宋体" w:cs="宋体"/>
          <w:color w:val="auto"/>
          <w:spacing w:val="-6"/>
          <w:sz w:val="24"/>
          <w:szCs w:val="24"/>
          <w:highlight w:val="none"/>
        </w:rPr>
        <w:t>资管理以及其他技术、经济等要求。</w:t>
      </w:r>
      <w:r>
        <w:rPr>
          <w:rFonts w:ascii="宋体" w:hAnsi="宋体" w:eastAsia="宋体" w:cs="宋体"/>
          <w:color w:val="auto"/>
          <w:spacing w:val="-5"/>
          <w:sz w:val="24"/>
          <w:szCs w:val="24"/>
          <w:highlight w:val="none"/>
        </w:rPr>
        <w:t>分包合同必须明确约定工程款支付条款、结算方式以及保证按期支付的相应措施， 确保</w:t>
      </w:r>
      <w:r>
        <w:rPr>
          <w:rFonts w:ascii="宋体" w:hAnsi="宋体" w:eastAsia="宋体" w:cs="宋体"/>
          <w:color w:val="auto"/>
          <w:spacing w:val="-6"/>
          <w:sz w:val="24"/>
          <w:szCs w:val="24"/>
          <w:highlight w:val="none"/>
        </w:rPr>
        <w:t>工程款的支付。</w:t>
      </w:r>
    </w:p>
    <w:p w14:paraId="7D9B51A6">
      <w:pPr>
        <w:spacing w:before="181" w:line="340" w:lineRule="auto"/>
        <w:ind w:left="1425" w:right="1331" w:firstLine="479"/>
        <w:rPr>
          <w:rFonts w:ascii="宋体" w:hAnsi="宋体" w:eastAsia="宋体" w:cs="宋体"/>
          <w:strike/>
          <w:dstrike w:val="0"/>
          <w:color w:val="auto"/>
          <w:sz w:val="24"/>
          <w:szCs w:val="24"/>
          <w:highlight w:val="none"/>
        </w:rPr>
      </w:pPr>
      <w:r>
        <w:rPr>
          <w:rFonts w:ascii="宋体" w:hAnsi="宋体" w:eastAsia="宋体" w:cs="宋体"/>
          <w:strike w:val="0"/>
          <w:dstrike w:val="0"/>
          <w:color w:val="auto"/>
          <w:spacing w:val="-1"/>
          <w:sz w:val="24"/>
          <w:szCs w:val="24"/>
          <w:highlight w:val="none"/>
        </w:rPr>
        <w:t>4.3.6 承包人、项目部应按照《广东省公路工</w:t>
      </w:r>
      <w:r>
        <w:rPr>
          <w:rFonts w:ascii="宋体" w:hAnsi="宋体" w:eastAsia="宋体" w:cs="宋体"/>
          <w:strike w:val="0"/>
          <w:dstrike w:val="0"/>
          <w:color w:val="auto"/>
          <w:spacing w:val="-2"/>
          <w:sz w:val="24"/>
          <w:szCs w:val="24"/>
          <w:highlight w:val="none"/>
        </w:rPr>
        <w:t>程施工项目部管理指南（试行）》第8</w:t>
      </w:r>
      <w:r>
        <w:rPr>
          <w:rFonts w:ascii="宋体" w:hAnsi="宋体" w:eastAsia="宋体" w:cs="宋体"/>
          <w:strike w:val="0"/>
          <w:dstrike w:val="0"/>
          <w:color w:val="auto"/>
          <w:spacing w:val="-20"/>
          <w:sz w:val="24"/>
          <w:szCs w:val="24"/>
          <w:highlight w:val="none"/>
        </w:rPr>
        <w:t xml:space="preserve"> </w:t>
      </w:r>
      <w:r>
        <w:rPr>
          <w:rFonts w:ascii="宋体" w:hAnsi="宋体" w:eastAsia="宋体" w:cs="宋体"/>
          <w:strike w:val="0"/>
          <w:dstrike w:val="0"/>
          <w:color w:val="auto"/>
          <w:spacing w:val="-2"/>
          <w:sz w:val="24"/>
          <w:szCs w:val="24"/>
          <w:highlight w:val="none"/>
        </w:rPr>
        <w:t>点全面做好分包和劳务合作管理，应构建包括分包单位、劳务合作企业、施工班组、材料供应商与机械设备租赁商的多层级组织管理架构，建立“管、监”分离的质量安全</w:t>
      </w:r>
      <w:r>
        <w:rPr>
          <w:rFonts w:ascii="宋体" w:hAnsi="宋体" w:eastAsia="宋体" w:cs="宋体"/>
          <w:strike w:val="0"/>
          <w:dstrike w:val="0"/>
          <w:color w:val="auto"/>
          <w:spacing w:val="-6"/>
          <w:sz w:val="24"/>
          <w:szCs w:val="24"/>
          <w:highlight w:val="none"/>
        </w:rPr>
        <w:t>保证体系，确保在项目部、分包单位以及劳务合作企业各</w:t>
      </w:r>
      <w:r>
        <w:rPr>
          <w:rFonts w:ascii="宋体" w:hAnsi="宋体" w:eastAsia="宋体" w:cs="宋体"/>
          <w:strike w:val="0"/>
          <w:dstrike w:val="0"/>
          <w:color w:val="auto"/>
          <w:spacing w:val="-7"/>
          <w:sz w:val="24"/>
          <w:szCs w:val="24"/>
          <w:highlight w:val="none"/>
        </w:rPr>
        <w:t>层级均有效运行，</w:t>
      </w:r>
      <w:r>
        <w:rPr>
          <w:rFonts w:ascii="宋体" w:hAnsi="宋体" w:eastAsia="宋体" w:cs="宋体"/>
          <w:strike w:val="0"/>
          <w:dstrike w:val="0"/>
          <w:color w:val="auto"/>
          <w:spacing w:val="62"/>
          <w:sz w:val="24"/>
          <w:szCs w:val="24"/>
          <w:highlight w:val="none"/>
        </w:rPr>
        <w:t xml:space="preserve"> </w:t>
      </w:r>
      <w:r>
        <w:rPr>
          <w:rFonts w:ascii="宋体" w:hAnsi="宋体" w:eastAsia="宋体" w:cs="宋体"/>
          <w:strike w:val="0"/>
          <w:dstrike w:val="0"/>
          <w:color w:val="auto"/>
          <w:spacing w:val="-7"/>
          <w:sz w:val="24"/>
          <w:szCs w:val="24"/>
          <w:highlight w:val="none"/>
        </w:rPr>
        <w:t>防止保证体</w:t>
      </w:r>
      <w:r>
        <w:rPr>
          <w:rFonts w:ascii="宋体" w:hAnsi="宋体" w:eastAsia="宋体" w:cs="宋体"/>
          <w:strike w:val="0"/>
          <w:dstrike w:val="0"/>
          <w:color w:val="auto"/>
          <w:spacing w:val="-8"/>
          <w:sz w:val="24"/>
          <w:szCs w:val="24"/>
          <w:highlight w:val="none"/>
        </w:rPr>
        <w:t>系“空转”。切实加强对分包单位及施工班组管理的透明化</w:t>
      </w:r>
      <w:r>
        <w:rPr>
          <w:rFonts w:ascii="宋体" w:hAnsi="宋体" w:eastAsia="宋体" w:cs="宋体"/>
          <w:strike w:val="0"/>
          <w:dstrike w:val="0"/>
          <w:color w:val="auto"/>
          <w:spacing w:val="-9"/>
          <w:sz w:val="24"/>
          <w:szCs w:val="24"/>
          <w:highlight w:val="none"/>
        </w:rPr>
        <w:t>、规范化， 不得“以包代管、</w:t>
      </w:r>
      <w:r>
        <w:rPr>
          <w:rFonts w:ascii="宋体" w:hAnsi="宋体" w:eastAsia="宋体" w:cs="宋体"/>
          <w:strike w:val="0"/>
          <w:dstrike w:val="0"/>
          <w:color w:val="auto"/>
          <w:spacing w:val="-2"/>
          <w:sz w:val="24"/>
          <w:szCs w:val="24"/>
          <w:highlight w:val="none"/>
        </w:rPr>
        <w:t>包而不管”，重点抓好对施工分包单位的分包工程质量、安全、进度、资金使用和管理</w:t>
      </w:r>
      <w:r>
        <w:rPr>
          <w:rFonts w:ascii="宋体" w:hAnsi="宋体" w:eastAsia="宋体" w:cs="宋体"/>
          <w:strike w:val="0"/>
          <w:dstrike w:val="0"/>
          <w:color w:val="auto"/>
          <w:spacing w:val="-5"/>
          <w:sz w:val="24"/>
          <w:szCs w:val="24"/>
          <w:highlight w:val="none"/>
        </w:rPr>
        <w:t>行为等全过程管理，加强对其内控管理体系和</w:t>
      </w:r>
      <w:r>
        <w:rPr>
          <w:rFonts w:ascii="宋体" w:hAnsi="宋体" w:eastAsia="宋体" w:cs="宋体"/>
          <w:strike w:val="0"/>
          <w:dstrike w:val="0"/>
          <w:color w:val="auto"/>
          <w:spacing w:val="-6"/>
          <w:sz w:val="24"/>
          <w:szCs w:val="24"/>
          <w:highlight w:val="none"/>
        </w:rPr>
        <w:t>主要人员履约、设备、材料等穿透式管理。</w:t>
      </w:r>
    </w:p>
    <w:p w14:paraId="018AA47B">
      <w:pPr>
        <w:spacing w:before="185" w:line="289" w:lineRule="auto"/>
        <w:ind w:left="1445" w:right="1416" w:firstLine="45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4.3.7 承包人应在分包工程实施前，将</w:t>
      </w:r>
      <w:r>
        <w:rPr>
          <w:rFonts w:ascii="宋体" w:hAnsi="宋体" w:eastAsia="宋体" w:cs="宋体"/>
          <w:color w:val="auto"/>
          <w:spacing w:val="-2"/>
          <w:sz w:val="24"/>
          <w:szCs w:val="24"/>
          <w:highlight w:val="none"/>
        </w:rPr>
        <w:t>经监理人审查同意后的分包合同以及分包人</w:t>
      </w:r>
      <w:r>
        <w:rPr>
          <w:rFonts w:ascii="宋体" w:hAnsi="宋体" w:eastAsia="宋体" w:cs="宋体"/>
          <w:color w:val="auto"/>
          <w:spacing w:val="-4"/>
          <w:sz w:val="24"/>
          <w:szCs w:val="24"/>
          <w:highlight w:val="none"/>
        </w:rPr>
        <w:t>的资格能力证明材料报发包人批准。</w:t>
      </w:r>
    </w:p>
    <w:p w14:paraId="1B7FF4E8">
      <w:pPr>
        <w:spacing w:before="78" w:line="360" w:lineRule="auto"/>
        <w:ind w:left="1424" w:right="1416"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4.3.8 承包人应建立健全相关分包管理</w:t>
      </w:r>
      <w:r>
        <w:rPr>
          <w:rFonts w:ascii="宋体" w:hAnsi="宋体" w:eastAsia="宋体" w:cs="宋体"/>
          <w:color w:val="auto"/>
          <w:spacing w:val="-2"/>
          <w:sz w:val="24"/>
          <w:szCs w:val="24"/>
          <w:highlight w:val="none"/>
        </w:rPr>
        <w:t>制度和台账，对分包工程的质量、安全、进</w:t>
      </w:r>
      <w:r>
        <w:rPr>
          <w:rFonts w:ascii="宋体" w:hAnsi="宋体" w:eastAsia="宋体" w:cs="宋体"/>
          <w:color w:val="auto"/>
          <w:spacing w:val="-5"/>
          <w:sz w:val="24"/>
          <w:szCs w:val="24"/>
          <w:highlight w:val="none"/>
        </w:rPr>
        <w:t>度、资金使用和分包人的行为等实施全过程管理， 按照本合同约定对分包工程的实施向</w:t>
      </w:r>
      <w:r>
        <w:rPr>
          <w:rFonts w:ascii="宋体" w:hAnsi="宋体" w:eastAsia="宋体" w:cs="宋体"/>
          <w:color w:val="auto"/>
          <w:spacing w:val="-3"/>
          <w:sz w:val="24"/>
          <w:szCs w:val="24"/>
          <w:highlight w:val="none"/>
        </w:rPr>
        <w:t>发包人负责，并承担赔偿责任。</w:t>
      </w:r>
    </w:p>
    <w:p w14:paraId="046DBD0D">
      <w:pPr>
        <w:spacing w:line="360" w:lineRule="auto"/>
        <w:ind w:left="1424" w:right="1416"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4.3.9 分包人应设立现场管理机构，对</w:t>
      </w:r>
      <w:r>
        <w:rPr>
          <w:rFonts w:ascii="宋体" w:hAnsi="宋体" w:eastAsia="宋体" w:cs="宋体"/>
          <w:color w:val="auto"/>
          <w:spacing w:val="-2"/>
          <w:sz w:val="24"/>
          <w:szCs w:val="24"/>
          <w:highlight w:val="none"/>
        </w:rPr>
        <w:t>所分包工程的施工活动实施管理。现场管理</w:t>
      </w:r>
      <w:r>
        <w:rPr>
          <w:rFonts w:ascii="宋体" w:hAnsi="宋体" w:eastAsia="宋体" w:cs="宋体"/>
          <w:color w:val="auto"/>
          <w:spacing w:val="-6"/>
          <w:sz w:val="24"/>
          <w:szCs w:val="24"/>
          <w:highlight w:val="none"/>
        </w:rPr>
        <w:t>机构应具有与分包工程的规模、技术复杂程度相适应的技术、经济管理人员，</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其中项目</w:t>
      </w:r>
      <w:r>
        <w:rPr>
          <w:rFonts w:ascii="宋体" w:hAnsi="宋体" w:eastAsia="宋体" w:cs="宋体"/>
          <w:color w:val="auto"/>
          <w:spacing w:val="-1"/>
          <w:sz w:val="24"/>
          <w:szCs w:val="24"/>
          <w:highlight w:val="none"/>
        </w:rPr>
        <w:t>负责人和技术、财务、计量、质量、安全等主要管理人员必须是分包</w:t>
      </w:r>
      <w:r>
        <w:rPr>
          <w:rFonts w:ascii="宋体" w:hAnsi="宋体" w:eastAsia="宋体" w:cs="宋体"/>
          <w:color w:val="auto"/>
          <w:spacing w:val="-2"/>
          <w:sz w:val="24"/>
          <w:szCs w:val="24"/>
          <w:highlight w:val="none"/>
        </w:rPr>
        <w:t>人本单位人员。</w:t>
      </w:r>
    </w:p>
    <w:p w14:paraId="0A333ED9">
      <w:pPr>
        <w:spacing w:before="4" w:line="324" w:lineRule="auto"/>
        <w:ind w:left="1427" w:right="1403" w:firstLine="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4.3.10 分包人应自行编制分包工程的施工方案，经承包人审查同意后报监理人批</w:t>
      </w:r>
      <w:r>
        <w:rPr>
          <w:rFonts w:ascii="宋体" w:hAnsi="宋体" w:eastAsia="宋体" w:cs="宋体"/>
          <w:color w:val="auto"/>
          <w:spacing w:val="-1"/>
          <w:sz w:val="24"/>
          <w:szCs w:val="24"/>
          <w:highlight w:val="none"/>
        </w:rPr>
        <w:t>准。分包人应依据分包合同的约定，自行组织分包工程的施工，</w:t>
      </w:r>
      <w:r>
        <w:rPr>
          <w:rFonts w:ascii="宋体" w:hAnsi="宋体" w:eastAsia="宋体" w:cs="宋体"/>
          <w:color w:val="auto"/>
          <w:spacing w:val="-2"/>
          <w:sz w:val="24"/>
          <w:szCs w:val="24"/>
          <w:highlight w:val="none"/>
        </w:rPr>
        <w:t>并对分包工程的质量、</w:t>
      </w:r>
      <w:r>
        <w:rPr>
          <w:rFonts w:ascii="宋体" w:hAnsi="宋体" w:eastAsia="宋体" w:cs="宋体"/>
          <w:color w:val="auto"/>
          <w:spacing w:val="-5"/>
          <w:sz w:val="24"/>
          <w:szCs w:val="24"/>
          <w:highlight w:val="none"/>
        </w:rPr>
        <w:t>安全和进度等实施有效控制。分包人对其分包的工程向承包人负责， 并就所分包的工程</w:t>
      </w:r>
      <w:r>
        <w:rPr>
          <w:rFonts w:ascii="宋体" w:hAnsi="宋体" w:eastAsia="宋体" w:cs="宋体"/>
          <w:color w:val="auto"/>
          <w:spacing w:val="-4"/>
          <w:sz w:val="24"/>
          <w:szCs w:val="24"/>
          <w:highlight w:val="none"/>
        </w:rPr>
        <w:t>向发包人承担连带责任。</w:t>
      </w:r>
    </w:p>
    <w:p w14:paraId="540FB926">
      <w:pPr>
        <w:spacing w:before="182" w:line="290" w:lineRule="auto"/>
        <w:ind w:left="1424" w:right="1428"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4.3.11 施工分包不减轻或免除承包人的责任和义务，承包人应与分包人就分包工</w:t>
      </w:r>
      <w:r>
        <w:rPr>
          <w:rFonts w:ascii="宋体" w:hAnsi="宋体" w:eastAsia="宋体" w:cs="宋体"/>
          <w:color w:val="auto"/>
          <w:spacing w:val="-4"/>
          <w:sz w:val="24"/>
          <w:szCs w:val="24"/>
          <w:highlight w:val="none"/>
        </w:rPr>
        <w:t>程向发包人承担连带责任。</w:t>
      </w:r>
    </w:p>
    <w:p w14:paraId="01AEAE8D">
      <w:pPr>
        <w:spacing w:before="183" w:line="313" w:lineRule="auto"/>
        <w:ind w:left="1424" w:right="1331"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4.3.12 劳务合作企业应具有施工劳务资质或专业作业资质。承包人和劳务合作企</w:t>
      </w:r>
      <w:r>
        <w:rPr>
          <w:rFonts w:ascii="宋体" w:hAnsi="宋体" w:eastAsia="宋体" w:cs="宋体"/>
          <w:color w:val="auto"/>
          <w:spacing w:val="-5"/>
          <w:sz w:val="24"/>
          <w:szCs w:val="24"/>
          <w:highlight w:val="none"/>
        </w:rPr>
        <w:t>业应依法签订劳务合作合同。承包人应对劳务合</w:t>
      </w:r>
      <w:r>
        <w:rPr>
          <w:rFonts w:ascii="宋体" w:hAnsi="宋体" w:eastAsia="宋体" w:cs="宋体"/>
          <w:color w:val="auto"/>
          <w:spacing w:val="-6"/>
          <w:sz w:val="24"/>
          <w:szCs w:val="24"/>
          <w:highlight w:val="none"/>
        </w:rPr>
        <w:t>作企业提供的劳务作业进行技术、质量、</w:t>
      </w:r>
      <w:r>
        <w:rPr>
          <w:rFonts w:ascii="宋体" w:hAnsi="宋体" w:eastAsia="宋体" w:cs="宋体"/>
          <w:color w:val="auto"/>
          <w:spacing w:val="-3"/>
          <w:sz w:val="24"/>
          <w:szCs w:val="24"/>
          <w:highlight w:val="none"/>
        </w:rPr>
        <w:t>安全等方面的指导培训和有效管理。</w:t>
      </w:r>
    </w:p>
    <w:p w14:paraId="4DE6DC70">
      <w:pPr>
        <w:spacing w:before="182" w:line="325" w:lineRule="auto"/>
        <w:ind w:left="1425" w:right="1301"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4.3.13 承包人应按照劳务合作合同约定对劳务合作企业的劳务作业人员进行管理，有关施工方案编制以及相关试验检测、工程控制测量、工程档案资料编制、质量安全管</w:t>
      </w:r>
      <w:r>
        <w:rPr>
          <w:rFonts w:ascii="宋体" w:hAnsi="宋体" w:eastAsia="宋体" w:cs="宋体"/>
          <w:color w:val="auto"/>
          <w:spacing w:val="-5"/>
          <w:sz w:val="24"/>
          <w:szCs w:val="24"/>
          <w:highlight w:val="none"/>
        </w:rPr>
        <w:t>理等工作均由承包人统一组织实施。劳务作业人员应经培训后上岗， 特殊工种人员应持</w:t>
      </w:r>
      <w:r>
        <w:rPr>
          <w:rFonts w:ascii="宋体" w:hAnsi="宋体" w:eastAsia="宋体" w:cs="宋体"/>
          <w:color w:val="auto"/>
          <w:spacing w:val="-9"/>
          <w:sz w:val="24"/>
          <w:szCs w:val="24"/>
          <w:highlight w:val="none"/>
        </w:rPr>
        <w:t>证上岗。</w:t>
      </w:r>
    </w:p>
    <w:p w14:paraId="6EE417D2">
      <w:pPr>
        <w:spacing w:before="181" w:line="290" w:lineRule="auto"/>
        <w:ind w:left="1426" w:right="1428"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4.3.14 承包人应妥善处理其与分包人、劳务合作企业之间的合同争议、纠纷，并</w:t>
      </w:r>
      <w:r>
        <w:rPr>
          <w:rFonts w:ascii="宋体" w:hAnsi="宋体" w:eastAsia="宋体" w:cs="宋体"/>
          <w:color w:val="auto"/>
          <w:spacing w:val="-3"/>
          <w:sz w:val="24"/>
          <w:szCs w:val="24"/>
          <w:highlight w:val="none"/>
        </w:rPr>
        <w:t>保证发包人免于承担相应法律责任。</w:t>
      </w:r>
    </w:p>
    <w:p w14:paraId="1AFFE050">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本款补充第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4.3.15、4.3.16</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w:t>
      </w:r>
    </w:p>
    <w:p w14:paraId="1AA867EF">
      <w:pPr>
        <w:spacing w:before="183"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4.3.15</w:t>
      </w:r>
      <w:r>
        <w:rPr>
          <w:rFonts w:ascii="宋体" w:hAnsi="宋体" w:eastAsia="宋体" w:cs="宋体"/>
          <w:color w:val="auto"/>
          <w:spacing w:val="-37"/>
          <w:sz w:val="24"/>
          <w:szCs w:val="24"/>
          <w:highlight w:val="none"/>
        </w:rPr>
        <w:t xml:space="preserve"> </w:t>
      </w:r>
      <w:r>
        <w:rPr>
          <w:rFonts w:ascii="宋体" w:hAnsi="宋体" w:eastAsia="宋体" w:cs="宋体"/>
          <w:color w:val="auto"/>
          <w:spacing w:val="-2"/>
          <w:sz w:val="24"/>
          <w:szCs w:val="24"/>
          <w:highlight w:val="none"/>
        </w:rPr>
        <w:t>特殊的分包人或供货人</w:t>
      </w:r>
    </w:p>
    <w:p w14:paraId="76975DD2">
      <w:pPr>
        <w:spacing w:before="184" w:line="360" w:lineRule="auto"/>
        <w:ind w:left="1425" w:right="1416" w:firstLine="482"/>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为了履行合同中某专业化的或特殊工程或关</w:t>
      </w:r>
      <w:r>
        <w:rPr>
          <w:rFonts w:ascii="宋体" w:hAnsi="宋体" w:eastAsia="宋体" w:cs="宋体"/>
          <w:color w:val="auto"/>
          <w:spacing w:val="-7"/>
          <w:sz w:val="24"/>
          <w:szCs w:val="24"/>
          <w:highlight w:val="none"/>
        </w:rPr>
        <w:t>键的、专项的材料、设备、供货，</w:t>
      </w:r>
      <w:r>
        <w:rPr>
          <w:rFonts w:ascii="宋体" w:hAnsi="宋体" w:eastAsia="宋体" w:cs="宋体"/>
          <w:color w:val="auto"/>
          <w:spacing w:val="51"/>
          <w:sz w:val="24"/>
          <w:szCs w:val="24"/>
          <w:highlight w:val="none"/>
        </w:rPr>
        <w:t xml:space="preserve"> </w:t>
      </w:r>
      <w:r>
        <w:rPr>
          <w:rFonts w:ascii="宋体" w:hAnsi="宋体" w:eastAsia="宋体" w:cs="宋体"/>
          <w:color w:val="auto"/>
          <w:spacing w:val="-7"/>
          <w:sz w:val="24"/>
          <w:szCs w:val="24"/>
          <w:highlight w:val="none"/>
        </w:rPr>
        <w:t>根据</w:t>
      </w:r>
      <w:r>
        <w:rPr>
          <w:rFonts w:ascii="宋体" w:hAnsi="宋体" w:eastAsia="宋体" w:cs="宋体"/>
          <w:color w:val="auto"/>
          <w:spacing w:val="-2"/>
          <w:sz w:val="24"/>
          <w:szCs w:val="24"/>
          <w:highlight w:val="none"/>
        </w:rPr>
        <w:t>金额规模可以通过合法方式选定作为发包人的特殊分包人或供货人，并要求承包人与进行专项或供货分包的特殊分包人或供货人签订分包合同。分包合同须符合《广东省交通运输厅关于公路工程施工分包管理实施细则》的有关规定。</w:t>
      </w:r>
    </w:p>
    <w:p w14:paraId="0E073DE5">
      <w:pPr>
        <w:spacing w:line="361" w:lineRule="auto"/>
        <w:ind w:left="1427" w:right="1349" w:firstLine="479"/>
        <w:jc w:val="both"/>
        <w:rPr>
          <w:color w:val="auto"/>
          <w:highlight w:val="none"/>
        </w:rPr>
      </w:pPr>
      <w:r>
        <w:rPr>
          <w:rFonts w:ascii="宋体" w:hAnsi="宋体" w:eastAsia="宋体" w:cs="宋体"/>
          <w:color w:val="auto"/>
          <w:spacing w:val="-6"/>
          <w:sz w:val="24"/>
          <w:szCs w:val="24"/>
          <w:highlight w:val="none"/>
        </w:rPr>
        <w:t>有关特殊分包的合同中，特殊分包人（或供货人）应独立地</w:t>
      </w:r>
      <w:r>
        <w:rPr>
          <w:rFonts w:ascii="宋体" w:hAnsi="宋体" w:eastAsia="宋体" w:cs="宋体"/>
          <w:color w:val="auto"/>
          <w:spacing w:val="-7"/>
          <w:sz w:val="24"/>
          <w:szCs w:val="24"/>
          <w:highlight w:val="none"/>
        </w:rPr>
        <w:t>承担其合同责任和义务，</w:t>
      </w:r>
      <w:r>
        <w:rPr>
          <w:rFonts w:ascii="宋体" w:hAnsi="宋体" w:eastAsia="宋体" w:cs="宋体"/>
          <w:color w:val="auto"/>
          <w:spacing w:val="-2"/>
          <w:sz w:val="24"/>
          <w:szCs w:val="24"/>
          <w:highlight w:val="none"/>
        </w:rPr>
        <w:t>不使承包人对发包人承担的合同责任和义务受到损害，也不使承包人承担因特殊的分包人（或供货人）未能履行责任、义务而引起的索赔、赔偿、诉讼费用及其他开支。承包</w:t>
      </w:r>
    </w:p>
    <w:p w14:paraId="70E3A43A">
      <w:pPr>
        <w:spacing w:before="78" w:line="360" w:lineRule="auto"/>
        <w:ind w:left="1425" w:right="1312" w:firstLine="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人对于特殊分包人（或供货人）及其职工的过失而造成的损失不承担任何责任。如果特</w:t>
      </w:r>
      <w:r>
        <w:rPr>
          <w:rFonts w:ascii="宋体" w:hAnsi="宋体" w:eastAsia="宋体" w:cs="宋体"/>
          <w:color w:val="auto"/>
          <w:spacing w:val="-5"/>
          <w:sz w:val="24"/>
          <w:szCs w:val="24"/>
          <w:highlight w:val="none"/>
        </w:rPr>
        <w:t>殊分包合同中含有与上述规定有悖的条款，承包人有权拒绝与此特殊分包人（或供货人）</w:t>
      </w:r>
      <w:r>
        <w:rPr>
          <w:rFonts w:ascii="宋体" w:hAnsi="宋体" w:eastAsia="宋体" w:cs="宋体"/>
          <w:color w:val="auto"/>
          <w:spacing w:val="-8"/>
          <w:sz w:val="24"/>
          <w:szCs w:val="24"/>
          <w:highlight w:val="none"/>
        </w:rPr>
        <w:t>签订合同。</w:t>
      </w:r>
    </w:p>
    <w:p w14:paraId="15DA3404">
      <w:pPr>
        <w:spacing w:before="2" w:line="359"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特殊分包人（或供货人）承担部分的计量由承包人负责统一上报，承包人应将属特</w:t>
      </w:r>
      <w:r>
        <w:rPr>
          <w:rFonts w:ascii="宋体" w:hAnsi="宋体" w:eastAsia="宋体" w:cs="宋体"/>
          <w:color w:val="auto"/>
          <w:spacing w:val="-1"/>
          <w:sz w:val="24"/>
          <w:szCs w:val="24"/>
          <w:highlight w:val="none"/>
        </w:rPr>
        <w:t>殊分包人（或供货人）的计量支付款项，及时向特殊分包人</w:t>
      </w:r>
      <w:r>
        <w:rPr>
          <w:rFonts w:ascii="宋体" w:hAnsi="宋体" w:eastAsia="宋体" w:cs="宋体"/>
          <w:color w:val="auto"/>
          <w:spacing w:val="-2"/>
          <w:sz w:val="24"/>
          <w:szCs w:val="24"/>
          <w:highlight w:val="none"/>
        </w:rPr>
        <w:t>（或供货人）支付。</w:t>
      </w:r>
    </w:p>
    <w:p w14:paraId="4EBE3E64">
      <w:pPr>
        <w:spacing w:before="2" w:line="359"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特殊分包人（或供货人）承担部分的原始资料存档和竣工资料编制等工作，由所在</w:t>
      </w:r>
      <w:r>
        <w:rPr>
          <w:rFonts w:ascii="宋体" w:hAnsi="宋体" w:eastAsia="宋体" w:cs="宋体"/>
          <w:color w:val="auto"/>
          <w:spacing w:val="-5"/>
          <w:sz w:val="24"/>
          <w:szCs w:val="24"/>
          <w:highlight w:val="none"/>
        </w:rPr>
        <w:t>合同段的承包人负责。</w:t>
      </w:r>
    </w:p>
    <w:p w14:paraId="402C6BCB">
      <w:pPr>
        <w:spacing w:line="360" w:lineRule="auto"/>
        <w:ind w:left="1427" w:right="1416" w:firstLine="478"/>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无偿为特殊供货人的供料运输提供满足使用要求的便道便桥和码头，承包人负责卸料并负责将卸下的材料搬运至工地仓库或特定地点，由此所需的设备、人力和费用由承包人自行负责，承包人的仓库容量应满足相关要求。</w:t>
      </w:r>
    </w:p>
    <w:p w14:paraId="2C1A288D">
      <w:pPr>
        <w:spacing w:before="2" w:line="359" w:lineRule="auto"/>
        <w:ind w:left="1423" w:right="1427"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如发生第</w:t>
      </w:r>
      <w:r>
        <w:rPr>
          <w:rFonts w:ascii="宋体" w:hAnsi="宋体" w:eastAsia="宋体" w:cs="宋体"/>
          <w:color w:val="auto"/>
          <w:spacing w:val="-25"/>
          <w:sz w:val="24"/>
          <w:szCs w:val="24"/>
          <w:highlight w:val="none"/>
        </w:rPr>
        <w:t xml:space="preserve"> </w:t>
      </w:r>
      <w:r>
        <w:rPr>
          <w:rFonts w:ascii="宋体" w:hAnsi="宋体" w:eastAsia="宋体" w:cs="宋体"/>
          <w:color w:val="auto"/>
          <w:sz w:val="24"/>
          <w:szCs w:val="24"/>
          <w:highlight w:val="none"/>
        </w:rPr>
        <w:t>11.5</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款约定的承包人工程进度严重滞后，发包人有权对承包人部分工程</w:t>
      </w:r>
      <w:r>
        <w:rPr>
          <w:rFonts w:ascii="宋体" w:hAnsi="宋体" w:eastAsia="宋体" w:cs="宋体"/>
          <w:color w:val="auto"/>
          <w:spacing w:val="-3"/>
          <w:sz w:val="24"/>
          <w:szCs w:val="24"/>
          <w:highlight w:val="none"/>
        </w:rPr>
        <w:t>进行特殊分包，承包人应无条件接受，并按第</w:t>
      </w:r>
      <w:r>
        <w:rPr>
          <w:rFonts w:ascii="宋体" w:hAnsi="宋体" w:eastAsia="宋体" w:cs="宋体"/>
          <w:color w:val="auto"/>
          <w:spacing w:val="-17"/>
          <w:sz w:val="24"/>
          <w:szCs w:val="24"/>
          <w:highlight w:val="none"/>
        </w:rPr>
        <w:t xml:space="preserve"> </w:t>
      </w:r>
      <w:r>
        <w:rPr>
          <w:rFonts w:ascii="宋体" w:hAnsi="宋体" w:eastAsia="宋体" w:cs="宋体"/>
          <w:color w:val="auto"/>
          <w:spacing w:val="-3"/>
          <w:sz w:val="24"/>
          <w:szCs w:val="24"/>
          <w:highlight w:val="none"/>
        </w:rPr>
        <w:t>11.5</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款约定处理。</w:t>
      </w:r>
    </w:p>
    <w:p w14:paraId="3F9E78F0">
      <w:pPr>
        <w:spacing w:line="220"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4.3.16</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发包人的强制分包</w:t>
      </w:r>
    </w:p>
    <w:p w14:paraId="1F3B0D59">
      <w:pPr>
        <w:spacing w:before="182" w:line="313" w:lineRule="auto"/>
        <w:ind w:left="1426" w:right="1416"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（1）因承包人违约或发生重大的质量、安全事故以及出现进度严重滞后的情况和</w:t>
      </w:r>
      <w:r>
        <w:rPr>
          <w:rFonts w:ascii="宋体" w:hAnsi="宋体" w:eastAsia="宋体" w:cs="宋体"/>
          <w:color w:val="auto"/>
          <w:spacing w:val="-2"/>
          <w:sz w:val="24"/>
          <w:szCs w:val="24"/>
          <w:highlight w:val="none"/>
        </w:rPr>
        <w:t>工程专业化施工等的需要，发包人有权对承包人部分工程进行切割，做分包处理，因此</w:t>
      </w:r>
      <w:r>
        <w:rPr>
          <w:rFonts w:ascii="宋体" w:hAnsi="宋体" w:eastAsia="宋体" w:cs="宋体"/>
          <w:color w:val="auto"/>
          <w:spacing w:val="-3"/>
          <w:sz w:val="24"/>
          <w:szCs w:val="24"/>
          <w:highlight w:val="none"/>
        </w:rPr>
        <w:t>而增加的一切费用由承包人承担。</w:t>
      </w:r>
    </w:p>
    <w:p w14:paraId="79BD8B03">
      <w:pPr>
        <w:spacing w:before="180" w:line="325" w:lineRule="auto"/>
        <w:ind w:left="1427" w:right="1415"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（2）当发包人决定采取分包时，承包人应无条件接受并全力配合发包人开展相关</w:t>
      </w:r>
      <w:r>
        <w:rPr>
          <w:rFonts w:ascii="宋体" w:hAnsi="宋体" w:eastAsia="宋体" w:cs="宋体"/>
          <w:color w:val="auto"/>
          <w:spacing w:val="-5"/>
          <w:sz w:val="24"/>
          <w:szCs w:val="24"/>
          <w:highlight w:val="none"/>
        </w:rPr>
        <w:t>工作，并无条件提供已有的临时设施（包括但不限于便道、便桥、电力线路等） 供分包</w:t>
      </w:r>
      <w:r>
        <w:rPr>
          <w:rFonts w:ascii="宋体" w:hAnsi="宋体" w:eastAsia="宋体" w:cs="宋体"/>
          <w:color w:val="auto"/>
          <w:spacing w:val="-2"/>
          <w:sz w:val="24"/>
          <w:szCs w:val="24"/>
          <w:highlight w:val="none"/>
        </w:rPr>
        <w:t>人使用，且不得为此要求增加或支付任何费用，否则视为承包人违约。分包部分的造价</w:t>
      </w:r>
      <w:r>
        <w:rPr>
          <w:rFonts w:ascii="宋体" w:hAnsi="宋体" w:eastAsia="宋体" w:cs="宋体"/>
          <w:color w:val="auto"/>
          <w:spacing w:val="-1"/>
          <w:sz w:val="24"/>
          <w:szCs w:val="24"/>
          <w:highlight w:val="none"/>
        </w:rPr>
        <w:t>按以下原则计算，并从承包人的合同价格中扣除</w:t>
      </w:r>
      <w:r>
        <w:rPr>
          <w:rFonts w:ascii="宋体" w:hAnsi="宋体" w:eastAsia="宋体" w:cs="宋体"/>
          <w:color w:val="auto"/>
          <w:spacing w:val="-20"/>
          <w:position w:val="11"/>
          <w:sz w:val="12"/>
          <w:szCs w:val="12"/>
          <w:highlight w:val="none"/>
        </w:rPr>
        <w:t xml:space="preserve"> </w:t>
      </w:r>
      <w:r>
        <w:rPr>
          <w:rFonts w:ascii="宋体" w:hAnsi="宋体" w:eastAsia="宋体" w:cs="宋体"/>
          <w:color w:val="auto"/>
          <w:spacing w:val="-1"/>
          <w:sz w:val="24"/>
          <w:szCs w:val="24"/>
          <w:highlight w:val="none"/>
        </w:rPr>
        <w:t>:</w:t>
      </w:r>
    </w:p>
    <w:p w14:paraId="00C7ADDD">
      <w:pPr>
        <w:spacing w:before="166" w:line="236" w:lineRule="auto"/>
        <w:ind w:left="1897"/>
        <w:rPr>
          <w:rFonts w:ascii="宋体" w:hAnsi="宋体" w:eastAsia="宋体" w:cs="宋体"/>
          <w:strike/>
          <w:dstrike w:val="0"/>
          <w:color w:val="auto"/>
          <w:sz w:val="12"/>
          <w:szCs w:val="12"/>
          <w:highlight w:val="none"/>
        </w:rPr>
      </w:pPr>
      <w:r>
        <w:rPr>
          <w:rFonts w:ascii="宋体" w:hAnsi="宋体" w:eastAsia="宋体" w:cs="宋体"/>
          <w:strike/>
          <w:dstrike w:val="0"/>
          <w:color w:val="auto"/>
          <w:spacing w:val="-4"/>
          <w:position w:val="-1"/>
          <w:sz w:val="24"/>
          <w:szCs w:val="24"/>
          <w:highlight w:val="none"/>
        </w:rPr>
        <w:t>A、</w:t>
      </w:r>
      <w:r>
        <w:rPr>
          <w:rFonts w:ascii="宋体" w:hAnsi="宋体" w:eastAsia="宋体" w:cs="宋体"/>
          <w:strike/>
          <w:dstrike w:val="0"/>
          <w:color w:val="auto"/>
          <w:spacing w:val="-4"/>
          <w:position w:val="-1"/>
          <w:sz w:val="24"/>
          <w:szCs w:val="24"/>
          <w:highlight w:val="none"/>
          <w:u w:val="single" w:color="auto"/>
        </w:rPr>
        <w:t xml:space="preserve">                                                     </w:t>
      </w:r>
      <w:r>
        <w:rPr>
          <w:rFonts w:ascii="宋体" w:hAnsi="宋体" w:eastAsia="宋体" w:cs="宋体"/>
          <w:strike/>
          <w:dstrike w:val="0"/>
          <w:color w:val="auto"/>
          <w:spacing w:val="-5"/>
          <w:position w:val="-1"/>
          <w:sz w:val="24"/>
          <w:szCs w:val="24"/>
          <w:highlight w:val="none"/>
          <w:u w:val="single" w:color="auto"/>
        </w:rPr>
        <w:t xml:space="preserve">        </w:t>
      </w:r>
      <w:r>
        <w:rPr>
          <w:rFonts w:ascii="宋体" w:hAnsi="宋体" w:eastAsia="宋体" w:cs="宋体"/>
          <w:strike/>
          <w:dstrike w:val="0"/>
          <w:color w:val="auto"/>
          <w:spacing w:val="-90"/>
          <w:position w:val="-1"/>
          <w:sz w:val="24"/>
          <w:szCs w:val="24"/>
          <w:highlight w:val="none"/>
        </w:rPr>
        <w:t xml:space="preserve"> </w:t>
      </w:r>
      <w:r>
        <w:rPr>
          <w:rFonts w:ascii="宋体" w:hAnsi="宋体" w:eastAsia="宋体" w:cs="宋体"/>
          <w:strike/>
          <w:dstrike w:val="0"/>
          <w:color w:val="auto"/>
          <w:spacing w:val="-5"/>
          <w:position w:val="-1"/>
          <w:sz w:val="24"/>
          <w:szCs w:val="24"/>
          <w:highlight w:val="none"/>
        </w:rPr>
        <w:t>；</w:t>
      </w:r>
    </w:p>
    <w:p w14:paraId="75D4DB2C">
      <w:pPr>
        <w:spacing w:before="183" w:line="361" w:lineRule="auto"/>
        <w:ind w:left="1425" w:right="1211" w:firstLine="483"/>
        <w:jc w:val="both"/>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B、</w:t>
      </w:r>
      <w:r>
        <w:rPr>
          <w:rFonts w:hint="eastAsia" w:ascii="宋体" w:hAnsi="宋体" w:eastAsia="宋体" w:cs="宋体"/>
          <w:color w:val="auto"/>
          <w:spacing w:val="2"/>
          <w:sz w:val="24"/>
          <w:szCs w:val="24"/>
          <w:highlight w:val="none"/>
        </w:rPr>
        <w:t>发包人委托政府主管部门或发包人选取的第三方机构</w:t>
      </w:r>
      <w:r>
        <w:rPr>
          <w:rFonts w:ascii="宋体" w:hAnsi="宋体" w:eastAsia="宋体" w:cs="宋体"/>
          <w:color w:val="auto"/>
          <w:spacing w:val="2"/>
          <w:sz w:val="24"/>
          <w:szCs w:val="24"/>
          <w:highlight w:val="none"/>
        </w:rPr>
        <w:t>按 15.4.4 款约定的原则重新编制切割工程的预算，并按预算金额（不下浮）从承包人的合同总价中扣除。</w:t>
      </w:r>
    </w:p>
    <w:p w14:paraId="1611C129">
      <w:pPr>
        <w:spacing w:before="183" w:line="361" w:lineRule="auto"/>
        <w:ind w:left="1425" w:right="1211" w:firstLine="483"/>
        <w:jc w:val="both"/>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发包人有权从以上两种方式中进行选择，承包人必须无条件服从。</w:t>
      </w:r>
    </w:p>
    <w:p w14:paraId="2C899611">
      <w:pPr>
        <w:spacing w:before="183" w:line="361" w:lineRule="auto"/>
        <w:ind w:left="1425" w:right="1211"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发包人有权按上述确定的造价要求承包人、分包人与发</w:t>
      </w:r>
      <w:r>
        <w:rPr>
          <w:rFonts w:ascii="宋体" w:hAnsi="宋体" w:eastAsia="宋体" w:cs="宋体"/>
          <w:color w:val="auto"/>
          <w:spacing w:val="1"/>
          <w:sz w:val="24"/>
          <w:szCs w:val="24"/>
          <w:highlight w:val="none"/>
        </w:rPr>
        <w:t>包人签订三方分包协议,或</w:t>
      </w:r>
      <w:r>
        <w:rPr>
          <w:rFonts w:ascii="宋体" w:hAnsi="宋体" w:eastAsia="宋体" w:cs="宋体"/>
          <w:color w:val="auto"/>
          <w:spacing w:val="-2"/>
          <w:sz w:val="24"/>
          <w:szCs w:val="24"/>
          <w:highlight w:val="none"/>
        </w:rPr>
        <w:t>由发包人与分包人签订协议。工程款根据签订的协议</w:t>
      </w:r>
      <w:r>
        <w:rPr>
          <w:rFonts w:ascii="宋体" w:hAnsi="宋体" w:eastAsia="宋体" w:cs="宋体"/>
          <w:color w:val="auto"/>
          <w:spacing w:val="-3"/>
          <w:sz w:val="24"/>
          <w:szCs w:val="24"/>
          <w:highlight w:val="none"/>
        </w:rPr>
        <w:t>,由发包人对分包人按时计量支付。</w:t>
      </w:r>
      <w:r>
        <w:rPr>
          <w:rFonts w:ascii="宋体" w:hAnsi="宋体" w:eastAsia="宋体" w:cs="宋体"/>
          <w:color w:val="auto"/>
          <w:spacing w:val="1"/>
          <w:sz w:val="24"/>
          <w:szCs w:val="24"/>
          <w:highlight w:val="none"/>
        </w:rPr>
        <w:t>工程实施后，确定分包工程计量支付金额后,发包人可直接在承包人任意一期计量中扣</w:t>
      </w:r>
      <w:r>
        <w:rPr>
          <w:rFonts w:ascii="宋体" w:hAnsi="宋体" w:eastAsia="宋体" w:cs="宋体"/>
          <w:color w:val="auto"/>
          <w:spacing w:val="-2"/>
          <w:sz w:val="24"/>
          <w:szCs w:val="24"/>
          <w:highlight w:val="none"/>
        </w:rPr>
        <w:t>减相应分包费用。承包人须负责分包部分原始资料的</w:t>
      </w:r>
      <w:r>
        <w:rPr>
          <w:rFonts w:ascii="宋体" w:hAnsi="宋体" w:eastAsia="宋体" w:cs="宋体"/>
          <w:color w:val="auto"/>
          <w:spacing w:val="-3"/>
          <w:sz w:val="24"/>
          <w:szCs w:val="24"/>
          <w:highlight w:val="none"/>
        </w:rPr>
        <w:t>存档和竣工资料的统一编制等工作。</w:t>
      </w:r>
      <w:r>
        <w:rPr>
          <w:rFonts w:ascii="宋体" w:hAnsi="宋体" w:eastAsia="宋体" w:cs="宋体"/>
          <w:color w:val="auto"/>
          <w:spacing w:val="-2"/>
          <w:sz w:val="24"/>
          <w:szCs w:val="24"/>
          <w:highlight w:val="none"/>
        </w:rPr>
        <w:t>发包人对承包人分包工程的同意并不免除承包人应承担的责任和义务。承包人应将任何</w:t>
      </w:r>
    </w:p>
    <w:p w14:paraId="66AED16B">
      <w:pPr>
        <w:spacing w:before="78" w:line="360" w:lineRule="auto"/>
        <w:ind w:left="1426" w:right="1421" w:firstLine="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分包人、分包代理人、雇员或工人的行为、违约和疏忽,视为承包人自己的行为、违约</w:t>
      </w:r>
      <w:r>
        <w:rPr>
          <w:rFonts w:ascii="宋体" w:hAnsi="宋体" w:eastAsia="宋体" w:cs="宋体"/>
          <w:color w:val="auto"/>
          <w:spacing w:val="-3"/>
          <w:sz w:val="24"/>
          <w:szCs w:val="24"/>
          <w:highlight w:val="none"/>
        </w:rPr>
        <w:t>和疏忽,并为之负完全的责任。</w:t>
      </w:r>
    </w:p>
    <w:p w14:paraId="61840219">
      <w:pPr>
        <w:spacing w:line="360" w:lineRule="auto"/>
        <w:ind w:left="1425"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款项由发包人从承包人应收工程款中如数扣回，承包人不得有异议。</w:t>
      </w:r>
    </w:p>
    <w:p w14:paraId="577C98C6">
      <w:pPr>
        <w:spacing w:line="219"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4.6 承包人人员的管理</w:t>
      </w:r>
    </w:p>
    <w:p w14:paraId="363F96D9">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第</w:t>
      </w:r>
      <w:r>
        <w:rPr>
          <w:rFonts w:ascii="宋体" w:hAnsi="宋体" w:eastAsia="宋体" w:cs="宋体"/>
          <w:color w:val="auto"/>
          <w:spacing w:val="-52"/>
          <w:sz w:val="24"/>
          <w:szCs w:val="24"/>
          <w:highlight w:val="none"/>
        </w:rPr>
        <w:t xml:space="preserve"> </w:t>
      </w:r>
      <w:r>
        <w:rPr>
          <w:rFonts w:ascii="宋体" w:hAnsi="宋体" w:eastAsia="宋体" w:cs="宋体"/>
          <w:color w:val="auto"/>
          <w:spacing w:val="-7"/>
          <w:sz w:val="24"/>
          <w:szCs w:val="24"/>
          <w:highlight w:val="none"/>
        </w:rPr>
        <w:t>4.6.1</w:t>
      </w:r>
      <w:r>
        <w:rPr>
          <w:rFonts w:ascii="宋体" w:hAnsi="宋体" w:eastAsia="宋体" w:cs="宋体"/>
          <w:color w:val="auto"/>
          <w:spacing w:val="-47"/>
          <w:sz w:val="24"/>
          <w:szCs w:val="24"/>
          <w:highlight w:val="none"/>
        </w:rPr>
        <w:t xml:space="preserve"> </w:t>
      </w:r>
      <w:r>
        <w:rPr>
          <w:rFonts w:ascii="宋体" w:hAnsi="宋体" w:eastAsia="宋体" w:cs="宋体"/>
          <w:color w:val="auto"/>
          <w:spacing w:val="-7"/>
          <w:sz w:val="24"/>
          <w:szCs w:val="24"/>
          <w:highlight w:val="none"/>
        </w:rPr>
        <w:t>项补充：</w:t>
      </w:r>
    </w:p>
    <w:p w14:paraId="13E48E15">
      <w:pPr>
        <w:spacing w:before="182" w:line="360"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承包人应按监理人批准的人员安排报告及时安排相关人员进场，如果承包人在接到监理人要求人员进场的通知</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5</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天后仍未安排相关人员进场，视为承</w:t>
      </w:r>
      <w:r>
        <w:rPr>
          <w:rFonts w:ascii="宋体" w:hAnsi="宋体" w:eastAsia="宋体" w:cs="宋体"/>
          <w:color w:val="auto"/>
          <w:spacing w:val="-3"/>
          <w:sz w:val="24"/>
          <w:szCs w:val="24"/>
          <w:highlight w:val="none"/>
        </w:rPr>
        <w:t>包人违约。</w:t>
      </w:r>
    </w:p>
    <w:p w14:paraId="5FC5D7A2">
      <w:pPr>
        <w:spacing w:before="1" w:line="219" w:lineRule="auto"/>
        <w:ind w:left="1905"/>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第 4.6.3</w:t>
      </w:r>
      <w:r>
        <w:rPr>
          <w:rFonts w:ascii="宋体" w:hAnsi="宋体" w:eastAsia="宋体" w:cs="宋体"/>
          <w:color w:val="auto"/>
          <w:spacing w:val="-40"/>
          <w:sz w:val="24"/>
          <w:szCs w:val="24"/>
          <w:highlight w:val="none"/>
        </w:rPr>
        <w:t xml:space="preserve"> </w:t>
      </w:r>
      <w:r>
        <w:rPr>
          <w:rFonts w:ascii="宋体" w:hAnsi="宋体" w:eastAsia="宋体" w:cs="宋体"/>
          <w:color w:val="auto"/>
          <w:spacing w:val="-6"/>
          <w:sz w:val="24"/>
          <w:szCs w:val="24"/>
          <w:highlight w:val="none"/>
        </w:rPr>
        <w:t>项细化为：</w:t>
      </w:r>
    </w:p>
    <w:p w14:paraId="1ADD9795">
      <w:pPr>
        <w:spacing w:before="182" w:line="360" w:lineRule="auto"/>
        <w:ind w:left="1424" w:right="1415" w:firstLine="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承包人安排在施工场地的项目经理、项</w:t>
      </w:r>
      <w:r>
        <w:rPr>
          <w:rFonts w:ascii="宋体" w:hAnsi="宋体" w:eastAsia="宋体" w:cs="宋体"/>
          <w:color w:val="auto"/>
          <w:spacing w:val="-1"/>
          <w:sz w:val="24"/>
          <w:szCs w:val="24"/>
          <w:highlight w:val="none"/>
        </w:rPr>
        <w:t>目总工（总工程师）、</w:t>
      </w:r>
      <w:r>
        <w:rPr>
          <w:rFonts w:ascii="宋体" w:hAnsi="宋体" w:eastAsia="宋体" w:cs="宋体"/>
          <w:strike/>
          <w:dstrike w:val="0"/>
          <w:color w:val="auto"/>
          <w:spacing w:val="-1"/>
          <w:sz w:val="24"/>
          <w:szCs w:val="24"/>
          <w:highlight w:val="none"/>
        </w:rPr>
        <w:t>安全总监、质量总监</w:t>
      </w:r>
      <w:r>
        <w:rPr>
          <w:rFonts w:ascii="宋体" w:hAnsi="宋体" w:eastAsia="宋体" w:cs="宋体"/>
          <w:strike/>
          <w:dstrike w:val="0"/>
          <w:color w:val="auto"/>
          <w:spacing w:val="-2"/>
          <w:sz w:val="24"/>
          <w:szCs w:val="24"/>
          <w:highlight w:val="none"/>
        </w:rPr>
        <w:t>应</w:t>
      </w:r>
      <w:r>
        <w:rPr>
          <w:rFonts w:ascii="宋体" w:hAnsi="宋体" w:eastAsia="宋体" w:cs="宋体"/>
          <w:color w:val="auto"/>
          <w:spacing w:val="-2"/>
          <w:sz w:val="24"/>
          <w:szCs w:val="24"/>
          <w:highlight w:val="none"/>
        </w:rPr>
        <w:t>与承包人投标填报名单一致；其他主要管</w:t>
      </w:r>
      <w:r>
        <w:rPr>
          <w:rFonts w:ascii="宋体" w:hAnsi="宋体" w:eastAsia="宋体" w:cs="宋体"/>
          <w:color w:val="auto"/>
          <w:spacing w:val="-3"/>
          <w:sz w:val="24"/>
          <w:szCs w:val="24"/>
          <w:highlight w:val="none"/>
        </w:rPr>
        <w:t>理人员和技术人员的资格和经历应不低于招标文件《附录</w:t>
      </w:r>
      <w:r>
        <w:rPr>
          <w:rFonts w:ascii="宋体" w:hAnsi="宋体" w:eastAsia="宋体" w:cs="宋体"/>
          <w:color w:val="auto"/>
          <w:spacing w:val="-37"/>
          <w:sz w:val="24"/>
          <w:szCs w:val="24"/>
          <w:highlight w:val="none"/>
        </w:rPr>
        <w:t xml:space="preserve"> </w:t>
      </w:r>
      <w:r>
        <w:rPr>
          <w:rFonts w:ascii="宋体" w:hAnsi="宋体" w:eastAsia="宋体" w:cs="宋体"/>
          <w:color w:val="auto"/>
          <w:spacing w:val="-3"/>
          <w:sz w:val="24"/>
          <w:szCs w:val="24"/>
          <w:highlight w:val="none"/>
        </w:rPr>
        <w:t>6</w:t>
      </w:r>
      <w:r>
        <w:rPr>
          <w:rFonts w:ascii="宋体" w:hAnsi="宋体" w:eastAsia="宋体" w:cs="宋体"/>
          <w:color w:val="auto"/>
          <w:spacing w:val="-40"/>
          <w:sz w:val="24"/>
          <w:szCs w:val="24"/>
          <w:highlight w:val="none"/>
        </w:rPr>
        <w:t xml:space="preserve"> </w:t>
      </w:r>
      <w:r>
        <w:rPr>
          <w:rFonts w:ascii="宋体" w:hAnsi="宋体" w:eastAsia="宋体" w:cs="宋体"/>
          <w:color w:val="auto"/>
          <w:spacing w:val="-3"/>
          <w:sz w:val="24"/>
          <w:szCs w:val="24"/>
          <w:highlight w:val="none"/>
        </w:rPr>
        <w:t>资格审查条件（其他主要管</w:t>
      </w:r>
      <w:r>
        <w:rPr>
          <w:rFonts w:ascii="宋体" w:hAnsi="宋体" w:eastAsia="宋体" w:cs="宋体"/>
          <w:color w:val="auto"/>
          <w:spacing w:val="-5"/>
          <w:sz w:val="24"/>
          <w:szCs w:val="24"/>
          <w:highlight w:val="none"/>
        </w:rPr>
        <w:t xml:space="preserve">理人员和技术人员最低要求）》的规定， </w:t>
      </w:r>
      <w:r>
        <w:rPr>
          <w:rFonts w:ascii="宋体" w:hAnsi="宋体" w:eastAsia="宋体" w:cs="宋体"/>
          <w:strike/>
          <w:dstrike w:val="0"/>
          <w:color w:val="auto"/>
          <w:spacing w:val="-5"/>
          <w:sz w:val="24"/>
          <w:szCs w:val="24"/>
          <w:highlight w:val="none"/>
        </w:rPr>
        <w:t>其中房建工程应满足《广东省公路房建工程建</w:t>
      </w:r>
      <w:r>
        <w:rPr>
          <w:rFonts w:ascii="宋体" w:hAnsi="宋体" w:eastAsia="宋体" w:cs="宋体"/>
          <w:strike/>
          <w:dstrike w:val="0"/>
          <w:color w:val="auto"/>
          <w:spacing w:val="-6"/>
          <w:sz w:val="24"/>
          <w:szCs w:val="24"/>
          <w:highlight w:val="none"/>
        </w:rPr>
        <w:t>设管理指南》中的人员管理规定</w:t>
      </w:r>
      <w:r>
        <w:rPr>
          <w:rFonts w:ascii="宋体" w:hAnsi="宋体" w:eastAsia="宋体" w:cs="宋体"/>
          <w:color w:val="auto"/>
          <w:spacing w:val="-6"/>
          <w:sz w:val="24"/>
          <w:szCs w:val="24"/>
          <w:highlight w:val="none"/>
        </w:rPr>
        <w:t>。报监理人审核后并报发包人批准，</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上述人员经发包人</w:t>
      </w:r>
      <w:r>
        <w:rPr>
          <w:rFonts w:ascii="宋体" w:hAnsi="宋体" w:eastAsia="宋体" w:cs="宋体"/>
          <w:color w:val="auto"/>
          <w:spacing w:val="-4"/>
          <w:sz w:val="24"/>
          <w:szCs w:val="24"/>
          <w:highlight w:val="none"/>
        </w:rPr>
        <w:t>批准后不得随意更换。</w:t>
      </w:r>
    </w:p>
    <w:p w14:paraId="7EBE3F9F">
      <w:pPr>
        <w:spacing w:before="7" w:line="360" w:lineRule="auto"/>
        <w:ind w:left="1424" w:right="1349" w:firstLine="523"/>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 未经监理人批准，上述人员不应无故不到位或被替换。若确实无法到位或需替</w:t>
      </w:r>
      <w:r>
        <w:rPr>
          <w:rFonts w:ascii="宋体" w:hAnsi="宋体" w:eastAsia="宋体" w:cs="宋体"/>
          <w:color w:val="auto"/>
          <w:spacing w:val="-2"/>
          <w:sz w:val="24"/>
          <w:szCs w:val="24"/>
          <w:highlight w:val="none"/>
        </w:rPr>
        <w:t>换，或监理人认为已委派的项目经理或主要人员</w:t>
      </w:r>
      <w:r>
        <w:rPr>
          <w:rFonts w:ascii="宋体" w:hAnsi="宋体" w:eastAsia="宋体" w:cs="宋体"/>
          <w:color w:val="auto"/>
          <w:spacing w:val="-2"/>
          <w:sz w:val="24"/>
          <w:szCs w:val="24"/>
          <w:highlight w:val="none"/>
          <w:u w:val="single" w:color="auto"/>
        </w:rPr>
        <w:t>（或备选人员）</w:t>
      </w:r>
      <w:r>
        <w:rPr>
          <w:rFonts w:ascii="宋体" w:hAnsi="宋体" w:eastAsia="宋体" w:cs="宋体"/>
          <w:color w:val="auto"/>
          <w:spacing w:val="-2"/>
          <w:sz w:val="24"/>
          <w:szCs w:val="24"/>
          <w:highlight w:val="none"/>
        </w:rPr>
        <w:t>的工作能力和业务水平不称职，需经监理人审核并报发包人批准后，用同等资质和经历的人员替换，同时须按以下标准向发包人提交违约金：项目经理、总工程师</w:t>
      </w:r>
      <w:r>
        <w:rPr>
          <w:rFonts w:ascii="宋体" w:hAnsi="宋体" w:eastAsia="宋体" w:cs="宋体"/>
          <w:color w:val="auto"/>
          <w:spacing w:val="-2"/>
          <w:sz w:val="24"/>
          <w:szCs w:val="24"/>
          <w:highlight w:val="none"/>
          <w:u w:val="single" w:color="auto"/>
        </w:rPr>
        <w:t>（用备选人替换首选人的调整不受</w:t>
      </w:r>
      <w:r>
        <w:rPr>
          <w:rFonts w:ascii="宋体" w:hAnsi="宋体" w:eastAsia="宋体" w:cs="宋体"/>
          <w:color w:val="auto"/>
          <w:sz w:val="24"/>
          <w:szCs w:val="24"/>
          <w:highlight w:val="none"/>
          <w:u w:val="single" w:color="auto"/>
        </w:rPr>
        <w:t>此限）</w:t>
      </w:r>
      <w:r>
        <w:rPr>
          <w:rFonts w:ascii="宋体" w:hAnsi="宋体" w:eastAsia="宋体" w:cs="宋体"/>
          <w:strike/>
          <w:dstrike w:val="0"/>
          <w:color w:val="auto"/>
          <w:sz w:val="24"/>
          <w:szCs w:val="24"/>
          <w:highlight w:val="none"/>
        </w:rPr>
        <w:t>、质量总监、安全总监需缴纳违约金金额详见</w:t>
      </w:r>
      <w:r>
        <w:rPr>
          <w:rFonts w:ascii="宋体" w:hAnsi="宋体" w:eastAsia="宋体" w:cs="宋体"/>
          <w:strike/>
          <w:dstrike w:val="0"/>
          <w:color w:val="auto"/>
          <w:spacing w:val="-31"/>
          <w:sz w:val="24"/>
          <w:szCs w:val="24"/>
          <w:highlight w:val="none"/>
        </w:rPr>
        <w:t xml:space="preserve"> </w:t>
      </w:r>
      <w:r>
        <w:rPr>
          <w:rFonts w:ascii="宋体" w:hAnsi="宋体" w:eastAsia="宋体" w:cs="宋体"/>
          <w:strike/>
          <w:dstrike w:val="0"/>
          <w:color w:val="auto"/>
          <w:sz w:val="24"/>
          <w:szCs w:val="24"/>
          <w:highlight w:val="none"/>
        </w:rPr>
        <w:t>22.1.2</w:t>
      </w:r>
      <w:r>
        <w:rPr>
          <w:rFonts w:ascii="宋体" w:hAnsi="宋体" w:eastAsia="宋体" w:cs="宋体"/>
          <w:strike/>
          <w:dstrike w:val="0"/>
          <w:color w:val="auto"/>
          <w:spacing w:val="-30"/>
          <w:sz w:val="24"/>
          <w:szCs w:val="24"/>
          <w:highlight w:val="none"/>
        </w:rPr>
        <w:t xml:space="preserve"> </w:t>
      </w:r>
      <w:r>
        <w:rPr>
          <w:rFonts w:ascii="宋体" w:hAnsi="宋体" w:eastAsia="宋体" w:cs="宋体"/>
          <w:strike/>
          <w:dstrike w:val="0"/>
          <w:color w:val="auto"/>
          <w:sz w:val="24"/>
          <w:szCs w:val="24"/>
          <w:highlight w:val="none"/>
        </w:rPr>
        <w:t>附表《承包人违约金一览</w:t>
      </w:r>
      <w:r>
        <w:rPr>
          <w:rFonts w:ascii="宋体" w:hAnsi="宋体" w:eastAsia="宋体" w:cs="宋体"/>
          <w:strike/>
          <w:dstrike w:val="0"/>
          <w:color w:val="auto"/>
          <w:spacing w:val="-5"/>
          <w:sz w:val="24"/>
          <w:szCs w:val="24"/>
          <w:highlight w:val="none"/>
        </w:rPr>
        <w:t>表</w:t>
      </w:r>
      <w:r>
        <w:rPr>
          <w:rFonts w:ascii="宋体" w:hAnsi="宋体" w:eastAsia="宋体" w:cs="宋体"/>
          <w:color w:val="auto"/>
          <w:spacing w:val="-5"/>
          <w:sz w:val="24"/>
          <w:szCs w:val="24"/>
          <w:highlight w:val="none"/>
        </w:rPr>
        <w:t>》， 其他主要管理人员</w:t>
      </w:r>
      <w:r>
        <w:rPr>
          <w:rFonts w:ascii="宋体" w:hAnsi="宋体" w:eastAsia="宋体" w:cs="宋体"/>
          <w:color w:val="auto"/>
          <w:spacing w:val="-5"/>
          <w:sz w:val="24"/>
          <w:szCs w:val="24"/>
          <w:highlight w:val="none"/>
          <w:u w:val="single" w:color="auto"/>
        </w:rPr>
        <w:t>（质检工程师、计划工程师、道路工程师、桥梁工程师、隧道</w:t>
      </w:r>
      <w:r>
        <w:rPr>
          <w:rFonts w:ascii="宋体" w:hAnsi="宋体" w:eastAsia="宋体" w:cs="宋体"/>
          <w:color w:val="auto"/>
          <w:spacing w:val="-1"/>
          <w:sz w:val="24"/>
          <w:szCs w:val="24"/>
          <w:highlight w:val="none"/>
          <w:u w:val="single" w:color="auto"/>
        </w:rPr>
        <w:t>工程师、地质工程师、测量工程师、试验工</w:t>
      </w:r>
      <w:r>
        <w:rPr>
          <w:rFonts w:ascii="宋体" w:hAnsi="宋体" w:eastAsia="宋体" w:cs="宋体"/>
          <w:color w:val="auto"/>
          <w:spacing w:val="-2"/>
          <w:sz w:val="24"/>
          <w:szCs w:val="24"/>
          <w:highlight w:val="none"/>
          <w:u w:val="single" w:color="auto"/>
        </w:rPr>
        <w:t>程师、专职安全生产管理人员、财务负责人</w:t>
      </w:r>
      <w:r>
        <w:rPr>
          <w:rFonts w:ascii="宋体" w:hAnsi="宋体" w:eastAsia="宋体" w:cs="宋体"/>
          <w:color w:val="auto"/>
          <w:sz w:val="24"/>
          <w:szCs w:val="24"/>
          <w:highlight w:val="none"/>
          <w:u w:val="single" w:color="auto"/>
        </w:rPr>
        <w:t>等）</w:t>
      </w:r>
      <w:r>
        <w:rPr>
          <w:rFonts w:ascii="宋体" w:hAnsi="宋体" w:eastAsia="宋体" w:cs="宋体"/>
          <w:color w:val="auto"/>
          <w:sz w:val="24"/>
          <w:szCs w:val="24"/>
          <w:highlight w:val="none"/>
        </w:rPr>
        <w:t>的调整部分需缴纳违约金金额详见</w:t>
      </w:r>
      <w:r>
        <w:rPr>
          <w:rFonts w:ascii="宋体" w:hAnsi="宋体" w:eastAsia="宋体" w:cs="宋体"/>
          <w:color w:val="auto"/>
          <w:spacing w:val="-35"/>
          <w:sz w:val="24"/>
          <w:szCs w:val="24"/>
          <w:highlight w:val="none"/>
        </w:rPr>
        <w:t xml:space="preserve"> </w:t>
      </w:r>
      <w:r>
        <w:rPr>
          <w:rFonts w:ascii="宋体" w:hAnsi="宋体" w:eastAsia="宋体" w:cs="宋体"/>
          <w:color w:val="auto"/>
          <w:sz w:val="24"/>
          <w:szCs w:val="24"/>
          <w:highlight w:val="none"/>
        </w:rPr>
        <w:t>22.1.2</w:t>
      </w:r>
      <w:r>
        <w:rPr>
          <w:rFonts w:ascii="宋体" w:hAnsi="宋体" w:eastAsia="宋体" w:cs="宋体"/>
          <w:color w:val="auto"/>
          <w:spacing w:val="-29"/>
          <w:sz w:val="24"/>
          <w:szCs w:val="24"/>
          <w:highlight w:val="none"/>
        </w:rPr>
        <w:t xml:space="preserve"> </w:t>
      </w:r>
      <w:r>
        <w:rPr>
          <w:rFonts w:ascii="宋体" w:hAnsi="宋体" w:eastAsia="宋体" w:cs="宋体"/>
          <w:color w:val="auto"/>
          <w:sz w:val="24"/>
          <w:szCs w:val="24"/>
          <w:highlight w:val="none"/>
        </w:rPr>
        <w:t>附表《承包人违约金一览表》。因不可</w:t>
      </w:r>
      <w:r>
        <w:rPr>
          <w:rFonts w:ascii="宋体" w:hAnsi="宋体" w:eastAsia="宋体" w:cs="宋体"/>
          <w:color w:val="auto"/>
          <w:spacing w:val="-6"/>
          <w:sz w:val="24"/>
          <w:szCs w:val="24"/>
          <w:highlight w:val="none"/>
        </w:rPr>
        <w:t>抗力、退休、职务晋升或离职等（需提供相关证明材料）无法继续履行合同责任和义务，</w:t>
      </w:r>
      <w:r>
        <w:rPr>
          <w:rFonts w:ascii="宋体" w:hAnsi="宋体" w:eastAsia="宋体" w:cs="宋体"/>
          <w:color w:val="auto"/>
          <w:spacing w:val="-2"/>
          <w:sz w:val="24"/>
          <w:szCs w:val="24"/>
          <w:highlight w:val="none"/>
        </w:rPr>
        <w:t>承包人报监理人审核并报发包人批准后可进行替换，替换人员的资质和经历不得低于原</w:t>
      </w:r>
      <w:r>
        <w:rPr>
          <w:rFonts w:ascii="宋体" w:hAnsi="宋体" w:eastAsia="宋体" w:cs="宋体"/>
          <w:color w:val="auto"/>
          <w:spacing w:val="-6"/>
          <w:sz w:val="24"/>
          <w:szCs w:val="24"/>
          <w:highlight w:val="none"/>
        </w:rPr>
        <w:t>批复人员，承包人无须承担违约责任。发包人可随着工程的进度情况</w:t>
      </w:r>
      <w:r>
        <w:rPr>
          <w:rFonts w:hint="eastAsia" w:ascii="宋体" w:hAnsi="宋体" w:eastAsia="宋体" w:cs="宋体"/>
          <w:color w:val="auto"/>
          <w:spacing w:val="-6"/>
          <w:sz w:val="24"/>
          <w:szCs w:val="24"/>
          <w:highlight w:val="none"/>
          <w:lang w:val="en-US" w:eastAsia="zh-CN"/>
        </w:rPr>
        <w:t>,</w:t>
      </w:r>
      <w:r>
        <w:rPr>
          <w:rFonts w:hint="eastAsia" w:ascii="宋体" w:hAnsi="宋体" w:eastAsia="宋体" w:cs="宋体"/>
          <w:color w:val="auto"/>
          <w:spacing w:val="-6"/>
          <w:sz w:val="24"/>
          <w:szCs w:val="24"/>
          <w:highlight w:val="none"/>
        </w:rPr>
        <w:t>提出动态增减管理人员要求，且无需增加额外费用</w:t>
      </w:r>
      <w:r>
        <w:rPr>
          <w:rFonts w:ascii="宋体" w:hAnsi="宋体" w:eastAsia="宋体" w:cs="宋体"/>
          <w:color w:val="auto"/>
          <w:spacing w:val="-9"/>
          <w:sz w:val="24"/>
          <w:szCs w:val="24"/>
          <w:highlight w:val="none"/>
        </w:rPr>
        <w:t>。</w:t>
      </w:r>
    </w:p>
    <w:p w14:paraId="03316361">
      <w:pPr>
        <w:spacing w:before="78" w:line="289" w:lineRule="auto"/>
        <w:ind w:left="1435" w:right="1427" w:firstLine="47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（2）为保证承包人的档案资料整理工作具有连续性、稳定性，要求承包人的档案</w:t>
      </w:r>
      <w:r>
        <w:rPr>
          <w:rFonts w:ascii="宋体" w:hAnsi="宋体" w:eastAsia="宋体" w:cs="宋体"/>
          <w:color w:val="auto"/>
          <w:spacing w:val="-3"/>
          <w:sz w:val="24"/>
          <w:szCs w:val="24"/>
          <w:highlight w:val="none"/>
        </w:rPr>
        <w:t>资料整理负责人在本项目连续工作</w:t>
      </w:r>
      <w:r>
        <w:rPr>
          <w:rFonts w:ascii="宋体" w:hAnsi="宋体" w:eastAsia="宋体" w:cs="宋体"/>
          <w:color w:val="auto"/>
          <w:spacing w:val="-30"/>
          <w:sz w:val="24"/>
          <w:szCs w:val="24"/>
          <w:highlight w:val="none"/>
        </w:rPr>
        <w:t xml:space="preserve"> </w:t>
      </w:r>
      <w:r>
        <w:rPr>
          <w:rFonts w:ascii="宋体" w:hAnsi="宋体" w:eastAsia="宋体" w:cs="宋体"/>
          <w:color w:val="auto"/>
          <w:spacing w:val="-3"/>
          <w:sz w:val="24"/>
          <w:szCs w:val="24"/>
          <w:highlight w:val="none"/>
        </w:rPr>
        <w:t>1</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年及以上，否则视为承包人违约。</w:t>
      </w:r>
    </w:p>
    <w:p w14:paraId="3B513420">
      <w:pPr>
        <w:spacing w:before="186" w:line="332" w:lineRule="auto"/>
        <w:ind w:left="1425" w:right="1415" w:firstLine="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（3）项目经理不能在两个或两个以上项目</w:t>
      </w:r>
      <w:r>
        <w:rPr>
          <w:rFonts w:ascii="宋体" w:hAnsi="宋体" w:eastAsia="宋体" w:cs="宋体"/>
          <w:color w:val="auto"/>
          <w:spacing w:val="-3"/>
          <w:sz w:val="24"/>
          <w:szCs w:val="24"/>
          <w:highlight w:val="none"/>
        </w:rPr>
        <w:t>同时任职，且必须保证每月有</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22</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天以上</w:t>
      </w:r>
      <w:r>
        <w:rPr>
          <w:rFonts w:ascii="宋体" w:hAnsi="宋体" w:eastAsia="宋体" w:cs="宋体"/>
          <w:color w:val="auto"/>
          <w:spacing w:val="1"/>
          <w:sz w:val="24"/>
          <w:szCs w:val="24"/>
          <w:highlight w:val="none"/>
        </w:rPr>
        <w:t>驻守现场；项目总工（总工程师）必须保证每月</w:t>
      </w:r>
      <w:r>
        <w:rPr>
          <w:rFonts w:ascii="宋体" w:hAnsi="宋体" w:eastAsia="宋体" w:cs="宋体"/>
          <w:color w:val="auto"/>
          <w:sz w:val="24"/>
          <w:szCs w:val="24"/>
          <w:highlight w:val="none"/>
        </w:rPr>
        <w:t>有</w:t>
      </w:r>
      <w:r>
        <w:rPr>
          <w:rFonts w:ascii="宋体" w:hAnsi="宋体" w:eastAsia="宋体" w:cs="宋体"/>
          <w:color w:val="auto"/>
          <w:spacing w:val="-38"/>
          <w:sz w:val="24"/>
          <w:szCs w:val="24"/>
          <w:highlight w:val="none"/>
        </w:rPr>
        <w:t xml:space="preserve"> </w:t>
      </w:r>
      <w:r>
        <w:rPr>
          <w:rFonts w:ascii="宋体" w:hAnsi="宋体" w:eastAsia="宋体" w:cs="宋体"/>
          <w:color w:val="auto"/>
          <w:sz w:val="24"/>
          <w:szCs w:val="24"/>
          <w:highlight w:val="none"/>
        </w:rPr>
        <w:t>22</w:t>
      </w:r>
      <w:r>
        <w:rPr>
          <w:rFonts w:ascii="宋体" w:hAnsi="宋体" w:eastAsia="宋体" w:cs="宋体"/>
          <w:color w:val="auto"/>
          <w:spacing w:val="-45"/>
          <w:sz w:val="24"/>
          <w:szCs w:val="24"/>
          <w:highlight w:val="none"/>
        </w:rPr>
        <w:t xml:space="preserve"> </w:t>
      </w:r>
      <w:r>
        <w:rPr>
          <w:rFonts w:ascii="宋体" w:hAnsi="宋体" w:eastAsia="宋体" w:cs="宋体"/>
          <w:color w:val="auto"/>
          <w:sz w:val="24"/>
          <w:szCs w:val="24"/>
          <w:highlight w:val="none"/>
        </w:rPr>
        <w:t>天以上驻守现场，否则视为承包人违约；</w:t>
      </w:r>
      <w:r>
        <w:rPr>
          <w:rFonts w:ascii="宋体" w:hAnsi="宋体" w:eastAsia="宋体" w:cs="宋体"/>
          <w:color w:val="auto"/>
          <w:spacing w:val="-6"/>
          <w:sz w:val="24"/>
          <w:szCs w:val="24"/>
          <w:highlight w:val="none"/>
        </w:rPr>
        <w:t>以上</w:t>
      </w:r>
      <w:r>
        <w:rPr>
          <w:rFonts w:hint="eastAsia" w:ascii="宋体" w:hAnsi="宋体" w:eastAsia="宋体" w:cs="宋体"/>
          <w:color w:val="auto"/>
          <w:spacing w:val="-6"/>
          <w:kern w:val="2"/>
          <w:sz w:val="21"/>
          <w:szCs w:val="21"/>
          <w:highlight w:val="none"/>
          <w:lang w:val="en-US" w:eastAsia="zh-CN" w:bidi="ar"/>
        </w:rPr>
        <w:t>两位</w:t>
      </w:r>
      <w:r>
        <w:rPr>
          <w:rFonts w:ascii="宋体" w:hAnsi="宋体" w:eastAsia="宋体" w:cs="宋体"/>
          <w:color w:val="auto"/>
          <w:spacing w:val="-6"/>
          <w:sz w:val="24"/>
          <w:szCs w:val="24"/>
          <w:highlight w:val="none"/>
        </w:rPr>
        <w:t>主要人员因主管部门或发包人检查，</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被认定存在“挂名”现象的，</w:t>
      </w:r>
      <w:r>
        <w:rPr>
          <w:rFonts w:ascii="宋体" w:hAnsi="宋体" w:eastAsia="宋体" w:cs="宋体"/>
          <w:color w:val="auto"/>
          <w:spacing w:val="-7"/>
          <w:sz w:val="24"/>
          <w:szCs w:val="24"/>
          <w:highlight w:val="none"/>
        </w:rPr>
        <w:t>视为承</w:t>
      </w:r>
      <w:r>
        <w:rPr>
          <w:rFonts w:ascii="宋体" w:hAnsi="宋体" w:eastAsia="宋体" w:cs="宋体"/>
          <w:color w:val="auto"/>
          <w:spacing w:val="-8"/>
          <w:sz w:val="24"/>
          <w:szCs w:val="24"/>
          <w:highlight w:val="none"/>
        </w:rPr>
        <w:t>包人违约。</w:t>
      </w:r>
    </w:p>
    <w:p w14:paraId="285CC164">
      <w:pPr>
        <w:spacing w:before="178" w:line="313" w:lineRule="auto"/>
        <w:ind w:left="1424" w:right="1416"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（4）承包人应按《公路水运工程安全生产监督管理办法》</w:t>
      </w:r>
      <w:r>
        <w:rPr>
          <w:rFonts w:ascii="宋体" w:hAnsi="宋体" w:eastAsia="宋体" w:cs="宋体"/>
          <w:color w:val="auto"/>
          <w:spacing w:val="-5"/>
          <w:sz w:val="24"/>
          <w:szCs w:val="24"/>
          <w:highlight w:val="none"/>
        </w:rPr>
        <w:t>等相关规定， 设置独立</w:t>
      </w:r>
      <w:r>
        <w:rPr>
          <w:rFonts w:ascii="宋体" w:hAnsi="宋体" w:eastAsia="宋体" w:cs="宋体"/>
          <w:color w:val="auto"/>
          <w:spacing w:val="-3"/>
          <w:sz w:val="24"/>
          <w:szCs w:val="24"/>
          <w:highlight w:val="none"/>
        </w:rPr>
        <w:t>的安全管理机构，配置专职安全生产管理人员：</w:t>
      </w:r>
    </w:p>
    <w:p w14:paraId="01B791F5">
      <w:pPr>
        <w:spacing w:before="182" w:line="325" w:lineRule="auto"/>
        <w:ind w:left="1424" w:right="1331"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a.项目部及专业分包单位按照年度施工产值计划配备专职安全生产管理人员，年产</w:t>
      </w:r>
      <w:r>
        <w:rPr>
          <w:rFonts w:ascii="宋体" w:hAnsi="宋体" w:eastAsia="宋体" w:cs="宋体"/>
          <w:color w:val="auto"/>
          <w:sz w:val="24"/>
          <w:szCs w:val="24"/>
          <w:highlight w:val="none"/>
        </w:rPr>
        <w:t>值计划在</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5000</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万元及以下时，应配备不少于</w:t>
      </w:r>
      <w:r>
        <w:rPr>
          <w:rFonts w:ascii="宋体" w:hAnsi="宋体" w:eastAsia="宋体" w:cs="宋体"/>
          <w:color w:val="auto"/>
          <w:spacing w:val="-42"/>
          <w:sz w:val="24"/>
          <w:szCs w:val="24"/>
          <w:highlight w:val="none"/>
        </w:rPr>
        <w:t xml:space="preserve"> </w:t>
      </w:r>
      <w:r>
        <w:rPr>
          <w:rFonts w:ascii="宋体" w:hAnsi="宋体" w:eastAsia="宋体" w:cs="宋体"/>
          <w:color w:val="auto"/>
          <w:sz w:val="24"/>
          <w:szCs w:val="24"/>
          <w:highlight w:val="none"/>
        </w:rPr>
        <w:t>2</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名专职安全生产</w:t>
      </w:r>
      <w:r>
        <w:rPr>
          <w:rFonts w:ascii="宋体" w:hAnsi="宋体" w:eastAsia="宋体" w:cs="宋体"/>
          <w:color w:val="auto"/>
          <w:spacing w:val="-1"/>
          <w:sz w:val="24"/>
          <w:szCs w:val="24"/>
          <w:highlight w:val="none"/>
        </w:rPr>
        <w:t>管理人员，年产值计划</w:t>
      </w:r>
      <w:r>
        <w:rPr>
          <w:rFonts w:ascii="宋体" w:hAnsi="宋体" w:eastAsia="宋体" w:cs="宋体"/>
          <w:color w:val="auto"/>
          <w:spacing w:val="-7"/>
          <w:sz w:val="24"/>
          <w:szCs w:val="24"/>
          <w:highlight w:val="none"/>
        </w:rPr>
        <w:t>超过</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5000</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24"/>
          <w:szCs w:val="24"/>
          <w:highlight w:val="none"/>
        </w:rPr>
        <w:t>万元时，每增加</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5000</w:t>
      </w:r>
      <w:r>
        <w:rPr>
          <w:rFonts w:ascii="宋体" w:hAnsi="宋体" w:eastAsia="宋体" w:cs="宋体"/>
          <w:color w:val="auto"/>
          <w:spacing w:val="-45"/>
          <w:sz w:val="24"/>
          <w:szCs w:val="24"/>
          <w:highlight w:val="none"/>
        </w:rPr>
        <w:t xml:space="preserve"> </w:t>
      </w:r>
      <w:r>
        <w:rPr>
          <w:rFonts w:ascii="宋体" w:hAnsi="宋体" w:eastAsia="宋体" w:cs="宋体"/>
          <w:color w:val="auto"/>
          <w:spacing w:val="-7"/>
          <w:sz w:val="24"/>
          <w:szCs w:val="24"/>
          <w:highlight w:val="none"/>
        </w:rPr>
        <w:t>万元应增配</w:t>
      </w:r>
      <w:r>
        <w:rPr>
          <w:rFonts w:ascii="宋体" w:hAnsi="宋体" w:eastAsia="宋体" w:cs="宋体"/>
          <w:color w:val="auto"/>
          <w:spacing w:val="-33"/>
          <w:sz w:val="24"/>
          <w:szCs w:val="24"/>
          <w:highlight w:val="none"/>
        </w:rPr>
        <w:t xml:space="preserve"> </w:t>
      </w:r>
      <w:r>
        <w:rPr>
          <w:rFonts w:ascii="宋体" w:hAnsi="宋体" w:eastAsia="宋体" w:cs="宋体"/>
          <w:color w:val="auto"/>
          <w:spacing w:val="-7"/>
          <w:sz w:val="24"/>
          <w:szCs w:val="24"/>
          <w:highlight w:val="none"/>
        </w:rPr>
        <w:t>1</w:t>
      </w:r>
      <w:r>
        <w:rPr>
          <w:rFonts w:ascii="宋体" w:hAnsi="宋体" w:eastAsia="宋体" w:cs="宋体"/>
          <w:color w:val="auto"/>
          <w:spacing w:val="-49"/>
          <w:sz w:val="24"/>
          <w:szCs w:val="24"/>
          <w:highlight w:val="none"/>
        </w:rPr>
        <w:t xml:space="preserve"> </w:t>
      </w:r>
      <w:r>
        <w:rPr>
          <w:rFonts w:ascii="宋体" w:hAnsi="宋体" w:eastAsia="宋体" w:cs="宋体"/>
          <w:color w:val="auto"/>
          <w:spacing w:val="-7"/>
          <w:sz w:val="24"/>
          <w:szCs w:val="24"/>
          <w:highlight w:val="none"/>
        </w:rPr>
        <w:t>人；专</w:t>
      </w:r>
      <w:r>
        <w:rPr>
          <w:rFonts w:ascii="宋体" w:hAnsi="宋体" w:eastAsia="宋体" w:cs="宋体"/>
          <w:color w:val="auto"/>
          <w:spacing w:val="-8"/>
          <w:sz w:val="24"/>
          <w:szCs w:val="24"/>
          <w:highlight w:val="none"/>
        </w:rPr>
        <w:t>职安全生产管理人员中安全、路桥、</w:t>
      </w:r>
      <w:r>
        <w:rPr>
          <w:rFonts w:ascii="宋体" w:hAnsi="宋体" w:eastAsia="宋体" w:cs="宋体"/>
          <w:color w:val="auto"/>
          <w:spacing w:val="-1"/>
          <w:sz w:val="24"/>
          <w:szCs w:val="24"/>
          <w:highlight w:val="none"/>
        </w:rPr>
        <w:t>隧道、机械、化工、地质、机电等专业人员</w:t>
      </w:r>
      <w:r>
        <w:rPr>
          <w:rFonts w:ascii="宋体" w:hAnsi="宋体" w:eastAsia="宋体" w:cs="宋体"/>
          <w:color w:val="auto"/>
          <w:spacing w:val="-2"/>
          <w:sz w:val="24"/>
          <w:szCs w:val="24"/>
          <w:highlight w:val="none"/>
        </w:rPr>
        <w:t>比例不少于</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80%。</w:t>
      </w:r>
    </w:p>
    <w:p w14:paraId="67D6ECEF">
      <w:pPr>
        <w:spacing w:before="185" w:line="325" w:lineRule="auto"/>
        <w:ind w:left="1425" w:right="1416" w:firstLine="47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b.施工单位（含专业分包单位）项目经理</w:t>
      </w:r>
      <w:r>
        <w:rPr>
          <w:rFonts w:ascii="宋体" w:hAnsi="宋体" w:eastAsia="宋体" w:cs="宋体"/>
          <w:color w:val="auto"/>
          <w:spacing w:val="-2"/>
          <w:sz w:val="24"/>
          <w:szCs w:val="24"/>
          <w:highlight w:val="none"/>
        </w:rPr>
        <w:t>、项目副经理和专职安全生产管理人员应持有公路水运工程施工企业安全生产“三类人员”安全生产考核合格证书，证书有效并与对应岗位人员身份相符，进场“三类人员”资格、实际岗位与合同文件或变更文件对</w:t>
      </w:r>
      <w:r>
        <w:rPr>
          <w:rFonts w:ascii="宋体" w:hAnsi="宋体" w:eastAsia="宋体" w:cs="宋体"/>
          <w:color w:val="auto"/>
          <w:spacing w:val="-12"/>
          <w:sz w:val="24"/>
          <w:szCs w:val="24"/>
          <w:highlight w:val="none"/>
        </w:rPr>
        <w:t>应。</w:t>
      </w:r>
    </w:p>
    <w:p w14:paraId="6437B0AD">
      <w:pPr>
        <w:spacing w:before="180" w:line="313" w:lineRule="auto"/>
        <w:ind w:left="1427" w:right="1416"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（5）项目经理和项目总工必须按要求出席发包人组织的各种会议，包括监理人主</w:t>
      </w:r>
      <w:r>
        <w:rPr>
          <w:rFonts w:ascii="宋体" w:hAnsi="宋体" w:eastAsia="宋体" w:cs="宋体"/>
          <w:color w:val="auto"/>
          <w:spacing w:val="-6"/>
          <w:sz w:val="24"/>
          <w:szCs w:val="24"/>
          <w:highlight w:val="none"/>
        </w:rPr>
        <w:t>持的重要会议。特殊情况无法出席的，</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必须取得发包人或监理人批准，任何迟到</w:t>
      </w:r>
      <w:r>
        <w:rPr>
          <w:rFonts w:ascii="宋体" w:hAnsi="宋体" w:eastAsia="宋体" w:cs="宋体"/>
          <w:color w:val="auto"/>
          <w:spacing w:val="-7"/>
          <w:sz w:val="24"/>
          <w:szCs w:val="24"/>
          <w:highlight w:val="none"/>
        </w:rPr>
        <w:t>或早退按缺席处理。</w:t>
      </w:r>
    </w:p>
    <w:p w14:paraId="1BE26E50">
      <w:pPr>
        <w:spacing w:before="182" w:line="290" w:lineRule="auto"/>
        <w:ind w:left="1426" w:right="142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（6）承包人应严格按照环境保护的有关规定，明确环境保护的主要负责人，并按</w:t>
      </w:r>
      <w:r>
        <w:rPr>
          <w:rFonts w:ascii="宋体" w:hAnsi="宋体" w:eastAsia="宋体" w:cs="宋体"/>
          <w:color w:val="auto"/>
          <w:spacing w:val="-3"/>
          <w:sz w:val="24"/>
          <w:szCs w:val="24"/>
          <w:highlight w:val="none"/>
        </w:rPr>
        <w:t>监理人的要求做好防御措施以及实施记录。</w:t>
      </w:r>
    </w:p>
    <w:p w14:paraId="0A4725DE">
      <w:pPr>
        <w:spacing w:before="182" w:line="290" w:lineRule="auto"/>
        <w:ind w:left="1426" w:right="142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（7）承包人应严格按照水土保持的有关规定，明确水土保持的主要负责人，并按</w:t>
      </w:r>
      <w:r>
        <w:rPr>
          <w:rFonts w:ascii="宋体" w:hAnsi="宋体" w:eastAsia="宋体" w:cs="宋体"/>
          <w:color w:val="auto"/>
          <w:spacing w:val="-3"/>
          <w:sz w:val="24"/>
          <w:szCs w:val="24"/>
          <w:highlight w:val="none"/>
        </w:rPr>
        <w:t>监理人的要求做好防御措施以及实施记录。</w:t>
      </w:r>
    </w:p>
    <w:p w14:paraId="595F91E1">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（8）承包人应配合发包人采用信息化管理</w:t>
      </w:r>
      <w:r>
        <w:rPr>
          <w:rFonts w:ascii="宋体" w:hAnsi="宋体" w:eastAsia="宋体" w:cs="宋体"/>
          <w:color w:val="auto"/>
          <w:spacing w:val="-2"/>
          <w:sz w:val="24"/>
          <w:szCs w:val="24"/>
          <w:highlight w:val="none"/>
        </w:rPr>
        <w:t>手段对主要施工管理人员进行考核。</w:t>
      </w:r>
    </w:p>
    <w:p w14:paraId="3BE6F1CA">
      <w:pPr>
        <w:spacing w:before="183" w:line="219" w:lineRule="auto"/>
        <w:ind w:left="190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在本款后增加</w:t>
      </w:r>
      <w:r>
        <w:rPr>
          <w:rFonts w:ascii="宋体" w:hAnsi="宋体" w:eastAsia="宋体" w:cs="宋体"/>
          <w:color w:val="auto"/>
          <w:spacing w:val="-37"/>
          <w:sz w:val="24"/>
          <w:szCs w:val="24"/>
          <w:highlight w:val="none"/>
        </w:rPr>
        <w:t xml:space="preserve"> </w:t>
      </w:r>
      <w:r>
        <w:rPr>
          <w:rFonts w:ascii="宋体" w:hAnsi="宋体" w:eastAsia="宋体" w:cs="宋体"/>
          <w:color w:val="auto"/>
          <w:spacing w:val="-4"/>
          <w:sz w:val="24"/>
          <w:szCs w:val="24"/>
          <w:highlight w:val="none"/>
        </w:rPr>
        <w:t>4.6.6～4.6.7</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项如下：</w:t>
      </w:r>
    </w:p>
    <w:p w14:paraId="34EDC8D9">
      <w:pPr>
        <w:spacing w:before="183" w:line="220" w:lineRule="auto"/>
        <w:ind w:left="190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4.6.6</w:t>
      </w:r>
      <w:r>
        <w:rPr>
          <w:rFonts w:ascii="宋体" w:hAnsi="宋体" w:eastAsia="宋体" w:cs="宋体"/>
          <w:color w:val="auto"/>
          <w:spacing w:val="21"/>
          <w:sz w:val="24"/>
          <w:szCs w:val="24"/>
          <w:highlight w:val="none"/>
        </w:rPr>
        <w:t xml:space="preserve"> </w:t>
      </w:r>
      <w:r>
        <w:rPr>
          <w:rFonts w:ascii="宋体" w:hAnsi="宋体" w:eastAsia="宋体" w:cs="宋体"/>
          <w:color w:val="auto"/>
          <w:spacing w:val="-3"/>
          <w:sz w:val="24"/>
          <w:szCs w:val="24"/>
          <w:highlight w:val="none"/>
        </w:rPr>
        <w:t>劳务聘用</w:t>
      </w:r>
    </w:p>
    <w:p w14:paraId="17275017">
      <w:pPr>
        <w:spacing w:before="182" w:line="362" w:lineRule="auto"/>
        <w:ind w:left="1425" w:right="1416"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（1）承包人可以直接雇用农民工或将劳务作业分包给具有劳务分包资质的劳务分</w:t>
      </w:r>
      <w:r>
        <w:rPr>
          <w:rFonts w:ascii="宋体" w:hAnsi="宋体" w:eastAsia="宋体" w:cs="宋体"/>
          <w:color w:val="auto"/>
          <w:spacing w:val="-2"/>
          <w:sz w:val="24"/>
          <w:szCs w:val="24"/>
          <w:highlight w:val="none"/>
        </w:rPr>
        <w:t>包人，但承包人或分包人必须依法签订劳动合同或用工协议，并将民工花名册、劳动合</w:t>
      </w:r>
    </w:p>
    <w:p w14:paraId="73A98ABF">
      <w:pPr>
        <w:spacing w:before="78" w:line="360" w:lineRule="auto"/>
        <w:ind w:left="1425" w:right="1377" w:firstLine="2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同或用工协议、民工签收的工资支付表报相关监</w:t>
      </w:r>
      <w:r>
        <w:rPr>
          <w:rFonts w:ascii="宋体" w:hAnsi="宋体" w:eastAsia="宋体" w:cs="宋体"/>
          <w:color w:val="auto"/>
          <w:spacing w:val="-3"/>
          <w:sz w:val="24"/>
          <w:szCs w:val="24"/>
          <w:highlight w:val="none"/>
        </w:rPr>
        <w:t>管部门备案。承包人须根据《广东省交</w:t>
      </w:r>
      <w:r>
        <w:rPr>
          <w:rFonts w:ascii="宋体" w:hAnsi="宋体" w:eastAsia="宋体" w:cs="宋体"/>
          <w:color w:val="auto"/>
          <w:spacing w:val="-1"/>
          <w:sz w:val="24"/>
          <w:szCs w:val="24"/>
          <w:highlight w:val="none"/>
        </w:rPr>
        <w:t>通运输厅关于加强交通建设工程从业人员实名制管理和作业工人工资支付管理的通知》</w:t>
      </w:r>
      <w:r>
        <w:rPr>
          <w:rFonts w:ascii="宋体" w:hAnsi="宋体" w:eastAsia="宋体" w:cs="宋体"/>
          <w:color w:val="auto"/>
          <w:spacing w:val="-2"/>
          <w:sz w:val="24"/>
          <w:szCs w:val="24"/>
          <w:highlight w:val="none"/>
        </w:rPr>
        <w:t>和《广东省交通运输厅关于在全省公路水运工程建设项目部署应用从业人员实名制管理</w:t>
      </w:r>
      <w:r>
        <w:rPr>
          <w:rFonts w:ascii="宋体" w:hAnsi="宋体" w:eastAsia="宋体" w:cs="宋体"/>
          <w:color w:val="auto"/>
          <w:spacing w:val="-5"/>
          <w:sz w:val="24"/>
          <w:szCs w:val="24"/>
          <w:highlight w:val="none"/>
        </w:rPr>
        <w:t>系统的通知》等文件要求， 规范和加强项目农民工实名制管理及工资支付管理。承包人和劳务分包人必须按照有关法律、法规和劳务合同按时支付劳务工资及相关费用， 落实各项劳动保护措施。</w:t>
      </w:r>
    </w:p>
    <w:p w14:paraId="3C93BC78">
      <w:pPr>
        <w:spacing w:before="12" w:line="345" w:lineRule="auto"/>
        <w:ind w:left="1424" w:right="1349"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（2）承包人必须按时支付其雇用人员、其分包单位雇用人员、实际为承包人或其</w:t>
      </w:r>
      <w:r>
        <w:rPr>
          <w:rFonts w:ascii="宋体" w:hAnsi="宋体" w:eastAsia="宋体" w:cs="宋体"/>
          <w:color w:val="auto"/>
          <w:spacing w:val="-2"/>
          <w:sz w:val="24"/>
          <w:szCs w:val="24"/>
          <w:highlight w:val="none"/>
        </w:rPr>
        <w:t>分包单位服务、应从承包人中得到报酬的人员（包括民工）的工资，不得拖欠上述人员</w:t>
      </w:r>
      <w:r>
        <w:rPr>
          <w:rFonts w:ascii="宋体" w:hAnsi="宋体" w:eastAsia="宋体" w:cs="宋体"/>
          <w:color w:val="auto"/>
          <w:spacing w:val="-6"/>
          <w:sz w:val="24"/>
          <w:szCs w:val="24"/>
          <w:highlight w:val="none"/>
        </w:rPr>
        <w:t>的工资。同时，</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承包人有责任和义务监督其分包单位对属下员工工资的支付。发包人和监理人有权监督承包人使用农民工的管理，对不签订劳动合同、非法使用农民工的，</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或者拖延和克扣农民工工资的，一经发现，发包人将予以通报并上报上级主管单位。同时，</w:t>
      </w:r>
      <w:r>
        <w:rPr>
          <w:rFonts w:ascii="宋体" w:hAnsi="宋体" w:eastAsia="宋体" w:cs="宋体"/>
          <w:color w:val="auto"/>
          <w:spacing w:val="-2"/>
          <w:sz w:val="24"/>
          <w:szCs w:val="24"/>
          <w:highlight w:val="none"/>
        </w:rPr>
        <w:t>发包人有权从承包人的工程款中扣留部分款项，直接用于支付上述人员的工资，承包人须无条件接受。详细规定见合同附件十四的《建设工程农民工工资支付保证书》。若因</w:t>
      </w:r>
      <w:r>
        <w:rPr>
          <w:rFonts w:ascii="宋体" w:hAnsi="宋体" w:eastAsia="宋体" w:cs="宋体"/>
          <w:color w:val="auto"/>
          <w:spacing w:val="-6"/>
          <w:sz w:val="24"/>
          <w:szCs w:val="24"/>
          <w:highlight w:val="none"/>
        </w:rPr>
        <w:t>上述原因造成劳务人员上访、纠纷等情况，</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承包人须承担一切经济和法律责任。除按国</w:t>
      </w:r>
      <w:r>
        <w:rPr>
          <w:rFonts w:ascii="宋体" w:hAnsi="宋体" w:eastAsia="宋体" w:cs="宋体"/>
          <w:color w:val="auto"/>
          <w:spacing w:val="1"/>
          <w:sz w:val="24"/>
          <w:szCs w:val="24"/>
          <w:highlight w:val="none"/>
        </w:rPr>
        <w:t>家有关法律、法规、规章及上述合同条款的规定进</w:t>
      </w:r>
      <w:r>
        <w:rPr>
          <w:rFonts w:ascii="宋体" w:hAnsi="宋体" w:eastAsia="宋体" w:cs="宋体"/>
          <w:color w:val="auto"/>
          <w:sz w:val="24"/>
          <w:szCs w:val="24"/>
          <w:highlight w:val="none"/>
        </w:rPr>
        <w:t>行处理外，同时按照第</w:t>
      </w:r>
      <w:r>
        <w:rPr>
          <w:rFonts w:ascii="宋体" w:hAnsi="宋体" w:eastAsia="宋体" w:cs="宋体"/>
          <w:color w:val="auto"/>
          <w:spacing w:val="-35"/>
          <w:sz w:val="24"/>
          <w:szCs w:val="24"/>
          <w:highlight w:val="none"/>
        </w:rPr>
        <w:t xml:space="preserve"> </w:t>
      </w:r>
      <w:r>
        <w:rPr>
          <w:rFonts w:ascii="宋体" w:hAnsi="宋体" w:eastAsia="宋体" w:cs="宋体"/>
          <w:color w:val="auto"/>
          <w:sz w:val="24"/>
          <w:szCs w:val="24"/>
          <w:highlight w:val="none"/>
        </w:rPr>
        <w:t>22.1</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款约定</w:t>
      </w:r>
      <w:r>
        <w:rPr>
          <w:rFonts w:ascii="宋体" w:hAnsi="宋体" w:eastAsia="宋体" w:cs="宋体"/>
          <w:color w:val="auto"/>
          <w:spacing w:val="-5"/>
          <w:sz w:val="24"/>
          <w:szCs w:val="24"/>
          <w:highlight w:val="none"/>
        </w:rPr>
        <w:t>对承包人进行处理。</w:t>
      </w:r>
    </w:p>
    <w:p w14:paraId="23BD8141">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（3）承包人应为农民工办理工伤保险。</w:t>
      </w:r>
    </w:p>
    <w:p w14:paraId="775AF6F2">
      <w:pPr>
        <w:spacing w:before="183" w:line="290" w:lineRule="auto"/>
        <w:ind w:left="1445" w:right="1427" w:firstLine="46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（4）发包人制定的农民工工资监管办法及有关规定，承包人须积极配合并无条件</w:t>
      </w:r>
      <w:r>
        <w:rPr>
          <w:rFonts w:ascii="宋体" w:hAnsi="宋体" w:eastAsia="宋体" w:cs="宋体"/>
          <w:color w:val="auto"/>
          <w:spacing w:val="-12"/>
          <w:sz w:val="24"/>
          <w:szCs w:val="24"/>
          <w:highlight w:val="none"/>
        </w:rPr>
        <w:t>的接受。</w:t>
      </w:r>
    </w:p>
    <w:p w14:paraId="7107D298">
      <w:pPr>
        <w:spacing w:before="181" w:line="340" w:lineRule="auto"/>
        <w:ind w:left="1424" w:right="1305" w:firstLine="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（5）劳务合作须符合《广东省交通运输厅关于公路工程施工分包管理的实施细则》的通知有关规定</w:t>
      </w:r>
      <w:r>
        <w:rPr>
          <w:rFonts w:ascii="宋体" w:hAnsi="宋体" w:eastAsia="宋体" w:cs="宋体"/>
          <w:color w:val="auto"/>
          <w:spacing w:val="-1"/>
          <w:sz w:val="24"/>
          <w:szCs w:val="24"/>
          <w:highlight w:val="none"/>
        </w:rPr>
        <w:t>配备安全生产管理人员：施工作业人员在</w:t>
      </w:r>
      <w:r>
        <w:rPr>
          <w:rFonts w:ascii="宋体" w:hAnsi="宋体" w:eastAsia="宋体" w:cs="宋体"/>
          <w:color w:val="auto"/>
          <w:spacing w:val="-38"/>
          <w:sz w:val="24"/>
          <w:szCs w:val="24"/>
          <w:highlight w:val="none"/>
        </w:rPr>
        <w:t xml:space="preserve"> </w:t>
      </w:r>
      <w:r>
        <w:rPr>
          <w:rFonts w:ascii="宋体" w:hAnsi="宋体" w:eastAsia="宋体" w:cs="宋体"/>
          <w:color w:val="auto"/>
          <w:spacing w:val="-1"/>
          <w:sz w:val="24"/>
          <w:szCs w:val="24"/>
          <w:highlight w:val="none"/>
        </w:rPr>
        <w:t>30</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人及以下时，应配</w:t>
      </w:r>
      <w:r>
        <w:rPr>
          <w:rFonts w:ascii="宋体" w:hAnsi="宋体" w:eastAsia="宋体" w:cs="宋体"/>
          <w:color w:val="auto"/>
          <w:spacing w:val="-2"/>
          <w:sz w:val="24"/>
          <w:szCs w:val="24"/>
          <w:highlight w:val="none"/>
        </w:rPr>
        <w:t>备 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名兼职安全</w:t>
      </w:r>
      <w:r>
        <w:rPr>
          <w:rFonts w:ascii="宋体" w:hAnsi="宋体" w:eastAsia="宋体" w:cs="宋体"/>
          <w:color w:val="auto"/>
          <w:sz w:val="24"/>
          <w:szCs w:val="24"/>
          <w:highlight w:val="none"/>
        </w:rPr>
        <w:t>生产管理人员；施工作业人员在</w:t>
      </w:r>
      <w:r>
        <w:rPr>
          <w:rFonts w:ascii="宋体" w:hAnsi="宋体" w:eastAsia="宋体" w:cs="宋体"/>
          <w:color w:val="auto"/>
          <w:spacing w:val="-40"/>
          <w:sz w:val="24"/>
          <w:szCs w:val="24"/>
          <w:highlight w:val="none"/>
        </w:rPr>
        <w:t xml:space="preserve"> </w:t>
      </w:r>
      <w:r>
        <w:rPr>
          <w:rFonts w:ascii="宋体" w:hAnsi="宋体" w:eastAsia="宋体" w:cs="宋体"/>
          <w:color w:val="auto"/>
          <w:sz w:val="24"/>
          <w:szCs w:val="24"/>
          <w:highlight w:val="none"/>
        </w:rPr>
        <w:t>31～50</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人时，应配备</w:t>
      </w:r>
      <w:r>
        <w:rPr>
          <w:rFonts w:ascii="宋体" w:hAnsi="宋体" w:eastAsia="宋体" w:cs="宋体"/>
          <w:color w:val="auto"/>
          <w:spacing w:val="-29"/>
          <w:sz w:val="24"/>
          <w:szCs w:val="24"/>
          <w:highlight w:val="none"/>
        </w:rPr>
        <w:t xml:space="preserve"> </w:t>
      </w:r>
      <w:r>
        <w:rPr>
          <w:rFonts w:ascii="宋体" w:hAnsi="宋体" w:eastAsia="宋体" w:cs="宋体"/>
          <w:color w:val="auto"/>
          <w:spacing w:val="-1"/>
          <w:sz w:val="24"/>
          <w:szCs w:val="24"/>
          <w:highlight w:val="none"/>
        </w:rPr>
        <w:t>1</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名专职安全生产管理人员；施</w:t>
      </w:r>
      <w:r>
        <w:rPr>
          <w:rFonts w:ascii="宋体" w:hAnsi="宋体" w:eastAsia="宋体" w:cs="宋体"/>
          <w:color w:val="auto"/>
          <w:spacing w:val="1"/>
          <w:sz w:val="24"/>
          <w:szCs w:val="24"/>
          <w:highlight w:val="none"/>
        </w:rPr>
        <w:t>工作业人员在</w:t>
      </w:r>
      <w:r>
        <w:rPr>
          <w:rFonts w:ascii="宋体" w:hAnsi="宋体" w:eastAsia="宋体" w:cs="宋体"/>
          <w:color w:val="auto"/>
          <w:spacing w:val="-39"/>
          <w:sz w:val="24"/>
          <w:szCs w:val="24"/>
          <w:highlight w:val="none"/>
        </w:rPr>
        <w:t xml:space="preserve"> </w:t>
      </w:r>
      <w:r>
        <w:rPr>
          <w:rFonts w:ascii="宋体" w:hAnsi="宋体" w:eastAsia="宋体" w:cs="宋体"/>
          <w:color w:val="auto"/>
          <w:spacing w:val="1"/>
          <w:sz w:val="24"/>
          <w:szCs w:val="24"/>
          <w:highlight w:val="none"/>
        </w:rPr>
        <w:t>51</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人～200</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人时，应配备</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2</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名专职安全生产管理人员；施工作业人员在</w:t>
      </w:r>
      <w:r>
        <w:rPr>
          <w:rFonts w:ascii="宋体" w:hAnsi="宋体" w:eastAsia="宋体" w:cs="宋体"/>
          <w:color w:val="auto"/>
          <w:spacing w:val="-2"/>
          <w:sz w:val="24"/>
          <w:szCs w:val="24"/>
          <w:highlight w:val="none"/>
        </w:rPr>
        <w:t>201</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人及以上时，每增加</w:t>
      </w:r>
      <w:r>
        <w:rPr>
          <w:rFonts w:ascii="宋体" w:hAnsi="宋体" w:eastAsia="宋体" w:cs="宋体"/>
          <w:color w:val="auto"/>
          <w:spacing w:val="-33"/>
          <w:sz w:val="24"/>
          <w:szCs w:val="24"/>
          <w:highlight w:val="none"/>
        </w:rPr>
        <w:t xml:space="preserve"> </w:t>
      </w:r>
      <w:r>
        <w:rPr>
          <w:rFonts w:ascii="宋体" w:hAnsi="宋体" w:eastAsia="宋体" w:cs="宋体"/>
          <w:color w:val="auto"/>
          <w:spacing w:val="-2"/>
          <w:sz w:val="24"/>
          <w:szCs w:val="24"/>
          <w:highlight w:val="none"/>
        </w:rPr>
        <w:t>100</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人，应增加</w:t>
      </w:r>
      <w:r>
        <w:rPr>
          <w:rFonts w:ascii="宋体" w:hAnsi="宋体" w:eastAsia="宋体" w:cs="宋体"/>
          <w:color w:val="auto"/>
          <w:spacing w:val="-31"/>
          <w:sz w:val="24"/>
          <w:szCs w:val="24"/>
          <w:highlight w:val="none"/>
        </w:rPr>
        <w:t xml:space="preserve"> </w:t>
      </w:r>
      <w:r>
        <w:rPr>
          <w:rFonts w:ascii="宋体" w:hAnsi="宋体" w:eastAsia="宋体" w:cs="宋体"/>
          <w:color w:val="auto"/>
          <w:spacing w:val="-2"/>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名专职安全生产管</w:t>
      </w:r>
      <w:r>
        <w:rPr>
          <w:rFonts w:ascii="宋体" w:hAnsi="宋体" w:eastAsia="宋体" w:cs="宋体"/>
          <w:color w:val="auto"/>
          <w:spacing w:val="-3"/>
          <w:sz w:val="24"/>
          <w:szCs w:val="24"/>
          <w:highlight w:val="none"/>
        </w:rPr>
        <w:t>理人员，并根据所承担工</w:t>
      </w:r>
      <w:r>
        <w:rPr>
          <w:rFonts w:ascii="宋体" w:hAnsi="宋体" w:eastAsia="宋体" w:cs="宋体"/>
          <w:color w:val="auto"/>
          <w:spacing w:val="-4"/>
          <w:sz w:val="24"/>
          <w:szCs w:val="24"/>
          <w:highlight w:val="none"/>
        </w:rPr>
        <w:t>程的施工危险程度予以增加。</w:t>
      </w:r>
    </w:p>
    <w:p w14:paraId="33039573">
      <w:pPr>
        <w:spacing w:before="181"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（6）推广以工代赈方式促进沿线群众就业。</w:t>
      </w:r>
    </w:p>
    <w:p w14:paraId="5CE56EA1">
      <w:pPr>
        <w:spacing w:before="183" w:line="220"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4.6.7 施工班组及施工员登记制度</w:t>
      </w:r>
    </w:p>
    <w:p w14:paraId="6F08FCB3">
      <w:pPr>
        <w:spacing w:before="182" w:line="362"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签定合同后，承包人应组建施工班组，施工班组应符合《广东省公路工程施工标准化指南》的相关规定。承包人应向监理人提供一份拟在本合同工程进行现场管理的施工员名单，包括监理人要求的</w:t>
      </w:r>
      <w:r>
        <w:rPr>
          <w:rFonts w:ascii="宋体" w:hAnsi="宋体" w:eastAsia="宋体" w:cs="宋体"/>
          <w:color w:val="auto"/>
          <w:spacing w:val="-5"/>
          <w:sz w:val="24"/>
          <w:szCs w:val="24"/>
          <w:highlight w:val="none"/>
        </w:rPr>
        <w:t>有关证明材料。监理人将对符合资格要求的施工</w:t>
      </w:r>
      <w:r>
        <w:rPr>
          <w:rFonts w:ascii="宋体" w:hAnsi="宋体" w:eastAsia="宋体" w:cs="宋体"/>
          <w:color w:val="auto"/>
          <w:spacing w:val="-6"/>
          <w:sz w:val="24"/>
          <w:szCs w:val="24"/>
          <w:highlight w:val="none"/>
        </w:rPr>
        <w:t>员进行造册登记，并发给项目施工员证。</w:t>
      </w:r>
      <w:r>
        <w:rPr>
          <w:rFonts w:ascii="宋体" w:hAnsi="宋体" w:eastAsia="宋体" w:cs="宋体"/>
          <w:color w:val="auto"/>
          <w:spacing w:val="-1"/>
          <w:sz w:val="24"/>
          <w:szCs w:val="24"/>
          <w:highlight w:val="none"/>
        </w:rPr>
        <w:t>施工员登记工作是监理人签发开工令的必要条件之一。</w:t>
      </w:r>
    </w:p>
    <w:p w14:paraId="0306CBAD">
      <w:pPr>
        <w:spacing w:before="5" w:line="359" w:lineRule="auto"/>
        <w:ind w:left="1427" w:right="1331"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分项工程施工现场实行标识牌管理，标识牌必须标明该分项工程作业内容和质量要</w:t>
      </w:r>
      <w:r>
        <w:rPr>
          <w:rFonts w:ascii="宋体" w:hAnsi="宋体" w:eastAsia="宋体" w:cs="宋体"/>
          <w:color w:val="auto"/>
          <w:spacing w:val="-6"/>
          <w:sz w:val="24"/>
          <w:szCs w:val="24"/>
          <w:highlight w:val="none"/>
        </w:rPr>
        <w:t>求，施工单位及质量负责人姓名。工程开工后，</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承包人必须在每个施工工点派驻一个以</w:t>
      </w:r>
      <w:r>
        <w:rPr>
          <w:rFonts w:ascii="宋体" w:hAnsi="宋体" w:eastAsia="宋体" w:cs="宋体"/>
          <w:color w:val="auto"/>
          <w:spacing w:val="-2"/>
          <w:sz w:val="24"/>
          <w:szCs w:val="24"/>
          <w:highlight w:val="none"/>
        </w:rPr>
        <w:t>上的经登记的施工员进行现场施工管理，做好详细的现场施工记录。施工员必须佩带项</w:t>
      </w:r>
      <w:r>
        <w:rPr>
          <w:rFonts w:ascii="宋体" w:hAnsi="宋体" w:eastAsia="宋体" w:cs="宋体"/>
          <w:color w:val="auto"/>
          <w:spacing w:val="-6"/>
          <w:sz w:val="24"/>
          <w:szCs w:val="24"/>
          <w:highlight w:val="none"/>
        </w:rPr>
        <w:t>目施工员证上岗。承包人不执行本款规定， 视为承包人违约并按</w:t>
      </w:r>
      <w:r>
        <w:rPr>
          <w:rFonts w:ascii="宋体" w:hAnsi="宋体" w:eastAsia="宋体" w:cs="宋体"/>
          <w:color w:val="auto"/>
          <w:spacing w:val="-40"/>
          <w:sz w:val="24"/>
          <w:szCs w:val="24"/>
          <w:highlight w:val="none"/>
        </w:rPr>
        <w:t xml:space="preserve"> </w:t>
      </w:r>
      <w:r>
        <w:rPr>
          <w:rFonts w:ascii="宋体" w:hAnsi="宋体" w:eastAsia="宋体" w:cs="宋体"/>
          <w:color w:val="auto"/>
          <w:spacing w:val="-6"/>
          <w:sz w:val="24"/>
          <w:szCs w:val="24"/>
          <w:highlight w:val="none"/>
        </w:rPr>
        <w:t>22.1</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款约定进行处理。</w:t>
      </w:r>
    </w:p>
    <w:p w14:paraId="26C17D0A">
      <w:pPr>
        <w:spacing w:before="2" w:line="359" w:lineRule="auto"/>
        <w:ind w:left="1435" w:right="1416" w:firstLine="46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在施工过程中，监理人只要有充分的理由，可以随时取消不能令其满意的施工员的</w:t>
      </w:r>
      <w:r>
        <w:rPr>
          <w:rFonts w:ascii="宋体" w:hAnsi="宋体" w:eastAsia="宋体" w:cs="宋体"/>
          <w:color w:val="auto"/>
          <w:spacing w:val="-5"/>
          <w:sz w:val="24"/>
          <w:szCs w:val="24"/>
          <w:highlight w:val="none"/>
        </w:rPr>
        <w:t>资格，收回项目施工员证。</w:t>
      </w:r>
    </w:p>
    <w:p w14:paraId="1854AE66">
      <w:pPr>
        <w:spacing w:line="219"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4.7</w:t>
      </w:r>
      <w:r>
        <w:rPr>
          <w:rFonts w:ascii="宋体" w:hAnsi="宋体" w:eastAsia="宋体" w:cs="宋体"/>
          <w:color w:val="auto"/>
          <w:spacing w:val="-52"/>
          <w:sz w:val="24"/>
          <w:szCs w:val="24"/>
          <w:highlight w:val="none"/>
        </w:rPr>
        <w:t xml:space="preserve"> </w:t>
      </w:r>
      <w:r>
        <w:rPr>
          <w:rFonts w:ascii="宋体" w:hAnsi="宋体" w:eastAsia="宋体" w:cs="宋体"/>
          <w:color w:val="auto"/>
          <w:spacing w:val="-1"/>
          <w:sz w:val="24"/>
          <w:szCs w:val="24"/>
          <w:highlight w:val="none"/>
        </w:rPr>
        <w:t>撤换承包人项目经理和其他人员</w:t>
      </w:r>
    </w:p>
    <w:p w14:paraId="4F901B7D">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11453646">
      <w:pPr>
        <w:spacing w:before="183"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承包人应对其项目经理和其他人员进行有效管理。发包人或监理人在征得发包人同</w:t>
      </w:r>
      <w:r>
        <w:rPr>
          <w:rFonts w:ascii="宋体" w:hAnsi="宋体" w:eastAsia="宋体" w:cs="宋体"/>
          <w:color w:val="auto"/>
          <w:spacing w:val="-5"/>
          <w:sz w:val="24"/>
          <w:szCs w:val="24"/>
          <w:highlight w:val="none"/>
        </w:rPr>
        <w:t>意后要求撤换不能胜任本职工作、行为不端或玩忽职守的项目经理和其他人员， 承包人</w:t>
      </w:r>
      <w:r>
        <w:rPr>
          <w:rFonts w:ascii="宋体" w:hAnsi="宋体" w:eastAsia="宋体" w:cs="宋体"/>
          <w:color w:val="auto"/>
          <w:sz w:val="24"/>
          <w:szCs w:val="24"/>
          <w:highlight w:val="none"/>
        </w:rPr>
        <w:t>应予以撤换，同时委派经发包人与监理人同意的</w:t>
      </w:r>
      <w:r>
        <w:rPr>
          <w:rFonts w:ascii="宋体" w:hAnsi="宋体" w:eastAsia="宋体" w:cs="宋体"/>
          <w:color w:val="auto"/>
          <w:spacing w:val="-1"/>
          <w:sz w:val="24"/>
          <w:szCs w:val="24"/>
          <w:highlight w:val="none"/>
        </w:rPr>
        <w:t>新的项目经理和其他人员，并按</w:t>
      </w:r>
      <w:r>
        <w:rPr>
          <w:rFonts w:ascii="宋体" w:hAnsi="宋体" w:eastAsia="宋体" w:cs="宋体"/>
          <w:color w:val="auto"/>
          <w:spacing w:val="-52"/>
          <w:sz w:val="24"/>
          <w:szCs w:val="24"/>
          <w:highlight w:val="none"/>
        </w:rPr>
        <w:t xml:space="preserve"> </w:t>
      </w:r>
      <w:r>
        <w:rPr>
          <w:rFonts w:ascii="宋体" w:hAnsi="宋体" w:eastAsia="宋体" w:cs="宋体"/>
          <w:color w:val="auto"/>
          <w:spacing w:val="-1"/>
          <w:sz w:val="24"/>
          <w:szCs w:val="24"/>
          <w:highlight w:val="none"/>
        </w:rPr>
        <w:t>4.6.3款约定处以违约金。被撤换人员未经发包人同意不得重</w:t>
      </w:r>
      <w:r>
        <w:rPr>
          <w:rFonts w:ascii="宋体" w:hAnsi="宋体" w:eastAsia="宋体" w:cs="宋体"/>
          <w:color w:val="auto"/>
          <w:spacing w:val="-2"/>
          <w:sz w:val="24"/>
          <w:szCs w:val="24"/>
          <w:highlight w:val="none"/>
        </w:rPr>
        <w:t>新回到本合同段工作。</w:t>
      </w:r>
    </w:p>
    <w:p w14:paraId="3538D9C3">
      <w:pPr>
        <w:spacing w:before="1" w:line="219" w:lineRule="auto"/>
        <w:ind w:left="190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4.11 不利物质条件</w:t>
      </w:r>
    </w:p>
    <w:p w14:paraId="25EB7FDB">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7"/>
          <w:sz w:val="24"/>
          <w:szCs w:val="24"/>
          <w:highlight w:val="none"/>
        </w:rPr>
        <w:t>4.11.2</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项细化为：</w:t>
      </w:r>
    </w:p>
    <w:p w14:paraId="48C6ED20">
      <w:pPr>
        <w:spacing w:before="184" w:line="361"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承包人遇到不可预见的不利物质条件时，应采取适应不利物质条件的合理措施继续</w:t>
      </w:r>
      <w:r>
        <w:rPr>
          <w:rFonts w:ascii="宋体" w:hAnsi="宋体" w:eastAsia="宋体" w:cs="宋体"/>
          <w:color w:val="auto"/>
          <w:spacing w:val="-6"/>
          <w:sz w:val="24"/>
          <w:szCs w:val="24"/>
          <w:highlight w:val="none"/>
        </w:rPr>
        <w:t>施工，并及时通知监理人和发包人。监理人应当及时发出指示，</w:t>
      </w:r>
      <w:r>
        <w:rPr>
          <w:rFonts w:ascii="宋体" w:hAnsi="宋体" w:eastAsia="宋体" w:cs="宋体"/>
          <w:color w:val="auto"/>
          <w:spacing w:val="54"/>
          <w:sz w:val="24"/>
          <w:szCs w:val="24"/>
          <w:highlight w:val="none"/>
        </w:rPr>
        <w:t xml:space="preserve"> </w:t>
      </w:r>
      <w:r>
        <w:rPr>
          <w:rFonts w:ascii="宋体" w:hAnsi="宋体" w:eastAsia="宋体" w:cs="宋体"/>
          <w:color w:val="auto"/>
          <w:spacing w:val="-6"/>
          <w:sz w:val="24"/>
          <w:szCs w:val="24"/>
          <w:highlight w:val="none"/>
        </w:rPr>
        <w:t>指示构成变更</w:t>
      </w:r>
      <w:r>
        <w:rPr>
          <w:rFonts w:ascii="宋体" w:hAnsi="宋体" w:eastAsia="宋体" w:cs="宋体"/>
          <w:color w:val="auto"/>
          <w:spacing w:val="-7"/>
          <w:sz w:val="24"/>
          <w:szCs w:val="24"/>
          <w:highlight w:val="none"/>
        </w:rPr>
        <w:t>的，按第</w:t>
      </w:r>
      <w:r>
        <w:rPr>
          <w:rFonts w:ascii="宋体" w:hAnsi="宋体" w:eastAsia="宋体" w:cs="宋体"/>
          <w:color w:val="auto"/>
          <w:spacing w:val="-6"/>
          <w:sz w:val="24"/>
          <w:szCs w:val="24"/>
          <w:highlight w:val="none"/>
        </w:rPr>
        <w:t>15</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条约定办理。监理人没有发出指示的，</w:t>
      </w:r>
      <w:r>
        <w:rPr>
          <w:rFonts w:ascii="宋体" w:hAnsi="宋体" w:eastAsia="宋体" w:cs="宋体"/>
          <w:color w:val="auto"/>
          <w:spacing w:val="46"/>
          <w:sz w:val="24"/>
          <w:szCs w:val="24"/>
          <w:highlight w:val="none"/>
        </w:rPr>
        <w:t xml:space="preserve"> </w:t>
      </w:r>
      <w:r>
        <w:rPr>
          <w:rFonts w:ascii="宋体" w:hAnsi="宋体" w:eastAsia="宋体" w:cs="宋体"/>
          <w:color w:val="auto"/>
          <w:spacing w:val="-6"/>
          <w:sz w:val="24"/>
          <w:szCs w:val="24"/>
          <w:highlight w:val="none"/>
        </w:rPr>
        <w:t>承包人应将</w:t>
      </w:r>
      <w:r>
        <w:rPr>
          <w:rFonts w:ascii="宋体" w:hAnsi="宋体" w:eastAsia="宋体" w:cs="宋体"/>
          <w:color w:val="auto"/>
          <w:spacing w:val="-7"/>
          <w:sz w:val="24"/>
          <w:szCs w:val="24"/>
          <w:highlight w:val="none"/>
        </w:rPr>
        <w:t>情况及时上报发包人，如发包人3</w:t>
      </w:r>
      <w:r>
        <w:rPr>
          <w:rFonts w:ascii="宋体" w:hAnsi="宋体" w:eastAsia="宋体" w:cs="宋体"/>
          <w:color w:val="auto"/>
          <w:spacing w:val="-2"/>
          <w:sz w:val="24"/>
          <w:szCs w:val="24"/>
          <w:highlight w:val="none"/>
        </w:rPr>
        <w:t>天内仍未发出指示的，因承包人采取合理措施而增加的费用和(或)工期延误，由发包人</w:t>
      </w:r>
      <w:r>
        <w:rPr>
          <w:rFonts w:ascii="宋体" w:hAnsi="宋体" w:eastAsia="宋体" w:cs="宋体"/>
          <w:color w:val="auto"/>
          <w:spacing w:val="-10"/>
          <w:sz w:val="24"/>
          <w:szCs w:val="24"/>
          <w:highlight w:val="none"/>
        </w:rPr>
        <w:t>承担。</w:t>
      </w:r>
    </w:p>
    <w:p w14:paraId="549A1680">
      <w:pPr>
        <w:spacing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4.11.3</w:t>
      </w:r>
      <w:r>
        <w:rPr>
          <w:rFonts w:ascii="宋体" w:hAnsi="宋体" w:eastAsia="宋体" w:cs="宋体"/>
          <w:color w:val="auto"/>
          <w:spacing w:val="-37"/>
          <w:sz w:val="24"/>
          <w:szCs w:val="24"/>
          <w:highlight w:val="none"/>
        </w:rPr>
        <w:t xml:space="preserve"> </w:t>
      </w:r>
      <w:r>
        <w:rPr>
          <w:rFonts w:ascii="宋体" w:hAnsi="宋体" w:eastAsia="宋体" w:cs="宋体"/>
          <w:color w:val="auto"/>
          <w:spacing w:val="-2"/>
          <w:sz w:val="24"/>
          <w:szCs w:val="24"/>
          <w:highlight w:val="none"/>
        </w:rPr>
        <w:t>可预见的不利物质条件</w:t>
      </w:r>
    </w:p>
    <w:p w14:paraId="67288210">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5"/>
          <w:sz w:val="24"/>
          <w:szCs w:val="24"/>
          <w:highlight w:val="none"/>
        </w:rPr>
        <w:t>4.11.3（1）目补充：</w:t>
      </w:r>
    </w:p>
    <w:p w14:paraId="708A444F">
      <w:pPr>
        <w:spacing w:before="182" w:line="360" w:lineRule="auto"/>
        <w:ind w:left="1427"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对于一个有经验的承包人可合理预见的不利物质条件，无论承包人是否有其经历和经验均视为承包人在接受合同时已预见其影响，并已在签约合同价中计入因其影响而可</w:t>
      </w:r>
      <w:r>
        <w:rPr>
          <w:rFonts w:ascii="宋体" w:hAnsi="宋体" w:eastAsia="宋体" w:cs="宋体"/>
          <w:color w:val="auto"/>
          <w:spacing w:val="-3"/>
          <w:sz w:val="24"/>
          <w:szCs w:val="24"/>
          <w:highlight w:val="none"/>
        </w:rPr>
        <w:t>能发生的一切费用（除合同另有约定外）。</w:t>
      </w:r>
    </w:p>
    <w:p w14:paraId="2B3D4769">
      <w:pPr>
        <w:spacing w:line="219" w:lineRule="auto"/>
        <w:ind w:left="1905"/>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补充第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4.12</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款：</w:t>
      </w:r>
    </w:p>
    <w:p w14:paraId="13BF8B41">
      <w:pPr>
        <w:spacing w:before="164" w:line="235" w:lineRule="auto"/>
        <w:ind w:left="1904"/>
        <w:rPr>
          <w:rFonts w:ascii="宋体" w:hAnsi="宋体" w:eastAsia="宋体" w:cs="宋体"/>
          <w:strike/>
          <w:dstrike w:val="0"/>
          <w:color w:val="auto"/>
          <w:sz w:val="12"/>
          <w:szCs w:val="12"/>
          <w:highlight w:val="none"/>
        </w:rPr>
      </w:pPr>
      <w:r>
        <w:rPr>
          <w:rFonts w:ascii="宋体" w:hAnsi="宋体" w:eastAsia="宋体" w:cs="宋体"/>
          <w:strike/>
          <w:dstrike w:val="0"/>
          <w:color w:val="auto"/>
          <w:spacing w:val="-1"/>
          <w:sz w:val="24"/>
          <w:szCs w:val="24"/>
          <w:highlight w:val="none"/>
        </w:rPr>
        <w:t>4.12 施工图联合设计</w:t>
      </w:r>
    </w:p>
    <w:p w14:paraId="4995A227">
      <w:pPr>
        <w:spacing w:before="180" w:line="219"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考虑到项目特点，列入施工联合设计阶段内容如下（包括</w:t>
      </w:r>
      <w:r>
        <w:rPr>
          <w:rFonts w:ascii="宋体" w:hAnsi="宋体" w:eastAsia="宋体" w:cs="宋体"/>
          <w:strike/>
          <w:dstrike w:val="0"/>
          <w:color w:val="auto"/>
          <w:spacing w:val="-3"/>
          <w:sz w:val="24"/>
          <w:szCs w:val="24"/>
          <w:highlight w:val="none"/>
        </w:rPr>
        <w:t>但不限于</w:t>
      </w:r>
      <w:r>
        <w:rPr>
          <w:rFonts w:ascii="宋体" w:hAnsi="宋体" w:eastAsia="宋体" w:cs="宋体"/>
          <w:strike/>
          <w:dstrike w:val="0"/>
          <w:color w:val="auto"/>
          <w:spacing w:val="-1"/>
          <w:sz w:val="24"/>
          <w:szCs w:val="24"/>
          <w:highlight w:val="none"/>
        </w:rPr>
        <w:t>）：</w:t>
      </w:r>
    </w:p>
    <w:p w14:paraId="56BCEF00">
      <w:pPr>
        <w:spacing w:before="183"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（1）钢结构加工制造焊缝、坡口等细节构造优化设计；</w:t>
      </w:r>
    </w:p>
    <w:p w14:paraId="046A4327">
      <w:pPr>
        <w:spacing w:before="183" w:line="232"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（2）......</w:t>
      </w:r>
    </w:p>
    <w:p w14:paraId="636AE9D0">
      <w:pPr>
        <w:spacing w:before="166" w:line="360" w:lineRule="auto"/>
        <w:ind w:left="1424" w:right="1421"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承包人应与本项目的设计单位及其他施工单位对施工图设计开展施工图联合设计，施工图联合设计费用已包含在承包人合同价格中。</w:t>
      </w:r>
    </w:p>
    <w:p w14:paraId="679A02B4">
      <w:pPr>
        <w:spacing w:before="1" w:line="219"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补充第</w:t>
      </w:r>
      <w:r>
        <w:rPr>
          <w:rFonts w:ascii="宋体" w:hAnsi="宋体" w:eastAsia="宋体" w:cs="宋体"/>
          <w:strike/>
          <w:dstrike w:val="0"/>
          <w:color w:val="auto"/>
          <w:spacing w:val="-43"/>
          <w:sz w:val="24"/>
          <w:szCs w:val="24"/>
          <w:highlight w:val="none"/>
        </w:rPr>
        <w:t xml:space="preserve"> </w:t>
      </w:r>
      <w:r>
        <w:rPr>
          <w:rFonts w:ascii="宋体" w:hAnsi="宋体" w:eastAsia="宋体" w:cs="宋体"/>
          <w:strike/>
          <w:dstrike w:val="0"/>
          <w:color w:val="auto"/>
          <w:spacing w:val="-5"/>
          <w:sz w:val="24"/>
          <w:szCs w:val="24"/>
          <w:highlight w:val="none"/>
        </w:rPr>
        <w:t>4.13 款：</w:t>
      </w:r>
    </w:p>
    <w:p w14:paraId="32DD7003">
      <w:pPr>
        <w:spacing w:before="182" w:line="220" w:lineRule="auto"/>
        <w:ind w:left="190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4.13</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2"/>
          <w:sz w:val="24"/>
          <w:szCs w:val="24"/>
          <w:highlight w:val="none"/>
        </w:rPr>
        <w:t>工作界面的管理</w:t>
      </w:r>
    </w:p>
    <w:p w14:paraId="3BE4878D">
      <w:pPr>
        <w:spacing w:before="183" w:line="313" w:lineRule="auto"/>
        <w:ind w:left="1426" w:right="1416"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（1）在承包人、监理人及其他合同段承包人陆续进场后，发包人将分阶段组织各</w:t>
      </w:r>
      <w:r>
        <w:rPr>
          <w:rFonts w:ascii="宋体" w:hAnsi="宋体" w:eastAsia="宋体" w:cs="宋体"/>
          <w:strike/>
          <w:dstrike w:val="0"/>
          <w:color w:val="auto"/>
          <w:spacing w:val="-6"/>
          <w:sz w:val="24"/>
          <w:szCs w:val="24"/>
          <w:highlight w:val="none"/>
        </w:rPr>
        <w:t>方，在本合同条款、图纸、技术规范的基础上，</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pacing w:val="-6"/>
          <w:sz w:val="24"/>
          <w:szCs w:val="24"/>
          <w:highlight w:val="none"/>
        </w:rPr>
        <w:t>进一步细化明确有关工作界面和争议处</w:t>
      </w:r>
      <w:r>
        <w:rPr>
          <w:rFonts w:ascii="宋体" w:hAnsi="宋体" w:eastAsia="宋体" w:cs="宋体"/>
          <w:strike/>
          <w:dstrike w:val="0"/>
          <w:color w:val="auto"/>
          <w:spacing w:val="-2"/>
          <w:sz w:val="24"/>
          <w:szCs w:val="24"/>
          <w:highlight w:val="none"/>
        </w:rPr>
        <w:t>理原则，并由各方统一签订工作界面管理备忘录。</w:t>
      </w:r>
    </w:p>
    <w:p w14:paraId="1E1A18FF">
      <w:pPr>
        <w:spacing w:before="184" w:line="313" w:lineRule="auto"/>
        <w:ind w:left="1425" w:right="1416"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（2）在合同执行过程中，承包人应委派专人负责工作界面的管理与协调，并与其</w:t>
      </w:r>
      <w:r>
        <w:rPr>
          <w:rFonts w:ascii="宋体" w:hAnsi="宋体" w:eastAsia="宋体" w:cs="宋体"/>
          <w:strike/>
          <w:dstrike w:val="0"/>
          <w:color w:val="auto"/>
          <w:spacing w:val="-5"/>
          <w:sz w:val="24"/>
          <w:szCs w:val="24"/>
          <w:highlight w:val="none"/>
        </w:rPr>
        <w:t>他合同段工作界面管理人员建立定期的沟通机制。对本合同工程实施过程中， 已出现或</w:t>
      </w:r>
      <w:r>
        <w:rPr>
          <w:rFonts w:ascii="宋体" w:hAnsi="宋体" w:eastAsia="宋体" w:cs="宋体"/>
          <w:strike/>
          <w:dstrike w:val="0"/>
          <w:color w:val="auto"/>
          <w:spacing w:val="-1"/>
          <w:sz w:val="24"/>
          <w:szCs w:val="24"/>
          <w:highlight w:val="none"/>
        </w:rPr>
        <w:t>可能出现的各种界面模糊点，进行沟通和协调，明确各方的工作</w:t>
      </w:r>
      <w:r>
        <w:rPr>
          <w:rFonts w:ascii="宋体" w:hAnsi="宋体" w:eastAsia="宋体" w:cs="宋体"/>
          <w:strike/>
          <w:dstrike w:val="0"/>
          <w:color w:val="auto"/>
          <w:spacing w:val="-2"/>
          <w:sz w:val="24"/>
          <w:szCs w:val="24"/>
          <w:highlight w:val="none"/>
        </w:rPr>
        <w:t>内容和职责范围。</w:t>
      </w:r>
    </w:p>
    <w:p w14:paraId="6401A2E7">
      <w:pPr>
        <w:spacing w:before="182" w:line="332" w:lineRule="auto"/>
        <w:ind w:left="1426" w:right="1331"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（3）如经沟通和协调不成功时，发包人有权参照同类型项目的常规做法，对于界</w:t>
      </w:r>
      <w:r>
        <w:rPr>
          <w:rFonts w:ascii="宋体" w:hAnsi="宋体" w:eastAsia="宋体" w:cs="宋体"/>
          <w:strike/>
          <w:dstrike w:val="0"/>
          <w:color w:val="auto"/>
          <w:spacing w:val="-2"/>
          <w:sz w:val="24"/>
          <w:szCs w:val="24"/>
          <w:highlight w:val="none"/>
        </w:rPr>
        <w:t>面模糊点的工作进行指派，承包人应予以执行，除发包人认定符合变更范围而进行变更</w:t>
      </w:r>
      <w:r>
        <w:rPr>
          <w:rFonts w:ascii="宋体" w:hAnsi="宋体" w:eastAsia="宋体" w:cs="宋体"/>
          <w:strike/>
          <w:dstrike w:val="0"/>
          <w:color w:val="auto"/>
          <w:spacing w:val="-5"/>
          <w:sz w:val="24"/>
          <w:szCs w:val="24"/>
          <w:highlight w:val="none"/>
        </w:rPr>
        <w:t>之外，执行上述指派工作所需的相关费用视</w:t>
      </w:r>
      <w:r>
        <w:rPr>
          <w:rFonts w:ascii="宋体" w:hAnsi="宋体" w:eastAsia="宋体" w:cs="宋体"/>
          <w:strike/>
          <w:dstrike w:val="0"/>
          <w:color w:val="auto"/>
          <w:spacing w:val="-6"/>
          <w:sz w:val="24"/>
          <w:szCs w:val="24"/>
          <w:highlight w:val="none"/>
        </w:rPr>
        <w:t>为已包含在合同价格中，发包人不另行支付。</w:t>
      </w:r>
      <w:r>
        <w:rPr>
          <w:rFonts w:ascii="宋体" w:hAnsi="宋体" w:eastAsia="宋体" w:cs="宋体"/>
          <w:strike/>
          <w:dstrike w:val="0"/>
          <w:color w:val="auto"/>
          <w:spacing w:val="-2"/>
          <w:sz w:val="24"/>
          <w:szCs w:val="24"/>
          <w:highlight w:val="none"/>
        </w:rPr>
        <w:t>如承包人拒绝完成发包人指派的工作任务，则视为承包人违约，发包人有权按照本合同</w:t>
      </w:r>
      <w:r>
        <w:rPr>
          <w:rFonts w:ascii="宋体" w:hAnsi="宋体" w:eastAsia="宋体" w:cs="宋体"/>
          <w:strike/>
          <w:dstrike w:val="0"/>
          <w:color w:val="auto"/>
          <w:spacing w:val="-5"/>
          <w:sz w:val="24"/>
          <w:szCs w:val="24"/>
          <w:highlight w:val="none"/>
        </w:rPr>
        <w:t>条款规定课以违约金。</w:t>
      </w:r>
    </w:p>
    <w:p w14:paraId="6880515F">
      <w:pPr>
        <w:spacing w:before="164" w:line="233" w:lineRule="auto"/>
        <w:ind w:left="1910"/>
        <w:rPr>
          <w:color w:val="auto"/>
          <w:highlight w:val="none"/>
        </w:rPr>
      </w:pPr>
      <w:r>
        <w:rPr>
          <w:rFonts w:ascii="宋体" w:hAnsi="宋体" w:eastAsia="宋体" w:cs="宋体"/>
          <w:b/>
          <w:bCs/>
          <w:color w:val="auto"/>
          <w:spacing w:val="-3"/>
          <w:sz w:val="24"/>
          <w:szCs w:val="24"/>
          <w:highlight w:val="none"/>
        </w:rPr>
        <w:t>5.</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材料和工程设备</w:t>
      </w:r>
    </w:p>
    <w:p w14:paraId="59730776">
      <w:pPr>
        <w:spacing w:before="78"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5.1.2</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18A3EB28">
      <w:pPr>
        <w:spacing w:before="182" w:line="360" w:lineRule="auto"/>
        <w:ind w:left="1424" w:right="1416" w:firstLine="487"/>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（1）承包人选定的材料和工程设备必须满足本合同工程要求和《广东省公路工程</w:t>
      </w:r>
      <w:r>
        <w:rPr>
          <w:rFonts w:ascii="宋体" w:hAnsi="宋体" w:eastAsia="宋体" w:cs="宋体"/>
          <w:color w:val="auto"/>
          <w:spacing w:val="-2"/>
          <w:sz w:val="24"/>
          <w:szCs w:val="24"/>
          <w:highlight w:val="none"/>
        </w:rPr>
        <w:t>施工标准化指南》管理规定。凡任何技术指标达不到发包人要求或被发包人禁止进入本</w:t>
      </w:r>
      <w:r>
        <w:rPr>
          <w:rFonts w:ascii="宋体" w:hAnsi="宋体" w:eastAsia="宋体" w:cs="宋体"/>
          <w:color w:val="auto"/>
          <w:spacing w:val="-1"/>
          <w:sz w:val="24"/>
          <w:szCs w:val="24"/>
          <w:highlight w:val="none"/>
        </w:rPr>
        <w:t>合同工程的材料、设备（或材料供应商），承包</w:t>
      </w:r>
      <w:r>
        <w:rPr>
          <w:rFonts w:ascii="宋体" w:hAnsi="宋体" w:eastAsia="宋体" w:cs="宋体"/>
          <w:color w:val="auto"/>
          <w:spacing w:val="-2"/>
          <w:sz w:val="24"/>
          <w:szCs w:val="24"/>
          <w:highlight w:val="none"/>
        </w:rPr>
        <w:t>人不得采购用于本项目。</w:t>
      </w:r>
    </w:p>
    <w:p w14:paraId="41D1B547">
      <w:pPr>
        <w:spacing w:before="1" w:line="218"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（2）统一供应材料的采购</w:t>
      </w:r>
    </w:p>
    <w:p w14:paraId="69683FCF">
      <w:pPr>
        <w:spacing w:before="183" w:line="360" w:lineRule="auto"/>
        <w:ind w:left="1429" w:right="1416" w:firstLine="48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统一采购供应材料的品种详见附件十一《统一采购供应材料一览表》， 具体采购必</w:t>
      </w:r>
      <w:r>
        <w:rPr>
          <w:rFonts w:ascii="宋体" w:hAnsi="宋体" w:eastAsia="宋体" w:cs="宋体"/>
          <w:strike/>
          <w:dstrike w:val="0"/>
          <w:color w:val="auto"/>
          <w:spacing w:val="-4"/>
          <w:sz w:val="24"/>
          <w:szCs w:val="24"/>
          <w:highlight w:val="none"/>
        </w:rPr>
        <w:t>须严格执行发包人的管理要求。</w:t>
      </w:r>
    </w:p>
    <w:p w14:paraId="6A342C3B">
      <w:pPr>
        <w:spacing w:line="360" w:lineRule="auto"/>
        <w:ind w:left="1424" w:right="1403" w:firstLine="48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统一采购采购供应的材料，若采用发包人统一招标方式的，在发包人经招标确定统</w:t>
      </w:r>
      <w:r>
        <w:rPr>
          <w:rFonts w:ascii="宋体" w:hAnsi="宋体" w:eastAsia="宋体" w:cs="宋体"/>
          <w:strike/>
          <w:dstrike w:val="0"/>
          <w:color w:val="auto"/>
          <w:spacing w:val="-1"/>
          <w:sz w:val="24"/>
          <w:szCs w:val="24"/>
          <w:highlight w:val="none"/>
        </w:rPr>
        <w:t>一供货品牌后，由承包人(材料使用方)与发包人、供货人（卖方）共同签</w:t>
      </w:r>
      <w:r>
        <w:rPr>
          <w:rFonts w:ascii="宋体" w:hAnsi="宋体" w:eastAsia="宋体" w:cs="宋体"/>
          <w:strike/>
          <w:dstrike w:val="0"/>
          <w:color w:val="auto"/>
          <w:spacing w:val="-2"/>
          <w:sz w:val="24"/>
          <w:szCs w:val="24"/>
          <w:highlight w:val="none"/>
        </w:rPr>
        <w:t>订供货合同。承包人与卖方为实际的买卖双方，卖方根据承包人实际需求按计划供应材料并提供发票给承包人；发包人负责监督合同各方严格履行供货合同，由承包人按供货合同规定支付材料款给卖方或由承包人委托发包人按供货合同规定代承包人支付材料款给卖方，统一采购供应的材料款由发包人按上述方式与承包人进行结算。</w:t>
      </w:r>
    </w:p>
    <w:p w14:paraId="2086BBFE">
      <w:pPr>
        <w:spacing w:before="1" w:line="218" w:lineRule="auto"/>
        <w:ind w:left="190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对于此类材料的供货，还应满足以下规定：</w:t>
      </w:r>
    </w:p>
    <w:p w14:paraId="017E708E">
      <w:pPr>
        <w:spacing w:before="182" w:line="325" w:lineRule="auto"/>
        <w:ind w:left="1424" w:right="1416"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①材料使用前，由承包人负责检验或试验，品种、规格、型号或质量与一览表不符的，承包人应及时报监理人及发包人处理；品种、规格或型号与一览表不符但质量经检</w:t>
      </w:r>
      <w:r>
        <w:rPr>
          <w:rFonts w:ascii="宋体" w:hAnsi="宋体" w:eastAsia="宋体" w:cs="宋体"/>
          <w:strike/>
          <w:dstrike w:val="0"/>
          <w:color w:val="auto"/>
          <w:spacing w:val="-6"/>
          <w:sz w:val="24"/>
          <w:szCs w:val="24"/>
          <w:highlight w:val="none"/>
        </w:rPr>
        <w:t>验合格的，经监理人同意，可调剂串换使用。若上述不符是属于承包人责</w:t>
      </w:r>
      <w:r>
        <w:rPr>
          <w:rFonts w:ascii="宋体" w:hAnsi="宋体" w:eastAsia="宋体" w:cs="宋体"/>
          <w:strike/>
          <w:dstrike w:val="0"/>
          <w:color w:val="auto"/>
          <w:spacing w:val="-7"/>
          <w:sz w:val="24"/>
          <w:szCs w:val="24"/>
          <w:highlight w:val="none"/>
        </w:rPr>
        <w:t>任造成的，</w:t>
      </w:r>
      <w:r>
        <w:rPr>
          <w:rFonts w:ascii="宋体" w:hAnsi="宋体" w:eastAsia="宋体" w:cs="宋体"/>
          <w:strike/>
          <w:dstrike w:val="0"/>
          <w:color w:val="auto"/>
          <w:spacing w:val="56"/>
          <w:sz w:val="24"/>
          <w:szCs w:val="24"/>
          <w:highlight w:val="none"/>
        </w:rPr>
        <w:t xml:space="preserve"> </w:t>
      </w:r>
      <w:r>
        <w:rPr>
          <w:rFonts w:ascii="宋体" w:hAnsi="宋体" w:eastAsia="宋体" w:cs="宋体"/>
          <w:strike/>
          <w:dstrike w:val="0"/>
          <w:color w:val="auto"/>
          <w:spacing w:val="-7"/>
          <w:sz w:val="24"/>
          <w:szCs w:val="24"/>
          <w:highlight w:val="none"/>
        </w:rPr>
        <w:t>则</w:t>
      </w:r>
      <w:r>
        <w:rPr>
          <w:rFonts w:ascii="宋体" w:hAnsi="宋体" w:eastAsia="宋体" w:cs="宋体"/>
          <w:strike/>
          <w:dstrike w:val="0"/>
          <w:color w:val="auto"/>
          <w:spacing w:val="-3"/>
          <w:sz w:val="24"/>
          <w:szCs w:val="24"/>
          <w:highlight w:val="none"/>
        </w:rPr>
        <w:t>因此而增加的相应费用由承包人承担。</w:t>
      </w:r>
    </w:p>
    <w:p w14:paraId="4ECEFCE9">
      <w:pPr>
        <w:spacing w:before="183" w:line="289" w:lineRule="auto"/>
        <w:ind w:left="1447" w:right="1416" w:firstLine="45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②为恰当和正确地使用、安装和实施这些材料和工程设备所必需的但一览表中未列明的其他任何辅助性材料以及人工费均已经包含在承包人的合同价款</w:t>
      </w:r>
      <w:r>
        <w:rPr>
          <w:rFonts w:ascii="宋体" w:hAnsi="宋体" w:eastAsia="宋体" w:cs="宋体"/>
          <w:strike/>
          <w:dstrike w:val="0"/>
          <w:color w:val="auto"/>
          <w:spacing w:val="-3"/>
          <w:sz w:val="24"/>
          <w:szCs w:val="24"/>
          <w:highlight w:val="none"/>
        </w:rPr>
        <w:t>中。</w:t>
      </w:r>
    </w:p>
    <w:p w14:paraId="6EEED9CB">
      <w:pPr>
        <w:spacing w:before="184" w:line="313" w:lineRule="auto"/>
        <w:ind w:left="1424" w:right="1415"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③当月的材料款根据合同附表中的统一采购供应材料单价和承包人与供应商当月</w:t>
      </w:r>
      <w:r>
        <w:rPr>
          <w:rFonts w:ascii="宋体" w:hAnsi="宋体" w:eastAsia="宋体" w:cs="宋体"/>
          <w:strike/>
          <w:dstrike w:val="0"/>
          <w:color w:val="auto"/>
          <w:spacing w:val="-2"/>
          <w:sz w:val="24"/>
          <w:szCs w:val="24"/>
          <w:highlight w:val="none"/>
        </w:rPr>
        <w:t>签认的材料签收数量进行计算，原则上当月的材料款应在下个月的计量支付中扣除。根</w:t>
      </w:r>
      <w:r>
        <w:rPr>
          <w:rFonts w:ascii="宋体" w:hAnsi="宋体" w:eastAsia="宋体" w:cs="宋体"/>
          <w:strike/>
          <w:dstrike w:val="0"/>
          <w:color w:val="auto"/>
          <w:spacing w:val="-1"/>
          <w:sz w:val="24"/>
          <w:szCs w:val="24"/>
          <w:highlight w:val="none"/>
        </w:rPr>
        <w:t>据实际情况，在确保工程款不超付的情况下允许推迟不超过三</w:t>
      </w:r>
      <w:r>
        <w:rPr>
          <w:rFonts w:ascii="宋体" w:hAnsi="宋体" w:eastAsia="宋体" w:cs="宋体"/>
          <w:strike/>
          <w:dstrike w:val="0"/>
          <w:color w:val="auto"/>
          <w:spacing w:val="-2"/>
          <w:sz w:val="24"/>
          <w:szCs w:val="24"/>
          <w:highlight w:val="none"/>
        </w:rPr>
        <w:t>个月扣回材料款。</w:t>
      </w:r>
    </w:p>
    <w:p w14:paraId="51BC9D53">
      <w:pPr>
        <w:spacing w:before="183" w:line="313" w:lineRule="auto"/>
        <w:ind w:left="1425" w:right="1415" w:firstLine="478"/>
        <w:rPr>
          <w:strike/>
          <w:dstrike w:val="0"/>
          <w:color w:val="auto"/>
          <w:highlight w:val="none"/>
        </w:rPr>
      </w:pPr>
      <w:r>
        <w:rPr>
          <w:rFonts w:ascii="宋体" w:hAnsi="宋体" w:eastAsia="宋体" w:cs="宋体"/>
          <w:strike/>
          <w:dstrike w:val="0"/>
          <w:color w:val="auto"/>
          <w:spacing w:val="-2"/>
          <w:sz w:val="24"/>
          <w:szCs w:val="24"/>
          <w:highlight w:val="none"/>
        </w:rPr>
        <w:t>④承包人承担工程全部完工后，应上报统一供应材料实际用量与按设计图纸（包括</w:t>
      </w:r>
      <w:r>
        <w:rPr>
          <w:rFonts w:ascii="宋体" w:hAnsi="宋体" w:eastAsia="宋体" w:cs="宋体"/>
          <w:strike/>
          <w:dstrike w:val="0"/>
          <w:color w:val="auto"/>
          <w:spacing w:val="-3"/>
          <w:sz w:val="24"/>
          <w:szCs w:val="24"/>
          <w:highlight w:val="none"/>
        </w:rPr>
        <w:t>变更）计算的理论用量（含合理损耗）对比分析报表，</w:t>
      </w:r>
      <w:r>
        <w:rPr>
          <w:rFonts w:ascii="宋体" w:hAnsi="宋体" w:eastAsia="宋体" w:cs="宋体"/>
          <w:strike/>
          <w:dstrike w:val="0"/>
          <w:color w:val="auto"/>
          <w:spacing w:val="-4"/>
          <w:sz w:val="24"/>
          <w:szCs w:val="24"/>
          <w:highlight w:val="none"/>
        </w:rPr>
        <w:t>经发包人复核后，如偏差超过</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4"/>
          <w:sz w:val="24"/>
          <w:szCs w:val="24"/>
          <w:highlight w:val="none"/>
        </w:rPr>
        <w:t>5%</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3"/>
          <w:sz w:val="24"/>
          <w:szCs w:val="24"/>
          <w:highlight w:val="none"/>
        </w:rPr>
        <w:t>（石油沥青、改性沥青为</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pacing w:val="-3"/>
          <w:sz w:val="24"/>
          <w:szCs w:val="24"/>
          <w:highlight w:val="none"/>
        </w:rPr>
        <w:t>2%）而无法提供合理解释的，发</w:t>
      </w:r>
      <w:r>
        <w:rPr>
          <w:rFonts w:ascii="宋体" w:hAnsi="宋体" w:eastAsia="宋体" w:cs="宋体"/>
          <w:strike/>
          <w:dstrike w:val="0"/>
          <w:color w:val="auto"/>
          <w:spacing w:val="-4"/>
          <w:sz w:val="24"/>
          <w:szCs w:val="24"/>
          <w:highlight w:val="none"/>
        </w:rPr>
        <w:t>包人有权对承包人处以偏差部</w:t>
      </w:r>
    </w:p>
    <w:p w14:paraId="10FC63C9">
      <w:pPr>
        <w:spacing w:before="78" w:line="218" w:lineRule="auto"/>
        <w:ind w:left="142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分</w:t>
      </w:r>
      <w:r>
        <w:rPr>
          <w:rFonts w:ascii="宋体" w:hAnsi="宋体" w:eastAsia="宋体" w:cs="宋体"/>
          <w:strike/>
          <w:dstrike w:val="0"/>
          <w:color w:val="auto"/>
          <w:spacing w:val="-30"/>
          <w:sz w:val="24"/>
          <w:szCs w:val="24"/>
          <w:highlight w:val="none"/>
        </w:rPr>
        <w:t xml:space="preserve"> </w:t>
      </w:r>
      <w:r>
        <w:rPr>
          <w:rFonts w:ascii="宋体" w:hAnsi="宋体" w:eastAsia="宋体" w:cs="宋体"/>
          <w:strike/>
          <w:dstrike w:val="0"/>
          <w:color w:val="auto"/>
          <w:spacing w:val="-6"/>
          <w:sz w:val="24"/>
          <w:szCs w:val="24"/>
          <w:highlight w:val="none"/>
        </w:rPr>
        <w:t>100％价值的违约金。</w:t>
      </w:r>
    </w:p>
    <w:p w14:paraId="096C44AF">
      <w:pPr>
        <w:spacing w:before="184"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（3）其他主材的采购</w:t>
      </w:r>
    </w:p>
    <w:p w14:paraId="2361AB82">
      <w:pPr>
        <w:spacing w:before="183" w:line="360" w:lineRule="auto"/>
        <w:ind w:left="1430" w:right="1403" w:firstLine="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除统一供应材料以外的主材，承包人可自行决定采购方式。在开始采购</w:t>
      </w:r>
      <w:r>
        <w:rPr>
          <w:rFonts w:ascii="宋体" w:hAnsi="宋体" w:eastAsia="宋体" w:cs="宋体"/>
          <w:color w:val="auto"/>
          <w:spacing w:val="2"/>
          <w:sz w:val="24"/>
          <w:szCs w:val="24"/>
          <w:highlight w:val="none"/>
        </w:rPr>
        <w:t>前至少</w:t>
      </w:r>
      <w:r>
        <w:rPr>
          <w:rFonts w:ascii="宋体" w:hAnsi="宋体" w:eastAsia="宋体" w:cs="宋体"/>
          <w:color w:val="auto"/>
          <w:spacing w:val="-56"/>
          <w:sz w:val="24"/>
          <w:szCs w:val="24"/>
          <w:highlight w:val="none"/>
        </w:rPr>
        <w:t xml:space="preserve"> </w:t>
      </w:r>
      <w:r>
        <w:rPr>
          <w:rFonts w:ascii="宋体" w:hAnsi="宋体" w:eastAsia="宋体" w:cs="宋体"/>
          <w:color w:val="auto"/>
          <w:spacing w:val="2"/>
          <w:sz w:val="24"/>
          <w:szCs w:val="24"/>
          <w:highlight w:val="none"/>
        </w:rPr>
        <w:t>28</w:t>
      </w:r>
      <w:r>
        <w:rPr>
          <w:rFonts w:ascii="宋体" w:hAnsi="宋体" w:eastAsia="宋体" w:cs="宋体"/>
          <w:color w:val="auto"/>
          <w:spacing w:val="-1"/>
          <w:sz w:val="24"/>
          <w:szCs w:val="24"/>
          <w:highlight w:val="none"/>
        </w:rPr>
        <w:t>天，承包人应将采购方案报监理人审批，并严格执行发包人</w:t>
      </w:r>
      <w:r>
        <w:rPr>
          <w:rFonts w:ascii="宋体" w:hAnsi="宋体" w:eastAsia="宋体" w:cs="宋体"/>
          <w:color w:val="auto"/>
          <w:spacing w:val="-2"/>
          <w:sz w:val="24"/>
          <w:szCs w:val="24"/>
          <w:highlight w:val="none"/>
        </w:rPr>
        <w:t>有关材料管理的各项要求。</w:t>
      </w:r>
    </w:p>
    <w:p w14:paraId="3FA578F7">
      <w:pPr>
        <w:spacing w:before="1" w:line="218"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（4）工程地材的采购</w:t>
      </w:r>
    </w:p>
    <w:p w14:paraId="4D255C29">
      <w:pPr>
        <w:spacing w:before="183" w:line="360" w:lineRule="auto"/>
        <w:ind w:left="1426" w:right="1415" w:firstLine="47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对于工程施工所需地材（碎石、砂等</w:t>
      </w:r>
      <w:r>
        <w:rPr>
          <w:rFonts w:ascii="宋体" w:hAnsi="宋体" w:eastAsia="宋体" w:cs="宋体"/>
          <w:color w:val="auto"/>
          <w:spacing w:val="-5"/>
          <w:sz w:val="24"/>
          <w:szCs w:val="24"/>
          <w:highlight w:val="none"/>
        </w:rPr>
        <w:t>）</w:t>
      </w:r>
      <w:r>
        <w:rPr>
          <w:rFonts w:ascii="宋体" w:hAnsi="宋体" w:eastAsia="宋体" w:cs="宋体"/>
          <w:color w:val="auto"/>
          <w:spacing w:val="37"/>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6"/>
          <w:sz w:val="24"/>
          <w:szCs w:val="24"/>
          <w:highlight w:val="none"/>
        </w:rPr>
        <w:t>承包人可自行决定采购方式。在主要地材</w:t>
      </w:r>
      <w:r>
        <w:rPr>
          <w:rFonts w:ascii="宋体" w:hAnsi="宋体" w:eastAsia="宋体" w:cs="宋体"/>
          <w:color w:val="auto"/>
          <w:spacing w:val="1"/>
          <w:sz w:val="24"/>
          <w:szCs w:val="24"/>
          <w:highlight w:val="none"/>
        </w:rPr>
        <w:t>开始采购前至少</w:t>
      </w:r>
      <w:r>
        <w:rPr>
          <w:rFonts w:ascii="宋体" w:hAnsi="宋体" w:eastAsia="宋体" w:cs="宋体"/>
          <w:color w:val="auto"/>
          <w:spacing w:val="-43"/>
          <w:sz w:val="24"/>
          <w:szCs w:val="24"/>
          <w:highlight w:val="none"/>
        </w:rPr>
        <w:t xml:space="preserve"> </w:t>
      </w:r>
      <w:r>
        <w:rPr>
          <w:rFonts w:ascii="宋体" w:hAnsi="宋体" w:eastAsia="宋体" w:cs="宋体"/>
          <w:color w:val="auto"/>
          <w:spacing w:val="1"/>
          <w:sz w:val="24"/>
          <w:szCs w:val="24"/>
          <w:highlight w:val="none"/>
        </w:rPr>
        <w:t>28</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天，承包人应将采购方案</w:t>
      </w:r>
      <w:r>
        <w:rPr>
          <w:rFonts w:ascii="宋体" w:hAnsi="宋体" w:eastAsia="宋体" w:cs="宋体"/>
          <w:color w:val="auto"/>
          <w:sz w:val="24"/>
          <w:szCs w:val="24"/>
          <w:highlight w:val="none"/>
        </w:rPr>
        <w:t>（包括采购地材的品种和数量、供应商的</w:t>
      </w:r>
      <w:r>
        <w:rPr>
          <w:rFonts w:ascii="宋体" w:hAnsi="宋体" w:eastAsia="宋体" w:cs="宋体"/>
          <w:color w:val="auto"/>
          <w:spacing w:val="-1"/>
          <w:sz w:val="24"/>
          <w:szCs w:val="24"/>
          <w:highlight w:val="none"/>
        </w:rPr>
        <w:t>名单、选择该供应商的理由、质量证明文件、供</w:t>
      </w:r>
      <w:r>
        <w:rPr>
          <w:rFonts w:ascii="宋体" w:hAnsi="宋体" w:eastAsia="宋体" w:cs="宋体"/>
          <w:color w:val="auto"/>
          <w:spacing w:val="-2"/>
          <w:sz w:val="24"/>
          <w:szCs w:val="24"/>
          <w:highlight w:val="none"/>
        </w:rPr>
        <w:t>货计划等）报监理人审批。承包人必须通过合法的方式获取石源和砂源，应确保材料的合法来源及品质要求，对材料的运输方式、供应强度及运距等自行测算并承担风险。</w:t>
      </w:r>
    </w:p>
    <w:p w14:paraId="391C4CE3">
      <w:pPr>
        <w:spacing w:before="1" w:line="218"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（5）其他材料和工程设备的采购</w:t>
      </w:r>
    </w:p>
    <w:p w14:paraId="29B85BBC">
      <w:pPr>
        <w:spacing w:before="183" w:line="360" w:lineRule="auto"/>
        <w:ind w:left="1427" w:right="1414" w:firstLine="492"/>
        <w:rPr>
          <w:rFonts w:ascii="宋体" w:hAnsi="宋体" w:eastAsia="宋体" w:cs="宋体"/>
          <w:color w:val="auto"/>
          <w:sz w:val="24"/>
          <w:szCs w:val="24"/>
          <w:highlight w:val="none"/>
        </w:rPr>
      </w:pPr>
      <w:r>
        <w:rPr>
          <w:rFonts w:ascii="宋体" w:hAnsi="宋体" w:eastAsia="宋体" w:cs="宋体"/>
          <w:color w:val="auto"/>
          <w:sz w:val="24"/>
          <w:szCs w:val="24"/>
          <w:highlight w:val="none"/>
        </w:rPr>
        <w:t>除以上（1</w:t>
      </w:r>
      <w:r>
        <w:rPr>
          <w:rFonts w:ascii="宋体" w:hAnsi="宋体" w:eastAsia="宋体" w:cs="宋体"/>
          <w:color w:val="auto"/>
          <w:spacing w:val="-24"/>
          <w:sz w:val="24"/>
          <w:szCs w:val="24"/>
          <w:highlight w:val="none"/>
        </w:rPr>
        <w:t>）～（</w:t>
      </w:r>
      <w:r>
        <w:rPr>
          <w:rFonts w:ascii="宋体" w:hAnsi="宋体" w:eastAsia="宋体" w:cs="宋体"/>
          <w:color w:val="auto"/>
          <w:sz w:val="24"/>
          <w:szCs w:val="24"/>
          <w:highlight w:val="none"/>
        </w:rPr>
        <w:t>4）条之外的其他材料和工程设备，承包人应将选定的各项材料和</w:t>
      </w:r>
      <w:r>
        <w:rPr>
          <w:rFonts w:ascii="宋体" w:hAnsi="宋体" w:eastAsia="宋体" w:cs="宋体"/>
          <w:color w:val="auto"/>
          <w:spacing w:val="-2"/>
          <w:sz w:val="24"/>
          <w:szCs w:val="24"/>
          <w:highlight w:val="none"/>
        </w:rPr>
        <w:t>工程设备的供应商及品种、规格、质量证明文件、数量和供货计划等报送监理人和发包</w:t>
      </w:r>
      <w:r>
        <w:rPr>
          <w:rFonts w:ascii="宋体" w:hAnsi="宋体" w:eastAsia="宋体" w:cs="宋体"/>
          <w:color w:val="auto"/>
          <w:spacing w:val="-9"/>
          <w:sz w:val="24"/>
          <w:szCs w:val="24"/>
          <w:highlight w:val="none"/>
        </w:rPr>
        <w:t>人核备。</w:t>
      </w:r>
    </w:p>
    <w:p w14:paraId="08307DB0">
      <w:pPr>
        <w:spacing w:before="2" w:line="289" w:lineRule="auto"/>
        <w:ind w:left="1439" w:right="1427" w:firstLine="47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（6）监理人和发包人对承包人采购材料和工程设备的审批、核备、监督等并不免</w:t>
      </w:r>
      <w:r>
        <w:rPr>
          <w:rFonts w:ascii="宋体" w:hAnsi="宋体" w:eastAsia="宋体" w:cs="宋体"/>
          <w:color w:val="auto"/>
          <w:spacing w:val="-7"/>
          <w:sz w:val="24"/>
          <w:szCs w:val="24"/>
          <w:highlight w:val="none"/>
        </w:rPr>
        <w:t>除承包人的责任。</w:t>
      </w:r>
    </w:p>
    <w:p w14:paraId="39E02933">
      <w:pPr>
        <w:spacing w:before="184" w:line="313" w:lineRule="auto"/>
        <w:ind w:left="1426" w:right="1416"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（7）如果承包人采购的材料或设备是进口的，则承包人应向监理人提供由中华人</w:t>
      </w:r>
      <w:r>
        <w:rPr>
          <w:rFonts w:ascii="宋体" w:hAnsi="宋体" w:eastAsia="宋体" w:cs="宋体"/>
          <w:color w:val="auto"/>
          <w:spacing w:val="-2"/>
          <w:sz w:val="24"/>
          <w:szCs w:val="24"/>
          <w:highlight w:val="none"/>
        </w:rPr>
        <w:t>民共和国进出口商品检验检疫部门出具的检验证书，证明该材料或设备的质量、规格及</w:t>
      </w:r>
      <w:r>
        <w:rPr>
          <w:rFonts w:ascii="宋体" w:hAnsi="宋体" w:eastAsia="宋体" w:cs="宋体"/>
          <w:color w:val="auto"/>
          <w:spacing w:val="-1"/>
          <w:sz w:val="24"/>
          <w:szCs w:val="24"/>
          <w:highlight w:val="none"/>
        </w:rPr>
        <w:t>其他指标符合设计及技术规范要求，否则发</w:t>
      </w:r>
      <w:r>
        <w:rPr>
          <w:rFonts w:ascii="宋体" w:hAnsi="宋体" w:eastAsia="宋体" w:cs="宋体"/>
          <w:color w:val="auto"/>
          <w:spacing w:val="-2"/>
          <w:sz w:val="24"/>
          <w:szCs w:val="24"/>
          <w:highlight w:val="none"/>
        </w:rPr>
        <w:t>包人有权向承包人提出索赔。</w:t>
      </w:r>
    </w:p>
    <w:p w14:paraId="28D48E5E">
      <w:pPr>
        <w:spacing w:before="180" w:line="325" w:lineRule="auto"/>
        <w:ind w:left="1427" w:right="1416"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（8）为最大限度确保本合同工程的施工质量，满足工程施工机械化、自动化的要</w:t>
      </w:r>
      <w:r>
        <w:rPr>
          <w:rFonts w:ascii="宋体" w:hAnsi="宋体" w:eastAsia="宋体" w:cs="宋体"/>
          <w:color w:val="auto"/>
          <w:spacing w:val="-7"/>
          <w:sz w:val="24"/>
          <w:szCs w:val="24"/>
          <w:highlight w:val="none"/>
        </w:rPr>
        <w:t>求，在合同履行过程中，发包人将结合国内桥梁、隧道等工程施工现状，</w:t>
      </w:r>
      <w:r>
        <w:rPr>
          <w:rFonts w:ascii="宋体" w:hAnsi="宋体" w:eastAsia="宋体" w:cs="宋体"/>
          <w:color w:val="auto"/>
          <w:spacing w:val="85"/>
          <w:sz w:val="24"/>
          <w:szCs w:val="24"/>
          <w:highlight w:val="none"/>
        </w:rPr>
        <w:t xml:space="preserve"> </w:t>
      </w:r>
      <w:r>
        <w:rPr>
          <w:rFonts w:ascii="宋体" w:hAnsi="宋体" w:eastAsia="宋体" w:cs="宋体"/>
          <w:color w:val="auto"/>
          <w:spacing w:val="-7"/>
          <w:sz w:val="24"/>
          <w:szCs w:val="24"/>
          <w:highlight w:val="none"/>
        </w:rPr>
        <w:t>以及工程实际</w:t>
      </w:r>
      <w:r>
        <w:rPr>
          <w:rFonts w:ascii="宋体" w:hAnsi="宋体" w:eastAsia="宋体" w:cs="宋体"/>
          <w:color w:val="auto"/>
          <w:spacing w:val="-2"/>
          <w:sz w:val="24"/>
          <w:szCs w:val="24"/>
          <w:highlight w:val="none"/>
        </w:rPr>
        <w:t>需要，对部分施工流程或工艺等提出特殊的设备要求，由此所增加的设备购置费或租赁费用已包含在合同总价中，发包人不另行支付（除合同另有约定外）。</w:t>
      </w:r>
    </w:p>
    <w:p w14:paraId="49BABA0A">
      <w:pPr>
        <w:spacing w:before="185" w:line="220"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增加</w:t>
      </w:r>
      <w:r>
        <w:rPr>
          <w:rFonts w:ascii="宋体" w:hAnsi="宋体" w:eastAsia="宋体" w:cs="宋体"/>
          <w:color w:val="auto"/>
          <w:spacing w:val="20"/>
          <w:sz w:val="24"/>
          <w:szCs w:val="24"/>
          <w:highlight w:val="none"/>
        </w:rPr>
        <w:t xml:space="preserve"> </w:t>
      </w:r>
      <w:r>
        <w:rPr>
          <w:rFonts w:ascii="宋体" w:hAnsi="宋体" w:eastAsia="宋体" w:cs="宋体"/>
          <w:color w:val="auto"/>
          <w:spacing w:val="-4"/>
          <w:sz w:val="24"/>
          <w:szCs w:val="24"/>
          <w:highlight w:val="none"/>
        </w:rPr>
        <w:t>5.1.3</w:t>
      </w:r>
      <w:r>
        <w:rPr>
          <w:rFonts w:ascii="宋体" w:hAnsi="宋体" w:eastAsia="宋体" w:cs="宋体"/>
          <w:color w:val="auto"/>
          <w:spacing w:val="13"/>
          <w:sz w:val="24"/>
          <w:szCs w:val="24"/>
          <w:highlight w:val="none"/>
        </w:rPr>
        <w:t xml:space="preserve"> </w:t>
      </w:r>
      <w:r>
        <w:rPr>
          <w:rFonts w:ascii="宋体" w:hAnsi="宋体" w:eastAsia="宋体" w:cs="宋体"/>
          <w:color w:val="auto"/>
          <w:spacing w:val="-4"/>
          <w:sz w:val="24"/>
          <w:szCs w:val="24"/>
          <w:highlight w:val="none"/>
        </w:rPr>
        <w:t>项</w:t>
      </w:r>
    </w:p>
    <w:p w14:paraId="52F6C374">
      <w:pPr>
        <w:spacing w:before="181" w:line="219" w:lineRule="auto"/>
        <w:ind w:left="190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承包人采购的材料应得到发包人和监理人的同意，</w:t>
      </w:r>
      <w:r>
        <w:rPr>
          <w:rFonts w:ascii="宋体" w:hAnsi="宋体" w:eastAsia="宋体" w:cs="宋体"/>
          <w:color w:val="auto"/>
          <w:spacing w:val="-2"/>
          <w:sz w:val="24"/>
          <w:szCs w:val="24"/>
          <w:highlight w:val="none"/>
        </w:rPr>
        <w:t>经检验合格后方可使用。</w:t>
      </w:r>
    </w:p>
    <w:p w14:paraId="219451DD">
      <w:pPr>
        <w:spacing w:before="184" w:line="360" w:lineRule="auto"/>
        <w:ind w:left="1427"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监理人征得发包人同意后，有权要求承包人更换不符合要求的料场，承包人必须无</w:t>
      </w:r>
      <w:r>
        <w:rPr>
          <w:rFonts w:ascii="宋体" w:hAnsi="宋体" w:eastAsia="宋体" w:cs="宋体"/>
          <w:color w:val="auto"/>
          <w:spacing w:val="-5"/>
          <w:sz w:val="24"/>
          <w:szCs w:val="24"/>
          <w:highlight w:val="none"/>
        </w:rPr>
        <w:t>条件接受。承包人采购的材料设备与设计或标准要求不符时， 承包人应按监理人要求的</w:t>
      </w:r>
      <w:r>
        <w:rPr>
          <w:rFonts w:ascii="宋体" w:hAnsi="宋体" w:eastAsia="宋体" w:cs="宋体"/>
          <w:color w:val="auto"/>
          <w:spacing w:val="-2"/>
          <w:sz w:val="24"/>
          <w:szCs w:val="24"/>
          <w:highlight w:val="none"/>
        </w:rPr>
        <w:t>时间运出施工场地，重新采购符合要求的产品，由此发生的费用均由承包人承担，引起</w:t>
      </w:r>
      <w:r>
        <w:rPr>
          <w:rFonts w:ascii="宋体" w:hAnsi="宋体" w:eastAsia="宋体" w:cs="宋体"/>
          <w:color w:val="auto"/>
          <w:spacing w:val="-4"/>
          <w:sz w:val="24"/>
          <w:szCs w:val="24"/>
          <w:highlight w:val="none"/>
        </w:rPr>
        <w:t>的工期延误不予顺延工期。</w:t>
      </w:r>
    </w:p>
    <w:p w14:paraId="23CAA434">
      <w:pPr>
        <w:spacing w:before="185" w:line="220" w:lineRule="auto"/>
        <w:ind w:left="1906"/>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本款补充第 5.1.4项：</w:t>
      </w:r>
    </w:p>
    <w:p w14:paraId="5E93C5F4">
      <w:pPr>
        <w:spacing w:before="185" w:line="220" w:lineRule="auto"/>
        <w:ind w:left="1906"/>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5.1.4  材料的防护、标识和可追溯性</w:t>
      </w:r>
    </w:p>
    <w:p w14:paraId="7D714D11">
      <w:pPr>
        <w:spacing w:before="183" w:line="360" w:lineRule="auto"/>
        <w:ind w:left="1424" w:right="1403"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承包人应根据材料特性对材料的运输、储存和保管的方法予以规定和执行， 防止材</w:t>
      </w:r>
      <w:r>
        <w:rPr>
          <w:rFonts w:ascii="宋体" w:hAnsi="宋体" w:eastAsia="宋体" w:cs="宋体"/>
          <w:color w:val="auto"/>
          <w:spacing w:val="-1"/>
          <w:sz w:val="24"/>
          <w:szCs w:val="24"/>
          <w:highlight w:val="none"/>
        </w:rPr>
        <w:t>料发生损坏、混淆、变质和受到污染。各种原材料、半成品的储存方式</w:t>
      </w:r>
      <w:r>
        <w:rPr>
          <w:rFonts w:ascii="宋体" w:hAnsi="宋体" w:eastAsia="宋体" w:cs="宋体"/>
          <w:color w:val="auto"/>
          <w:spacing w:val="-2"/>
          <w:sz w:val="24"/>
          <w:szCs w:val="24"/>
          <w:highlight w:val="none"/>
        </w:rPr>
        <w:t>及所用的仓库、储罐、场地等应提前得到监理人的同意和确认。</w:t>
      </w:r>
    </w:p>
    <w:p w14:paraId="358BDF49">
      <w:pPr>
        <w:spacing w:line="360" w:lineRule="auto"/>
        <w:ind w:left="1434" w:right="1416" w:firstLine="47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承包人应对材料的种类、特性和检验状态进行标识， 确保每批材料保持良好状态并</w:t>
      </w:r>
      <w:r>
        <w:rPr>
          <w:rFonts w:ascii="宋体" w:hAnsi="宋体" w:eastAsia="宋体" w:cs="宋体"/>
          <w:color w:val="auto"/>
          <w:spacing w:val="-3"/>
          <w:sz w:val="24"/>
          <w:szCs w:val="24"/>
          <w:highlight w:val="none"/>
        </w:rPr>
        <w:t>能追溯到采购日期、供应商和相关的质量证明文件。</w:t>
      </w:r>
    </w:p>
    <w:p w14:paraId="14DCCE3A">
      <w:pPr>
        <w:spacing w:line="360" w:lineRule="auto"/>
        <w:ind w:left="1425"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在施工现场应建立原材料的进出场台帐、质量检验和质量跟踪台帐。其内容应包括进货日期、材料名称、品种、规格、数量、生产单位、供货单位、质量证明书编号、复试检验报告编号、检验结果和所用的工程部位等。</w:t>
      </w:r>
    </w:p>
    <w:p w14:paraId="591C5418">
      <w:pPr>
        <w:spacing w:before="1" w:line="218"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5.2 发包人提供的材料和工程设备</w:t>
      </w:r>
    </w:p>
    <w:p w14:paraId="7B19911D">
      <w:pPr>
        <w:spacing w:before="183" w:line="220"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5.2.1</w:t>
      </w:r>
      <w:r>
        <w:rPr>
          <w:rFonts w:ascii="宋体" w:hAnsi="宋体" w:eastAsia="宋体" w:cs="宋体"/>
          <w:strike/>
          <w:dstrike w:val="0"/>
          <w:color w:val="auto"/>
          <w:spacing w:val="-47"/>
          <w:sz w:val="24"/>
          <w:szCs w:val="24"/>
          <w:highlight w:val="none"/>
        </w:rPr>
        <w:t xml:space="preserve"> </w:t>
      </w:r>
      <w:r>
        <w:rPr>
          <w:rFonts w:ascii="宋体" w:hAnsi="宋体" w:eastAsia="宋体" w:cs="宋体"/>
          <w:strike/>
          <w:dstrike w:val="0"/>
          <w:color w:val="auto"/>
          <w:spacing w:val="-7"/>
          <w:sz w:val="24"/>
          <w:szCs w:val="24"/>
          <w:highlight w:val="none"/>
        </w:rPr>
        <w:t>项细化为：</w:t>
      </w:r>
    </w:p>
    <w:p w14:paraId="15537922">
      <w:pPr>
        <w:spacing w:before="180" w:line="325" w:lineRule="auto"/>
        <w:ind w:left="1426" w:right="1415"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5.2.1</w:t>
      </w:r>
      <w:r>
        <w:rPr>
          <w:rFonts w:ascii="宋体" w:hAnsi="宋体" w:eastAsia="宋体" w:cs="宋体"/>
          <w:strike/>
          <w:dstrike w:val="0"/>
          <w:color w:val="auto"/>
          <w:spacing w:val="-38"/>
          <w:sz w:val="24"/>
          <w:szCs w:val="24"/>
          <w:highlight w:val="none"/>
        </w:rPr>
        <w:t xml:space="preserve"> </w:t>
      </w:r>
      <w:r>
        <w:rPr>
          <w:rFonts w:ascii="宋体" w:hAnsi="宋体" w:eastAsia="宋体" w:cs="宋体"/>
          <w:strike/>
          <w:dstrike w:val="0"/>
          <w:color w:val="auto"/>
          <w:spacing w:val="-4"/>
          <w:sz w:val="24"/>
          <w:szCs w:val="24"/>
          <w:highlight w:val="none"/>
        </w:rPr>
        <w:t>为确保本项目的建设质量，发包人将按</w:t>
      </w:r>
      <w:r>
        <w:rPr>
          <w:rFonts w:ascii="宋体" w:hAnsi="宋体" w:eastAsia="宋体" w:cs="宋体"/>
          <w:strike/>
          <w:dstrike w:val="0"/>
          <w:color w:val="auto"/>
          <w:spacing w:val="-52"/>
          <w:sz w:val="24"/>
          <w:szCs w:val="24"/>
          <w:highlight w:val="none"/>
        </w:rPr>
        <w:t xml:space="preserve"> </w:t>
      </w:r>
      <w:r>
        <w:rPr>
          <w:rFonts w:ascii="宋体" w:hAnsi="宋体" w:eastAsia="宋体" w:cs="宋体"/>
          <w:strike/>
          <w:dstrike w:val="0"/>
          <w:color w:val="auto"/>
          <w:spacing w:val="-4"/>
          <w:sz w:val="24"/>
          <w:szCs w:val="24"/>
          <w:highlight w:val="none"/>
        </w:rPr>
        <w:t>4.3.15</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4"/>
          <w:sz w:val="24"/>
          <w:szCs w:val="24"/>
          <w:highlight w:val="none"/>
        </w:rPr>
        <w:t>款关于特殊分包人或供货人的</w:t>
      </w:r>
      <w:r>
        <w:rPr>
          <w:rFonts w:ascii="宋体" w:hAnsi="宋体" w:eastAsia="宋体" w:cs="宋体"/>
          <w:strike/>
          <w:dstrike w:val="0"/>
          <w:color w:val="auto"/>
          <w:spacing w:val="-2"/>
          <w:sz w:val="24"/>
          <w:szCs w:val="24"/>
          <w:highlight w:val="none"/>
        </w:rPr>
        <w:t>规定，将本合同附件十《特殊材料设备供应一览表》（下称一览表）规定的材料设备通过招标方式选定材料设备供货人。材料设备供货人将按表列的价格向承包人提供材料设</w:t>
      </w:r>
      <w:r>
        <w:rPr>
          <w:rFonts w:ascii="宋体" w:hAnsi="宋体" w:eastAsia="宋体" w:cs="宋体"/>
          <w:strike/>
          <w:dstrike w:val="0"/>
          <w:color w:val="auto"/>
          <w:spacing w:val="-3"/>
          <w:sz w:val="24"/>
          <w:szCs w:val="24"/>
          <w:highlight w:val="none"/>
        </w:rPr>
        <w:t>备。对于此类特殊材料的供货，应满足以下规定：</w:t>
      </w:r>
    </w:p>
    <w:p w14:paraId="7B168748">
      <w:pPr>
        <w:spacing w:before="184" w:line="289" w:lineRule="auto"/>
        <w:ind w:left="1424" w:right="1229" w:firstLine="5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(1) 发包人按一览表约定的内容提供材料设备，并负责向承包人提供产品合格证明，</w:t>
      </w:r>
      <w:r>
        <w:rPr>
          <w:rFonts w:ascii="宋体" w:hAnsi="宋体" w:eastAsia="宋体" w:cs="宋体"/>
          <w:strike/>
          <w:dstrike w:val="0"/>
          <w:color w:val="auto"/>
          <w:spacing w:val="-1"/>
          <w:sz w:val="24"/>
          <w:szCs w:val="24"/>
          <w:highlight w:val="none"/>
        </w:rPr>
        <w:t>对其真实性负责。但此项规定并不表明免除承包人检验材</w:t>
      </w:r>
      <w:r>
        <w:rPr>
          <w:rFonts w:ascii="宋体" w:hAnsi="宋体" w:eastAsia="宋体" w:cs="宋体"/>
          <w:strike/>
          <w:dstrike w:val="0"/>
          <w:color w:val="auto"/>
          <w:spacing w:val="-2"/>
          <w:sz w:val="24"/>
          <w:szCs w:val="24"/>
          <w:highlight w:val="none"/>
        </w:rPr>
        <w:t>料设备质量的责任。</w:t>
      </w:r>
    </w:p>
    <w:p w14:paraId="365C8067">
      <w:pPr>
        <w:spacing w:before="185" w:line="289" w:lineRule="auto"/>
        <w:ind w:left="1424" w:right="1416" w:firstLine="5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(2) 工程开工后，承包人应根据进度计划向发包人提出本款规定的材料设备使用计划，由发包人按计划提供材料。</w:t>
      </w:r>
    </w:p>
    <w:p w14:paraId="0DD208D3">
      <w:pPr>
        <w:spacing w:before="183" w:line="290" w:lineRule="auto"/>
        <w:ind w:left="1425" w:right="1423" w:firstLine="52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 发包人在所供材料设备到货前</w:t>
      </w:r>
      <w:r>
        <w:rPr>
          <w:rFonts w:ascii="宋体" w:hAnsi="宋体" w:eastAsia="宋体" w:cs="宋体"/>
          <w:strike/>
          <w:dstrike w:val="0"/>
          <w:color w:val="auto"/>
          <w:spacing w:val="-29"/>
          <w:sz w:val="24"/>
          <w:szCs w:val="24"/>
          <w:highlight w:val="none"/>
        </w:rPr>
        <w:t xml:space="preserve"> </w:t>
      </w:r>
      <w:r>
        <w:rPr>
          <w:rFonts w:ascii="宋体" w:hAnsi="宋体" w:eastAsia="宋体" w:cs="宋体"/>
          <w:strike/>
          <w:dstrike w:val="0"/>
          <w:color w:val="auto"/>
          <w:spacing w:val="-1"/>
          <w:sz w:val="24"/>
          <w:szCs w:val="24"/>
          <w:highlight w:val="none"/>
        </w:rPr>
        <w:t>24</w:t>
      </w:r>
      <w:r>
        <w:rPr>
          <w:rFonts w:ascii="宋体" w:hAnsi="宋体" w:eastAsia="宋体" w:cs="宋体"/>
          <w:strike/>
          <w:dstrike w:val="0"/>
          <w:color w:val="auto"/>
          <w:spacing w:val="-41"/>
          <w:sz w:val="24"/>
          <w:szCs w:val="24"/>
          <w:highlight w:val="none"/>
        </w:rPr>
        <w:t xml:space="preserve"> </w:t>
      </w:r>
      <w:r>
        <w:rPr>
          <w:rFonts w:ascii="宋体" w:hAnsi="宋体" w:eastAsia="宋体" w:cs="宋体"/>
          <w:strike/>
          <w:dstrike w:val="0"/>
          <w:color w:val="auto"/>
          <w:spacing w:val="-1"/>
          <w:sz w:val="24"/>
          <w:szCs w:val="24"/>
          <w:highlight w:val="none"/>
        </w:rPr>
        <w:t>小时，以书面形式通知承包人；到货时，由</w:t>
      </w:r>
      <w:r>
        <w:rPr>
          <w:rFonts w:ascii="宋体" w:hAnsi="宋体" w:eastAsia="宋体" w:cs="宋体"/>
          <w:strike/>
          <w:dstrike w:val="0"/>
          <w:color w:val="auto"/>
          <w:spacing w:val="-2"/>
          <w:sz w:val="24"/>
          <w:szCs w:val="24"/>
          <w:highlight w:val="none"/>
        </w:rPr>
        <w:t>承包人派人清点，必要时，发包人可派人参</w:t>
      </w:r>
      <w:r>
        <w:rPr>
          <w:rFonts w:ascii="宋体" w:hAnsi="宋体" w:eastAsia="宋体" w:cs="宋体"/>
          <w:strike/>
          <w:dstrike w:val="0"/>
          <w:color w:val="auto"/>
          <w:spacing w:val="-3"/>
          <w:sz w:val="24"/>
          <w:szCs w:val="24"/>
          <w:highlight w:val="none"/>
        </w:rPr>
        <w:t>加。</w:t>
      </w:r>
    </w:p>
    <w:p w14:paraId="6E17AB3A">
      <w:pPr>
        <w:spacing w:before="78" w:line="219" w:lineRule="auto"/>
        <w:ind w:left="194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(4) 材料设备办理清点交接手续后，承包人承担产品的储存、保管责任。</w:t>
      </w:r>
    </w:p>
    <w:p w14:paraId="1B2769B6">
      <w:pPr>
        <w:spacing w:before="182" w:line="290" w:lineRule="auto"/>
        <w:ind w:left="1427" w:right="1416" w:firstLine="52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(5) 一览表约定的数量为暂定数量，发包人按承包人实际接收材料设备数量进行结</w:t>
      </w:r>
      <w:r>
        <w:rPr>
          <w:rFonts w:ascii="宋体" w:hAnsi="宋体" w:eastAsia="宋体" w:cs="宋体"/>
          <w:strike/>
          <w:dstrike w:val="0"/>
          <w:color w:val="auto"/>
          <w:spacing w:val="-12"/>
          <w:sz w:val="24"/>
          <w:szCs w:val="24"/>
          <w:highlight w:val="none"/>
        </w:rPr>
        <w:t>算。</w:t>
      </w:r>
    </w:p>
    <w:p w14:paraId="5E9E7DD9">
      <w:pPr>
        <w:spacing w:before="182" w:line="289" w:lineRule="auto"/>
        <w:ind w:left="1423" w:right="1416" w:firstLine="52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(6) 一览表约定的到货地点不一致时，发包人负责运达一览表指定地点；发包人采</w:t>
      </w:r>
      <w:r>
        <w:rPr>
          <w:rFonts w:ascii="宋体" w:hAnsi="宋体" w:eastAsia="宋体" w:cs="宋体"/>
          <w:strike/>
          <w:dstrike w:val="0"/>
          <w:color w:val="auto"/>
          <w:spacing w:val="-2"/>
          <w:sz w:val="24"/>
          <w:szCs w:val="24"/>
          <w:highlight w:val="none"/>
        </w:rPr>
        <w:t>购单价与一览表材料设备单价不符，发包人仅承担价差（含税）。</w:t>
      </w:r>
    </w:p>
    <w:p w14:paraId="67D317E8">
      <w:pPr>
        <w:spacing w:before="181" w:line="337" w:lineRule="auto"/>
        <w:ind w:left="1426" w:right="1331" w:firstLine="52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(7) 发包人供应的材料设备使用前，由承包人负责检验或试验，品种、规格、型号</w:t>
      </w:r>
      <w:r>
        <w:rPr>
          <w:rFonts w:ascii="宋体" w:hAnsi="宋体" w:eastAsia="宋体" w:cs="宋体"/>
          <w:strike/>
          <w:dstrike w:val="0"/>
          <w:color w:val="auto"/>
          <w:sz w:val="24"/>
          <w:szCs w:val="24"/>
          <w:highlight w:val="none"/>
        </w:rPr>
        <w:t>或质量与一览表不符的，承包人可拒绝接收，发包人应负责</w:t>
      </w:r>
      <w:r>
        <w:rPr>
          <w:rFonts w:ascii="宋体" w:hAnsi="宋体" w:eastAsia="宋体" w:cs="宋体"/>
          <w:strike/>
          <w:dstrike w:val="0"/>
          <w:color w:val="auto"/>
          <w:spacing w:val="-1"/>
          <w:sz w:val="24"/>
          <w:szCs w:val="24"/>
          <w:highlight w:val="none"/>
        </w:rPr>
        <w:t>运出施工场地并重新采购；</w:t>
      </w:r>
      <w:r>
        <w:rPr>
          <w:rFonts w:ascii="宋体" w:hAnsi="宋体" w:eastAsia="宋体" w:cs="宋体"/>
          <w:strike/>
          <w:dstrike w:val="0"/>
          <w:color w:val="auto"/>
          <w:spacing w:val="-5"/>
          <w:sz w:val="24"/>
          <w:szCs w:val="24"/>
          <w:highlight w:val="none"/>
        </w:rPr>
        <w:t>品种、规格或型号与一览表不符但质量经检</w:t>
      </w:r>
      <w:r>
        <w:rPr>
          <w:rFonts w:ascii="宋体" w:hAnsi="宋体" w:eastAsia="宋体" w:cs="宋体"/>
          <w:strike/>
          <w:dstrike w:val="0"/>
          <w:color w:val="auto"/>
          <w:spacing w:val="-6"/>
          <w:sz w:val="24"/>
          <w:szCs w:val="24"/>
          <w:highlight w:val="none"/>
        </w:rPr>
        <w:t>验合格的，经监理人同意，可调剂串换使用。</w:t>
      </w:r>
      <w:r>
        <w:rPr>
          <w:rFonts w:ascii="宋体" w:hAnsi="宋体" w:eastAsia="宋体" w:cs="宋体"/>
          <w:strike/>
          <w:dstrike w:val="0"/>
          <w:color w:val="auto"/>
          <w:spacing w:val="-2"/>
          <w:sz w:val="24"/>
          <w:szCs w:val="24"/>
          <w:highlight w:val="none"/>
        </w:rPr>
        <w:t>若上述不符是属于承包人责任造成的，则因此而增加的相应费用由承包人承担。若上述不符是属于非承包人责任造成的，并因此引起承包人工期延误或费用增加，则由发包人</w:t>
      </w:r>
      <w:r>
        <w:rPr>
          <w:rFonts w:ascii="宋体" w:hAnsi="宋体" w:eastAsia="宋体" w:cs="宋体"/>
          <w:strike/>
          <w:dstrike w:val="0"/>
          <w:color w:val="auto"/>
          <w:spacing w:val="-8"/>
          <w:sz w:val="24"/>
          <w:szCs w:val="24"/>
          <w:highlight w:val="none"/>
        </w:rPr>
        <w:t>负责赔偿。</w:t>
      </w:r>
    </w:p>
    <w:p w14:paraId="200E8B3A">
      <w:pPr>
        <w:spacing w:before="183" w:line="289" w:lineRule="auto"/>
        <w:ind w:left="1430" w:right="1416" w:firstLine="51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(8) 为恰当和正确地使用、安装和实施这些材料和工程设备所必需的但一览表中未</w:t>
      </w:r>
      <w:r>
        <w:rPr>
          <w:rFonts w:ascii="宋体" w:hAnsi="宋体" w:eastAsia="宋体" w:cs="宋体"/>
          <w:strike/>
          <w:dstrike w:val="0"/>
          <w:color w:val="auto"/>
          <w:spacing w:val="-2"/>
          <w:sz w:val="24"/>
          <w:szCs w:val="24"/>
          <w:highlight w:val="none"/>
        </w:rPr>
        <w:t>列明的其他任何辅助性材料以及人工费应已经包含在承包人的合同总价中。</w:t>
      </w:r>
    </w:p>
    <w:p w14:paraId="46FF1CC8">
      <w:pPr>
        <w:spacing w:before="183" w:line="314" w:lineRule="auto"/>
        <w:ind w:left="1424" w:right="1416" w:firstLine="5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(9) 发包人供应的材料设备款，发包人将在供应后一个至两个月内从承包人工程进</w:t>
      </w:r>
      <w:r>
        <w:rPr>
          <w:rFonts w:ascii="宋体" w:hAnsi="宋体" w:eastAsia="宋体" w:cs="宋体"/>
          <w:strike/>
          <w:dstrike w:val="0"/>
          <w:color w:val="auto"/>
          <w:spacing w:val="-5"/>
          <w:sz w:val="24"/>
          <w:szCs w:val="24"/>
          <w:highlight w:val="none"/>
        </w:rPr>
        <w:t>度款中扣回。但为保证材料设备款在交工验收时得到全额扣回， 发包人有权调整扣回时</w:t>
      </w:r>
      <w:r>
        <w:rPr>
          <w:rFonts w:ascii="宋体" w:hAnsi="宋体" w:eastAsia="宋体" w:cs="宋体"/>
          <w:strike/>
          <w:dstrike w:val="0"/>
          <w:color w:val="auto"/>
          <w:spacing w:val="-7"/>
          <w:sz w:val="24"/>
          <w:szCs w:val="24"/>
          <w:highlight w:val="none"/>
        </w:rPr>
        <w:t>间及比例。</w:t>
      </w:r>
    </w:p>
    <w:p w14:paraId="41E32E15">
      <w:pPr>
        <w:spacing w:before="178" w:line="340" w:lineRule="auto"/>
        <w:ind w:left="1426" w:right="1351" w:firstLine="521"/>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(10) 如发包人需采用任何从国（境）外进口材料和工程设备，且这些进口的材料</w:t>
      </w:r>
      <w:r>
        <w:rPr>
          <w:rFonts w:ascii="宋体" w:hAnsi="宋体" w:eastAsia="宋体" w:cs="宋体"/>
          <w:strike/>
          <w:dstrike w:val="0"/>
          <w:color w:val="auto"/>
          <w:spacing w:val="-2"/>
          <w:sz w:val="24"/>
          <w:szCs w:val="24"/>
          <w:highlight w:val="none"/>
        </w:rPr>
        <w:t>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w:t>
      </w:r>
      <w:r>
        <w:rPr>
          <w:rFonts w:ascii="宋体" w:hAnsi="宋体" w:eastAsia="宋体" w:cs="宋体"/>
          <w:strike/>
          <w:dstrike w:val="0"/>
          <w:color w:val="auto"/>
          <w:spacing w:val="-6"/>
          <w:sz w:val="24"/>
          <w:szCs w:val="24"/>
          <w:highlight w:val="none"/>
        </w:rPr>
        <w:t>误，承包人应就此通知监理人，监理人在收到此类通知并与承包人适当协商之后应决定：</w:t>
      </w:r>
      <w:r>
        <w:rPr>
          <w:rFonts w:ascii="宋体" w:hAnsi="宋体" w:eastAsia="宋体" w:cs="宋体"/>
          <w:strike/>
          <w:dstrike w:val="0"/>
          <w:color w:val="auto"/>
          <w:sz w:val="24"/>
          <w:szCs w:val="24"/>
          <w:highlight w:val="none"/>
        </w:rPr>
        <w:t>依据第</w:t>
      </w:r>
      <w:r>
        <w:rPr>
          <w:rFonts w:ascii="宋体" w:hAnsi="宋体" w:eastAsia="宋体" w:cs="宋体"/>
          <w:strike/>
          <w:dstrike w:val="0"/>
          <w:color w:val="auto"/>
          <w:spacing w:val="-23"/>
          <w:sz w:val="24"/>
          <w:szCs w:val="24"/>
          <w:highlight w:val="none"/>
        </w:rPr>
        <w:t xml:space="preserve"> </w:t>
      </w:r>
      <w:r>
        <w:rPr>
          <w:rFonts w:ascii="宋体" w:hAnsi="宋体" w:eastAsia="宋体" w:cs="宋体"/>
          <w:strike/>
          <w:dstrike w:val="0"/>
          <w:color w:val="auto"/>
          <w:sz w:val="24"/>
          <w:szCs w:val="24"/>
          <w:highlight w:val="none"/>
        </w:rPr>
        <w:t>11.3</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z w:val="24"/>
          <w:szCs w:val="24"/>
          <w:highlight w:val="none"/>
        </w:rPr>
        <w:t>款规定承包人是否可以延长工期，承包人由此而发生的额外费用是否增加</w:t>
      </w:r>
      <w:r>
        <w:rPr>
          <w:rFonts w:ascii="宋体" w:hAnsi="宋体" w:eastAsia="宋体" w:cs="宋体"/>
          <w:strike/>
          <w:dstrike w:val="0"/>
          <w:color w:val="auto"/>
          <w:spacing w:val="-7"/>
          <w:sz w:val="24"/>
          <w:szCs w:val="24"/>
          <w:highlight w:val="none"/>
        </w:rPr>
        <w:t>到合同价中。</w:t>
      </w:r>
    </w:p>
    <w:p w14:paraId="704E9543">
      <w:pPr>
        <w:spacing w:before="185" w:line="360" w:lineRule="auto"/>
        <w:ind w:left="1427" w:right="1331" w:firstLine="481"/>
        <w:jc w:val="both"/>
        <w:rPr>
          <w:rFonts w:ascii="宋体" w:hAnsi="宋体" w:eastAsia="宋体" w:cs="宋体"/>
          <w:color w:val="auto"/>
          <w:sz w:val="24"/>
          <w:szCs w:val="24"/>
          <w:highlight w:val="none"/>
        </w:rPr>
      </w:pPr>
      <w:r>
        <w:rPr>
          <w:rFonts w:ascii="宋体" w:hAnsi="宋体" w:eastAsia="宋体" w:cs="宋体"/>
          <w:strike/>
          <w:dstrike w:val="0"/>
          <w:color w:val="auto"/>
          <w:spacing w:val="-2"/>
          <w:sz w:val="24"/>
          <w:szCs w:val="24"/>
          <w:highlight w:val="none"/>
        </w:rPr>
        <w:t>没有发包人的书面同意，承包人不得自行采购</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2"/>
          <w:sz w:val="24"/>
          <w:szCs w:val="24"/>
          <w:highlight w:val="none"/>
        </w:rPr>
        <w:t>5.2.1</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2"/>
          <w:sz w:val="24"/>
          <w:szCs w:val="24"/>
          <w:highlight w:val="none"/>
        </w:rPr>
        <w:t>款规</w:t>
      </w:r>
      <w:r>
        <w:rPr>
          <w:rFonts w:ascii="宋体" w:hAnsi="宋体" w:eastAsia="宋体" w:cs="宋体"/>
          <w:strike/>
          <w:dstrike w:val="0"/>
          <w:color w:val="auto"/>
          <w:spacing w:val="-3"/>
          <w:sz w:val="24"/>
          <w:szCs w:val="24"/>
          <w:highlight w:val="none"/>
        </w:rPr>
        <w:t>定的材料和工程设备，否</w:t>
      </w:r>
      <w:r>
        <w:rPr>
          <w:rFonts w:ascii="宋体" w:hAnsi="宋体" w:eastAsia="宋体" w:cs="宋体"/>
          <w:strike/>
          <w:dstrike w:val="0"/>
          <w:color w:val="auto"/>
          <w:spacing w:val="-6"/>
          <w:sz w:val="24"/>
          <w:szCs w:val="24"/>
          <w:highlight w:val="none"/>
        </w:rPr>
        <w:t>则监理人、发包人将拒绝使用这些材料和工程设备，承包人应赔偿由此带来的一切损失。</w:t>
      </w:r>
      <w:r>
        <w:rPr>
          <w:rFonts w:ascii="宋体" w:hAnsi="宋体" w:eastAsia="宋体" w:cs="宋体"/>
          <w:strike/>
          <w:dstrike w:val="0"/>
          <w:color w:val="auto"/>
          <w:sz w:val="24"/>
          <w:szCs w:val="24"/>
          <w:highlight w:val="none"/>
        </w:rPr>
        <w:t>无论出现任何情况，承包人均不得售卖发包人供应的材料</w:t>
      </w:r>
      <w:r>
        <w:rPr>
          <w:rFonts w:ascii="宋体" w:hAnsi="宋体" w:eastAsia="宋体" w:cs="宋体"/>
          <w:strike/>
          <w:dstrike w:val="0"/>
          <w:color w:val="auto"/>
          <w:spacing w:val="-1"/>
          <w:sz w:val="24"/>
          <w:szCs w:val="24"/>
          <w:highlight w:val="none"/>
        </w:rPr>
        <w:t>和工程设备，否则一经查实，</w:t>
      </w:r>
      <w:r>
        <w:rPr>
          <w:rFonts w:ascii="宋体" w:hAnsi="宋体" w:eastAsia="宋体" w:cs="宋体"/>
          <w:strike/>
          <w:dstrike w:val="0"/>
          <w:color w:val="auto"/>
          <w:spacing w:val="-2"/>
          <w:sz w:val="24"/>
          <w:szCs w:val="24"/>
          <w:highlight w:val="none"/>
        </w:rPr>
        <w:t>发包人有权对承包人处以售卖材料或工程设备金额两倍的违约金。</w:t>
      </w:r>
    </w:p>
    <w:p w14:paraId="648DB544">
      <w:pPr>
        <w:spacing w:before="1" w:line="218" w:lineRule="auto"/>
        <w:ind w:left="19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5.4 禁止使用不合格的材料和工程设备</w:t>
      </w:r>
    </w:p>
    <w:p w14:paraId="100CE567">
      <w:pPr>
        <w:spacing w:before="183" w:line="220"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5.4.2</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项末尾增加：承包人还应承担由此带来的</w:t>
      </w:r>
      <w:r>
        <w:rPr>
          <w:rFonts w:ascii="宋体" w:hAnsi="宋体" w:eastAsia="宋体" w:cs="宋体"/>
          <w:color w:val="auto"/>
          <w:spacing w:val="-3"/>
          <w:sz w:val="24"/>
          <w:szCs w:val="24"/>
          <w:highlight w:val="none"/>
        </w:rPr>
        <w:t>一切损失。</w:t>
      </w:r>
    </w:p>
    <w:p w14:paraId="75526E78">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本条补充第 5.5</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款-第</w:t>
      </w:r>
      <w:r>
        <w:rPr>
          <w:rFonts w:ascii="宋体" w:hAnsi="宋体" w:eastAsia="宋体" w:cs="宋体"/>
          <w:color w:val="auto"/>
          <w:spacing w:val="14"/>
          <w:sz w:val="24"/>
          <w:szCs w:val="24"/>
          <w:highlight w:val="none"/>
        </w:rPr>
        <w:t xml:space="preserve"> </w:t>
      </w:r>
      <w:r>
        <w:rPr>
          <w:rFonts w:ascii="宋体" w:hAnsi="宋体" w:eastAsia="宋体" w:cs="宋体"/>
          <w:color w:val="auto"/>
          <w:spacing w:val="-4"/>
          <w:sz w:val="24"/>
          <w:szCs w:val="24"/>
          <w:highlight w:val="none"/>
        </w:rPr>
        <w:t>5.8</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款：</w:t>
      </w:r>
    </w:p>
    <w:p w14:paraId="531BF28F">
      <w:pPr>
        <w:pStyle w:val="3"/>
        <w:spacing w:line="267" w:lineRule="auto"/>
        <w:rPr>
          <w:color w:val="auto"/>
          <w:highlight w:val="none"/>
        </w:rPr>
      </w:pPr>
    </w:p>
    <w:p w14:paraId="7D4E6602">
      <w:pPr>
        <w:spacing w:before="78" w:line="219" w:lineRule="auto"/>
        <w:ind w:left="19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5.5</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代用材料的使用</w:t>
      </w:r>
    </w:p>
    <w:p w14:paraId="14ECC238">
      <w:pPr>
        <w:spacing w:before="183" w:line="360" w:lineRule="auto"/>
        <w:ind w:left="1426" w:right="1416"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5.5.1</w:t>
      </w:r>
      <w:r>
        <w:rPr>
          <w:rFonts w:ascii="宋体" w:hAnsi="宋体" w:eastAsia="宋体" w:cs="宋体"/>
          <w:color w:val="auto"/>
          <w:spacing w:val="-34"/>
          <w:sz w:val="24"/>
          <w:szCs w:val="24"/>
          <w:highlight w:val="none"/>
        </w:rPr>
        <w:t xml:space="preserve"> </w:t>
      </w:r>
      <w:r>
        <w:rPr>
          <w:rFonts w:ascii="宋体" w:hAnsi="宋体" w:eastAsia="宋体" w:cs="宋体"/>
          <w:color w:val="auto"/>
          <w:spacing w:val="-1"/>
          <w:sz w:val="24"/>
          <w:szCs w:val="24"/>
          <w:highlight w:val="none"/>
        </w:rPr>
        <w:t>承包人需要使用代用材料时，应经监理人认可并由发包人同意后才能使用，</w:t>
      </w:r>
      <w:r>
        <w:rPr>
          <w:rFonts w:ascii="宋体" w:hAnsi="宋体" w:eastAsia="宋体" w:cs="宋体"/>
          <w:color w:val="auto"/>
          <w:spacing w:val="-5"/>
          <w:sz w:val="24"/>
          <w:szCs w:val="24"/>
          <w:highlight w:val="none"/>
        </w:rPr>
        <w:t>由此增减的合同价款双方以书面形式议定。承包人申请使用代用材料， 仅限于出现下列</w:t>
      </w:r>
      <w:r>
        <w:rPr>
          <w:rFonts w:ascii="宋体" w:hAnsi="宋体" w:eastAsia="宋体" w:cs="宋体"/>
          <w:color w:val="auto"/>
          <w:spacing w:val="-13"/>
          <w:sz w:val="24"/>
          <w:szCs w:val="24"/>
          <w:highlight w:val="none"/>
        </w:rPr>
        <w:t>情况时：</w:t>
      </w:r>
    </w:p>
    <w:p w14:paraId="2C12034F">
      <w:pPr>
        <w:spacing w:before="1" w:line="218"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(1)市场上无供应或在一定时间内突然供应短缺；</w:t>
      </w:r>
    </w:p>
    <w:p w14:paraId="340268C1">
      <w:pPr>
        <w:spacing w:before="183" w:line="219"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(2)政府或有关管理机构的后继规章、规定</w:t>
      </w:r>
      <w:r>
        <w:rPr>
          <w:rFonts w:ascii="宋体" w:hAnsi="宋体" w:eastAsia="宋体" w:cs="宋体"/>
          <w:color w:val="auto"/>
          <w:spacing w:val="-5"/>
          <w:sz w:val="24"/>
          <w:szCs w:val="24"/>
          <w:highlight w:val="none"/>
        </w:rPr>
        <w:t>禁止使用；</w:t>
      </w:r>
    </w:p>
    <w:p w14:paraId="689723B8">
      <w:pPr>
        <w:spacing w:before="182" w:line="290" w:lineRule="auto"/>
        <w:ind w:left="1426" w:right="1427" w:firstLine="521"/>
        <w:rPr>
          <w:rFonts w:ascii="宋体" w:hAnsi="宋体" w:eastAsia="宋体" w:cs="宋体"/>
          <w:color w:val="auto"/>
          <w:sz w:val="24"/>
          <w:szCs w:val="24"/>
          <w:highlight w:val="none"/>
        </w:rPr>
      </w:pPr>
      <w:r>
        <w:rPr>
          <w:rFonts w:ascii="宋体" w:hAnsi="宋体" w:eastAsia="宋体" w:cs="宋体"/>
          <w:color w:val="auto"/>
          <w:sz w:val="24"/>
          <w:szCs w:val="24"/>
          <w:highlight w:val="none"/>
        </w:rPr>
        <w:t>(3)发包人或监理人要求使用其他替代品；或者承包人提出，发包人和监理人批准</w:t>
      </w:r>
      <w:r>
        <w:rPr>
          <w:rFonts w:ascii="宋体" w:hAnsi="宋体" w:eastAsia="宋体" w:cs="宋体"/>
          <w:color w:val="auto"/>
          <w:spacing w:val="-8"/>
          <w:sz w:val="24"/>
          <w:szCs w:val="24"/>
          <w:highlight w:val="none"/>
        </w:rPr>
        <w:t>使用其他替代品；</w:t>
      </w:r>
    </w:p>
    <w:p w14:paraId="6E52B1EF">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(4)其他原因导致使用替代品成为必要的。</w:t>
      </w:r>
    </w:p>
    <w:p w14:paraId="0223221E">
      <w:pPr>
        <w:spacing w:before="183" w:line="360" w:lineRule="auto"/>
        <w:ind w:left="1432" w:right="1421" w:firstLine="476"/>
        <w:rPr>
          <w:rFonts w:ascii="宋体" w:hAnsi="宋体" w:eastAsia="宋体" w:cs="宋体"/>
          <w:color w:val="auto"/>
          <w:sz w:val="24"/>
          <w:szCs w:val="24"/>
          <w:highlight w:val="none"/>
        </w:rPr>
      </w:pPr>
      <w:r>
        <w:rPr>
          <w:rFonts w:ascii="宋体" w:hAnsi="宋体" w:eastAsia="宋体" w:cs="宋体"/>
          <w:color w:val="auto"/>
          <w:sz w:val="24"/>
          <w:szCs w:val="24"/>
          <w:highlight w:val="none"/>
        </w:rPr>
        <w:t>如果使用代用材料，承包人应在使用前至少</w:t>
      </w:r>
      <w:r>
        <w:rPr>
          <w:rFonts w:ascii="宋体" w:hAnsi="宋体" w:eastAsia="宋体" w:cs="宋体"/>
          <w:color w:val="auto"/>
          <w:spacing w:val="-24"/>
          <w:sz w:val="24"/>
          <w:szCs w:val="24"/>
          <w:highlight w:val="none"/>
        </w:rPr>
        <w:t xml:space="preserve"> </w:t>
      </w:r>
      <w:r>
        <w:rPr>
          <w:rFonts w:ascii="宋体" w:hAnsi="宋体" w:eastAsia="宋体" w:cs="宋体"/>
          <w:color w:val="auto"/>
          <w:sz w:val="24"/>
          <w:szCs w:val="24"/>
          <w:highlight w:val="none"/>
        </w:rPr>
        <w:t>14</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天，以书面形式通知监理人并提交</w:t>
      </w:r>
      <w:r>
        <w:rPr>
          <w:rFonts w:ascii="宋体" w:hAnsi="宋体" w:eastAsia="宋体" w:cs="宋体"/>
          <w:color w:val="auto"/>
          <w:spacing w:val="-12"/>
          <w:sz w:val="24"/>
          <w:szCs w:val="24"/>
          <w:highlight w:val="none"/>
        </w:rPr>
        <w:t>下列文件：</w:t>
      </w:r>
    </w:p>
    <w:p w14:paraId="694ABFEC">
      <w:pPr>
        <w:spacing w:line="290" w:lineRule="auto"/>
        <w:ind w:left="1428" w:right="1445" w:firstLine="519"/>
        <w:rPr>
          <w:rFonts w:ascii="宋体" w:hAnsi="宋体" w:eastAsia="宋体" w:cs="宋体"/>
          <w:color w:val="auto"/>
          <w:sz w:val="24"/>
          <w:szCs w:val="24"/>
          <w:highlight w:val="none"/>
        </w:rPr>
      </w:pPr>
      <w:r>
        <w:rPr>
          <w:rFonts w:ascii="宋体" w:hAnsi="宋体" w:eastAsia="宋体" w:cs="宋体"/>
          <w:color w:val="auto"/>
          <w:sz w:val="24"/>
          <w:szCs w:val="24"/>
          <w:highlight w:val="none"/>
        </w:rPr>
        <w:t>(1)拟采用的替代品的名称、数量、规格、型号、品牌、</w:t>
      </w:r>
      <w:r>
        <w:rPr>
          <w:rFonts w:ascii="宋体" w:hAnsi="宋体" w:eastAsia="宋体" w:cs="宋体"/>
          <w:color w:val="auto"/>
          <w:spacing w:val="-1"/>
          <w:sz w:val="24"/>
          <w:szCs w:val="24"/>
          <w:highlight w:val="none"/>
        </w:rPr>
        <w:t>性能、价格及其他必要的</w:t>
      </w:r>
      <w:r>
        <w:rPr>
          <w:rFonts w:ascii="宋体" w:hAnsi="宋体" w:eastAsia="宋体" w:cs="宋体"/>
          <w:color w:val="auto"/>
          <w:spacing w:val="-11"/>
          <w:sz w:val="24"/>
          <w:szCs w:val="24"/>
          <w:highlight w:val="none"/>
        </w:rPr>
        <w:t>详细资料；</w:t>
      </w:r>
    </w:p>
    <w:p w14:paraId="519347F1">
      <w:pPr>
        <w:spacing w:before="181" w:line="220" w:lineRule="auto"/>
        <w:ind w:left="194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(2)替代品使用的工程部位；</w:t>
      </w:r>
    </w:p>
    <w:p w14:paraId="4285B331">
      <w:pPr>
        <w:spacing w:before="183" w:line="219" w:lineRule="auto"/>
        <w:ind w:left="194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(3)采用替代品的理由和原因；</w:t>
      </w:r>
    </w:p>
    <w:p w14:paraId="6D95D198">
      <w:pPr>
        <w:spacing w:before="184" w:line="290" w:lineRule="auto"/>
        <w:ind w:left="1426" w:right="1427" w:firstLine="521"/>
        <w:rPr>
          <w:rFonts w:ascii="宋体" w:hAnsi="宋体" w:eastAsia="宋体" w:cs="宋体"/>
          <w:color w:val="auto"/>
          <w:sz w:val="24"/>
          <w:szCs w:val="24"/>
          <w:highlight w:val="none"/>
        </w:rPr>
      </w:pPr>
      <w:r>
        <w:rPr>
          <w:rFonts w:ascii="宋体" w:hAnsi="宋体" w:eastAsia="宋体" w:cs="宋体"/>
          <w:color w:val="auto"/>
          <w:sz w:val="24"/>
          <w:szCs w:val="24"/>
          <w:highlight w:val="none"/>
        </w:rPr>
        <w:t>(4)替代品与合同中约定的产品之间的差异以及使用替代品后可能对工程产生任何</w:t>
      </w:r>
      <w:r>
        <w:rPr>
          <w:rFonts w:ascii="宋体" w:hAnsi="宋体" w:eastAsia="宋体" w:cs="宋体"/>
          <w:color w:val="auto"/>
          <w:spacing w:val="-10"/>
          <w:sz w:val="24"/>
          <w:szCs w:val="24"/>
          <w:highlight w:val="none"/>
        </w:rPr>
        <w:t>方面的影响；</w:t>
      </w:r>
    </w:p>
    <w:p w14:paraId="055D27BA">
      <w:pPr>
        <w:spacing w:before="181" w:line="218" w:lineRule="auto"/>
        <w:ind w:left="1947"/>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(5)价格上的差异；</w:t>
      </w:r>
    </w:p>
    <w:p w14:paraId="7BEBC64D">
      <w:pPr>
        <w:spacing w:before="184" w:line="219" w:lineRule="auto"/>
        <w:ind w:left="194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(6)监理人为作出适当的决定而随时要求承包人提供的任何其他文件。</w:t>
      </w:r>
    </w:p>
    <w:p w14:paraId="73EB17FC">
      <w:pPr>
        <w:spacing w:before="184" w:line="360" w:lineRule="auto"/>
        <w:ind w:left="1424" w:right="1416" w:firstLine="481"/>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监理人在收到此类通知及上述文件后，应在</w:t>
      </w:r>
      <w:r>
        <w:rPr>
          <w:rFonts w:ascii="宋体" w:hAnsi="宋体" w:eastAsia="宋体" w:cs="宋体"/>
          <w:color w:val="auto"/>
          <w:spacing w:val="-27"/>
          <w:sz w:val="24"/>
          <w:szCs w:val="24"/>
          <w:highlight w:val="none"/>
        </w:rPr>
        <w:t xml:space="preserve"> </w:t>
      </w:r>
      <w:r>
        <w:rPr>
          <w:rFonts w:ascii="宋体" w:hAnsi="宋体" w:eastAsia="宋体" w:cs="宋体"/>
          <w:color w:val="auto"/>
          <w:sz w:val="24"/>
          <w:szCs w:val="24"/>
          <w:highlight w:val="none"/>
        </w:rPr>
        <w:t>14</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天内作出审查意见，并报</w:t>
      </w:r>
      <w:r>
        <w:rPr>
          <w:rFonts w:ascii="宋体" w:hAnsi="宋体" w:eastAsia="宋体" w:cs="宋体"/>
          <w:color w:val="auto"/>
          <w:spacing w:val="-1"/>
          <w:sz w:val="24"/>
          <w:szCs w:val="24"/>
          <w:highlight w:val="none"/>
        </w:rPr>
        <w:t>发包人批</w:t>
      </w:r>
      <w:r>
        <w:rPr>
          <w:rFonts w:ascii="宋体" w:hAnsi="宋体" w:eastAsia="宋体" w:cs="宋体"/>
          <w:color w:val="auto"/>
          <w:spacing w:val="-2"/>
          <w:sz w:val="24"/>
          <w:szCs w:val="24"/>
          <w:highlight w:val="none"/>
        </w:rPr>
        <w:t>准。发包人对使用替代品的批准以及承包人据此使用替代品不应解除承包人合同约定的</w:t>
      </w:r>
      <w:r>
        <w:rPr>
          <w:rFonts w:ascii="宋体" w:hAnsi="宋体" w:eastAsia="宋体" w:cs="宋体"/>
          <w:color w:val="auto"/>
          <w:spacing w:val="-5"/>
          <w:sz w:val="24"/>
          <w:szCs w:val="24"/>
          <w:highlight w:val="none"/>
        </w:rPr>
        <w:t>任何职责和义务。任何情况下， 使用替代品都应遵守本合同中其他对材料和工程设备的</w:t>
      </w:r>
      <w:r>
        <w:rPr>
          <w:rFonts w:ascii="宋体" w:hAnsi="宋体" w:eastAsia="宋体" w:cs="宋体"/>
          <w:color w:val="auto"/>
          <w:spacing w:val="-7"/>
          <w:sz w:val="24"/>
          <w:szCs w:val="24"/>
          <w:highlight w:val="none"/>
        </w:rPr>
        <w:t>任何约定。</w:t>
      </w:r>
    </w:p>
    <w:p w14:paraId="3FE44644">
      <w:pPr>
        <w:spacing w:before="182" w:line="219" w:lineRule="auto"/>
        <w:ind w:left="1910"/>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5.5.2  机制砂的使用</w:t>
      </w:r>
    </w:p>
    <w:p w14:paraId="7E297D7F">
      <w:pPr>
        <w:spacing w:before="182" w:line="219" w:lineRule="auto"/>
        <w:ind w:left="1910"/>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机制砂应满足设计文件和技术规范的要求，并按照国家、省有关文件的规定使用。</w:t>
      </w:r>
    </w:p>
    <w:p w14:paraId="094C87B5">
      <w:pPr>
        <w:spacing w:before="182" w:line="219" w:lineRule="auto"/>
        <w:ind w:left="191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5.6 材料、工程设备和工程的试验和检验</w:t>
      </w:r>
    </w:p>
    <w:p w14:paraId="65B88DD4">
      <w:pPr>
        <w:spacing w:before="185" w:line="313" w:lineRule="auto"/>
        <w:ind w:left="1429" w:right="1416" w:firstLine="480"/>
        <w:jc w:val="left"/>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5.6.1 承包人应按合同约定和技术标准，以及试验人的相关要求，</w:t>
      </w:r>
      <w:r>
        <w:rPr>
          <w:rFonts w:hint="default" w:ascii="宋体" w:hAnsi="宋体" w:eastAsia="宋体" w:cs="宋体"/>
          <w:snapToGrid w:val="0"/>
          <w:color w:val="auto"/>
          <w:spacing w:val="-2"/>
          <w:kern w:val="0"/>
          <w:sz w:val="24"/>
          <w:szCs w:val="24"/>
          <w:highlight w:val="none"/>
          <w:lang w:val="en-US" w:eastAsia="zh-CN" w:bidi="ar"/>
        </w:rPr>
        <w:t>建立工地试验室，完善试验和检验体系，对</w:t>
      </w:r>
      <w:r>
        <w:rPr>
          <w:rFonts w:hint="eastAsia" w:ascii="宋体" w:hAnsi="宋体" w:eastAsia="宋体" w:cs="宋体"/>
          <w:color w:val="auto"/>
          <w:spacing w:val="-2"/>
          <w:sz w:val="24"/>
          <w:szCs w:val="24"/>
          <w:highlight w:val="none"/>
        </w:rPr>
        <w:t>材料、工程设备和工程的质量进行试验和检验， 向监理履行报检程序，并为监理人、试验人对上述材料、工程设备和工程的质量检查， 提供必要的试验资料和原始记录。</w:t>
      </w:r>
    </w:p>
    <w:p w14:paraId="28AC7F96">
      <w:pPr>
        <w:spacing w:before="185" w:line="313" w:lineRule="auto"/>
        <w:ind w:left="1429" w:right="1416" w:firstLine="480"/>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5.6.2</w:t>
      </w:r>
      <w:r>
        <w:rPr>
          <w:rFonts w:hint="eastAsia" w:ascii="宋体" w:hAnsi="宋体" w:eastAsia="宋体" w:cs="宋体"/>
          <w:color w:val="auto"/>
          <w:spacing w:val="-2"/>
          <w:sz w:val="24"/>
          <w:szCs w:val="24"/>
          <w:highlight w:val="none"/>
        </w:rPr>
        <w:t xml:space="preserve"> </w:t>
      </w:r>
      <w:r>
        <w:rPr>
          <w:rFonts w:hint="eastAsia" w:ascii="宋体" w:hAnsi="宋体" w:eastAsia="宋体" w:cs="宋体"/>
          <w:strike w:val="0"/>
          <w:dstrike w:val="0"/>
          <w:color w:val="auto"/>
          <w:spacing w:val="-2"/>
          <w:sz w:val="24"/>
          <w:szCs w:val="24"/>
          <w:highlight w:val="none"/>
          <w:lang w:val="en-US" w:eastAsia="zh-CN"/>
        </w:rPr>
        <w:t>承包人应于工程开工前完成工地试验室建设和资质认证工作，工地试验室建设、相关配置及管理应满足标准化要求，并按发包人发布的项目管理制度执行。</w:t>
      </w:r>
    </w:p>
    <w:p w14:paraId="047CAB80">
      <w:pPr>
        <w:spacing w:before="185" w:line="313" w:lineRule="auto"/>
        <w:ind w:left="1429" w:right="1416" w:firstLine="480"/>
        <w:rPr>
          <w:rFonts w:ascii="宋体" w:hAnsi="宋体" w:eastAsia="宋体" w:cs="宋体"/>
          <w:color w:val="auto"/>
          <w:spacing w:val="-2"/>
          <w:sz w:val="24"/>
          <w:szCs w:val="24"/>
          <w:highlight w:val="none"/>
        </w:rPr>
      </w:pPr>
      <w:r>
        <w:rPr>
          <w:rFonts w:ascii="宋体" w:hAnsi="宋体" w:eastAsia="宋体" w:cs="宋体"/>
          <w:strike w:val="0"/>
          <w:dstrike w:val="0"/>
          <w:color w:val="auto"/>
          <w:spacing w:val="-2"/>
          <w:sz w:val="24"/>
          <w:szCs w:val="24"/>
          <w:highlight w:val="none"/>
        </w:rPr>
        <w:t>5.6.3</w:t>
      </w:r>
      <w:r>
        <w:rPr>
          <w:rFonts w:hint="eastAsia" w:ascii="宋体" w:hAnsi="宋体" w:eastAsia="宋体" w:cs="宋体"/>
          <w:strike w:val="0"/>
          <w:dstrike w:val="0"/>
          <w:color w:val="auto"/>
          <w:spacing w:val="-2"/>
          <w:sz w:val="24"/>
          <w:szCs w:val="24"/>
          <w:highlight w:val="none"/>
        </w:rPr>
        <w:t xml:space="preserve"> </w:t>
      </w:r>
      <w:r>
        <w:rPr>
          <w:rFonts w:ascii="宋体" w:hAnsi="宋体" w:eastAsia="宋体" w:cs="宋体"/>
          <w:strike w:val="0"/>
          <w:dstrike w:val="0"/>
          <w:color w:val="auto"/>
          <w:spacing w:val="-2"/>
          <w:sz w:val="24"/>
          <w:szCs w:val="24"/>
          <w:highlight w:val="none"/>
        </w:rPr>
        <w:t>承包人工地试验室资质范围以外的试验</w:t>
      </w:r>
      <w:r>
        <w:rPr>
          <w:rFonts w:hint="eastAsia" w:ascii="宋体" w:hAnsi="宋体" w:eastAsia="宋体" w:cs="宋体"/>
          <w:strike w:val="0"/>
          <w:dstrike w:val="0"/>
          <w:color w:val="auto"/>
          <w:spacing w:val="-2"/>
          <w:sz w:val="24"/>
          <w:szCs w:val="24"/>
          <w:highlight w:val="none"/>
        </w:rPr>
        <w:t>和检验项目，经监理人和发包人同意可对外委托具有相应资质的检测试验机构进行试验，但承包人应将检测试验机构有关资料报备监理人和试</w:t>
      </w:r>
      <w:r>
        <w:rPr>
          <w:rFonts w:ascii="宋体" w:hAnsi="宋体" w:eastAsia="宋体" w:cs="宋体"/>
          <w:strike w:val="0"/>
          <w:dstrike w:val="0"/>
          <w:color w:val="auto"/>
          <w:spacing w:val="-2"/>
          <w:sz w:val="24"/>
          <w:szCs w:val="24"/>
          <w:highlight w:val="none"/>
        </w:rPr>
        <w:t>验人</w:t>
      </w:r>
      <w:r>
        <w:rPr>
          <w:rFonts w:ascii="宋体" w:hAnsi="宋体" w:eastAsia="宋体" w:cs="宋体"/>
          <w:color w:val="auto"/>
          <w:spacing w:val="-2"/>
          <w:sz w:val="24"/>
          <w:szCs w:val="24"/>
          <w:highlight w:val="none"/>
        </w:rPr>
        <w:t>。</w:t>
      </w:r>
    </w:p>
    <w:p w14:paraId="57236844">
      <w:pPr>
        <w:spacing w:before="185" w:line="313" w:lineRule="auto"/>
        <w:ind w:left="1429" w:right="1416" w:firstLine="480"/>
        <w:rPr>
          <w:rFonts w:ascii="宋体" w:hAnsi="宋体" w:eastAsia="宋体" w:cs="宋体"/>
          <w:color w:val="auto"/>
          <w:spacing w:val="-2"/>
          <w:sz w:val="24"/>
          <w:szCs w:val="24"/>
          <w:highlight w:val="none"/>
        </w:rPr>
      </w:pPr>
      <w:r>
        <w:rPr>
          <w:rFonts w:ascii="宋体" w:hAnsi="宋体" w:eastAsia="宋体" w:cs="宋体"/>
          <w:strike w:val="0"/>
          <w:dstrike w:val="0"/>
          <w:color w:val="auto"/>
          <w:spacing w:val="-2"/>
          <w:sz w:val="24"/>
          <w:szCs w:val="24"/>
          <w:highlight w:val="none"/>
        </w:rPr>
        <w:t>5.6.4 承包人根据合同约定或监理人指示进行的现场材料试验，应由承包人提供试验场所、试验人员、试验设备器材以及其他必要的试验条件。</w:t>
      </w:r>
    </w:p>
    <w:p w14:paraId="6A07CEDF">
      <w:pPr>
        <w:spacing w:before="185" w:line="313" w:lineRule="auto"/>
        <w:ind w:left="1429" w:right="1416" w:firstLine="480"/>
        <w:rPr>
          <w:rFonts w:ascii="宋体" w:hAnsi="宋体" w:eastAsia="宋体" w:cs="宋体"/>
          <w:color w:val="auto"/>
          <w:spacing w:val="-2"/>
          <w:sz w:val="24"/>
          <w:szCs w:val="24"/>
          <w:highlight w:val="none"/>
        </w:rPr>
      </w:pPr>
      <w:r>
        <w:rPr>
          <w:rFonts w:ascii="宋体" w:hAnsi="宋体" w:eastAsia="宋体" w:cs="宋体"/>
          <w:strike w:val="0"/>
          <w:dstrike w:val="0"/>
          <w:color w:val="auto"/>
          <w:spacing w:val="-2"/>
          <w:sz w:val="24"/>
          <w:szCs w:val="24"/>
          <w:highlight w:val="none"/>
        </w:rPr>
        <w:t>5.6.5 如有必要，发包人、监理人、试验人可以免费使用承包人的试验场所、试验设备器材以及其他试验条件，进行以工程质量检查为目的的复核性材料试验，承包人应</w:t>
      </w:r>
      <w:r>
        <w:rPr>
          <w:rFonts w:ascii="宋体" w:hAnsi="宋体" w:eastAsia="宋体" w:cs="宋体"/>
          <w:color w:val="auto"/>
          <w:spacing w:val="-2"/>
          <w:sz w:val="24"/>
          <w:szCs w:val="24"/>
          <w:highlight w:val="none"/>
        </w:rPr>
        <w:t>予以协助。</w:t>
      </w:r>
    </w:p>
    <w:p w14:paraId="353D03C2">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5.6.6 承包人的试验和检验和外委试验应严格执行专用项目管理制度的相关规定和要求。</w:t>
      </w:r>
      <w:r>
        <w:rPr>
          <w:rFonts w:hint="eastAsia" w:ascii="宋体" w:hAnsi="宋体" w:eastAsia="宋体" w:cs="宋体"/>
          <w:strike w:val="0"/>
          <w:dstrike w:val="0"/>
          <w:color w:val="auto"/>
          <w:spacing w:val="-2"/>
          <w:sz w:val="24"/>
          <w:szCs w:val="24"/>
          <w:highlight w:val="none"/>
          <w:lang w:val="en-US" w:eastAsia="zh-CN"/>
        </w:rPr>
        <w:t>由承包人、监理人、试验人三方共同委外的检查项目的检测费用由承包人承担。</w:t>
      </w:r>
    </w:p>
    <w:p w14:paraId="4C140E67">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5.6.7 承包人应根据材料、工程设备进场计划和工程施工计划， 制订相应试验和检验计划，按计划开展试验检测工作，并将上述计划报送监理人和和试验人。</w:t>
      </w:r>
    </w:p>
    <w:p w14:paraId="723F3BE0">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5.6.8 承包人的试验和检验过程须接受监理人的旁站监督</w:t>
      </w:r>
      <w:r>
        <w:rPr>
          <w:rFonts w:ascii="宋体" w:hAnsi="宋体" w:eastAsia="宋体" w:cs="宋体"/>
          <w:strike w:val="0"/>
          <w:dstrike w:val="0"/>
          <w:color w:val="auto"/>
          <w:spacing w:val="-2"/>
          <w:sz w:val="24"/>
          <w:szCs w:val="24"/>
          <w:highlight w:val="none"/>
        </w:rPr>
        <w:t>；承包人应接受试验检测中心的监督指导，并按试验检测中心制定的管理制度开展试验检测工作</w:t>
      </w:r>
      <w:r>
        <w:rPr>
          <w:rFonts w:ascii="宋体" w:hAnsi="宋体" w:eastAsia="宋体" w:cs="宋体"/>
          <w:strike w:val="0"/>
          <w:dstrike w:val="0"/>
          <w:color w:val="auto"/>
          <w:spacing w:val="-2"/>
          <w:sz w:val="24"/>
          <w:szCs w:val="24"/>
          <w:highlight w:val="none"/>
        </w:rPr>
        <w:t>。</w:t>
      </w:r>
    </w:p>
    <w:p w14:paraId="21676F58">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5.6.9 监理人对承包人的试验和检验结果有疑问，或为查清承包人试验和检验成果的可靠性，要求承包人重新试验和检验时，可由监理人、试验人与承包人共同进行。重新试验和检验的结果证明该项材料、工程设备或工程的质量不符合合同要求的， 由此增加的费用和（或）工期延误由承包人承担。</w:t>
      </w:r>
    </w:p>
    <w:p w14:paraId="33D3AFB0">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5.6.10 发包人、监理人和相关政府部门或发包人认可的其他第三方机构有权对工程的所有部位及其施工工艺、工程设备和材料进行检查和检验。承包人应为上述人员的检查和检验提供方便，包括到施工现场，或制造、加工地点， 或其他地方进行察看和查阅施工原始记录。承包人还应按发包人、监理人、试验人和发包人认可的人员指示， 进行施工现场取样试验、工程复核测量和设备性能检测， 提供试验样品，提交试验报告和测量成果，完成上述人员要求进行的其他检查和检验工作。</w:t>
      </w:r>
    </w:p>
    <w:p w14:paraId="06456059">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ascii="宋体" w:hAnsi="宋体" w:eastAsia="宋体" w:cs="宋体"/>
          <w:strike w:val="0"/>
          <w:dstrike w:val="0"/>
          <w:color w:val="auto"/>
          <w:spacing w:val="-2"/>
          <w:sz w:val="24"/>
          <w:szCs w:val="24"/>
          <w:highlight w:val="none"/>
        </w:rPr>
        <w:t>发包人、监理人、试验人和发包人认可的相关政府部门或其他第三方机构的检查和检验，不免除承包人合同约定的责任。</w:t>
      </w:r>
    </w:p>
    <w:p w14:paraId="3BDBB041">
      <w:pPr>
        <w:spacing w:before="185" w:line="313" w:lineRule="auto"/>
        <w:ind w:left="1429" w:right="1416" w:firstLine="480"/>
        <w:rPr>
          <w:rFonts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lang w:val="en-US" w:eastAsia="zh-CN"/>
        </w:rPr>
        <w:t>5.6.11 本项目将对部分试验检验设备要求具有数据自动采集、实时上传功能，达到试验检测和质量安全监督工作的自动化和实时化的管理目标。承包人须按要求采购相关的自动采集终端设备，并负责设备安装、调试与维护。承包人不得对自动采集的试验数据进行修改、造假，否则按照第 22.1 款承包人违约处理。</w:t>
      </w:r>
    </w:p>
    <w:p w14:paraId="76BDFA02">
      <w:pPr>
        <w:keepNext w:val="0"/>
        <w:keepLines w:val="0"/>
        <w:widowControl/>
        <w:suppressLineNumbers w:val="0"/>
        <w:jc w:val="left"/>
        <w:rPr>
          <w:color w:val="auto"/>
        </w:rPr>
      </w:pPr>
    </w:p>
    <w:p w14:paraId="65169013">
      <w:pPr>
        <w:spacing w:line="220" w:lineRule="auto"/>
        <w:ind w:left="19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5.7 标准试验</w:t>
      </w:r>
    </w:p>
    <w:p w14:paraId="599DAACB">
      <w:pPr>
        <w:spacing w:before="183" w:line="313"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5.7.1 对于混凝土配合比、标准干密度等标准试验， 承包人应于相应分项工程开工</w:t>
      </w:r>
      <w:r>
        <w:rPr>
          <w:rFonts w:ascii="宋体" w:hAnsi="宋体" w:eastAsia="宋体" w:cs="宋体"/>
          <w:color w:val="auto"/>
          <w:spacing w:val="-2"/>
          <w:sz w:val="24"/>
          <w:szCs w:val="24"/>
          <w:highlight w:val="none"/>
        </w:rPr>
        <w:t>前完成上述试验，并将试验结果报监理人</w:t>
      </w:r>
      <w:r>
        <w:rPr>
          <w:rFonts w:ascii="宋体" w:hAnsi="宋体" w:eastAsia="宋体" w:cs="宋体"/>
          <w:color w:val="auto"/>
          <w:spacing w:val="-3"/>
          <w:sz w:val="24"/>
          <w:szCs w:val="24"/>
          <w:highlight w:val="none"/>
        </w:rPr>
        <w:t>，履行审批程序后方可用于工程施工控制。</w:t>
      </w:r>
    </w:p>
    <w:p w14:paraId="313BB23F">
      <w:pPr>
        <w:spacing w:before="181" w:line="290" w:lineRule="auto"/>
        <w:ind w:left="1429"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5.7.2 当用于工程施工的原材料发生变化时，承包人应重新进行上述标准试验，并</w:t>
      </w:r>
      <w:r>
        <w:rPr>
          <w:rFonts w:ascii="宋体" w:hAnsi="宋体" w:eastAsia="宋体" w:cs="宋体"/>
          <w:color w:val="auto"/>
          <w:spacing w:val="-4"/>
          <w:sz w:val="24"/>
          <w:szCs w:val="24"/>
          <w:highlight w:val="none"/>
        </w:rPr>
        <w:t>履行平行试验和审批程序。</w:t>
      </w:r>
    </w:p>
    <w:p w14:paraId="1A9B8491">
      <w:pPr>
        <w:spacing w:before="181" w:line="221" w:lineRule="auto"/>
        <w:ind w:left="191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5.8</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工艺试验</w:t>
      </w:r>
    </w:p>
    <w:p w14:paraId="2B2FC2F4">
      <w:pPr>
        <w:spacing w:before="180" w:line="290"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5.8.1 承包人应按合同约定或监理人指示进行现场工艺试验。对大型的现场工艺试验，应编制工艺试验方案和计划，报送监理人审批后实施。</w:t>
      </w:r>
    </w:p>
    <w:p w14:paraId="1B076A62">
      <w:pPr>
        <w:spacing w:before="182" w:line="290"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5.8.2 对于特殊工艺质量检验，承包人应制定相应的检验方案和工艺，经评委评审和发包人审核确认后应用于现场工程质量控制和检验。</w:t>
      </w:r>
    </w:p>
    <w:p w14:paraId="2181102C">
      <w:pPr>
        <w:spacing w:before="182" w:line="220" w:lineRule="auto"/>
        <w:ind w:left="1907"/>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施工设备和临时设施</w:t>
      </w:r>
    </w:p>
    <w:p w14:paraId="6ECF4B99">
      <w:pPr>
        <w:spacing w:before="182" w:line="219" w:lineRule="auto"/>
        <w:ind w:left="190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6.1</w:t>
      </w:r>
      <w:r>
        <w:rPr>
          <w:rFonts w:ascii="宋体" w:hAnsi="宋体" w:eastAsia="宋体" w:cs="宋体"/>
          <w:color w:val="auto"/>
          <w:spacing w:val="-36"/>
          <w:sz w:val="24"/>
          <w:szCs w:val="24"/>
          <w:highlight w:val="none"/>
        </w:rPr>
        <w:t xml:space="preserve"> </w:t>
      </w:r>
      <w:r>
        <w:rPr>
          <w:rFonts w:ascii="宋体" w:hAnsi="宋体" w:eastAsia="宋体" w:cs="宋体"/>
          <w:color w:val="auto"/>
          <w:spacing w:val="-2"/>
          <w:sz w:val="24"/>
          <w:szCs w:val="24"/>
          <w:highlight w:val="none"/>
        </w:rPr>
        <w:t>承包人提供的施工设备和临时设施</w:t>
      </w:r>
    </w:p>
    <w:p w14:paraId="358E7695">
      <w:pPr>
        <w:spacing w:before="183"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6.1.1</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4714864D">
      <w:pPr>
        <w:spacing w:before="183" w:line="360" w:lineRule="auto"/>
        <w:ind w:left="1425" w:right="1352" w:firstLine="480"/>
        <w:jc w:val="both"/>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承包人在投标文件承诺的主要设备（含检验、试验设备）</w:t>
      </w:r>
      <w:r>
        <w:rPr>
          <w:rFonts w:ascii="宋体" w:hAnsi="宋体" w:eastAsia="宋体" w:cs="宋体"/>
          <w:color w:val="auto"/>
          <w:spacing w:val="-59"/>
          <w:sz w:val="24"/>
          <w:szCs w:val="24"/>
          <w:highlight w:val="none"/>
        </w:rPr>
        <w:t xml:space="preserve"> </w:t>
      </w:r>
      <w:r>
        <w:rPr>
          <w:rFonts w:ascii="宋体" w:hAnsi="宋体" w:eastAsia="宋体" w:cs="宋体"/>
          <w:color w:val="auto"/>
          <w:spacing w:val="-8"/>
          <w:sz w:val="24"/>
          <w:szCs w:val="24"/>
          <w:highlight w:val="none"/>
        </w:rPr>
        <w:t>必须按现场施工需要到位；</w:t>
      </w:r>
      <w:r>
        <w:rPr>
          <w:rFonts w:ascii="宋体" w:hAnsi="宋体" w:eastAsia="宋体" w:cs="宋体"/>
          <w:color w:val="auto"/>
          <w:spacing w:val="-5"/>
          <w:sz w:val="24"/>
          <w:szCs w:val="24"/>
          <w:highlight w:val="none"/>
        </w:rPr>
        <w:t>承包人不管何种原因需推迟设备到位时间或改变到位设备的数量、型号等， 均须事先经</w:t>
      </w:r>
      <w:r>
        <w:rPr>
          <w:rFonts w:ascii="宋体" w:hAnsi="宋体" w:eastAsia="宋体" w:cs="宋体"/>
          <w:color w:val="auto"/>
          <w:spacing w:val="-2"/>
          <w:sz w:val="24"/>
          <w:szCs w:val="24"/>
          <w:highlight w:val="none"/>
        </w:rPr>
        <w:t>发包人和监理人的同意并将变更情况书面报监理人备案，违反上述规定视为承包人违约</w:t>
      </w:r>
      <w:r>
        <w:rPr>
          <w:rFonts w:ascii="宋体" w:hAnsi="宋体" w:eastAsia="宋体" w:cs="宋体"/>
          <w:color w:val="auto"/>
          <w:spacing w:val="-5"/>
          <w:sz w:val="24"/>
          <w:szCs w:val="24"/>
          <w:highlight w:val="none"/>
        </w:rPr>
        <w:t>并按</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22.1</w:t>
      </w:r>
      <w:r>
        <w:rPr>
          <w:rFonts w:ascii="宋体" w:hAnsi="宋体" w:eastAsia="宋体" w:cs="宋体"/>
          <w:color w:val="auto"/>
          <w:spacing w:val="-50"/>
          <w:sz w:val="24"/>
          <w:szCs w:val="24"/>
          <w:highlight w:val="none"/>
        </w:rPr>
        <w:t xml:space="preserve"> </w:t>
      </w:r>
      <w:r>
        <w:rPr>
          <w:rFonts w:ascii="宋体" w:hAnsi="宋体" w:eastAsia="宋体" w:cs="宋体"/>
          <w:color w:val="auto"/>
          <w:spacing w:val="-5"/>
          <w:sz w:val="24"/>
          <w:szCs w:val="24"/>
          <w:highlight w:val="none"/>
        </w:rPr>
        <w:t>款约定处理。</w:t>
      </w:r>
    </w:p>
    <w:p w14:paraId="6F59472C">
      <w:pPr>
        <w:spacing w:before="1" w:line="218"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本款补充第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5"/>
          <w:sz w:val="24"/>
          <w:szCs w:val="24"/>
          <w:highlight w:val="none"/>
        </w:rPr>
        <w:t>6.1.3</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项：</w:t>
      </w:r>
    </w:p>
    <w:p w14:paraId="3FC2FB4B">
      <w:pPr>
        <w:spacing w:before="180" w:line="361" w:lineRule="auto"/>
        <w:ind w:left="1424" w:right="1349" w:firstLine="480"/>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承包人进场后，根据施工需要配备龙门吊、塔吊、架桥机等特种设备的，</w:t>
      </w:r>
      <w:r>
        <w:rPr>
          <w:rFonts w:ascii="宋体" w:hAnsi="宋体" w:eastAsia="宋体" w:cs="宋体"/>
          <w:color w:val="auto"/>
          <w:spacing w:val="73"/>
          <w:sz w:val="24"/>
          <w:szCs w:val="24"/>
          <w:highlight w:val="none"/>
        </w:rPr>
        <w:t xml:space="preserve"> </w:t>
      </w:r>
      <w:r>
        <w:rPr>
          <w:rFonts w:ascii="宋体" w:hAnsi="宋体" w:eastAsia="宋体" w:cs="宋体"/>
          <w:color w:val="auto"/>
          <w:spacing w:val="-7"/>
          <w:sz w:val="24"/>
          <w:szCs w:val="24"/>
          <w:highlight w:val="none"/>
        </w:rPr>
        <w:t>须提供厂</w:t>
      </w:r>
      <w:r>
        <w:rPr>
          <w:rFonts w:ascii="宋体" w:hAnsi="宋体" w:eastAsia="宋体" w:cs="宋体"/>
          <w:color w:val="auto"/>
          <w:spacing w:val="-6"/>
          <w:sz w:val="24"/>
          <w:szCs w:val="24"/>
          <w:highlight w:val="none"/>
        </w:rPr>
        <w:t>家生产许可证、产品出厂合格证、设计计算书、使用说明书及图纸等资料；</w:t>
      </w:r>
      <w:r>
        <w:rPr>
          <w:rFonts w:ascii="宋体" w:hAnsi="宋体" w:eastAsia="宋体" w:cs="宋体"/>
          <w:color w:val="auto"/>
          <w:spacing w:val="-2"/>
          <w:sz w:val="24"/>
          <w:szCs w:val="24"/>
          <w:highlight w:val="none"/>
        </w:rPr>
        <w:t>架桥机应明确其使用人及权属人。承包人在特种设备使用前应制定安</w:t>
      </w:r>
      <w:r>
        <w:rPr>
          <w:rFonts w:ascii="宋体" w:hAnsi="宋体" w:eastAsia="宋体" w:cs="宋体"/>
          <w:color w:val="auto"/>
          <w:spacing w:val="-9"/>
          <w:sz w:val="24"/>
          <w:szCs w:val="24"/>
          <w:highlight w:val="none"/>
        </w:rPr>
        <w:t>装拆除方案及生产安全事故应急预案，由具有安装（拆除）资质的单位进</w:t>
      </w:r>
      <w:r>
        <w:rPr>
          <w:rFonts w:ascii="宋体" w:hAnsi="宋体" w:eastAsia="宋体" w:cs="宋体"/>
          <w:color w:val="auto"/>
          <w:spacing w:val="-10"/>
          <w:sz w:val="24"/>
          <w:szCs w:val="24"/>
          <w:highlight w:val="none"/>
        </w:rPr>
        <w:t>行安装（拆除</w:t>
      </w:r>
      <w:r>
        <w:rPr>
          <w:rFonts w:ascii="宋体" w:hAnsi="宋体" w:eastAsia="宋体" w:cs="宋体"/>
          <w:color w:val="auto"/>
          <w:spacing w:val="-62"/>
          <w:sz w:val="24"/>
          <w:szCs w:val="24"/>
          <w:highlight w:val="none"/>
        </w:rPr>
        <w:t>），</w:t>
      </w:r>
      <w:r>
        <w:rPr>
          <w:rFonts w:ascii="宋体" w:hAnsi="宋体" w:eastAsia="宋体" w:cs="宋体"/>
          <w:color w:val="auto"/>
          <w:spacing w:val="-2"/>
          <w:sz w:val="24"/>
          <w:szCs w:val="24"/>
          <w:highlight w:val="none"/>
        </w:rPr>
        <w:t>并向特种设备所在地质量技术监督部门办理告知等一系列手续，提供验收合格证、当地</w:t>
      </w:r>
      <w:r>
        <w:rPr>
          <w:rFonts w:ascii="宋体" w:hAnsi="宋体" w:eastAsia="宋体" w:cs="宋体"/>
          <w:color w:val="auto"/>
          <w:spacing w:val="-5"/>
          <w:sz w:val="24"/>
          <w:szCs w:val="24"/>
          <w:highlight w:val="none"/>
        </w:rPr>
        <w:t>使用登记证等资料。加强特种设备日常维护保养和自行检查制度， 对作业人员进行相应</w:t>
      </w:r>
      <w:r>
        <w:rPr>
          <w:rFonts w:ascii="宋体" w:hAnsi="宋体" w:eastAsia="宋体" w:cs="宋体"/>
          <w:color w:val="auto"/>
          <w:spacing w:val="-3"/>
          <w:sz w:val="24"/>
          <w:szCs w:val="24"/>
          <w:highlight w:val="none"/>
        </w:rPr>
        <w:t>的教育培训、安全技术交底。特种作业人员必须持证上岗。</w:t>
      </w:r>
    </w:p>
    <w:p w14:paraId="15EB2FA7">
      <w:pPr>
        <w:spacing w:before="182" w:line="220" w:lineRule="auto"/>
        <w:ind w:left="190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6.3 要求承包人增加或更换施工设备</w:t>
      </w:r>
    </w:p>
    <w:p w14:paraId="6F5BFA2D">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在本款后补充：</w:t>
      </w:r>
    </w:p>
    <w:p w14:paraId="10D1A7CE">
      <w:pPr>
        <w:spacing w:before="183" w:line="219" w:lineRule="auto"/>
        <w:ind w:left="190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承包人在接到上述指令</w:t>
      </w:r>
      <w:r>
        <w:rPr>
          <w:rFonts w:ascii="宋体" w:hAnsi="宋体" w:eastAsia="宋体" w:cs="宋体"/>
          <w:color w:val="auto"/>
          <w:spacing w:val="-26"/>
          <w:sz w:val="24"/>
          <w:szCs w:val="24"/>
          <w:highlight w:val="none"/>
        </w:rPr>
        <w:t xml:space="preserve"> </w:t>
      </w:r>
      <w:r>
        <w:rPr>
          <w:rFonts w:ascii="宋体" w:hAnsi="宋体" w:eastAsia="宋体" w:cs="宋体"/>
          <w:color w:val="auto"/>
          <w:spacing w:val="-3"/>
          <w:sz w:val="24"/>
          <w:szCs w:val="24"/>
          <w:highlight w:val="none"/>
        </w:rPr>
        <w:t>14</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天内未按要求执行，将按第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22.1</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款视为承包人违约。</w:t>
      </w:r>
    </w:p>
    <w:p w14:paraId="31C57DA8">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本条补充第 6.5</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款：</w:t>
      </w:r>
    </w:p>
    <w:p w14:paraId="1354C7FE">
      <w:pPr>
        <w:spacing w:before="182" w:line="220" w:lineRule="auto"/>
        <w:ind w:left="190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6.5 信息化管理</w:t>
      </w:r>
    </w:p>
    <w:p w14:paraId="5DC74F5A">
      <w:pPr>
        <w:spacing w:before="182" w:line="219" w:lineRule="auto"/>
        <w:ind w:left="190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6.5.1 计算机系统配置</w:t>
      </w:r>
    </w:p>
    <w:p w14:paraId="743A4068">
      <w:pPr>
        <w:spacing w:before="184" w:line="360" w:lineRule="auto"/>
        <w:ind w:left="1425" w:right="1416"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发包人采用信息化手段对本项目进行管理。承包人的计算机及网络配置应满足项目</w:t>
      </w:r>
      <w:r>
        <w:rPr>
          <w:rFonts w:ascii="宋体" w:hAnsi="宋体" w:eastAsia="宋体" w:cs="宋体"/>
          <w:strike/>
          <w:dstrike w:val="0"/>
          <w:color w:val="auto"/>
          <w:spacing w:val="-3"/>
          <w:sz w:val="24"/>
          <w:szCs w:val="24"/>
          <w:highlight w:val="none"/>
        </w:rPr>
        <w:t>信息化管理和发包人的有关要求。</w:t>
      </w:r>
    </w:p>
    <w:p w14:paraId="58616CB6">
      <w:pPr>
        <w:spacing w:before="1" w:line="359" w:lineRule="auto"/>
        <w:ind w:left="1425" w:right="1416"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承包人应确保有专用计算机和一条专用网络连接线，同时应充分考虑可视化管理的</w:t>
      </w:r>
      <w:r>
        <w:rPr>
          <w:rFonts w:ascii="宋体" w:hAnsi="宋体" w:eastAsia="宋体" w:cs="宋体"/>
          <w:strike/>
          <w:dstrike w:val="0"/>
          <w:color w:val="auto"/>
          <w:spacing w:val="-4"/>
          <w:sz w:val="24"/>
          <w:szCs w:val="24"/>
          <w:highlight w:val="none"/>
        </w:rPr>
        <w:t>手段，网络速度不小于</w:t>
      </w:r>
      <w:r>
        <w:rPr>
          <w:rFonts w:ascii="宋体" w:hAnsi="宋体" w:eastAsia="宋体" w:cs="宋体"/>
          <w:strike/>
          <w:dstrike w:val="0"/>
          <w:color w:val="auto"/>
          <w:spacing w:val="-20"/>
          <w:sz w:val="24"/>
          <w:szCs w:val="24"/>
          <w:highlight w:val="none"/>
        </w:rPr>
        <w:t xml:space="preserve"> </w:t>
      </w:r>
      <w:r>
        <w:rPr>
          <w:rFonts w:ascii="宋体" w:hAnsi="宋体" w:eastAsia="宋体" w:cs="宋体"/>
          <w:strike/>
          <w:dstrike w:val="0"/>
          <w:color w:val="auto"/>
          <w:spacing w:val="-4"/>
          <w:sz w:val="24"/>
          <w:szCs w:val="24"/>
          <w:highlight w:val="none"/>
        </w:rPr>
        <w:t>100Mbps。</w:t>
      </w:r>
    </w:p>
    <w:p w14:paraId="43610219">
      <w:pPr>
        <w:spacing w:before="1" w:line="219" w:lineRule="auto"/>
        <w:ind w:left="190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项目管理系统专用计算机的管理要求：</w:t>
      </w:r>
    </w:p>
    <w:p w14:paraId="10E48EEC">
      <w:pPr>
        <w:spacing w:before="185" w:line="289" w:lineRule="auto"/>
        <w:ind w:left="1434" w:right="1427" w:firstLine="512"/>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(1)项目管理系统专用的计算机应由熟悉计算机操作的管理人员专人管理，管理人</w:t>
      </w:r>
      <w:r>
        <w:rPr>
          <w:rFonts w:ascii="宋体" w:hAnsi="宋体" w:eastAsia="宋体" w:cs="宋体"/>
          <w:strike/>
          <w:dstrike w:val="0"/>
          <w:color w:val="auto"/>
          <w:spacing w:val="-4"/>
          <w:sz w:val="24"/>
          <w:szCs w:val="24"/>
          <w:highlight w:val="none"/>
        </w:rPr>
        <w:t>员必须参加发包人举办的培训班。</w:t>
      </w:r>
    </w:p>
    <w:p w14:paraId="3EA9015B">
      <w:pPr>
        <w:spacing w:before="184" w:line="290" w:lineRule="auto"/>
        <w:ind w:left="1426" w:right="1416" w:firstLine="52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(2)严禁在专用的计算机上安装软驱、光驱或进行登录</w:t>
      </w:r>
      <w:r>
        <w:rPr>
          <w:rFonts w:ascii="宋体" w:hAnsi="宋体" w:eastAsia="宋体" w:cs="宋体"/>
          <w:strike/>
          <w:dstrike w:val="0"/>
          <w:color w:val="auto"/>
          <w:spacing w:val="-25"/>
          <w:sz w:val="24"/>
          <w:szCs w:val="24"/>
          <w:highlight w:val="none"/>
        </w:rPr>
        <w:t xml:space="preserve"> </w:t>
      </w:r>
      <w:r>
        <w:rPr>
          <w:rFonts w:ascii="宋体" w:hAnsi="宋体" w:eastAsia="宋体" w:cs="宋体"/>
          <w:strike/>
          <w:dstrike w:val="0"/>
          <w:color w:val="auto"/>
          <w:spacing w:val="-4"/>
          <w:sz w:val="24"/>
          <w:szCs w:val="24"/>
          <w:highlight w:val="none"/>
        </w:rPr>
        <w:t>Internet</w:t>
      </w:r>
      <w:r>
        <w:rPr>
          <w:rFonts w:ascii="宋体" w:hAnsi="宋体" w:eastAsia="宋体" w:cs="宋体"/>
          <w:strike/>
          <w:dstrike w:val="0"/>
          <w:color w:val="auto"/>
          <w:spacing w:val="-32"/>
          <w:sz w:val="24"/>
          <w:szCs w:val="24"/>
          <w:highlight w:val="none"/>
        </w:rPr>
        <w:t xml:space="preserve"> </w:t>
      </w:r>
      <w:r>
        <w:rPr>
          <w:rFonts w:ascii="宋体" w:hAnsi="宋体" w:eastAsia="宋体" w:cs="宋体"/>
          <w:strike/>
          <w:dstrike w:val="0"/>
          <w:color w:val="auto"/>
          <w:spacing w:val="-4"/>
          <w:sz w:val="24"/>
          <w:szCs w:val="24"/>
          <w:highlight w:val="none"/>
        </w:rPr>
        <w:t>网及其局域网的操</w:t>
      </w:r>
      <w:r>
        <w:rPr>
          <w:rFonts w:ascii="宋体" w:hAnsi="宋体" w:eastAsia="宋体" w:cs="宋体"/>
          <w:strike/>
          <w:dstrike w:val="0"/>
          <w:color w:val="auto"/>
          <w:spacing w:val="-12"/>
          <w:sz w:val="24"/>
          <w:szCs w:val="24"/>
          <w:highlight w:val="none"/>
        </w:rPr>
        <w:t>作。</w:t>
      </w:r>
    </w:p>
    <w:p w14:paraId="792873D0">
      <w:pPr>
        <w:spacing w:before="181" w:line="219" w:lineRule="auto"/>
        <w:ind w:left="194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(3)严禁在专用计算机上安装或卸载软件。</w:t>
      </w:r>
    </w:p>
    <w:p w14:paraId="425BD237">
      <w:pPr>
        <w:spacing w:before="183" w:line="292" w:lineRule="auto"/>
        <w:ind w:left="1430" w:right="1427" w:firstLine="517"/>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(4)本网络系统对操作者进行了权限设置，任何操作员的违规操作将按照有关规定</w:t>
      </w:r>
      <w:r>
        <w:rPr>
          <w:rFonts w:ascii="宋体" w:hAnsi="宋体" w:eastAsia="宋体" w:cs="宋体"/>
          <w:strike/>
          <w:dstrike w:val="0"/>
          <w:color w:val="auto"/>
          <w:spacing w:val="-11"/>
          <w:sz w:val="24"/>
          <w:szCs w:val="24"/>
          <w:highlight w:val="none"/>
        </w:rPr>
        <w:t>处理。</w:t>
      </w:r>
    </w:p>
    <w:p w14:paraId="4B6A979D">
      <w:pPr>
        <w:spacing w:before="177" w:line="313" w:lineRule="auto"/>
        <w:ind w:left="1425" w:right="1416" w:firstLine="522"/>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(5)专用计算机访问登录服务器前，操作员应准备好所有要传送的资料，登录后，</w:t>
      </w:r>
      <w:r>
        <w:rPr>
          <w:rFonts w:ascii="宋体" w:hAnsi="宋体" w:eastAsia="宋体" w:cs="宋体"/>
          <w:strike/>
          <w:dstrike w:val="0"/>
          <w:color w:val="auto"/>
          <w:spacing w:val="-2"/>
          <w:sz w:val="24"/>
          <w:szCs w:val="24"/>
          <w:highlight w:val="none"/>
        </w:rPr>
        <w:t>应立即进行传送的操作，以避免长时间占用通讯通道。严禁登录占用通讯通道后才开始整理资料或编制文档，若有此情况将视作霸用通讯通道处以经济惩罚。</w:t>
      </w:r>
    </w:p>
    <w:p w14:paraId="1BB6C366">
      <w:pPr>
        <w:spacing w:before="183" w:line="290" w:lineRule="auto"/>
        <w:ind w:left="1426" w:right="1427" w:firstLine="521"/>
        <w:rPr>
          <w:rFonts w:ascii="宋体" w:hAnsi="宋体" w:eastAsia="宋体" w:cs="宋体"/>
          <w:color w:val="auto"/>
          <w:sz w:val="24"/>
          <w:szCs w:val="24"/>
          <w:highlight w:val="none"/>
        </w:rPr>
      </w:pPr>
      <w:r>
        <w:rPr>
          <w:rFonts w:ascii="宋体" w:hAnsi="宋体" w:eastAsia="宋体" w:cs="宋体"/>
          <w:strike/>
          <w:dstrike w:val="0"/>
          <w:color w:val="auto"/>
          <w:sz w:val="24"/>
          <w:szCs w:val="24"/>
          <w:highlight w:val="none"/>
        </w:rPr>
        <w:t>(6)承包人应安排专人配合发包人将项目信息管理系统与广东省交通运输厅建设管</w:t>
      </w:r>
      <w:r>
        <w:rPr>
          <w:rFonts w:ascii="宋体" w:hAnsi="宋体" w:eastAsia="宋体" w:cs="宋体"/>
          <w:strike/>
          <w:dstrike w:val="0"/>
          <w:color w:val="auto"/>
          <w:spacing w:val="-3"/>
          <w:sz w:val="24"/>
          <w:szCs w:val="24"/>
          <w:highlight w:val="none"/>
        </w:rPr>
        <w:t>养平台进行对接，保证网络畅通。</w:t>
      </w:r>
    </w:p>
    <w:p w14:paraId="70D56497">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7.交通运输</w:t>
      </w:r>
    </w:p>
    <w:p w14:paraId="192240EB">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7.2</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场内施工道路</w:t>
      </w:r>
    </w:p>
    <w:p w14:paraId="3849CD17">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本款补充第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7.2.3</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项：</w:t>
      </w:r>
    </w:p>
    <w:p w14:paraId="177492F6">
      <w:pPr>
        <w:spacing w:before="186" w:line="361" w:lineRule="auto"/>
        <w:ind w:left="1428"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负责对本标段内施工便道进行建设和维护，包括便道硬化及便桥加固等，并无条件允许发包人、监理人、试验人、本工程其他承包人及供应商使用。如该便道因各种原因损坏而未能及时修复，影响使用的，若发包人与承包人协调无果时，发包人有</w:t>
      </w:r>
    </w:p>
    <w:p w14:paraId="4B06FBC1">
      <w:pPr>
        <w:spacing w:before="78" w:line="220" w:lineRule="auto"/>
        <w:ind w:left="142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权委托第三方进行修复，所发生的费用从承包人工程款中扣回，承包人应</w:t>
      </w:r>
      <w:r>
        <w:rPr>
          <w:rFonts w:ascii="宋体" w:hAnsi="宋体" w:eastAsia="宋体" w:cs="宋体"/>
          <w:color w:val="auto"/>
          <w:spacing w:val="-2"/>
          <w:sz w:val="24"/>
          <w:szCs w:val="24"/>
          <w:highlight w:val="none"/>
        </w:rPr>
        <w:t>无条件接受。</w:t>
      </w:r>
    </w:p>
    <w:p w14:paraId="3BDDF144">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本款补充第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7.2.4</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项：</w:t>
      </w:r>
    </w:p>
    <w:p w14:paraId="703E8AD3">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7.2.4</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施工便道要求：</w:t>
      </w:r>
    </w:p>
    <w:p w14:paraId="50E1D35D">
      <w:pPr>
        <w:spacing w:before="182" w:line="360" w:lineRule="auto"/>
        <w:ind w:left="1424" w:right="1377"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承包人应无条件按发包人要求的时间节点拉通施工便道，在实施便道工程前，应做</w:t>
      </w:r>
      <w:r>
        <w:rPr>
          <w:rFonts w:ascii="宋体" w:hAnsi="宋体" w:eastAsia="宋体" w:cs="宋体"/>
          <w:color w:val="auto"/>
          <w:spacing w:val="-6"/>
          <w:sz w:val="24"/>
          <w:szCs w:val="24"/>
          <w:highlight w:val="none"/>
        </w:rPr>
        <w:t>好现场调查，结合工点施工组织方案，编制施工便道专项方案。承包人在取弃土前，</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应</w:t>
      </w:r>
      <w:r>
        <w:rPr>
          <w:rFonts w:ascii="宋体" w:hAnsi="宋体" w:eastAsia="宋体" w:cs="宋体"/>
          <w:color w:val="auto"/>
          <w:spacing w:val="-8"/>
          <w:sz w:val="24"/>
          <w:szCs w:val="24"/>
          <w:highlight w:val="none"/>
        </w:rPr>
        <w:t>对取弃土场的位置、容量等进行勘测复查，编制取弃土场专项方案。具体方案需符合《广</w:t>
      </w:r>
      <w:r>
        <w:rPr>
          <w:rFonts w:ascii="宋体" w:hAnsi="宋体" w:eastAsia="宋体" w:cs="宋体"/>
          <w:color w:val="auto"/>
          <w:sz w:val="24"/>
          <w:szCs w:val="24"/>
          <w:highlight w:val="none"/>
        </w:rPr>
        <w:t>东省交通运输厅关于进一步加强公路施工便</w:t>
      </w:r>
      <w:r>
        <w:rPr>
          <w:rFonts w:ascii="宋体" w:hAnsi="宋体" w:eastAsia="宋体" w:cs="宋体"/>
          <w:color w:val="auto"/>
          <w:spacing w:val="-1"/>
          <w:sz w:val="24"/>
          <w:szCs w:val="24"/>
          <w:highlight w:val="none"/>
        </w:rPr>
        <w:t>道取弃土场的设计和施工管理工作的通知》</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和《广东省公路工程施工标准化指南》的</w:t>
      </w:r>
      <w:r>
        <w:rPr>
          <w:rFonts w:ascii="宋体" w:hAnsi="宋体" w:eastAsia="宋体" w:cs="宋体"/>
          <w:color w:val="auto"/>
          <w:spacing w:val="-10"/>
          <w:sz w:val="24"/>
          <w:szCs w:val="24"/>
          <w:highlight w:val="none"/>
        </w:rPr>
        <w:t>要求。</w:t>
      </w:r>
    </w:p>
    <w:p w14:paraId="534E83E7">
      <w:pPr>
        <w:spacing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7.3</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场外交通</w:t>
      </w:r>
    </w:p>
    <w:p w14:paraId="4E8E5323">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本款补充第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7.3.3</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项：</w:t>
      </w:r>
    </w:p>
    <w:p w14:paraId="0B52D825">
      <w:pPr>
        <w:spacing w:before="183" w:line="219"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为保证道路交通安全及运输畅通，承包人应采取以下措施：</w:t>
      </w:r>
    </w:p>
    <w:p w14:paraId="706843D5">
      <w:pPr>
        <w:spacing w:before="183" w:line="290" w:lineRule="auto"/>
        <w:ind w:left="1452" w:right="1349" w:firstLine="45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（a）承包人必须在与市政、交通和交警等部门的协商下采取足够</w:t>
      </w:r>
      <w:r>
        <w:rPr>
          <w:rFonts w:ascii="宋体" w:hAnsi="宋体" w:eastAsia="宋体" w:cs="宋体"/>
          <w:color w:val="auto"/>
          <w:spacing w:val="-4"/>
          <w:sz w:val="24"/>
          <w:szCs w:val="24"/>
          <w:highlight w:val="none"/>
        </w:rPr>
        <w:t>的交通引导措施，</w:t>
      </w:r>
      <w:r>
        <w:rPr>
          <w:rFonts w:ascii="宋体" w:hAnsi="宋体" w:eastAsia="宋体" w:cs="宋体"/>
          <w:color w:val="auto"/>
          <w:spacing w:val="-7"/>
          <w:sz w:val="24"/>
          <w:szCs w:val="24"/>
          <w:highlight w:val="none"/>
        </w:rPr>
        <w:t>以防止施工期间出现道路堵塞；</w:t>
      </w:r>
    </w:p>
    <w:p w14:paraId="3A370289">
      <w:pPr>
        <w:spacing w:before="183" w:line="290" w:lineRule="auto"/>
        <w:ind w:left="1426" w:right="142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（b）承包人制定施工材料运输计划时，应尽量避开现有道路交通高峰时的运输活</w:t>
      </w:r>
      <w:r>
        <w:rPr>
          <w:rFonts w:ascii="宋体" w:hAnsi="宋体" w:eastAsia="宋体" w:cs="宋体"/>
          <w:color w:val="auto"/>
          <w:spacing w:val="-12"/>
          <w:sz w:val="24"/>
          <w:szCs w:val="24"/>
          <w:highlight w:val="none"/>
        </w:rPr>
        <w:t>动。</w:t>
      </w:r>
    </w:p>
    <w:p w14:paraId="092EC89C">
      <w:pPr>
        <w:spacing w:before="181" w:line="290" w:lineRule="auto"/>
        <w:ind w:left="1454" w:right="1427" w:firstLine="45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（c）承包人须编制交通组织方案，报相关部门审查批复，必要时组织评审，费用</w:t>
      </w:r>
      <w:r>
        <w:rPr>
          <w:rFonts w:ascii="宋体" w:hAnsi="宋体" w:eastAsia="宋体" w:cs="宋体"/>
          <w:color w:val="auto"/>
          <w:spacing w:val="-5"/>
          <w:sz w:val="24"/>
          <w:szCs w:val="24"/>
          <w:highlight w:val="none"/>
        </w:rPr>
        <w:t>由承包人负责（合同另有约定除外）。</w:t>
      </w:r>
    </w:p>
    <w:p w14:paraId="652642E4">
      <w:pPr>
        <w:spacing w:before="182" w:line="220" w:lineRule="auto"/>
        <w:ind w:left="190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9.</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施工安全、治安保卫和环境保护</w:t>
      </w:r>
    </w:p>
    <w:p w14:paraId="39989684">
      <w:pPr>
        <w:spacing w:before="181" w:line="220"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9.2 承包人的施工安全责任</w:t>
      </w:r>
    </w:p>
    <w:p w14:paraId="64588C22">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9.2.1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51AFF12D">
      <w:pPr>
        <w:spacing w:before="182" w:line="220" w:lineRule="auto"/>
        <w:ind w:left="1905"/>
        <w:rPr>
          <w:rFonts w:ascii="宋体" w:hAnsi="宋体" w:eastAsia="宋体" w:cs="宋体"/>
          <w:color w:val="auto"/>
          <w:sz w:val="24"/>
          <w:szCs w:val="24"/>
          <w:highlight w:val="none"/>
        </w:rPr>
      </w:pPr>
      <w:r>
        <w:rPr>
          <w:rFonts w:ascii="宋体" w:hAnsi="宋体" w:eastAsia="宋体" w:cs="宋体"/>
          <w:strike/>
          <w:dstrike w:val="0"/>
          <w:color w:val="auto"/>
          <w:spacing w:val="-1"/>
          <w:sz w:val="24"/>
          <w:szCs w:val="24"/>
          <w:highlight w:val="none"/>
        </w:rPr>
        <w:t>承包人应按《广东省高速公路工程施工安全标准化指南》的</w:t>
      </w:r>
      <w:r>
        <w:rPr>
          <w:rFonts w:ascii="宋体" w:hAnsi="宋体" w:eastAsia="宋体" w:cs="宋体"/>
          <w:strike/>
          <w:dstrike w:val="0"/>
          <w:color w:val="auto"/>
          <w:spacing w:val="-2"/>
          <w:sz w:val="24"/>
          <w:szCs w:val="24"/>
          <w:highlight w:val="none"/>
        </w:rPr>
        <w:t>规定履行安全职责。</w:t>
      </w:r>
    </w:p>
    <w:p w14:paraId="4D9D2A04">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本项目需要编制专项施工方案的工程包括但不限于以下内容：</w:t>
      </w:r>
    </w:p>
    <w:p w14:paraId="12F6E676">
      <w:pPr>
        <w:spacing w:before="183" w:line="220" w:lineRule="auto"/>
        <w:ind w:left="19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补充第（11）-（14）目：</w:t>
      </w:r>
    </w:p>
    <w:p w14:paraId="7CC5F538">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（11）旧桥涵（含分离立交、匝道桥、现浇、连续梁）</w:t>
      </w:r>
      <w:r>
        <w:rPr>
          <w:rFonts w:ascii="宋体" w:hAnsi="宋体" w:eastAsia="宋体" w:cs="宋体"/>
          <w:color w:val="auto"/>
          <w:spacing w:val="-3"/>
          <w:sz w:val="24"/>
          <w:szCs w:val="24"/>
          <w:highlight w:val="none"/>
        </w:rPr>
        <w:t>的拆除与加固；</w:t>
      </w:r>
    </w:p>
    <w:p w14:paraId="189EF317">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（12）纵断面调整路段的路基路面施工；</w:t>
      </w:r>
    </w:p>
    <w:p w14:paraId="59D7B5C7">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val="0"/>
          <w:dstrike w:val="0"/>
          <w:color w:val="auto"/>
          <w:spacing w:val="-2"/>
          <w:sz w:val="24"/>
          <w:szCs w:val="24"/>
          <w:highlight w:val="none"/>
        </w:rPr>
        <w:t>（13）旧收费雨棚及收费岛拆除，旧门架</w:t>
      </w:r>
      <w:r>
        <w:rPr>
          <w:rFonts w:ascii="宋体" w:hAnsi="宋体" w:eastAsia="宋体" w:cs="宋体"/>
          <w:strike w:val="0"/>
          <w:dstrike w:val="0"/>
          <w:color w:val="auto"/>
          <w:spacing w:val="-3"/>
          <w:sz w:val="24"/>
          <w:szCs w:val="24"/>
          <w:highlight w:val="none"/>
        </w:rPr>
        <w:t>式监控或标志设施拆除；</w:t>
      </w:r>
    </w:p>
    <w:p w14:paraId="2388083D">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（14）其他危险性较大的工程。</w:t>
      </w:r>
    </w:p>
    <w:p w14:paraId="4F1A6EDF">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9.2.2</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351A767C">
      <w:pPr>
        <w:spacing w:before="183" w:line="360" w:lineRule="auto"/>
        <w:ind w:left="1427"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承包人应按国家和有关部门的规定，对施工现场人员和作业船舶、机械、设备的防</w:t>
      </w:r>
      <w:r>
        <w:rPr>
          <w:rFonts w:ascii="宋体" w:hAnsi="宋体" w:eastAsia="宋体" w:cs="宋体"/>
          <w:color w:val="auto"/>
          <w:spacing w:val="-6"/>
          <w:sz w:val="24"/>
          <w:szCs w:val="24"/>
          <w:highlight w:val="none"/>
        </w:rPr>
        <w:t>台风、防突风、防风暴潮、防汛、防火、防雾、防坠落、防雷击等</w:t>
      </w:r>
      <w:r>
        <w:rPr>
          <w:rFonts w:ascii="宋体" w:hAnsi="宋体" w:eastAsia="宋体" w:cs="宋体"/>
          <w:color w:val="auto"/>
          <w:spacing w:val="-7"/>
          <w:sz w:val="24"/>
          <w:szCs w:val="24"/>
          <w:highlight w:val="none"/>
        </w:rPr>
        <w:t>进行安全管理，</w:t>
      </w:r>
      <w:r>
        <w:rPr>
          <w:rFonts w:ascii="宋体" w:hAnsi="宋体" w:eastAsia="宋体" w:cs="宋体"/>
          <w:color w:val="auto"/>
          <w:spacing w:val="56"/>
          <w:sz w:val="24"/>
          <w:szCs w:val="24"/>
          <w:highlight w:val="none"/>
        </w:rPr>
        <w:t xml:space="preserve"> </w:t>
      </w:r>
      <w:r>
        <w:rPr>
          <w:rFonts w:ascii="宋体" w:hAnsi="宋体" w:eastAsia="宋体" w:cs="宋体"/>
          <w:color w:val="auto"/>
          <w:spacing w:val="-7"/>
          <w:sz w:val="24"/>
          <w:szCs w:val="24"/>
          <w:highlight w:val="none"/>
        </w:rPr>
        <w:t>对施</w:t>
      </w:r>
      <w:r>
        <w:rPr>
          <w:rFonts w:ascii="宋体" w:hAnsi="宋体" w:eastAsia="宋体" w:cs="宋体"/>
          <w:color w:val="auto"/>
          <w:spacing w:val="-5"/>
          <w:sz w:val="24"/>
          <w:szCs w:val="24"/>
          <w:highlight w:val="none"/>
        </w:rPr>
        <w:t>工现场加强水陆交通安全管理、治安防范和消防安全防护措施， 并承担由于措施不力造</w:t>
      </w:r>
      <w:r>
        <w:rPr>
          <w:rFonts w:ascii="宋体" w:hAnsi="宋体" w:eastAsia="宋体" w:cs="宋体"/>
          <w:color w:val="auto"/>
          <w:spacing w:val="-3"/>
          <w:sz w:val="24"/>
          <w:szCs w:val="24"/>
          <w:highlight w:val="none"/>
        </w:rPr>
        <w:t>成的事故责任和由此发生的费用。</w:t>
      </w:r>
    </w:p>
    <w:p w14:paraId="1D2626EE">
      <w:pPr>
        <w:spacing w:line="219"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9.2.3</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546AA885">
      <w:pPr>
        <w:spacing w:before="182" w:line="325" w:lineRule="auto"/>
        <w:ind w:left="1426" w:right="1331" w:firstLine="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9.2.3.1</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承包人应贯彻执行国家有关安全生产、职业健康与环境保护的法律</w:t>
      </w:r>
      <w:r>
        <w:rPr>
          <w:rFonts w:ascii="宋体" w:hAnsi="宋体" w:eastAsia="宋体" w:cs="宋体"/>
          <w:color w:val="auto"/>
          <w:spacing w:val="-5"/>
          <w:sz w:val="24"/>
          <w:szCs w:val="24"/>
          <w:highlight w:val="none"/>
        </w:rPr>
        <w:t>、法规、</w:t>
      </w:r>
      <w:r>
        <w:rPr>
          <w:rFonts w:ascii="宋体" w:hAnsi="宋体" w:eastAsia="宋体" w:cs="宋体"/>
          <w:color w:val="auto"/>
          <w:spacing w:val="-2"/>
          <w:sz w:val="24"/>
          <w:szCs w:val="24"/>
          <w:highlight w:val="none"/>
        </w:rPr>
        <w:t>工程建设强制性标准及项目所在地的有关规定，以及发包人制定的管理制度，建立有效</w:t>
      </w:r>
      <w:r>
        <w:rPr>
          <w:rFonts w:ascii="宋体" w:hAnsi="宋体" w:eastAsia="宋体" w:cs="宋体"/>
          <w:color w:val="auto"/>
          <w:spacing w:val="-6"/>
          <w:sz w:val="24"/>
          <w:szCs w:val="24"/>
          <w:highlight w:val="none"/>
        </w:rPr>
        <w:t>的安全生产、职业健康、环境保护管理体系，</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用于规范项目的安全生产、职</w:t>
      </w:r>
      <w:r>
        <w:rPr>
          <w:rFonts w:ascii="宋体" w:hAnsi="宋体" w:eastAsia="宋体" w:cs="宋体"/>
          <w:color w:val="auto"/>
          <w:spacing w:val="-7"/>
          <w:sz w:val="24"/>
          <w:szCs w:val="24"/>
          <w:highlight w:val="none"/>
        </w:rPr>
        <w:t>业健康和环</w:t>
      </w:r>
      <w:r>
        <w:rPr>
          <w:rFonts w:ascii="宋体" w:hAnsi="宋体" w:eastAsia="宋体" w:cs="宋体"/>
          <w:color w:val="auto"/>
          <w:spacing w:val="-5"/>
          <w:sz w:val="24"/>
          <w:szCs w:val="24"/>
          <w:highlight w:val="none"/>
        </w:rPr>
        <w:t>境保护管理工作。</w:t>
      </w:r>
    </w:p>
    <w:p w14:paraId="221A3234">
      <w:pPr>
        <w:spacing w:before="184" w:line="289" w:lineRule="auto"/>
        <w:ind w:left="1424" w:right="1418"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9.2.3.2</w:t>
      </w:r>
      <w:r>
        <w:rPr>
          <w:rFonts w:ascii="宋体" w:hAnsi="宋体" w:eastAsia="宋体" w:cs="宋体"/>
          <w:color w:val="auto"/>
          <w:spacing w:val="-46"/>
          <w:sz w:val="24"/>
          <w:szCs w:val="24"/>
          <w:highlight w:val="none"/>
        </w:rPr>
        <w:t xml:space="preserve"> </w:t>
      </w:r>
      <w:r>
        <w:rPr>
          <w:rFonts w:ascii="宋体" w:hAnsi="宋体" w:eastAsia="宋体" w:cs="宋体"/>
          <w:color w:val="auto"/>
          <w:sz w:val="24"/>
          <w:szCs w:val="24"/>
          <w:highlight w:val="none"/>
        </w:rPr>
        <w:t>项目的安全生产、职业健康和环境保</w:t>
      </w:r>
      <w:r>
        <w:rPr>
          <w:rFonts w:ascii="宋体" w:hAnsi="宋体" w:eastAsia="宋体" w:cs="宋体"/>
          <w:color w:val="auto"/>
          <w:spacing w:val="-1"/>
          <w:sz w:val="24"/>
          <w:szCs w:val="24"/>
          <w:highlight w:val="none"/>
        </w:rPr>
        <w:t>护管理，应接受政府主管部门及其授权委托机构、发包人及其所委托的监理机构的监</w:t>
      </w:r>
      <w:r>
        <w:rPr>
          <w:rFonts w:ascii="宋体" w:hAnsi="宋体" w:eastAsia="宋体" w:cs="宋体"/>
          <w:color w:val="auto"/>
          <w:spacing w:val="-2"/>
          <w:sz w:val="24"/>
          <w:szCs w:val="24"/>
          <w:highlight w:val="none"/>
        </w:rPr>
        <w:t>督、检查、协调与指导。</w:t>
      </w:r>
    </w:p>
    <w:p w14:paraId="240A575F">
      <w:pPr>
        <w:spacing w:before="183" w:line="290" w:lineRule="auto"/>
        <w:ind w:left="1424" w:right="1417"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9.2.3.3</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承包人应建立健全并落实安全生产“一岗双责”</w:t>
      </w:r>
      <w:r>
        <w:rPr>
          <w:rFonts w:ascii="宋体" w:hAnsi="宋体" w:eastAsia="宋体" w:cs="宋体"/>
          <w:color w:val="auto"/>
          <w:spacing w:val="-1"/>
          <w:sz w:val="24"/>
          <w:szCs w:val="24"/>
          <w:highlight w:val="none"/>
        </w:rPr>
        <w:t>责任制和全员安全生产责</w:t>
      </w:r>
      <w:r>
        <w:rPr>
          <w:rFonts w:ascii="宋体" w:hAnsi="宋体" w:eastAsia="宋体" w:cs="宋体"/>
          <w:color w:val="auto"/>
          <w:spacing w:val="-2"/>
          <w:sz w:val="24"/>
          <w:szCs w:val="24"/>
          <w:highlight w:val="none"/>
        </w:rPr>
        <w:t>任制，确保管生产同时管安全，实现全员全过程安全管理。</w:t>
      </w:r>
    </w:p>
    <w:p w14:paraId="069CC58E">
      <w:pPr>
        <w:spacing w:before="78" w:line="360" w:lineRule="auto"/>
        <w:ind w:left="1425" w:right="1416" w:firstLine="480"/>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9.2.3.4</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承包人应深入开展以岗位达标、专业达标和项</w:t>
      </w:r>
      <w:r>
        <w:rPr>
          <w:rFonts w:ascii="宋体" w:hAnsi="宋体" w:eastAsia="宋体" w:cs="宋体"/>
          <w:color w:val="auto"/>
          <w:spacing w:val="-1"/>
          <w:sz w:val="24"/>
          <w:szCs w:val="24"/>
          <w:highlight w:val="none"/>
        </w:rPr>
        <w:t>目达标为内容的安全生产标</w:t>
      </w:r>
      <w:r>
        <w:rPr>
          <w:rFonts w:ascii="宋体" w:hAnsi="宋体" w:eastAsia="宋体" w:cs="宋体"/>
          <w:color w:val="auto"/>
          <w:spacing w:val="-2"/>
          <w:sz w:val="24"/>
          <w:szCs w:val="24"/>
          <w:highlight w:val="none"/>
        </w:rPr>
        <w:t>准化建设。重点开展公路水运工程“平安工地”建设管理活动，按照《广东省交通运输</w:t>
      </w:r>
      <w:r>
        <w:rPr>
          <w:rFonts w:ascii="宋体" w:hAnsi="宋体" w:eastAsia="宋体" w:cs="宋体"/>
          <w:color w:val="auto"/>
          <w:spacing w:val="-5"/>
          <w:sz w:val="24"/>
          <w:szCs w:val="24"/>
          <w:highlight w:val="none"/>
        </w:rPr>
        <w:t>厅关于公路水运工程平安工地建设的管理办法》， 开展平安工地建设，经常性的开展安</w:t>
      </w:r>
      <w:r>
        <w:rPr>
          <w:rFonts w:ascii="宋体" w:hAnsi="宋体" w:eastAsia="宋体" w:cs="宋体"/>
          <w:color w:val="auto"/>
          <w:spacing w:val="-2"/>
          <w:sz w:val="24"/>
          <w:szCs w:val="24"/>
          <w:highlight w:val="none"/>
        </w:rPr>
        <w:t>全生产自查和安全隐患排查，每月至少组织一次全面的自我考核评价，并将考核评价结</w:t>
      </w:r>
      <w:r>
        <w:rPr>
          <w:rFonts w:ascii="宋体" w:hAnsi="宋体" w:eastAsia="宋体" w:cs="宋体"/>
          <w:color w:val="auto"/>
          <w:spacing w:val="-4"/>
          <w:sz w:val="24"/>
          <w:szCs w:val="24"/>
          <w:highlight w:val="none"/>
        </w:rPr>
        <w:t>果向监理人和发包人备案。</w:t>
      </w:r>
    </w:p>
    <w:p w14:paraId="74022A64">
      <w:pPr>
        <w:spacing w:line="219"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8"/>
          <w:sz w:val="24"/>
          <w:szCs w:val="24"/>
          <w:highlight w:val="none"/>
        </w:rPr>
        <w:t>9.2.4</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78E64DE7">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承包人必须重视应急管理，在应急管理方面要做好但不限于以下工</w:t>
      </w:r>
      <w:r>
        <w:rPr>
          <w:rFonts w:ascii="宋体" w:hAnsi="宋体" w:eastAsia="宋体" w:cs="宋体"/>
          <w:color w:val="auto"/>
          <w:spacing w:val="-3"/>
          <w:sz w:val="24"/>
          <w:szCs w:val="24"/>
          <w:highlight w:val="none"/>
        </w:rPr>
        <w:t>作：</w:t>
      </w:r>
    </w:p>
    <w:p w14:paraId="5DCC20A7">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（1）建立和完善应急组织体系。</w:t>
      </w:r>
    </w:p>
    <w:p w14:paraId="737E5825">
      <w:pPr>
        <w:spacing w:before="182" w:line="325" w:lineRule="auto"/>
        <w:ind w:left="1425" w:right="1349"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（2）结合工程特点建立完善的应急预案体系，承包人编制的应急预案必须和项目</w:t>
      </w:r>
      <w:r>
        <w:rPr>
          <w:rFonts w:ascii="宋体" w:hAnsi="宋体" w:eastAsia="宋体" w:cs="宋体"/>
          <w:color w:val="auto"/>
          <w:spacing w:val="-7"/>
          <w:sz w:val="24"/>
          <w:szCs w:val="24"/>
          <w:highlight w:val="none"/>
        </w:rPr>
        <w:t>参建各方、项目所在地相关的应急预案体系相互衔接</w:t>
      </w:r>
      <w:r>
        <w:rPr>
          <w:rFonts w:ascii="宋体" w:hAnsi="宋体" w:eastAsia="宋体" w:cs="宋体"/>
          <w:color w:val="auto"/>
          <w:spacing w:val="-8"/>
          <w:sz w:val="24"/>
          <w:szCs w:val="24"/>
          <w:highlight w:val="none"/>
        </w:rPr>
        <w:t>，</w:t>
      </w:r>
      <w:r>
        <w:rPr>
          <w:rFonts w:ascii="宋体" w:hAnsi="宋体" w:eastAsia="宋体" w:cs="宋体"/>
          <w:color w:val="auto"/>
          <w:spacing w:val="-63"/>
          <w:sz w:val="24"/>
          <w:szCs w:val="24"/>
          <w:highlight w:val="none"/>
        </w:rPr>
        <w:t xml:space="preserve"> </w:t>
      </w:r>
      <w:r>
        <w:rPr>
          <w:rFonts w:ascii="宋体" w:hAnsi="宋体" w:eastAsia="宋体" w:cs="宋体"/>
          <w:color w:val="auto"/>
          <w:spacing w:val="-8"/>
          <w:sz w:val="24"/>
          <w:szCs w:val="24"/>
          <w:highlight w:val="none"/>
        </w:rPr>
        <w:t>互为呼应。按照应急预案的要求，</w:t>
      </w:r>
      <w:r>
        <w:rPr>
          <w:rFonts w:ascii="宋体" w:hAnsi="宋体" w:eastAsia="宋体" w:cs="宋体"/>
          <w:color w:val="auto"/>
          <w:spacing w:val="-5"/>
          <w:sz w:val="24"/>
          <w:szCs w:val="24"/>
          <w:highlight w:val="none"/>
        </w:rPr>
        <w:t>组建和完善专兼职应急救援队伍、配备应急救援设施和装备， 保证应急救援物资处于良</w:t>
      </w:r>
      <w:r>
        <w:rPr>
          <w:rFonts w:ascii="宋体" w:hAnsi="宋体" w:eastAsia="宋体" w:cs="宋体"/>
          <w:color w:val="auto"/>
          <w:spacing w:val="-4"/>
          <w:sz w:val="24"/>
          <w:szCs w:val="24"/>
          <w:highlight w:val="none"/>
        </w:rPr>
        <w:t>好状态，确保正常使用。</w:t>
      </w:r>
    </w:p>
    <w:p w14:paraId="6679BF3A">
      <w:pPr>
        <w:spacing w:before="181" w:line="290" w:lineRule="auto"/>
        <w:ind w:left="1429" w:right="1462"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（3）承包人应经常组织应急预案演练，不断完善应急预案，提升应急管理水平。</w:t>
      </w:r>
      <w:r>
        <w:rPr>
          <w:rFonts w:ascii="宋体" w:hAnsi="宋体" w:eastAsia="宋体" w:cs="宋体"/>
          <w:color w:val="auto"/>
          <w:spacing w:val="-2"/>
          <w:sz w:val="24"/>
          <w:szCs w:val="24"/>
          <w:highlight w:val="none"/>
        </w:rPr>
        <w:t>发生突发事件时，迅速启动应急预案，开展各项应急处置工作。</w:t>
      </w:r>
    </w:p>
    <w:p w14:paraId="4C324460">
      <w:pPr>
        <w:spacing w:before="184" w:line="313" w:lineRule="auto"/>
        <w:ind w:left="1425" w:right="1403"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（4）承包人应主动接受所在地人民政府安全生产监督管理部门和有关主管部门安</w:t>
      </w:r>
      <w:r>
        <w:rPr>
          <w:rFonts w:ascii="宋体" w:hAnsi="宋体" w:eastAsia="宋体" w:cs="宋体"/>
          <w:color w:val="auto"/>
          <w:spacing w:val="-2"/>
          <w:sz w:val="24"/>
          <w:szCs w:val="24"/>
          <w:highlight w:val="none"/>
        </w:rPr>
        <w:t>全监督指导，并积极配合相关单位做好应急管理工作，因上述单位要求而增加的安全设</w:t>
      </w:r>
      <w:r>
        <w:rPr>
          <w:rFonts w:ascii="宋体" w:hAnsi="宋体" w:eastAsia="宋体" w:cs="宋体"/>
          <w:color w:val="auto"/>
          <w:spacing w:val="-1"/>
          <w:sz w:val="24"/>
          <w:szCs w:val="24"/>
          <w:highlight w:val="none"/>
        </w:rPr>
        <w:t>备、措施、防护等费用，原则上由承包人从安全生产费用中列支，发</w:t>
      </w:r>
      <w:r>
        <w:rPr>
          <w:rFonts w:ascii="宋体" w:hAnsi="宋体" w:eastAsia="宋体" w:cs="宋体"/>
          <w:color w:val="auto"/>
          <w:spacing w:val="-2"/>
          <w:sz w:val="24"/>
          <w:szCs w:val="24"/>
          <w:highlight w:val="none"/>
        </w:rPr>
        <w:t>包人不另行支付。</w:t>
      </w:r>
    </w:p>
    <w:p w14:paraId="05B28C6D">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第</w:t>
      </w:r>
      <w:r>
        <w:rPr>
          <w:rFonts w:ascii="宋体" w:hAnsi="宋体" w:eastAsia="宋体" w:cs="宋体"/>
          <w:color w:val="auto"/>
          <w:spacing w:val="-49"/>
          <w:sz w:val="24"/>
          <w:szCs w:val="24"/>
          <w:highlight w:val="none"/>
        </w:rPr>
        <w:t xml:space="preserve"> </w:t>
      </w:r>
      <w:r>
        <w:rPr>
          <w:rFonts w:ascii="宋体" w:hAnsi="宋体" w:eastAsia="宋体" w:cs="宋体"/>
          <w:color w:val="auto"/>
          <w:spacing w:val="-7"/>
          <w:sz w:val="24"/>
          <w:szCs w:val="24"/>
          <w:highlight w:val="none"/>
        </w:rPr>
        <w:t>9.2.5</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项细化为：</w:t>
      </w:r>
    </w:p>
    <w:p w14:paraId="0F2149F7">
      <w:pPr>
        <w:spacing w:before="184" w:line="313" w:lineRule="auto"/>
        <w:ind w:left="1425" w:right="1403" w:firstLine="486"/>
        <w:rPr>
          <w:color w:val="auto"/>
          <w:highlight w:val="none"/>
        </w:rPr>
      </w:pPr>
      <w:r>
        <w:rPr>
          <w:rFonts w:hint="eastAsia" w:ascii="宋体" w:hAnsi="宋体" w:eastAsia="宋体" w:cs="宋体"/>
          <w:color w:val="auto"/>
          <w:spacing w:val="-1"/>
          <w:sz w:val="24"/>
          <w:szCs w:val="24"/>
          <w:highlight w:val="none"/>
        </w:rPr>
        <w:t>承包人未按照合同约定落实安全生产措施的，发包人可以责令其暂停施工或暂停支付安全生产费用，并要求监理人督促整改，直至承包人完成整改。若承包人未能在规定期限内完成对施工现场事故隐患整改的，发包人可以直接委托其他单位代为整改，相关费用在支付给承包人的费用中扣除，并由发包人直接支付给受委托单位。</w:t>
      </w:r>
    </w:p>
    <w:p w14:paraId="00182D5F">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9.2.6</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项细化为:</w:t>
      </w:r>
    </w:p>
    <w:p w14:paraId="7AE0690D">
      <w:pPr>
        <w:spacing w:before="182"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承包人对其分包施工现场的安全生产负总责。分包合同中应当明确各自的安全生产</w:t>
      </w:r>
      <w:r>
        <w:rPr>
          <w:rFonts w:ascii="宋体" w:hAnsi="宋体" w:eastAsia="宋体" w:cs="宋体"/>
          <w:color w:val="auto"/>
          <w:spacing w:val="-6"/>
          <w:sz w:val="24"/>
          <w:szCs w:val="24"/>
          <w:highlight w:val="none"/>
        </w:rPr>
        <w:t>方面的权利、义务，</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承包人和分包人对分包工程的安全生产承担连带责任。分包单位安</w:t>
      </w:r>
      <w:r>
        <w:rPr>
          <w:rFonts w:ascii="宋体" w:hAnsi="宋体" w:eastAsia="宋体" w:cs="宋体"/>
          <w:color w:val="auto"/>
          <w:spacing w:val="-1"/>
          <w:sz w:val="24"/>
          <w:szCs w:val="24"/>
          <w:highlight w:val="none"/>
        </w:rPr>
        <w:t>全生产条件和措施投入不足的应当由承包人负责配足，</w:t>
      </w:r>
      <w:r>
        <w:rPr>
          <w:rFonts w:ascii="宋体" w:hAnsi="宋体" w:eastAsia="宋体" w:cs="宋体"/>
          <w:color w:val="auto"/>
          <w:spacing w:val="-2"/>
          <w:sz w:val="24"/>
          <w:szCs w:val="24"/>
          <w:highlight w:val="none"/>
        </w:rPr>
        <w:t>其费用由承包人承担。</w:t>
      </w:r>
    </w:p>
    <w:p w14:paraId="2E3AB749">
      <w:pPr>
        <w:spacing w:before="1" w:line="219"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9.2.8（4）目细化为：</w:t>
      </w:r>
    </w:p>
    <w:p w14:paraId="715CE57D">
      <w:pPr>
        <w:spacing w:before="183" w:line="360"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根据本合同各单位工程的施工特点，严格执行《公路水运工程安全生产监督管理办法》《公路工程施工安全技术规范》等有关规定。承包人须成立安全生产组织机构和独</w:t>
      </w:r>
    </w:p>
    <w:p w14:paraId="4371C232">
      <w:pPr>
        <w:spacing w:line="450" w:lineRule="auto"/>
        <w:ind w:left="1422" w:right="1416" w:firstLine="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立的安全生产管理部门，配备安全专职副经理和专职安全生产管理人员，明确安全生产</w:t>
      </w:r>
      <w:r>
        <w:rPr>
          <w:rFonts w:ascii="宋体" w:hAnsi="宋体" w:eastAsia="宋体" w:cs="宋体"/>
          <w:color w:val="auto"/>
          <w:spacing w:val="-6"/>
          <w:sz w:val="24"/>
          <w:szCs w:val="24"/>
          <w:highlight w:val="none"/>
        </w:rPr>
        <w:t>第一责任人、直接责任人及其职责，</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如责任人和专职安全管理人员发生变动，必须立即</w:t>
      </w:r>
      <w:r>
        <w:rPr>
          <w:rFonts w:ascii="宋体" w:hAnsi="宋体" w:eastAsia="宋体" w:cs="宋体"/>
          <w:color w:val="auto"/>
          <w:spacing w:val="-4"/>
          <w:sz w:val="24"/>
          <w:szCs w:val="24"/>
          <w:highlight w:val="none"/>
        </w:rPr>
        <w:t>书面通知监理人和发包人。</w:t>
      </w:r>
    </w:p>
    <w:p w14:paraId="56F80DF2">
      <w:pPr>
        <w:spacing w:before="1" w:line="218" w:lineRule="auto"/>
        <w:ind w:left="190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在本款补充第</w:t>
      </w:r>
      <w:r>
        <w:rPr>
          <w:rFonts w:ascii="宋体" w:hAnsi="宋体" w:eastAsia="宋体" w:cs="宋体"/>
          <w:color w:val="auto"/>
          <w:spacing w:val="-36"/>
          <w:sz w:val="24"/>
          <w:szCs w:val="24"/>
          <w:highlight w:val="none"/>
        </w:rPr>
        <w:t xml:space="preserve"> </w:t>
      </w:r>
      <w:r>
        <w:rPr>
          <w:rFonts w:ascii="宋体" w:hAnsi="宋体" w:eastAsia="宋体" w:cs="宋体"/>
          <w:color w:val="auto"/>
          <w:spacing w:val="-4"/>
          <w:sz w:val="24"/>
          <w:szCs w:val="24"/>
          <w:highlight w:val="none"/>
        </w:rPr>
        <w:t>9.2.12</w:t>
      </w:r>
      <w:r>
        <w:rPr>
          <w:rFonts w:ascii="宋体" w:hAnsi="宋体" w:eastAsia="宋体" w:cs="宋体"/>
          <w:color w:val="auto"/>
          <w:spacing w:val="-46"/>
          <w:sz w:val="24"/>
          <w:szCs w:val="24"/>
          <w:highlight w:val="none"/>
        </w:rPr>
        <w:t xml:space="preserve"> </w:t>
      </w:r>
      <w:r>
        <w:rPr>
          <w:rFonts w:ascii="宋体" w:hAnsi="宋体" w:eastAsia="宋体" w:cs="宋体"/>
          <w:color w:val="auto"/>
          <w:spacing w:val="-4"/>
          <w:sz w:val="24"/>
          <w:szCs w:val="24"/>
          <w:highlight w:val="none"/>
        </w:rPr>
        <w:t>项～第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9.2.17</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w:t>
      </w:r>
    </w:p>
    <w:p w14:paraId="15B63DCD">
      <w:pPr>
        <w:spacing w:before="182" w:line="220"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9.2.12</w:t>
      </w:r>
      <w:r>
        <w:rPr>
          <w:rFonts w:ascii="宋体" w:hAnsi="宋体" w:eastAsia="宋体" w:cs="宋体"/>
          <w:color w:val="auto"/>
          <w:spacing w:val="-41"/>
          <w:sz w:val="24"/>
          <w:szCs w:val="24"/>
          <w:highlight w:val="none"/>
        </w:rPr>
        <w:t xml:space="preserve"> </w:t>
      </w:r>
      <w:r>
        <w:rPr>
          <w:rFonts w:ascii="宋体" w:hAnsi="宋体" w:eastAsia="宋体" w:cs="宋体"/>
          <w:color w:val="auto"/>
          <w:spacing w:val="-2"/>
          <w:sz w:val="24"/>
          <w:szCs w:val="24"/>
          <w:highlight w:val="none"/>
        </w:rPr>
        <w:t>涉水及船舶安全管理</w:t>
      </w:r>
    </w:p>
    <w:p w14:paraId="66ECE64E">
      <w:pPr>
        <w:spacing w:before="183" w:line="313" w:lineRule="auto"/>
        <w:ind w:left="1426" w:right="1416"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（1）承包人应根据《中华人民共和国水上水下作业和活动通航安全管理规定》的</w:t>
      </w:r>
      <w:r>
        <w:rPr>
          <w:rFonts w:ascii="宋体" w:hAnsi="宋体" w:eastAsia="宋体" w:cs="宋体"/>
          <w:color w:val="auto"/>
          <w:spacing w:val="-5"/>
          <w:sz w:val="24"/>
          <w:szCs w:val="24"/>
          <w:highlight w:val="none"/>
        </w:rPr>
        <w:t>规定及《中华人民共和国安全生产法》的要求， 建立健全涉水工程水上交通安全制度和</w:t>
      </w:r>
      <w:r>
        <w:rPr>
          <w:rFonts w:ascii="宋体" w:hAnsi="宋体" w:eastAsia="宋体" w:cs="宋体"/>
          <w:color w:val="auto"/>
          <w:spacing w:val="-2"/>
          <w:sz w:val="24"/>
          <w:szCs w:val="24"/>
          <w:highlight w:val="none"/>
        </w:rPr>
        <w:t>管理体系，严格履行工程建设期水上交通安全有关职责。</w:t>
      </w:r>
    </w:p>
    <w:p w14:paraId="1EFFF335">
      <w:pPr>
        <w:spacing w:before="181" w:line="326" w:lineRule="auto"/>
        <w:ind w:left="1426" w:right="1416"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（2）承包人应遵守属地政府和行业主管部门对作业船舶、作业噪音以及环境保护</w:t>
      </w:r>
      <w:r>
        <w:rPr>
          <w:rFonts w:ascii="宋体" w:hAnsi="宋体" w:eastAsia="宋体" w:cs="宋体"/>
          <w:color w:val="auto"/>
          <w:spacing w:val="-2"/>
          <w:sz w:val="24"/>
          <w:szCs w:val="24"/>
          <w:highlight w:val="none"/>
        </w:rPr>
        <w:t>和安全生产文明施工等的管理规定，所有进入作业区域的船只必须满足航区要求，并按规定办理有关手续，因手续不全引起的一切责任均由承包人负责。有关要求包括但不限</w:t>
      </w:r>
      <w:r>
        <w:rPr>
          <w:rFonts w:ascii="宋体" w:hAnsi="宋体" w:eastAsia="宋体" w:cs="宋体"/>
          <w:color w:val="auto"/>
          <w:spacing w:val="-17"/>
          <w:sz w:val="24"/>
          <w:szCs w:val="24"/>
          <w:highlight w:val="none"/>
        </w:rPr>
        <w:t>于：</w:t>
      </w:r>
    </w:p>
    <w:p w14:paraId="5919484F">
      <w:pPr>
        <w:spacing w:before="178" w:line="217" w:lineRule="auto"/>
        <w:ind w:left="1904"/>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①船舶必须持有效的船舶检验证书（包括但不限于船舶国籍证书、船舶登记证书等</w:t>
      </w:r>
      <w:r>
        <w:rPr>
          <w:rFonts w:ascii="宋体" w:hAnsi="宋体" w:eastAsia="宋体" w:cs="宋体"/>
          <w:color w:val="auto"/>
          <w:spacing w:val="5"/>
          <w:sz w:val="24"/>
          <w:szCs w:val="24"/>
          <w:highlight w:val="none"/>
        </w:rPr>
        <w:t>）；</w:t>
      </w:r>
    </w:p>
    <w:p w14:paraId="553E71BD">
      <w:pPr>
        <w:spacing w:before="185" w:line="290" w:lineRule="auto"/>
        <w:ind w:left="1431" w:right="1421" w:firstLine="47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②船舶配备的有关航行安全设施设备必须具有船舶检验部门签发的有效技术证书，</w:t>
      </w:r>
      <w:r>
        <w:rPr>
          <w:rFonts w:ascii="宋体" w:hAnsi="宋体" w:eastAsia="宋体" w:cs="宋体"/>
          <w:color w:val="auto"/>
          <w:spacing w:val="-9"/>
          <w:sz w:val="24"/>
          <w:szCs w:val="24"/>
          <w:highlight w:val="none"/>
        </w:rPr>
        <w:t>并在有效期内；</w:t>
      </w:r>
    </w:p>
    <w:p w14:paraId="63B35E4F">
      <w:pPr>
        <w:spacing w:before="183" w:line="217" w:lineRule="auto"/>
        <w:ind w:left="19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③船舶应配备不低于船舶证书上要求的最低配员数量的</w:t>
      </w:r>
      <w:r>
        <w:rPr>
          <w:rFonts w:ascii="宋体" w:hAnsi="宋体" w:eastAsia="宋体" w:cs="宋体"/>
          <w:color w:val="auto"/>
          <w:spacing w:val="-3"/>
          <w:sz w:val="24"/>
          <w:szCs w:val="24"/>
          <w:highlight w:val="none"/>
        </w:rPr>
        <w:t>合格船员；</w:t>
      </w:r>
    </w:p>
    <w:p w14:paraId="5EB53A08">
      <w:pPr>
        <w:spacing w:before="186" w:line="217"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④交通船应具有载客证书或临时载客证书；</w:t>
      </w:r>
    </w:p>
    <w:p w14:paraId="5E3791FA">
      <w:pPr>
        <w:spacing w:before="185" w:line="217" w:lineRule="auto"/>
        <w:ind w:left="19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⑤所有船舶必须配备</w:t>
      </w:r>
      <w:r>
        <w:rPr>
          <w:rFonts w:ascii="宋体" w:hAnsi="宋体" w:eastAsia="宋体" w:cs="宋体"/>
          <w:color w:val="auto"/>
          <w:spacing w:val="-59"/>
          <w:sz w:val="24"/>
          <w:szCs w:val="24"/>
          <w:highlight w:val="none"/>
        </w:rPr>
        <w:t xml:space="preserve"> </w:t>
      </w:r>
      <w:r>
        <w:rPr>
          <w:rFonts w:ascii="宋体" w:hAnsi="宋体" w:eastAsia="宋体" w:cs="宋体"/>
          <w:color w:val="auto"/>
          <w:spacing w:val="-3"/>
          <w:sz w:val="24"/>
          <w:szCs w:val="24"/>
          <w:highlight w:val="none"/>
        </w:rPr>
        <w:t>AIS、VHF</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等设备；</w:t>
      </w:r>
    </w:p>
    <w:p w14:paraId="579C4CD0">
      <w:pPr>
        <w:spacing w:before="186" w:line="217" w:lineRule="auto"/>
        <w:ind w:left="19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⑥承包人应采取有效措施维护施工现场通航安全及现有航道的航行安全；</w:t>
      </w:r>
    </w:p>
    <w:p w14:paraId="1776515B">
      <w:pPr>
        <w:spacing w:before="185" w:line="290" w:lineRule="auto"/>
        <w:ind w:left="1428" w:right="1415" w:firstLine="47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⑦为钢结构及大型预制构件运输而设置的临时航道的设计必须取得有关行业主管</w:t>
      </w:r>
      <w:r>
        <w:rPr>
          <w:rFonts w:ascii="宋体" w:hAnsi="宋体" w:eastAsia="宋体" w:cs="宋体"/>
          <w:color w:val="auto"/>
          <w:spacing w:val="-3"/>
          <w:sz w:val="24"/>
          <w:szCs w:val="24"/>
          <w:highlight w:val="none"/>
        </w:rPr>
        <w:t>部门的批准，并在完善相关许可手续后，方可实施；</w:t>
      </w:r>
    </w:p>
    <w:p w14:paraId="621CCFCB">
      <w:pPr>
        <w:spacing w:before="183" w:line="217" w:lineRule="auto"/>
        <w:ind w:left="19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⑧承包人须与船舶所有人签订安全协议；</w:t>
      </w:r>
    </w:p>
    <w:p w14:paraId="3081490C">
      <w:pPr>
        <w:spacing w:before="185" w:line="220"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承包人应承担因此产生的一切费用，并保障发包人免于承担相关责任。</w:t>
      </w:r>
    </w:p>
    <w:p w14:paraId="4E15E3DB">
      <w:pPr>
        <w:spacing w:before="183" w:line="218"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9.2.13 施工安全风险评估</w:t>
      </w:r>
    </w:p>
    <w:p w14:paraId="6A2F420F">
      <w:pPr>
        <w:spacing w:before="184" w:line="332" w:lineRule="auto"/>
        <w:ind w:left="1427" w:right="1416"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（1）承包人必须加强对重大危险源的管理，施工阶段风险源辨识</w:t>
      </w:r>
      <w:r>
        <w:rPr>
          <w:rFonts w:ascii="宋体" w:hAnsi="宋体" w:eastAsia="宋体" w:cs="宋体"/>
          <w:color w:val="auto"/>
          <w:sz w:val="24"/>
          <w:szCs w:val="24"/>
          <w:highlight w:val="none"/>
        </w:rPr>
        <w:t>与评价依据《公</w:t>
      </w:r>
      <w:r>
        <w:rPr>
          <w:rFonts w:ascii="宋体" w:hAnsi="宋体" w:eastAsia="宋体" w:cs="宋体"/>
          <w:color w:val="auto"/>
          <w:spacing w:val="-5"/>
          <w:sz w:val="24"/>
          <w:szCs w:val="24"/>
          <w:highlight w:val="none"/>
        </w:rPr>
        <w:t>路桥梁和隧道工程施工安全风险评估指南》（试行）</w:t>
      </w:r>
      <w:r>
        <w:rPr>
          <w:rFonts w:ascii="宋体" w:hAnsi="宋体" w:eastAsia="宋体" w:cs="宋体"/>
          <w:color w:val="auto"/>
          <w:spacing w:val="-2"/>
          <w:sz w:val="24"/>
          <w:szCs w:val="24"/>
          <w:highlight w:val="none"/>
        </w:rPr>
        <w:t>操作。承包人在工程开工前，必须进行重大危险源识别，建立危险源清单，对重大危险源建立管理方案和档案，过程</w:t>
      </w:r>
      <w:r>
        <w:rPr>
          <w:rFonts w:ascii="宋体" w:hAnsi="宋体" w:eastAsia="宋体" w:cs="宋体"/>
          <w:color w:val="auto"/>
          <w:spacing w:val="-4"/>
          <w:sz w:val="24"/>
          <w:szCs w:val="24"/>
          <w:highlight w:val="none"/>
        </w:rPr>
        <w:t>中对危险源实行动态管理。</w:t>
      </w:r>
    </w:p>
    <w:p w14:paraId="098A891C">
      <w:pPr>
        <w:spacing w:before="78" w:line="360" w:lineRule="auto"/>
        <w:ind w:left="1425" w:right="1415" w:hanging="1"/>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（2）承包人应严格按照交通运输部《关于开展公路桥梁和隧道工程施工安全风险</w:t>
      </w:r>
      <w:r>
        <w:rPr>
          <w:rFonts w:ascii="宋体" w:hAnsi="宋体" w:eastAsia="宋体" w:cs="宋体"/>
          <w:color w:val="auto"/>
          <w:spacing w:val="-2"/>
          <w:sz w:val="24"/>
          <w:szCs w:val="24"/>
          <w:highlight w:val="none"/>
        </w:rPr>
        <w:t>评估试行工作的通知》</w:t>
      </w:r>
      <w:r>
        <w:rPr>
          <w:rFonts w:ascii="宋体" w:hAnsi="宋体" w:eastAsia="宋体" w:cs="宋体"/>
          <w:color w:val="auto"/>
          <w:spacing w:val="-5"/>
          <w:sz w:val="24"/>
          <w:szCs w:val="24"/>
          <w:highlight w:val="none"/>
        </w:rPr>
        <w:t>的要求， 在施工期间开展安全风险评估工作，相关费用按照</w:t>
      </w:r>
      <w:r>
        <w:rPr>
          <w:rFonts w:ascii="宋体" w:hAnsi="宋体" w:eastAsia="宋体" w:cs="宋体"/>
          <w:color w:val="auto"/>
          <w:spacing w:val="-2"/>
          <w:sz w:val="24"/>
          <w:szCs w:val="24"/>
          <w:highlight w:val="none"/>
        </w:rPr>
        <w:t>《广东省交通运输厅关于公路水运建设工程安全生产费用的管理办法》中安全生产费用使用范围的规定，公路桥梁和隧道工程施工安全风险评估工作费用在项目安全生产费用中列支，发包人不另行支付。</w:t>
      </w:r>
    </w:p>
    <w:p w14:paraId="6208997F">
      <w:pPr>
        <w:spacing w:line="360" w:lineRule="auto"/>
        <w:ind w:left="1425" w:right="1416" w:firstLine="486"/>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（3）根据《中华人民共和国水上水下作业和活动通航安全管理规定》的规定及按</w:t>
      </w:r>
      <w:r>
        <w:rPr>
          <w:rFonts w:ascii="宋体" w:hAnsi="宋体" w:eastAsia="宋体" w:cs="宋体"/>
          <w:color w:val="auto"/>
          <w:spacing w:val="-2"/>
          <w:sz w:val="24"/>
          <w:szCs w:val="24"/>
          <w:highlight w:val="none"/>
        </w:rPr>
        <w:t>照中华人民共和国海事局《中华人民共和国海事局水上水下活动通航安全影响论证与评</w:t>
      </w:r>
      <w:r>
        <w:rPr>
          <w:rFonts w:ascii="宋体" w:hAnsi="宋体" w:eastAsia="宋体" w:cs="宋体"/>
          <w:color w:val="auto"/>
          <w:spacing w:val="-5"/>
          <w:sz w:val="24"/>
          <w:szCs w:val="24"/>
          <w:highlight w:val="none"/>
        </w:rPr>
        <w:t>估管理办法》的规定， 在申请海事管理机构水上水下活动许可之前，开展涉水工程通航</w:t>
      </w:r>
      <w:r>
        <w:rPr>
          <w:rFonts w:ascii="宋体" w:hAnsi="宋体" w:eastAsia="宋体" w:cs="宋体"/>
          <w:color w:val="auto"/>
          <w:spacing w:val="-3"/>
          <w:sz w:val="24"/>
          <w:szCs w:val="24"/>
          <w:highlight w:val="none"/>
        </w:rPr>
        <w:t>安全评估，并通过海事管理机构的审核。</w:t>
      </w:r>
    </w:p>
    <w:p w14:paraId="464DB398">
      <w:pPr>
        <w:spacing w:line="219"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9.2.14 施工作业人员的安全教育培训</w:t>
      </w:r>
    </w:p>
    <w:p w14:paraId="6482E48E">
      <w:pPr>
        <w:spacing w:before="182" w:line="360"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承包人应切实加强作业工人安全培训教育和安全技术交底。运用《公路施工安全视</w:t>
      </w:r>
      <w:r>
        <w:rPr>
          <w:rFonts w:ascii="宋体" w:hAnsi="宋体" w:eastAsia="宋体" w:cs="宋体"/>
          <w:color w:val="auto"/>
          <w:spacing w:val="-6"/>
          <w:sz w:val="24"/>
          <w:szCs w:val="24"/>
          <w:highlight w:val="none"/>
        </w:rPr>
        <w:t>频教程》及配套口袋书、配套测试题集，</w:t>
      </w:r>
      <w:r>
        <w:rPr>
          <w:rFonts w:ascii="宋体" w:hAnsi="宋体" w:eastAsia="宋体" w:cs="宋体"/>
          <w:color w:val="auto"/>
          <w:spacing w:val="54"/>
          <w:sz w:val="24"/>
          <w:szCs w:val="24"/>
          <w:highlight w:val="none"/>
        </w:rPr>
        <w:t xml:space="preserve"> </w:t>
      </w:r>
      <w:r>
        <w:rPr>
          <w:rFonts w:ascii="宋体" w:hAnsi="宋体" w:eastAsia="宋体" w:cs="宋体"/>
          <w:color w:val="auto"/>
          <w:spacing w:val="-6"/>
          <w:sz w:val="24"/>
          <w:szCs w:val="24"/>
          <w:highlight w:val="none"/>
        </w:rPr>
        <w:t>建立工人学校或安全教育体验馆，开</w:t>
      </w:r>
      <w:r>
        <w:rPr>
          <w:rFonts w:ascii="宋体" w:hAnsi="宋体" w:eastAsia="宋体" w:cs="宋体"/>
          <w:color w:val="auto"/>
          <w:spacing w:val="-7"/>
          <w:sz w:val="24"/>
          <w:szCs w:val="24"/>
          <w:highlight w:val="none"/>
        </w:rPr>
        <w:t>展岗前安</w:t>
      </w:r>
      <w:r>
        <w:rPr>
          <w:rFonts w:ascii="宋体" w:hAnsi="宋体" w:eastAsia="宋体" w:cs="宋体"/>
          <w:color w:val="auto"/>
          <w:spacing w:val="-2"/>
          <w:sz w:val="24"/>
          <w:szCs w:val="24"/>
          <w:highlight w:val="none"/>
        </w:rPr>
        <w:t>全教育培训和经常性安全再教育，提高全员安全意识和安全技能。认真细致做好工人作业前安全技术交底，落实基层班组班前会制度，确保作业工人熟知作业的安全要求和班</w:t>
      </w:r>
      <w:r>
        <w:rPr>
          <w:rFonts w:ascii="宋体" w:hAnsi="宋体" w:eastAsia="宋体" w:cs="宋体"/>
          <w:color w:val="auto"/>
          <w:spacing w:val="-5"/>
          <w:sz w:val="24"/>
          <w:szCs w:val="24"/>
          <w:highlight w:val="none"/>
        </w:rPr>
        <w:t>前危险预知内容。</w:t>
      </w:r>
    </w:p>
    <w:p w14:paraId="7A68015E">
      <w:pPr>
        <w:spacing w:line="220"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9.2.15</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施工防护标准化</w:t>
      </w:r>
    </w:p>
    <w:p w14:paraId="0C2D9FB5">
      <w:pPr>
        <w:spacing w:before="181" w:line="360"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承包人应按照《公路工程施工安全防护设施技术指南》要求推进施工防护设施标准</w:t>
      </w:r>
      <w:r>
        <w:rPr>
          <w:rFonts w:ascii="宋体" w:hAnsi="宋体" w:eastAsia="宋体" w:cs="宋体"/>
          <w:color w:val="auto"/>
          <w:spacing w:val="-6"/>
          <w:sz w:val="24"/>
          <w:szCs w:val="24"/>
          <w:highlight w:val="none"/>
        </w:rPr>
        <w:t>化管理，积极运用模块化、装配化、专业化的防护设施，</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着力提升防护设施的本</w:t>
      </w:r>
      <w:r>
        <w:rPr>
          <w:rFonts w:ascii="宋体" w:hAnsi="宋体" w:eastAsia="宋体" w:cs="宋体"/>
          <w:color w:val="auto"/>
          <w:spacing w:val="-7"/>
          <w:sz w:val="24"/>
          <w:szCs w:val="24"/>
          <w:highlight w:val="none"/>
        </w:rPr>
        <w:t>质安全</w:t>
      </w:r>
      <w:r>
        <w:rPr>
          <w:rFonts w:ascii="宋体" w:hAnsi="宋体" w:eastAsia="宋体" w:cs="宋体"/>
          <w:color w:val="auto"/>
          <w:spacing w:val="-6"/>
          <w:sz w:val="24"/>
          <w:szCs w:val="24"/>
          <w:highlight w:val="none"/>
        </w:rPr>
        <w:t>水平和使用效能，加强安全防护设施的验收、使用、维护等管理，</w:t>
      </w:r>
      <w:r>
        <w:rPr>
          <w:rFonts w:ascii="宋体" w:hAnsi="宋体" w:eastAsia="宋体" w:cs="宋体"/>
          <w:color w:val="auto"/>
          <w:spacing w:val="52"/>
          <w:sz w:val="24"/>
          <w:szCs w:val="24"/>
          <w:highlight w:val="none"/>
        </w:rPr>
        <w:t xml:space="preserve"> </w:t>
      </w:r>
      <w:r>
        <w:rPr>
          <w:rFonts w:ascii="宋体" w:hAnsi="宋体" w:eastAsia="宋体" w:cs="宋体"/>
          <w:color w:val="auto"/>
          <w:spacing w:val="-6"/>
          <w:sz w:val="24"/>
          <w:szCs w:val="24"/>
          <w:highlight w:val="none"/>
        </w:rPr>
        <w:t>提升现场施</w:t>
      </w:r>
      <w:r>
        <w:rPr>
          <w:rFonts w:ascii="宋体" w:hAnsi="宋体" w:eastAsia="宋体" w:cs="宋体"/>
          <w:color w:val="auto"/>
          <w:spacing w:val="-7"/>
          <w:sz w:val="24"/>
          <w:szCs w:val="24"/>
          <w:highlight w:val="none"/>
        </w:rPr>
        <w:t>工安全防护保障能力。</w:t>
      </w:r>
    </w:p>
    <w:p w14:paraId="52BD2C3F">
      <w:pPr>
        <w:spacing w:before="1" w:line="219" w:lineRule="auto"/>
        <w:ind w:left="190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9.2.16</w:t>
      </w:r>
      <w:r>
        <w:rPr>
          <w:rFonts w:ascii="宋体" w:hAnsi="宋体" w:eastAsia="宋体" w:cs="宋体"/>
          <w:strike w:val="0"/>
          <w:dstrike w:val="0"/>
          <w:color w:val="auto"/>
          <w:spacing w:val="-43"/>
          <w:sz w:val="24"/>
          <w:szCs w:val="24"/>
          <w:highlight w:val="none"/>
        </w:rPr>
        <w:t xml:space="preserve"> </w:t>
      </w:r>
      <w:r>
        <w:rPr>
          <w:rFonts w:ascii="宋体" w:hAnsi="宋体" w:eastAsia="宋体" w:cs="宋体"/>
          <w:strike w:val="0"/>
          <w:dstrike w:val="0"/>
          <w:color w:val="auto"/>
          <w:spacing w:val="-2"/>
          <w:sz w:val="24"/>
          <w:szCs w:val="24"/>
          <w:highlight w:val="none"/>
        </w:rPr>
        <w:t>加强路堑边坡管理</w:t>
      </w:r>
    </w:p>
    <w:p w14:paraId="2711D233">
      <w:pPr>
        <w:spacing w:before="180" w:line="325" w:lineRule="auto"/>
        <w:ind w:left="1426" w:right="1416" w:firstLine="48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（1）严格执行路堑边坡开工报告审查制度。对纳入项目重点管理的路堑边</w:t>
      </w:r>
      <w:r>
        <w:rPr>
          <w:rFonts w:ascii="宋体" w:hAnsi="宋体" w:eastAsia="宋体" w:cs="宋体"/>
          <w:strike w:val="0"/>
          <w:dstrike w:val="0"/>
          <w:color w:val="auto"/>
          <w:sz w:val="24"/>
          <w:szCs w:val="24"/>
          <w:highlight w:val="none"/>
        </w:rPr>
        <w:t>坡，应</w:t>
      </w:r>
      <w:r>
        <w:rPr>
          <w:rFonts w:ascii="宋体" w:hAnsi="宋体" w:eastAsia="宋体" w:cs="宋体"/>
          <w:strike w:val="0"/>
          <w:dstrike w:val="0"/>
          <w:color w:val="auto"/>
          <w:spacing w:val="-2"/>
          <w:sz w:val="24"/>
          <w:szCs w:val="24"/>
          <w:highlight w:val="none"/>
        </w:rPr>
        <w:t>严格执行开工报告审查制度，重点审查地质资料是否满足相关规范和设计要求、设计方</w:t>
      </w:r>
      <w:r>
        <w:rPr>
          <w:rFonts w:ascii="宋体" w:hAnsi="宋体" w:eastAsia="宋体" w:cs="宋体"/>
          <w:strike w:val="0"/>
          <w:dstrike w:val="0"/>
          <w:color w:val="auto"/>
          <w:spacing w:val="-5"/>
          <w:sz w:val="24"/>
          <w:szCs w:val="24"/>
          <w:highlight w:val="none"/>
        </w:rPr>
        <w:t>案是否合理可行、施工准备工作（施工机械、材料、队伍等） 是否到位等。对具备开工</w:t>
      </w:r>
      <w:r>
        <w:rPr>
          <w:rFonts w:ascii="宋体" w:hAnsi="宋体" w:eastAsia="宋体" w:cs="宋体"/>
          <w:strike w:val="0"/>
          <w:dstrike w:val="0"/>
          <w:color w:val="auto"/>
          <w:spacing w:val="-1"/>
          <w:sz w:val="24"/>
          <w:szCs w:val="24"/>
          <w:highlight w:val="none"/>
        </w:rPr>
        <w:t>条件的边坡，施工单位应上报开工报告，经监理</w:t>
      </w:r>
      <w:r>
        <w:rPr>
          <w:rFonts w:ascii="宋体" w:hAnsi="宋体" w:eastAsia="宋体" w:cs="宋体"/>
          <w:strike w:val="0"/>
          <w:dstrike w:val="0"/>
          <w:color w:val="auto"/>
          <w:spacing w:val="-2"/>
          <w:sz w:val="24"/>
          <w:szCs w:val="24"/>
          <w:highlight w:val="none"/>
        </w:rPr>
        <w:t>单位审查同意后方可施工。</w:t>
      </w:r>
    </w:p>
    <w:p w14:paraId="71D1B2C1">
      <w:pPr>
        <w:spacing w:before="185" w:line="313" w:lineRule="auto"/>
        <w:ind w:left="1424" w:right="1416" w:firstLine="48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（2）强化施工技术交底与质量控制。边坡施工前必须开展各工序施工工艺与质量</w:t>
      </w:r>
      <w:r>
        <w:rPr>
          <w:rFonts w:ascii="宋体" w:hAnsi="宋体" w:eastAsia="宋体" w:cs="宋体"/>
          <w:strike w:val="0"/>
          <w:dstrike w:val="0"/>
          <w:color w:val="auto"/>
          <w:spacing w:val="-6"/>
          <w:sz w:val="24"/>
          <w:szCs w:val="24"/>
          <w:highlight w:val="none"/>
        </w:rPr>
        <w:t>控制的技术交底；严格按照设计的坡形、坡率开挖边坡，</w:t>
      </w:r>
      <w:r>
        <w:rPr>
          <w:rFonts w:ascii="宋体" w:hAnsi="宋体" w:eastAsia="宋体" w:cs="宋体"/>
          <w:strike w:val="0"/>
          <w:dstrike w:val="0"/>
          <w:color w:val="auto"/>
          <w:spacing w:val="52"/>
          <w:sz w:val="24"/>
          <w:szCs w:val="24"/>
          <w:highlight w:val="none"/>
        </w:rPr>
        <w:t xml:space="preserve"> </w:t>
      </w:r>
      <w:r>
        <w:rPr>
          <w:rFonts w:ascii="宋体" w:hAnsi="宋体" w:eastAsia="宋体" w:cs="宋体"/>
          <w:strike w:val="0"/>
          <w:dstrike w:val="0"/>
          <w:color w:val="auto"/>
          <w:spacing w:val="-6"/>
          <w:sz w:val="24"/>
          <w:szCs w:val="24"/>
          <w:highlight w:val="none"/>
        </w:rPr>
        <w:t>杜绝坡面超挖或欠挖现象</w:t>
      </w:r>
      <w:r>
        <w:rPr>
          <w:rFonts w:ascii="宋体" w:hAnsi="宋体" w:eastAsia="宋体" w:cs="宋体"/>
          <w:strike w:val="0"/>
          <w:dstrike w:val="0"/>
          <w:color w:val="auto"/>
          <w:spacing w:val="-7"/>
          <w:sz w:val="24"/>
          <w:szCs w:val="24"/>
          <w:highlight w:val="none"/>
        </w:rPr>
        <w:t>；严</w:t>
      </w:r>
      <w:r>
        <w:rPr>
          <w:rFonts w:ascii="宋体" w:hAnsi="宋体" w:eastAsia="宋体" w:cs="宋体"/>
          <w:strike w:val="0"/>
          <w:dstrike w:val="0"/>
          <w:color w:val="auto"/>
          <w:spacing w:val="-2"/>
          <w:sz w:val="24"/>
          <w:szCs w:val="24"/>
          <w:highlight w:val="none"/>
        </w:rPr>
        <w:t>控锚杆、锚索等工程的压浆工艺，确保压浆质量和锚固力。</w:t>
      </w:r>
    </w:p>
    <w:p w14:paraId="5E4BA1B7">
      <w:pPr>
        <w:spacing w:before="183" w:line="313" w:lineRule="auto"/>
        <w:ind w:left="1424" w:right="1331" w:firstLine="48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z w:val="24"/>
          <w:szCs w:val="24"/>
          <w:highlight w:val="none"/>
        </w:rPr>
        <w:t>（3）实行边坡首件验收制。路堑边坡首件验收由项目监理</w:t>
      </w:r>
      <w:r>
        <w:rPr>
          <w:rFonts w:ascii="宋体" w:hAnsi="宋体" w:eastAsia="宋体" w:cs="宋体"/>
          <w:strike w:val="0"/>
          <w:dstrike w:val="0"/>
          <w:color w:val="auto"/>
          <w:spacing w:val="-1"/>
          <w:sz w:val="24"/>
          <w:szCs w:val="24"/>
          <w:highlight w:val="none"/>
        </w:rPr>
        <w:t>单位组织，业主参与，</w:t>
      </w:r>
      <w:r>
        <w:rPr>
          <w:rFonts w:ascii="宋体" w:hAnsi="宋体" w:eastAsia="宋体" w:cs="宋体"/>
          <w:strike w:val="0"/>
          <w:dstrike w:val="0"/>
          <w:color w:val="auto"/>
          <w:spacing w:val="-5"/>
          <w:sz w:val="24"/>
          <w:szCs w:val="24"/>
          <w:highlight w:val="none"/>
        </w:rPr>
        <w:t>选取先行施工、有代表性的土质和石质两类边坡</w:t>
      </w:r>
      <w:r>
        <w:rPr>
          <w:rFonts w:ascii="宋体" w:hAnsi="宋体" w:eastAsia="宋体" w:cs="宋体"/>
          <w:strike w:val="0"/>
          <w:dstrike w:val="0"/>
          <w:color w:val="auto"/>
          <w:spacing w:val="-6"/>
          <w:sz w:val="24"/>
          <w:szCs w:val="24"/>
          <w:highlight w:val="none"/>
        </w:rPr>
        <w:t>分别进行首件验收，明确有关管理程序、</w:t>
      </w:r>
      <w:r>
        <w:rPr>
          <w:rFonts w:ascii="宋体" w:hAnsi="宋体" w:eastAsia="宋体" w:cs="宋体"/>
          <w:strike w:val="0"/>
          <w:dstrike w:val="0"/>
          <w:color w:val="auto"/>
          <w:spacing w:val="-2"/>
          <w:sz w:val="24"/>
          <w:szCs w:val="24"/>
          <w:highlight w:val="none"/>
        </w:rPr>
        <w:t>质量标准、监管措施等，经验收合格后方可开展大面积施工。</w:t>
      </w:r>
    </w:p>
    <w:p w14:paraId="7A6EE37B">
      <w:pPr>
        <w:spacing w:before="78" w:line="360" w:lineRule="auto"/>
        <w:ind w:left="1427" w:right="1427" w:firstLine="48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（4）加强边坡施工过程管理及其他具体要求按《广东省交通运输厅关于切实加强</w:t>
      </w:r>
      <w:r>
        <w:rPr>
          <w:rFonts w:ascii="宋体" w:hAnsi="宋体" w:eastAsia="宋体" w:cs="宋体"/>
          <w:strike/>
          <w:dstrike w:val="0"/>
          <w:color w:val="auto"/>
          <w:spacing w:val="-3"/>
          <w:sz w:val="24"/>
          <w:szCs w:val="24"/>
          <w:highlight w:val="none"/>
        </w:rPr>
        <w:t>我省高速公路路堑边坡管理的通知》执行。</w:t>
      </w:r>
    </w:p>
    <w:p w14:paraId="203D7A36">
      <w:pPr>
        <w:spacing w:line="220"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9.4 环境保护</w:t>
      </w:r>
    </w:p>
    <w:p w14:paraId="3CA2050C">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5"/>
          <w:sz w:val="24"/>
          <w:szCs w:val="24"/>
          <w:highlight w:val="none"/>
        </w:rPr>
        <w:t>9.4.7（1）目补充：</w:t>
      </w:r>
    </w:p>
    <w:p w14:paraId="3D88FAF2">
      <w:pPr>
        <w:spacing w:before="182" w:line="360" w:lineRule="auto"/>
        <w:ind w:left="1425"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施工噪声和施工时间应满足国家及地方环境保护法律法规的规定和要求，不得影响周边单位和居民正常的生产生活。施工单位应使用经环保主管部门信息编码登记且符合</w:t>
      </w:r>
      <w:r>
        <w:rPr>
          <w:rFonts w:ascii="宋体" w:hAnsi="宋体" w:eastAsia="宋体" w:cs="宋体"/>
          <w:color w:val="auto"/>
          <w:spacing w:val="-4"/>
          <w:sz w:val="24"/>
          <w:szCs w:val="24"/>
          <w:highlight w:val="none"/>
        </w:rPr>
        <w:t>排放标准的非道路移动机械。</w:t>
      </w:r>
    </w:p>
    <w:p w14:paraId="7443BE04">
      <w:pPr>
        <w:spacing w:line="219"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5"/>
          <w:sz w:val="24"/>
          <w:szCs w:val="24"/>
          <w:highlight w:val="none"/>
        </w:rPr>
        <w:t>9.4.7（2）目补充：</w:t>
      </w:r>
    </w:p>
    <w:p w14:paraId="39501EF3">
      <w:pPr>
        <w:spacing w:before="182" w:line="290" w:lineRule="auto"/>
        <w:ind w:left="1425" w:right="1416" w:firstLine="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e.隧道出渣、钻孔灌注桩施工时排出的泥浆等施工废弃物要妥善处理，</w:t>
      </w:r>
      <w:r>
        <w:rPr>
          <w:rFonts w:ascii="宋体" w:hAnsi="宋体" w:eastAsia="宋体" w:cs="宋体"/>
          <w:color w:val="auto"/>
          <w:spacing w:val="-1"/>
          <w:sz w:val="24"/>
          <w:szCs w:val="24"/>
          <w:highlight w:val="none"/>
        </w:rPr>
        <w:t>严禁向海洋、河流、荒</w:t>
      </w:r>
      <w:r>
        <w:rPr>
          <w:rFonts w:ascii="宋体" w:hAnsi="宋体" w:eastAsia="宋体" w:cs="宋体"/>
          <w:color w:val="auto"/>
          <w:spacing w:val="-2"/>
          <w:sz w:val="24"/>
          <w:szCs w:val="24"/>
          <w:highlight w:val="none"/>
        </w:rPr>
        <w:t>地或市政管道等排放。</w:t>
      </w:r>
    </w:p>
    <w:p w14:paraId="258D94F3">
      <w:pPr>
        <w:spacing w:before="184" w:line="313" w:lineRule="auto"/>
        <w:ind w:left="1425"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f.承包人必须依照《广东省交通运输厅关于加强公路水运建设项目施工现场扬</w:t>
      </w:r>
      <w:r>
        <w:rPr>
          <w:rFonts w:ascii="宋体" w:hAnsi="宋体" w:eastAsia="宋体" w:cs="宋体"/>
          <w:color w:val="auto"/>
          <w:spacing w:val="-3"/>
          <w:sz w:val="24"/>
          <w:szCs w:val="24"/>
          <w:highlight w:val="none"/>
        </w:rPr>
        <w:t>尘管</w:t>
      </w:r>
      <w:r>
        <w:rPr>
          <w:rFonts w:ascii="宋体" w:hAnsi="宋体" w:eastAsia="宋体" w:cs="宋体"/>
          <w:color w:val="auto"/>
          <w:spacing w:val="-5"/>
          <w:sz w:val="24"/>
          <w:szCs w:val="24"/>
          <w:highlight w:val="none"/>
        </w:rPr>
        <w:t>理的通知》， 加强施工现场管理，防止工程周边扬尘污染，运输车辆经冲洗干净后方可</w:t>
      </w:r>
      <w:r>
        <w:rPr>
          <w:rFonts w:ascii="宋体" w:hAnsi="宋体" w:eastAsia="宋体" w:cs="宋体"/>
          <w:color w:val="auto"/>
          <w:spacing w:val="-6"/>
          <w:sz w:val="24"/>
          <w:szCs w:val="24"/>
          <w:highlight w:val="none"/>
        </w:rPr>
        <w:t>驶出建设工地。</w:t>
      </w:r>
    </w:p>
    <w:p w14:paraId="29672D49">
      <w:pPr>
        <w:spacing w:before="182" w:line="290" w:lineRule="auto"/>
        <w:ind w:left="1426" w:right="1185"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g.承包人应严格执行《广东省重污染天气交通建设工程施工扬尘控制应急工作方案》</w:t>
      </w:r>
      <w:r>
        <w:rPr>
          <w:rFonts w:ascii="宋体" w:hAnsi="宋体" w:eastAsia="宋体" w:cs="宋体"/>
          <w:color w:val="auto"/>
          <w:sz w:val="24"/>
          <w:szCs w:val="24"/>
          <w:highlight w:val="none"/>
        </w:rPr>
        <w:t>有关规定，城市区域内交通建设工程要切实做到“六个</w:t>
      </w:r>
      <w:r>
        <w:rPr>
          <w:rFonts w:ascii="宋体" w:hAnsi="宋体" w:eastAsia="宋体" w:cs="宋体"/>
          <w:color w:val="auto"/>
          <w:spacing w:val="-30"/>
          <w:sz w:val="24"/>
          <w:szCs w:val="24"/>
          <w:highlight w:val="none"/>
        </w:rPr>
        <w:t xml:space="preserve"> </w:t>
      </w:r>
      <w:r>
        <w:rPr>
          <w:rFonts w:ascii="宋体" w:hAnsi="宋体" w:eastAsia="宋体" w:cs="宋体"/>
          <w:color w:val="auto"/>
          <w:sz w:val="24"/>
          <w:szCs w:val="24"/>
          <w:highlight w:val="none"/>
        </w:rPr>
        <w:t>100%”：施工现场</w:t>
      </w:r>
      <w:r>
        <w:rPr>
          <w:rFonts w:ascii="宋体" w:hAnsi="宋体" w:eastAsia="宋体" w:cs="宋体"/>
          <w:color w:val="auto"/>
          <w:spacing w:val="-31"/>
          <w:sz w:val="24"/>
          <w:szCs w:val="24"/>
          <w:highlight w:val="none"/>
        </w:rPr>
        <w:t xml:space="preserve"> </w:t>
      </w:r>
      <w:r>
        <w:rPr>
          <w:rFonts w:ascii="宋体" w:hAnsi="宋体" w:eastAsia="宋体" w:cs="宋体"/>
          <w:color w:val="auto"/>
          <w:sz w:val="24"/>
          <w:szCs w:val="24"/>
          <w:highlight w:val="none"/>
        </w:rPr>
        <w:t>100%围蔽，</w:t>
      </w:r>
    </w:p>
    <w:p w14:paraId="34CFE56F">
      <w:pPr>
        <w:spacing w:before="182" w:line="290" w:lineRule="auto"/>
        <w:ind w:left="1426" w:right="1416" w:firstLine="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工地砂土</w:t>
      </w:r>
      <w:r>
        <w:rPr>
          <w:rFonts w:ascii="宋体" w:hAnsi="宋体" w:eastAsia="宋体" w:cs="宋体"/>
          <w:color w:val="auto"/>
          <w:spacing w:val="-23"/>
          <w:sz w:val="24"/>
          <w:szCs w:val="24"/>
          <w:highlight w:val="none"/>
        </w:rPr>
        <w:t xml:space="preserve"> </w:t>
      </w:r>
      <w:r>
        <w:rPr>
          <w:rFonts w:ascii="宋体" w:hAnsi="宋体" w:eastAsia="宋体" w:cs="宋体"/>
          <w:color w:val="auto"/>
          <w:spacing w:val="-4"/>
          <w:sz w:val="24"/>
          <w:szCs w:val="24"/>
          <w:highlight w:val="none"/>
        </w:rPr>
        <w:t>100%覆盖，工地路面</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100%硬地化，拆除工程</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100%洒水压尘，出工地车辆</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100%</w:t>
      </w:r>
      <w:r>
        <w:rPr>
          <w:rFonts w:ascii="宋体" w:hAnsi="宋体" w:eastAsia="宋体" w:cs="宋体"/>
          <w:color w:val="auto"/>
          <w:spacing w:val="-3"/>
          <w:sz w:val="24"/>
          <w:szCs w:val="24"/>
          <w:highlight w:val="none"/>
        </w:rPr>
        <w:t>冲净车轮车身，暂不开发的场地</w:t>
      </w:r>
      <w:r>
        <w:rPr>
          <w:rFonts w:ascii="宋体" w:hAnsi="宋体" w:eastAsia="宋体" w:cs="宋体"/>
          <w:color w:val="auto"/>
          <w:spacing w:val="-31"/>
          <w:sz w:val="24"/>
          <w:szCs w:val="24"/>
          <w:highlight w:val="none"/>
        </w:rPr>
        <w:t xml:space="preserve"> </w:t>
      </w:r>
      <w:r>
        <w:rPr>
          <w:rFonts w:ascii="宋体" w:hAnsi="宋体" w:eastAsia="宋体" w:cs="宋体"/>
          <w:color w:val="auto"/>
          <w:spacing w:val="-3"/>
          <w:sz w:val="24"/>
          <w:szCs w:val="24"/>
          <w:highlight w:val="none"/>
        </w:rPr>
        <w:t>100%绿化。</w:t>
      </w:r>
    </w:p>
    <w:p w14:paraId="03E2DBD0">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 9.4.10</w:t>
      </w:r>
      <w:r>
        <w:rPr>
          <w:rFonts w:ascii="宋体" w:hAnsi="宋体" w:eastAsia="宋体" w:cs="宋体"/>
          <w:color w:val="auto"/>
          <w:spacing w:val="13"/>
          <w:sz w:val="24"/>
          <w:szCs w:val="24"/>
          <w:highlight w:val="none"/>
        </w:rPr>
        <w:t xml:space="preserve"> </w:t>
      </w:r>
      <w:r>
        <w:rPr>
          <w:rFonts w:ascii="宋体" w:hAnsi="宋体" w:eastAsia="宋体" w:cs="宋体"/>
          <w:color w:val="auto"/>
          <w:spacing w:val="-5"/>
          <w:sz w:val="24"/>
          <w:szCs w:val="24"/>
          <w:highlight w:val="none"/>
        </w:rPr>
        <w:t>项末补充：</w:t>
      </w:r>
    </w:p>
    <w:p w14:paraId="5C377247">
      <w:pPr>
        <w:spacing w:before="182" w:line="360" w:lineRule="auto"/>
        <w:ind w:left="1423" w:right="1377"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根据广东省国土资源厅关于印发《非农建设占用水田耕作层剥离再利用工作指引》的通知的要求，本项目按照《耕作层土壤剥</w:t>
      </w:r>
      <w:r>
        <w:rPr>
          <w:rFonts w:ascii="宋体" w:hAnsi="宋体" w:eastAsia="宋体" w:cs="宋体"/>
          <w:color w:val="auto"/>
          <w:spacing w:val="-2"/>
          <w:sz w:val="24"/>
          <w:szCs w:val="24"/>
          <w:highlight w:val="none"/>
        </w:rPr>
        <w:t>离利用技术规范》对占用水田耕作层进行剥</w:t>
      </w:r>
      <w:r>
        <w:rPr>
          <w:rFonts w:ascii="宋体" w:hAnsi="宋体" w:eastAsia="宋体" w:cs="宋体"/>
          <w:color w:val="auto"/>
          <w:spacing w:val="-6"/>
          <w:sz w:val="24"/>
          <w:szCs w:val="24"/>
          <w:highlight w:val="none"/>
        </w:rPr>
        <w:t>离再利用，承包人应积极配合。发包人将根据相关政策及地方政府制定的实施方案，</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推</w:t>
      </w:r>
      <w:r>
        <w:rPr>
          <w:rFonts w:ascii="宋体" w:hAnsi="宋体" w:eastAsia="宋体" w:cs="宋体"/>
          <w:color w:val="auto"/>
          <w:spacing w:val="-1"/>
          <w:sz w:val="24"/>
          <w:szCs w:val="24"/>
          <w:highlight w:val="none"/>
        </w:rPr>
        <w:t>进本项目占用水田耕作层剥离工作，相关费用已包</w:t>
      </w:r>
      <w:r>
        <w:rPr>
          <w:rFonts w:ascii="宋体" w:hAnsi="宋体" w:eastAsia="宋体" w:cs="宋体"/>
          <w:color w:val="auto"/>
          <w:spacing w:val="-2"/>
          <w:sz w:val="24"/>
          <w:szCs w:val="24"/>
          <w:highlight w:val="none"/>
        </w:rPr>
        <w:t>含在清理现场费用中。</w:t>
      </w:r>
    </w:p>
    <w:p w14:paraId="79BE8583">
      <w:pPr>
        <w:spacing w:before="1" w:line="220" w:lineRule="auto"/>
        <w:ind w:left="190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在</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9.4</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款下增加</w:t>
      </w:r>
      <w:r>
        <w:rPr>
          <w:rFonts w:ascii="宋体" w:hAnsi="宋体" w:eastAsia="宋体" w:cs="宋体"/>
          <w:color w:val="auto"/>
          <w:spacing w:val="-50"/>
          <w:sz w:val="24"/>
          <w:szCs w:val="24"/>
          <w:highlight w:val="none"/>
        </w:rPr>
        <w:t xml:space="preserve"> </w:t>
      </w:r>
      <w:r>
        <w:rPr>
          <w:rFonts w:ascii="宋体" w:hAnsi="宋体" w:eastAsia="宋体" w:cs="宋体"/>
          <w:color w:val="auto"/>
          <w:spacing w:val="-4"/>
          <w:sz w:val="24"/>
          <w:szCs w:val="24"/>
          <w:highlight w:val="none"/>
        </w:rPr>
        <w:t>9.4.12～9.4.17</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w:t>
      </w:r>
    </w:p>
    <w:p w14:paraId="7B6C9E63">
      <w:pPr>
        <w:spacing w:before="181" w:line="220" w:lineRule="auto"/>
        <w:ind w:left="1906"/>
        <w:rPr>
          <w:color w:val="auto"/>
          <w:highlight w:val="none"/>
        </w:rPr>
      </w:pPr>
      <w:r>
        <w:rPr>
          <w:rFonts w:ascii="宋体" w:hAnsi="宋体" w:eastAsia="宋体" w:cs="宋体"/>
          <w:color w:val="auto"/>
          <w:spacing w:val="-1"/>
          <w:sz w:val="24"/>
          <w:szCs w:val="24"/>
          <w:highlight w:val="none"/>
        </w:rPr>
        <w:t>9.4.12 承包人应落实环境保护及水土保持的责任人，严格按</w:t>
      </w:r>
      <w:r>
        <w:rPr>
          <w:rFonts w:ascii="宋体" w:hAnsi="宋体" w:eastAsia="宋体" w:cs="宋体"/>
          <w:color w:val="auto"/>
          <w:spacing w:val="-2"/>
          <w:sz w:val="24"/>
          <w:szCs w:val="24"/>
          <w:highlight w:val="none"/>
        </w:rPr>
        <w:t>照《广东省水利厅广</w:t>
      </w:r>
    </w:p>
    <w:p w14:paraId="3A17DB2B">
      <w:pPr>
        <w:spacing w:before="78" w:line="360" w:lineRule="auto"/>
        <w:ind w:left="1424" w:right="1416" w:firstLine="9"/>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东省交通运输厅关于进一步加强交通建设项目水土保持工作的通知》的要求开展水土保</w:t>
      </w:r>
      <w:r>
        <w:rPr>
          <w:rFonts w:ascii="宋体" w:hAnsi="宋体" w:eastAsia="宋体" w:cs="宋体"/>
          <w:color w:val="auto"/>
          <w:spacing w:val="-5"/>
          <w:sz w:val="24"/>
          <w:szCs w:val="24"/>
          <w:highlight w:val="none"/>
        </w:rPr>
        <w:t>持工作。自觉接受监理人的环保及水土保持教育， 落实实施施工场地符合相关环保要求</w:t>
      </w:r>
      <w:r>
        <w:rPr>
          <w:rFonts w:ascii="宋体" w:hAnsi="宋体" w:eastAsia="宋体" w:cs="宋体"/>
          <w:color w:val="auto"/>
          <w:spacing w:val="-2"/>
          <w:sz w:val="24"/>
          <w:szCs w:val="24"/>
          <w:highlight w:val="none"/>
        </w:rPr>
        <w:t>布设；施工组织设计应按“水土保持方案报告书”有关要求制定施工中的水保措施，认真做好项目实施过程及工程结束后的水土保持的防御措施，做好有关水土保持的资料的</w:t>
      </w:r>
      <w:r>
        <w:rPr>
          <w:rFonts w:ascii="宋体" w:hAnsi="宋体" w:eastAsia="宋体" w:cs="宋体"/>
          <w:color w:val="auto"/>
          <w:spacing w:val="-1"/>
          <w:sz w:val="24"/>
          <w:szCs w:val="24"/>
          <w:highlight w:val="none"/>
        </w:rPr>
        <w:t>记录。各类废弃物统一收集处理，施工临时弃渣堆放</w:t>
      </w:r>
      <w:r>
        <w:rPr>
          <w:rFonts w:ascii="宋体" w:hAnsi="宋体" w:eastAsia="宋体" w:cs="宋体"/>
          <w:color w:val="auto"/>
          <w:spacing w:val="-2"/>
          <w:sz w:val="24"/>
          <w:szCs w:val="24"/>
          <w:highlight w:val="none"/>
        </w:rPr>
        <w:t>应做好水土保持措施。</w:t>
      </w:r>
    </w:p>
    <w:p w14:paraId="55023C14">
      <w:pPr>
        <w:spacing w:before="4" w:line="331" w:lineRule="auto"/>
        <w:ind w:left="1422" w:right="1403"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9.4.13 承包人依法取得砍伐许可后方可按照砍伐许可的面积、株数、树种进行砍</w:t>
      </w:r>
      <w:r>
        <w:rPr>
          <w:rFonts w:ascii="宋体" w:hAnsi="宋体" w:eastAsia="宋体" w:cs="宋体"/>
          <w:color w:val="auto"/>
          <w:spacing w:val="-1"/>
          <w:sz w:val="24"/>
          <w:szCs w:val="24"/>
          <w:highlight w:val="none"/>
        </w:rPr>
        <w:t>伐，并注意保护野生动植物；施工结束后，对施</w:t>
      </w:r>
      <w:r>
        <w:rPr>
          <w:rFonts w:ascii="宋体" w:hAnsi="宋体" w:eastAsia="宋体" w:cs="宋体"/>
          <w:color w:val="auto"/>
          <w:spacing w:val="-2"/>
          <w:sz w:val="24"/>
          <w:szCs w:val="24"/>
          <w:highlight w:val="none"/>
        </w:rPr>
        <w:t>工期占用的施工便道、料场、拌和场及</w:t>
      </w:r>
      <w:r>
        <w:rPr>
          <w:rFonts w:ascii="宋体" w:hAnsi="宋体" w:eastAsia="宋体" w:cs="宋体"/>
          <w:color w:val="auto"/>
          <w:spacing w:val="-1"/>
          <w:sz w:val="24"/>
          <w:szCs w:val="24"/>
          <w:highlight w:val="none"/>
        </w:rPr>
        <w:t>施工场地等临时用地，按“破坏一处，恢复一处”的原则，进行全面恢复。</w:t>
      </w:r>
      <w:r>
        <w:rPr>
          <w:rFonts w:ascii="宋体" w:hAnsi="宋体" w:eastAsia="宋体" w:cs="宋体"/>
          <w:color w:val="auto"/>
          <w:spacing w:val="-2"/>
          <w:sz w:val="24"/>
          <w:szCs w:val="24"/>
          <w:highlight w:val="none"/>
        </w:rPr>
        <w:t>施工便道、</w:t>
      </w:r>
      <w:r>
        <w:rPr>
          <w:rFonts w:ascii="宋体" w:hAnsi="宋体" w:eastAsia="宋体" w:cs="宋体"/>
          <w:color w:val="auto"/>
          <w:spacing w:val="-6"/>
          <w:sz w:val="24"/>
          <w:szCs w:val="24"/>
          <w:highlight w:val="none"/>
        </w:rPr>
        <w:t>各种料场、预制场等的临时占地应充分利用荒地、废弃地、低覆盖草地和裸地，</w:t>
      </w:r>
      <w:r>
        <w:rPr>
          <w:rFonts w:ascii="宋体" w:hAnsi="宋体" w:eastAsia="宋体" w:cs="宋体"/>
          <w:color w:val="auto"/>
          <w:spacing w:val="55"/>
          <w:sz w:val="24"/>
          <w:szCs w:val="24"/>
          <w:highlight w:val="none"/>
        </w:rPr>
        <w:t xml:space="preserve"> </w:t>
      </w:r>
      <w:r>
        <w:rPr>
          <w:rFonts w:ascii="宋体" w:hAnsi="宋体" w:eastAsia="宋体" w:cs="宋体"/>
          <w:color w:val="auto"/>
          <w:spacing w:val="-7"/>
          <w:sz w:val="24"/>
          <w:szCs w:val="24"/>
          <w:highlight w:val="none"/>
        </w:rPr>
        <w:t>不应占</w:t>
      </w:r>
      <w:r>
        <w:rPr>
          <w:rFonts w:ascii="宋体" w:hAnsi="宋体" w:eastAsia="宋体" w:cs="宋体"/>
          <w:color w:val="auto"/>
          <w:spacing w:val="-2"/>
          <w:sz w:val="24"/>
          <w:szCs w:val="24"/>
          <w:highlight w:val="none"/>
        </w:rPr>
        <w:t>压高覆盖草地、林地、基本农田，并采取有效措施防止污染。</w:t>
      </w:r>
    </w:p>
    <w:p w14:paraId="03D9BBCE">
      <w:pPr>
        <w:spacing w:before="180" w:line="337" w:lineRule="auto"/>
        <w:ind w:left="1425" w:right="1331"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9.4.14 承包人必须采取有效预防措施，防止雨水对施工场所占有的土地、临时用</w:t>
      </w:r>
      <w:r>
        <w:rPr>
          <w:rFonts w:ascii="宋体" w:hAnsi="宋体" w:eastAsia="宋体" w:cs="宋体"/>
          <w:color w:val="auto"/>
          <w:sz w:val="24"/>
          <w:szCs w:val="24"/>
          <w:highlight w:val="none"/>
        </w:rPr>
        <w:t>地、路基土石方、取弃土场等冲刷而造成对河流、水道、灌溉渠、排水系统产生淤积、</w:t>
      </w:r>
      <w:r>
        <w:rPr>
          <w:rFonts w:ascii="宋体" w:hAnsi="宋体" w:eastAsia="宋体" w:cs="宋体"/>
          <w:color w:val="auto"/>
          <w:spacing w:val="-2"/>
          <w:sz w:val="24"/>
          <w:szCs w:val="24"/>
          <w:highlight w:val="none"/>
        </w:rPr>
        <w:t>堵塞，对农田造成污染、淹没。同时也应采取措施防止在施工过程中因材料运输、混合</w:t>
      </w:r>
      <w:r>
        <w:rPr>
          <w:rFonts w:ascii="宋体" w:hAnsi="宋体" w:eastAsia="宋体" w:cs="宋体"/>
          <w:color w:val="auto"/>
          <w:spacing w:val="-5"/>
          <w:sz w:val="24"/>
          <w:szCs w:val="24"/>
          <w:highlight w:val="none"/>
        </w:rPr>
        <w:t>料拌和、现场施工而对项目沿线的建筑、既有</w:t>
      </w:r>
      <w:r>
        <w:rPr>
          <w:rFonts w:ascii="宋体" w:hAnsi="宋体" w:eastAsia="宋体" w:cs="宋体"/>
          <w:color w:val="auto"/>
          <w:spacing w:val="-6"/>
          <w:sz w:val="24"/>
          <w:szCs w:val="24"/>
          <w:highlight w:val="none"/>
        </w:rPr>
        <w:t>道路、农田、林地、河流、水道、灌溉渠、</w:t>
      </w:r>
      <w:r>
        <w:rPr>
          <w:rFonts w:ascii="宋体" w:hAnsi="宋体" w:eastAsia="宋体" w:cs="宋体"/>
          <w:color w:val="auto"/>
          <w:spacing w:val="-2"/>
          <w:sz w:val="24"/>
          <w:szCs w:val="24"/>
          <w:highlight w:val="none"/>
        </w:rPr>
        <w:t>排水系统等产生破坏，从而造成索赔、施工停工或工程质量隐患。如承包人未采取有效措施，由此产生的一切损失由承包人自行负责。</w:t>
      </w:r>
    </w:p>
    <w:p w14:paraId="4F03897B">
      <w:pPr>
        <w:spacing w:before="182" w:line="325"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9.4.15 除合同有另外规定外，以上工作均视为承包人已经在合同报价中计入其影</w:t>
      </w:r>
      <w:r>
        <w:rPr>
          <w:rFonts w:ascii="宋体" w:hAnsi="宋体" w:eastAsia="宋体" w:cs="宋体"/>
          <w:color w:val="auto"/>
          <w:spacing w:val="-2"/>
          <w:sz w:val="24"/>
          <w:szCs w:val="24"/>
          <w:highlight w:val="none"/>
        </w:rPr>
        <w:t>响而可能发生的一切费用，对承包人采取的一切措施，发包人和监理人有权监督，如果承包人未能对上述事项采取各种必要的措施而导致或发生与此有关的违约金、索赔、损失赔偿、诉讼费用以及其他一切责任均由承包人负责。</w:t>
      </w:r>
    </w:p>
    <w:p w14:paraId="01E2DE51">
      <w:pPr>
        <w:spacing w:before="183" w:line="290" w:lineRule="auto"/>
        <w:ind w:left="1426" w:right="1416"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9.4.16</w:t>
      </w:r>
      <w:r>
        <w:rPr>
          <w:rFonts w:ascii="宋体" w:hAnsi="宋体" w:eastAsia="宋体" w:cs="宋体"/>
          <w:color w:val="auto"/>
          <w:spacing w:val="-51"/>
          <w:sz w:val="24"/>
          <w:szCs w:val="24"/>
          <w:highlight w:val="none"/>
        </w:rPr>
        <w:t xml:space="preserve"> </w:t>
      </w:r>
      <w:r>
        <w:rPr>
          <w:rFonts w:ascii="宋体" w:hAnsi="宋体" w:eastAsia="宋体" w:cs="宋体"/>
          <w:color w:val="auto"/>
          <w:spacing w:val="-3"/>
          <w:sz w:val="24"/>
          <w:szCs w:val="24"/>
          <w:highlight w:val="none"/>
        </w:rPr>
        <w:t>承包人应严格执行《广东省公路工程施工标准化</w:t>
      </w:r>
      <w:r>
        <w:rPr>
          <w:rFonts w:ascii="宋体" w:hAnsi="宋体" w:eastAsia="宋体" w:cs="宋体"/>
          <w:color w:val="auto"/>
          <w:spacing w:val="-4"/>
          <w:sz w:val="24"/>
          <w:szCs w:val="24"/>
          <w:highlight w:val="none"/>
        </w:rPr>
        <w:t>指南》关于环境保护的相关</w:t>
      </w:r>
      <w:r>
        <w:rPr>
          <w:rFonts w:ascii="宋体" w:hAnsi="宋体" w:eastAsia="宋体" w:cs="宋体"/>
          <w:color w:val="auto"/>
          <w:spacing w:val="-11"/>
          <w:sz w:val="24"/>
          <w:szCs w:val="24"/>
          <w:highlight w:val="none"/>
        </w:rPr>
        <w:t>要求。</w:t>
      </w:r>
    </w:p>
    <w:p w14:paraId="4C720E73">
      <w:pPr>
        <w:spacing w:before="181" w:line="218"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9.4.17 文明环保施工价款</w:t>
      </w:r>
    </w:p>
    <w:p w14:paraId="6AF73DF3">
      <w:pPr>
        <w:spacing w:before="184" w:line="360" w:lineRule="auto"/>
        <w:ind w:left="1426" w:right="1416" w:firstLine="481"/>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为督促承包人在施工过程中，做到文明施工，加强环境保护、水土保持等工作，</w:t>
      </w:r>
      <w:r>
        <w:rPr>
          <w:rFonts w:ascii="宋体" w:hAnsi="宋体" w:eastAsia="宋体" w:cs="宋体"/>
          <w:color w:val="auto"/>
          <w:spacing w:val="70"/>
          <w:sz w:val="24"/>
          <w:szCs w:val="24"/>
          <w:highlight w:val="none"/>
        </w:rPr>
        <w:t xml:space="preserve"> </w:t>
      </w:r>
      <w:r>
        <w:rPr>
          <w:rFonts w:ascii="宋体" w:hAnsi="宋体" w:eastAsia="宋体" w:cs="宋体"/>
          <w:color w:val="auto"/>
          <w:spacing w:val="-7"/>
          <w:sz w:val="24"/>
          <w:szCs w:val="24"/>
          <w:highlight w:val="none"/>
        </w:rPr>
        <w:t>本</w:t>
      </w:r>
      <w:r>
        <w:rPr>
          <w:rFonts w:ascii="宋体" w:hAnsi="宋体" w:eastAsia="宋体" w:cs="宋体"/>
          <w:color w:val="auto"/>
          <w:spacing w:val="-3"/>
          <w:sz w:val="24"/>
          <w:szCs w:val="24"/>
          <w:highlight w:val="none"/>
        </w:rPr>
        <w:t>合同设立文明、环保施工价款。该金额按技术规范</w:t>
      </w:r>
      <w:r>
        <w:rPr>
          <w:rFonts w:ascii="宋体" w:hAnsi="宋体" w:eastAsia="宋体" w:cs="宋体"/>
          <w:color w:val="auto"/>
          <w:spacing w:val="-21"/>
          <w:sz w:val="24"/>
          <w:szCs w:val="24"/>
          <w:highlight w:val="none"/>
        </w:rPr>
        <w:t xml:space="preserve"> </w:t>
      </w:r>
      <w:r>
        <w:rPr>
          <w:rFonts w:ascii="宋体" w:hAnsi="宋体" w:eastAsia="宋体" w:cs="宋体"/>
          <w:color w:val="auto"/>
          <w:spacing w:val="-3"/>
          <w:sz w:val="24"/>
          <w:szCs w:val="24"/>
          <w:highlight w:val="none"/>
        </w:rPr>
        <w:t>100</w:t>
      </w:r>
      <w:r>
        <w:rPr>
          <w:rFonts w:ascii="宋体" w:hAnsi="宋体" w:eastAsia="宋体" w:cs="宋体"/>
          <w:color w:val="auto"/>
          <w:spacing w:val="-42"/>
          <w:sz w:val="24"/>
          <w:szCs w:val="24"/>
          <w:highlight w:val="none"/>
        </w:rPr>
        <w:t xml:space="preserve"> </w:t>
      </w:r>
      <w:r>
        <w:rPr>
          <w:rFonts w:ascii="宋体" w:hAnsi="宋体" w:eastAsia="宋体" w:cs="宋体"/>
          <w:color w:val="auto"/>
          <w:spacing w:val="-3"/>
          <w:sz w:val="24"/>
          <w:szCs w:val="24"/>
          <w:highlight w:val="none"/>
        </w:rPr>
        <w:t>章规定的方式在工程量清单中单</w:t>
      </w:r>
      <w:r>
        <w:rPr>
          <w:rFonts w:ascii="宋体" w:hAnsi="宋体" w:eastAsia="宋体" w:cs="宋体"/>
          <w:color w:val="auto"/>
          <w:spacing w:val="-2"/>
          <w:sz w:val="24"/>
          <w:szCs w:val="24"/>
          <w:highlight w:val="none"/>
        </w:rPr>
        <w:t>列。承包人获得支付的额度取决于其施工环保情况及相关检查评比中的名次。有关评比</w:t>
      </w:r>
      <w:r>
        <w:rPr>
          <w:rFonts w:ascii="宋体" w:hAnsi="宋体" w:eastAsia="宋体" w:cs="宋体"/>
          <w:color w:val="auto"/>
          <w:spacing w:val="-3"/>
          <w:sz w:val="24"/>
          <w:szCs w:val="24"/>
          <w:highlight w:val="none"/>
        </w:rPr>
        <w:t>方案发包人将在承包人进场后予以制定。</w:t>
      </w:r>
    </w:p>
    <w:p w14:paraId="72AF4415">
      <w:pPr>
        <w:spacing w:line="220" w:lineRule="auto"/>
        <w:ind w:left="192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10.</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进度计划</w:t>
      </w:r>
    </w:p>
    <w:p w14:paraId="41C1AEB6">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10.1 合同进度计划</w:t>
      </w:r>
    </w:p>
    <w:p w14:paraId="01EEAEFD">
      <w:pPr>
        <w:spacing w:before="181" w:line="220" w:lineRule="auto"/>
        <w:ind w:left="1905"/>
        <w:rPr>
          <w:color w:val="auto"/>
          <w:highlight w:val="none"/>
        </w:rPr>
      </w:pPr>
      <w:r>
        <w:rPr>
          <w:rFonts w:ascii="宋体" w:hAnsi="宋体" w:eastAsia="宋体" w:cs="宋体"/>
          <w:color w:val="auto"/>
          <w:spacing w:val="-2"/>
          <w:sz w:val="24"/>
          <w:szCs w:val="24"/>
          <w:highlight w:val="none"/>
        </w:rPr>
        <w:t>承包人编制施工方案说明的内容包括：按照关键线路网络图和主要工作横道图两种</w:t>
      </w:r>
    </w:p>
    <w:p w14:paraId="2467A91B">
      <w:pPr>
        <w:spacing w:before="78" w:line="360" w:lineRule="auto"/>
        <w:ind w:left="1424" w:right="1416" w:firstLine="3"/>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形式分别编绘合同进度计划，列出各主要工程项目的计划开工、完工时</w:t>
      </w:r>
      <w:r>
        <w:rPr>
          <w:rFonts w:ascii="宋体" w:hAnsi="宋体" w:eastAsia="宋体" w:cs="宋体"/>
          <w:color w:val="auto"/>
          <w:spacing w:val="-7"/>
          <w:sz w:val="24"/>
          <w:szCs w:val="24"/>
          <w:highlight w:val="none"/>
        </w:rPr>
        <w:t>间，</w:t>
      </w:r>
      <w:r>
        <w:rPr>
          <w:rFonts w:ascii="宋体" w:hAnsi="宋体" w:eastAsia="宋体" w:cs="宋体"/>
          <w:color w:val="auto"/>
          <w:spacing w:val="53"/>
          <w:sz w:val="24"/>
          <w:szCs w:val="24"/>
          <w:highlight w:val="none"/>
        </w:rPr>
        <w:t xml:space="preserve"> </w:t>
      </w:r>
      <w:r>
        <w:rPr>
          <w:rFonts w:ascii="宋体" w:hAnsi="宋体" w:eastAsia="宋体" w:cs="宋体"/>
          <w:color w:val="auto"/>
          <w:spacing w:val="-7"/>
          <w:sz w:val="24"/>
          <w:szCs w:val="24"/>
          <w:highlight w:val="none"/>
        </w:rPr>
        <w:t>并应包括每</w:t>
      </w:r>
      <w:r>
        <w:rPr>
          <w:rFonts w:ascii="宋体" w:hAnsi="宋体" w:eastAsia="宋体" w:cs="宋体"/>
          <w:color w:val="auto"/>
          <w:spacing w:val="-6"/>
          <w:sz w:val="24"/>
          <w:szCs w:val="24"/>
          <w:highlight w:val="none"/>
        </w:rPr>
        <w:t>个阶段预计完成的工作量和形象进度。计划中应包括工程的施工时间</w:t>
      </w:r>
      <w:r>
        <w:rPr>
          <w:rFonts w:ascii="宋体" w:hAnsi="宋体" w:eastAsia="宋体" w:cs="宋体"/>
          <w:color w:val="auto"/>
          <w:spacing w:val="-7"/>
          <w:sz w:val="24"/>
          <w:szCs w:val="24"/>
          <w:highlight w:val="none"/>
        </w:rPr>
        <w:t>、方法和顺序，</w:t>
      </w:r>
      <w:r>
        <w:rPr>
          <w:rFonts w:ascii="宋体" w:hAnsi="宋体" w:eastAsia="宋体" w:cs="宋体"/>
          <w:color w:val="auto"/>
          <w:spacing w:val="58"/>
          <w:sz w:val="24"/>
          <w:szCs w:val="24"/>
          <w:highlight w:val="none"/>
        </w:rPr>
        <w:t xml:space="preserve"> </w:t>
      </w:r>
      <w:r>
        <w:rPr>
          <w:rFonts w:ascii="宋体" w:hAnsi="宋体" w:eastAsia="宋体" w:cs="宋体"/>
          <w:color w:val="auto"/>
          <w:spacing w:val="-7"/>
          <w:sz w:val="24"/>
          <w:szCs w:val="24"/>
          <w:highlight w:val="none"/>
        </w:rPr>
        <w:t>资</w:t>
      </w:r>
      <w:r>
        <w:rPr>
          <w:rFonts w:ascii="宋体" w:hAnsi="宋体" w:eastAsia="宋体" w:cs="宋体"/>
          <w:color w:val="auto"/>
          <w:spacing w:val="-2"/>
          <w:sz w:val="24"/>
          <w:szCs w:val="24"/>
          <w:highlight w:val="none"/>
        </w:rPr>
        <w:t>源的安排，材料、设备及人员的获得和运输等。</w:t>
      </w:r>
    </w:p>
    <w:p w14:paraId="160E51D4">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10.3 年度施工计划</w:t>
      </w:r>
    </w:p>
    <w:p w14:paraId="3054E843">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在本款末增加以下内容：</w:t>
      </w:r>
    </w:p>
    <w:p w14:paraId="62D53067">
      <w:pPr>
        <w:spacing w:before="183" w:line="360" w:lineRule="auto"/>
        <w:ind w:left="1425" w:right="1416"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在年度施工计划的基础上，承包人应根据发包人及监理人的具体安排编制和落实其</w:t>
      </w:r>
      <w:r>
        <w:rPr>
          <w:rFonts w:ascii="宋体" w:hAnsi="宋体" w:eastAsia="宋体" w:cs="宋体"/>
          <w:color w:val="auto"/>
          <w:spacing w:val="-5"/>
          <w:sz w:val="24"/>
          <w:szCs w:val="24"/>
          <w:highlight w:val="none"/>
        </w:rPr>
        <w:t>他阶段性施工计划。</w:t>
      </w:r>
    </w:p>
    <w:p w14:paraId="4360912B">
      <w:pPr>
        <w:spacing w:before="1" w:line="218" w:lineRule="auto"/>
        <w:ind w:left="190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本条补充第</w:t>
      </w:r>
      <w:r>
        <w:rPr>
          <w:rFonts w:ascii="宋体" w:hAnsi="宋体" w:eastAsia="宋体" w:cs="宋体"/>
          <w:color w:val="auto"/>
          <w:spacing w:val="-29"/>
          <w:sz w:val="24"/>
          <w:szCs w:val="24"/>
          <w:highlight w:val="none"/>
        </w:rPr>
        <w:t xml:space="preserve"> </w:t>
      </w:r>
      <w:r>
        <w:rPr>
          <w:rFonts w:ascii="宋体" w:hAnsi="宋体" w:eastAsia="宋体" w:cs="宋体"/>
          <w:color w:val="auto"/>
          <w:spacing w:val="-6"/>
          <w:sz w:val="24"/>
          <w:szCs w:val="24"/>
          <w:highlight w:val="none"/>
        </w:rPr>
        <w:t>10.5</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款、第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6"/>
          <w:sz w:val="24"/>
          <w:szCs w:val="24"/>
          <w:highlight w:val="none"/>
        </w:rPr>
        <w:t>10.6</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款、第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6"/>
          <w:sz w:val="24"/>
          <w:szCs w:val="24"/>
          <w:highlight w:val="none"/>
        </w:rPr>
        <w:t>10.7</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款：</w:t>
      </w:r>
    </w:p>
    <w:p w14:paraId="4F3643C3">
      <w:pPr>
        <w:spacing w:before="183" w:line="220"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10.5</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工程进度记录</w:t>
      </w:r>
    </w:p>
    <w:p w14:paraId="64B7463F">
      <w:pPr>
        <w:spacing w:before="182" w:line="360" w:lineRule="auto"/>
        <w:ind w:left="1432" w:right="1416" w:firstLine="47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承包人应保持每日、每月和其他定期的工程进度记录和报告， 这些记录和报告包括</w:t>
      </w:r>
      <w:r>
        <w:rPr>
          <w:rFonts w:ascii="宋体" w:hAnsi="宋体" w:eastAsia="宋体" w:cs="宋体"/>
          <w:color w:val="auto"/>
          <w:spacing w:val="-9"/>
          <w:sz w:val="24"/>
          <w:szCs w:val="24"/>
          <w:highlight w:val="none"/>
        </w:rPr>
        <w:t>下列有关资料：</w:t>
      </w:r>
    </w:p>
    <w:p w14:paraId="4E85661A">
      <w:pPr>
        <w:spacing w:line="219" w:lineRule="auto"/>
        <w:ind w:left="1947"/>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(a)气象条件；</w:t>
      </w:r>
    </w:p>
    <w:p w14:paraId="37B7D6C4">
      <w:pPr>
        <w:spacing w:before="183" w:line="222" w:lineRule="auto"/>
        <w:ind w:left="1947"/>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(b)施工记录；</w:t>
      </w:r>
    </w:p>
    <w:p w14:paraId="59B213F9">
      <w:pPr>
        <w:spacing w:before="179" w:line="220" w:lineRule="auto"/>
        <w:ind w:left="194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(c)施工设施和设备状况；</w:t>
      </w:r>
    </w:p>
    <w:p w14:paraId="4BB0C8E1">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(d)承包人人员统计；</w:t>
      </w:r>
    </w:p>
    <w:p w14:paraId="4959230C">
      <w:pPr>
        <w:spacing w:before="182" w:line="219"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(e)现场材料，材料搬移记录、交货期、发票及有关资料；</w:t>
      </w:r>
    </w:p>
    <w:p w14:paraId="3C6E099F">
      <w:pPr>
        <w:spacing w:before="183" w:line="220" w:lineRule="auto"/>
        <w:ind w:left="194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(f)环境保护、水土保持实施记录；</w:t>
      </w:r>
    </w:p>
    <w:p w14:paraId="77A26653">
      <w:pPr>
        <w:spacing w:before="182" w:line="214" w:lineRule="auto"/>
        <w:ind w:left="194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(g)安全生产实施记录；</w:t>
      </w:r>
    </w:p>
    <w:p w14:paraId="44B90AB6">
      <w:pPr>
        <w:spacing w:before="191" w:line="220"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(h)所有在施工过程中发生的其他事项。</w:t>
      </w:r>
    </w:p>
    <w:p w14:paraId="7FF3B1DD">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10.6 工程的进度奖罚</w:t>
      </w:r>
    </w:p>
    <w:p w14:paraId="12E33009">
      <w:pPr>
        <w:spacing w:before="191" w:line="220" w:lineRule="auto"/>
        <w:ind w:left="194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本款修改为：本工程不设立工程进度奖金。</w:t>
      </w:r>
    </w:p>
    <w:p w14:paraId="42A8B6E1">
      <w:pPr>
        <w:spacing w:line="219" w:lineRule="auto"/>
        <w:ind w:left="1923"/>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11.开工和竣工</w:t>
      </w:r>
    </w:p>
    <w:p w14:paraId="74FA7250">
      <w:pPr>
        <w:spacing w:before="183" w:line="220" w:lineRule="auto"/>
        <w:ind w:left="192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4"/>
          <w:sz w:val="24"/>
          <w:szCs w:val="24"/>
          <w:highlight w:val="none"/>
        </w:rPr>
        <w:t>11.3</w:t>
      </w:r>
      <w:r>
        <w:rPr>
          <w:rFonts w:ascii="宋体" w:hAnsi="宋体" w:eastAsia="宋体" w:cs="宋体"/>
          <w:strike w:val="0"/>
          <w:dstrike w:val="0"/>
          <w:color w:val="auto"/>
          <w:spacing w:val="-39"/>
          <w:sz w:val="24"/>
          <w:szCs w:val="24"/>
          <w:highlight w:val="none"/>
        </w:rPr>
        <w:t xml:space="preserve"> </w:t>
      </w:r>
      <w:r>
        <w:rPr>
          <w:rFonts w:ascii="宋体" w:hAnsi="宋体" w:eastAsia="宋体" w:cs="宋体"/>
          <w:strike w:val="0"/>
          <w:dstrike w:val="0"/>
          <w:color w:val="auto"/>
          <w:spacing w:val="-4"/>
          <w:sz w:val="24"/>
          <w:szCs w:val="24"/>
          <w:highlight w:val="none"/>
        </w:rPr>
        <w:t>发包人的工期延误</w:t>
      </w:r>
    </w:p>
    <w:p w14:paraId="2E8450C9">
      <w:pPr>
        <w:spacing w:before="182" w:line="219" w:lineRule="auto"/>
        <w:ind w:left="190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0"/>
          <w:sz w:val="24"/>
          <w:szCs w:val="24"/>
          <w:highlight w:val="none"/>
        </w:rPr>
        <w:t>本款细化为：</w:t>
      </w:r>
    </w:p>
    <w:p w14:paraId="11535DE7">
      <w:pPr>
        <w:spacing w:before="185" w:line="361" w:lineRule="auto"/>
        <w:ind w:left="1432" w:right="1416" w:firstLine="47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在履行合同过程中，由于发包人的下列原因造成工期延误的，承包人在满足发包人的项目总体工期目标前提下，有权要求发包人顺延工期，需要修订合同进度计划的，按</w:t>
      </w:r>
      <w:r>
        <w:rPr>
          <w:rFonts w:ascii="宋体" w:hAnsi="宋体" w:eastAsia="宋体" w:cs="宋体"/>
          <w:strike w:val="0"/>
          <w:dstrike w:val="0"/>
          <w:color w:val="auto"/>
          <w:spacing w:val="-7"/>
          <w:sz w:val="24"/>
          <w:szCs w:val="24"/>
          <w:highlight w:val="none"/>
        </w:rPr>
        <w:t>照第</w:t>
      </w:r>
      <w:r>
        <w:rPr>
          <w:rFonts w:ascii="宋体" w:hAnsi="宋体" w:eastAsia="宋体" w:cs="宋体"/>
          <w:strike w:val="0"/>
          <w:dstrike w:val="0"/>
          <w:color w:val="auto"/>
          <w:spacing w:val="-26"/>
          <w:sz w:val="24"/>
          <w:szCs w:val="24"/>
          <w:highlight w:val="none"/>
        </w:rPr>
        <w:t xml:space="preserve"> </w:t>
      </w:r>
      <w:r>
        <w:rPr>
          <w:rFonts w:ascii="宋体" w:hAnsi="宋体" w:eastAsia="宋体" w:cs="宋体"/>
          <w:strike w:val="0"/>
          <w:dstrike w:val="0"/>
          <w:color w:val="auto"/>
          <w:spacing w:val="-7"/>
          <w:sz w:val="24"/>
          <w:szCs w:val="24"/>
          <w:highlight w:val="none"/>
        </w:rPr>
        <w:t>10.2</w:t>
      </w:r>
      <w:r>
        <w:rPr>
          <w:rFonts w:ascii="宋体" w:hAnsi="宋体" w:eastAsia="宋体" w:cs="宋体"/>
          <w:strike w:val="0"/>
          <w:dstrike w:val="0"/>
          <w:color w:val="auto"/>
          <w:spacing w:val="-50"/>
          <w:sz w:val="24"/>
          <w:szCs w:val="24"/>
          <w:highlight w:val="none"/>
        </w:rPr>
        <w:t xml:space="preserve"> </w:t>
      </w:r>
      <w:r>
        <w:rPr>
          <w:rFonts w:ascii="宋体" w:hAnsi="宋体" w:eastAsia="宋体" w:cs="宋体"/>
          <w:strike w:val="0"/>
          <w:dstrike w:val="0"/>
          <w:color w:val="auto"/>
          <w:spacing w:val="-7"/>
          <w:sz w:val="24"/>
          <w:szCs w:val="24"/>
          <w:highlight w:val="none"/>
        </w:rPr>
        <w:t>款的约定办理。</w:t>
      </w:r>
    </w:p>
    <w:p w14:paraId="47F81B1B">
      <w:pPr>
        <w:spacing w:before="78" w:line="220" w:lineRule="auto"/>
        <w:ind w:left="191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（1）由于征地拆迁的原因造成关键线路上的工程暂停施工；</w:t>
      </w:r>
    </w:p>
    <w:p w14:paraId="6D101229">
      <w:pPr>
        <w:spacing w:before="182" w:line="220" w:lineRule="auto"/>
        <w:ind w:left="191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（2）未按合同约定及时支付预付款、进度款，造成暂停施工的；</w:t>
      </w:r>
    </w:p>
    <w:p w14:paraId="08B6C837">
      <w:pPr>
        <w:spacing w:before="181" w:line="220" w:lineRule="auto"/>
        <w:ind w:left="191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（3）由于重大设计方案调整造成关键线路上的工程暂停施工；</w:t>
      </w:r>
    </w:p>
    <w:p w14:paraId="568F3D76">
      <w:pPr>
        <w:spacing w:before="182"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（4）甲供材料断供或供应不及时，造成暂停施工</w:t>
      </w:r>
      <w:r>
        <w:rPr>
          <w:rFonts w:ascii="宋体" w:hAnsi="宋体" w:eastAsia="宋体" w:cs="宋体"/>
          <w:strike/>
          <w:dstrike w:val="0"/>
          <w:color w:val="auto"/>
          <w:spacing w:val="-3"/>
          <w:sz w:val="24"/>
          <w:szCs w:val="24"/>
          <w:highlight w:val="none"/>
        </w:rPr>
        <w:t>的。</w:t>
      </w:r>
    </w:p>
    <w:p w14:paraId="23898FEE">
      <w:pPr>
        <w:spacing w:before="183" w:line="360" w:lineRule="auto"/>
        <w:ind w:left="1426" w:right="1416" w:firstLine="480"/>
        <w:jc w:val="both"/>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上述原因如顺延合同工期在项目专用合同条款数据表的时间以内的，发包人将不予增加费用；如顺延合同工期在项目专用合同条款数据表的时间以上的，发包人将按如下</w:t>
      </w:r>
      <w:r>
        <w:rPr>
          <w:rFonts w:ascii="宋体" w:hAnsi="宋体" w:eastAsia="宋体" w:cs="宋体"/>
          <w:strike w:val="0"/>
          <w:dstrike w:val="0"/>
          <w:color w:val="auto"/>
          <w:spacing w:val="-9"/>
          <w:sz w:val="24"/>
          <w:szCs w:val="24"/>
          <w:highlight w:val="none"/>
        </w:rPr>
        <w:t>原则给予补偿：</w:t>
      </w:r>
    </w:p>
    <w:p w14:paraId="263D37A8">
      <w:pPr>
        <w:spacing w:line="220" w:lineRule="auto"/>
        <w:ind w:left="192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7"/>
          <w:sz w:val="24"/>
          <w:szCs w:val="24"/>
          <w:highlight w:val="none"/>
        </w:rPr>
        <w:t>1）驻地建设场地租金；</w:t>
      </w:r>
    </w:p>
    <w:p w14:paraId="46F8BE3C">
      <w:pPr>
        <w:spacing w:before="183" w:line="289" w:lineRule="auto"/>
        <w:ind w:left="1430" w:right="1416" w:firstLine="478"/>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2）合同承诺投入且已进场的机械设备停置费，停置数量不得超过第二章 投标人须</w:t>
      </w:r>
      <w:r>
        <w:rPr>
          <w:rFonts w:ascii="宋体" w:hAnsi="宋体" w:eastAsia="宋体" w:cs="宋体"/>
          <w:strike w:val="0"/>
          <w:dstrike w:val="0"/>
          <w:color w:val="auto"/>
          <w:spacing w:val="-3"/>
          <w:sz w:val="24"/>
          <w:szCs w:val="24"/>
          <w:highlight w:val="none"/>
        </w:rPr>
        <w:t>知附录</w:t>
      </w:r>
      <w:r>
        <w:rPr>
          <w:rFonts w:ascii="宋体" w:hAnsi="宋体" w:eastAsia="宋体" w:cs="宋体"/>
          <w:strike w:val="0"/>
          <w:dstrike w:val="0"/>
          <w:color w:val="auto"/>
          <w:spacing w:val="-32"/>
          <w:sz w:val="24"/>
          <w:szCs w:val="24"/>
          <w:highlight w:val="none"/>
        </w:rPr>
        <w:t xml:space="preserve"> </w:t>
      </w:r>
      <w:r>
        <w:rPr>
          <w:rFonts w:ascii="宋体" w:hAnsi="宋体" w:eastAsia="宋体" w:cs="宋体"/>
          <w:strike w:val="0"/>
          <w:dstrike w:val="0"/>
          <w:color w:val="auto"/>
          <w:spacing w:val="-3"/>
          <w:sz w:val="24"/>
          <w:szCs w:val="24"/>
          <w:highlight w:val="none"/>
        </w:rPr>
        <w:t>7 资格审查条件(主要设备最低要求)，按以下两种情况计算：</w:t>
      </w:r>
    </w:p>
    <w:p w14:paraId="12FACAEC">
      <w:pPr>
        <w:spacing w:before="183" w:line="219" w:lineRule="auto"/>
        <w:ind w:left="190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a.《公路工程机械台班费用定额》包含的机械设备停置费按如下公式计算：</w:t>
      </w:r>
    </w:p>
    <w:p w14:paraId="614CF115">
      <w:pPr>
        <w:spacing w:before="184" w:line="360" w:lineRule="auto"/>
        <w:ind w:left="1427" w:right="1416" w:firstLine="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停置费=（折旧费+检修费+维护费）*50%+</w:t>
      </w:r>
      <w:r>
        <w:rPr>
          <w:rFonts w:ascii="宋体" w:hAnsi="宋体" w:eastAsia="宋体" w:cs="宋体"/>
          <w:strike w:val="0"/>
          <w:dstrike w:val="0"/>
          <w:color w:val="auto"/>
          <w:spacing w:val="-2"/>
          <w:sz w:val="24"/>
          <w:szCs w:val="24"/>
          <w:highlight w:val="none"/>
        </w:rPr>
        <w:t>人工费+机上人员管理费+养路费及车船使</w:t>
      </w:r>
      <w:r>
        <w:rPr>
          <w:rFonts w:ascii="宋体" w:hAnsi="宋体" w:eastAsia="宋体" w:cs="宋体"/>
          <w:strike w:val="0"/>
          <w:dstrike w:val="0"/>
          <w:color w:val="auto"/>
          <w:spacing w:val="-3"/>
          <w:sz w:val="24"/>
          <w:szCs w:val="24"/>
          <w:highlight w:val="none"/>
        </w:rPr>
        <w:t>用税</w:t>
      </w:r>
    </w:p>
    <w:p w14:paraId="07CF04BA">
      <w:pPr>
        <w:spacing w:line="360" w:lineRule="auto"/>
        <w:ind w:left="1424" w:right="1447" w:firstLine="48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其中：机上人员管理费按人工费的</w:t>
      </w:r>
      <w:r>
        <w:rPr>
          <w:rFonts w:ascii="宋体" w:hAnsi="宋体" w:eastAsia="宋体" w:cs="宋体"/>
          <w:strike w:val="0"/>
          <w:dstrike w:val="0"/>
          <w:color w:val="auto"/>
          <w:spacing w:val="-17"/>
          <w:sz w:val="24"/>
          <w:szCs w:val="24"/>
          <w:highlight w:val="none"/>
        </w:rPr>
        <w:t xml:space="preserve"> </w:t>
      </w:r>
      <w:r>
        <w:rPr>
          <w:rFonts w:ascii="宋体" w:hAnsi="宋体" w:eastAsia="宋体" w:cs="宋体"/>
          <w:strike w:val="0"/>
          <w:dstrike w:val="0"/>
          <w:color w:val="auto"/>
          <w:spacing w:val="-2"/>
          <w:sz w:val="24"/>
          <w:szCs w:val="24"/>
          <w:highlight w:val="none"/>
        </w:rPr>
        <w:t>10%计算；车船使用税按规定的广东省车船使用</w:t>
      </w:r>
      <w:r>
        <w:rPr>
          <w:rFonts w:ascii="宋体" w:hAnsi="宋体" w:eastAsia="宋体" w:cs="宋体"/>
          <w:strike w:val="0"/>
          <w:dstrike w:val="0"/>
          <w:color w:val="auto"/>
          <w:spacing w:val="-6"/>
          <w:sz w:val="24"/>
          <w:szCs w:val="24"/>
          <w:highlight w:val="none"/>
        </w:rPr>
        <w:t>税标准计算。</w:t>
      </w:r>
    </w:p>
    <w:p w14:paraId="159CA4F4">
      <w:pPr>
        <w:spacing w:before="4" w:line="324" w:lineRule="auto"/>
        <w:ind w:left="1424" w:right="1312" w:firstLine="47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b. 《公路工程机械台班费用定额》未包含的机械设备停置费按如下公式计算：按</w:t>
      </w:r>
      <w:r>
        <w:rPr>
          <w:rFonts w:ascii="宋体" w:hAnsi="宋体" w:eastAsia="宋体" w:cs="宋体"/>
          <w:strike w:val="0"/>
          <w:dstrike w:val="0"/>
          <w:color w:val="auto"/>
          <w:spacing w:val="-6"/>
          <w:sz w:val="24"/>
          <w:szCs w:val="24"/>
          <w:highlight w:val="none"/>
        </w:rPr>
        <w:t>照年限平均法直线计提折旧，折旧年限为</w:t>
      </w:r>
      <w:r>
        <w:rPr>
          <w:rFonts w:ascii="宋体" w:hAnsi="宋体" w:eastAsia="宋体" w:cs="宋体"/>
          <w:strike w:val="0"/>
          <w:dstrike w:val="0"/>
          <w:color w:val="auto"/>
          <w:spacing w:val="-18"/>
          <w:sz w:val="24"/>
          <w:szCs w:val="24"/>
          <w:highlight w:val="none"/>
        </w:rPr>
        <w:t xml:space="preserve"> </w:t>
      </w:r>
      <w:r>
        <w:rPr>
          <w:rFonts w:ascii="宋体" w:hAnsi="宋体" w:eastAsia="宋体" w:cs="宋体"/>
          <w:strike w:val="0"/>
          <w:dstrike w:val="0"/>
          <w:color w:val="auto"/>
          <w:spacing w:val="-6"/>
          <w:sz w:val="24"/>
          <w:szCs w:val="24"/>
          <w:highlight w:val="none"/>
        </w:rPr>
        <w:t>10</w:t>
      </w:r>
      <w:r>
        <w:rPr>
          <w:rFonts w:ascii="宋体" w:hAnsi="宋体" w:eastAsia="宋体" w:cs="宋体"/>
          <w:strike w:val="0"/>
          <w:dstrike w:val="0"/>
          <w:color w:val="auto"/>
          <w:spacing w:val="-50"/>
          <w:sz w:val="24"/>
          <w:szCs w:val="24"/>
          <w:highlight w:val="none"/>
        </w:rPr>
        <w:t xml:space="preserve"> </w:t>
      </w:r>
      <w:r>
        <w:rPr>
          <w:rFonts w:ascii="宋体" w:hAnsi="宋体" w:eastAsia="宋体" w:cs="宋体"/>
          <w:strike w:val="0"/>
          <w:dstrike w:val="0"/>
          <w:color w:val="auto"/>
          <w:spacing w:val="-6"/>
          <w:sz w:val="24"/>
          <w:szCs w:val="24"/>
          <w:highlight w:val="none"/>
        </w:rPr>
        <w:t>年，年折旧额=固定资产原值×（1-残值率）</w:t>
      </w:r>
      <w:r>
        <w:rPr>
          <w:rFonts w:ascii="宋体" w:hAnsi="宋体" w:eastAsia="宋体" w:cs="宋体"/>
          <w:strike w:val="0"/>
          <w:dstrike w:val="0"/>
          <w:color w:val="auto"/>
          <w:sz w:val="24"/>
          <w:szCs w:val="24"/>
          <w:highlight w:val="none"/>
        </w:rPr>
        <w:t xml:space="preserve"> </w:t>
      </w:r>
      <w:r>
        <w:rPr>
          <w:rFonts w:ascii="宋体" w:hAnsi="宋体" w:eastAsia="宋体" w:cs="宋体"/>
          <w:strike w:val="0"/>
          <w:dstrike w:val="0"/>
          <w:color w:val="auto"/>
          <w:spacing w:val="-6"/>
          <w:sz w:val="24"/>
          <w:szCs w:val="24"/>
          <w:highlight w:val="none"/>
        </w:rPr>
        <w:t>/折旧年限，残值率为</w:t>
      </w:r>
      <w:r>
        <w:rPr>
          <w:rFonts w:ascii="宋体" w:hAnsi="宋体" w:eastAsia="宋体" w:cs="宋体"/>
          <w:strike w:val="0"/>
          <w:dstrike w:val="0"/>
          <w:color w:val="auto"/>
          <w:spacing w:val="-52"/>
          <w:sz w:val="24"/>
          <w:szCs w:val="24"/>
          <w:highlight w:val="none"/>
        </w:rPr>
        <w:t xml:space="preserve"> </w:t>
      </w:r>
      <w:r>
        <w:rPr>
          <w:rFonts w:ascii="宋体" w:hAnsi="宋体" w:eastAsia="宋体" w:cs="宋体"/>
          <w:strike w:val="0"/>
          <w:dstrike w:val="0"/>
          <w:color w:val="auto"/>
          <w:spacing w:val="-6"/>
          <w:sz w:val="24"/>
          <w:szCs w:val="24"/>
          <w:highlight w:val="none"/>
        </w:rPr>
        <w:t>4%；月折旧额=年折旧额/12，末月的天数≥16</w:t>
      </w:r>
      <w:r>
        <w:rPr>
          <w:rFonts w:ascii="宋体" w:hAnsi="宋体" w:eastAsia="宋体" w:cs="宋体"/>
          <w:strike w:val="0"/>
          <w:dstrike w:val="0"/>
          <w:color w:val="auto"/>
          <w:spacing w:val="-40"/>
          <w:sz w:val="24"/>
          <w:szCs w:val="24"/>
          <w:highlight w:val="none"/>
        </w:rPr>
        <w:t xml:space="preserve"> </w:t>
      </w:r>
      <w:r>
        <w:rPr>
          <w:rFonts w:ascii="宋体" w:hAnsi="宋体" w:eastAsia="宋体" w:cs="宋体"/>
          <w:strike w:val="0"/>
          <w:dstrike w:val="0"/>
          <w:color w:val="auto"/>
          <w:spacing w:val="-6"/>
          <w:sz w:val="24"/>
          <w:szCs w:val="24"/>
          <w:highlight w:val="none"/>
        </w:rPr>
        <w:t>时，按</w:t>
      </w:r>
      <w:r>
        <w:rPr>
          <w:rFonts w:ascii="宋体" w:hAnsi="宋体" w:eastAsia="宋体" w:cs="宋体"/>
          <w:strike w:val="0"/>
          <w:dstrike w:val="0"/>
          <w:color w:val="auto"/>
          <w:spacing w:val="-33"/>
          <w:sz w:val="24"/>
          <w:szCs w:val="24"/>
          <w:highlight w:val="none"/>
        </w:rPr>
        <w:t xml:space="preserve"> </w:t>
      </w:r>
      <w:r>
        <w:rPr>
          <w:rFonts w:ascii="宋体" w:hAnsi="宋体" w:eastAsia="宋体" w:cs="宋体"/>
          <w:strike w:val="0"/>
          <w:dstrike w:val="0"/>
          <w:color w:val="auto"/>
          <w:spacing w:val="-6"/>
          <w:sz w:val="24"/>
          <w:szCs w:val="24"/>
          <w:highlight w:val="none"/>
        </w:rPr>
        <w:t>1</w:t>
      </w:r>
      <w:r>
        <w:rPr>
          <w:rFonts w:ascii="宋体" w:hAnsi="宋体" w:eastAsia="宋体" w:cs="宋体"/>
          <w:strike w:val="0"/>
          <w:dstrike w:val="0"/>
          <w:color w:val="auto"/>
          <w:spacing w:val="-51"/>
          <w:sz w:val="24"/>
          <w:szCs w:val="24"/>
          <w:highlight w:val="none"/>
        </w:rPr>
        <w:t xml:space="preserve"> </w:t>
      </w:r>
      <w:r>
        <w:rPr>
          <w:rFonts w:ascii="宋体" w:hAnsi="宋体" w:eastAsia="宋体" w:cs="宋体"/>
          <w:strike w:val="0"/>
          <w:dstrike w:val="0"/>
          <w:color w:val="auto"/>
          <w:spacing w:val="-6"/>
          <w:sz w:val="24"/>
          <w:szCs w:val="24"/>
          <w:highlight w:val="none"/>
        </w:rPr>
        <w:t>个月计算，否则末月不计。</w:t>
      </w:r>
    </w:p>
    <w:p w14:paraId="18443CA7">
      <w:pPr>
        <w:spacing w:before="182" w:line="332" w:lineRule="auto"/>
        <w:ind w:left="1424" w:right="1412" w:firstLine="48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3）已进场的主要管理人员的工资费用。补偿的人员数量</w:t>
      </w:r>
      <w:r>
        <w:rPr>
          <w:rFonts w:ascii="宋体" w:hAnsi="宋体" w:eastAsia="宋体" w:cs="宋体"/>
          <w:strike w:val="0"/>
          <w:dstrike w:val="0"/>
          <w:color w:val="auto"/>
          <w:sz w:val="24"/>
          <w:szCs w:val="24"/>
          <w:highlight w:val="none"/>
        </w:rPr>
        <w:t>不得超过合同承诺投入的</w:t>
      </w:r>
      <w:r>
        <w:rPr>
          <w:rFonts w:ascii="宋体" w:hAnsi="宋体" w:eastAsia="宋体" w:cs="宋体"/>
          <w:strike w:val="0"/>
          <w:dstrike w:val="0"/>
          <w:color w:val="auto"/>
          <w:spacing w:val="3"/>
          <w:sz w:val="24"/>
          <w:szCs w:val="24"/>
          <w:highlight w:val="none"/>
        </w:rPr>
        <w:t>相应数量（第二章 投标人须知附录</w:t>
      </w:r>
      <w:r>
        <w:rPr>
          <w:rFonts w:ascii="宋体" w:hAnsi="宋体" w:eastAsia="宋体" w:cs="宋体"/>
          <w:strike w:val="0"/>
          <w:dstrike w:val="0"/>
          <w:color w:val="auto"/>
          <w:spacing w:val="-49"/>
          <w:sz w:val="24"/>
          <w:szCs w:val="24"/>
          <w:highlight w:val="none"/>
        </w:rPr>
        <w:t xml:space="preserve"> </w:t>
      </w:r>
      <w:r>
        <w:rPr>
          <w:rFonts w:ascii="宋体" w:hAnsi="宋体" w:eastAsia="宋体" w:cs="宋体"/>
          <w:strike w:val="0"/>
          <w:dstrike w:val="0"/>
          <w:color w:val="auto"/>
          <w:spacing w:val="3"/>
          <w:sz w:val="24"/>
          <w:szCs w:val="24"/>
          <w:highlight w:val="none"/>
        </w:rPr>
        <w:t>6 资格审查条件(其他管理人员和技术人员最</w:t>
      </w:r>
      <w:r>
        <w:rPr>
          <w:rFonts w:ascii="宋体" w:hAnsi="宋体" w:eastAsia="宋体" w:cs="宋体"/>
          <w:strike w:val="0"/>
          <w:dstrike w:val="0"/>
          <w:color w:val="auto"/>
          <w:spacing w:val="2"/>
          <w:sz w:val="24"/>
          <w:szCs w:val="24"/>
          <w:highlight w:val="none"/>
        </w:rPr>
        <w:t>低要</w:t>
      </w:r>
      <w:r>
        <w:rPr>
          <w:rFonts w:ascii="宋体" w:hAnsi="宋体" w:eastAsia="宋体" w:cs="宋体"/>
          <w:strike w:val="0"/>
          <w:dstrike w:val="0"/>
          <w:color w:val="auto"/>
          <w:spacing w:val="1"/>
          <w:sz w:val="24"/>
          <w:szCs w:val="24"/>
          <w:highlight w:val="none"/>
        </w:rPr>
        <w:t>求)</w:t>
      </w:r>
      <w:r>
        <w:rPr>
          <w:rFonts w:ascii="宋体" w:hAnsi="宋体" w:eastAsia="宋体" w:cs="宋体"/>
          <w:strike w:val="0"/>
          <w:dstrike w:val="0"/>
          <w:color w:val="auto"/>
          <w:spacing w:val="6"/>
          <w:sz w:val="24"/>
          <w:szCs w:val="24"/>
          <w:highlight w:val="none"/>
        </w:rPr>
        <w:t>）；</w:t>
      </w:r>
      <w:r>
        <w:rPr>
          <w:rFonts w:ascii="宋体" w:hAnsi="宋体" w:eastAsia="宋体" w:cs="宋体"/>
          <w:strike w:val="0"/>
          <w:dstrike w:val="0"/>
          <w:color w:val="auto"/>
          <w:spacing w:val="1"/>
          <w:sz w:val="24"/>
          <w:szCs w:val="24"/>
          <w:highlight w:val="none"/>
        </w:rPr>
        <w:t>补偿单价以统计局公布的项目所在地上一年度平均月收入为基数，具有高级职</w:t>
      </w:r>
      <w:r>
        <w:rPr>
          <w:rFonts w:ascii="宋体" w:hAnsi="宋体" w:eastAsia="宋体" w:cs="宋体"/>
          <w:strike w:val="0"/>
          <w:dstrike w:val="0"/>
          <w:color w:val="auto"/>
          <w:spacing w:val="-3"/>
          <w:sz w:val="24"/>
          <w:szCs w:val="24"/>
          <w:highlight w:val="none"/>
        </w:rPr>
        <w:t>称的人员工资按</w:t>
      </w:r>
      <w:r>
        <w:rPr>
          <w:rFonts w:ascii="宋体" w:hAnsi="宋体" w:eastAsia="宋体" w:cs="宋体"/>
          <w:strike w:val="0"/>
          <w:dstrike w:val="0"/>
          <w:color w:val="auto"/>
          <w:spacing w:val="-35"/>
          <w:sz w:val="24"/>
          <w:szCs w:val="24"/>
          <w:highlight w:val="none"/>
        </w:rPr>
        <w:t xml:space="preserve"> </w:t>
      </w:r>
      <w:r>
        <w:rPr>
          <w:rFonts w:ascii="宋体" w:hAnsi="宋体" w:eastAsia="宋体" w:cs="宋体"/>
          <w:strike w:val="0"/>
          <w:dstrike w:val="0"/>
          <w:color w:val="auto"/>
          <w:spacing w:val="-3"/>
          <w:sz w:val="24"/>
          <w:szCs w:val="24"/>
          <w:highlight w:val="none"/>
        </w:rPr>
        <w:t>3</w:t>
      </w:r>
      <w:r>
        <w:rPr>
          <w:rFonts w:ascii="宋体" w:hAnsi="宋体" w:eastAsia="宋体" w:cs="宋体"/>
          <w:strike w:val="0"/>
          <w:dstrike w:val="0"/>
          <w:color w:val="auto"/>
          <w:spacing w:val="-50"/>
          <w:sz w:val="24"/>
          <w:szCs w:val="24"/>
          <w:highlight w:val="none"/>
        </w:rPr>
        <w:t xml:space="preserve"> </w:t>
      </w:r>
      <w:r>
        <w:rPr>
          <w:rFonts w:ascii="宋体" w:hAnsi="宋体" w:eastAsia="宋体" w:cs="宋体"/>
          <w:strike w:val="0"/>
          <w:dstrike w:val="0"/>
          <w:color w:val="auto"/>
          <w:spacing w:val="-3"/>
          <w:sz w:val="24"/>
          <w:szCs w:val="24"/>
          <w:highlight w:val="none"/>
        </w:rPr>
        <w:t>倍计算，具有中级职称的人员工资按</w:t>
      </w:r>
      <w:r>
        <w:rPr>
          <w:rFonts w:ascii="宋体" w:hAnsi="宋体" w:eastAsia="宋体" w:cs="宋体"/>
          <w:strike w:val="0"/>
          <w:dstrike w:val="0"/>
          <w:color w:val="auto"/>
          <w:spacing w:val="-48"/>
          <w:sz w:val="24"/>
          <w:szCs w:val="24"/>
          <w:highlight w:val="none"/>
        </w:rPr>
        <w:t xml:space="preserve"> </w:t>
      </w:r>
      <w:r>
        <w:rPr>
          <w:rFonts w:ascii="宋体" w:hAnsi="宋体" w:eastAsia="宋体" w:cs="宋体"/>
          <w:strike w:val="0"/>
          <w:dstrike w:val="0"/>
          <w:color w:val="auto"/>
          <w:spacing w:val="-3"/>
          <w:sz w:val="24"/>
          <w:szCs w:val="24"/>
          <w:highlight w:val="none"/>
        </w:rPr>
        <w:t>2</w:t>
      </w:r>
      <w:r>
        <w:rPr>
          <w:rFonts w:ascii="宋体" w:hAnsi="宋体" w:eastAsia="宋体" w:cs="宋体"/>
          <w:strike w:val="0"/>
          <w:dstrike w:val="0"/>
          <w:color w:val="auto"/>
          <w:spacing w:val="-51"/>
          <w:sz w:val="24"/>
          <w:szCs w:val="24"/>
          <w:highlight w:val="none"/>
        </w:rPr>
        <w:t xml:space="preserve"> </w:t>
      </w:r>
      <w:r>
        <w:rPr>
          <w:rFonts w:ascii="宋体" w:hAnsi="宋体" w:eastAsia="宋体" w:cs="宋体"/>
          <w:strike w:val="0"/>
          <w:dstrike w:val="0"/>
          <w:color w:val="auto"/>
          <w:spacing w:val="-3"/>
          <w:sz w:val="24"/>
          <w:szCs w:val="24"/>
          <w:highlight w:val="none"/>
        </w:rPr>
        <w:t>倍计算，其他管理人员工资按</w:t>
      </w:r>
      <w:r>
        <w:rPr>
          <w:rFonts w:ascii="宋体" w:hAnsi="宋体" w:eastAsia="宋体" w:cs="宋体"/>
          <w:strike w:val="0"/>
          <w:dstrike w:val="0"/>
          <w:color w:val="auto"/>
          <w:spacing w:val="-12"/>
          <w:sz w:val="24"/>
          <w:szCs w:val="24"/>
          <w:highlight w:val="none"/>
        </w:rPr>
        <w:t>1</w:t>
      </w:r>
      <w:r>
        <w:rPr>
          <w:rFonts w:ascii="宋体" w:hAnsi="宋体" w:eastAsia="宋体" w:cs="宋体"/>
          <w:strike w:val="0"/>
          <w:dstrike w:val="0"/>
          <w:color w:val="auto"/>
          <w:spacing w:val="-50"/>
          <w:sz w:val="24"/>
          <w:szCs w:val="24"/>
          <w:highlight w:val="none"/>
        </w:rPr>
        <w:t xml:space="preserve"> </w:t>
      </w:r>
      <w:r>
        <w:rPr>
          <w:rFonts w:ascii="宋体" w:hAnsi="宋体" w:eastAsia="宋体" w:cs="宋体"/>
          <w:strike w:val="0"/>
          <w:dstrike w:val="0"/>
          <w:color w:val="auto"/>
          <w:spacing w:val="-12"/>
          <w:sz w:val="24"/>
          <w:szCs w:val="24"/>
          <w:highlight w:val="none"/>
        </w:rPr>
        <w:t>倍计算；</w:t>
      </w:r>
    </w:p>
    <w:p w14:paraId="46E50994">
      <w:pPr>
        <w:spacing w:before="182" w:line="220" w:lineRule="auto"/>
        <w:ind w:left="190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4) 仅对超出项目专用合同条款数据表明确</w:t>
      </w:r>
      <w:r>
        <w:rPr>
          <w:rFonts w:ascii="宋体" w:hAnsi="宋体" w:eastAsia="宋体" w:cs="宋体"/>
          <w:strike w:val="0"/>
          <w:dstrike w:val="0"/>
          <w:color w:val="auto"/>
          <w:spacing w:val="-3"/>
          <w:sz w:val="24"/>
          <w:szCs w:val="24"/>
          <w:highlight w:val="none"/>
        </w:rPr>
        <w:t>的时间进行补偿；</w:t>
      </w:r>
    </w:p>
    <w:p w14:paraId="66E3B27B">
      <w:pPr>
        <w:spacing w:before="182" w:line="220" w:lineRule="auto"/>
        <w:ind w:left="1910"/>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5）除上述规定的补偿项目之外，其余由于工期</w:t>
      </w:r>
      <w:r>
        <w:rPr>
          <w:rFonts w:ascii="宋体" w:hAnsi="宋体" w:eastAsia="宋体" w:cs="宋体"/>
          <w:strike w:val="0"/>
          <w:dstrike w:val="0"/>
          <w:color w:val="auto"/>
          <w:spacing w:val="-2"/>
          <w:sz w:val="24"/>
          <w:szCs w:val="24"/>
          <w:highlight w:val="none"/>
        </w:rPr>
        <w:t>顺延增加的费用由承包人承担。</w:t>
      </w:r>
    </w:p>
    <w:p w14:paraId="3ED7D371">
      <w:pPr>
        <w:spacing w:before="183" w:line="360" w:lineRule="auto"/>
        <w:ind w:left="1425" w:right="1413" w:firstLine="483"/>
        <w:jc w:val="both"/>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5"/>
          <w:sz w:val="24"/>
          <w:szCs w:val="24"/>
          <w:highlight w:val="none"/>
        </w:rPr>
        <w:t>如因非承包人责任造成工期拖延或其他非承包人自身原因需要加快工程进度的情</w:t>
      </w:r>
      <w:r>
        <w:rPr>
          <w:rFonts w:ascii="宋体" w:hAnsi="宋体" w:eastAsia="宋体" w:cs="宋体"/>
          <w:strike w:val="0"/>
          <w:dstrike w:val="0"/>
          <w:color w:val="auto"/>
          <w:spacing w:val="-2"/>
          <w:sz w:val="24"/>
          <w:szCs w:val="24"/>
          <w:highlight w:val="none"/>
        </w:rPr>
        <w:t>况，承包人应发包人的要求而采取加快工程进度措施的，按预算法或实际费用法测算法</w:t>
      </w:r>
      <w:r>
        <w:rPr>
          <w:rFonts w:ascii="宋体" w:hAnsi="宋体" w:eastAsia="宋体" w:cs="宋体"/>
          <w:strike w:val="0"/>
          <w:dstrike w:val="0"/>
          <w:color w:val="auto"/>
          <w:spacing w:val="-5"/>
          <w:sz w:val="24"/>
          <w:szCs w:val="24"/>
          <w:highlight w:val="none"/>
        </w:rPr>
        <w:t>计算加速施工费用给予补偿：</w:t>
      </w:r>
    </w:p>
    <w:p w14:paraId="51292501">
      <w:pPr>
        <w:spacing w:before="1" w:line="219" w:lineRule="auto"/>
        <w:ind w:left="192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1）承包人应编制加速施工措施方案，并经监理和发包人审批同意后实</w:t>
      </w:r>
      <w:r>
        <w:rPr>
          <w:rFonts w:ascii="宋体" w:hAnsi="宋体" w:eastAsia="宋体" w:cs="宋体"/>
          <w:strike w:val="0"/>
          <w:dstrike w:val="0"/>
          <w:color w:val="auto"/>
          <w:sz w:val="24"/>
          <w:szCs w:val="24"/>
          <w:highlight w:val="none"/>
        </w:rPr>
        <w:t>施，经审批</w:t>
      </w:r>
    </w:p>
    <w:p w14:paraId="2D9992AF">
      <w:pPr>
        <w:spacing w:before="78" w:line="219" w:lineRule="auto"/>
        <w:ind w:left="144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的加速施工方案将作为加速施工费用计算的依据。</w:t>
      </w:r>
    </w:p>
    <w:p w14:paraId="6ACD3CEA">
      <w:pPr>
        <w:spacing w:before="181" w:line="325" w:lineRule="auto"/>
        <w:ind w:left="1426" w:right="1331" w:firstLine="48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2）加速施工费用按预算法或实际费用法测算进行计算，包括人工机械施工降效费、</w:t>
      </w:r>
      <w:r>
        <w:rPr>
          <w:rFonts w:ascii="宋体" w:hAnsi="宋体" w:eastAsia="宋体" w:cs="宋体"/>
          <w:strike w:val="0"/>
          <w:dstrike w:val="0"/>
          <w:color w:val="auto"/>
          <w:spacing w:val="-2"/>
          <w:sz w:val="24"/>
          <w:szCs w:val="24"/>
          <w:highlight w:val="none"/>
        </w:rPr>
        <w:t>夜间施工增加费、新增人员机械进出场费、新增措施费等以及相应的企业管理费、利润</w:t>
      </w:r>
      <w:r>
        <w:rPr>
          <w:rFonts w:ascii="宋体" w:hAnsi="宋体" w:eastAsia="宋体" w:cs="宋体"/>
          <w:strike w:val="0"/>
          <w:dstrike w:val="0"/>
          <w:color w:val="auto"/>
          <w:spacing w:val="-5"/>
          <w:sz w:val="24"/>
          <w:szCs w:val="24"/>
          <w:highlight w:val="none"/>
        </w:rPr>
        <w:t>和税金。若按预算法计算， 则应在预算价的基础上按本合同段投标人中标总价对比最高</w:t>
      </w:r>
      <w:r>
        <w:rPr>
          <w:rFonts w:ascii="宋体" w:hAnsi="宋体" w:eastAsia="宋体" w:cs="宋体"/>
          <w:strike w:val="0"/>
          <w:dstrike w:val="0"/>
          <w:color w:val="auto"/>
          <w:spacing w:val="-3"/>
          <w:sz w:val="24"/>
          <w:szCs w:val="24"/>
          <w:highlight w:val="none"/>
        </w:rPr>
        <w:t>投标限价的下浮比例下浮确定加速施工费用。</w:t>
      </w:r>
    </w:p>
    <w:p w14:paraId="55364628">
      <w:pPr>
        <w:spacing w:before="181" w:line="337" w:lineRule="auto"/>
        <w:ind w:left="1426" w:right="1416" w:firstLine="48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3）人工机械施工降效费为完成加速施工工程所需人工机械费用与完成同样工程量的正常施工所需人工机械费用之差。即人工机械降效费=Σ（单位清单子目加速施工的</w:t>
      </w:r>
      <w:r>
        <w:rPr>
          <w:rFonts w:ascii="宋体" w:hAnsi="宋体" w:eastAsia="宋体" w:cs="宋体"/>
          <w:strike w:val="0"/>
          <w:dstrike w:val="0"/>
          <w:color w:val="auto"/>
          <w:spacing w:val="-2"/>
          <w:sz w:val="24"/>
          <w:szCs w:val="24"/>
          <w:highlight w:val="none"/>
        </w:rPr>
        <w:t>人工机械费用-单位清单子目正常施工所需人工机械费用）*加速施工工程量。单位清单子目加速施工的人工机械费用按照现行《公路工程施工定额测定与编制规程》的有关规定测定，单位清单子目正常施工所需要的人工机械费用参照招标人公布的最高投标限价</w:t>
      </w:r>
      <w:r>
        <w:rPr>
          <w:rFonts w:ascii="宋体" w:hAnsi="宋体" w:eastAsia="宋体" w:cs="宋体"/>
          <w:strike w:val="0"/>
          <w:dstrike w:val="0"/>
          <w:color w:val="auto"/>
          <w:spacing w:val="-3"/>
          <w:sz w:val="24"/>
          <w:szCs w:val="24"/>
          <w:highlight w:val="none"/>
        </w:rPr>
        <w:t>编制时选用的有关定额及补充的定额计算。</w:t>
      </w:r>
    </w:p>
    <w:p w14:paraId="2F9C9B17">
      <w:pPr>
        <w:spacing w:before="182" w:line="340" w:lineRule="auto"/>
        <w:ind w:left="1423" w:right="1412" w:firstLine="480"/>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4）夜间施工增加费包括人工机械降效费、照明设施费和加班费，夜间施工人工机</w:t>
      </w:r>
      <w:r>
        <w:rPr>
          <w:rFonts w:ascii="宋体" w:hAnsi="宋体" w:eastAsia="宋体" w:cs="宋体"/>
          <w:strike w:val="0"/>
          <w:dstrike w:val="0"/>
          <w:color w:val="auto"/>
          <w:spacing w:val="5"/>
          <w:sz w:val="24"/>
          <w:szCs w:val="24"/>
          <w:highlight w:val="none"/>
        </w:rPr>
        <w:t>械降效费应为夜间施工所需人工机械费用与完成同样工程量的日间正常施工所需人工</w:t>
      </w:r>
      <w:r>
        <w:rPr>
          <w:rFonts w:ascii="宋体" w:hAnsi="宋体" w:eastAsia="宋体" w:cs="宋体"/>
          <w:strike w:val="0"/>
          <w:dstrike w:val="0"/>
          <w:color w:val="auto"/>
          <w:spacing w:val="-1"/>
          <w:sz w:val="24"/>
          <w:szCs w:val="24"/>
          <w:highlight w:val="none"/>
        </w:rPr>
        <w:t>机械费用之差，计算方法同第</w:t>
      </w:r>
      <w:r>
        <w:rPr>
          <w:rFonts w:ascii="宋体" w:hAnsi="宋体" w:eastAsia="宋体" w:cs="宋体"/>
          <w:strike w:val="0"/>
          <w:dstrike w:val="0"/>
          <w:color w:val="auto"/>
          <w:spacing w:val="-46"/>
          <w:sz w:val="24"/>
          <w:szCs w:val="24"/>
          <w:highlight w:val="none"/>
        </w:rPr>
        <w:t xml:space="preserve"> </w:t>
      </w:r>
      <w:r>
        <w:rPr>
          <w:rFonts w:ascii="宋体" w:hAnsi="宋体" w:eastAsia="宋体" w:cs="宋体"/>
          <w:strike w:val="0"/>
          <w:dstrike w:val="0"/>
          <w:color w:val="auto"/>
          <w:spacing w:val="-1"/>
          <w:sz w:val="24"/>
          <w:szCs w:val="24"/>
          <w:highlight w:val="none"/>
        </w:rPr>
        <w:t>3）项，照明设施费包括灯具、照明用电或发电机等</w:t>
      </w:r>
      <w:r>
        <w:rPr>
          <w:rFonts w:ascii="宋体" w:hAnsi="宋体" w:eastAsia="宋体" w:cs="宋体"/>
          <w:strike w:val="0"/>
          <w:dstrike w:val="0"/>
          <w:color w:val="auto"/>
          <w:spacing w:val="-2"/>
          <w:sz w:val="24"/>
          <w:szCs w:val="24"/>
          <w:highlight w:val="none"/>
        </w:rPr>
        <w:t>照明</w:t>
      </w:r>
      <w:r>
        <w:rPr>
          <w:rFonts w:ascii="宋体" w:hAnsi="宋体" w:eastAsia="宋体" w:cs="宋体"/>
          <w:strike w:val="0"/>
          <w:dstrike w:val="0"/>
          <w:color w:val="auto"/>
          <w:spacing w:val="-1"/>
          <w:sz w:val="24"/>
          <w:szCs w:val="24"/>
          <w:highlight w:val="none"/>
        </w:rPr>
        <w:t>相关费用，加班费应按国家有关规定计算。</w:t>
      </w:r>
      <w:r>
        <w:rPr>
          <w:rFonts w:ascii="宋体" w:hAnsi="宋体" w:eastAsia="宋体" w:cs="宋体"/>
          <w:strike w:val="0"/>
          <w:dstrike w:val="0"/>
          <w:color w:val="auto"/>
          <w:spacing w:val="-2"/>
          <w:sz w:val="24"/>
          <w:szCs w:val="24"/>
          <w:highlight w:val="none"/>
        </w:rPr>
        <w:t>实施性施工组织设计或开工报告已安排夜间</w:t>
      </w:r>
      <w:r>
        <w:rPr>
          <w:rFonts w:ascii="宋体" w:hAnsi="宋体" w:eastAsia="宋体" w:cs="宋体"/>
          <w:strike w:val="0"/>
          <w:dstrike w:val="0"/>
          <w:color w:val="auto"/>
          <w:spacing w:val="-1"/>
          <w:sz w:val="24"/>
          <w:szCs w:val="24"/>
          <w:highlight w:val="none"/>
        </w:rPr>
        <w:t>施工的工程，加速施工费不得计算该工程夜</w:t>
      </w:r>
      <w:r>
        <w:rPr>
          <w:rFonts w:ascii="宋体" w:hAnsi="宋体" w:eastAsia="宋体" w:cs="宋体"/>
          <w:strike w:val="0"/>
          <w:dstrike w:val="0"/>
          <w:color w:val="auto"/>
          <w:spacing w:val="-2"/>
          <w:sz w:val="24"/>
          <w:szCs w:val="24"/>
          <w:highlight w:val="none"/>
        </w:rPr>
        <w:t>间施工增加费，实施性施工组织设计或开工</w:t>
      </w:r>
      <w:r>
        <w:rPr>
          <w:rFonts w:ascii="宋体" w:hAnsi="宋体" w:eastAsia="宋体" w:cs="宋体"/>
          <w:strike w:val="0"/>
          <w:dstrike w:val="0"/>
          <w:color w:val="auto"/>
          <w:spacing w:val="-1"/>
          <w:sz w:val="24"/>
          <w:szCs w:val="24"/>
          <w:highlight w:val="none"/>
        </w:rPr>
        <w:t>报告未明确夜间施工的工程，如果工程量清</w:t>
      </w:r>
      <w:r>
        <w:rPr>
          <w:rFonts w:ascii="宋体" w:hAnsi="宋体" w:eastAsia="宋体" w:cs="宋体"/>
          <w:strike w:val="0"/>
          <w:dstrike w:val="0"/>
          <w:color w:val="auto"/>
          <w:spacing w:val="-2"/>
          <w:sz w:val="24"/>
          <w:szCs w:val="24"/>
          <w:highlight w:val="none"/>
        </w:rPr>
        <w:t>单预算已计取夜间施工增加费的，加速施工</w:t>
      </w:r>
      <w:r>
        <w:rPr>
          <w:rFonts w:ascii="宋体" w:hAnsi="宋体" w:eastAsia="宋体" w:cs="宋体"/>
          <w:strike w:val="0"/>
          <w:dstrike w:val="0"/>
          <w:color w:val="auto"/>
          <w:spacing w:val="-3"/>
          <w:sz w:val="24"/>
          <w:szCs w:val="24"/>
          <w:highlight w:val="none"/>
        </w:rPr>
        <w:t>费不得计算该工程夜间施工增加费。</w:t>
      </w:r>
    </w:p>
    <w:p w14:paraId="436F5785">
      <w:pPr>
        <w:spacing w:before="181" w:line="290" w:lineRule="auto"/>
        <w:ind w:left="1428" w:right="1426" w:firstLine="48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5）新增人员进退场费用按</w:t>
      </w:r>
      <w:r>
        <w:rPr>
          <w:rFonts w:ascii="宋体" w:hAnsi="宋体" w:eastAsia="宋体" w:cs="宋体"/>
          <w:strike w:val="0"/>
          <w:dstrike w:val="0"/>
          <w:color w:val="auto"/>
          <w:spacing w:val="-114"/>
          <w:sz w:val="24"/>
          <w:szCs w:val="24"/>
          <w:highlight w:val="none"/>
        </w:rPr>
        <w:t xml:space="preserve"> </w:t>
      </w:r>
      <w:r>
        <w:rPr>
          <w:rFonts w:ascii="宋体" w:hAnsi="宋体" w:eastAsia="宋体" w:cs="宋体"/>
          <w:strike w:val="0"/>
          <w:dstrike w:val="0"/>
          <w:color w:val="auto"/>
          <w:spacing w:val="2"/>
          <w:sz w:val="24"/>
          <w:szCs w:val="24"/>
          <w:highlight w:val="none"/>
          <w:u w:val="single" w:color="auto"/>
        </w:rPr>
        <w:t xml:space="preserve">   </w:t>
      </w:r>
      <w:r>
        <w:rPr>
          <w:rFonts w:ascii="宋体" w:hAnsi="宋体" w:eastAsia="宋体" w:cs="宋体"/>
          <w:strike w:val="0"/>
          <w:dstrike w:val="0"/>
          <w:color w:val="auto"/>
          <w:spacing w:val="-108"/>
          <w:sz w:val="24"/>
          <w:szCs w:val="24"/>
          <w:highlight w:val="none"/>
        </w:rPr>
        <w:t xml:space="preserve"> </w:t>
      </w:r>
      <w:r>
        <w:rPr>
          <w:rFonts w:ascii="宋体" w:hAnsi="宋体" w:eastAsia="宋体" w:cs="宋体"/>
          <w:strike w:val="0"/>
          <w:dstrike w:val="0"/>
          <w:color w:val="auto"/>
          <w:spacing w:val="1"/>
          <w:sz w:val="24"/>
          <w:szCs w:val="24"/>
          <w:highlight w:val="none"/>
        </w:rPr>
        <w:t>元/人计算，此费用包含</w:t>
      </w:r>
      <w:r>
        <w:rPr>
          <w:rFonts w:ascii="宋体" w:hAnsi="宋体" w:eastAsia="宋体" w:cs="宋体"/>
          <w:strike w:val="0"/>
          <w:dstrike w:val="0"/>
          <w:color w:val="auto"/>
          <w:sz w:val="24"/>
          <w:szCs w:val="24"/>
          <w:highlight w:val="none"/>
        </w:rPr>
        <w:t>人员从出发地至施工现场及</w:t>
      </w:r>
      <w:r>
        <w:rPr>
          <w:rFonts w:ascii="宋体" w:hAnsi="宋体" w:eastAsia="宋体" w:cs="宋体"/>
          <w:strike w:val="0"/>
          <w:dstrike w:val="0"/>
          <w:color w:val="auto"/>
          <w:spacing w:val="-3"/>
          <w:sz w:val="24"/>
          <w:szCs w:val="24"/>
          <w:highlight w:val="none"/>
        </w:rPr>
        <w:t>从施工现场返回出发地的交通、食宿等相关费用；</w:t>
      </w:r>
    </w:p>
    <w:p w14:paraId="0F764867">
      <w:pPr>
        <w:spacing w:before="183" w:line="289" w:lineRule="auto"/>
        <w:ind w:left="1423" w:right="1417" w:firstLine="48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z w:val="24"/>
          <w:szCs w:val="24"/>
          <w:highlight w:val="none"/>
        </w:rPr>
        <w:t>6）新增自走式机械的进退场费用按</w:t>
      </w:r>
      <w:r>
        <w:rPr>
          <w:rFonts w:ascii="宋体" w:hAnsi="宋体" w:eastAsia="宋体" w:cs="宋体"/>
          <w:strike w:val="0"/>
          <w:dstrike w:val="0"/>
          <w:color w:val="auto"/>
          <w:spacing w:val="-102"/>
          <w:sz w:val="24"/>
          <w:szCs w:val="24"/>
          <w:highlight w:val="none"/>
        </w:rPr>
        <w:t xml:space="preserve"> </w:t>
      </w:r>
      <w:r>
        <w:rPr>
          <w:rFonts w:ascii="宋体" w:hAnsi="宋体" w:eastAsia="宋体" w:cs="宋体"/>
          <w:strike w:val="0"/>
          <w:dstrike w:val="0"/>
          <w:color w:val="auto"/>
          <w:spacing w:val="1"/>
          <w:sz w:val="24"/>
          <w:szCs w:val="24"/>
          <w:highlight w:val="none"/>
          <w:u w:val="single" w:color="auto"/>
        </w:rPr>
        <w:t xml:space="preserve">   </w:t>
      </w:r>
      <w:r>
        <w:rPr>
          <w:rFonts w:ascii="宋体" w:hAnsi="宋体" w:eastAsia="宋体" w:cs="宋体"/>
          <w:strike w:val="0"/>
          <w:dstrike w:val="0"/>
          <w:color w:val="auto"/>
          <w:spacing w:val="-109"/>
          <w:sz w:val="24"/>
          <w:szCs w:val="24"/>
          <w:highlight w:val="none"/>
        </w:rPr>
        <w:t xml:space="preserve"> </w:t>
      </w:r>
      <w:r>
        <w:rPr>
          <w:rFonts w:ascii="宋体" w:hAnsi="宋体" w:eastAsia="宋体" w:cs="宋体"/>
          <w:strike w:val="0"/>
          <w:dstrike w:val="0"/>
          <w:color w:val="auto"/>
          <w:sz w:val="24"/>
          <w:szCs w:val="24"/>
          <w:highlight w:val="none"/>
        </w:rPr>
        <w:t>个台班计算，非自走式机械按</w:t>
      </w:r>
      <w:r>
        <w:rPr>
          <w:rFonts w:ascii="宋体" w:hAnsi="宋体" w:eastAsia="宋体" w:cs="宋体"/>
          <w:strike w:val="0"/>
          <w:dstrike w:val="0"/>
          <w:color w:val="auto"/>
          <w:spacing w:val="-114"/>
          <w:sz w:val="24"/>
          <w:szCs w:val="24"/>
          <w:highlight w:val="none"/>
        </w:rPr>
        <w:t xml:space="preserve"> </w:t>
      </w:r>
      <w:r>
        <w:rPr>
          <w:rFonts w:ascii="宋体" w:hAnsi="宋体" w:eastAsia="宋体" w:cs="宋体"/>
          <w:strike w:val="0"/>
          <w:dstrike w:val="0"/>
          <w:color w:val="auto"/>
          <w:spacing w:val="2"/>
          <w:sz w:val="24"/>
          <w:szCs w:val="24"/>
          <w:highlight w:val="none"/>
          <w:u w:val="single" w:color="auto"/>
        </w:rPr>
        <w:t xml:space="preserve">   </w:t>
      </w:r>
      <w:r>
        <w:rPr>
          <w:rFonts w:ascii="宋体" w:hAnsi="宋体" w:eastAsia="宋体" w:cs="宋体"/>
          <w:strike w:val="0"/>
          <w:dstrike w:val="0"/>
          <w:color w:val="auto"/>
          <w:spacing w:val="-106"/>
          <w:sz w:val="24"/>
          <w:szCs w:val="24"/>
          <w:highlight w:val="none"/>
        </w:rPr>
        <w:t xml:space="preserve"> </w:t>
      </w:r>
      <w:r>
        <w:rPr>
          <w:rFonts w:ascii="宋体" w:hAnsi="宋体" w:eastAsia="宋体" w:cs="宋体"/>
          <w:strike w:val="0"/>
          <w:dstrike w:val="0"/>
          <w:color w:val="auto"/>
          <w:sz w:val="24"/>
          <w:szCs w:val="24"/>
          <w:highlight w:val="none"/>
        </w:rPr>
        <w:t>天计算停</w:t>
      </w:r>
      <w:r>
        <w:rPr>
          <w:rFonts w:ascii="宋体" w:hAnsi="宋体" w:eastAsia="宋体" w:cs="宋体"/>
          <w:strike w:val="0"/>
          <w:dstrike w:val="0"/>
          <w:color w:val="auto"/>
          <w:spacing w:val="-4"/>
          <w:sz w:val="24"/>
          <w:szCs w:val="24"/>
          <w:highlight w:val="none"/>
        </w:rPr>
        <w:t>置费再加上</w:t>
      </w:r>
      <w:r>
        <w:rPr>
          <w:rFonts w:ascii="宋体" w:hAnsi="宋体" w:eastAsia="宋体" w:cs="宋体"/>
          <w:strike w:val="0"/>
          <w:dstrike w:val="0"/>
          <w:color w:val="auto"/>
          <w:spacing w:val="-120"/>
          <w:sz w:val="24"/>
          <w:szCs w:val="24"/>
          <w:highlight w:val="none"/>
        </w:rPr>
        <w:t xml:space="preserve"> </w:t>
      </w:r>
      <w:r>
        <w:rPr>
          <w:rFonts w:ascii="宋体" w:hAnsi="宋体" w:eastAsia="宋体" w:cs="宋体"/>
          <w:strike w:val="0"/>
          <w:dstrike w:val="0"/>
          <w:color w:val="auto"/>
          <w:sz w:val="24"/>
          <w:szCs w:val="24"/>
          <w:highlight w:val="none"/>
          <w:u w:val="single" w:color="auto"/>
        </w:rPr>
        <w:t xml:space="preserve">   </w:t>
      </w:r>
      <w:r>
        <w:rPr>
          <w:rFonts w:ascii="宋体" w:hAnsi="宋体" w:eastAsia="宋体" w:cs="宋体"/>
          <w:strike w:val="0"/>
          <w:dstrike w:val="0"/>
          <w:color w:val="auto"/>
          <w:spacing w:val="-111"/>
          <w:sz w:val="24"/>
          <w:szCs w:val="24"/>
          <w:highlight w:val="none"/>
        </w:rPr>
        <w:t xml:space="preserve"> </w:t>
      </w:r>
      <w:r>
        <w:rPr>
          <w:rFonts w:ascii="宋体" w:hAnsi="宋体" w:eastAsia="宋体" w:cs="宋体"/>
          <w:strike w:val="0"/>
          <w:dstrike w:val="0"/>
          <w:color w:val="auto"/>
          <w:spacing w:val="-4"/>
          <w:sz w:val="24"/>
          <w:szCs w:val="24"/>
          <w:highlight w:val="none"/>
        </w:rPr>
        <w:t>个台班的运输机械台班费；</w:t>
      </w:r>
    </w:p>
    <w:p w14:paraId="74492EF0">
      <w:pPr>
        <w:spacing w:before="185" w:line="313" w:lineRule="auto"/>
        <w:ind w:left="1425" w:right="1416" w:firstLine="48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7）新增措施费按措施方案及现场实际投入计算，其中自有周转性材料和设备应只</w:t>
      </w:r>
      <w:r>
        <w:rPr>
          <w:rFonts w:ascii="宋体" w:hAnsi="宋体" w:eastAsia="宋体" w:cs="宋体"/>
          <w:strike w:val="0"/>
          <w:dstrike w:val="0"/>
          <w:color w:val="auto"/>
          <w:spacing w:val="-2"/>
          <w:sz w:val="24"/>
          <w:szCs w:val="24"/>
          <w:highlight w:val="none"/>
        </w:rPr>
        <w:t>计新增数量的进出场费，租赁的机械设备及周转性材料可按租赁价格与经定额计算价格</w:t>
      </w:r>
      <w:r>
        <w:rPr>
          <w:rFonts w:ascii="宋体" w:hAnsi="宋体" w:eastAsia="宋体" w:cs="宋体"/>
          <w:strike w:val="0"/>
          <w:dstrike w:val="0"/>
          <w:color w:val="auto"/>
          <w:spacing w:val="-4"/>
          <w:sz w:val="24"/>
          <w:szCs w:val="24"/>
          <w:highlight w:val="none"/>
        </w:rPr>
        <w:t>的差额测算增加费用。</w:t>
      </w:r>
    </w:p>
    <w:p w14:paraId="54F7EAB0">
      <w:pPr>
        <w:spacing w:before="182" w:line="220" w:lineRule="auto"/>
        <w:ind w:left="190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8）如因承包人自身原因导致的加速施工，不予调整费用。</w:t>
      </w:r>
    </w:p>
    <w:p w14:paraId="23066847">
      <w:pPr>
        <w:spacing w:before="182" w:line="360" w:lineRule="auto"/>
        <w:ind w:left="1445" w:right="1416" w:firstLine="460"/>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加速施工的工程内容和工程量，增加投入的人员、机械和措施等均以监理和发包人</w:t>
      </w:r>
      <w:r>
        <w:rPr>
          <w:rFonts w:ascii="宋体" w:hAnsi="宋体" w:eastAsia="宋体" w:cs="宋体"/>
          <w:strike w:val="0"/>
          <w:dstrike w:val="0"/>
          <w:color w:val="auto"/>
          <w:spacing w:val="-7"/>
          <w:sz w:val="24"/>
          <w:szCs w:val="24"/>
          <w:highlight w:val="none"/>
        </w:rPr>
        <w:t>的确认记录为准。</w:t>
      </w:r>
    </w:p>
    <w:p w14:paraId="3332A2FB">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11.4</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异常恶劣的气候条件</w:t>
      </w:r>
    </w:p>
    <w:p w14:paraId="59E75C35">
      <w:pPr>
        <w:spacing w:before="182" w:line="219" w:lineRule="auto"/>
        <w:ind w:left="1908"/>
        <w:rPr>
          <w:color w:val="auto"/>
          <w:highlight w:val="none"/>
        </w:rPr>
      </w:pPr>
      <w:r>
        <w:rPr>
          <w:rFonts w:ascii="宋体" w:hAnsi="宋体" w:eastAsia="宋体" w:cs="宋体"/>
          <w:color w:val="auto"/>
          <w:spacing w:val="-2"/>
          <w:sz w:val="24"/>
          <w:szCs w:val="24"/>
          <w:highlight w:val="none"/>
        </w:rPr>
        <w:t>异常恶劣的气候条件是指十级以上强风暴、龙卷风或五十年一遇以上洪水造成重大</w:t>
      </w:r>
    </w:p>
    <w:p w14:paraId="1F7D9C4B">
      <w:pPr>
        <w:spacing w:before="78" w:line="220" w:lineRule="auto"/>
        <w:ind w:left="142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破坏等情况无法施工持续</w:t>
      </w:r>
      <w:r>
        <w:rPr>
          <w:rFonts w:ascii="宋体" w:hAnsi="宋体" w:eastAsia="宋体" w:cs="宋体"/>
          <w:color w:val="auto"/>
          <w:spacing w:val="-37"/>
          <w:sz w:val="24"/>
          <w:szCs w:val="24"/>
          <w:highlight w:val="none"/>
        </w:rPr>
        <w:t xml:space="preserve"> </w:t>
      </w:r>
      <w:r>
        <w:rPr>
          <w:rFonts w:ascii="宋体" w:hAnsi="宋体" w:eastAsia="宋体" w:cs="宋体"/>
          <w:color w:val="auto"/>
          <w:spacing w:val="-4"/>
          <w:sz w:val="24"/>
          <w:szCs w:val="24"/>
          <w:highlight w:val="none"/>
        </w:rPr>
        <w:t>30</w:t>
      </w:r>
      <w:r>
        <w:rPr>
          <w:rFonts w:ascii="宋体" w:hAnsi="宋体" w:eastAsia="宋体" w:cs="宋体"/>
          <w:color w:val="auto"/>
          <w:spacing w:val="-46"/>
          <w:sz w:val="24"/>
          <w:szCs w:val="24"/>
          <w:highlight w:val="none"/>
        </w:rPr>
        <w:t xml:space="preserve"> </w:t>
      </w:r>
      <w:r>
        <w:rPr>
          <w:rFonts w:ascii="宋体" w:hAnsi="宋体" w:eastAsia="宋体" w:cs="宋体"/>
          <w:color w:val="auto"/>
          <w:spacing w:val="-4"/>
          <w:sz w:val="24"/>
          <w:szCs w:val="24"/>
          <w:highlight w:val="none"/>
        </w:rPr>
        <w:t>天以上者。</w:t>
      </w:r>
    </w:p>
    <w:p w14:paraId="0A553CC2">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11.5 承包人的工期延误</w:t>
      </w:r>
    </w:p>
    <w:p w14:paraId="5B56D311">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在本款后增加第(6)项：</w:t>
      </w:r>
    </w:p>
    <w:p w14:paraId="17A036AE">
      <w:pPr>
        <w:spacing w:before="183" w:line="360" w:lineRule="auto"/>
        <w:ind w:left="1426" w:right="1418" w:firstLine="485"/>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（6）承包人连续三个月未能完成发包人下发（批复）的月计划任务的</w:t>
      </w:r>
      <w:r>
        <w:rPr>
          <w:rFonts w:ascii="宋体" w:hAnsi="宋体" w:eastAsia="宋体" w:cs="宋体"/>
          <w:color w:val="auto"/>
          <w:spacing w:val="-35"/>
          <w:sz w:val="24"/>
          <w:szCs w:val="24"/>
          <w:highlight w:val="none"/>
        </w:rPr>
        <w:t xml:space="preserve"> </w:t>
      </w:r>
      <w:r>
        <w:rPr>
          <w:rFonts w:ascii="宋体" w:hAnsi="宋体" w:eastAsia="宋体" w:cs="宋体"/>
          <w:color w:val="auto"/>
          <w:spacing w:val="-4"/>
          <w:sz w:val="24"/>
          <w:szCs w:val="24"/>
          <w:highlight w:val="none"/>
        </w:rPr>
        <w:t>80%或累计未</w:t>
      </w:r>
      <w:r>
        <w:rPr>
          <w:rFonts w:ascii="宋体" w:hAnsi="宋体" w:eastAsia="宋体" w:cs="宋体"/>
          <w:color w:val="auto"/>
          <w:sz w:val="24"/>
          <w:szCs w:val="24"/>
          <w:highlight w:val="none"/>
        </w:rPr>
        <w:t>能完成发包人下发（批复）的季度计划任务的</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80%，发包</w:t>
      </w:r>
      <w:r>
        <w:rPr>
          <w:rFonts w:ascii="宋体" w:hAnsi="宋体" w:eastAsia="宋体" w:cs="宋体"/>
          <w:color w:val="auto"/>
          <w:spacing w:val="-1"/>
          <w:sz w:val="24"/>
          <w:szCs w:val="24"/>
          <w:highlight w:val="none"/>
        </w:rPr>
        <w:t>人和监理人认为承包人无法在</w:t>
      </w:r>
      <w:r>
        <w:rPr>
          <w:rFonts w:ascii="宋体" w:hAnsi="宋体" w:eastAsia="宋体" w:cs="宋体"/>
          <w:color w:val="auto"/>
          <w:spacing w:val="-2"/>
          <w:sz w:val="24"/>
          <w:szCs w:val="24"/>
          <w:highlight w:val="none"/>
        </w:rPr>
        <w:t>合同工期内完成任务的，发包人有权按第</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4.3.15</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款、第</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4.3.16</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款进行处理。</w:t>
      </w:r>
    </w:p>
    <w:p w14:paraId="16A2681B">
      <w:pPr>
        <w:spacing w:line="220" w:lineRule="auto"/>
        <w:ind w:left="192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12.</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暂停施工</w:t>
      </w:r>
    </w:p>
    <w:p w14:paraId="6CDE9F8E">
      <w:pPr>
        <w:spacing w:before="181"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12.1 承包人暂停施工的责任</w:t>
      </w:r>
    </w:p>
    <w:p w14:paraId="0BB4569D">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12.1</w:t>
      </w:r>
      <w:r>
        <w:rPr>
          <w:rFonts w:ascii="宋体" w:hAnsi="宋体" w:eastAsia="宋体" w:cs="宋体"/>
          <w:color w:val="auto"/>
          <w:spacing w:val="55"/>
          <w:sz w:val="24"/>
          <w:szCs w:val="24"/>
          <w:highlight w:val="none"/>
        </w:rPr>
        <w:t xml:space="preserve"> </w:t>
      </w:r>
      <w:r>
        <w:rPr>
          <w:rFonts w:ascii="宋体" w:hAnsi="宋体" w:eastAsia="宋体" w:cs="宋体"/>
          <w:color w:val="auto"/>
          <w:spacing w:val="-4"/>
          <w:sz w:val="24"/>
          <w:szCs w:val="24"/>
          <w:highlight w:val="none"/>
        </w:rPr>
        <w:t>(6)由承包人承担的其他暂停施工：</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无</w:t>
      </w:r>
      <w:r>
        <w:rPr>
          <w:rFonts w:ascii="宋体" w:hAnsi="宋体" w:eastAsia="宋体" w:cs="宋体"/>
          <w:color w:val="auto"/>
          <w:sz w:val="24"/>
          <w:szCs w:val="24"/>
          <w:highlight w:val="none"/>
          <w:u w:val="single" w:color="auto"/>
        </w:rPr>
        <w:t xml:space="preserve">            </w:t>
      </w:r>
    </w:p>
    <w:p w14:paraId="718CFB7D">
      <w:pPr>
        <w:spacing w:before="181"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12.2 发包人暂停施工的责任</w:t>
      </w:r>
    </w:p>
    <w:p w14:paraId="61171A51">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4E90F702">
      <w:pPr>
        <w:spacing w:before="183" w:line="220" w:lineRule="auto"/>
        <w:ind w:left="193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由于发包人原因引起的暂停施工造成工期延误的，按第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11.3</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款的约定执行。</w:t>
      </w:r>
    </w:p>
    <w:p w14:paraId="0A574AEC">
      <w:pPr>
        <w:spacing w:before="183" w:line="220" w:lineRule="auto"/>
        <w:ind w:left="192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13.</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8"/>
          <w:sz w:val="24"/>
          <w:szCs w:val="24"/>
          <w:highlight w:val="none"/>
        </w:rPr>
        <w:t>工程质量</w:t>
      </w:r>
    </w:p>
    <w:p w14:paraId="4A8D9334">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13.1 工程质量要求</w:t>
      </w:r>
    </w:p>
    <w:p w14:paraId="52156280">
      <w:pPr>
        <w:spacing w:before="181" w:line="219" w:lineRule="auto"/>
        <w:ind w:left="190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在本款第</w:t>
      </w:r>
      <w:r>
        <w:rPr>
          <w:rFonts w:ascii="宋体" w:hAnsi="宋体" w:eastAsia="宋体" w:cs="宋体"/>
          <w:color w:val="auto"/>
          <w:spacing w:val="-17"/>
          <w:sz w:val="24"/>
          <w:szCs w:val="24"/>
          <w:highlight w:val="none"/>
        </w:rPr>
        <w:t xml:space="preserve"> </w:t>
      </w:r>
      <w:r>
        <w:rPr>
          <w:rFonts w:ascii="宋体" w:hAnsi="宋体" w:eastAsia="宋体" w:cs="宋体"/>
          <w:color w:val="auto"/>
          <w:spacing w:val="-6"/>
          <w:sz w:val="24"/>
          <w:szCs w:val="24"/>
          <w:highlight w:val="none"/>
        </w:rPr>
        <w:t>13.1.2</w:t>
      </w:r>
      <w:r>
        <w:rPr>
          <w:rFonts w:ascii="宋体" w:hAnsi="宋体" w:eastAsia="宋体" w:cs="宋体"/>
          <w:color w:val="auto"/>
          <w:spacing w:val="-46"/>
          <w:sz w:val="24"/>
          <w:szCs w:val="24"/>
          <w:highlight w:val="none"/>
        </w:rPr>
        <w:t xml:space="preserve"> </w:t>
      </w:r>
      <w:r>
        <w:rPr>
          <w:rFonts w:ascii="宋体" w:hAnsi="宋体" w:eastAsia="宋体" w:cs="宋体"/>
          <w:color w:val="auto"/>
          <w:spacing w:val="-6"/>
          <w:sz w:val="24"/>
          <w:szCs w:val="24"/>
          <w:highlight w:val="none"/>
        </w:rPr>
        <w:t>项后增加以下内容：</w:t>
      </w:r>
    </w:p>
    <w:p w14:paraId="52BA759F">
      <w:pPr>
        <w:spacing w:before="184" w:line="360" w:lineRule="auto"/>
        <w:ind w:left="1425" w:right="1349"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在工程经过验收并计量之后的任何时候，因任何方式（包括政府质量监督部门、发</w:t>
      </w:r>
      <w:r>
        <w:rPr>
          <w:rFonts w:ascii="宋体" w:hAnsi="宋体" w:eastAsia="宋体" w:cs="宋体"/>
          <w:color w:val="auto"/>
          <w:spacing w:val="-6"/>
          <w:sz w:val="24"/>
          <w:szCs w:val="24"/>
          <w:highlight w:val="none"/>
        </w:rPr>
        <w:t>包人或监理人组织的各类检查）发现的关键工程质量不合格、工序不规范造成质量隐患，</w:t>
      </w:r>
      <w:r>
        <w:rPr>
          <w:rFonts w:ascii="宋体" w:hAnsi="宋体" w:eastAsia="宋体" w:cs="宋体"/>
          <w:color w:val="auto"/>
          <w:spacing w:val="-2"/>
          <w:sz w:val="24"/>
          <w:szCs w:val="24"/>
          <w:highlight w:val="none"/>
        </w:rPr>
        <w:t>承包人应负责自费返工。发包人将根据本合同《工程质量、安全及文明施工违约项目一</w:t>
      </w:r>
      <w:r>
        <w:rPr>
          <w:rFonts w:ascii="宋体" w:hAnsi="宋体" w:eastAsia="宋体" w:cs="宋体"/>
          <w:color w:val="auto"/>
          <w:spacing w:val="-1"/>
          <w:sz w:val="24"/>
          <w:szCs w:val="24"/>
          <w:highlight w:val="none"/>
        </w:rPr>
        <w:t>览表》对承包人进行处理。该处理不免除承包人自费进</w:t>
      </w:r>
      <w:r>
        <w:rPr>
          <w:rFonts w:ascii="宋体" w:hAnsi="宋体" w:eastAsia="宋体" w:cs="宋体"/>
          <w:color w:val="auto"/>
          <w:spacing w:val="-2"/>
          <w:sz w:val="24"/>
          <w:szCs w:val="24"/>
          <w:highlight w:val="none"/>
        </w:rPr>
        <w:t>行返工或修复的责任。</w:t>
      </w:r>
    </w:p>
    <w:p w14:paraId="6DABAABE">
      <w:pPr>
        <w:spacing w:before="182" w:line="220"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增加第</w:t>
      </w:r>
      <w:r>
        <w:rPr>
          <w:rFonts w:ascii="宋体" w:hAnsi="宋体" w:eastAsia="宋体" w:cs="宋体"/>
          <w:color w:val="auto"/>
          <w:spacing w:val="-30"/>
          <w:sz w:val="24"/>
          <w:szCs w:val="24"/>
          <w:highlight w:val="none"/>
        </w:rPr>
        <w:t xml:space="preserve"> </w:t>
      </w:r>
      <w:r>
        <w:rPr>
          <w:rFonts w:ascii="宋体" w:hAnsi="宋体" w:eastAsia="宋体" w:cs="宋体"/>
          <w:color w:val="auto"/>
          <w:spacing w:val="-5"/>
          <w:sz w:val="24"/>
          <w:szCs w:val="24"/>
          <w:highlight w:val="none"/>
        </w:rPr>
        <w:t>13.7～13.12</w:t>
      </w:r>
      <w:r>
        <w:rPr>
          <w:rFonts w:ascii="宋体" w:hAnsi="宋体" w:eastAsia="宋体" w:cs="宋体"/>
          <w:color w:val="auto"/>
          <w:spacing w:val="-49"/>
          <w:sz w:val="24"/>
          <w:szCs w:val="24"/>
          <w:highlight w:val="none"/>
        </w:rPr>
        <w:t xml:space="preserve"> </w:t>
      </w:r>
      <w:r>
        <w:rPr>
          <w:rFonts w:ascii="宋体" w:hAnsi="宋体" w:eastAsia="宋体" w:cs="宋体"/>
          <w:color w:val="auto"/>
          <w:spacing w:val="-5"/>
          <w:sz w:val="24"/>
          <w:szCs w:val="24"/>
          <w:highlight w:val="none"/>
        </w:rPr>
        <w:t>款：</w:t>
      </w:r>
    </w:p>
    <w:p w14:paraId="08D9ED60">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13.7</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承包人偷工减料</w:t>
      </w:r>
    </w:p>
    <w:p w14:paraId="01BAC134">
      <w:pPr>
        <w:spacing w:before="182" w:line="360" w:lineRule="auto"/>
        <w:ind w:left="1424" w:right="1349"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承包人施工过程中存在偷工减料，有意降低工程质量，企图蒙</w:t>
      </w:r>
      <w:r>
        <w:rPr>
          <w:rFonts w:ascii="宋体" w:hAnsi="宋体" w:eastAsia="宋体" w:cs="宋体"/>
          <w:color w:val="auto"/>
          <w:spacing w:val="-7"/>
          <w:sz w:val="24"/>
          <w:szCs w:val="24"/>
          <w:highlight w:val="none"/>
        </w:rPr>
        <w:t>骗发包人、监理人的，</w:t>
      </w:r>
      <w:r>
        <w:rPr>
          <w:rFonts w:ascii="宋体" w:hAnsi="宋体" w:eastAsia="宋体" w:cs="宋体"/>
          <w:color w:val="auto"/>
          <w:spacing w:val="-2"/>
          <w:sz w:val="24"/>
          <w:szCs w:val="24"/>
          <w:highlight w:val="none"/>
        </w:rPr>
        <w:t>属于承包人违约，经发包人发现确认，情节严重的，发包人有权单方终止合同，另选承</w:t>
      </w:r>
      <w:r>
        <w:rPr>
          <w:rFonts w:ascii="宋体" w:hAnsi="宋体" w:eastAsia="宋体" w:cs="宋体"/>
          <w:color w:val="auto"/>
          <w:spacing w:val="-5"/>
          <w:sz w:val="24"/>
          <w:szCs w:val="24"/>
          <w:highlight w:val="none"/>
        </w:rPr>
        <w:t>包人进行剩余工程的施工。发包人按照承包人自开工以来， 至发包人发出终止合同的函</w:t>
      </w:r>
      <w:r>
        <w:rPr>
          <w:rFonts w:ascii="宋体" w:hAnsi="宋体" w:eastAsia="宋体" w:cs="宋体"/>
          <w:color w:val="auto"/>
          <w:sz w:val="24"/>
          <w:szCs w:val="24"/>
          <w:highlight w:val="none"/>
        </w:rPr>
        <w:t>件止所完成的工程量与承包人清算，因承包人退场产生的所有费用由承包人自行负责，</w:t>
      </w:r>
      <w:r>
        <w:rPr>
          <w:rFonts w:ascii="宋体" w:hAnsi="宋体" w:eastAsia="宋体" w:cs="宋体"/>
          <w:color w:val="auto"/>
          <w:spacing w:val="-5"/>
          <w:sz w:val="24"/>
          <w:szCs w:val="24"/>
          <w:highlight w:val="none"/>
        </w:rPr>
        <w:t>发包人不因此额外补偿任何费用。同时， 发包人单方终止合同并不免除承包人修复已施</w:t>
      </w:r>
      <w:r>
        <w:rPr>
          <w:rFonts w:ascii="宋体" w:hAnsi="宋体" w:eastAsia="宋体" w:cs="宋体"/>
          <w:color w:val="auto"/>
          <w:spacing w:val="-4"/>
          <w:sz w:val="24"/>
          <w:szCs w:val="24"/>
          <w:highlight w:val="none"/>
        </w:rPr>
        <w:t>工的不合格工程的责任。</w:t>
      </w:r>
    </w:p>
    <w:p w14:paraId="46C03313">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13.8</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承包人质量自检</w:t>
      </w:r>
    </w:p>
    <w:p w14:paraId="2E0D5FD6">
      <w:pPr>
        <w:spacing w:before="182" w:line="360"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承包人必须建立完善的质量自检体系，对已完工程进行严格的质量自检，只有自检合格的工程才能向监理人、发包人提出验收和计量的申请。监理人在收到验收申请后的48</w:t>
      </w:r>
      <w:r>
        <w:rPr>
          <w:rFonts w:ascii="宋体" w:hAnsi="宋体" w:eastAsia="宋体" w:cs="宋体"/>
          <w:color w:val="auto"/>
          <w:spacing w:val="-29"/>
          <w:sz w:val="24"/>
          <w:szCs w:val="24"/>
          <w:highlight w:val="none"/>
        </w:rPr>
        <w:t xml:space="preserve"> </w:t>
      </w:r>
      <w:r>
        <w:rPr>
          <w:rFonts w:ascii="宋体" w:hAnsi="宋体" w:eastAsia="宋体" w:cs="宋体"/>
          <w:color w:val="auto"/>
          <w:spacing w:val="-2"/>
          <w:sz w:val="24"/>
          <w:szCs w:val="24"/>
          <w:highlight w:val="none"/>
        </w:rPr>
        <w:t>小时内对工程进行抽检和验收，对抽检不合格的工程由承包人自费修复或返工。</w:t>
      </w:r>
    </w:p>
    <w:p w14:paraId="4C8A271B">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13.9</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不定期现场检查</w:t>
      </w:r>
    </w:p>
    <w:p w14:paraId="765869E6">
      <w:pPr>
        <w:spacing w:before="183" w:line="360" w:lineRule="auto"/>
        <w:ind w:left="1427" w:right="1416"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发包人和监理人将不定期进行现场检查，对检查结果按本合同《工程质量、安全及文明施工违约项目一览表》进行处理，承包人必须接受。</w:t>
      </w:r>
    </w:p>
    <w:p w14:paraId="294B7F9B">
      <w:pPr>
        <w:spacing w:before="1" w:line="220"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13.10</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施工误差</w:t>
      </w:r>
    </w:p>
    <w:p w14:paraId="53986F0F">
      <w:pPr>
        <w:spacing w:before="78" w:line="220"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施工质量不满足要求的，承包人须承担一切返工费</w:t>
      </w:r>
      <w:r>
        <w:rPr>
          <w:rFonts w:ascii="宋体" w:hAnsi="宋体" w:eastAsia="宋体" w:cs="宋体"/>
          <w:color w:val="auto"/>
          <w:spacing w:val="-3"/>
          <w:sz w:val="24"/>
          <w:szCs w:val="24"/>
          <w:highlight w:val="none"/>
        </w:rPr>
        <w:t>用。其中：</w:t>
      </w:r>
    </w:p>
    <w:p w14:paraId="09A30A61">
      <w:pPr>
        <w:spacing w:before="186" w:line="336" w:lineRule="auto"/>
        <w:ind w:left="1426" w:right="1416"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（1）路基交工时，如有部分路基高出设计</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1cm，则由路基桥涵承包人修整。若部分</w:t>
      </w:r>
      <w:r>
        <w:rPr>
          <w:rFonts w:ascii="宋体" w:hAnsi="宋体" w:eastAsia="宋体" w:cs="宋体"/>
          <w:color w:val="auto"/>
          <w:sz w:val="24"/>
          <w:szCs w:val="24"/>
          <w:highlight w:val="none"/>
        </w:rPr>
        <w:t>路基低于设计</w:t>
      </w:r>
      <w:r>
        <w:rPr>
          <w:rFonts w:ascii="宋体" w:hAnsi="宋体" w:eastAsia="宋体" w:cs="宋体"/>
          <w:color w:val="auto"/>
          <w:spacing w:val="-29"/>
          <w:sz w:val="24"/>
          <w:szCs w:val="24"/>
          <w:highlight w:val="none"/>
        </w:rPr>
        <w:t xml:space="preserve"> </w:t>
      </w:r>
      <w:r>
        <w:rPr>
          <w:rFonts w:ascii="宋体" w:hAnsi="宋体" w:eastAsia="宋体" w:cs="宋体"/>
          <w:color w:val="auto"/>
          <w:sz w:val="24"/>
          <w:szCs w:val="24"/>
          <w:highlight w:val="none"/>
        </w:rPr>
        <w:t>1.5cm（土质）或</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2.0cm（石质</w:t>
      </w:r>
      <w:r>
        <w:rPr>
          <w:rFonts w:ascii="宋体" w:hAnsi="宋体" w:eastAsia="宋体" w:cs="宋体"/>
          <w:color w:val="auto"/>
          <w:spacing w:val="5"/>
          <w:sz w:val="24"/>
          <w:szCs w:val="24"/>
          <w:highlight w:val="none"/>
        </w:rPr>
        <w:t>），</w:t>
      </w:r>
      <w:r>
        <w:rPr>
          <w:rFonts w:ascii="宋体" w:hAnsi="宋体" w:eastAsia="宋体" w:cs="宋体"/>
          <w:color w:val="auto"/>
          <w:sz w:val="24"/>
          <w:szCs w:val="24"/>
          <w:highlight w:val="none"/>
        </w:rPr>
        <w:t>低于的部分则由路面承包</w:t>
      </w:r>
      <w:r>
        <w:rPr>
          <w:rFonts w:ascii="宋体" w:hAnsi="宋体" w:eastAsia="宋体" w:cs="宋体"/>
          <w:color w:val="auto"/>
          <w:spacing w:val="-1"/>
          <w:sz w:val="24"/>
          <w:szCs w:val="24"/>
          <w:highlight w:val="none"/>
        </w:rPr>
        <w:t>人使用规定</w:t>
      </w:r>
      <w:r>
        <w:rPr>
          <w:rFonts w:ascii="宋体" w:hAnsi="宋体" w:eastAsia="宋体" w:cs="宋体"/>
          <w:color w:val="auto"/>
          <w:spacing w:val="-2"/>
          <w:sz w:val="24"/>
          <w:szCs w:val="24"/>
          <w:highlight w:val="none"/>
        </w:rPr>
        <w:t>填料进行回填，相关费用由路基桥涵承包人承担，在该标准以内的部分，由路面承包人使用规定的填料进行回填，费用包含在路面标的投标报价中，不另行计算。若路槽开挖由路面承包人负责施工的，超出允许偏差的处理则由路面承包人负责并承担费用。所有</w:t>
      </w:r>
      <w:r>
        <w:rPr>
          <w:rFonts w:ascii="宋体" w:hAnsi="宋体" w:eastAsia="宋体" w:cs="宋体"/>
          <w:color w:val="auto"/>
          <w:spacing w:val="-3"/>
          <w:sz w:val="24"/>
          <w:szCs w:val="24"/>
          <w:highlight w:val="none"/>
        </w:rPr>
        <w:t>整修方法须按照监理人的指令执行。</w:t>
      </w:r>
    </w:p>
    <w:p w14:paraId="4EA3969E">
      <w:pPr>
        <w:spacing w:before="181" w:line="332" w:lineRule="auto"/>
        <w:ind w:left="1425" w:right="1416" w:firstLine="48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（2）由现浇或预制梁板的上拱度造成的桥面铺装（调平层、沥青面层）工程量变</w:t>
      </w:r>
      <w:r>
        <w:rPr>
          <w:rFonts w:ascii="宋体" w:hAnsi="宋体" w:eastAsia="宋体" w:cs="宋体"/>
          <w:strike w:val="0"/>
          <w:dstrike w:val="0"/>
          <w:color w:val="auto"/>
          <w:spacing w:val="-2"/>
          <w:sz w:val="24"/>
          <w:szCs w:val="24"/>
          <w:highlight w:val="none"/>
        </w:rPr>
        <w:t>化，超过标准规定范围外引起的调坡所增加的费用，由梁板预制承包人和该合同段路基</w:t>
      </w:r>
      <w:r>
        <w:rPr>
          <w:rFonts w:ascii="宋体" w:hAnsi="宋体" w:eastAsia="宋体" w:cs="宋体"/>
          <w:strike w:val="0"/>
          <w:dstrike w:val="0"/>
          <w:color w:val="auto"/>
          <w:sz w:val="24"/>
          <w:szCs w:val="24"/>
          <w:highlight w:val="none"/>
        </w:rPr>
        <w:t>桥涵承包人各承担</w:t>
      </w:r>
      <w:r>
        <w:rPr>
          <w:rFonts w:ascii="宋体" w:hAnsi="宋体" w:eastAsia="宋体" w:cs="宋体"/>
          <w:strike w:val="0"/>
          <w:dstrike w:val="0"/>
          <w:color w:val="auto"/>
          <w:spacing w:val="-46"/>
          <w:sz w:val="24"/>
          <w:szCs w:val="24"/>
          <w:highlight w:val="none"/>
        </w:rPr>
        <w:t xml:space="preserve"> </w:t>
      </w:r>
      <w:r>
        <w:rPr>
          <w:rFonts w:ascii="宋体" w:hAnsi="宋体" w:eastAsia="宋体" w:cs="宋体"/>
          <w:strike w:val="0"/>
          <w:dstrike w:val="0"/>
          <w:color w:val="auto"/>
          <w:sz w:val="24"/>
          <w:szCs w:val="24"/>
          <w:highlight w:val="none"/>
        </w:rPr>
        <w:t>50%；不需调坡时，桥面铺装（</w:t>
      </w:r>
      <w:r>
        <w:rPr>
          <w:rFonts w:ascii="宋体" w:hAnsi="宋体" w:eastAsia="宋体" w:cs="宋体"/>
          <w:strike w:val="0"/>
          <w:dstrike w:val="0"/>
          <w:color w:val="auto"/>
          <w:spacing w:val="-1"/>
          <w:sz w:val="24"/>
          <w:szCs w:val="24"/>
          <w:highlight w:val="none"/>
        </w:rPr>
        <w:t>调平层、沥青面层）工程量的偏差的</w:t>
      </w:r>
      <w:r>
        <w:rPr>
          <w:rFonts w:ascii="宋体" w:hAnsi="宋体" w:eastAsia="宋体" w:cs="宋体"/>
          <w:strike w:val="0"/>
          <w:dstrike w:val="0"/>
          <w:color w:val="auto"/>
          <w:spacing w:val="-5"/>
          <w:sz w:val="24"/>
          <w:szCs w:val="24"/>
          <w:highlight w:val="none"/>
        </w:rPr>
        <w:t>风险由该合同段路基桥涵承包人承担。在标准规定范围内的部分， 由路面承包人使用规</w:t>
      </w:r>
      <w:r>
        <w:rPr>
          <w:rFonts w:ascii="宋体" w:hAnsi="宋体" w:eastAsia="宋体" w:cs="宋体"/>
          <w:strike w:val="0"/>
          <w:dstrike w:val="0"/>
          <w:color w:val="auto"/>
          <w:spacing w:val="-2"/>
          <w:sz w:val="24"/>
          <w:szCs w:val="24"/>
          <w:highlight w:val="none"/>
        </w:rPr>
        <w:t>定的填料进行回填，费用包含在路面标的投标报价中，不另行计算。</w:t>
      </w:r>
    </w:p>
    <w:p w14:paraId="19C61ACF">
      <w:pPr>
        <w:spacing w:before="181" w:line="337" w:lineRule="auto"/>
        <w:ind w:left="1425" w:right="1416" w:firstLine="486"/>
        <w:rPr>
          <w:rFonts w:ascii="宋体" w:hAnsi="宋体" w:eastAsia="宋体" w:cs="宋体"/>
          <w:strike/>
          <w:dstrike w:val="0"/>
          <w:color w:val="auto"/>
          <w:sz w:val="24"/>
          <w:szCs w:val="24"/>
          <w:highlight w:val="none"/>
        </w:rPr>
      </w:pPr>
      <w:r>
        <w:rPr>
          <w:rFonts w:ascii="宋体" w:hAnsi="宋体" w:eastAsia="宋体" w:cs="宋体"/>
          <w:strike w:val="0"/>
          <w:dstrike w:val="0"/>
          <w:color w:val="auto"/>
          <w:spacing w:val="1"/>
          <w:sz w:val="24"/>
          <w:szCs w:val="24"/>
          <w:highlight w:val="none"/>
        </w:rPr>
        <w:t>（3）路基桥涵工程完工后，由监理人组织桥涵分段中间交工验收，承包人应保证</w:t>
      </w:r>
      <w:r>
        <w:rPr>
          <w:rFonts w:ascii="宋体" w:hAnsi="宋体" w:eastAsia="宋体" w:cs="宋体"/>
          <w:strike w:val="0"/>
          <w:dstrike w:val="0"/>
          <w:color w:val="auto"/>
          <w:spacing w:val="-2"/>
          <w:sz w:val="24"/>
          <w:szCs w:val="24"/>
          <w:highlight w:val="none"/>
        </w:rPr>
        <w:t>桥面整体化层整洁，无浮浆。桥涵承包人桥面整体化的浮浆清理须满足监理人和发包人的要求，如桥面整体化层浮浆未清理干净或未清理彻底，未取得监理人认可，则由监理人督促桥涵承包人限期清理，逾期未清理干净的或清理效果未取得监理人认可，则发包人视情况，将桥面整体化层浮浆清理工作，转由路面承包人进行精铣刨处理，相关费用</w:t>
      </w:r>
      <w:r>
        <w:rPr>
          <w:rFonts w:ascii="宋体" w:hAnsi="宋体" w:eastAsia="宋体" w:cs="宋体"/>
          <w:strike w:val="0"/>
          <w:dstrike w:val="0"/>
          <w:color w:val="auto"/>
          <w:spacing w:val="-5"/>
          <w:sz w:val="24"/>
          <w:szCs w:val="24"/>
          <w:highlight w:val="none"/>
        </w:rPr>
        <w:t>由桥涵承包人承担。</w:t>
      </w:r>
    </w:p>
    <w:p w14:paraId="608BC99C">
      <w:pPr>
        <w:spacing w:before="182" w:line="218" w:lineRule="auto"/>
        <w:ind w:left="19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13.11</w:t>
      </w:r>
      <w:r>
        <w:rPr>
          <w:rFonts w:ascii="宋体" w:hAnsi="宋体" w:eastAsia="宋体" w:cs="宋体"/>
          <w:strike/>
          <w:dstrike w:val="0"/>
          <w:color w:val="auto"/>
          <w:spacing w:val="-43"/>
          <w:sz w:val="24"/>
          <w:szCs w:val="24"/>
          <w:highlight w:val="none"/>
        </w:rPr>
        <w:t xml:space="preserve"> </w:t>
      </w:r>
      <w:r>
        <w:rPr>
          <w:rFonts w:ascii="宋体" w:hAnsi="宋体" w:eastAsia="宋体" w:cs="宋体"/>
          <w:strike/>
          <w:dstrike w:val="0"/>
          <w:color w:val="auto"/>
          <w:spacing w:val="-4"/>
          <w:sz w:val="24"/>
          <w:szCs w:val="24"/>
          <w:highlight w:val="none"/>
        </w:rPr>
        <w:t>优质优价价款</w:t>
      </w:r>
    </w:p>
    <w:p w14:paraId="3C7AE315">
      <w:pPr>
        <w:spacing w:before="184" w:line="360" w:lineRule="auto"/>
        <w:ind w:left="1425" w:right="1416"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在本项目建设全过程中，全面推行“双标管理”（标准化管理、标杆管理）</w:t>
      </w:r>
      <w:r>
        <w:rPr>
          <w:rFonts w:ascii="宋体" w:hAnsi="宋体" w:eastAsia="宋体" w:cs="宋体"/>
          <w:strike/>
          <w:dstrike w:val="0"/>
          <w:color w:val="auto"/>
          <w:spacing w:val="38"/>
          <w:sz w:val="24"/>
          <w:szCs w:val="24"/>
          <w:highlight w:val="none"/>
        </w:rPr>
        <w:t xml:space="preserve"> </w:t>
      </w:r>
      <w:r>
        <w:rPr>
          <w:rFonts w:ascii="宋体" w:hAnsi="宋体" w:eastAsia="宋体" w:cs="宋体"/>
          <w:strike/>
          <w:dstrike w:val="0"/>
          <w:color w:val="auto"/>
          <w:spacing w:val="-6"/>
          <w:sz w:val="24"/>
          <w:szCs w:val="24"/>
          <w:highlight w:val="none"/>
        </w:rPr>
        <w:t>，建立</w:t>
      </w:r>
      <w:r>
        <w:rPr>
          <w:rFonts w:ascii="宋体" w:hAnsi="宋体" w:eastAsia="宋体" w:cs="宋体"/>
          <w:strike/>
          <w:dstrike w:val="0"/>
          <w:color w:val="auto"/>
          <w:spacing w:val="-2"/>
          <w:sz w:val="24"/>
          <w:szCs w:val="24"/>
          <w:highlight w:val="none"/>
        </w:rPr>
        <w:t>工程质量优质优价奖罚制度，激励承包人提高工程质量和管理水平，具体按发包人根据广东省交通运输厅《关于印发广东省高速公路工程优质优价和施工监理优监优酬实施意</w:t>
      </w:r>
      <w:r>
        <w:rPr>
          <w:rFonts w:ascii="宋体" w:hAnsi="宋体" w:eastAsia="宋体" w:cs="宋体"/>
          <w:strike/>
          <w:dstrike w:val="0"/>
          <w:color w:val="auto"/>
          <w:spacing w:val="-3"/>
          <w:sz w:val="24"/>
          <w:szCs w:val="24"/>
          <w:highlight w:val="none"/>
        </w:rPr>
        <w:t>见的通知》等文件制订的实施细则执行。</w:t>
      </w:r>
    </w:p>
    <w:p w14:paraId="1E3A5B75">
      <w:pPr>
        <w:spacing w:line="360" w:lineRule="auto"/>
        <w:ind w:left="1428" w:right="1416"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发包人将根据工程实际开展各项工程的质量评比和奖罚，项目（如项目采</w:t>
      </w:r>
      <w:r>
        <w:rPr>
          <w:rFonts w:ascii="宋体" w:hAnsi="宋体" w:eastAsia="宋体" w:cs="宋体"/>
          <w:strike/>
          <w:dstrike w:val="0"/>
          <w:color w:val="auto"/>
          <w:spacing w:val="-3"/>
          <w:sz w:val="24"/>
          <w:szCs w:val="24"/>
          <w:highlight w:val="none"/>
        </w:rPr>
        <w:t>用分段管</w:t>
      </w:r>
      <w:r>
        <w:rPr>
          <w:rFonts w:ascii="宋体" w:hAnsi="宋体" w:eastAsia="宋体" w:cs="宋体"/>
          <w:strike/>
          <w:dstrike w:val="0"/>
          <w:color w:val="auto"/>
          <w:spacing w:val="-2"/>
          <w:sz w:val="24"/>
          <w:szCs w:val="24"/>
          <w:highlight w:val="none"/>
        </w:rPr>
        <w:t>理，则按项目段计列）用于奖励的金额比例详见项目专用合同条款数据表的约定，由项</w:t>
      </w:r>
      <w:r>
        <w:rPr>
          <w:rFonts w:ascii="宋体" w:hAnsi="宋体" w:eastAsia="宋体" w:cs="宋体"/>
          <w:strike/>
          <w:dstrike w:val="0"/>
          <w:color w:val="auto"/>
          <w:spacing w:val="-7"/>
          <w:sz w:val="24"/>
          <w:szCs w:val="24"/>
          <w:highlight w:val="none"/>
        </w:rPr>
        <w:t>目统筹使用。</w:t>
      </w:r>
    </w:p>
    <w:p w14:paraId="37346A09">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13.12</w:t>
      </w:r>
      <w:r>
        <w:rPr>
          <w:rFonts w:ascii="宋体" w:hAnsi="宋体" w:eastAsia="宋体" w:cs="宋体"/>
          <w:color w:val="auto"/>
          <w:spacing w:val="-37"/>
          <w:sz w:val="24"/>
          <w:szCs w:val="24"/>
          <w:highlight w:val="none"/>
        </w:rPr>
        <w:t xml:space="preserve"> </w:t>
      </w:r>
      <w:r>
        <w:rPr>
          <w:rFonts w:ascii="宋体" w:hAnsi="宋体" w:eastAsia="宋体" w:cs="宋体"/>
          <w:color w:val="auto"/>
          <w:spacing w:val="-3"/>
          <w:sz w:val="24"/>
          <w:szCs w:val="24"/>
          <w:highlight w:val="none"/>
        </w:rPr>
        <w:t>未解除承包人的义务和责任</w:t>
      </w:r>
    </w:p>
    <w:p w14:paraId="5826BAEE">
      <w:pPr>
        <w:spacing w:before="184" w:line="361" w:lineRule="auto"/>
        <w:ind w:left="1428"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w:t>
      </w:r>
    </w:p>
    <w:p w14:paraId="1C540A48">
      <w:pPr>
        <w:spacing w:before="78" w:line="360" w:lineRule="auto"/>
        <w:ind w:left="1428" w:right="1416" w:hanging="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质量缺陷或质量事故，除应承担上述责任和处罚外，视为承包人违约，发包人有权单方</w:t>
      </w:r>
      <w:r>
        <w:rPr>
          <w:rFonts w:ascii="宋体" w:hAnsi="宋体" w:eastAsia="宋体" w:cs="宋体"/>
          <w:color w:val="auto"/>
          <w:spacing w:val="-8"/>
          <w:sz w:val="24"/>
          <w:szCs w:val="24"/>
          <w:highlight w:val="none"/>
        </w:rPr>
        <w:t>终止合同。</w:t>
      </w:r>
    </w:p>
    <w:p w14:paraId="3375387F">
      <w:pPr>
        <w:spacing w:before="1" w:line="220" w:lineRule="auto"/>
        <w:ind w:left="1923"/>
        <w:rPr>
          <w:rFonts w:ascii="宋体" w:hAnsi="宋体" w:eastAsia="宋体" w:cs="宋体"/>
          <w:b/>
          <w:bCs/>
          <w:color w:val="auto"/>
          <w:spacing w:val="-9"/>
          <w:sz w:val="24"/>
          <w:szCs w:val="24"/>
          <w:highlight w:val="none"/>
        </w:rPr>
      </w:pPr>
      <w:r>
        <w:rPr>
          <w:rFonts w:ascii="宋体" w:hAnsi="宋体" w:eastAsia="宋体" w:cs="宋体"/>
          <w:b/>
          <w:bCs/>
          <w:color w:val="auto"/>
          <w:spacing w:val="-9"/>
          <w:sz w:val="24"/>
          <w:szCs w:val="24"/>
          <w:highlight w:val="none"/>
        </w:rPr>
        <w:t>15.</w:t>
      </w:r>
      <w:r>
        <w:rPr>
          <w:rFonts w:ascii="宋体" w:hAnsi="宋体" w:eastAsia="宋体" w:cs="宋体"/>
          <w:color w:val="auto"/>
          <w:spacing w:val="11"/>
          <w:sz w:val="24"/>
          <w:szCs w:val="24"/>
          <w:highlight w:val="none"/>
        </w:rPr>
        <w:t xml:space="preserve"> </w:t>
      </w:r>
      <w:r>
        <w:rPr>
          <w:rFonts w:ascii="宋体" w:hAnsi="宋体" w:eastAsia="宋体" w:cs="宋体"/>
          <w:b/>
          <w:bCs/>
          <w:color w:val="auto"/>
          <w:spacing w:val="-9"/>
          <w:sz w:val="24"/>
          <w:szCs w:val="24"/>
          <w:highlight w:val="none"/>
        </w:rPr>
        <w:t>变更</w:t>
      </w:r>
    </w:p>
    <w:p w14:paraId="7774E930">
      <w:pPr>
        <w:spacing w:before="184" w:line="361" w:lineRule="auto"/>
        <w:ind w:left="1428" w:right="1416" w:firstLine="47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补充以下内容：</w:t>
      </w:r>
    </w:p>
    <w:p w14:paraId="0B336A2C">
      <w:pPr>
        <w:spacing w:before="184" w:line="361" w:lineRule="auto"/>
        <w:ind w:left="1428" w:right="1416" w:firstLine="477"/>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发包人应(1)严格控制建设标准，擅自提高建设标准、规模的项目工程，一律不追加投资。(2)在施工中因不可预见等因素造成的设计变更，投资超过概算，发包人应重新报批。合同变更审批应按以下规定执行:单项工程合同变更引起合同价款增加的金额在中标合同价 10%(不含)以下且变更金额为 50万元(不含)以下，由项目建设单位自行审批，单项工程合同变更引起合同价款增加的金额在中标合同价 10%(不含)以下且变更金额为50 万元(含)至500万元(不含)，项目建设单位必须提出变更申请，报行业主管部门审核同意后，方可签订补充合同，单项工程合同变更引起合同价款增加的金额在中标合同价 10%(含)以上或者变更金额为500 万元(含)以上，项目建设单位必须在充分论证的基础上提出变更申请，由行业主管部门审核同意后报请区政府审定同意后，方可签订补充协议。以上如有最新政策按最新政策执行。(3)项目招标后，非经市政府同意书面要求赶工的项目，一律不得计取赶工措施费。(4)所有工程细目和数量的变更应以监理工程师、发包人和承包人三方联测的工程细目和数量为基础。发包人将对变更工作实行全过程跟踪管理，采用事前管理和变更台账两阶段的管理制度。承包人应按监理工程师要求的格式及时申报工程变更手续，未经发包人或监理工程师批准，不得组织实施。（5）除非业主和监理工程师专门批准，如果本工程技术规范和图纸标准低于国家和行业标准，则应按国家和行业标准执行，承包人不能因此提出增加费用的要求和索赔。如果国家或行业标准（或收费标准）在本工程施工过程中发生变化，应按新标准执行，承包人不能因此提出增加费用的要求和索赔。（6）所有的变更管理程序应按发包人颁布的变更管理办法执行。</w:t>
      </w:r>
    </w:p>
    <w:p w14:paraId="37BBD8B4">
      <w:pPr>
        <w:spacing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15.3 变更程序</w:t>
      </w:r>
    </w:p>
    <w:p w14:paraId="7B19CF90">
      <w:pPr>
        <w:spacing w:before="181" w:line="219" w:lineRule="auto"/>
        <w:ind w:left="190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在本款第</w:t>
      </w:r>
      <w:r>
        <w:rPr>
          <w:rFonts w:ascii="宋体" w:hAnsi="宋体" w:eastAsia="宋体" w:cs="宋体"/>
          <w:color w:val="auto"/>
          <w:spacing w:val="-17"/>
          <w:sz w:val="24"/>
          <w:szCs w:val="24"/>
          <w:highlight w:val="none"/>
        </w:rPr>
        <w:t xml:space="preserve"> </w:t>
      </w:r>
      <w:r>
        <w:rPr>
          <w:rFonts w:ascii="宋体" w:hAnsi="宋体" w:eastAsia="宋体" w:cs="宋体"/>
          <w:color w:val="auto"/>
          <w:spacing w:val="-6"/>
          <w:sz w:val="24"/>
          <w:szCs w:val="24"/>
          <w:highlight w:val="none"/>
        </w:rPr>
        <w:t>15.3.4</w:t>
      </w:r>
      <w:r>
        <w:rPr>
          <w:rFonts w:ascii="宋体" w:hAnsi="宋体" w:eastAsia="宋体" w:cs="宋体"/>
          <w:color w:val="auto"/>
          <w:spacing w:val="-46"/>
          <w:sz w:val="24"/>
          <w:szCs w:val="24"/>
          <w:highlight w:val="none"/>
        </w:rPr>
        <w:t xml:space="preserve"> </w:t>
      </w:r>
      <w:r>
        <w:rPr>
          <w:rFonts w:ascii="宋体" w:hAnsi="宋体" w:eastAsia="宋体" w:cs="宋体"/>
          <w:color w:val="auto"/>
          <w:spacing w:val="-6"/>
          <w:sz w:val="24"/>
          <w:szCs w:val="24"/>
          <w:highlight w:val="none"/>
        </w:rPr>
        <w:t>项后增加以下内容：</w:t>
      </w:r>
    </w:p>
    <w:p w14:paraId="69B4035E">
      <w:pPr>
        <w:spacing w:before="183" w:line="360" w:lineRule="auto"/>
        <w:ind w:left="1433" w:right="1413" w:firstLine="49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同时工程变更还应执行广东省交通运输厅及发</w:t>
      </w:r>
      <w:r>
        <w:rPr>
          <w:rFonts w:ascii="宋体" w:hAnsi="宋体" w:eastAsia="宋体" w:cs="宋体"/>
          <w:color w:val="auto"/>
          <w:spacing w:val="4"/>
          <w:sz w:val="24"/>
          <w:szCs w:val="24"/>
          <w:highlight w:val="none"/>
        </w:rPr>
        <w:t>包人颁布的相关变更管理办法和广</w:t>
      </w:r>
      <w:r>
        <w:rPr>
          <w:rFonts w:ascii="宋体" w:hAnsi="宋体" w:eastAsia="宋体" w:cs="宋体"/>
          <w:color w:val="auto"/>
          <w:spacing w:val="-3"/>
          <w:sz w:val="24"/>
          <w:szCs w:val="24"/>
          <w:highlight w:val="none"/>
        </w:rPr>
        <w:t>东省《公路工程造价管理指南》规定。</w:t>
      </w:r>
    </w:p>
    <w:p w14:paraId="27E27FE3">
      <w:pPr>
        <w:spacing w:line="218"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15.4 变更的估价原则</w:t>
      </w:r>
    </w:p>
    <w:p w14:paraId="3E74A064">
      <w:pPr>
        <w:spacing w:before="184" w:line="219" w:lineRule="auto"/>
        <w:ind w:left="19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将本款第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15.4.1～15.4.5</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项删除，</w:t>
      </w:r>
      <w:r>
        <w:rPr>
          <w:rFonts w:ascii="宋体" w:hAnsi="宋体" w:eastAsia="宋体" w:cs="宋体"/>
          <w:color w:val="auto"/>
          <w:spacing w:val="-4"/>
          <w:sz w:val="24"/>
          <w:szCs w:val="24"/>
          <w:highlight w:val="none"/>
        </w:rPr>
        <w:t>并用以下内容代替：</w:t>
      </w:r>
    </w:p>
    <w:p w14:paraId="4D2E2D71">
      <w:pPr>
        <w:spacing w:before="184" w:line="218" w:lineRule="auto"/>
        <w:ind w:left="192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因变更引起的价格调整，应按以下优先顺序所列原则进行处理：</w:t>
      </w:r>
    </w:p>
    <w:p w14:paraId="5A6239E6">
      <w:pPr>
        <w:spacing w:before="185" w:line="218"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15.4.1 如果取消某项工作，则该项工作的总额价不予支付；</w:t>
      </w:r>
    </w:p>
    <w:p w14:paraId="3B38EBE0">
      <w:pPr>
        <w:spacing w:before="182" w:line="325" w:lineRule="auto"/>
        <w:ind w:left="1430" w:right="1416" w:firstLine="49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15.4.2</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本合同段工程量清单中有相同或相似工程细目单价的，经发包人与承包人协</w:t>
      </w:r>
      <w:r>
        <w:rPr>
          <w:rFonts w:ascii="宋体" w:hAnsi="宋体" w:eastAsia="宋体" w:cs="宋体"/>
          <w:color w:val="auto"/>
          <w:spacing w:val="-5"/>
          <w:sz w:val="24"/>
          <w:szCs w:val="24"/>
          <w:highlight w:val="none"/>
        </w:rPr>
        <w:t>商一致同意可直接套用该单价。本合同段内没有相同或适用合同单价的， 原则上应套用</w:t>
      </w:r>
      <w:r>
        <w:rPr>
          <w:rFonts w:ascii="宋体" w:hAnsi="宋体" w:eastAsia="宋体" w:cs="宋体"/>
          <w:color w:val="auto"/>
          <w:spacing w:val="1"/>
          <w:sz w:val="24"/>
          <w:szCs w:val="24"/>
          <w:highlight w:val="none"/>
        </w:rPr>
        <w:t>同类合同段相应单价的</w:t>
      </w:r>
      <w:r>
        <w:rPr>
          <w:rFonts w:ascii="宋体" w:hAnsi="宋体" w:eastAsia="宋体" w:cs="宋体"/>
          <w:color w:val="auto"/>
          <w:spacing w:val="1"/>
          <w:sz w:val="24"/>
          <w:szCs w:val="24"/>
          <w:highlight w:val="none"/>
          <w:u w:val="single" w:color="auto"/>
        </w:rPr>
        <w:t>算术平均值</w:t>
      </w:r>
      <w:r>
        <w:rPr>
          <w:rFonts w:ascii="宋体" w:hAnsi="宋体" w:eastAsia="宋体" w:cs="宋体"/>
          <w:strike/>
          <w:dstrike w:val="0"/>
          <w:color w:val="auto"/>
          <w:spacing w:val="1"/>
          <w:sz w:val="24"/>
          <w:szCs w:val="24"/>
          <w:highlight w:val="none"/>
          <w:u w:val="single" w:color="auto"/>
        </w:rPr>
        <w:t>/加权平均值</w:t>
      </w:r>
      <w:r>
        <w:rPr>
          <w:rFonts w:ascii="宋体" w:hAnsi="宋体" w:eastAsia="宋体" w:cs="宋体"/>
          <w:color w:val="auto"/>
          <w:spacing w:val="1"/>
          <w:sz w:val="24"/>
          <w:szCs w:val="24"/>
          <w:highlight w:val="none"/>
        </w:rPr>
        <w:t>；但监理人认为受施工现场自然环境影</w:t>
      </w:r>
      <w:r>
        <w:rPr>
          <w:rFonts w:ascii="宋体" w:hAnsi="宋体" w:eastAsia="宋体" w:cs="宋体"/>
          <w:color w:val="auto"/>
          <w:spacing w:val="-2"/>
          <w:sz w:val="24"/>
          <w:szCs w:val="24"/>
          <w:highlight w:val="none"/>
        </w:rPr>
        <w:t>响大的工程项目单价，报发包人同意后可套用自然环境相近似的合同段相应细目；</w:t>
      </w:r>
    </w:p>
    <w:p w14:paraId="79AC11C5">
      <w:pPr>
        <w:spacing w:before="187" w:line="336" w:lineRule="auto"/>
        <w:ind w:left="1424" w:right="1331" w:firstLine="4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15.4.3</w:t>
      </w:r>
      <w:r>
        <w:rPr>
          <w:rFonts w:ascii="宋体" w:hAnsi="宋体" w:eastAsia="宋体" w:cs="宋体"/>
          <w:color w:val="auto"/>
          <w:spacing w:val="-24"/>
          <w:sz w:val="24"/>
          <w:szCs w:val="24"/>
          <w:highlight w:val="none"/>
        </w:rPr>
        <w:t xml:space="preserve"> </w:t>
      </w:r>
      <w:r>
        <w:rPr>
          <w:rFonts w:ascii="宋体" w:hAnsi="宋体" w:eastAsia="宋体" w:cs="宋体"/>
          <w:color w:val="auto"/>
          <w:spacing w:val="-4"/>
          <w:sz w:val="24"/>
          <w:szCs w:val="24"/>
          <w:highlight w:val="none"/>
        </w:rPr>
        <w:t>以综合单价报价的计量项目，如果只</w:t>
      </w:r>
      <w:r>
        <w:rPr>
          <w:rFonts w:ascii="宋体" w:hAnsi="宋体" w:eastAsia="宋体" w:cs="宋体"/>
          <w:color w:val="auto"/>
          <w:spacing w:val="-5"/>
          <w:sz w:val="24"/>
          <w:szCs w:val="24"/>
          <w:highlight w:val="none"/>
        </w:rPr>
        <w:t>是由于使用材料或局部尺寸调整，则原支付单价不变，而只在原合同单价基础上，调整</w:t>
      </w:r>
      <w:r>
        <w:rPr>
          <w:rFonts w:ascii="宋体" w:hAnsi="宋体" w:eastAsia="宋体" w:cs="宋体"/>
          <w:color w:val="auto"/>
          <w:spacing w:val="-6"/>
          <w:sz w:val="24"/>
          <w:szCs w:val="24"/>
          <w:highlight w:val="none"/>
        </w:rPr>
        <w:t>相应的材料价差和合理的工效增减费用。</w:t>
      </w:r>
      <w:r>
        <w:rPr>
          <w:rFonts w:ascii="宋体" w:hAnsi="宋体" w:eastAsia="宋体" w:cs="宋体"/>
          <w:color w:val="auto"/>
          <w:spacing w:val="-2"/>
          <w:sz w:val="24"/>
          <w:szCs w:val="24"/>
          <w:highlight w:val="none"/>
        </w:rPr>
        <w:t>对于机电设备和装饰材料，如发包人未提高技术标准或参数指标，任何品牌或型号的调整，其性能指标不得低于技术规范及设计文件要求，且发包人不予价格调整；如因非承</w:t>
      </w:r>
      <w:r>
        <w:rPr>
          <w:rFonts w:ascii="宋体" w:hAnsi="宋体" w:eastAsia="宋体" w:cs="宋体"/>
          <w:color w:val="auto"/>
          <w:spacing w:val="-5"/>
          <w:sz w:val="24"/>
          <w:szCs w:val="24"/>
          <w:highlight w:val="none"/>
        </w:rPr>
        <w:t>包人原因需要对《投标人拟投入的关键设备承诺表》的品牌进行调整时， 经发包人批准</w:t>
      </w:r>
      <w:r>
        <w:rPr>
          <w:rFonts w:ascii="宋体" w:hAnsi="宋体" w:eastAsia="宋体" w:cs="宋体"/>
          <w:color w:val="auto"/>
          <w:spacing w:val="-2"/>
          <w:sz w:val="24"/>
          <w:szCs w:val="24"/>
          <w:highlight w:val="none"/>
        </w:rPr>
        <w:t>后，调整相应设备价差和合理的工效增减费用。</w:t>
      </w:r>
    </w:p>
    <w:p w14:paraId="766CB8E7">
      <w:pPr>
        <w:spacing w:before="184" w:line="290" w:lineRule="auto"/>
        <w:ind w:left="1427" w:right="1229" w:firstLine="49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15.4.4</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如上述价格调整原则不适用或按上述原则计算的单价不合理，经发包人</w:t>
      </w:r>
      <w:r>
        <w:rPr>
          <w:rFonts w:ascii="宋体" w:hAnsi="宋体" w:eastAsia="宋体" w:cs="宋体"/>
          <w:color w:val="auto"/>
          <w:spacing w:val="-6"/>
          <w:sz w:val="24"/>
          <w:szCs w:val="24"/>
          <w:highlight w:val="none"/>
        </w:rPr>
        <w:t>同意，按以下原则执行。</w:t>
      </w:r>
    </w:p>
    <w:p w14:paraId="27CB1B81">
      <w:pPr>
        <w:spacing w:before="182" w:line="361" w:lineRule="auto"/>
        <w:ind w:left="1428" w:right="1412" w:firstLine="494"/>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15.4.4.1</w:t>
      </w:r>
      <w:r>
        <w:rPr>
          <w:rFonts w:ascii="宋体" w:hAnsi="宋体" w:eastAsia="宋体" w:cs="宋体"/>
          <w:color w:val="auto"/>
          <w:spacing w:val="-37"/>
          <w:sz w:val="24"/>
          <w:szCs w:val="24"/>
          <w:highlight w:val="none"/>
        </w:rPr>
        <w:t xml:space="preserve"> </w:t>
      </w:r>
      <w:r>
        <w:rPr>
          <w:rFonts w:ascii="宋体" w:hAnsi="宋体" w:eastAsia="宋体" w:cs="宋体"/>
          <w:color w:val="auto"/>
          <w:spacing w:val="-4"/>
          <w:sz w:val="24"/>
          <w:szCs w:val="24"/>
          <w:highlight w:val="none"/>
        </w:rPr>
        <w:t>参照招标人公布的最高投标限价编制时选用的有关定额及补充的定额，人</w:t>
      </w:r>
      <w:r>
        <w:rPr>
          <w:rFonts w:ascii="宋体" w:hAnsi="宋体" w:eastAsia="宋体" w:cs="宋体"/>
          <w:color w:val="auto"/>
          <w:spacing w:val="-1"/>
          <w:sz w:val="24"/>
          <w:szCs w:val="24"/>
          <w:highlight w:val="none"/>
        </w:rPr>
        <w:t>工、材料、机械单价按公布的最高投标限价采用的</w:t>
      </w:r>
      <w:r>
        <w:rPr>
          <w:rFonts w:ascii="宋体" w:hAnsi="宋体" w:eastAsia="宋体" w:cs="宋体"/>
          <w:color w:val="auto"/>
          <w:spacing w:val="-2"/>
          <w:sz w:val="24"/>
          <w:szCs w:val="24"/>
          <w:highlight w:val="none"/>
        </w:rPr>
        <w:t>月份（**年**月）信息价编制预算，</w:t>
      </w:r>
      <w:r>
        <w:rPr>
          <w:rFonts w:ascii="宋体" w:hAnsi="宋体" w:eastAsia="宋体" w:cs="宋体"/>
          <w:color w:val="auto"/>
          <w:spacing w:val="5"/>
          <w:sz w:val="24"/>
          <w:szCs w:val="24"/>
          <w:highlight w:val="none"/>
        </w:rPr>
        <w:t>并在上述预算价的基础上按本合同段投标人中标总价较最高投标限价之下浮比</w:t>
      </w:r>
      <w:r>
        <w:rPr>
          <w:rFonts w:ascii="宋体" w:hAnsi="宋体" w:eastAsia="宋体" w:cs="宋体"/>
          <w:color w:val="auto"/>
          <w:spacing w:val="4"/>
          <w:sz w:val="24"/>
          <w:szCs w:val="24"/>
          <w:highlight w:val="none"/>
        </w:rPr>
        <w:t>例下浮</w:t>
      </w:r>
    </w:p>
    <w:p w14:paraId="6BD92AA9">
      <w:pPr>
        <w:spacing w:before="78" w:line="360" w:lineRule="auto"/>
        <w:ind w:left="1424" w:right="141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确定变更工程价格。上述“信息价”指由建设项目所在地级市及以上交通运输工程造价</w:t>
      </w:r>
      <w:r>
        <w:rPr>
          <w:rFonts w:ascii="宋体" w:hAnsi="宋体" w:eastAsia="宋体" w:cs="宋体"/>
          <w:color w:val="auto"/>
          <w:spacing w:val="-1"/>
          <w:sz w:val="24"/>
          <w:szCs w:val="24"/>
          <w:highlight w:val="none"/>
        </w:rPr>
        <w:t>机构发布的项目施工所在地区材料信息价（如无相应信息价，由发包</w:t>
      </w:r>
      <w:r>
        <w:rPr>
          <w:rFonts w:ascii="宋体" w:hAnsi="宋体" w:eastAsia="宋体" w:cs="宋体"/>
          <w:color w:val="auto"/>
          <w:spacing w:val="-2"/>
          <w:sz w:val="24"/>
          <w:szCs w:val="24"/>
          <w:highlight w:val="none"/>
        </w:rPr>
        <w:t>人另行确定）。</w:t>
      </w:r>
    </w:p>
    <w:p w14:paraId="35E28D43">
      <w:pPr>
        <w:spacing w:before="2" w:line="356" w:lineRule="auto"/>
        <w:ind w:left="1443" w:right="1416" w:firstLine="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中标下浮率 =（本合同段最高投标限价 -</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中标总价）/ 本合同段最高</w:t>
      </w:r>
      <w:r>
        <w:rPr>
          <w:rFonts w:ascii="宋体" w:hAnsi="宋体" w:eastAsia="宋体" w:cs="宋体"/>
          <w:color w:val="auto"/>
          <w:spacing w:val="-5"/>
          <w:sz w:val="24"/>
          <w:szCs w:val="24"/>
          <w:highlight w:val="none"/>
        </w:rPr>
        <w:t>投标限价</w:t>
      </w:r>
      <w:r>
        <w:rPr>
          <w:rFonts w:ascii="宋体" w:hAnsi="宋体" w:eastAsia="宋体" w:cs="宋体"/>
          <w:color w:val="auto"/>
          <w:spacing w:val="44"/>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100%；计算时，最高投标限价及中标价均不含暂估价、暂列金额和安全生产费。</w:t>
      </w:r>
    </w:p>
    <w:p w14:paraId="14C554DD">
      <w:pPr>
        <w:spacing w:before="7" w:line="290" w:lineRule="auto"/>
        <w:ind w:left="1427" w:right="1361" w:firstLine="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15.4.4.2</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按变更程序办理的应急抢险工程，经变更预</w:t>
      </w:r>
      <w:r>
        <w:rPr>
          <w:rFonts w:ascii="宋体" w:hAnsi="宋体" w:eastAsia="宋体" w:cs="宋体"/>
          <w:color w:val="auto"/>
          <w:spacing w:val="-3"/>
          <w:sz w:val="24"/>
          <w:szCs w:val="24"/>
          <w:highlight w:val="none"/>
        </w:rPr>
        <w:t>算对应审批权限单位同意后，</w:t>
      </w:r>
      <w:r>
        <w:rPr>
          <w:rFonts w:ascii="宋体" w:hAnsi="宋体" w:eastAsia="宋体" w:cs="宋体"/>
          <w:color w:val="auto"/>
          <w:spacing w:val="-1"/>
          <w:sz w:val="24"/>
          <w:szCs w:val="24"/>
          <w:highlight w:val="none"/>
        </w:rPr>
        <w:t>可根据实际情况编制预算，变更金额确定原则在项目专用合</w:t>
      </w:r>
      <w:r>
        <w:rPr>
          <w:rFonts w:ascii="宋体" w:hAnsi="宋体" w:eastAsia="宋体" w:cs="宋体"/>
          <w:color w:val="auto"/>
          <w:spacing w:val="-2"/>
          <w:sz w:val="24"/>
          <w:szCs w:val="24"/>
          <w:highlight w:val="none"/>
        </w:rPr>
        <w:t>同条款数据表中约定。</w:t>
      </w:r>
    </w:p>
    <w:p w14:paraId="4F54F925">
      <w:pPr>
        <w:spacing w:before="182" w:line="218"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15.4.4.3</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新增机电设备的变更作价，按以下所列原则进行处理：</w:t>
      </w:r>
    </w:p>
    <w:p w14:paraId="171A899E">
      <w:pPr>
        <w:spacing w:before="184" w:line="360" w:lineRule="auto"/>
        <w:ind w:left="1426" w:right="1416" w:firstLine="47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变更预算按发包人核定的市场价格加上采保费、税金及合理利润进行计算， 变更单</w:t>
      </w:r>
      <w:r>
        <w:rPr>
          <w:rFonts w:ascii="宋体" w:hAnsi="宋体" w:eastAsia="宋体" w:cs="宋体"/>
          <w:color w:val="auto"/>
          <w:spacing w:val="-2"/>
          <w:sz w:val="24"/>
          <w:szCs w:val="24"/>
          <w:highlight w:val="none"/>
        </w:rPr>
        <w:t>价或费用=变更预算×（1-中标下浮率）</w:t>
      </w:r>
    </w:p>
    <w:p w14:paraId="114D1ADA">
      <w:pPr>
        <w:spacing w:line="218" w:lineRule="auto"/>
        <w:ind w:left="1923"/>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15.4.5 如果双方对变更工程价款有争议，则发包人和承包人双方认可的机构按</w:t>
      </w:r>
    </w:p>
    <w:p w14:paraId="18AE43E1">
      <w:pPr>
        <w:spacing w:before="184" w:line="360" w:lineRule="auto"/>
        <w:ind w:left="1428" w:right="1403" w:firstLine="1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15.4.4</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款要求编制预算，由发包人委托，委托费用由发包人和承包人各负责一半，变更</w:t>
      </w:r>
      <w:r>
        <w:rPr>
          <w:rFonts w:ascii="宋体" w:hAnsi="宋体" w:eastAsia="宋体" w:cs="宋体"/>
          <w:color w:val="auto"/>
          <w:spacing w:val="-1"/>
          <w:sz w:val="24"/>
          <w:szCs w:val="24"/>
          <w:highlight w:val="none"/>
        </w:rPr>
        <w:t>工程造价或单价按本合同段投标人中标价较招标时最高投标限</w:t>
      </w:r>
      <w:r>
        <w:rPr>
          <w:rFonts w:ascii="宋体" w:hAnsi="宋体" w:eastAsia="宋体" w:cs="宋体"/>
          <w:color w:val="auto"/>
          <w:spacing w:val="-2"/>
          <w:sz w:val="24"/>
          <w:szCs w:val="24"/>
          <w:highlight w:val="none"/>
        </w:rPr>
        <w:t>价之下浮比例下浮确定。</w:t>
      </w:r>
    </w:p>
    <w:p w14:paraId="23EA51D7">
      <w:pPr>
        <w:spacing w:line="360" w:lineRule="auto"/>
        <w:ind w:left="1423" w:right="1416"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发包人与承包人如按上述原则协商未果，发包人有权根据实际情况按上述某一原则</w:t>
      </w:r>
      <w:r>
        <w:rPr>
          <w:rFonts w:ascii="宋体" w:hAnsi="宋体" w:eastAsia="宋体" w:cs="宋体"/>
          <w:color w:val="auto"/>
          <w:spacing w:val="-3"/>
          <w:sz w:val="24"/>
          <w:szCs w:val="24"/>
          <w:highlight w:val="none"/>
        </w:rPr>
        <w:t>进行处理，承包人必须无条件接受。</w:t>
      </w:r>
    </w:p>
    <w:p w14:paraId="07826D11">
      <w:pPr>
        <w:spacing w:before="3" w:line="359" w:lineRule="auto"/>
        <w:ind w:left="1437" w:right="1413" w:firstLine="467"/>
        <w:rPr>
          <w:rFonts w:ascii="宋体" w:hAnsi="宋体" w:eastAsia="宋体" w:cs="宋体"/>
          <w:color w:val="auto"/>
          <w:spacing w:val="-13"/>
          <w:sz w:val="24"/>
          <w:szCs w:val="24"/>
          <w:highlight w:val="none"/>
        </w:rPr>
      </w:pPr>
      <w:r>
        <w:rPr>
          <w:rFonts w:ascii="宋体" w:hAnsi="宋体" w:eastAsia="宋体" w:cs="宋体"/>
          <w:color w:val="auto"/>
          <w:spacing w:val="5"/>
          <w:sz w:val="24"/>
          <w:szCs w:val="24"/>
          <w:highlight w:val="none"/>
        </w:rPr>
        <w:t>所有的变更设计都必须按发包人及其上级主管部门颁布的变更设计管理办法进行</w:t>
      </w:r>
      <w:r>
        <w:rPr>
          <w:rFonts w:ascii="宋体" w:hAnsi="宋体" w:eastAsia="宋体" w:cs="宋体"/>
          <w:color w:val="auto"/>
          <w:spacing w:val="-13"/>
          <w:sz w:val="24"/>
          <w:szCs w:val="24"/>
          <w:highlight w:val="none"/>
        </w:rPr>
        <w:t>审批。</w:t>
      </w:r>
    </w:p>
    <w:p w14:paraId="436EAB62">
      <w:pPr>
        <w:spacing w:before="3" w:line="359" w:lineRule="auto"/>
        <w:ind w:left="1437" w:right="1413" w:firstLine="467"/>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15.6 暂列金额</w:t>
      </w:r>
    </w:p>
    <w:p w14:paraId="63661EAF">
      <w:pPr>
        <w:spacing w:before="3" w:line="359" w:lineRule="auto"/>
        <w:ind w:left="1437" w:right="1413" w:firstLine="467"/>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补充以下内容：</w:t>
      </w:r>
    </w:p>
    <w:p w14:paraId="09E1EC5A">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在工程施工期间，如果监理工程师要求承包人进行钻孔或勘探性的开挖工作，须事先征得发包人同意。如果此项费用未包含在工程量清单项目中，则按暂列金额有关条款执行。</w:t>
      </w:r>
    </w:p>
    <w:p w14:paraId="30E0E6D9">
      <w:pPr>
        <w:spacing w:before="3" w:line="359" w:lineRule="auto"/>
        <w:ind w:left="1437" w:right="1413" w:firstLine="467"/>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15.7 暂估价</w:t>
      </w:r>
    </w:p>
    <w:p w14:paraId="6DEEFEBD">
      <w:pPr>
        <w:spacing w:before="3" w:line="359" w:lineRule="auto"/>
        <w:ind w:left="1437" w:right="1413" w:firstLine="467"/>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在工程量清单中暂估价的专业服务、材料、工程设备，由承包人按设计图纸要求提供。经监理人确认的专业服务、材料、工程设备的价格与价格清单中所列的暂估价的金额差以及相应的税金等其他费用列入合同价格。已发生的暂估价的专业服务、材料、工程设备结算金额按承包人提供的发票价格结算。</w:t>
      </w:r>
    </w:p>
    <w:p w14:paraId="1BEAA351">
      <w:pPr>
        <w:spacing w:line="218" w:lineRule="auto"/>
        <w:ind w:left="192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16.</w:t>
      </w:r>
      <w:r>
        <w:rPr>
          <w:rFonts w:ascii="宋体" w:hAnsi="宋体" w:eastAsia="宋体" w:cs="宋体"/>
          <w:color w:val="auto"/>
          <w:spacing w:val="10"/>
          <w:sz w:val="24"/>
          <w:szCs w:val="24"/>
          <w:highlight w:val="none"/>
        </w:rPr>
        <w:t xml:space="preserve"> </w:t>
      </w:r>
      <w:r>
        <w:rPr>
          <w:rFonts w:ascii="宋体" w:hAnsi="宋体" w:eastAsia="宋体" w:cs="宋体"/>
          <w:color w:val="auto"/>
          <w:spacing w:val="-5"/>
          <w:sz w:val="24"/>
          <w:szCs w:val="24"/>
          <w:highlight w:val="none"/>
        </w:rPr>
        <w:t>价格调整</w:t>
      </w:r>
    </w:p>
    <w:p w14:paraId="77AEDF52">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物价波动引起的价格调整</w:t>
      </w:r>
    </w:p>
    <w:p w14:paraId="7437C1F2">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 采用造价信息调整价格差额</w:t>
      </w:r>
    </w:p>
    <w:p w14:paraId="2F9005E6">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将本款内容修改如下：</w:t>
      </w:r>
    </w:p>
    <w:p w14:paraId="53688C30">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16.1.2.2承包人自行采购材料价差调整</w:t>
      </w:r>
    </w:p>
    <w:p w14:paraId="5395554C">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16.1.2.2.1适用范围</w:t>
      </w:r>
    </w:p>
    <w:p w14:paraId="75E32F6F">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除本项目主体工程使用的水泥、砂、碎石、石屑、钢材、油料、混凝土、沥青混凝土材料（该部分材料仅指构成施工实体的主要材料，不包括次要材料、辅助材料、摊销材料等）、以及商品水泥混凝土、商品沥青混凝土、混凝土构件、钢筋混凝土构件、钢构件等半成品允许调整价格差额以外，其他由承包人自行采购的材料、设备等不进行价差调整。</w:t>
      </w:r>
    </w:p>
    <w:p w14:paraId="7DDC398C">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16.1.2.2.2风险幅度（r）</w:t>
      </w:r>
    </w:p>
    <w:p w14:paraId="2365270D">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风险幅度是指合同双方各自应承担的材料价格涨跌风险比例大小。风险幅度范围内的价差应作为发包人、承包人的风险，不予调差。风险幅度（r）约定为：</w:t>
      </w:r>
    </w:p>
    <w:p w14:paraId="1E0E626E">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(1)砂石料，r=±5%;</w:t>
      </w:r>
    </w:p>
    <w:p w14:paraId="1FF22693">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(2)水泥、半成品，r=±4%;</w:t>
      </w:r>
    </w:p>
    <w:p w14:paraId="2A2CC284">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(3)钢材、混凝土、油料及其它，r=±3%。</w:t>
      </w:r>
    </w:p>
    <w:p w14:paraId="16F89357">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16.1.2.2.3计算方法采用信息价格法</w:t>
      </w:r>
    </w:p>
    <w:p w14:paraId="533F1F71">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材料价差调整费用系指材料价格（包含材料采购增值税）变化产生的综合调整费用，不再计算材料采购及保管费、管理费等费用。</w:t>
      </w:r>
    </w:p>
    <w:p w14:paraId="1ECE1FE1">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△C=(△P-Po×r)×Q,    若 | △P|&lt;|Po×r| 不予调差。</w:t>
      </w:r>
    </w:p>
    <w:p w14:paraId="700E2F37">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△P=Pi(i=1,…,n)-Po。</w:t>
      </w:r>
    </w:p>
    <w:p w14:paraId="5175E78E">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式中：</w:t>
      </w:r>
    </w:p>
    <w:p w14:paraId="553D3817">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△C—价差调整费用，系按调价周期计算的当次费用。</w:t>
      </w:r>
    </w:p>
    <w:p w14:paraId="1F341970">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△P—材料价格差。</w:t>
      </w:r>
    </w:p>
    <w:p w14:paraId="182AC447">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Po—基准价，指发包人编制最高投标限价时所采用的政府造价机构发布的当季（月）度信息价。本项目主要参照广东省交通运输工程造价事务中心发布的   年  月广州信息价、广州市建设工程造价管理站关于发布  年  月广州市建设工程价格信息及有关计价办法的通知。</w:t>
      </w:r>
    </w:p>
    <w:p w14:paraId="1F482D11">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Pi—信息价，指计量审批通过时交通建设项目所在地级市及以上工程造价专业机构发布的上一月信息价。顺序为：广东省交通运输工程造价事务中心发布的相关文件、广州市建设工程造价管理站发布的相关文件。</w:t>
      </w:r>
    </w:p>
    <w:p w14:paraId="36364AE0">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计量审批通过时以《中间计量申请单》申报时间为准。如：《中间计量申请单》申报时间为8月26日，则信息价Pi为造价机构发布的7月份信息价。非连续月度计量的，发包人可根据现场实际计量资料情况确定信息价。</w:t>
      </w:r>
    </w:p>
    <w:p w14:paraId="22D9FCCC">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Q— 调整材料数量，指以承包人当期完成计量的实体工程量为基础，按批复预算计算的定额消耗量为调整材料数量。单类材料的调整总量原则上不得超过其预算定额消耗量。</w:t>
      </w:r>
    </w:p>
    <w:p w14:paraId="006928A9">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r—风险幅度系数。风险幅度是指合同双方各自应承担的材料价格涨跌风险比例大小。风险幅度范围内的价差作为发包人、承包人的风险，不予调差。风险幅度（r）按照补充协议约定执行，当△P&gt;0时 ，r  为正值；当△P&lt;0 时 ，r 为负值。</w:t>
      </w:r>
    </w:p>
    <w:p w14:paraId="21FDDD93">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16.1.2.2.4税率。按支付材料调整费用时税务局、财政局相关规定执行，暂按9%计算。国家关于税率调整的，按新政策规定执行。</w:t>
      </w:r>
    </w:p>
    <w:p w14:paraId="32BF623A">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16.1.2.2.5计量与支付。</w:t>
      </w:r>
    </w:p>
    <w:p w14:paraId="2BE64278">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材料价差每月调整一次，承包人须每月填报当月实际发生的相应清单 子目所消耗的调价材料的数量，在施工期间，承包人应在每月上报调整的数量及金额至监理人及发包人，当季度的前两个月只上报调整的数量及金额，在当季度第三个月的计量支付中支付当季度调整的金额。</w:t>
      </w:r>
    </w:p>
    <w:p w14:paraId="7E7A43D1">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材料价差调整费用按人民币，结算支付金额以财政结算支付为准。材料价差调整费用经监理单位审核，报发包人批准同意后，发包人以季度为周期支付该季度各月份的价差调整金额，暂定计量金额为发包人审核金额的70%。项目交工验收后支付至材料价差调整总费用的90%（累计支付至承包人金额不得超过原合同总价的90%），经财政部门结算评审后，按工程结算价支付原则支付。</w:t>
      </w:r>
    </w:p>
    <w:p w14:paraId="007E3680">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16.2 法律变化引起的价格调整</w:t>
      </w:r>
    </w:p>
    <w:p w14:paraId="66B140D5">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本款细化为：</w:t>
      </w:r>
    </w:p>
    <w:p w14:paraId="62530986">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（1）除合同另有约定外，如果在投标文件递交截止日 28 天之后，国家或省颁布的法律、法规出现修改或变更， 因采用上述法律、法规使承包人在履行合同中发生第 16.1款规定的价格调整以外的费用增加或减少的，相关增减费用由监理人与承包人协商后，报发包人审核审批。</w:t>
      </w:r>
    </w:p>
    <w:p w14:paraId="03E9AB87">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2）在工程实施过程中，所引用的国家标准和规范如果有修改或新颁，应由发包人决定是否采用新标准或新规范，承包人应在监理人的监督下按发包人的决定执行。采用新标准、新规范（相对于招标文件）所增加的相应费用由发包人承担。</w:t>
      </w:r>
    </w:p>
    <w:p w14:paraId="7E5C5488">
      <w:pPr>
        <w:spacing w:before="3" w:line="359" w:lineRule="auto"/>
        <w:ind w:left="1437" w:right="1413" w:firstLine="467"/>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3）合同执行期间，如发生税务政策调整，则执行新的税务政策，按以下公式调整剩余合同价款，并签订补充协议。调整后合同价=原合同价/(1+原税率）*（1+新税率），因承包人提供发票不及时或有误导致工程款不能支付的责任由承包人承担。</w:t>
      </w:r>
    </w:p>
    <w:p w14:paraId="1584C287">
      <w:pPr>
        <w:spacing w:before="184" w:line="219" w:lineRule="auto"/>
        <w:ind w:left="190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本条补充第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6"/>
          <w:sz w:val="24"/>
          <w:szCs w:val="24"/>
          <w:highlight w:val="none"/>
        </w:rPr>
        <w:t>16.3</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款-第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6"/>
          <w:sz w:val="24"/>
          <w:szCs w:val="24"/>
          <w:highlight w:val="none"/>
        </w:rPr>
        <w:t>16.5</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款：</w:t>
      </w:r>
    </w:p>
    <w:p w14:paraId="2754540B">
      <w:pPr>
        <w:spacing w:before="183"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16.3 执行国家和行业标准</w:t>
      </w:r>
    </w:p>
    <w:p w14:paraId="5CC32EEA">
      <w:pPr>
        <w:spacing w:before="182" w:line="360" w:lineRule="auto"/>
        <w:ind w:left="1427" w:right="1416" w:firstLine="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除非发包人和监理人专门批准，如果本工程技术规范和图纸标准低于国家和行业标</w:t>
      </w:r>
      <w:r>
        <w:rPr>
          <w:rFonts w:ascii="宋体" w:hAnsi="宋体" w:eastAsia="宋体" w:cs="宋体"/>
          <w:color w:val="auto"/>
          <w:spacing w:val="-1"/>
          <w:sz w:val="24"/>
          <w:szCs w:val="24"/>
          <w:highlight w:val="none"/>
        </w:rPr>
        <w:t>准，则应按国家和行业标准执行，承包人不能因此提出</w:t>
      </w:r>
      <w:r>
        <w:rPr>
          <w:rFonts w:ascii="宋体" w:hAnsi="宋体" w:eastAsia="宋体" w:cs="宋体"/>
          <w:color w:val="auto"/>
          <w:spacing w:val="-2"/>
          <w:sz w:val="24"/>
          <w:szCs w:val="24"/>
          <w:highlight w:val="none"/>
        </w:rPr>
        <w:t>增加费用的要求和索赔。</w:t>
      </w:r>
    </w:p>
    <w:p w14:paraId="511066AD">
      <w:pPr>
        <w:spacing w:line="218"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16.4 工期拖期的价格调整</w:t>
      </w:r>
    </w:p>
    <w:p w14:paraId="02357864">
      <w:pPr>
        <w:spacing w:before="182" w:line="357" w:lineRule="auto"/>
        <w:ind w:left="1425" w:right="1416" w:firstLine="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由于承包人原因未能在投标函中写明的工期内</w:t>
      </w:r>
      <w:r>
        <w:rPr>
          <w:rFonts w:ascii="宋体" w:hAnsi="宋体" w:eastAsia="宋体" w:cs="宋体"/>
          <w:color w:val="auto"/>
          <w:spacing w:val="-3"/>
          <w:sz w:val="24"/>
          <w:szCs w:val="24"/>
          <w:highlight w:val="none"/>
        </w:rPr>
        <w:t>完成本合同工程，在超出合同工期以</w:t>
      </w:r>
      <w:r>
        <w:rPr>
          <w:rFonts w:ascii="宋体" w:hAnsi="宋体" w:eastAsia="宋体" w:cs="宋体"/>
          <w:color w:val="auto"/>
          <w:spacing w:val="-2"/>
          <w:sz w:val="24"/>
          <w:szCs w:val="24"/>
          <w:highlight w:val="none"/>
        </w:rPr>
        <w:t>后施工的工程，承包人不能因此提出调整合同单价（总额价）要求。即使某种延期符合</w:t>
      </w:r>
      <w:r>
        <w:rPr>
          <w:rFonts w:ascii="宋体" w:hAnsi="宋体" w:eastAsia="宋体" w:cs="宋体"/>
          <w:color w:val="auto"/>
          <w:sz w:val="24"/>
          <w:szCs w:val="24"/>
          <w:highlight w:val="none"/>
        </w:rPr>
        <w:t>第</w:t>
      </w:r>
      <w:r>
        <w:rPr>
          <w:rFonts w:ascii="宋体" w:hAnsi="宋体" w:eastAsia="宋体" w:cs="宋体"/>
          <w:color w:val="auto"/>
          <w:spacing w:val="-21"/>
          <w:sz w:val="24"/>
          <w:szCs w:val="24"/>
          <w:highlight w:val="none"/>
        </w:rPr>
        <w:t xml:space="preserve"> </w:t>
      </w:r>
      <w:r>
        <w:rPr>
          <w:rFonts w:ascii="宋体" w:hAnsi="宋体" w:eastAsia="宋体" w:cs="宋体"/>
          <w:color w:val="auto"/>
          <w:sz w:val="24"/>
          <w:szCs w:val="24"/>
          <w:highlight w:val="none"/>
        </w:rPr>
        <w:t>11.4</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条及本合同条款相关规定，在该延长的合同工期到期以后施工的工程，承包人</w:t>
      </w:r>
      <w:r>
        <w:rPr>
          <w:rFonts w:ascii="宋体" w:hAnsi="宋体" w:eastAsia="宋体" w:cs="宋体"/>
          <w:color w:val="auto"/>
          <w:spacing w:val="-2"/>
          <w:sz w:val="24"/>
          <w:szCs w:val="24"/>
          <w:highlight w:val="none"/>
        </w:rPr>
        <w:t>也不能因此提出调整合同单价（总额价）要</w:t>
      </w:r>
      <w:r>
        <w:rPr>
          <w:rFonts w:ascii="宋体" w:hAnsi="宋体" w:eastAsia="宋体" w:cs="宋体"/>
          <w:color w:val="auto"/>
          <w:spacing w:val="-3"/>
          <w:sz w:val="24"/>
          <w:szCs w:val="24"/>
          <w:highlight w:val="none"/>
        </w:rPr>
        <w:t>求。</w:t>
      </w:r>
    </w:p>
    <w:p w14:paraId="1941FE92">
      <w:pPr>
        <w:spacing w:line="232" w:lineRule="auto"/>
        <w:ind w:left="1923"/>
        <w:rPr>
          <w:rFonts w:ascii="宋体" w:hAnsi="宋体" w:eastAsia="宋体" w:cs="宋体"/>
          <w:color w:val="auto"/>
          <w:sz w:val="12"/>
          <w:szCs w:val="12"/>
          <w:highlight w:val="none"/>
        </w:rPr>
      </w:pPr>
      <w:r>
        <w:rPr>
          <w:rFonts w:ascii="宋体" w:hAnsi="宋体" w:eastAsia="宋体" w:cs="宋体"/>
          <w:color w:val="auto"/>
          <w:spacing w:val="-3"/>
          <w:sz w:val="24"/>
          <w:szCs w:val="24"/>
          <w:highlight w:val="none"/>
        </w:rPr>
        <w:t>16.5</w:t>
      </w:r>
      <w:r>
        <w:rPr>
          <w:rFonts w:ascii="宋体" w:hAnsi="宋体" w:eastAsia="宋体" w:cs="宋体"/>
          <w:color w:val="auto"/>
          <w:spacing w:val="-41"/>
          <w:sz w:val="24"/>
          <w:szCs w:val="24"/>
          <w:highlight w:val="none"/>
        </w:rPr>
        <w:t xml:space="preserve"> </w:t>
      </w:r>
      <w:r>
        <w:rPr>
          <w:rFonts w:ascii="宋体" w:hAnsi="宋体" w:eastAsia="宋体" w:cs="宋体"/>
          <w:color w:val="auto"/>
          <w:spacing w:val="-3"/>
          <w:sz w:val="24"/>
          <w:szCs w:val="24"/>
          <w:highlight w:val="none"/>
        </w:rPr>
        <w:t>其他原因引起的价格调整</w:t>
      </w:r>
    </w:p>
    <w:p w14:paraId="6CCAE344">
      <w:pPr>
        <w:spacing w:before="185"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16.5.1</w:t>
      </w:r>
      <w:r>
        <w:rPr>
          <w:rFonts w:ascii="宋体" w:hAnsi="宋体" w:eastAsia="宋体" w:cs="宋体"/>
          <w:color w:val="auto"/>
          <w:spacing w:val="-51"/>
          <w:sz w:val="24"/>
          <w:szCs w:val="24"/>
          <w:highlight w:val="none"/>
        </w:rPr>
        <w:t xml:space="preserve"> </w:t>
      </w:r>
      <w:r>
        <w:rPr>
          <w:rFonts w:ascii="宋体" w:hAnsi="宋体" w:eastAsia="宋体" w:cs="宋体"/>
          <w:color w:val="auto"/>
          <w:spacing w:val="-3"/>
          <w:sz w:val="24"/>
          <w:szCs w:val="24"/>
          <w:highlight w:val="none"/>
        </w:rPr>
        <w:t>应急抢险工程</w:t>
      </w:r>
    </w:p>
    <w:p w14:paraId="0D902D80">
      <w:pPr>
        <w:spacing w:before="182" w:line="450" w:lineRule="auto"/>
        <w:ind w:left="1422" w:right="1416" w:firstLine="50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因自然灾害、地质灾害以及其他突发事件引发</w:t>
      </w:r>
      <w:r>
        <w:rPr>
          <w:rFonts w:hint="eastAsia" w:ascii="宋体" w:hAnsi="宋体" w:eastAsia="宋体" w:cs="宋体"/>
          <w:color w:val="auto"/>
          <w:spacing w:val="-7"/>
          <w:sz w:val="24"/>
          <w:szCs w:val="24"/>
          <w:highlight w:val="none"/>
          <w:lang w:eastAsia="zh-CN"/>
        </w:rPr>
        <w:t>，</w:t>
      </w:r>
      <w:r>
        <w:rPr>
          <w:rFonts w:ascii="宋体" w:hAnsi="宋体" w:eastAsia="宋体" w:cs="宋体"/>
          <w:color w:val="auto"/>
          <w:spacing w:val="-7"/>
          <w:sz w:val="24"/>
          <w:szCs w:val="24"/>
          <w:highlight w:val="none"/>
        </w:rPr>
        <w:t>导致公路及沿线设施受损，正</w:t>
      </w:r>
      <w:r>
        <w:rPr>
          <w:rFonts w:ascii="宋体" w:hAnsi="宋体" w:eastAsia="宋体" w:cs="宋体"/>
          <w:color w:val="auto"/>
          <w:spacing w:val="-2"/>
          <w:sz w:val="24"/>
          <w:szCs w:val="24"/>
          <w:highlight w:val="none"/>
        </w:rPr>
        <w:t>在发生严重危害或即将产生严重危害，必须迅速采取措施的工程或因应对突发事件需要</w:t>
      </w:r>
      <w:r>
        <w:rPr>
          <w:rFonts w:ascii="宋体" w:hAnsi="宋体" w:eastAsia="宋体" w:cs="宋体"/>
          <w:color w:val="auto"/>
          <w:spacing w:val="-1"/>
          <w:sz w:val="24"/>
          <w:szCs w:val="24"/>
          <w:highlight w:val="none"/>
        </w:rPr>
        <w:t>在短期内启动并尽快完成的抢险修复工程，</w:t>
      </w:r>
      <w:r>
        <w:rPr>
          <w:rFonts w:ascii="宋体" w:hAnsi="宋体" w:eastAsia="宋体" w:cs="宋体"/>
          <w:color w:val="auto"/>
          <w:spacing w:val="-2"/>
          <w:sz w:val="24"/>
          <w:szCs w:val="24"/>
          <w:highlight w:val="none"/>
        </w:rPr>
        <w:t>经发包人和监理人确认后，按应急抢险工程</w:t>
      </w:r>
      <w:r>
        <w:rPr>
          <w:rFonts w:ascii="宋体" w:hAnsi="宋体" w:eastAsia="宋体" w:cs="宋体"/>
          <w:color w:val="auto"/>
          <w:spacing w:val="-3"/>
          <w:sz w:val="24"/>
          <w:szCs w:val="24"/>
          <w:highlight w:val="none"/>
        </w:rPr>
        <w:t>进行处理。应急抢险工程的变更作价按</w:t>
      </w:r>
      <w:r>
        <w:rPr>
          <w:rFonts w:ascii="宋体" w:hAnsi="宋体" w:eastAsia="宋体" w:cs="宋体"/>
          <w:color w:val="auto"/>
          <w:spacing w:val="-20"/>
          <w:sz w:val="24"/>
          <w:szCs w:val="24"/>
          <w:highlight w:val="none"/>
        </w:rPr>
        <w:t xml:space="preserve"> </w:t>
      </w:r>
      <w:r>
        <w:rPr>
          <w:rFonts w:ascii="宋体" w:hAnsi="宋体" w:eastAsia="宋体" w:cs="宋体"/>
          <w:color w:val="auto"/>
          <w:spacing w:val="-3"/>
          <w:sz w:val="24"/>
          <w:szCs w:val="24"/>
          <w:highlight w:val="none"/>
        </w:rPr>
        <w:t>15.4.4</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款约定执行。</w:t>
      </w:r>
    </w:p>
    <w:p w14:paraId="7589C699">
      <w:pPr>
        <w:spacing w:before="1" w:line="289" w:lineRule="auto"/>
        <w:ind w:left="1426" w:right="1414" w:firstLine="49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16.5.2</w:t>
      </w:r>
      <w:r>
        <w:rPr>
          <w:rFonts w:ascii="宋体" w:hAnsi="宋体" w:eastAsia="宋体" w:cs="宋体"/>
          <w:color w:val="auto"/>
          <w:spacing w:val="-39"/>
          <w:sz w:val="24"/>
          <w:szCs w:val="24"/>
          <w:highlight w:val="none"/>
        </w:rPr>
        <w:t xml:space="preserve"> </w:t>
      </w:r>
      <w:r>
        <w:rPr>
          <w:rFonts w:ascii="宋体" w:hAnsi="宋体" w:eastAsia="宋体" w:cs="宋体"/>
          <w:color w:val="auto"/>
          <w:spacing w:val="-4"/>
          <w:sz w:val="24"/>
          <w:szCs w:val="24"/>
          <w:highlight w:val="none"/>
        </w:rPr>
        <w:t>施工图设计和合同清单工程数量出现“差、错、漏、碰”的，经勘误后，按</w:t>
      </w:r>
      <w:r>
        <w:rPr>
          <w:rFonts w:ascii="宋体" w:hAnsi="宋体" w:eastAsia="宋体" w:cs="宋体"/>
          <w:color w:val="auto"/>
          <w:spacing w:val="-2"/>
          <w:sz w:val="24"/>
          <w:szCs w:val="24"/>
          <w:highlight w:val="none"/>
        </w:rPr>
        <w:t>合同条款及计量支付规则约定的计量原则，作变更处理。</w:t>
      </w:r>
    </w:p>
    <w:p w14:paraId="2726585C">
      <w:pPr>
        <w:spacing w:before="182" w:line="218"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16.5.3</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（其他可调整价格的情形）。</w:t>
      </w:r>
    </w:p>
    <w:p w14:paraId="14BB3B1E">
      <w:pPr>
        <w:spacing w:before="183" w:line="220" w:lineRule="auto"/>
        <w:ind w:left="192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17.</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计量与支付</w:t>
      </w:r>
    </w:p>
    <w:p w14:paraId="085FDEA8">
      <w:pPr>
        <w:spacing w:before="183" w:line="221"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17.1</w:t>
      </w:r>
      <w:r>
        <w:rPr>
          <w:rFonts w:ascii="宋体" w:hAnsi="宋体" w:eastAsia="宋体" w:cs="宋体"/>
          <w:color w:val="auto"/>
          <w:spacing w:val="12"/>
          <w:sz w:val="24"/>
          <w:szCs w:val="24"/>
          <w:highlight w:val="none"/>
        </w:rPr>
        <w:t xml:space="preserve"> </w:t>
      </w:r>
      <w:r>
        <w:rPr>
          <w:rFonts w:ascii="宋体" w:hAnsi="宋体" w:eastAsia="宋体" w:cs="宋体"/>
          <w:color w:val="auto"/>
          <w:spacing w:val="-6"/>
          <w:sz w:val="24"/>
          <w:szCs w:val="24"/>
          <w:highlight w:val="none"/>
        </w:rPr>
        <w:t>计量</w:t>
      </w:r>
    </w:p>
    <w:p w14:paraId="669A0E25">
      <w:pPr>
        <w:spacing w:before="181" w:line="218"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17.1.5</w:t>
      </w:r>
      <w:r>
        <w:rPr>
          <w:rFonts w:ascii="宋体" w:hAnsi="宋体" w:eastAsia="宋体" w:cs="宋体"/>
          <w:color w:val="auto"/>
          <w:spacing w:val="-34"/>
          <w:sz w:val="24"/>
          <w:szCs w:val="24"/>
          <w:highlight w:val="none"/>
        </w:rPr>
        <w:t xml:space="preserve"> </w:t>
      </w:r>
      <w:r>
        <w:rPr>
          <w:rFonts w:ascii="宋体" w:hAnsi="宋体" w:eastAsia="宋体" w:cs="宋体"/>
          <w:color w:val="auto"/>
          <w:spacing w:val="-4"/>
          <w:sz w:val="24"/>
          <w:szCs w:val="24"/>
          <w:highlight w:val="none"/>
        </w:rPr>
        <w:t>总价子目的计量</w:t>
      </w:r>
    </w:p>
    <w:p w14:paraId="2C4B942C">
      <w:pPr>
        <w:spacing w:before="184" w:line="360" w:lineRule="auto"/>
        <w:ind w:left="1426"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本项目工程量清单中要求承包人以“总额”方式报价的子目，各子目的支付原则和支付进度按本合同文件工程量清单计量规则中的规定执行。</w:t>
      </w:r>
    </w:p>
    <w:p w14:paraId="3E006D8B">
      <w:pPr>
        <w:spacing w:before="1" w:line="218"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本款补充第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4"/>
          <w:sz w:val="24"/>
          <w:szCs w:val="24"/>
          <w:highlight w:val="none"/>
        </w:rPr>
        <w:t>17.1.6-17.1.8</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w:t>
      </w:r>
    </w:p>
    <w:p w14:paraId="59043EFE">
      <w:pPr>
        <w:spacing w:before="183"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17.1.6</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变更工程的暂定计量和支付</w:t>
      </w:r>
    </w:p>
    <w:p w14:paraId="298C6AF5">
      <w:pPr>
        <w:spacing w:before="183" w:line="361" w:lineRule="auto"/>
        <w:ind w:left="1425" w:right="1416" w:firstLine="486"/>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rPr>
        <w:t>需报发包人上级主管部门审批的变更工程项目，在发包人审核完成而尚未获得上级主管部门审批时，可采用暂定计量，暂定计量金额不超过发包人审核后的合同变更金额的70%。待上级主管部门审批后按审批结果进行实际计量，并扣回已暂计量的金额。如果上级主管部门审批结果低于暂定计量金额，则在本标段其他工程项目的进度款中扣回</w:t>
      </w:r>
      <w:r>
        <w:rPr>
          <w:rFonts w:ascii="宋体" w:hAnsi="宋体" w:eastAsia="宋体" w:cs="宋体"/>
          <w:color w:val="auto"/>
          <w:spacing w:val="-12"/>
          <w:sz w:val="24"/>
          <w:szCs w:val="24"/>
          <w:highlight w:val="none"/>
        </w:rPr>
        <w:t>。</w:t>
      </w:r>
    </w:p>
    <w:p w14:paraId="1BF1A665">
      <w:pPr>
        <w:spacing w:before="75" w:line="364" w:lineRule="auto"/>
        <w:ind w:left="1427" w:right="1416" w:firstLine="484"/>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（2）第</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20.1.3（1）目中变更工程，在承</w:t>
      </w:r>
      <w:r>
        <w:rPr>
          <w:rFonts w:ascii="宋体" w:hAnsi="宋体" w:eastAsia="宋体" w:cs="宋体"/>
          <w:color w:val="auto"/>
          <w:spacing w:val="-4"/>
          <w:sz w:val="24"/>
          <w:szCs w:val="24"/>
          <w:highlight w:val="none"/>
        </w:rPr>
        <w:t>包人已根据合同规定向保险人报案但发包</w:t>
      </w:r>
      <w:r>
        <w:rPr>
          <w:rFonts w:ascii="宋体" w:hAnsi="宋体" w:eastAsia="宋体" w:cs="宋体"/>
          <w:color w:val="auto"/>
          <w:spacing w:val="-2"/>
          <w:sz w:val="24"/>
          <w:szCs w:val="24"/>
          <w:highlight w:val="none"/>
        </w:rPr>
        <w:t>人尚未收到保险人支付的赔付金时，可采用暂定计量，暂定计量金额不超过发包人审核</w:t>
      </w:r>
      <w:r>
        <w:rPr>
          <w:rFonts w:ascii="宋体" w:hAnsi="宋体" w:eastAsia="宋体" w:cs="宋体"/>
          <w:color w:val="auto"/>
          <w:spacing w:val="-1"/>
          <w:sz w:val="24"/>
          <w:szCs w:val="24"/>
          <w:highlight w:val="none"/>
        </w:rPr>
        <w:t>后变更金额的</w:t>
      </w:r>
      <w:r>
        <w:rPr>
          <w:rFonts w:ascii="宋体" w:hAnsi="宋体" w:eastAsia="宋体" w:cs="宋体"/>
          <w:color w:val="auto"/>
          <w:spacing w:val="-50"/>
          <w:sz w:val="24"/>
          <w:szCs w:val="24"/>
          <w:highlight w:val="none"/>
        </w:rPr>
        <w:t xml:space="preserve"> </w:t>
      </w:r>
      <w:r>
        <w:rPr>
          <w:rFonts w:hint="eastAsia" w:ascii="宋体" w:hAnsi="宋体" w:eastAsia="宋体" w:cs="宋体"/>
          <w:color w:val="auto"/>
          <w:spacing w:val="-1"/>
          <w:sz w:val="24"/>
          <w:szCs w:val="24"/>
          <w:highlight w:val="none"/>
          <w:lang w:val="en-US" w:eastAsia="zh-CN"/>
        </w:rPr>
        <w:t>65</w:t>
      </w:r>
      <w:r>
        <w:rPr>
          <w:rFonts w:ascii="宋体" w:hAnsi="宋体" w:eastAsia="宋体" w:cs="宋体"/>
          <w:color w:val="auto"/>
          <w:spacing w:val="-1"/>
          <w:sz w:val="24"/>
          <w:szCs w:val="24"/>
          <w:highlight w:val="none"/>
        </w:rPr>
        <w:t>%。发包人收到赔付金后进</w:t>
      </w:r>
      <w:r>
        <w:rPr>
          <w:rFonts w:ascii="宋体" w:hAnsi="宋体" w:eastAsia="宋体" w:cs="宋体"/>
          <w:color w:val="auto"/>
          <w:spacing w:val="-2"/>
          <w:sz w:val="24"/>
          <w:szCs w:val="24"/>
          <w:highlight w:val="none"/>
        </w:rPr>
        <w:t>行实际计量，并扣回已暂定计量的金额。</w:t>
      </w:r>
    </w:p>
    <w:p w14:paraId="7610FCE5">
      <w:pPr>
        <w:spacing w:before="1" w:line="219" w:lineRule="auto"/>
        <w:ind w:left="19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17.1.7</w:t>
      </w:r>
      <w:r>
        <w:rPr>
          <w:rFonts w:ascii="宋体" w:hAnsi="宋体" w:eastAsia="宋体" w:cs="宋体"/>
          <w:strike/>
          <w:dstrike w:val="0"/>
          <w:color w:val="auto"/>
          <w:spacing w:val="-37"/>
          <w:sz w:val="24"/>
          <w:szCs w:val="24"/>
          <w:highlight w:val="none"/>
        </w:rPr>
        <w:t xml:space="preserve"> </w:t>
      </w:r>
      <w:r>
        <w:rPr>
          <w:rFonts w:ascii="宋体" w:hAnsi="宋体" w:eastAsia="宋体" w:cs="宋体"/>
          <w:strike/>
          <w:dstrike w:val="0"/>
          <w:color w:val="auto"/>
          <w:spacing w:val="-3"/>
          <w:sz w:val="24"/>
          <w:szCs w:val="24"/>
          <w:highlight w:val="none"/>
        </w:rPr>
        <w:t>路面备料款的计量和支付</w:t>
      </w:r>
    </w:p>
    <w:p w14:paraId="5C186FE9">
      <w:pPr>
        <w:spacing w:before="182" w:line="219" w:lineRule="auto"/>
        <w:ind w:left="190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发包人将对承包人的路面碎石、机制砂备料款进行暂定计量，具体操作办法如下：</w:t>
      </w:r>
    </w:p>
    <w:p w14:paraId="47513EBC">
      <w:pPr>
        <w:spacing w:before="183" w:line="290" w:lineRule="auto"/>
        <w:ind w:left="1426" w:right="1427"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（1）计量数量：以承包人实际进场并经监理人和发包人代表验收确认数量的项目</w:t>
      </w:r>
      <w:r>
        <w:rPr>
          <w:rFonts w:ascii="宋体" w:hAnsi="宋体" w:eastAsia="宋体" w:cs="宋体"/>
          <w:strike/>
          <w:dstrike w:val="0"/>
          <w:color w:val="auto"/>
          <w:spacing w:val="-4"/>
          <w:sz w:val="24"/>
          <w:szCs w:val="24"/>
          <w:highlight w:val="none"/>
        </w:rPr>
        <w:t>专用合同条款数据表约定的比例计；</w:t>
      </w:r>
    </w:p>
    <w:p w14:paraId="584CBF36">
      <w:pPr>
        <w:spacing w:before="182" w:line="290" w:lineRule="auto"/>
        <w:ind w:left="1431" w:right="1427"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（2）计量单价：本合同段招标最高投标限价清单预算采用的相应规格材料预算价</w:t>
      </w:r>
      <w:r>
        <w:rPr>
          <w:rFonts w:ascii="宋体" w:hAnsi="宋体" w:eastAsia="宋体" w:cs="宋体"/>
          <w:strike/>
          <w:dstrike w:val="0"/>
          <w:color w:val="auto"/>
          <w:spacing w:val="-12"/>
          <w:sz w:val="24"/>
          <w:szCs w:val="24"/>
          <w:highlight w:val="none"/>
        </w:rPr>
        <w:t>（不含税</w:t>
      </w:r>
      <w:r>
        <w:rPr>
          <w:rFonts w:ascii="宋体" w:hAnsi="宋体" w:eastAsia="宋体" w:cs="宋体"/>
          <w:strike/>
          <w:dstrike w:val="0"/>
          <w:color w:val="auto"/>
          <w:spacing w:val="-6"/>
          <w:sz w:val="24"/>
          <w:szCs w:val="24"/>
          <w:highlight w:val="none"/>
        </w:rPr>
        <w:t>）；</w:t>
      </w:r>
    </w:p>
    <w:p w14:paraId="3B2A8A8A">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（3）计量方式：每月计量一次；</w:t>
      </w:r>
    </w:p>
    <w:p w14:paraId="3164C9A5">
      <w:pPr>
        <w:spacing w:before="182" w:line="290" w:lineRule="auto"/>
        <w:ind w:left="1426" w:right="1427"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（4）暂定计量备料款的扣回：承包人所备的碎石、机制砂材料已用于路面施工并</w:t>
      </w:r>
      <w:r>
        <w:rPr>
          <w:rFonts w:ascii="宋体" w:hAnsi="宋体" w:eastAsia="宋体" w:cs="宋体"/>
          <w:strike/>
          <w:dstrike w:val="0"/>
          <w:color w:val="auto"/>
          <w:spacing w:val="-2"/>
          <w:sz w:val="24"/>
          <w:szCs w:val="24"/>
          <w:highlight w:val="none"/>
        </w:rPr>
        <w:t>得到正常计量后，发包人将在计量当期扣回对应的暂定计量备料款。</w:t>
      </w:r>
    </w:p>
    <w:p w14:paraId="31CBEC23">
      <w:pPr>
        <w:spacing w:before="78"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17.1.8</w:t>
      </w:r>
      <w:r>
        <w:rPr>
          <w:rFonts w:ascii="宋体" w:hAnsi="宋体" w:eastAsia="宋体" w:cs="宋体"/>
          <w:color w:val="auto"/>
          <w:spacing w:val="-40"/>
          <w:sz w:val="24"/>
          <w:szCs w:val="24"/>
          <w:highlight w:val="none"/>
        </w:rPr>
        <w:t xml:space="preserve"> </w:t>
      </w:r>
      <w:r>
        <w:rPr>
          <w:rFonts w:ascii="宋体" w:hAnsi="宋体" w:eastAsia="宋体" w:cs="宋体"/>
          <w:color w:val="auto"/>
          <w:spacing w:val="-3"/>
          <w:sz w:val="24"/>
          <w:szCs w:val="24"/>
          <w:highlight w:val="none"/>
        </w:rPr>
        <w:t>过程结算的计量和支付</w:t>
      </w:r>
    </w:p>
    <w:p w14:paraId="6AEF3F98">
      <w:pPr>
        <w:spacing w:before="182" w:line="360" w:lineRule="auto"/>
        <w:ind w:left="1426" w:right="1349"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发包人制定过程结算制度并明确有关过程结算的计量支付规则，未按要求完成过程</w:t>
      </w:r>
      <w:r>
        <w:rPr>
          <w:rFonts w:ascii="宋体" w:hAnsi="宋体" w:eastAsia="宋体" w:cs="宋体"/>
          <w:color w:val="auto"/>
          <w:spacing w:val="-1"/>
          <w:sz w:val="24"/>
          <w:szCs w:val="24"/>
          <w:highlight w:val="none"/>
        </w:rPr>
        <w:t>结算的费用项，最高支付金额不宜超过建设单</w:t>
      </w:r>
      <w:r>
        <w:rPr>
          <w:rFonts w:ascii="宋体" w:hAnsi="宋体" w:eastAsia="宋体" w:cs="宋体"/>
          <w:color w:val="auto"/>
          <w:spacing w:val="-2"/>
          <w:sz w:val="24"/>
          <w:szCs w:val="24"/>
          <w:highlight w:val="none"/>
        </w:rPr>
        <w:t>位审核确认的 97%，过程结算完成后方可</w:t>
      </w:r>
      <w:r>
        <w:rPr>
          <w:rFonts w:ascii="宋体" w:hAnsi="宋体" w:eastAsia="宋体" w:cs="宋体"/>
          <w:color w:val="auto"/>
          <w:spacing w:val="-5"/>
          <w:sz w:val="24"/>
          <w:szCs w:val="24"/>
          <w:highlight w:val="none"/>
        </w:rPr>
        <w:t>支付余下金额。完工结算率低于</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30%的，在后续计量支付中可暂扣工程进度款一定比例，</w:t>
      </w:r>
      <w:r>
        <w:rPr>
          <w:rFonts w:ascii="宋体" w:hAnsi="宋体" w:eastAsia="宋体" w:cs="宋体"/>
          <w:color w:val="auto"/>
          <w:spacing w:val="-4"/>
          <w:sz w:val="24"/>
          <w:szCs w:val="24"/>
          <w:highlight w:val="none"/>
        </w:rPr>
        <w:t>具体在过程结算条款中明确。</w:t>
      </w:r>
    </w:p>
    <w:p w14:paraId="2508476B">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17.2</w:t>
      </w:r>
      <w:r>
        <w:rPr>
          <w:rFonts w:ascii="宋体" w:hAnsi="宋体" w:eastAsia="宋体" w:cs="宋体"/>
          <w:color w:val="auto"/>
          <w:spacing w:val="11"/>
          <w:sz w:val="24"/>
          <w:szCs w:val="24"/>
          <w:highlight w:val="none"/>
        </w:rPr>
        <w:t xml:space="preserve"> </w:t>
      </w:r>
      <w:r>
        <w:rPr>
          <w:rFonts w:ascii="宋体" w:hAnsi="宋体" w:eastAsia="宋体" w:cs="宋体"/>
          <w:color w:val="auto"/>
          <w:spacing w:val="-5"/>
          <w:sz w:val="24"/>
          <w:szCs w:val="24"/>
          <w:highlight w:val="none"/>
        </w:rPr>
        <w:t>预付款</w:t>
      </w:r>
    </w:p>
    <w:p w14:paraId="605B6EDF">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17.2.3 预付款的扣回与还清</w:t>
      </w:r>
    </w:p>
    <w:p w14:paraId="41734C18">
      <w:pPr>
        <w:spacing w:before="182" w:line="219" w:lineRule="auto"/>
        <w:ind w:left="190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本款补充第(3)目如下：</w:t>
      </w:r>
    </w:p>
    <w:p w14:paraId="1F88FECE">
      <w:pPr>
        <w:spacing w:before="183" w:line="220" w:lineRule="auto"/>
        <w:ind w:left="194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 如有需要，发包人可根据实际情况制定更符合工程需要</w:t>
      </w:r>
      <w:r>
        <w:rPr>
          <w:rFonts w:ascii="宋体" w:hAnsi="宋体" w:eastAsia="宋体" w:cs="宋体"/>
          <w:color w:val="auto"/>
          <w:spacing w:val="-3"/>
          <w:sz w:val="24"/>
          <w:szCs w:val="24"/>
          <w:highlight w:val="none"/>
        </w:rPr>
        <w:t>的预付款月扣款比例。</w:t>
      </w:r>
    </w:p>
    <w:p w14:paraId="34841391">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17.3 工程进度付款</w:t>
      </w:r>
    </w:p>
    <w:p w14:paraId="612AD747">
      <w:pPr>
        <w:spacing w:before="165" w:line="233" w:lineRule="auto"/>
        <w:ind w:left="1923"/>
        <w:rPr>
          <w:rFonts w:ascii="宋体" w:hAnsi="宋体" w:eastAsia="宋体" w:cs="宋体"/>
          <w:color w:val="auto"/>
          <w:sz w:val="12"/>
          <w:szCs w:val="12"/>
          <w:highlight w:val="none"/>
        </w:rPr>
      </w:pPr>
      <w:r>
        <w:rPr>
          <w:rFonts w:ascii="宋体" w:hAnsi="宋体" w:eastAsia="宋体" w:cs="宋体"/>
          <w:color w:val="auto"/>
          <w:spacing w:val="-4"/>
          <w:sz w:val="24"/>
          <w:szCs w:val="24"/>
          <w:highlight w:val="none"/>
        </w:rPr>
        <w:t>17.3.1</w:t>
      </w:r>
      <w:r>
        <w:rPr>
          <w:rFonts w:ascii="宋体" w:hAnsi="宋体" w:eastAsia="宋体" w:cs="宋体"/>
          <w:color w:val="auto"/>
          <w:spacing w:val="-45"/>
          <w:sz w:val="24"/>
          <w:szCs w:val="24"/>
          <w:highlight w:val="none"/>
        </w:rPr>
        <w:t xml:space="preserve"> </w:t>
      </w:r>
      <w:r>
        <w:rPr>
          <w:rFonts w:ascii="宋体" w:hAnsi="宋体" w:eastAsia="宋体" w:cs="宋体"/>
          <w:color w:val="auto"/>
          <w:spacing w:val="-4"/>
          <w:sz w:val="24"/>
          <w:szCs w:val="24"/>
          <w:highlight w:val="none"/>
        </w:rPr>
        <w:t>付款周期</w:t>
      </w:r>
    </w:p>
    <w:p w14:paraId="364E1FB0">
      <w:pPr>
        <w:spacing w:before="182" w:line="360" w:lineRule="auto"/>
        <w:ind w:left="1426" w:right="1349" w:firstLine="482"/>
        <w:rPr>
          <w:rFonts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补充以下内容</w:t>
      </w:r>
      <w:r>
        <w:rPr>
          <w:rFonts w:ascii="宋体" w:hAnsi="宋体" w:eastAsia="宋体" w:cs="宋体"/>
          <w:color w:val="auto"/>
          <w:spacing w:val="-1"/>
          <w:sz w:val="24"/>
          <w:szCs w:val="24"/>
          <w:highlight w:val="none"/>
        </w:rPr>
        <w:t>：</w:t>
      </w:r>
    </w:p>
    <w:p w14:paraId="37EB95B1">
      <w:pPr>
        <w:spacing w:before="182" w:line="360" w:lineRule="auto"/>
        <w:ind w:left="1426" w:right="1349" w:firstLine="482"/>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承包人按完成工程量申报的工程进度款，经监理和发包人审核后，并经监理人签发的月进度支付证书报送发包人批准后在15个工作日内将相关支付手续文件送达增城区财政局，由增城区财政局按照国家规定向承包人支付相关款项。</w:t>
      </w:r>
    </w:p>
    <w:p w14:paraId="303878D0">
      <w:pPr>
        <w:spacing w:before="1" w:line="218" w:lineRule="auto"/>
        <w:ind w:left="19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将本款第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17.3.5</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项细化如下:</w:t>
      </w:r>
    </w:p>
    <w:p w14:paraId="23E63461">
      <w:pPr>
        <w:spacing w:before="184"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17.3.5</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农民工工资保证金</w:t>
      </w:r>
    </w:p>
    <w:p w14:paraId="67B4C3B3">
      <w:pPr>
        <w:spacing w:before="181" w:line="353" w:lineRule="auto"/>
        <w:ind w:left="1425" w:right="1424" w:firstLine="481"/>
        <w:rPr>
          <w:rFonts w:ascii="宋体" w:hAnsi="宋体" w:eastAsia="宋体" w:cs="宋体"/>
          <w:color w:val="auto"/>
          <w:spacing w:val="-4"/>
          <w:sz w:val="24"/>
          <w:szCs w:val="24"/>
          <w:highlight w:val="none"/>
        </w:rPr>
      </w:pPr>
      <w:r>
        <w:rPr>
          <w:rFonts w:ascii="宋体" w:hAnsi="宋体" w:eastAsia="宋体" w:cs="宋体"/>
          <w:color w:val="auto"/>
          <w:spacing w:val="-2"/>
          <w:sz w:val="24"/>
          <w:szCs w:val="24"/>
          <w:highlight w:val="none"/>
        </w:rPr>
        <w:t>按</w:t>
      </w:r>
      <w:r>
        <w:rPr>
          <w:rFonts w:hint="eastAsia" w:ascii="宋体" w:hAnsi="宋体" w:eastAsia="宋体" w:cs="宋体"/>
          <w:color w:val="auto"/>
          <w:spacing w:val="-2"/>
          <w:sz w:val="24"/>
          <w:szCs w:val="24"/>
          <w:highlight w:val="none"/>
        </w:rPr>
        <w:t>《广州市建设领域施工企业工人工资支付保证金管理办法》（穗人社规字〔2023〕1号）</w:t>
      </w:r>
      <w:r>
        <w:rPr>
          <w:rFonts w:ascii="宋体" w:hAnsi="宋体" w:eastAsia="宋体" w:cs="宋体"/>
          <w:color w:val="auto"/>
          <w:spacing w:val="-4"/>
          <w:sz w:val="24"/>
          <w:szCs w:val="24"/>
          <w:highlight w:val="none"/>
        </w:rPr>
        <w:t>的通知执行。</w:t>
      </w:r>
    </w:p>
    <w:p w14:paraId="5261083E">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增加17.3.6、17.3.7、17.3.8</w:t>
      </w:r>
    </w:p>
    <w:p w14:paraId="3DE32518">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17.3.6双方约定的工程款支付（扣除暂列金额）的方式和时间：</w:t>
      </w:r>
    </w:p>
    <w:p w14:paraId="20D3A1F1">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（1）支付方式：按月支付，并按本条17.3.7款执行。</w:t>
      </w:r>
    </w:p>
    <w:p w14:paraId="2AF819B7">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（2）任何计量与支付项目必须按合同约定的技术条件和发包人批准的施工图有关要求和规定完成全部工作，包括合同规定的与计量项目有关且必须完成的责任和义务。 </w:t>
      </w:r>
    </w:p>
    <w:p w14:paraId="5216EA3C">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完成的计量与支付项目需得到监理工程师和发包人的质量认可。如承包人的工作不能使监理工程师和发包人满意（如：质量不合格，工程进度缓慢，施工总承包管理和配合服务不到位或有其它方面违背合同的行为等），监理工程师和发包人有权拒绝计量与支付。</w:t>
      </w:r>
    </w:p>
    <w:p w14:paraId="67AB27C0">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（4）承包人在申请支付各期工程进度款时应连同其负责管理的主要材料设备供货单位及分包单位的工程进度款一并申报，并附上其上一次已支付上述单位价款凭证的复印件作为支持材料。 </w:t>
      </w:r>
    </w:p>
    <w:p w14:paraId="073ED379">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（5）当所有款项累计支付达到暂定合同价款（扣除暂列金额）的8</w:t>
      </w:r>
      <w:r>
        <w:rPr>
          <w:rFonts w:hint="eastAsia" w:ascii="宋体" w:hAnsi="宋体" w:eastAsia="宋体" w:cs="宋体"/>
          <w:color w:val="auto"/>
          <w:spacing w:val="-4"/>
          <w:sz w:val="24"/>
          <w:szCs w:val="24"/>
          <w:highlight w:val="none"/>
          <w:lang w:val="en-US" w:eastAsia="zh-CN"/>
        </w:rPr>
        <w:t>5</w:t>
      </w:r>
      <w:r>
        <w:rPr>
          <w:rFonts w:hint="eastAsia" w:ascii="宋体" w:hAnsi="宋体" w:eastAsia="宋体" w:cs="宋体"/>
          <w:color w:val="auto"/>
          <w:spacing w:val="-4"/>
          <w:sz w:val="24"/>
          <w:szCs w:val="24"/>
          <w:highlight w:val="none"/>
        </w:rPr>
        <w:t>%时，暂停支付所有款项（暂列金除外）。</w:t>
      </w:r>
    </w:p>
    <w:p w14:paraId="5FE2305D">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（6）工程进度款计算公式：</w:t>
      </w:r>
    </w:p>
    <w:p w14:paraId="37F149C2">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承包人每月完工后，可按完成工程量申报工程进度款，经监理和发包人审核后，可予支付已完工作量的</w:t>
      </w:r>
      <w:r>
        <w:rPr>
          <w:rFonts w:hint="eastAsia" w:ascii="宋体" w:hAnsi="宋体" w:eastAsia="宋体" w:cs="宋体"/>
          <w:color w:val="auto"/>
          <w:spacing w:val="-4"/>
          <w:sz w:val="24"/>
          <w:szCs w:val="24"/>
          <w:highlight w:val="none"/>
          <w:lang w:val="en-US" w:eastAsia="zh-CN"/>
        </w:rPr>
        <w:t>90</w:t>
      </w:r>
      <w:r>
        <w:rPr>
          <w:rFonts w:hint="eastAsia" w:ascii="宋体" w:hAnsi="宋体" w:eastAsia="宋体" w:cs="宋体"/>
          <w:color w:val="auto"/>
          <w:spacing w:val="-4"/>
          <w:sz w:val="24"/>
          <w:szCs w:val="24"/>
          <w:highlight w:val="none"/>
        </w:rPr>
        <w:t>%（不含预付款）。</w:t>
      </w:r>
    </w:p>
    <w:p w14:paraId="6E45AE9E">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工程款以监理单位审核计量和发包人审定确认为准。承包人应在完工时根据工程师及发包人核实确认的工程量、工程量清单单价和取费标准，计算已完工程价值，编制工程款结算单送监理单位。监理单位收到后，应在5天内审核并签署意见后报发包人，发包人在7天内审核批准，并报上级有关部门办理统一拨付。</w:t>
      </w:r>
    </w:p>
    <w:p w14:paraId="25BB3077">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17.3.7在交工验收后，发包人结合实际完成工程量支付至签约合同价款（扣除暂列金额）的</w:t>
      </w:r>
      <w:r>
        <w:rPr>
          <w:rFonts w:hint="eastAsia" w:ascii="宋体" w:hAnsi="宋体" w:eastAsia="宋体" w:cs="宋体"/>
          <w:color w:val="auto"/>
          <w:spacing w:val="-4"/>
          <w:sz w:val="24"/>
          <w:szCs w:val="24"/>
          <w:highlight w:val="none"/>
          <w:lang w:val="en-US" w:eastAsia="zh-CN"/>
        </w:rPr>
        <w:t>90</w:t>
      </w:r>
      <w:r>
        <w:rPr>
          <w:rFonts w:hint="eastAsia" w:ascii="宋体" w:hAnsi="宋体" w:eastAsia="宋体" w:cs="宋体"/>
          <w:color w:val="auto"/>
          <w:spacing w:val="-4"/>
          <w:sz w:val="24"/>
          <w:szCs w:val="24"/>
          <w:highlight w:val="none"/>
        </w:rPr>
        <w:t>%；另暂列金额由发包人掌握，可用于工程变更及材料价差调整款项支付。在工程结算经区财审部门确认，发包人已与承包人签订结算协议并收到承包人提交结算造价3%的工程质量保证金银行保函，且承包人按时完整移交工程竣工档案后，发包人付至结算造价的100%。若在保修期内，承包人未出现违约情形，发包人应在保修期届满，收到承包人的退回申请手续后30天内将工程质量保证金银行保函退回给承包人。</w:t>
      </w:r>
    </w:p>
    <w:p w14:paraId="4A7D3DAD">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17.3.8费用的支付方式：</w:t>
      </w:r>
    </w:p>
    <w:p w14:paraId="02DC974E">
      <w:pPr>
        <w:spacing w:before="181" w:line="353" w:lineRule="auto"/>
        <w:ind w:left="1425" w:right="1424" w:firstLine="481"/>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17.3.8.1安全生产费的支付方式：经审查符合开工条件支付该项价款的60%；中间安全评价合格后支付30%；工程竣工安全评价合格后支付10%。</w:t>
      </w:r>
    </w:p>
    <w:p w14:paraId="35A3D3DD">
      <w:pPr>
        <w:spacing w:before="1" w:line="234" w:lineRule="auto"/>
        <w:ind w:left="1923"/>
        <w:rPr>
          <w:rFonts w:ascii="宋体" w:hAnsi="宋体" w:eastAsia="宋体" w:cs="宋体"/>
          <w:color w:val="auto"/>
          <w:sz w:val="12"/>
          <w:szCs w:val="12"/>
          <w:highlight w:val="none"/>
        </w:rPr>
      </w:pPr>
      <w:r>
        <w:rPr>
          <w:rFonts w:ascii="宋体" w:hAnsi="宋体" w:eastAsia="宋体" w:cs="宋体"/>
          <w:color w:val="auto"/>
          <w:spacing w:val="-3"/>
          <w:sz w:val="24"/>
          <w:szCs w:val="24"/>
          <w:highlight w:val="none"/>
        </w:rPr>
        <w:t>17.4 质量保证金</w:t>
      </w:r>
    </w:p>
    <w:p w14:paraId="202F5F1E">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30"/>
          <w:sz w:val="24"/>
          <w:szCs w:val="24"/>
          <w:highlight w:val="none"/>
        </w:rPr>
        <w:t xml:space="preserve"> </w:t>
      </w:r>
      <w:r>
        <w:rPr>
          <w:rFonts w:ascii="宋体" w:hAnsi="宋体" w:eastAsia="宋体" w:cs="宋体"/>
          <w:color w:val="auto"/>
          <w:spacing w:val="-8"/>
          <w:sz w:val="24"/>
          <w:szCs w:val="24"/>
          <w:highlight w:val="none"/>
        </w:rPr>
        <w:t>17.4.2</w:t>
      </w:r>
      <w:r>
        <w:rPr>
          <w:rFonts w:ascii="宋体" w:hAnsi="宋体" w:eastAsia="宋体" w:cs="宋体"/>
          <w:color w:val="auto"/>
          <w:spacing w:val="-46"/>
          <w:sz w:val="24"/>
          <w:szCs w:val="24"/>
          <w:highlight w:val="none"/>
        </w:rPr>
        <w:t xml:space="preserve"> </w:t>
      </w:r>
      <w:r>
        <w:rPr>
          <w:rFonts w:ascii="宋体" w:hAnsi="宋体" w:eastAsia="宋体" w:cs="宋体"/>
          <w:color w:val="auto"/>
          <w:spacing w:val="-8"/>
          <w:sz w:val="24"/>
          <w:szCs w:val="24"/>
          <w:highlight w:val="none"/>
        </w:rPr>
        <w:t>项细化为：</w:t>
      </w:r>
    </w:p>
    <w:p w14:paraId="6F973884">
      <w:pPr>
        <w:spacing w:before="181" w:line="353" w:lineRule="auto"/>
        <w:ind w:left="1425" w:right="1424" w:firstLine="48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项目保修期届满，发包人收到承包人的退回申请手续后30天内将工程质量保证金银行保函退还给承包人。</w:t>
      </w:r>
    </w:p>
    <w:p w14:paraId="3D3469F0">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17.6</w:t>
      </w:r>
      <w:r>
        <w:rPr>
          <w:rFonts w:ascii="宋体" w:hAnsi="宋体" w:eastAsia="宋体" w:cs="宋体"/>
          <w:color w:val="auto"/>
          <w:spacing w:val="14"/>
          <w:sz w:val="24"/>
          <w:szCs w:val="24"/>
          <w:highlight w:val="none"/>
        </w:rPr>
        <w:t xml:space="preserve"> </w:t>
      </w:r>
      <w:r>
        <w:rPr>
          <w:rFonts w:ascii="宋体" w:hAnsi="宋体" w:eastAsia="宋体" w:cs="宋体"/>
          <w:color w:val="auto"/>
          <w:spacing w:val="-5"/>
          <w:sz w:val="24"/>
          <w:szCs w:val="24"/>
          <w:highlight w:val="none"/>
        </w:rPr>
        <w:t>最终结清</w:t>
      </w:r>
    </w:p>
    <w:p w14:paraId="378DD2B7">
      <w:pPr>
        <w:spacing w:line="360" w:lineRule="auto"/>
        <w:ind w:left="1428" w:right="1416" w:firstLine="476"/>
        <w:jc w:val="both"/>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工程竣工结算经发包人审核后15个工作日内将相关支付手续文件报送市（区）财政审核部门审核，市（区）财政审核部门审核数为本项目最终工程结算数。</w:t>
      </w:r>
    </w:p>
    <w:p w14:paraId="4BEFCCB9">
      <w:pPr>
        <w:spacing w:line="219" w:lineRule="auto"/>
        <w:ind w:left="1923"/>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18.</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8"/>
          <w:sz w:val="24"/>
          <w:szCs w:val="24"/>
          <w:highlight w:val="none"/>
        </w:rPr>
        <w:t>交工验收</w:t>
      </w:r>
    </w:p>
    <w:p w14:paraId="61DDDA42">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18.3</w:t>
      </w:r>
      <w:r>
        <w:rPr>
          <w:rFonts w:ascii="宋体" w:hAnsi="宋体" w:eastAsia="宋体" w:cs="宋体"/>
          <w:color w:val="auto"/>
          <w:spacing w:val="-48"/>
          <w:sz w:val="24"/>
          <w:szCs w:val="24"/>
          <w:highlight w:val="none"/>
        </w:rPr>
        <w:t xml:space="preserve"> </w:t>
      </w:r>
      <w:r>
        <w:rPr>
          <w:rFonts w:ascii="宋体" w:hAnsi="宋体" w:eastAsia="宋体" w:cs="宋体"/>
          <w:color w:val="auto"/>
          <w:spacing w:val="-6"/>
          <w:sz w:val="24"/>
          <w:szCs w:val="24"/>
          <w:highlight w:val="none"/>
        </w:rPr>
        <w:t>验收</w:t>
      </w:r>
    </w:p>
    <w:p w14:paraId="4A8754F1">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8"/>
          <w:sz w:val="24"/>
          <w:szCs w:val="24"/>
          <w:highlight w:val="none"/>
        </w:rPr>
        <w:t>18.3.2</w:t>
      </w:r>
      <w:r>
        <w:rPr>
          <w:rFonts w:ascii="宋体" w:hAnsi="宋体" w:eastAsia="宋体" w:cs="宋体"/>
          <w:color w:val="auto"/>
          <w:spacing w:val="-47"/>
          <w:sz w:val="24"/>
          <w:szCs w:val="24"/>
          <w:highlight w:val="none"/>
        </w:rPr>
        <w:t xml:space="preserve"> </w:t>
      </w:r>
      <w:r>
        <w:rPr>
          <w:rFonts w:ascii="宋体" w:hAnsi="宋体" w:eastAsia="宋体" w:cs="宋体"/>
          <w:color w:val="auto"/>
          <w:spacing w:val="-8"/>
          <w:sz w:val="24"/>
          <w:szCs w:val="24"/>
          <w:highlight w:val="none"/>
        </w:rPr>
        <w:t>项补充：</w:t>
      </w:r>
    </w:p>
    <w:p w14:paraId="3073D15D">
      <w:pPr>
        <w:spacing w:before="183" w:line="360" w:lineRule="auto"/>
        <w:ind w:left="1425" w:right="1416"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交工验收由发包人主持，由发包人、监理人、质监、设计、施工、运营、管理养护等有关部门代表组成交工验收小组，对本项目的工程质量进行评定，并写出交工验收报</w:t>
      </w:r>
      <w:r>
        <w:rPr>
          <w:rFonts w:ascii="宋体" w:hAnsi="宋体" w:eastAsia="宋体" w:cs="宋体"/>
          <w:color w:val="auto"/>
          <w:spacing w:val="-1"/>
          <w:sz w:val="24"/>
          <w:szCs w:val="24"/>
          <w:highlight w:val="none"/>
        </w:rPr>
        <w:t>告报交通主管部门备案。项目交工验收报告上报</w:t>
      </w:r>
      <w:r>
        <w:rPr>
          <w:rFonts w:ascii="宋体" w:hAnsi="宋体" w:eastAsia="宋体" w:cs="宋体"/>
          <w:color w:val="auto"/>
          <w:spacing w:val="-2"/>
          <w:sz w:val="24"/>
          <w:szCs w:val="24"/>
          <w:highlight w:val="none"/>
        </w:rPr>
        <w:t>备案前 14 天，项目必须依法依规提供完整的专项验收工作报告，包括但不限于：涉航、防雷、消防、安全性评价、工程质量</w:t>
      </w:r>
      <w:r>
        <w:rPr>
          <w:rFonts w:ascii="宋体" w:hAnsi="宋体" w:eastAsia="宋体" w:cs="宋体"/>
          <w:color w:val="auto"/>
          <w:spacing w:val="-1"/>
          <w:sz w:val="24"/>
          <w:szCs w:val="24"/>
          <w:highlight w:val="none"/>
        </w:rPr>
        <w:t>检测报告等。承包人应按发包人的要求提交竣工资料，完成</w:t>
      </w:r>
      <w:r>
        <w:rPr>
          <w:rFonts w:ascii="宋体" w:hAnsi="宋体" w:eastAsia="宋体" w:cs="宋体"/>
          <w:color w:val="auto"/>
          <w:spacing w:val="-2"/>
          <w:sz w:val="24"/>
          <w:szCs w:val="24"/>
          <w:highlight w:val="none"/>
        </w:rPr>
        <w:t>交工验收准备工作。</w:t>
      </w:r>
    </w:p>
    <w:p w14:paraId="0E9F09AD">
      <w:pPr>
        <w:spacing w:line="360" w:lineRule="auto"/>
        <w:ind w:left="1425" w:right="1349" w:firstLine="484"/>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交工验收是建设项目投产使用前的重要的、关键的工作， 建设项目各参建单位要切</w:t>
      </w:r>
      <w:r>
        <w:rPr>
          <w:rFonts w:ascii="宋体" w:hAnsi="宋体" w:eastAsia="宋体" w:cs="宋体"/>
          <w:color w:val="auto"/>
          <w:spacing w:val="-2"/>
          <w:sz w:val="24"/>
          <w:szCs w:val="24"/>
          <w:highlight w:val="none"/>
        </w:rPr>
        <w:t>实提高站位，压实主体责任，坚决扭转项目交工验收工作总结流于形式、质量差等突出问题，严格按照《广东省交通运输厅关于进一步加强公路建设项目交工验收工作管理的</w:t>
      </w:r>
      <w:r>
        <w:rPr>
          <w:rFonts w:ascii="宋体" w:hAnsi="宋体" w:eastAsia="宋体" w:cs="宋体"/>
          <w:color w:val="auto"/>
          <w:spacing w:val="-6"/>
          <w:sz w:val="24"/>
          <w:szCs w:val="24"/>
          <w:highlight w:val="none"/>
        </w:rPr>
        <w:t>通知》的规定执行，要结合本项目实际认真扎实做好总结工作，总结材料力求简明扼要，</w:t>
      </w:r>
      <w:r>
        <w:rPr>
          <w:rFonts w:ascii="宋体" w:hAnsi="宋体" w:eastAsia="宋体" w:cs="宋体"/>
          <w:color w:val="auto"/>
          <w:spacing w:val="-2"/>
          <w:sz w:val="24"/>
          <w:szCs w:val="24"/>
          <w:highlight w:val="none"/>
        </w:rPr>
        <w:t>文字精炼，重点突出，必要时辅以图表等辅助材料。</w:t>
      </w:r>
    </w:p>
    <w:p w14:paraId="3BB489E8">
      <w:pPr>
        <w:spacing w:before="1"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18.9 竣工文件</w:t>
      </w:r>
    </w:p>
    <w:p w14:paraId="7E38D18F">
      <w:pPr>
        <w:spacing w:before="182" w:line="219" w:lineRule="auto"/>
        <w:ind w:left="190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在本款后增加以下内容：</w:t>
      </w:r>
    </w:p>
    <w:p w14:paraId="36884620">
      <w:pPr>
        <w:spacing w:before="182" w:line="361" w:lineRule="auto"/>
        <w:ind w:left="1424" w:right="1415"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在工程实施过程中及在项目完工后，承包人应按照《广东省交通运输厅关于公路建设项目档案的管理办法》和发包人制定的竣工文件资料管理办法的规定开展竣工文件材</w:t>
      </w:r>
      <w:r>
        <w:rPr>
          <w:rFonts w:ascii="宋体" w:hAnsi="宋体" w:eastAsia="宋体" w:cs="宋体"/>
          <w:color w:val="auto"/>
          <w:spacing w:val="-6"/>
          <w:sz w:val="24"/>
          <w:szCs w:val="24"/>
          <w:highlight w:val="none"/>
        </w:rPr>
        <w:t>料的编制、收集、整理、立卷、归档及信息化平台上传等工作，相应的竣工档案编</w:t>
      </w:r>
      <w:r>
        <w:rPr>
          <w:rFonts w:ascii="宋体" w:hAnsi="宋体" w:eastAsia="宋体" w:cs="宋体"/>
          <w:color w:val="auto"/>
          <w:spacing w:val="-7"/>
          <w:sz w:val="24"/>
          <w:szCs w:val="24"/>
          <w:highlight w:val="none"/>
        </w:rPr>
        <w:t>制费</w:t>
      </w:r>
      <w:r>
        <w:rPr>
          <w:rFonts w:ascii="宋体" w:hAnsi="宋体" w:eastAsia="宋体" w:cs="宋体"/>
          <w:color w:val="auto"/>
          <w:spacing w:val="-3"/>
          <w:sz w:val="24"/>
          <w:szCs w:val="24"/>
          <w:highlight w:val="none"/>
        </w:rPr>
        <w:t>按指定金额在工程量清单第100章中以总额报价。承包人向发包人提交的合格的竣工文</w:t>
      </w:r>
      <w:r>
        <w:rPr>
          <w:rFonts w:ascii="宋体" w:hAnsi="宋体" w:eastAsia="宋体" w:cs="宋体"/>
          <w:color w:val="auto"/>
          <w:spacing w:val="-5"/>
          <w:sz w:val="24"/>
          <w:szCs w:val="24"/>
          <w:highlight w:val="none"/>
        </w:rPr>
        <w:t>件中必须包括有整套竣工图的电子档案。承包人在完成施工图表等竣工文件的同时，还</w:t>
      </w:r>
      <w:r>
        <w:rPr>
          <w:rFonts w:ascii="宋体" w:hAnsi="宋体" w:eastAsia="宋体" w:cs="宋体"/>
          <w:color w:val="auto"/>
          <w:spacing w:val="-2"/>
          <w:sz w:val="24"/>
          <w:szCs w:val="24"/>
          <w:highlight w:val="none"/>
        </w:rPr>
        <w:t>应按《交通运输部基本建设项目竣工财务决算编审规定》、广东省《公路工程造价管理</w:t>
      </w:r>
      <w:r>
        <w:rPr>
          <w:rFonts w:ascii="宋体" w:hAnsi="宋体" w:eastAsia="宋体" w:cs="宋体"/>
          <w:color w:val="auto"/>
          <w:spacing w:val="-7"/>
          <w:sz w:val="24"/>
          <w:szCs w:val="24"/>
          <w:highlight w:val="none"/>
        </w:rPr>
        <w:t>指南》的规定，</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编制由承包人实施的工程结算文件（含数据成果文件</w:t>
      </w:r>
      <w:r>
        <w:rPr>
          <w:rFonts w:ascii="宋体" w:hAnsi="宋体" w:eastAsia="宋体" w:cs="宋体"/>
          <w:color w:val="auto"/>
          <w:spacing w:val="-23"/>
          <w:sz w:val="24"/>
          <w:szCs w:val="24"/>
          <w:highlight w:val="none"/>
        </w:rPr>
        <w:t>），</w:t>
      </w:r>
      <w:r>
        <w:rPr>
          <w:rFonts w:ascii="宋体" w:hAnsi="宋体" w:eastAsia="宋体" w:cs="宋体"/>
          <w:color w:val="auto"/>
          <w:spacing w:val="-7"/>
          <w:sz w:val="24"/>
          <w:szCs w:val="24"/>
          <w:highlight w:val="none"/>
        </w:rPr>
        <w:t>报监理人审核，</w:t>
      </w:r>
      <w:r>
        <w:rPr>
          <w:rFonts w:ascii="宋体" w:hAnsi="宋体" w:eastAsia="宋体" w:cs="宋体"/>
          <w:color w:val="auto"/>
          <w:spacing w:val="-1"/>
          <w:sz w:val="24"/>
          <w:szCs w:val="24"/>
          <w:highlight w:val="none"/>
        </w:rPr>
        <w:t>作为竣工文件的一部分。其中竣工图的工程数量和工程结算的工程数量应对应一致。</w:t>
      </w:r>
    </w:p>
    <w:p w14:paraId="6DBBF86E">
      <w:pPr>
        <w:spacing w:before="2" w:line="359" w:lineRule="auto"/>
        <w:ind w:left="1424" w:right="1413" w:firstLine="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如有需要发包人有权指定单位或相关部门进行整个项目的竣工资料统一编制和校</w:t>
      </w:r>
      <w:r>
        <w:rPr>
          <w:rFonts w:ascii="宋体" w:hAnsi="宋体" w:eastAsia="宋体" w:cs="宋体"/>
          <w:color w:val="auto"/>
          <w:spacing w:val="-2"/>
          <w:sz w:val="24"/>
          <w:szCs w:val="24"/>
          <w:highlight w:val="none"/>
        </w:rPr>
        <w:t>验，承包人应予以积极配合，所发生费用由承包人承担。</w:t>
      </w:r>
    </w:p>
    <w:p w14:paraId="2E742B2F">
      <w:pPr>
        <w:spacing w:line="219" w:lineRule="auto"/>
        <w:ind w:left="192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19.</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缺陷责任与保修责任</w:t>
      </w:r>
    </w:p>
    <w:p w14:paraId="087E2EC7">
      <w:pPr>
        <w:spacing w:before="182" w:line="220"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19.2 缺陷责任</w:t>
      </w:r>
    </w:p>
    <w:p w14:paraId="6B2F09C2">
      <w:pPr>
        <w:spacing w:before="181" w:line="220" w:lineRule="auto"/>
        <w:ind w:left="190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在</w:t>
      </w:r>
      <w:r>
        <w:rPr>
          <w:rFonts w:ascii="宋体" w:hAnsi="宋体" w:eastAsia="宋体" w:cs="宋体"/>
          <w:color w:val="auto"/>
          <w:spacing w:val="-19"/>
          <w:sz w:val="24"/>
          <w:szCs w:val="24"/>
          <w:highlight w:val="none"/>
        </w:rPr>
        <w:t xml:space="preserve"> </w:t>
      </w:r>
      <w:r>
        <w:rPr>
          <w:rFonts w:ascii="宋体" w:hAnsi="宋体" w:eastAsia="宋体" w:cs="宋体"/>
          <w:color w:val="auto"/>
          <w:spacing w:val="-7"/>
          <w:sz w:val="24"/>
          <w:szCs w:val="24"/>
          <w:highlight w:val="none"/>
        </w:rPr>
        <w:t>19.2.2</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项后增加以下内容：</w:t>
      </w:r>
    </w:p>
    <w:p w14:paraId="1A8A1E31">
      <w:pPr>
        <w:spacing w:before="183" w:line="360"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承包人应在缺陷责任期内安排专人负责缺陷责任期的管理工作，并确保在接到发包</w:t>
      </w:r>
      <w:r>
        <w:rPr>
          <w:rFonts w:ascii="宋体" w:hAnsi="宋体" w:eastAsia="宋体" w:cs="宋体"/>
          <w:color w:val="auto"/>
          <w:sz w:val="24"/>
          <w:szCs w:val="24"/>
          <w:highlight w:val="none"/>
        </w:rPr>
        <w:t>人要求处理有关缺陷事项的通知后</w:t>
      </w:r>
      <w:r>
        <w:rPr>
          <w:rFonts w:ascii="宋体" w:hAnsi="宋体" w:eastAsia="宋体" w:cs="宋体"/>
          <w:color w:val="auto"/>
          <w:spacing w:val="-25"/>
          <w:sz w:val="24"/>
          <w:szCs w:val="24"/>
          <w:highlight w:val="none"/>
        </w:rPr>
        <w:t xml:space="preserve"> </w:t>
      </w:r>
      <w:r>
        <w:rPr>
          <w:rFonts w:ascii="宋体" w:hAnsi="宋体" w:eastAsia="宋体" w:cs="宋体"/>
          <w:color w:val="auto"/>
          <w:sz w:val="24"/>
          <w:szCs w:val="24"/>
          <w:highlight w:val="none"/>
        </w:rPr>
        <w:t>24</w:t>
      </w:r>
      <w:r>
        <w:rPr>
          <w:rFonts w:ascii="宋体" w:hAnsi="宋体" w:eastAsia="宋体" w:cs="宋体"/>
          <w:color w:val="auto"/>
          <w:spacing w:val="-42"/>
          <w:sz w:val="24"/>
          <w:szCs w:val="24"/>
          <w:highlight w:val="none"/>
        </w:rPr>
        <w:t xml:space="preserve"> </w:t>
      </w:r>
      <w:r>
        <w:rPr>
          <w:rFonts w:ascii="宋体" w:hAnsi="宋体" w:eastAsia="宋体" w:cs="宋体"/>
          <w:color w:val="auto"/>
          <w:sz w:val="24"/>
          <w:szCs w:val="24"/>
          <w:highlight w:val="none"/>
        </w:rPr>
        <w:t>小时内到达现场，到达现场后随即采取有效措施</w:t>
      </w:r>
      <w:r>
        <w:rPr>
          <w:rFonts w:ascii="宋体" w:hAnsi="宋体" w:eastAsia="宋体" w:cs="宋体"/>
          <w:color w:val="auto"/>
          <w:spacing w:val="-5"/>
          <w:sz w:val="24"/>
          <w:szCs w:val="24"/>
          <w:highlight w:val="none"/>
        </w:rPr>
        <w:t>解决工程遗留的缺陷或其他问题。承包人未履行本款规定的缺陷处治责任义务， 视为承</w:t>
      </w:r>
      <w:r>
        <w:rPr>
          <w:rFonts w:ascii="宋体" w:hAnsi="宋体" w:eastAsia="宋体" w:cs="宋体"/>
          <w:color w:val="auto"/>
          <w:spacing w:val="-4"/>
          <w:sz w:val="24"/>
          <w:szCs w:val="24"/>
          <w:highlight w:val="none"/>
        </w:rPr>
        <w:t>包人违约并按</w:t>
      </w:r>
      <w:r>
        <w:rPr>
          <w:rFonts w:ascii="宋体" w:hAnsi="宋体" w:eastAsia="宋体" w:cs="宋体"/>
          <w:color w:val="auto"/>
          <w:spacing w:val="-44"/>
          <w:sz w:val="24"/>
          <w:szCs w:val="24"/>
          <w:highlight w:val="none"/>
        </w:rPr>
        <w:t xml:space="preserve"> </w:t>
      </w:r>
      <w:r>
        <w:rPr>
          <w:rFonts w:ascii="宋体" w:hAnsi="宋体" w:eastAsia="宋体" w:cs="宋体"/>
          <w:color w:val="auto"/>
          <w:spacing w:val="-4"/>
          <w:sz w:val="24"/>
          <w:szCs w:val="24"/>
          <w:highlight w:val="none"/>
        </w:rPr>
        <w:t>22.1</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款约定处理。</w:t>
      </w:r>
    </w:p>
    <w:p w14:paraId="0C119C5D">
      <w:pPr>
        <w:spacing w:line="360" w:lineRule="auto"/>
        <w:ind w:left="1425" w:right="1415"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高速公路改扩建工程，采用分幅、分路段通车的，</w:t>
      </w:r>
      <w:r>
        <w:rPr>
          <w:rFonts w:ascii="宋体" w:hAnsi="宋体" w:eastAsia="宋体" w:cs="宋体"/>
          <w:strike/>
          <w:dstrike w:val="0"/>
          <w:color w:val="auto"/>
          <w:spacing w:val="68"/>
          <w:sz w:val="24"/>
          <w:szCs w:val="24"/>
          <w:highlight w:val="none"/>
        </w:rPr>
        <w:t xml:space="preserve"> </w:t>
      </w:r>
      <w:r>
        <w:rPr>
          <w:rFonts w:ascii="宋体" w:hAnsi="宋体" w:eastAsia="宋体" w:cs="宋体"/>
          <w:strike/>
          <w:dstrike w:val="0"/>
          <w:color w:val="auto"/>
          <w:spacing w:val="-7"/>
          <w:sz w:val="24"/>
          <w:szCs w:val="24"/>
          <w:highlight w:val="none"/>
        </w:rPr>
        <w:t>缺陷责任期以“分段通车”交工</w:t>
      </w:r>
      <w:r>
        <w:rPr>
          <w:rFonts w:ascii="宋体" w:hAnsi="宋体" w:eastAsia="宋体" w:cs="宋体"/>
          <w:strike/>
          <w:dstrike w:val="0"/>
          <w:color w:val="auto"/>
          <w:spacing w:val="-4"/>
          <w:sz w:val="24"/>
          <w:szCs w:val="24"/>
          <w:highlight w:val="none"/>
        </w:rPr>
        <w:t>证书明确的时间进行计算。</w:t>
      </w:r>
    </w:p>
    <w:p w14:paraId="055F8F03">
      <w:pPr>
        <w:spacing w:line="219" w:lineRule="auto"/>
        <w:ind w:left="19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19.7 保修责任</w:t>
      </w:r>
    </w:p>
    <w:p w14:paraId="57133E26">
      <w:pPr>
        <w:spacing w:before="182" w:line="220" w:lineRule="auto"/>
        <w:ind w:left="1923"/>
        <w:rPr>
          <w:rFonts w:ascii="宋体" w:hAnsi="宋体" w:eastAsia="宋体" w:cs="宋体"/>
          <w:color w:val="auto"/>
          <w:spacing w:val="-3"/>
          <w:sz w:val="24"/>
          <w:szCs w:val="24"/>
          <w:highlight w:val="none"/>
        </w:rPr>
      </w:pPr>
      <w:r>
        <w:rPr>
          <w:rFonts w:ascii="宋体" w:hAnsi="宋体" w:eastAsia="宋体" w:cs="宋体"/>
          <w:color w:val="auto"/>
          <w:spacing w:val="-2"/>
          <w:sz w:val="24"/>
          <w:szCs w:val="24"/>
          <w:highlight w:val="none"/>
        </w:rPr>
        <w:t>19.7（1）目补充内容详见项目专用合同条款数据表中</w:t>
      </w:r>
      <w:r>
        <w:rPr>
          <w:rFonts w:ascii="宋体" w:hAnsi="宋体" w:eastAsia="宋体" w:cs="宋体"/>
          <w:color w:val="auto"/>
          <w:spacing w:val="-3"/>
          <w:sz w:val="24"/>
          <w:szCs w:val="24"/>
          <w:highlight w:val="none"/>
        </w:rPr>
        <w:t>约定。</w:t>
      </w:r>
    </w:p>
    <w:p w14:paraId="3D397081">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补充以下内容：</w:t>
      </w:r>
    </w:p>
    <w:p w14:paraId="21B81363">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在缺陷责任期内，发包人或监理工程师有权随时对本合同进行检查，如果在本合同中出现任何缺陷、病害或其他不合格之处，则发包人或监理工程师可指令承包人进行修补、修复及重建，承包人应于接到指令后7天内进场施工，并在指令规定的时间内完成修补、修复及重建工作。在缺陷责任期满28天前，由发包人会同监理工程师及有关部门参加下，对工程进行一次全面的检查，使本工程按合同所要求的条件（正常磨损除外），达到发包人和监理工程师认为合格的程度。为此，承包人应：</w:t>
      </w:r>
    </w:p>
    <w:p w14:paraId="1A449FBB">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施工承包人在缺陷责任期内须设立缺陷责任期内的留守项目部，须配备一台交通车及相关机械设备、仪器，并安排不少于一个的合同段项目部原有技术人员作为缺陷责任期内留守项目部的专职工作人员，负责缺陷责任期内留守项目部工作的开展。承包人如不设立缺陷责任期内留守项目部，在不免除承包人责任与义务的情况下，发包人将对承包人处以2万元/月的罚款。缺陷责任期内，承包入应派专人负责缺陷责任期的管理工作，并经常应定期对工程进行检查，一般应每个月进行一次，并在检查后7天内将检查情况向监理工程师报告，但雨后或、台风后或其他自然灾害后的检查工作应立即进行并立即将检查情况向监理工程师报告。</w:t>
      </w:r>
    </w:p>
    <w:p w14:paraId="0A0BAA66">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（2）在缺陷责任期内，尽快完成在交工证书中写明的未完成工作。</w:t>
      </w:r>
    </w:p>
    <w:p w14:paraId="35396CF9">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（3）在缺陷责任期满前，按照发包人和监理工程师在缺陷责任期满前检查结果而发出的指令，对存在的缺陷、病害或其他不合格之处进行修补、重建或修复。</w:t>
      </w:r>
    </w:p>
    <w:p w14:paraId="51FCA46F">
      <w:pPr>
        <w:spacing w:before="183" w:line="360" w:lineRule="auto"/>
        <w:ind w:left="1424" w:right="1416"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（4）承包人在修复缺陷过程中，应服从管养单位的有关安全管理的规定，由于承包人自身原因造成的人员伤亡、设备和材料的损毁赔偿及罚款等责任由承包人自负。</w:t>
      </w:r>
    </w:p>
    <w:p w14:paraId="6686BD67">
      <w:pPr>
        <w:spacing w:before="183" w:line="360" w:lineRule="auto"/>
        <w:ind w:left="1424" w:right="1416" w:firstLine="480"/>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（5）完成场地的恢复，使地表恢复达到原状或使发包人和监理工程师满意。</w:t>
      </w:r>
    </w:p>
    <w:p w14:paraId="6E4203EA">
      <w:pPr>
        <w:spacing w:before="183" w:line="220" w:lineRule="auto"/>
        <w:ind w:left="1908"/>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20.</w:t>
      </w:r>
      <w:r>
        <w:rPr>
          <w:rFonts w:ascii="宋体" w:hAnsi="宋体" w:eastAsia="宋体" w:cs="宋体"/>
          <w:color w:val="auto"/>
          <w:spacing w:val="12"/>
          <w:sz w:val="24"/>
          <w:szCs w:val="24"/>
          <w:highlight w:val="none"/>
        </w:rPr>
        <w:t xml:space="preserve"> </w:t>
      </w:r>
      <w:r>
        <w:rPr>
          <w:rFonts w:ascii="宋体" w:hAnsi="宋体" w:eastAsia="宋体" w:cs="宋体"/>
          <w:b/>
          <w:bCs/>
          <w:color w:val="auto"/>
          <w:spacing w:val="-6"/>
          <w:sz w:val="24"/>
          <w:szCs w:val="24"/>
          <w:highlight w:val="none"/>
        </w:rPr>
        <w:t>保险</w:t>
      </w:r>
    </w:p>
    <w:p w14:paraId="6F719B0C">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20.1</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工程保险</w:t>
      </w:r>
    </w:p>
    <w:p w14:paraId="2E16445F">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8"/>
          <w:sz w:val="24"/>
          <w:szCs w:val="24"/>
          <w:highlight w:val="none"/>
        </w:rPr>
        <w:t>20.1</w:t>
      </w:r>
      <w:r>
        <w:rPr>
          <w:rFonts w:ascii="宋体" w:hAnsi="宋体" w:eastAsia="宋体" w:cs="宋体"/>
          <w:color w:val="auto"/>
          <w:spacing w:val="-50"/>
          <w:sz w:val="24"/>
          <w:szCs w:val="24"/>
          <w:highlight w:val="none"/>
        </w:rPr>
        <w:t xml:space="preserve"> </w:t>
      </w:r>
      <w:r>
        <w:rPr>
          <w:rFonts w:ascii="宋体" w:hAnsi="宋体" w:eastAsia="宋体" w:cs="宋体"/>
          <w:color w:val="auto"/>
          <w:spacing w:val="-8"/>
          <w:sz w:val="24"/>
          <w:szCs w:val="24"/>
          <w:highlight w:val="none"/>
        </w:rPr>
        <w:t>款修改为：</w:t>
      </w:r>
    </w:p>
    <w:p w14:paraId="5C866E2B">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20.1</w:t>
      </w:r>
      <w:r>
        <w:rPr>
          <w:rFonts w:ascii="宋体" w:hAnsi="宋体" w:eastAsia="宋体" w:cs="宋体"/>
          <w:color w:val="auto"/>
          <w:spacing w:val="-38"/>
          <w:sz w:val="24"/>
          <w:szCs w:val="24"/>
          <w:highlight w:val="none"/>
        </w:rPr>
        <w:t xml:space="preserve"> </w:t>
      </w:r>
      <w:r>
        <w:rPr>
          <w:rFonts w:ascii="宋体" w:hAnsi="宋体" w:eastAsia="宋体" w:cs="宋体"/>
          <w:color w:val="auto"/>
          <w:spacing w:val="-2"/>
          <w:sz w:val="24"/>
          <w:szCs w:val="24"/>
          <w:highlight w:val="none"/>
        </w:rPr>
        <w:t>建筑工程一切险及第三者责任险</w:t>
      </w:r>
    </w:p>
    <w:p w14:paraId="5F07E790">
      <w:pPr>
        <w:spacing w:before="183" w:line="360" w:lineRule="auto"/>
        <w:ind w:left="1424" w:right="1229"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20.1.1 建筑工程一切险的投保内容：为本合同工程的永久工程、临时工程和设备</w:t>
      </w:r>
      <w:r>
        <w:rPr>
          <w:rFonts w:ascii="宋体" w:hAnsi="宋体" w:eastAsia="宋体" w:cs="宋体"/>
          <w:color w:val="auto"/>
          <w:spacing w:val="-3"/>
          <w:sz w:val="24"/>
          <w:szCs w:val="24"/>
          <w:highlight w:val="none"/>
        </w:rPr>
        <w:t>及已运至施工工地用于永久工程的材料和设备所投的保险。第三者责任系指在保险期内，</w:t>
      </w:r>
      <w:r>
        <w:rPr>
          <w:rFonts w:ascii="宋体" w:hAnsi="宋体" w:eastAsia="宋体" w:cs="宋体"/>
          <w:color w:val="auto"/>
          <w:spacing w:val="-2"/>
          <w:sz w:val="24"/>
          <w:szCs w:val="24"/>
          <w:highlight w:val="none"/>
        </w:rPr>
        <w:t>对因工程意外事故造成的、依法应由被保险人负责的工地上及毗邻地区的第三者人身伤亡、疾病或财产损失（本工程除外</w:t>
      </w:r>
      <w:r>
        <w:rPr>
          <w:rFonts w:ascii="宋体" w:hAnsi="宋体" w:eastAsia="宋体" w:cs="宋体"/>
          <w:color w:val="auto"/>
          <w:spacing w:val="7"/>
          <w:sz w:val="24"/>
          <w:szCs w:val="24"/>
          <w:highlight w:val="none"/>
        </w:rPr>
        <w:t>），</w:t>
      </w:r>
      <w:r>
        <w:rPr>
          <w:rFonts w:ascii="宋体" w:hAnsi="宋体" w:eastAsia="宋体" w:cs="宋体"/>
          <w:color w:val="auto"/>
          <w:spacing w:val="-2"/>
          <w:sz w:val="24"/>
          <w:szCs w:val="24"/>
          <w:highlight w:val="none"/>
        </w:rPr>
        <w:t>以及被保险人因此而支付的诉讼费用和事先经保</w:t>
      </w:r>
      <w:r>
        <w:rPr>
          <w:rFonts w:ascii="宋体" w:hAnsi="宋体" w:eastAsia="宋体" w:cs="宋体"/>
          <w:color w:val="auto"/>
          <w:spacing w:val="-3"/>
          <w:sz w:val="24"/>
          <w:szCs w:val="24"/>
          <w:highlight w:val="none"/>
        </w:rPr>
        <w:t>险人书面同意支付的其他费用等赔偿责任。</w:t>
      </w:r>
    </w:p>
    <w:p w14:paraId="170FE4C6">
      <w:pPr>
        <w:spacing w:before="2" w:line="359" w:lineRule="auto"/>
        <w:ind w:left="1445" w:right="1416" w:firstLine="46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保险计算基数：</w:t>
      </w:r>
      <w:r>
        <w:rPr>
          <w:rFonts w:ascii="宋体" w:hAnsi="宋体" w:eastAsia="宋体" w:cs="宋体"/>
          <w:color w:val="auto"/>
          <w:spacing w:val="-2"/>
          <w:sz w:val="24"/>
          <w:szCs w:val="24"/>
          <w:highlight w:val="none"/>
          <w:u w:val="single" w:color="auto"/>
        </w:rPr>
        <w:t>以工程量清单各章费用之和（</w:t>
      </w:r>
      <w:r>
        <w:rPr>
          <w:rFonts w:hint="default" w:ascii="宋体" w:hAnsi="宋体" w:eastAsia="宋体" w:cs="宋体"/>
          <w:snapToGrid w:val="0"/>
          <w:color w:val="auto"/>
          <w:spacing w:val="-2"/>
          <w:kern w:val="0"/>
          <w:sz w:val="24"/>
          <w:szCs w:val="24"/>
          <w:highlight w:val="none"/>
          <w:u w:val="single" w:color="auto"/>
          <w:lang w:val="en-US" w:eastAsia="zh-CN" w:bidi="ar"/>
        </w:rPr>
        <w:t>扣除建筑工程一切险及第三者责任险的保险费、安全生产费、暂列金额、机电工程设备购置费以及临时用地费</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为基数。</w:t>
      </w:r>
    </w:p>
    <w:p w14:paraId="69EF7594">
      <w:pPr>
        <w:spacing w:before="1" w:line="219"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保险费率：在项目专用合同条款数据表中约</w:t>
      </w:r>
      <w:r>
        <w:rPr>
          <w:rFonts w:ascii="宋体" w:hAnsi="宋体" w:eastAsia="宋体" w:cs="宋体"/>
          <w:color w:val="auto"/>
          <w:spacing w:val="-3"/>
          <w:sz w:val="24"/>
          <w:szCs w:val="24"/>
          <w:highlight w:val="none"/>
        </w:rPr>
        <w:t>定。</w:t>
      </w:r>
    </w:p>
    <w:p w14:paraId="29A00AAD">
      <w:pPr>
        <w:spacing w:before="183" w:line="362" w:lineRule="auto"/>
        <w:ind w:left="1440" w:right="1425" w:firstLine="46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保险期限：开工日起直至本合同工程签发缺陷责任期终止证书止（即合同工期＋缺</w:t>
      </w:r>
      <w:r>
        <w:rPr>
          <w:rFonts w:ascii="宋体" w:hAnsi="宋体" w:eastAsia="宋体" w:cs="宋体"/>
          <w:color w:val="auto"/>
          <w:spacing w:val="-9"/>
          <w:sz w:val="24"/>
          <w:szCs w:val="24"/>
          <w:highlight w:val="none"/>
        </w:rPr>
        <w:t>陷责任期）。</w:t>
      </w:r>
    </w:p>
    <w:p w14:paraId="522BFC0C">
      <w:pPr>
        <w:spacing w:before="78" w:line="360" w:lineRule="auto"/>
        <w:ind w:left="1424" w:right="1413" w:firstLine="484"/>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发包人或承包人应以发包人和承包人的共同名义投保建筑工程一切险及第三者责</w:t>
      </w:r>
      <w:r>
        <w:rPr>
          <w:rFonts w:ascii="宋体" w:hAnsi="宋体" w:eastAsia="宋体" w:cs="宋体"/>
          <w:color w:val="auto"/>
          <w:spacing w:val="-2"/>
          <w:sz w:val="24"/>
          <w:szCs w:val="24"/>
          <w:highlight w:val="none"/>
        </w:rPr>
        <w:t>任险。建筑工程一切险及第三者责任险的保险费由承包人报价时按项目专用合同条款数</w:t>
      </w:r>
      <w:r>
        <w:rPr>
          <w:rFonts w:ascii="宋体" w:hAnsi="宋体" w:eastAsia="宋体" w:cs="宋体"/>
          <w:color w:val="auto"/>
          <w:spacing w:val="-3"/>
          <w:sz w:val="24"/>
          <w:szCs w:val="24"/>
          <w:highlight w:val="none"/>
        </w:rPr>
        <w:t>据表规定的费率计算并列入工程量清单</w:t>
      </w:r>
      <w:r>
        <w:rPr>
          <w:rFonts w:ascii="宋体" w:hAnsi="宋体" w:eastAsia="宋体" w:cs="宋体"/>
          <w:color w:val="auto"/>
          <w:spacing w:val="-19"/>
          <w:sz w:val="24"/>
          <w:szCs w:val="24"/>
          <w:highlight w:val="none"/>
        </w:rPr>
        <w:t xml:space="preserve"> </w:t>
      </w:r>
      <w:r>
        <w:rPr>
          <w:rFonts w:ascii="宋体" w:hAnsi="宋体" w:eastAsia="宋体" w:cs="宋体"/>
          <w:color w:val="auto"/>
          <w:spacing w:val="-3"/>
          <w:sz w:val="24"/>
          <w:szCs w:val="24"/>
          <w:highlight w:val="none"/>
        </w:rPr>
        <w:t>100</w:t>
      </w:r>
      <w:r>
        <w:rPr>
          <w:rFonts w:ascii="宋体" w:hAnsi="宋体" w:eastAsia="宋体" w:cs="宋体"/>
          <w:color w:val="auto"/>
          <w:spacing w:val="-42"/>
          <w:sz w:val="24"/>
          <w:szCs w:val="24"/>
          <w:highlight w:val="none"/>
        </w:rPr>
        <w:t xml:space="preserve"> </w:t>
      </w:r>
      <w:r>
        <w:rPr>
          <w:rFonts w:ascii="宋体" w:hAnsi="宋体" w:eastAsia="宋体" w:cs="宋体"/>
          <w:color w:val="auto"/>
          <w:spacing w:val="-3"/>
          <w:sz w:val="24"/>
          <w:szCs w:val="24"/>
          <w:highlight w:val="none"/>
        </w:rPr>
        <w:t>章内。不论实际投保费用是高于或低于按上</w:t>
      </w:r>
      <w:r>
        <w:rPr>
          <w:rFonts w:ascii="宋体" w:hAnsi="宋体" w:eastAsia="宋体" w:cs="宋体"/>
          <w:color w:val="auto"/>
          <w:spacing w:val="-6"/>
          <w:sz w:val="24"/>
          <w:szCs w:val="24"/>
          <w:highlight w:val="none"/>
        </w:rPr>
        <w:t>述办法计算的保费，发包人都不作调整。上述保险费，</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将由发包人从承包人的应付款中</w:t>
      </w:r>
      <w:r>
        <w:rPr>
          <w:rFonts w:ascii="宋体" w:hAnsi="宋体" w:eastAsia="宋体" w:cs="宋体"/>
          <w:color w:val="auto"/>
          <w:spacing w:val="-2"/>
          <w:sz w:val="24"/>
          <w:szCs w:val="24"/>
          <w:highlight w:val="none"/>
        </w:rPr>
        <w:t>代扣，统一向保险公司支付；或先由承包人支付，在接到保险公司的保险单并经监理人签证后，发包人将按照保险单的费用直接向承包人支付，但不得高于投标文件该项所报</w:t>
      </w:r>
      <w:r>
        <w:rPr>
          <w:rFonts w:ascii="宋体" w:hAnsi="宋体" w:eastAsia="宋体" w:cs="宋体"/>
          <w:color w:val="auto"/>
          <w:spacing w:val="-9"/>
          <w:sz w:val="24"/>
          <w:szCs w:val="24"/>
          <w:highlight w:val="none"/>
        </w:rPr>
        <w:t>总额价。</w:t>
      </w:r>
    </w:p>
    <w:p w14:paraId="12D3FD73">
      <w:pPr>
        <w:spacing w:before="1" w:line="289" w:lineRule="auto"/>
        <w:ind w:left="1431" w:right="1349"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20.1.2 保险标的出险后，承包人应自行向保险人报案、登记、索赔并报告发包人，</w:t>
      </w:r>
      <w:r>
        <w:rPr>
          <w:rFonts w:ascii="宋体" w:hAnsi="宋体" w:eastAsia="宋体" w:cs="宋体"/>
          <w:color w:val="auto"/>
          <w:spacing w:val="-2"/>
          <w:sz w:val="24"/>
          <w:szCs w:val="24"/>
          <w:highlight w:val="none"/>
        </w:rPr>
        <w:t>并做好资料整理、工程损失计算等。上述工作所产生的费用由承包人承担。</w:t>
      </w:r>
    </w:p>
    <w:p w14:paraId="211E32BA">
      <w:pPr>
        <w:spacing w:before="181" w:line="290" w:lineRule="auto"/>
        <w:ind w:left="1444" w:right="1428" w:firstLine="46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20.1.3 因保险事故产生的修复、索赔等责任由承包人承担。若承包人放弃索赔或</w:t>
      </w:r>
      <w:r>
        <w:rPr>
          <w:rFonts w:ascii="宋体" w:hAnsi="宋体" w:eastAsia="宋体" w:cs="宋体"/>
          <w:color w:val="auto"/>
          <w:spacing w:val="-2"/>
          <w:sz w:val="24"/>
          <w:szCs w:val="24"/>
          <w:highlight w:val="none"/>
        </w:rPr>
        <w:t>因自身原因延误索赔，发包人保留索赔的权利，保险索赔所得费用归发包人所有。</w:t>
      </w:r>
    </w:p>
    <w:p w14:paraId="50728F24">
      <w:pPr>
        <w:spacing w:before="182" w:line="362" w:lineRule="auto"/>
        <w:ind w:left="1431" w:right="1417" w:firstLine="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保险人已确认的应支付保险赔付金由保险人全额支付给</w:t>
      </w:r>
      <w:r>
        <w:rPr>
          <w:rFonts w:ascii="宋体" w:hAnsi="宋体" w:eastAsia="宋体" w:cs="宋体"/>
          <w:color w:val="auto"/>
          <w:spacing w:val="1"/>
          <w:sz w:val="24"/>
          <w:szCs w:val="24"/>
          <w:highlight w:val="none"/>
        </w:rPr>
        <w:t>发包人， 发包人按以下规</w:t>
      </w:r>
      <w:r>
        <w:rPr>
          <w:rFonts w:ascii="宋体" w:hAnsi="宋体" w:eastAsia="宋体" w:cs="宋体"/>
          <w:color w:val="auto"/>
          <w:spacing w:val="-3"/>
          <w:sz w:val="24"/>
          <w:szCs w:val="24"/>
          <w:highlight w:val="none"/>
        </w:rPr>
        <w:t>定处置赔偿金</w:t>
      </w:r>
    </w:p>
    <w:p w14:paraId="7CC871BF">
      <w:pPr>
        <w:spacing w:before="115" w:line="222" w:lineRule="auto"/>
        <w:ind w:firstLine="1904" w:firstLineChars="8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w:t>
      </w:r>
      <w:r>
        <w:rPr>
          <w:rFonts w:ascii="宋体" w:hAnsi="宋体" w:eastAsia="宋体" w:cs="宋体"/>
          <w:color w:val="auto"/>
          <w:spacing w:val="-8"/>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8"/>
          <w:sz w:val="24"/>
          <w:szCs w:val="24"/>
          <w:highlight w:val="none"/>
        </w:rPr>
        <w:t>；</w:t>
      </w:r>
    </w:p>
    <w:p w14:paraId="63CE85E3">
      <w:pPr>
        <w:spacing w:before="299" w:line="222" w:lineRule="auto"/>
        <w:ind w:left="191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w:t>
      </w:r>
      <w:r>
        <w:rPr>
          <w:rFonts w:ascii="宋体" w:hAnsi="宋体" w:eastAsia="宋体" w:cs="宋体"/>
          <w:color w:val="auto"/>
          <w:spacing w:val="-8"/>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8"/>
          <w:sz w:val="24"/>
          <w:szCs w:val="24"/>
          <w:highlight w:val="none"/>
        </w:rPr>
        <w:t>；</w:t>
      </w:r>
    </w:p>
    <w:p w14:paraId="7C796BA7">
      <w:pPr>
        <w:spacing w:before="300" w:line="360" w:lineRule="auto"/>
        <w:ind w:left="1425"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如承包人不履行索赔主体责任或发包人认为承包人履行索赔主体责任不尽责的，发</w:t>
      </w:r>
      <w:r>
        <w:rPr>
          <w:rFonts w:ascii="宋体" w:hAnsi="宋体" w:eastAsia="宋体" w:cs="宋体"/>
          <w:color w:val="auto"/>
          <w:spacing w:val="-1"/>
          <w:sz w:val="24"/>
          <w:szCs w:val="24"/>
          <w:highlight w:val="none"/>
        </w:rPr>
        <w:t>包人有权不再支付根据第</w:t>
      </w:r>
      <w:r>
        <w:rPr>
          <w:rFonts w:ascii="宋体" w:hAnsi="宋体" w:eastAsia="宋体" w:cs="宋体"/>
          <w:color w:val="auto"/>
          <w:spacing w:val="-21"/>
          <w:sz w:val="24"/>
          <w:szCs w:val="24"/>
          <w:highlight w:val="none"/>
        </w:rPr>
        <w:t xml:space="preserve"> </w:t>
      </w:r>
      <w:r>
        <w:rPr>
          <w:rFonts w:ascii="宋体" w:hAnsi="宋体" w:eastAsia="宋体" w:cs="宋体"/>
          <w:color w:val="auto"/>
          <w:spacing w:val="-1"/>
          <w:sz w:val="24"/>
          <w:szCs w:val="24"/>
          <w:highlight w:val="none"/>
        </w:rPr>
        <w:t>17.1.6（2）目已予以暂定计量后剩余的变更费用，同时视为</w:t>
      </w:r>
      <w:r>
        <w:rPr>
          <w:rFonts w:ascii="宋体" w:hAnsi="宋体" w:eastAsia="宋体" w:cs="宋体"/>
          <w:color w:val="auto"/>
          <w:spacing w:val="-4"/>
          <w:sz w:val="24"/>
          <w:szCs w:val="24"/>
          <w:highlight w:val="none"/>
        </w:rPr>
        <w:t>承包人违约并处以违约金。</w:t>
      </w:r>
    </w:p>
    <w:p w14:paraId="5B5F4676">
      <w:pPr>
        <w:spacing w:line="219"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20.2.1 承包人员工伤事故的保险</w:t>
      </w:r>
    </w:p>
    <w:p w14:paraId="7B9CCF9D">
      <w:pPr>
        <w:spacing w:before="183" w:line="219" w:lineRule="auto"/>
        <w:ind w:left="190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本项补充：</w:t>
      </w:r>
    </w:p>
    <w:p w14:paraId="4E691402">
      <w:pPr>
        <w:spacing w:before="183" w:line="360" w:lineRule="auto"/>
        <w:ind w:left="1426" w:right="1412"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为促进承包人加强安全生产，预防和减少工伤事故，承包人应按《广东省人力资源</w:t>
      </w:r>
      <w:r>
        <w:rPr>
          <w:rFonts w:ascii="宋体" w:hAnsi="宋体" w:eastAsia="宋体" w:cs="宋体"/>
          <w:color w:val="auto"/>
          <w:spacing w:val="5"/>
          <w:sz w:val="24"/>
          <w:szCs w:val="24"/>
          <w:highlight w:val="none"/>
        </w:rPr>
        <w:t>和社会保障厅广东省财政厅国家税务总局广东省税务局关于印发广东省工伤保险基金</w:t>
      </w:r>
      <w:r>
        <w:rPr>
          <w:rFonts w:ascii="宋体" w:hAnsi="宋体" w:eastAsia="宋体" w:cs="宋体"/>
          <w:color w:val="auto"/>
          <w:spacing w:val="-3"/>
          <w:sz w:val="24"/>
          <w:szCs w:val="24"/>
          <w:highlight w:val="none"/>
        </w:rPr>
        <w:t>省级统筹实施方案的通知》（粤人社规〔2019〕20</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号）等相</w:t>
      </w:r>
      <w:r>
        <w:rPr>
          <w:rFonts w:ascii="宋体" w:hAnsi="宋体" w:eastAsia="宋体" w:cs="宋体"/>
          <w:color w:val="auto"/>
          <w:spacing w:val="-4"/>
          <w:sz w:val="24"/>
          <w:szCs w:val="24"/>
          <w:highlight w:val="none"/>
        </w:rPr>
        <w:t>关规定参加工伤保险，为其</w:t>
      </w:r>
      <w:r>
        <w:rPr>
          <w:rFonts w:ascii="宋体" w:hAnsi="宋体" w:eastAsia="宋体" w:cs="宋体"/>
          <w:color w:val="auto"/>
          <w:spacing w:val="-1"/>
          <w:sz w:val="24"/>
          <w:szCs w:val="24"/>
          <w:highlight w:val="none"/>
        </w:rPr>
        <w:t>履行合同所雇用的全部人员缴纳工伤保险费，并要求其分</w:t>
      </w:r>
      <w:r>
        <w:rPr>
          <w:rFonts w:ascii="宋体" w:hAnsi="宋体" w:eastAsia="宋体" w:cs="宋体"/>
          <w:color w:val="auto"/>
          <w:spacing w:val="-2"/>
          <w:sz w:val="24"/>
          <w:szCs w:val="24"/>
          <w:highlight w:val="none"/>
        </w:rPr>
        <w:t>包人也进行此项保险。</w:t>
      </w:r>
    </w:p>
    <w:p w14:paraId="4F79734B">
      <w:pPr>
        <w:spacing w:before="1" w:line="219"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20.4 第三者责任险</w:t>
      </w:r>
    </w:p>
    <w:p w14:paraId="2A0B5EBD">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7"/>
          <w:sz w:val="24"/>
          <w:szCs w:val="24"/>
          <w:highlight w:val="none"/>
        </w:rPr>
        <w:t>20.4.2</w:t>
      </w:r>
      <w:r>
        <w:rPr>
          <w:rFonts w:ascii="宋体" w:hAnsi="宋体" w:eastAsia="宋体" w:cs="宋体"/>
          <w:color w:val="auto"/>
          <w:spacing w:val="-47"/>
          <w:sz w:val="24"/>
          <w:szCs w:val="24"/>
          <w:highlight w:val="none"/>
        </w:rPr>
        <w:t xml:space="preserve"> </w:t>
      </w:r>
      <w:r>
        <w:rPr>
          <w:rFonts w:ascii="宋体" w:hAnsi="宋体" w:eastAsia="宋体" w:cs="宋体"/>
          <w:color w:val="auto"/>
          <w:spacing w:val="-7"/>
          <w:sz w:val="24"/>
          <w:szCs w:val="24"/>
          <w:highlight w:val="none"/>
        </w:rPr>
        <w:t>项补充：</w:t>
      </w:r>
    </w:p>
    <w:p w14:paraId="70CF2356">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第三者责任险的购买、报险、索赔等，参照第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20.1</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款约定执行。</w:t>
      </w:r>
    </w:p>
    <w:p w14:paraId="62E5CBA5">
      <w:pPr>
        <w:spacing w:before="183" w:line="362" w:lineRule="auto"/>
        <w:ind w:left="1428" w:right="1352" w:firstLine="477"/>
        <w:rPr>
          <w:color w:val="auto"/>
          <w:highlight w:val="none"/>
        </w:rPr>
      </w:pPr>
      <w:r>
        <w:rPr>
          <w:rFonts w:ascii="宋体" w:hAnsi="宋体" w:eastAsia="宋体" w:cs="宋体"/>
          <w:color w:val="auto"/>
          <w:spacing w:val="-6"/>
          <w:sz w:val="24"/>
          <w:szCs w:val="24"/>
          <w:highlight w:val="none"/>
        </w:rPr>
        <w:t>第三者责任险保险费，将由发包人从承包人的应付款中</w:t>
      </w:r>
      <w:r>
        <w:rPr>
          <w:rFonts w:ascii="宋体" w:hAnsi="宋体" w:eastAsia="宋体" w:cs="宋体"/>
          <w:color w:val="auto"/>
          <w:spacing w:val="-7"/>
          <w:sz w:val="24"/>
          <w:szCs w:val="24"/>
          <w:highlight w:val="none"/>
        </w:rPr>
        <w:t>代扣，统一向保险公司支付；</w:t>
      </w:r>
      <w:r>
        <w:rPr>
          <w:rFonts w:ascii="宋体" w:hAnsi="宋体" w:eastAsia="宋体" w:cs="宋体"/>
          <w:color w:val="auto"/>
          <w:spacing w:val="-2"/>
          <w:sz w:val="24"/>
          <w:szCs w:val="24"/>
          <w:highlight w:val="none"/>
        </w:rPr>
        <w:t>或先由承包人支付，在接到保险公司的保险单并经监理人签证后，发包人将按照保险单</w:t>
      </w:r>
    </w:p>
    <w:p w14:paraId="0AFD1303">
      <w:pPr>
        <w:spacing w:before="78" w:line="360" w:lineRule="auto"/>
        <w:ind w:left="1426" w:right="1416" w:firstLine="18"/>
        <w:rPr>
          <w:rFonts w:ascii="宋体" w:hAnsi="宋体" w:eastAsia="宋体" w:cs="宋体"/>
          <w:color w:val="auto"/>
          <w:spacing w:val="-5"/>
          <w:sz w:val="24"/>
          <w:szCs w:val="24"/>
          <w:highlight w:val="none"/>
        </w:rPr>
      </w:pPr>
      <w:r>
        <w:rPr>
          <w:rFonts w:ascii="宋体" w:hAnsi="宋体" w:eastAsia="宋体" w:cs="宋体"/>
          <w:color w:val="auto"/>
          <w:spacing w:val="-2"/>
          <w:sz w:val="24"/>
          <w:szCs w:val="24"/>
          <w:highlight w:val="none"/>
        </w:rPr>
        <w:t>的费用直接向承包人支付，但不得高于对应的承包人投标报价。具体在项目专用</w:t>
      </w:r>
      <w:r>
        <w:rPr>
          <w:rFonts w:ascii="宋体" w:hAnsi="宋体" w:eastAsia="宋体" w:cs="宋体"/>
          <w:color w:val="auto"/>
          <w:spacing w:val="-3"/>
          <w:sz w:val="24"/>
          <w:szCs w:val="24"/>
          <w:highlight w:val="none"/>
        </w:rPr>
        <w:t>合同条</w:t>
      </w:r>
      <w:r>
        <w:rPr>
          <w:rFonts w:ascii="宋体" w:hAnsi="宋体" w:eastAsia="宋体" w:cs="宋体"/>
          <w:color w:val="auto"/>
          <w:spacing w:val="-5"/>
          <w:sz w:val="24"/>
          <w:szCs w:val="24"/>
          <w:highlight w:val="none"/>
        </w:rPr>
        <w:t>款数据表中约定。</w:t>
      </w:r>
    </w:p>
    <w:p w14:paraId="45D7BAFF">
      <w:pPr>
        <w:spacing w:before="78" w:line="360" w:lineRule="auto"/>
        <w:ind w:left="1426" w:right="1416" w:firstLine="18"/>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20.5 其他保险</w:t>
      </w:r>
    </w:p>
    <w:p w14:paraId="449CEDA4">
      <w:pPr>
        <w:spacing w:before="78" w:line="360" w:lineRule="auto"/>
        <w:ind w:left="1426" w:right="1416" w:firstLine="18"/>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本项补充：</w:t>
      </w:r>
    </w:p>
    <w:p w14:paraId="7E706E43">
      <w:pPr>
        <w:spacing w:before="78" w:line="360" w:lineRule="auto"/>
        <w:ind w:left="1426" w:right="1416" w:firstLine="18"/>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承包人应办理企业生产安全责任险投保，办理该保险的一切费用均由承包人承担，并包括在工程量清单的单价及总额价中，发包人不单独支付。</w:t>
      </w:r>
    </w:p>
    <w:p w14:paraId="0349DC40">
      <w:pPr>
        <w:spacing w:line="220"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20.6.4 保险金不足的补偿</w:t>
      </w:r>
    </w:p>
    <w:p w14:paraId="78850DFB">
      <w:pPr>
        <w:spacing w:before="181" w:line="220" w:lineRule="auto"/>
        <w:ind w:left="190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 20.6.4</w:t>
      </w:r>
      <w:r>
        <w:rPr>
          <w:rFonts w:ascii="宋体" w:hAnsi="宋体" w:eastAsia="宋体" w:cs="宋体"/>
          <w:color w:val="auto"/>
          <w:spacing w:val="13"/>
          <w:sz w:val="24"/>
          <w:szCs w:val="24"/>
          <w:highlight w:val="none"/>
        </w:rPr>
        <w:t xml:space="preserve"> </w:t>
      </w:r>
      <w:r>
        <w:rPr>
          <w:rFonts w:ascii="宋体" w:hAnsi="宋体" w:eastAsia="宋体" w:cs="宋体"/>
          <w:color w:val="auto"/>
          <w:spacing w:val="-5"/>
          <w:sz w:val="24"/>
          <w:szCs w:val="24"/>
          <w:highlight w:val="none"/>
        </w:rPr>
        <w:t>项修改为：</w:t>
      </w:r>
    </w:p>
    <w:p w14:paraId="7D26115F">
      <w:pPr>
        <w:spacing w:before="182" w:line="360" w:lineRule="auto"/>
        <w:ind w:left="1426" w:right="1301"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从保险人处获得的赔偿额不足以补偿损失的（包括免赔额和超过赔偿限额的部分</w:t>
      </w:r>
      <w:r>
        <w:rPr>
          <w:rFonts w:ascii="宋体" w:hAnsi="宋体" w:eastAsia="宋体" w:cs="宋体"/>
          <w:color w:val="auto"/>
          <w:spacing w:val="-41"/>
          <w:sz w:val="24"/>
          <w:szCs w:val="24"/>
          <w:highlight w:val="none"/>
        </w:rPr>
        <w:t>），</w:t>
      </w:r>
      <w:r>
        <w:rPr>
          <w:rFonts w:ascii="宋体" w:hAnsi="宋体" w:eastAsia="宋体" w:cs="宋体"/>
          <w:color w:val="auto"/>
          <w:spacing w:val="-4"/>
          <w:sz w:val="24"/>
          <w:szCs w:val="24"/>
          <w:highlight w:val="none"/>
        </w:rPr>
        <w:t>其差额由承包人自行承担。</w:t>
      </w:r>
    </w:p>
    <w:p w14:paraId="04C3F7A5">
      <w:pPr>
        <w:spacing w:line="219"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21.不可抗力</w:t>
      </w:r>
    </w:p>
    <w:p w14:paraId="68357E27">
      <w:pPr>
        <w:spacing w:before="181" w:line="220"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21.1 不可抗力的确认</w:t>
      </w:r>
    </w:p>
    <w:p w14:paraId="40A1F167">
      <w:pPr>
        <w:spacing w:before="183" w:line="360" w:lineRule="auto"/>
        <w:ind w:left="1908" w:right="244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21.1.1</w:t>
      </w:r>
      <w:r>
        <w:rPr>
          <w:rFonts w:ascii="宋体" w:hAnsi="宋体" w:eastAsia="宋体" w:cs="宋体"/>
          <w:color w:val="auto"/>
          <w:spacing w:val="64"/>
          <w:sz w:val="24"/>
          <w:szCs w:val="24"/>
          <w:highlight w:val="none"/>
        </w:rPr>
        <w:t xml:space="preserve"> </w:t>
      </w:r>
      <w:r>
        <w:rPr>
          <w:rFonts w:ascii="宋体" w:hAnsi="宋体" w:eastAsia="宋体" w:cs="宋体"/>
          <w:color w:val="auto"/>
          <w:spacing w:val="-2"/>
          <w:sz w:val="24"/>
          <w:szCs w:val="24"/>
          <w:highlight w:val="none"/>
        </w:rPr>
        <w:t>(6)不可抗力的其他情形：</w:t>
      </w:r>
      <w:r>
        <w:rPr>
          <w:rFonts w:ascii="宋体" w:hAnsi="宋体" w:eastAsia="宋体" w:cs="宋体"/>
          <w:color w:val="auto"/>
          <w:spacing w:val="-2"/>
          <w:sz w:val="24"/>
          <w:szCs w:val="24"/>
          <w:highlight w:val="none"/>
          <w:u w:val="single" w:color="auto"/>
        </w:rPr>
        <w:t xml:space="preserve">   详见项目专用合同条款数据表    </w:t>
      </w:r>
      <w:r>
        <w:rPr>
          <w:rFonts w:ascii="宋体" w:hAnsi="宋体" w:eastAsia="宋体" w:cs="宋体"/>
          <w:color w:val="auto"/>
          <w:spacing w:val="-2"/>
          <w:sz w:val="24"/>
          <w:szCs w:val="24"/>
          <w:highlight w:val="none"/>
        </w:rPr>
        <w:t>21.3</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不可抗力后果及其处理</w:t>
      </w:r>
    </w:p>
    <w:p w14:paraId="6C1B9D26">
      <w:pPr>
        <w:spacing w:before="1" w:line="219"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21.3.1 不可抗力造成损害的责任</w:t>
      </w:r>
    </w:p>
    <w:p w14:paraId="67416A6A">
      <w:pPr>
        <w:spacing w:before="182" w:line="360" w:lineRule="auto"/>
        <w:ind w:left="1425" w:right="1416" w:firstLine="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本款补充如下内容：本款中凡是约定由发包人承担损失和赔偿责任的，均按照第</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20</w:t>
      </w:r>
      <w:r>
        <w:rPr>
          <w:rFonts w:ascii="宋体" w:hAnsi="宋体" w:eastAsia="宋体" w:cs="宋体"/>
          <w:color w:val="auto"/>
          <w:spacing w:val="-2"/>
          <w:sz w:val="24"/>
          <w:szCs w:val="24"/>
          <w:highlight w:val="none"/>
        </w:rPr>
        <w:t>条的约定，属保险范围内的均由承保人承担。如保险金不足以补偿上述损失（包括免赔</w:t>
      </w:r>
      <w:r>
        <w:rPr>
          <w:rFonts w:ascii="宋体" w:hAnsi="宋体" w:eastAsia="宋体" w:cs="宋体"/>
          <w:color w:val="auto"/>
          <w:sz w:val="24"/>
          <w:szCs w:val="24"/>
          <w:highlight w:val="none"/>
        </w:rPr>
        <w:t>额和超过赔偿限额的部分），则按照第</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21.3.1 不可抗力</w:t>
      </w:r>
      <w:r>
        <w:rPr>
          <w:rFonts w:ascii="宋体" w:hAnsi="宋体" w:eastAsia="宋体" w:cs="宋体"/>
          <w:color w:val="auto"/>
          <w:spacing w:val="-1"/>
          <w:sz w:val="24"/>
          <w:szCs w:val="24"/>
          <w:highlight w:val="none"/>
        </w:rPr>
        <w:t>造成损害的责任的分摊原则执</w:t>
      </w:r>
      <w:r>
        <w:rPr>
          <w:rFonts w:ascii="宋体" w:hAnsi="宋体" w:eastAsia="宋体" w:cs="宋体"/>
          <w:color w:val="auto"/>
          <w:spacing w:val="-12"/>
          <w:sz w:val="24"/>
          <w:szCs w:val="24"/>
          <w:highlight w:val="none"/>
        </w:rPr>
        <w:t>行。</w:t>
      </w:r>
    </w:p>
    <w:p w14:paraId="37F92EF3">
      <w:pPr>
        <w:spacing w:before="1" w:line="224" w:lineRule="auto"/>
        <w:ind w:left="1908"/>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22.</w:t>
      </w:r>
      <w:r>
        <w:rPr>
          <w:rFonts w:ascii="宋体" w:hAnsi="宋体" w:eastAsia="宋体" w:cs="宋体"/>
          <w:color w:val="auto"/>
          <w:spacing w:val="11"/>
          <w:sz w:val="24"/>
          <w:szCs w:val="24"/>
          <w:highlight w:val="none"/>
        </w:rPr>
        <w:t xml:space="preserve"> </w:t>
      </w:r>
      <w:r>
        <w:rPr>
          <w:rFonts w:ascii="宋体" w:hAnsi="宋体" w:eastAsia="宋体" w:cs="宋体"/>
          <w:b/>
          <w:bCs/>
          <w:color w:val="auto"/>
          <w:spacing w:val="-6"/>
          <w:sz w:val="24"/>
          <w:szCs w:val="24"/>
          <w:highlight w:val="none"/>
        </w:rPr>
        <w:t>违约</w:t>
      </w:r>
    </w:p>
    <w:p w14:paraId="51B7A59A">
      <w:pPr>
        <w:spacing w:before="175" w:line="220"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22.1 承包人违约</w:t>
      </w:r>
    </w:p>
    <w:p w14:paraId="68BF5A91">
      <w:pPr>
        <w:spacing w:before="183" w:line="360" w:lineRule="auto"/>
        <w:ind w:left="1429" w:right="1352" w:firstLine="476"/>
        <w:rPr>
          <w:rFonts w:ascii="宋体" w:hAnsi="宋体" w:eastAsia="宋体" w:cs="宋体"/>
          <w:color w:val="auto"/>
          <w:sz w:val="24"/>
          <w:szCs w:val="24"/>
          <w:highlight w:val="none"/>
        </w:rPr>
      </w:pPr>
      <w:r>
        <w:rPr>
          <w:rFonts w:ascii="宋体" w:hAnsi="宋体" w:eastAsia="宋体" w:cs="宋体"/>
          <w:color w:val="auto"/>
          <w:sz w:val="24"/>
          <w:szCs w:val="24"/>
          <w:highlight w:val="none"/>
        </w:rPr>
        <w:t>第</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22.1.1(4)目补充为：承包人未能按合同进度计</w:t>
      </w:r>
      <w:r>
        <w:rPr>
          <w:rFonts w:ascii="宋体" w:hAnsi="宋体" w:eastAsia="宋体" w:cs="宋体"/>
          <w:color w:val="auto"/>
          <w:spacing w:val="-1"/>
          <w:sz w:val="24"/>
          <w:szCs w:val="24"/>
          <w:highlight w:val="none"/>
        </w:rPr>
        <w:t>划及时完成合同约定的工作，或</w:t>
      </w:r>
      <w:r>
        <w:rPr>
          <w:rFonts w:ascii="宋体" w:hAnsi="宋体" w:eastAsia="宋体" w:cs="宋体"/>
          <w:color w:val="auto"/>
          <w:spacing w:val="-8"/>
          <w:sz w:val="24"/>
          <w:szCs w:val="24"/>
          <w:highlight w:val="none"/>
        </w:rPr>
        <w:t>未切实履行第</w:t>
      </w:r>
      <w:r>
        <w:rPr>
          <w:rFonts w:ascii="宋体" w:hAnsi="宋体" w:eastAsia="宋体" w:cs="宋体"/>
          <w:color w:val="auto"/>
          <w:spacing w:val="-52"/>
          <w:sz w:val="24"/>
          <w:szCs w:val="24"/>
          <w:highlight w:val="none"/>
        </w:rPr>
        <w:t xml:space="preserve"> </w:t>
      </w:r>
      <w:r>
        <w:rPr>
          <w:rFonts w:ascii="宋体" w:hAnsi="宋体" w:eastAsia="宋体" w:cs="宋体"/>
          <w:color w:val="auto"/>
          <w:spacing w:val="-8"/>
          <w:sz w:val="24"/>
          <w:szCs w:val="24"/>
          <w:highlight w:val="none"/>
        </w:rPr>
        <w:t>4.1.7</w:t>
      </w:r>
      <w:r>
        <w:rPr>
          <w:rFonts w:ascii="宋体" w:hAnsi="宋体" w:eastAsia="宋体" w:cs="宋体"/>
          <w:color w:val="auto"/>
          <w:spacing w:val="-50"/>
          <w:sz w:val="24"/>
          <w:szCs w:val="24"/>
          <w:highlight w:val="none"/>
        </w:rPr>
        <w:t xml:space="preserve"> </w:t>
      </w:r>
      <w:r>
        <w:rPr>
          <w:rFonts w:ascii="宋体" w:hAnsi="宋体" w:eastAsia="宋体" w:cs="宋体"/>
          <w:color w:val="auto"/>
          <w:spacing w:val="-8"/>
          <w:sz w:val="24"/>
          <w:szCs w:val="24"/>
          <w:highlight w:val="none"/>
        </w:rPr>
        <w:t>款的约定，导致发生工程阻工、停工，</w:t>
      </w:r>
      <w:r>
        <w:rPr>
          <w:rFonts w:ascii="宋体" w:hAnsi="宋体" w:eastAsia="宋体" w:cs="宋体"/>
          <w:color w:val="auto"/>
          <w:spacing w:val="-41"/>
          <w:sz w:val="24"/>
          <w:szCs w:val="24"/>
          <w:highlight w:val="none"/>
        </w:rPr>
        <w:t xml:space="preserve"> </w:t>
      </w:r>
      <w:r>
        <w:rPr>
          <w:rFonts w:ascii="宋体" w:hAnsi="宋体" w:eastAsia="宋体" w:cs="宋体"/>
          <w:color w:val="auto"/>
          <w:spacing w:val="-8"/>
          <w:sz w:val="24"/>
          <w:szCs w:val="24"/>
          <w:highlight w:val="none"/>
        </w:rPr>
        <w:t>已造成或预</w:t>
      </w:r>
      <w:r>
        <w:rPr>
          <w:rFonts w:ascii="宋体" w:hAnsi="宋体" w:eastAsia="宋体" w:cs="宋体"/>
          <w:color w:val="auto"/>
          <w:spacing w:val="-9"/>
          <w:sz w:val="24"/>
          <w:szCs w:val="24"/>
          <w:highlight w:val="none"/>
        </w:rPr>
        <w:t>期造成工期延误；</w:t>
      </w:r>
    </w:p>
    <w:p w14:paraId="53626B6F">
      <w:pPr>
        <w:spacing w:before="1" w:line="219"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22.1.2 对承包人违约的处理</w:t>
      </w:r>
    </w:p>
    <w:p w14:paraId="5DE31991">
      <w:pPr>
        <w:spacing w:before="182" w:line="219" w:lineRule="auto"/>
        <w:ind w:left="19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将本款第(4)目修改如下：</w:t>
      </w:r>
    </w:p>
    <w:p w14:paraId="7B52071B">
      <w:pPr>
        <w:spacing w:before="184" w:line="360" w:lineRule="auto"/>
        <w:ind w:left="1425" w:right="1416" w:firstLine="522"/>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(4) 承包人发生第</w:t>
      </w:r>
      <w:r>
        <w:rPr>
          <w:rFonts w:ascii="宋体" w:hAnsi="宋体" w:eastAsia="宋体" w:cs="宋体"/>
          <w:color w:val="auto"/>
          <w:spacing w:val="-45"/>
          <w:sz w:val="24"/>
          <w:szCs w:val="24"/>
          <w:highlight w:val="none"/>
        </w:rPr>
        <w:t xml:space="preserve"> </w:t>
      </w:r>
      <w:r>
        <w:rPr>
          <w:rFonts w:ascii="宋体" w:hAnsi="宋体" w:eastAsia="宋体" w:cs="宋体"/>
          <w:color w:val="auto"/>
          <w:sz w:val="24"/>
          <w:szCs w:val="24"/>
          <w:highlight w:val="none"/>
        </w:rPr>
        <w:t>22.1.1</w:t>
      </w:r>
      <w:r>
        <w:rPr>
          <w:rFonts w:ascii="宋体" w:hAnsi="宋体" w:eastAsia="宋体" w:cs="宋体"/>
          <w:color w:val="auto"/>
          <w:spacing w:val="-44"/>
          <w:sz w:val="24"/>
          <w:szCs w:val="24"/>
          <w:highlight w:val="none"/>
        </w:rPr>
        <w:t xml:space="preserve"> </w:t>
      </w:r>
      <w:r>
        <w:rPr>
          <w:rFonts w:ascii="宋体" w:hAnsi="宋体" w:eastAsia="宋体" w:cs="宋体"/>
          <w:color w:val="auto"/>
          <w:sz w:val="24"/>
          <w:szCs w:val="24"/>
          <w:highlight w:val="none"/>
        </w:rPr>
        <w:t>项约定</w:t>
      </w:r>
      <w:r>
        <w:rPr>
          <w:rFonts w:ascii="宋体" w:hAnsi="宋体" w:eastAsia="宋体" w:cs="宋体"/>
          <w:color w:val="auto"/>
          <w:spacing w:val="-1"/>
          <w:sz w:val="24"/>
          <w:szCs w:val="24"/>
          <w:highlight w:val="none"/>
        </w:rPr>
        <w:t>的违约情况时，无论发包人是否解除合同，发包</w:t>
      </w:r>
      <w:r>
        <w:rPr>
          <w:rFonts w:ascii="宋体" w:hAnsi="宋体" w:eastAsia="宋体" w:cs="宋体"/>
          <w:color w:val="auto"/>
          <w:spacing w:val="-2"/>
          <w:sz w:val="24"/>
          <w:szCs w:val="24"/>
          <w:highlight w:val="none"/>
        </w:rPr>
        <w:t>人应按本合同附件的规定向承包人课以违约金，并由发包人将其违约行为上报上级交通运输主管部门，作为不良记录纳入公路建设市场监督管理系统。</w:t>
      </w:r>
    </w:p>
    <w:p w14:paraId="0A5F78E4">
      <w:pPr>
        <w:spacing w:before="1" w:line="218" w:lineRule="auto"/>
        <w:ind w:left="190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在本款下增加第(5)～第(7)目如下：</w:t>
      </w:r>
    </w:p>
    <w:p w14:paraId="1532F0C2">
      <w:pPr>
        <w:spacing w:before="183" w:line="325" w:lineRule="auto"/>
        <w:ind w:left="1424" w:right="1416"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（5）发包人按合同规定向承包人开出的任何违约金，除合同另有规定外，均从发</w:t>
      </w:r>
      <w:r>
        <w:rPr>
          <w:rFonts w:ascii="宋体" w:hAnsi="宋体" w:eastAsia="宋体" w:cs="宋体"/>
          <w:color w:val="auto"/>
          <w:spacing w:val="-5"/>
          <w:sz w:val="24"/>
          <w:szCs w:val="24"/>
          <w:highlight w:val="none"/>
        </w:rPr>
        <w:t>包人应向承包人支付的工程款中直接扣除。除非合同另有规定， 发包人向承包人开出的</w:t>
      </w:r>
      <w:r>
        <w:rPr>
          <w:rFonts w:ascii="宋体" w:hAnsi="宋体" w:eastAsia="宋体" w:cs="宋体"/>
          <w:color w:val="auto"/>
          <w:spacing w:val="-2"/>
          <w:sz w:val="24"/>
          <w:szCs w:val="24"/>
          <w:highlight w:val="none"/>
        </w:rPr>
        <w:t>任何违约金将导致承包人最终的应得结算价款相应地减少（除合同另有约定外）。承包</w:t>
      </w:r>
      <w:r>
        <w:rPr>
          <w:rFonts w:ascii="宋体" w:hAnsi="宋体" w:eastAsia="宋体" w:cs="宋体"/>
          <w:color w:val="auto"/>
          <w:spacing w:val="-4"/>
          <w:sz w:val="24"/>
          <w:szCs w:val="24"/>
          <w:highlight w:val="none"/>
        </w:rPr>
        <w:t>人必须完全接受上述条款。</w:t>
      </w:r>
    </w:p>
    <w:p w14:paraId="0028D47F">
      <w:pPr>
        <w:spacing w:before="182" w:line="220" w:lineRule="auto"/>
        <w:ind w:left="1911"/>
        <w:rPr>
          <w:color w:val="auto"/>
          <w:highlight w:val="none"/>
        </w:rPr>
      </w:pPr>
      <w:r>
        <w:rPr>
          <w:rFonts w:ascii="宋体" w:hAnsi="宋体" w:eastAsia="宋体" w:cs="宋体"/>
          <w:color w:val="auto"/>
          <w:spacing w:val="1"/>
          <w:sz w:val="24"/>
          <w:szCs w:val="24"/>
          <w:highlight w:val="none"/>
        </w:rPr>
        <w:t>（6）发包人按合同规定向承包人开出的任何违约处罚金的扣除时间，可以在发包</w:t>
      </w:r>
    </w:p>
    <w:p w14:paraId="25098B19">
      <w:pPr>
        <w:spacing w:before="78" w:line="360" w:lineRule="auto"/>
        <w:ind w:left="1427" w:right="141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人认为合适的任何一个期中支付月份中扣除。发包人扣除承包人违约金时间的延迟或滞后，并不代表处罚不再执行，也不代表对承包人行为的认可或默认。</w:t>
      </w:r>
    </w:p>
    <w:p w14:paraId="5CD9A98B">
      <w:pPr>
        <w:spacing w:before="2" w:line="359" w:lineRule="auto"/>
        <w:ind w:left="1428" w:right="1427"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（7）本项目所有承包人的违约金均由业主掌握使用，可部分或全部用于本项目的</w:t>
      </w:r>
      <w:r>
        <w:rPr>
          <w:rFonts w:ascii="宋体" w:hAnsi="宋体" w:eastAsia="宋体" w:cs="宋体"/>
          <w:color w:val="auto"/>
          <w:spacing w:val="-6"/>
          <w:sz w:val="24"/>
          <w:szCs w:val="24"/>
          <w:highlight w:val="none"/>
        </w:rPr>
        <w:t>各项评比和奖励。</w:t>
      </w:r>
    </w:p>
    <w:p w14:paraId="1785495A">
      <w:pPr>
        <w:spacing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22.2</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发包人违约</w:t>
      </w:r>
    </w:p>
    <w:p w14:paraId="7AD86AA0">
      <w:pPr>
        <w:spacing w:before="181" w:line="219" w:lineRule="auto"/>
        <w:ind w:left="190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本款细化为：</w:t>
      </w:r>
    </w:p>
    <w:p w14:paraId="16ADC4D9">
      <w:pPr>
        <w:spacing w:before="182" w:line="290" w:lineRule="auto"/>
        <w:ind w:left="1445" w:right="1416" w:firstLine="463"/>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本款细化为：</w:t>
      </w:r>
    </w:p>
    <w:p w14:paraId="6AD8A02F">
      <w:pPr>
        <w:spacing w:before="182" w:line="290" w:lineRule="auto"/>
        <w:ind w:left="1445" w:right="1416" w:firstLine="463"/>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发包人其他违约责任：因征地拆迁滞后、政府有关部门行政干预（包括暂停工、赶工以及工程变更），工期可以顺延，费用不予考虑。</w:t>
      </w:r>
    </w:p>
    <w:p w14:paraId="79A07910">
      <w:pPr>
        <w:spacing w:before="182" w:line="220"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增加第</w:t>
      </w:r>
      <w:r>
        <w:rPr>
          <w:rFonts w:ascii="宋体" w:hAnsi="宋体" w:eastAsia="宋体" w:cs="宋体"/>
          <w:color w:val="auto"/>
          <w:spacing w:val="-48"/>
          <w:sz w:val="24"/>
          <w:szCs w:val="24"/>
          <w:highlight w:val="none"/>
        </w:rPr>
        <w:t xml:space="preserve"> </w:t>
      </w:r>
      <w:r>
        <w:rPr>
          <w:rFonts w:ascii="宋体" w:hAnsi="宋体" w:eastAsia="宋体" w:cs="宋体"/>
          <w:color w:val="auto"/>
          <w:spacing w:val="-4"/>
          <w:sz w:val="24"/>
          <w:szCs w:val="24"/>
          <w:highlight w:val="none"/>
        </w:rPr>
        <w:t>25</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条</w:t>
      </w:r>
    </w:p>
    <w:p w14:paraId="1C6D1D1E">
      <w:pPr>
        <w:spacing w:before="165" w:line="233" w:lineRule="auto"/>
        <w:ind w:left="1908"/>
        <w:rPr>
          <w:rFonts w:ascii="宋体" w:hAnsi="宋体" w:eastAsia="宋体" w:cs="宋体"/>
          <w:color w:val="auto"/>
          <w:sz w:val="12"/>
          <w:szCs w:val="12"/>
          <w:highlight w:val="none"/>
        </w:rPr>
      </w:pPr>
      <w:r>
        <w:rPr>
          <w:rFonts w:ascii="宋体" w:hAnsi="宋体" w:eastAsia="宋体" w:cs="宋体"/>
          <w:color w:val="auto"/>
          <w:spacing w:val="-1"/>
          <w:sz w:val="24"/>
          <w:szCs w:val="24"/>
          <w:highlight w:val="none"/>
        </w:rPr>
        <w:t>25 本项目需增加的专用合同条款</w:t>
      </w:r>
    </w:p>
    <w:p w14:paraId="084765B8">
      <w:pPr>
        <w:spacing w:before="183" w:line="219"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25.1</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承包人退出机制</w:t>
      </w:r>
    </w:p>
    <w:p w14:paraId="45B266AD">
      <w:pPr>
        <w:spacing w:before="183" w:line="219" w:lineRule="auto"/>
        <w:ind w:left="190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发包人对不能满足各阶段工作目标的承包人实</w:t>
      </w:r>
      <w:r>
        <w:rPr>
          <w:rFonts w:ascii="宋体" w:hAnsi="宋体" w:eastAsia="宋体" w:cs="宋体"/>
          <w:color w:val="auto"/>
          <w:spacing w:val="-2"/>
          <w:sz w:val="24"/>
          <w:szCs w:val="24"/>
          <w:highlight w:val="none"/>
        </w:rPr>
        <w:t>行强制退出本项目建设的办法。</w:t>
      </w:r>
    </w:p>
    <w:p w14:paraId="2ED7C475">
      <w:pPr>
        <w:spacing w:before="184" w:line="361" w:lineRule="auto"/>
        <w:ind w:left="1427" w:right="1416" w:firstLine="481"/>
        <w:rPr>
          <w:color w:val="auto"/>
          <w:highlight w:val="none"/>
        </w:rPr>
      </w:pPr>
      <w:r>
        <w:rPr>
          <w:rFonts w:ascii="宋体" w:hAnsi="宋体" w:eastAsia="宋体" w:cs="宋体"/>
          <w:color w:val="auto"/>
          <w:spacing w:val="1"/>
          <w:sz w:val="24"/>
          <w:szCs w:val="24"/>
          <w:highlight w:val="none"/>
        </w:rPr>
        <w:t>发包人将视承包人的实际施工能力情况，可按</w:t>
      </w:r>
      <w:r>
        <w:rPr>
          <w:rFonts w:ascii="宋体" w:hAnsi="宋体" w:eastAsia="宋体" w:cs="宋体"/>
          <w:color w:val="auto"/>
          <w:spacing w:val="-43"/>
          <w:sz w:val="24"/>
          <w:szCs w:val="24"/>
          <w:highlight w:val="none"/>
        </w:rPr>
        <w:t xml:space="preserve"> </w:t>
      </w:r>
      <w:r>
        <w:rPr>
          <w:rFonts w:ascii="宋体" w:hAnsi="宋体" w:eastAsia="宋体" w:cs="宋体"/>
          <w:color w:val="auto"/>
          <w:spacing w:val="1"/>
          <w:sz w:val="24"/>
          <w:szCs w:val="24"/>
          <w:highlight w:val="none"/>
        </w:rPr>
        <w:t>4.3.</w:t>
      </w:r>
      <w:r>
        <w:rPr>
          <w:rFonts w:ascii="宋体" w:hAnsi="宋体" w:eastAsia="宋体" w:cs="宋体"/>
          <w:color w:val="auto"/>
          <w:sz w:val="24"/>
          <w:szCs w:val="24"/>
          <w:highlight w:val="none"/>
        </w:rPr>
        <w:t>15、4.3.16</w:t>
      </w:r>
      <w:r>
        <w:rPr>
          <w:rFonts w:ascii="宋体" w:hAnsi="宋体" w:eastAsia="宋体" w:cs="宋体"/>
          <w:color w:val="auto"/>
          <w:spacing w:val="-46"/>
          <w:sz w:val="24"/>
          <w:szCs w:val="24"/>
          <w:highlight w:val="none"/>
        </w:rPr>
        <w:t xml:space="preserve"> </w:t>
      </w:r>
      <w:r>
        <w:rPr>
          <w:rFonts w:ascii="宋体" w:hAnsi="宋体" w:eastAsia="宋体" w:cs="宋体"/>
          <w:color w:val="auto"/>
          <w:sz w:val="24"/>
          <w:szCs w:val="24"/>
          <w:highlight w:val="none"/>
        </w:rPr>
        <w:t>款将该标段内剩余</w:t>
      </w:r>
      <w:r>
        <w:rPr>
          <w:rFonts w:ascii="宋体" w:hAnsi="宋体" w:eastAsia="宋体" w:cs="宋体"/>
          <w:color w:val="auto"/>
          <w:spacing w:val="-2"/>
          <w:sz w:val="24"/>
          <w:szCs w:val="24"/>
          <w:highlight w:val="none"/>
        </w:rPr>
        <w:t>工程的部分或全部进行特殊分包，强制部分或整体退出。由发包人在本项目选择履约情</w:t>
      </w:r>
      <w:r>
        <w:rPr>
          <w:rFonts w:ascii="宋体" w:hAnsi="宋体" w:eastAsia="宋体" w:cs="宋体"/>
          <w:color w:val="auto"/>
          <w:spacing w:val="-5"/>
          <w:sz w:val="24"/>
          <w:szCs w:val="24"/>
          <w:highlight w:val="none"/>
        </w:rPr>
        <w:t>况好的承包人承接剩余工程或采用招标方式选择承包人。如承包人逾期不退场的， 发包</w:t>
      </w:r>
      <w:r>
        <w:rPr>
          <w:rFonts w:ascii="宋体" w:hAnsi="宋体" w:eastAsia="宋体" w:cs="宋体"/>
          <w:color w:val="auto"/>
          <w:spacing w:val="-2"/>
          <w:sz w:val="24"/>
          <w:szCs w:val="24"/>
          <w:highlight w:val="none"/>
        </w:rPr>
        <w:t>人有权委托第三方清理，所需费用由承包人承担。</w:t>
      </w:r>
    </w:p>
    <w:p w14:paraId="04C79F60">
      <w:pPr>
        <w:spacing w:before="78"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25.1.1</w:t>
      </w:r>
      <w:r>
        <w:rPr>
          <w:rFonts w:ascii="宋体" w:hAnsi="宋体" w:eastAsia="宋体" w:cs="宋体"/>
          <w:color w:val="auto"/>
          <w:spacing w:val="-41"/>
          <w:sz w:val="24"/>
          <w:szCs w:val="24"/>
          <w:highlight w:val="none"/>
        </w:rPr>
        <w:t xml:space="preserve"> </w:t>
      </w:r>
      <w:r>
        <w:rPr>
          <w:rFonts w:ascii="宋体" w:hAnsi="宋体" w:eastAsia="宋体" w:cs="宋体"/>
          <w:color w:val="auto"/>
          <w:spacing w:val="-3"/>
          <w:sz w:val="24"/>
          <w:szCs w:val="24"/>
          <w:highlight w:val="none"/>
        </w:rPr>
        <w:t>部分退出</w:t>
      </w:r>
    </w:p>
    <w:p w14:paraId="24583008">
      <w:pPr>
        <w:spacing w:before="182" w:line="290" w:lineRule="auto"/>
        <w:ind w:left="1445" w:right="1418" w:firstLine="466"/>
        <w:rPr>
          <w:rFonts w:ascii="宋体" w:hAnsi="宋体" w:eastAsia="宋体" w:cs="宋体"/>
          <w:color w:val="auto"/>
          <w:sz w:val="24"/>
          <w:szCs w:val="24"/>
          <w:highlight w:val="none"/>
        </w:rPr>
      </w:pPr>
      <w:r>
        <w:rPr>
          <w:rFonts w:ascii="宋体" w:hAnsi="宋体" w:eastAsia="宋体" w:cs="宋体"/>
          <w:color w:val="auto"/>
          <w:sz w:val="24"/>
          <w:szCs w:val="24"/>
          <w:highlight w:val="none"/>
        </w:rPr>
        <w:t>（1）人员退出：承包人的主要管理人员和技术骨干如不满足要求的，按</w:t>
      </w:r>
      <w:r>
        <w:rPr>
          <w:rFonts w:ascii="宋体" w:hAnsi="宋体" w:eastAsia="宋体" w:cs="宋体"/>
          <w:color w:val="auto"/>
          <w:spacing w:val="-23"/>
          <w:sz w:val="24"/>
          <w:szCs w:val="24"/>
          <w:highlight w:val="none"/>
        </w:rPr>
        <w:t xml:space="preserve"> </w:t>
      </w:r>
      <w:r>
        <w:rPr>
          <w:rFonts w:ascii="宋体" w:hAnsi="宋体" w:eastAsia="宋体" w:cs="宋体"/>
          <w:color w:val="auto"/>
          <w:sz w:val="24"/>
          <w:szCs w:val="24"/>
          <w:highlight w:val="none"/>
        </w:rPr>
        <w:t>4.6.3</w:t>
      </w:r>
      <w:r>
        <w:rPr>
          <w:rFonts w:ascii="宋体" w:hAnsi="宋体" w:eastAsia="宋体" w:cs="宋体"/>
          <w:color w:val="auto"/>
          <w:spacing w:val="-44"/>
          <w:sz w:val="24"/>
          <w:szCs w:val="24"/>
          <w:highlight w:val="none"/>
        </w:rPr>
        <w:t xml:space="preserve"> </w:t>
      </w:r>
      <w:r>
        <w:rPr>
          <w:rFonts w:ascii="宋体" w:hAnsi="宋体" w:eastAsia="宋体" w:cs="宋体"/>
          <w:color w:val="auto"/>
          <w:sz w:val="24"/>
          <w:szCs w:val="24"/>
          <w:highlight w:val="none"/>
        </w:rPr>
        <w:t>项</w:t>
      </w:r>
      <w:r>
        <w:rPr>
          <w:rFonts w:ascii="宋体" w:hAnsi="宋体" w:eastAsia="宋体" w:cs="宋体"/>
          <w:color w:val="auto"/>
          <w:spacing w:val="-6"/>
          <w:sz w:val="24"/>
          <w:szCs w:val="24"/>
          <w:highlight w:val="none"/>
        </w:rPr>
        <w:t>的规定进行违约处理。</w:t>
      </w:r>
    </w:p>
    <w:p w14:paraId="2FCB0E2D">
      <w:pPr>
        <w:spacing w:before="182" w:line="289" w:lineRule="auto"/>
        <w:ind w:left="1426" w:right="1435"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（2）机械退出：机械设备达不到额定产能的 85</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%者退出，并按监理人或发包人的</w:t>
      </w:r>
      <w:r>
        <w:rPr>
          <w:rFonts w:ascii="宋体" w:hAnsi="宋体" w:eastAsia="宋体" w:cs="宋体"/>
          <w:color w:val="auto"/>
          <w:spacing w:val="-2"/>
          <w:sz w:val="24"/>
          <w:szCs w:val="24"/>
          <w:highlight w:val="none"/>
        </w:rPr>
        <w:t>要求及时组织性能良好的同类型的机械进驻施工现场。</w:t>
      </w:r>
    </w:p>
    <w:p w14:paraId="35B6F96B">
      <w:pPr>
        <w:spacing w:before="184" w:line="290" w:lineRule="auto"/>
        <w:ind w:left="1425" w:right="1427"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（3）专业队伍退出：在施工过程中累计发生两次生产安全事故或两次较大质量问</w:t>
      </w:r>
      <w:r>
        <w:rPr>
          <w:rFonts w:ascii="宋体" w:hAnsi="宋体" w:eastAsia="宋体" w:cs="宋体"/>
          <w:color w:val="auto"/>
          <w:spacing w:val="-6"/>
          <w:sz w:val="24"/>
          <w:szCs w:val="24"/>
          <w:highlight w:val="none"/>
        </w:rPr>
        <w:t>题者强制退出。</w:t>
      </w:r>
    </w:p>
    <w:p w14:paraId="72941434">
      <w:pPr>
        <w:spacing w:before="181" w:line="290" w:lineRule="auto"/>
        <w:ind w:left="1425" w:right="1427"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（4）工程进度达不到上述要求，承包人增加人员、设备仍达不到进度要求的，发</w:t>
      </w:r>
      <w:r>
        <w:rPr>
          <w:rFonts w:ascii="宋体" w:hAnsi="宋体" w:eastAsia="宋体" w:cs="宋体"/>
          <w:color w:val="auto"/>
          <w:spacing w:val="-3"/>
          <w:sz w:val="24"/>
          <w:szCs w:val="24"/>
          <w:highlight w:val="none"/>
        </w:rPr>
        <w:t>包人有权对相应分项工程进行强制分割处理。</w:t>
      </w:r>
    </w:p>
    <w:p w14:paraId="55EA3B91">
      <w:pPr>
        <w:spacing w:before="182" w:line="221"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25.1.2</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整体退出</w:t>
      </w:r>
    </w:p>
    <w:p w14:paraId="5F05E8D9">
      <w:pPr>
        <w:spacing w:before="181" w:line="220" w:lineRule="auto"/>
        <w:ind w:left="191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（1）出现转包、非法分包；</w:t>
      </w:r>
    </w:p>
    <w:p w14:paraId="646BEE6A">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（2）出现重大安全责任，造成严重社会影响；</w:t>
      </w:r>
    </w:p>
    <w:p w14:paraId="4D524396">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（3）出现重大质量事故，严重影响工程质量和进度，造成严重</w:t>
      </w:r>
      <w:r>
        <w:rPr>
          <w:rFonts w:ascii="宋体" w:hAnsi="宋体" w:eastAsia="宋体" w:cs="宋体"/>
          <w:color w:val="auto"/>
          <w:spacing w:val="-3"/>
          <w:sz w:val="24"/>
          <w:szCs w:val="24"/>
          <w:highlight w:val="none"/>
        </w:rPr>
        <w:t>社会影响；</w:t>
      </w:r>
    </w:p>
    <w:p w14:paraId="39E5364C">
      <w:pPr>
        <w:spacing w:before="183"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（4）由承包人自身原因导致使上述计划任务无法完成的；</w:t>
      </w:r>
    </w:p>
    <w:p w14:paraId="7FD5BEAC">
      <w:pPr>
        <w:spacing w:before="182" w:line="220" w:lineRule="auto"/>
        <w:ind w:left="19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整体退出的施工企业，发包人将建议交通主管部门降低其信用等级。</w:t>
      </w:r>
    </w:p>
    <w:p w14:paraId="5A9535B4">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25.1.3</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退出清算</w:t>
      </w:r>
    </w:p>
    <w:p w14:paraId="6E4F030E">
      <w:pPr>
        <w:spacing w:before="182" w:line="290" w:lineRule="auto"/>
        <w:ind w:left="1429" w:right="142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（1）发包人对承包人整体退出本项目工程建设进行公示，并要求承包人对拖欠款</w:t>
      </w:r>
      <w:r>
        <w:rPr>
          <w:rFonts w:ascii="宋体" w:hAnsi="宋体" w:eastAsia="宋体" w:cs="宋体"/>
          <w:color w:val="auto"/>
          <w:spacing w:val="-4"/>
          <w:sz w:val="24"/>
          <w:szCs w:val="24"/>
          <w:highlight w:val="none"/>
        </w:rPr>
        <w:t>项的单位和个人及时清算。</w:t>
      </w:r>
    </w:p>
    <w:p w14:paraId="1F5237EC">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（2）发包人扣押履约担保、质量保证金、停止计量支付。</w:t>
      </w:r>
    </w:p>
    <w:p w14:paraId="2B008CEB">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（3）承包人必须向发包人提交已完成工程的齐全的施工资料。</w:t>
      </w:r>
    </w:p>
    <w:p w14:paraId="11827785">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（4）清算后特殊分包单位的确定原则：</w:t>
      </w:r>
    </w:p>
    <w:p w14:paraId="20CA1574">
      <w:pPr>
        <w:spacing w:before="183" w:line="360" w:lineRule="auto"/>
        <w:ind w:left="1426" w:right="1416" w:firstLine="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由发包人选择本项目实力较强、质量进度评比</w:t>
      </w:r>
      <w:r>
        <w:rPr>
          <w:rFonts w:ascii="宋体" w:hAnsi="宋体" w:eastAsia="宋体" w:cs="宋体"/>
          <w:color w:val="auto"/>
          <w:spacing w:val="-3"/>
          <w:sz w:val="24"/>
          <w:szCs w:val="24"/>
          <w:highlight w:val="none"/>
        </w:rPr>
        <w:t>排名靠前的承包单位或由发包人通过</w:t>
      </w:r>
      <w:r>
        <w:rPr>
          <w:rFonts w:ascii="宋体" w:hAnsi="宋体" w:eastAsia="宋体" w:cs="宋体"/>
          <w:color w:val="auto"/>
          <w:spacing w:val="-6"/>
          <w:sz w:val="24"/>
          <w:szCs w:val="24"/>
          <w:highlight w:val="none"/>
        </w:rPr>
        <w:t>合法方式选择分包单位；</w:t>
      </w:r>
    </w:p>
    <w:p w14:paraId="2F31A873">
      <w:pPr>
        <w:spacing w:line="219" w:lineRule="auto"/>
        <w:ind w:left="190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分包单位选择情况上报上级行政主管部门；</w:t>
      </w:r>
    </w:p>
    <w:p w14:paraId="533AF9E5">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特殊分包单位应具备特殊分包工程相对应的资质要求。</w:t>
      </w:r>
    </w:p>
    <w:p w14:paraId="6CF02950">
      <w:pPr>
        <w:spacing w:before="183" w:line="289" w:lineRule="auto"/>
        <w:ind w:left="1425" w:right="1426" w:firstLine="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（5）清算后费用承担：特殊分包范围内的项目，由于上述（4）确定的分包价与承</w:t>
      </w:r>
      <w:r>
        <w:rPr>
          <w:rFonts w:ascii="宋体" w:hAnsi="宋体" w:eastAsia="宋体" w:cs="宋体"/>
          <w:color w:val="auto"/>
          <w:spacing w:val="-3"/>
          <w:sz w:val="24"/>
          <w:szCs w:val="24"/>
          <w:highlight w:val="none"/>
        </w:rPr>
        <w:t>包人合同价产生的价差由承包人承担。</w:t>
      </w:r>
    </w:p>
    <w:p w14:paraId="7CC82AA1">
      <w:pPr>
        <w:spacing w:before="184" w:line="220" w:lineRule="auto"/>
        <w:ind w:left="191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（6）承包人应无条件接受，指定特殊分包单位无须向承包人交纳管理费。</w:t>
      </w:r>
    </w:p>
    <w:p w14:paraId="13590867">
      <w:pPr>
        <w:spacing w:before="182" w:line="362" w:lineRule="auto"/>
        <w:ind w:left="1425" w:right="1384" w:firstLine="478"/>
        <w:rPr>
          <w:color w:val="auto"/>
          <w:highlight w:val="none"/>
        </w:rPr>
      </w:pPr>
      <w:r>
        <w:rPr>
          <w:rFonts w:ascii="宋体" w:hAnsi="宋体" w:eastAsia="宋体" w:cs="宋体"/>
          <w:color w:val="auto"/>
          <w:spacing w:val="-1"/>
          <w:sz w:val="24"/>
          <w:szCs w:val="24"/>
          <w:highlight w:val="none"/>
        </w:rPr>
        <w:t>但无论如何，承包人应按发包人要求提供已有的临时设施（如便道、电力线路等）</w:t>
      </w:r>
      <w:r>
        <w:rPr>
          <w:rFonts w:ascii="宋体" w:hAnsi="宋体" w:eastAsia="宋体" w:cs="宋体"/>
          <w:color w:val="auto"/>
          <w:spacing w:val="-2"/>
          <w:sz w:val="24"/>
          <w:szCs w:val="24"/>
          <w:highlight w:val="none"/>
        </w:rPr>
        <w:t>供特殊分包人使用，承包人不得为此要求增加任何费用。</w:t>
      </w:r>
    </w:p>
    <w:p w14:paraId="28218DDC">
      <w:pPr>
        <w:spacing w:before="78" w:line="220"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25.2 工程管理要求</w:t>
      </w:r>
    </w:p>
    <w:p w14:paraId="49A80483">
      <w:pPr>
        <w:spacing w:before="184" w:line="357" w:lineRule="auto"/>
        <w:ind w:left="1424" w:right="1229"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鉴于发包人在项目建设管理过程中将推行交通运输部、广东省关于绿色公路、品质</w:t>
      </w:r>
      <w:r>
        <w:rPr>
          <w:rFonts w:ascii="宋体" w:hAnsi="宋体" w:eastAsia="宋体" w:cs="宋体"/>
          <w:color w:val="auto"/>
          <w:spacing w:val="-3"/>
          <w:sz w:val="24"/>
          <w:szCs w:val="24"/>
          <w:highlight w:val="none"/>
        </w:rPr>
        <w:t>工程等公路工程现代化管理和公路施工标准化管理，为确保对项目生产一线的有效管理，</w:t>
      </w:r>
      <w:r>
        <w:rPr>
          <w:rFonts w:ascii="宋体" w:hAnsi="宋体" w:eastAsia="宋体" w:cs="宋体"/>
          <w:color w:val="auto"/>
          <w:spacing w:val="-2"/>
          <w:sz w:val="24"/>
          <w:szCs w:val="24"/>
          <w:highlight w:val="none"/>
        </w:rPr>
        <w:t>承包人在进场施工时应配备足够的车辆用于项目管理现场，直至本项目建成通车。承包人应针对上述管理要求制定相应的工作方案，相应的人员、车辆应报监理人及发包人审</w:t>
      </w:r>
      <w:r>
        <w:rPr>
          <w:rFonts w:ascii="宋体" w:hAnsi="宋体" w:eastAsia="宋体" w:cs="宋体"/>
          <w:color w:val="auto"/>
          <w:spacing w:val="-11"/>
          <w:sz w:val="24"/>
          <w:szCs w:val="24"/>
          <w:highlight w:val="none"/>
        </w:rPr>
        <w:t>批。</w:t>
      </w:r>
    </w:p>
    <w:p w14:paraId="4625AD9D">
      <w:pPr>
        <w:spacing w:line="233" w:lineRule="auto"/>
        <w:ind w:left="1908"/>
        <w:rPr>
          <w:color w:val="auto"/>
          <w:highlight w:val="none"/>
        </w:rPr>
      </w:pPr>
      <w:r>
        <w:rPr>
          <w:rFonts w:ascii="宋体" w:hAnsi="宋体" w:eastAsia="宋体" w:cs="宋体"/>
          <w:color w:val="auto"/>
          <w:spacing w:val="-3"/>
          <w:sz w:val="24"/>
          <w:szCs w:val="24"/>
          <w:highlight w:val="none"/>
        </w:rPr>
        <w:t>25.3</w:t>
      </w:r>
      <w:r>
        <w:rPr>
          <w:rFonts w:ascii="宋体" w:hAnsi="宋体" w:eastAsia="宋体" w:cs="宋体"/>
          <w:color w:val="auto"/>
          <w:spacing w:val="-20"/>
          <w:sz w:val="24"/>
          <w:szCs w:val="24"/>
          <w:highlight w:val="none"/>
        </w:rPr>
        <w:t xml:space="preserve"> </w:t>
      </w:r>
      <w:r>
        <w:rPr>
          <w:rFonts w:ascii="宋体" w:hAnsi="宋体" w:eastAsia="宋体" w:cs="宋体"/>
          <w:color w:val="auto"/>
          <w:spacing w:val="-3"/>
          <w:sz w:val="24"/>
          <w:szCs w:val="24"/>
          <w:highlight w:val="none"/>
        </w:rPr>
        <w:t>电子文件归档和电子档案管理</w:t>
      </w:r>
    </w:p>
    <w:p w14:paraId="0F6F8E9F">
      <w:pPr>
        <w:tabs>
          <w:tab w:val="left" w:pos="10055"/>
        </w:tabs>
        <w:spacing w:before="26" w:line="173" w:lineRule="auto"/>
        <w:ind w:left="1896"/>
        <w:rPr>
          <w:rFonts w:ascii="宋体" w:hAnsi="宋体" w:eastAsia="宋体" w:cs="宋体"/>
          <w:color w:val="auto"/>
          <w:sz w:val="8"/>
          <w:szCs w:val="8"/>
          <w:highlight w:val="none"/>
        </w:rPr>
      </w:pPr>
    </w:p>
    <w:p w14:paraId="66754164">
      <w:pPr>
        <w:spacing w:before="237"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25.4</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过程结算</w:t>
      </w:r>
    </w:p>
    <w:p w14:paraId="325BE000">
      <w:pPr>
        <w:spacing w:before="182" w:line="360" w:lineRule="auto"/>
        <w:ind w:left="1426"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本合同工程执行过程中，建立过程结算制度，开展过程结算工作评价和考核，提高合同结算工作效率。具体执行《广东省交通运输厅关于印发广东省公路建设项目过程结</w:t>
      </w:r>
      <w:r>
        <w:rPr>
          <w:rFonts w:ascii="宋体" w:hAnsi="宋体" w:eastAsia="宋体" w:cs="宋体"/>
          <w:color w:val="auto"/>
          <w:spacing w:val="-3"/>
          <w:sz w:val="24"/>
          <w:szCs w:val="24"/>
          <w:highlight w:val="none"/>
        </w:rPr>
        <w:t>算工作指导意见的通知》的规定, 并符合以下规定：</w:t>
      </w:r>
    </w:p>
    <w:p w14:paraId="2E473505">
      <w:pPr>
        <w:spacing w:before="2" w:line="331" w:lineRule="auto"/>
        <w:ind w:left="1424" w:right="1416" w:firstLine="49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1.项目开工前，发包人制订过程结算的目标和计划,按广东省《公路工程造价管理</w:t>
      </w:r>
      <w:r>
        <w:rPr>
          <w:rFonts w:ascii="宋体" w:hAnsi="宋体" w:eastAsia="宋体" w:cs="宋体"/>
          <w:color w:val="auto"/>
          <w:spacing w:val="-2"/>
          <w:sz w:val="24"/>
          <w:szCs w:val="24"/>
          <w:highlight w:val="none"/>
        </w:rPr>
        <w:t>指南》规定及发包人要求建立标准费用项目、合同工程量清单、图纸工程量三者的对应</w:t>
      </w:r>
      <w:r>
        <w:rPr>
          <w:rFonts w:ascii="宋体" w:hAnsi="宋体" w:eastAsia="宋体" w:cs="宋体"/>
          <w:color w:val="auto"/>
          <w:spacing w:val="1"/>
          <w:sz w:val="24"/>
          <w:szCs w:val="24"/>
          <w:highlight w:val="none"/>
        </w:rPr>
        <w:t>关系,明确过程结算的结算范围、单元划分、工作程序和考核标准等。承包人应配备专</w:t>
      </w:r>
      <w:r>
        <w:rPr>
          <w:rFonts w:ascii="宋体" w:hAnsi="宋体" w:eastAsia="宋体" w:cs="宋体"/>
          <w:color w:val="auto"/>
          <w:spacing w:val="-6"/>
          <w:sz w:val="24"/>
          <w:szCs w:val="24"/>
          <w:highlight w:val="none"/>
        </w:rPr>
        <w:t>业人员、明确责任领导，</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按计划编制过程结算文件，将结算计划纳入总体施工组织设计</w:t>
      </w:r>
      <w:r>
        <w:rPr>
          <w:rFonts w:ascii="宋体" w:hAnsi="宋体" w:eastAsia="宋体" w:cs="宋体"/>
          <w:color w:val="auto"/>
          <w:spacing w:val="-3"/>
          <w:sz w:val="24"/>
          <w:szCs w:val="24"/>
          <w:highlight w:val="none"/>
        </w:rPr>
        <w:t>内容, 作为开工报告组成部分。</w:t>
      </w:r>
    </w:p>
    <w:p w14:paraId="724E416F">
      <w:pPr>
        <w:spacing w:before="186" w:line="290" w:lineRule="auto"/>
        <w:ind w:left="1428"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2.发包人、承包人均应保障承担过程结算工作人员的配置和稳定, 做到过程结算和</w:t>
      </w:r>
      <w:r>
        <w:rPr>
          <w:rFonts w:ascii="宋体" w:hAnsi="宋体" w:eastAsia="宋体" w:cs="宋体"/>
          <w:color w:val="auto"/>
          <w:spacing w:val="-4"/>
          <w:sz w:val="24"/>
          <w:szCs w:val="24"/>
          <w:highlight w:val="none"/>
        </w:rPr>
        <w:t>工程建设同步推进、应结尽结。</w:t>
      </w:r>
    </w:p>
    <w:p w14:paraId="390BB637">
      <w:pPr>
        <w:spacing w:before="182" w:line="290" w:lineRule="auto"/>
        <w:ind w:left="1424" w:right="1416"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3.结算单元按合同约定完成并通过质量中间验收，原则上按项目专用合同条款数据表约定的时间完成过程结算文件的编制、审核、签认工作。</w:t>
      </w:r>
    </w:p>
    <w:p w14:paraId="71BF2C61">
      <w:pPr>
        <w:spacing w:before="182" w:line="325"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4.承包人应按工程档案管理要求，对每一期过程结算文件及相关支撑资料同步进行</w:t>
      </w:r>
      <w:r>
        <w:rPr>
          <w:rFonts w:ascii="宋体" w:hAnsi="宋体" w:eastAsia="宋体" w:cs="宋体"/>
          <w:color w:val="auto"/>
          <w:spacing w:val="-11"/>
          <w:sz w:val="24"/>
          <w:szCs w:val="24"/>
          <w:highlight w:val="none"/>
        </w:rPr>
        <w:t>收集、整理、排序、编目组卷，并同步编制竣工图，并报监理、建设单位确认，</w:t>
      </w:r>
      <w:r>
        <w:rPr>
          <w:rFonts w:ascii="宋体" w:hAnsi="宋体" w:eastAsia="宋体" w:cs="宋体"/>
          <w:color w:val="auto"/>
          <w:spacing w:val="-12"/>
          <w:sz w:val="24"/>
          <w:szCs w:val="24"/>
          <w:highlight w:val="none"/>
        </w:rPr>
        <w:t>构成公</w:t>
      </w:r>
      <w:r>
        <w:rPr>
          <w:rFonts w:ascii="宋体" w:hAnsi="宋体" w:eastAsia="宋体" w:cs="宋体"/>
          <w:color w:val="auto"/>
          <w:spacing w:val="-2"/>
          <w:sz w:val="24"/>
          <w:szCs w:val="24"/>
          <w:highlight w:val="none"/>
        </w:rPr>
        <w:t>路建设项目竣工档案资料的组成部分。归档资料应包括隐蔽工程的影像记录、测量记录</w:t>
      </w:r>
      <w:r>
        <w:rPr>
          <w:rFonts w:ascii="宋体" w:hAnsi="宋体" w:eastAsia="宋体" w:cs="宋体"/>
          <w:color w:val="auto"/>
          <w:spacing w:val="-5"/>
          <w:sz w:val="24"/>
          <w:szCs w:val="24"/>
          <w:highlight w:val="none"/>
        </w:rPr>
        <w:t>和数量计算表等。</w:t>
      </w:r>
    </w:p>
    <w:p w14:paraId="729FF098">
      <w:pPr>
        <w:spacing w:before="182" w:line="217" w:lineRule="auto"/>
        <w:ind w:left="19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5.未按要求完成过程结算的费用项, 按项目专用合同条</w:t>
      </w:r>
      <w:r>
        <w:rPr>
          <w:rFonts w:ascii="宋体" w:hAnsi="宋体" w:eastAsia="宋体" w:cs="宋体"/>
          <w:color w:val="auto"/>
          <w:spacing w:val="-2"/>
          <w:sz w:val="24"/>
          <w:szCs w:val="24"/>
          <w:highlight w:val="none"/>
        </w:rPr>
        <w:t>款数据表约定内容执行。</w:t>
      </w:r>
    </w:p>
    <w:p w14:paraId="5480E408">
      <w:pPr>
        <w:spacing w:before="188" w:line="288" w:lineRule="auto"/>
        <w:ind w:left="1427"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6.发包人、承包人签署认可的过程结算文件, 是最终结算文件和竣工决算文件的组</w:t>
      </w:r>
      <w:r>
        <w:rPr>
          <w:rFonts w:ascii="宋体" w:hAnsi="宋体" w:eastAsia="宋体" w:cs="宋体"/>
          <w:color w:val="auto"/>
          <w:spacing w:val="-1"/>
          <w:sz w:val="24"/>
          <w:szCs w:val="24"/>
          <w:highlight w:val="none"/>
        </w:rPr>
        <w:t>成部分,具有法律效力, 最终结算时不需对已确认的</w:t>
      </w:r>
      <w:r>
        <w:rPr>
          <w:rFonts w:ascii="宋体" w:hAnsi="宋体" w:eastAsia="宋体" w:cs="宋体"/>
          <w:color w:val="auto"/>
          <w:spacing w:val="-2"/>
          <w:sz w:val="24"/>
          <w:szCs w:val="24"/>
          <w:highlight w:val="none"/>
        </w:rPr>
        <w:t>过程结算重新办理确认。</w:t>
      </w:r>
    </w:p>
    <w:p w14:paraId="645503CE">
      <w:pPr>
        <w:spacing w:before="185" w:line="220" w:lineRule="auto"/>
        <w:ind w:left="190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25.5</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合同结算</w:t>
      </w:r>
    </w:p>
    <w:p w14:paraId="6301855E">
      <w:pPr>
        <w:spacing w:before="78" w:line="360" w:lineRule="auto"/>
        <w:ind w:left="1425" w:right="1416"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本合同工程交工验收后，承包人应保障结算工作人员的配置和稳定，按《广东省交通运输厅关于印发广东省公路建设项目竣工决算实行备案制管理的通知》和广东省《公</w:t>
      </w:r>
      <w:r>
        <w:rPr>
          <w:rFonts w:ascii="宋体" w:hAnsi="宋体" w:eastAsia="宋体" w:cs="宋体"/>
          <w:color w:val="auto"/>
          <w:spacing w:val="-4"/>
          <w:sz w:val="24"/>
          <w:szCs w:val="24"/>
          <w:highlight w:val="none"/>
        </w:rPr>
        <w:t>路工程造价管理指南》的具体要求完成结算工作，</w:t>
      </w:r>
      <w:r>
        <w:rPr>
          <w:rFonts w:ascii="宋体" w:hAnsi="宋体" w:eastAsia="宋体" w:cs="宋体"/>
          <w:color w:val="auto"/>
          <w:spacing w:val="-26"/>
          <w:sz w:val="24"/>
          <w:szCs w:val="24"/>
          <w:highlight w:val="none"/>
        </w:rPr>
        <w:t xml:space="preserve"> </w:t>
      </w:r>
      <w:r>
        <w:rPr>
          <w:rFonts w:ascii="宋体" w:hAnsi="宋体" w:eastAsia="宋体" w:cs="宋体"/>
          <w:color w:val="auto"/>
          <w:spacing w:val="-4"/>
          <w:sz w:val="24"/>
          <w:szCs w:val="24"/>
          <w:highlight w:val="none"/>
        </w:rPr>
        <w:t>发包人可根据项目实际情况制定相应</w:t>
      </w:r>
      <w:r>
        <w:rPr>
          <w:rFonts w:ascii="宋体" w:hAnsi="宋体" w:eastAsia="宋体" w:cs="宋体"/>
          <w:color w:val="auto"/>
          <w:spacing w:val="-7"/>
          <w:sz w:val="24"/>
          <w:szCs w:val="24"/>
          <w:highlight w:val="none"/>
        </w:rPr>
        <w:t>的奖罚措施。</w:t>
      </w:r>
    </w:p>
    <w:p w14:paraId="46547635">
      <w:pPr>
        <w:spacing w:line="360" w:lineRule="auto"/>
        <w:ind w:left="1427" w:right="1416"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为了按期完成工程竣工决算审查备案、审计及竣工验收工作， 如发包人和承包人对</w:t>
      </w:r>
      <w:r>
        <w:rPr>
          <w:rFonts w:ascii="宋体" w:hAnsi="宋体" w:eastAsia="宋体" w:cs="宋体"/>
          <w:color w:val="auto"/>
          <w:spacing w:val="-2"/>
          <w:sz w:val="24"/>
          <w:szCs w:val="24"/>
          <w:highlight w:val="none"/>
        </w:rPr>
        <w:t>结算确实存在分歧，经双方协商未果情况下，发包人有权进行合同暂定结算，争议费用</w:t>
      </w:r>
      <w:r>
        <w:rPr>
          <w:rFonts w:ascii="宋体" w:hAnsi="宋体" w:eastAsia="宋体" w:cs="宋体"/>
          <w:color w:val="auto"/>
          <w:spacing w:val="-3"/>
          <w:sz w:val="24"/>
          <w:szCs w:val="24"/>
          <w:highlight w:val="none"/>
        </w:rPr>
        <w:t>按合同条款第</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24</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条款执行，承包人须无条件接受。</w:t>
      </w:r>
    </w:p>
    <w:p w14:paraId="389EFA0D">
      <w:pPr>
        <w:spacing w:before="1" w:line="218"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25.</w:t>
      </w:r>
      <w:r>
        <w:rPr>
          <w:rFonts w:hint="eastAsia" w:ascii="宋体" w:hAnsi="宋体" w:eastAsia="宋体" w:cs="宋体"/>
          <w:color w:val="auto"/>
          <w:spacing w:val="-2"/>
          <w:sz w:val="24"/>
          <w:szCs w:val="24"/>
          <w:highlight w:val="none"/>
          <w:lang w:val="en-US" w:eastAsia="zh-CN"/>
        </w:rPr>
        <w:t>6</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本合同未尽事宜</w:t>
      </w:r>
    </w:p>
    <w:p w14:paraId="1C50C824">
      <w:pPr>
        <w:spacing w:before="183" w:line="360" w:lineRule="auto"/>
        <w:ind w:left="1430" w:right="1415" w:firstLine="47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本合同未能明确的有关规定，如质量管理、计划管理、计量与支付管理、台帐管理</w:t>
      </w:r>
      <w:r>
        <w:rPr>
          <w:rFonts w:ascii="宋体" w:hAnsi="宋体" w:eastAsia="宋体" w:cs="宋体"/>
          <w:color w:val="auto"/>
          <w:spacing w:val="-6"/>
          <w:sz w:val="24"/>
          <w:szCs w:val="24"/>
          <w:highlight w:val="none"/>
        </w:rPr>
        <w:t>办法、变更管理、材料管理、安全管理、有关评比方案以及奖惩</w:t>
      </w:r>
      <w:r>
        <w:rPr>
          <w:rFonts w:ascii="宋体" w:hAnsi="宋体" w:eastAsia="宋体" w:cs="宋体"/>
          <w:color w:val="auto"/>
          <w:spacing w:val="-7"/>
          <w:sz w:val="24"/>
          <w:szCs w:val="24"/>
          <w:highlight w:val="none"/>
        </w:rPr>
        <w:t>办法等，</w:t>
      </w:r>
      <w:r>
        <w:rPr>
          <w:rFonts w:ascii="宋体" w:hAnsi="宋体" w:eastAsia="宋体" w:cs="宋体"/>
          <w:color w:val="auto"/>
          <w:spacing w:val="55"/>
          <w:sz w:val="24"/>
          <w:szCs w:val="24"/>
          <w:highlight w:val="none"/>
        </w:rPr>
        <w:t xml:space="preserve"> </w:t>
      </w:r>
      <w:r>
        <w:rPr>
          <w:rFonts w:ascii="宋体" w:hAnsi="宋体" w:eastAsia="宋体" w:cs="宋体"/>
          <w:color w:val="auto"/>
          <w:spacing w:val="-7"/>
          <w:sz w:val="24"/>
          <w:szCs w:val="24"/>
          <w:highlight w:val="none"/>
        </w:rPr>
        <w:t>按发包人在项</w:t>
      </w:r>
      <w:r>
        <w:rPr>
          <w:rFonts w:ascii="宋体" w:hAnsi="宋体" w:eastAsia="宋体" w:cs="宋体"/>
          <w:color w:val="auto"/>
          <w:spacing w:val="-2"/>
          <w:sz w:val="24"/>
          <w:szCs w:val="24"/>
          <w:highlight w:val="none"/>
        </w:rPr>
        <w:t>目建设管理过程中颁发的项目管理手册或另行发布的相关管理办法执行。</w:t>
      </w:r>
    </w:p>
    <w:p w14:paraId="4C768FFE">
      <w:pPr>
        <w:spacing w:line="362" w:lineRule="auto"/>
        <w:ind w:left="1427" w:right="1331" w:firstLine="481"/>
        <w:rPr>
          <w:color w:val="auto"/>
          <w:highlight w:val="none"/>
        </w:rPr>
      </w:pPr>
      <w:r>
        <w:rPr>
          <w:rFonts w:ascii="宋体" w:hAnsi="宋体" w:eastAsia="宋体" w:cs="宋体"/>
          <w:color w:val="auto"/>
          <w:spacing w:val="-2"/>
          <w:sz w:val="24"/>
          <w:szCs w:val="24"/>
          <w:highlight w:val="none"/>
        </w:rPr>
        <w:t>发包人对项目实施动态管理，根据工程进展情况及项目目标实现情况，通过修正专</w:t>
      </w:r>
      <w:r>
        <w:rPr>
          <w:rFonts w:ascii="宋体" w:hAnsi="宋体" w:eastAsia="宋体" w:cs="宋体"/>
          <w:color w:val="auto"/>
          <w:spacing w:val="-6"/>
          <w:sz w:val="24"/>
          <w:szCs w:val="24"/>
          <w:highlight w:val="none"/>
        </w:rPr>
        <w:t>用项目管理制度，不断建设完善项目管理责任体系，承包人须积极配合并无条件的接受。</w:t>
      </w:r>
    </w:p>
    <w:p w14:paraId="53A3723B">
      <w:pPr>
        <w:spacing w:line="361" w:lineRule="auto"/>
        <w:rPr>
          <w:rFonts w:ascii="宋体" w:hAnsi="宋体" w:eastAsia="宋体" w:cs="宋体"/>
          <w:color w:val="auto"/>
          <w:sz w:val="24"/>
          <w:szCs w:val="24"/>
          <w:highlight w:val="none"/>
        </w:rPr>
      </w:pPr>
    </w:p>
    <w:p w14:paraId="43DAB006">
      <w:pPr>
        <w:spacing w:line="361" w:lineRule="auto"/>
        <w:rPr>
          <w:rFonts w:ascii="宋体" w:hAnsi="宋体" w:eastAsia="宋体" w:cs="宋体"/>
          <w:color w:val="auto"/>
          <w:sz w:val="24"/>
          <w:szCs w:val="24"/>
          <w:highlight w:val="none"/>
        </w:rPr>
        <w:sectPr>
          <w:headerReference r:id="rId72" w:type="default"/>
          <w:footerReference r:id="rId73" w:type="default"/>
          <w:pgSz w:w="11905" w:h="16840"/>
          <w:pgMar w:top="1182" w:right="0" w:bottom="1171" w:left="0" w:header="849" w:footer="937" w:gutter="0"/>
          <w:pgNumType w:fmt="decimal"/>
          <w:cols w:space="720" w:num="1"/>
        </w:sectPr>
      </w:pPr>
    </w:p>
    <w:p w14:paraId="64D64BBF">
      <w:pPr>
        <w:pStyle w:val="3"/>
        <w:spacing w:line="284" w:lineRule="auto"/>
        <w:rPr>
          <w:color w:val="auto"/>
          <w:highlight w:val="none"/>
        </w:rPr>
      </w:pPr>
    </w:p>
    <w:p w14:paraId="54F4F73D">
      <w:pPr>
        <w:spacing w:before="100" w:line="225" w:lineRule="auto"/>
        <w:ind w:left="4358"/>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第三节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合同附件格式</w:t>
      </w:r>
    </w:p>
    <w:p w14:paraId="62B1602F">
      <w:pPr>
        <w:pStyle w:val="3"/>
        <w:spacing w:line="438" w:lineRule="auto"/>
        <w:rPr>
          <w:color w:val="auto"/>
          <w:highlight w:val="none"/>
        </w:rPr>
      </w:pPr>
    </w:p>
    <w:p w14:paraId="22D9920B">
      <w:pPr>
        <w:spacing w:before="78" w:line="219" w:lineRule="auto"/>
        <w:ind w:left="144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附件一：合同协议书（格式）</w:t>
      </w:r>
    </w:p>
    <w:p w14:paraId="22DFD3B8">
      <w:pPr>
        <w:spacing w:before="183" w:line="219" w:lineRule="auto"/>
        <w:ind w:left="144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附件二：廉政合同（格式）</w:t>
      </w:r>
    </w:p>
    <w:p w14:paraId="08664541">
      <w:pPr>
        <w:spacing w:before="183" w:line="363" w:lineRule="auto"/>
        <w:ind w:left="1430" w:right="1416" w:firstLine="2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以上格式参见：《公路工程标准施工招标文件》（2018</w:t>
      </w:r>
      <w:r>
        <w:rPr>
          <w:rFonts w:ascii="宋体" w:hAnsi="宋体" w:eastAsia="宋体" w:cs="宋体"/>
          <w:color w:val="auto"/>
          <w:spacing w:val="-35"/>
          <w:sz w:val="24"/>
          <w:szCs w:val="24"/>
          <w:highlight w:val="none"/>
        </w:rPr>
        <w:t xml:space="preserve"> </w:t>
      </w:r>
      <w:r>
        <w:rPr>
          <w:rFonts w:ascii="宋体" w:hAnsi="宋体" w:eastAsia="宋体" w:cs="宋体"/>
          <w:color w:val="auto"/>
          <w:spacing w:val="-4"/>
          <w:sz w:val="24"/>
          <w:szCs w:val="24"/>
          <w:highlight w:val="none"/>
        </w:rPr>
        <w:t>年版）</w:t>
      </w:r>
      <w:r>
        <w:rPr>
          <w:rFonts w:ascii="宋体" w:hAnsi="宋体" w:eastAsia="宋体" w:cs="宋体"/>
          <w:color w:val="auto"/>
          <w:spacing w:val="-5"/>
          <w:sz w:val="24"/>
          <w:szCs w:val="24"/>
          <w:highlight w:val="none"/>
        </w:rPr>
        <w:t>第四章第三节相应附件格</w:t>
      </w:r>
      <w:r>
        <w:rPr>
          <w:rFonts w:ascii="宋体" w:hAnsi="宋体" w:eastAsia="宋体" w:cs="宋体"/>
          <w:color w:val="auto"/>
          <w:spacing w:val="-13"/>
          <w:sz w:val="24"/>
          <w:szCs w:val="24"/>
          <w:highlight w:val="none"/>
        </w:rPr>
        <w:t>式。</w:t>
      </w:r>
    </w:p>
    <w:p w14:paraId="7403D6FA">
      <w:pPr>
        <w:pStyle w:val="3"/>
        <w:spacing w:line="379" w:lineRule="auto"/>
        <w:rPr>
          <w:color w:val="auto"/>
          <w:highlight w:val="none"/>
        </w:rPr>
      </w:pPr>
    </w:p>
    <w:p w14:paraId="53327995">
      <w:pPr>
        <w:spacing w:before="78" w:line="362" w:lineRule="auto"/>
        <w:ind w:left="1425" w:right="7144" w:firstLine="1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附件三：安全生产合同（格式）</w:t>
      </w:r>
      <w:r>
        <w:rPr>
          <w:rFonts w:ascii="宋体" w:hAnsi="宋体" w:eastAsia="宋体" w:cs="宋体"/>
          <w:color w:val="auto"/>
          <w:spacing w:val="-2"/>
          <w:sz w:val="24"/>
          <w:szCs w:val="24"/>
          <w:highlight w:val="none"/>
        </w:rPr>
        <w:t>格式参见本范本</w:t>
      </w:r>
    </w:p>
    <w:p w14:paraId="29201F24">
      <w:pPr>
        <w:pStyle w:val="3"/>
        <w:spacing w:line="382" w:lineRule="auto"/>
        <w:rPr>
          <w:color w:val="auto"/>
          <w:highlight w:val="none"/>
        </w:rPr>
      </w:pPr>
    </w:p>
    <w:p w14:paraId="646AF244">
      <w:pPr>
        <w:spacing w:before="79" w:line="219" w:lineRule="auto"/>
        <w:ind w:left="144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附件四：其他管理人员和技术人员最低要求</w:t>
      </w:r>
    </w:p>
    <w:p w14:paraId="4EAF392E">
      <w:pPr>
        <w:spacing w:before="183" w:line="219" w:lineRule="auto"/>
        <w:ind w:left="142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详见第二章投标人须知附录</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6</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资格审查条件的相关内容</w:t>
      </w:r>
    </w:p>
    <w:p w14:paraId="43BA4477">
      <w:pPr>
        <w:pStyle w:val="3"/>
        <w:spacing w:line="284" w:lineRule="auto"/>
        <w:rPr>
          <w:color w:val="auto"/>
          <w:highlight w:val="none"/>
        </w:rPr>
      </w:pPr>
    </w:p>
    <w:p w14:paraId="1F742BD2">
      <w:pPr>
        <w:pStyle w:val="3"/>
        <w:spacing w:line="285" w:lineRule="auto"/>
        <w:rPr>
          <w:color w:val="auto"/>
          <w:highlight w:val="none"/>
        </w:rPr>
      </w:pPr>
    </w:p>
    <w:p w14:paraId="7F20B9D3">
      <w:pPr>
        <w:spacing w:before="79"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附件五：主要设备最低要求</w:t>
      </w:r>
    </w:p>
    <w:p w14:paraId="40BF84DF">
      <w:pPr>
        <w:spacing w:before="183" w:line="219" w:lineRule="auto"/>
        <w:ind w:left="142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详见第二章投标人须知附录</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7</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资格审查条件的相关内容</w:t>
      </w:r>
    </w:p>
    <w:p w14:paraId="2710DCA1">
      <w:pPr>
        <w:pStyle w:val="3"/>
        <w:spacing w:line="284" w:lineRule="auto"/>
        <w:rPr>
          <w:color w:val="auto"/>
          <w:highlight w:val="none"/>
        </w:rPr>
      </w:pPr>
    </w:p>
    <w:p w14:paraId="4A08184F">
      <w:pPr>
        <w:pStyle w:val="3"/>
        <w:spacing w:line="285" w:lineRule="auto"/>
        <w:rPr>
          <w:color w:val="auto"/>
          <w:highlight w:val="none"/>
        </w:rPr>
      </w:pPr>
    </w:p>
    <w:p w14:paraId="468C37B9">
      <w:pPr>
        <w:spacing w:before="79"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附件六：项目经理委任书</w:t>
      </w:r>
    </w:p>
    <w:p w14:paraId="598CC21A">
      <w:pPr>
        <w:spacing w:before="183" w:line="219" w:lineRule="auto"/>
        <w:ind w:left="144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附件七：履约保证金格式</w:t>
      </w:r>
    </w:p>
    <w:p w14:paraId="308D21DC">
      <w:pPr>
        <w:spacing w:before="183" w:line="219" w:lineRule="auto"/>
        <w:ind w:left="144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附件八：工程资金监管协议格式</w:t>
      </w:r>
    </w:p>
    <w:p w14:paraId="1EEAB094">
      <w:pPr>
        <w:spacing w:before="183" w:line="363" w:lineRule="auto"/>
        <w:ind w:left="1430" w:right="1416" w:firstLine="2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以上格式参见：《公路工程标准施工招标文件》（2018</w:t>
      </w:r>
      <w:r>
        <w:rPr>
          <w:rFonts w:ascii="宋体" w:hAnsi="宋体" w:eastAsia="宋体" w:cs="宋体"/>
          <w:color w:val="auto"/>
          <w:spacing w:val="-35"/>
          <w:sz w:val="24"/>
          <w:szCs w:val="24"/>
          <w:highlight w:val="none"/>
        </w:rPr>
        <w:t xml:space="preserve"> </w:t>
      </w:r>
      <w:r>
        <w:rPr>
          <w:rFonts w:ascii="宋体" w:hAnsi="宋体" w:eastAsia="宋体" w:cs="宋体"/>
          <w:color w:val="auto"/>
          <w:spacing w:val="-4"/>
          <w:sz w:val="24"/>
          <w:szCs w:val="24"/>
          <w:highlight w:val="none"/>
        </w:rPr>
        <w:t>年版）</w:t>
      </w:r>
      <w:r>
        <w:rPr>
          <w:rFonts w:ascii="宋体" w:hAnsi="宋体" w:eastAsia="宋体" w:cs="宋体"/>
          <w:color w:val="auto"/>
          <w:spacing w:val="-5"/>
          <w:sz w:val="24"/>
          <w:szCs w:val="24"/>
          <w:highlight w:val="none"/>
        </w:rPr>
        <w:t>第四章第三节相应附件格</w:t>
      </w:r>
      <w:r>
        <w:rPr>
          <w:rFonts w:ascii="宋体" w:hAnsi="宋体" w:eastAsia="宋体" w:cs="宋体"/>
          <w:color w:val="auto"/>
          <w:spacing w:val="-13"/>
          <w:sz w:val="24"/>
          <w:szCs w:val="24"/>
          <w:highlight w:val="none"/>
        </w:rPr>
        <w:t>式。</w:t>
      </w:r>
    </w:p>
    <w:p w14:paraId="2450AD03">
      <w:pPr>
        <w:pStyle w:val="3"/>
        <w:spacing w:line="380" w:lineRule="auto"/>
        <w:rPr>
          <w:color w:val="auto"/>
          <w:highlight w:val="none"/>
        </w:rPr>
      </w:pPr>
    </w:p>
    <w:p w14:paraId="15AC7C27">
      <w:pPr>
        <w:spacing w:before="79" w:line="219" w:lineRule="auto"/>
        <w:ind w:left="144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附件九：甲控乙购</w:t>
      </w:r>
      <w:r>
        <w:rPr>
          <w:rFonts w:ascii="宋体" w:hAnsi="宋体" w:eastAsia="宋体" w:cs="宋体"/>
          <w:strike/>
          <w:dstrike w:val="0"/>
          <w:color w:val="auto"/>
          <w:spacing w:val="-38"/>
          <w:sz w:val="24"/>
          <w:szCs w:val="24"/>
          <w:highlight w:val="none"/>
        </w:rPr>
        <w:t xml:space="preserve"> </w:t>
      </w:r>
      <w:r>
        <w:rPr>
          <w:rFonts w:ascii="宋体" w:hAnsi="宋体" w:eastAsia="宋体" w:cs="宋体"/>
          <w:strike/>
          <w:dstrike w:val="0"/>
          <w:color w:val="auto"/>
          <w:spacing w:val="-4"/>
          <w:sz w:val="24"/>
          <w:szCs w:val="24"/>
          <w:highlight w:val="none"/>
        </w:rPr>
        <w:t>I</w:t>
      </w:r>
      <w:r>
        <w:rPr>
          <w:rFonts w:ascii="宋体" w:hAnsi="宋体" w:eastAsia="宋体" w:cs="宋体"/>
          <w:strike/>
          <w:dstrike w:val="0"/>
          <w:color w:val="auto"/>
          <w:spacing w:val="-51"/>
          <w:sz w:val="24"/>
          <w:szCs w:val="24"/>
          <w:highlight w:val="none"/>
        </w:rPr>
        <w:t xml:space="preserve"> </w:t>
      </w:r>
      <w:r>
        <w:rPr>
          <w:rFonts w:ascii="宋体" w:hAnsi="宋体" w:eastAsia="宋体" w:cs="宋体"/>
          <w:strike/>
          <w:dstrike w:val="0"/>
          <w:color w:val="auto"/>
          <w:spacing w:val="-4"/>
          <w:sz w:val="24"/>
          <w:szCs w:val="24"/>
          <w:highlight w:val="none"/>
        </w:rPr>
        <w:t>类材料一览表</w:t>
      </w:r>
    </w:p>
    <w:p w14:paraId="1B96F442">
      <w:pPr>
        <w:spacing w:before="183" w:line="219" w:lineRule="auto"/>
        <w:ind w:left="144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附件十：特殊材料设备供应一览表</w:t>
      </w:r>
    </w:p>
    <w:p w14:paraId="3D64C330">
      <w:pPr>
        <w:spacing w:before="183" w:line="219" w:lineRule="auto"/>
        <w:ind w:left="144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附件十一：统一采购供应材料一览表</w:t>
      </w:r>
    </w:p>
    <w:p w14:paraId="75A53917">
      <w:pPr>
        <w:spacing w:before="184"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附件十二：承包人违约金一览表</w:t>
      </w:r>
    </w:p>
    <w:p w14:paraId="2ACD521A">
      <w:pPr>
        <w:spacing w:before="183" w:line="219" w:lineRule="auto"/>
        <w:ind w:left="144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附件十三：工程质量、安全及文明施工违约项目一览表</w:t>
      </w:r>
    </w:p>
    <w:p w14:paraId="55953FAF">
      <w:pPr>
        <w:spacing w:before="183" w:line="219" w:lineRule="auto"/>
        <w:ind w:left="144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附件十四：建设工程农民工工资支付保证书</w:t>
      </w:r>
    </w:p>
    <w:p w14:paraId="0E0BB939">
      <w:pPr>
        <w:spacing w:before="183" w:line="219" w:lineRule="auto"/>
        <w:ind w:left="1444"/>
        <w:rPr>
          <w:rFonts w:ascii="宋体" w:hAnsi="宋体" w:eastAsia="宋体" w:cs="宋体"/>
          <w:color w:val="auto"/>
          <w:sz w:val="24"/>
          <w:szCs w:val="24"/>
          <w:highlight w:val="none"/>
        </w:rPr>
      </w:pPr>
      <w:r>
        <w:rPr>
          <w:rFonts w:ascii="宋体" w:hAnsi="宋体" w:eastAsia="宋体" w:cs="宋体"/>
          <w:strike/>
          <w:dstrike w:val="0"/>
          <w:color w:val="auto"/>
          <w:spacing w:val="-2"/>
          <w:sz w:val="24"/>
          <w:szCs w:val="24"/>
          <w:highlight w:val="none"/>
        </w:rPr>
        <w:t>附件十五：房屋建筑工程质量保修书（仅适用于附属区房建工程）</w:t>
      </w:r>
    </w:p>
    <w:p w14:paraId="39281DFE">
      <w:pPr>
        <w:spacing w:before="184"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附件十六：工程结算协议</w:t>
      </w:r>
    </w:p>
    <w:p w14:paraId="73DC3132">
      <w:pPr>
        <w:spacing w:line="219" w:lineRule="auto"/>
        <w:rPr>
          <w:rFonts w:ascii="宋体" w:hAnsi="宋体" w:eastAsia="宋体" w:cs="宋体"/>
          <w:color w:val="auto"/>
          <w:sz w:val="24"/>
          <w:szCs w:val="24"/>
          <w:highlight w:val="none"/>
        </w:rPr>
        <w:sectPr>
          <w:headerReference r:id="rId74" w:type="default"/>
          <w:footerReference r:id="rId75" w:type="default"/>
          <w:pgSz w:w="11905" w:h="16840"/>
          <w:pgMar w:top="1182" w:right="0" w:bottom="1171" w:left="0" w:header="849" w:footer="937" w:gutter="0"/>
          <w:pgNumType w:fmt="decimal"/>
          <w:cols w:space="720" w:num="1"/>
        </w:sectPr>
      </w:pPr>
    </w:p>
    <w:p w14:paraId="0EE1D321">
      <w:pPr>
        <w:pStyle w:val="3"/>
        <w:spacing w:line="267" w:lineRule="auto"/>
        <w:rPr>
          <w:color w:val="auto"/>
          <w:highlight w:val="none"/>
        </w:rPr>
      </w:pPr>
    </w:p>
    <w:p w14:paraId="480271BC">
      <w:pPr>
        <w:spacing w:before="78" w:line="219" w:lineRule="auto"/>
        <w:ind w:left="1452"/>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以上格式参见如下附件。</w:t>
      </w:r>
    </w:p>
    <w:p w14:paraId="5CBD3B78">
      <w:pPr>
        <w:pStyle w:val="3"/>
        <w:spacing w:line="284" w:lineRule="auto"/>
        <w:rPr>
          <w:color w:val="auto"/>
          <w:highlight w:val="none"/>
        </w:rPr>
      </w:pPr>
    </w:p>
    <w:p w14:paraId="3F583487">
      <w:pPr>
        <w:pStyle w:val="3"/>
        <w:spacing w:line="285" w:lineRule="auto"/>
        <w:rPr>
          <w:color w:val="auto"/>
          <w:highlight w:val="none"/>
        </w:rPr>
      </w:pPr>
    </w:p>
    <w:p w14:paraId="7019D3A0">
      <w:pPr>
        <w:spacing w:before="78"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附件十七：分包合同（示范文本）</w:t>
      </w:r>
    </w:p>
    <w:p w14:paraId="7EE84DA3">
      <w:pPr>
        <w:spacing w:before="183" w:line="219" w:lineRule="auto"/>
        <w:ind w:left="144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附件十八：劳务合作协议（示范文本）</w:t>
      </w:r>
    </w:p>
    <w:p w14:paraId="6A4C523F">
      <w:pPr>
        <w:spacing w:before="183" w:line="219" w:lineRule="auto"/>
        <w:ind w:left="145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以上示范文本见厅《广东省公路工程施工分包管理实</w:t>
      </w:r>
      <w:r>
        <w:rPr>
          <w:rFonts w:ascii="宋体" w:hAnsi="宋体" w:eastAsia="宋体" w:cs="宋体"/>
          <w:color w:val="auto"/>
          <w:spacing w:val="-3"/>
          <w:sz w:val="24"/>
          <w:szCs w:val="24"/>
          <w:highlight w:val="none"/>
        </w:rPr>
        <w:t>施细则》的附件。</w:t>
      </w:r>
    </w:p>
    <w:p w14:paraId="7CD7579C">
      <w:pPr>
        <w:spacing w:line="219" w:lineRule="auto"/>
        <w:rPr>
          <w:rFonts w:ascii="宋体" w:hAnsi="宋体" w:eastAsia="宋体" w:cs="宋体"/>
          <w:color w:val="auto"/>
          <w:sz w:val="24"/>
          <w:szCs w:val="24"/>
          <w:highlight w:val="none"/>
        </w:rPr>
        <w:sectPr>
          <w:headerReference r:id="rId76" w:type="default"/>
          <w:footerReference r:id="rId77" w:type="default"/>
          <w:pgSz w:w="11905" w:h="16840"/>
          <w:pgMar w:top="1182" w:right="0" w:bottom="1171" w:left="0" w:header="849" w:footer="937" w:gutter="0"/>
          <w:pgNumType w:fmt="decimal"/>
          <w:cols w:space="720" w:num="1"/>
        </w:sectPr>
      </w:pPr>
    </w:p>
    <w:p w14:paraId="0A0450DF">
      <w:pPr>
        <w:pStyle w:val="3"/>
        <w:spacing w:line="267" w:lineRule="auto"/>
        <w:rPr>
          <w:color w:val="auto"/>
          <w:highlight w:val="none"/>
        </w:rPr>
      </w:pPr>
    </w:p>
    <w:p w14:paraId="5B28F5C4">
      <w:pPr>
        <w:spacing w:before="78" w:line="219" w:lineRule="auto"/>
        <w:ind w:left="1444"/>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附件三：安全生产合同</w:t>
      </w:r>
    </w:p>
    <w:p w14:paraId="33D5DFE9">
      <w:pPr>
        <w:spacing w:before="223" w:line="225" w:lineRule="auto"/>
        <w:ind w:left="5007"/>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安全生产合同</w:t>
      </w:r>
    </w:p>
    <w:p w14:paraId="754DDD24">
      <w:pPr>
        <w:spacing w:before="206" w:line="360" w:lineRule="auto"/>
        <w:ind w:left="1425" w:right="1349" w:firstLine="480"/>
        <w:jc w:val="both"/>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根据《中华人民共和国安全生产法》，</w:t>
      </w:r>
      <w:r>
        <w:rPr>
          <w:rFonts w:ascii="宋体" w:hAnsi="宋体" w:eastAsia="宋体" w:cs="宋体"/>
          <w:color w:val="auto"/>
          <w:spacing w:val="34"/>
          <w:sz w:val="24"/>
          <w:szCs w:val="24"/>
          <w:highlight w:val="none"/>
        </w:rPr>
        <w:t xml:space="preserve"> </w:t>
      </w:r>
      <w:r>
        <w:rPr>
          <w:rFonts w:ascii="宋体" w:hAnsi="宋体" w:eastAsia="宋体" w:cs="宋体"/>
          <w:color w:val="auto"/>
          <w:spacing w:val="-9"/>
          <w:sz w:val="24"/>
          <w:szCs w:val="24"/>
          <w:highlight w:val="none"/>
        </w:rPr>
        <w:t>国务院《建设工程安全生产管理条例》， 交</w:t>
      </w:r>
      <w:r>
        <w:rPr>
          <w:rFonts w:ascii="宋体" w:hAnsi="宋体" w:eastAsia="宋体" w:cs="宋体"/>
          <w:color w:val="auto"/>
          <w:spacing w:val="-5"/>
          <w:sz w:val="24"/>
          <w:szCs w:val="24"/>
          <w:highlight w:val="none"/>
        </w:rPr>
        <w:t>通运输部《公路水运工程安全生产监督管理办法》， 交通运输部《公路水运工程施工安</w:t>
      </w:r>
      <w:r>
        <w:rPr>
          <w:rFonts w:ascii="宋体" w:hAnsi="宋体" w:eastAsia="宋体" w:cs="宋体"/>
          <w:color w:val="auto"/>
          <w:spacing w:val="-4"/>
          <w:sz w:val="24"/>
          <w:szCs w:val="24"/>
          <w:highlight w:val="none"/>
        </w:rPr>
        <w:t>全标准化指南》有关规定， 为切实做好</w:t>
      </w:r>
      <w:r>
        <w:rPr>
          <w:rFonts w:ascii="宋体" w:hAnsi="宋体" w:eastAsia="宋体" w:cs="宋体"/>
          <w:color w:val="auto"/>
          <w:spacing w:val="-4"/>
          <w:sz w:val="24"/>
          <w:szCs w:val="24"/>
          <w:highlight w:val="none"/>
          <w:u w:val="single" w:color="auto"/>
        </w:rPr>
        <w:t xml:space="preserve">      (项目名称)      （标类或标段）</w:t>
      </w:r>
      <w:r>
        <w:rPr>
          <w:rFonts w:ascii="宋体" w:hAnsi="宋体" w:eastAsia="宋体" w:cs="宋体"/>
          <w:color w:val="auto"/>
          <w:spacing w:val="-4"/>
          <w:sz w:val="24"/>
          <w:szCs w:val="24"/>
          <w:highlight w:val="none"/>
        </w:rPr>
        <w:t>工程安</w:t>
      </w:r>
      <w:r>
        <w:rPr>
          <w:rFonts w:ascii="宋体" w:hAnsi="宋体" w:eastAsia="宋体" w:cs="宋体"/>
          <w:color w:val="auto"/>
          <w:spacing w:val="-6"/>
          <w:sz w:val="24"/>
          <w:szCs w:val="24"/>
          <w:highlight w:val="none"/>
        </w:rPr>
        <w:t>全生产管理工作，明确项目参建各方的安全生产责任，促进实现工程项目安全管理目标，</w:t>
      </w:r>
      <w:r>
        <w:rPr>
          <w:rFonts w:ascii="宋体" w:hAnsi="宋体" w:eastAsia="宋体" w:cs="宋体"/>
          <w:color w:val="auto"/>
          <w:spacing w:val="-2"/>
          <w:sz w:val="24"/>
          <w:szCs w:val="24"/>
          <w:highlight w:val="none"/>
        </w:rPr>
        <w:t>建设单位全称（以下简称“发包人”）与施工单位全称（以下简称“承包人”）特此签</w:t>
      </w:r>
      <w:r>
        <w:rPr>
          <w:rFonts w:ascii="宋体" w:hAnsi="宋体" w:eastAsia="宋体" w:cs="宋体"/>
          <w:color w:val="auto"/>
          <w:spacing w:val="-8"/>
          <w:sz w:val="24"/>
          <w:szCs w:val="24"/>
          <w:highlight w:val="none"/>
        </w:rPr>
        <w:t>订安全生产合同：</w:t>
      </w:r>
    </w:p>
    <w:p w14:paraId="242E19DE">
      <w:pPr>
        <w:spacing w:line="220" w:lineRule="auto"/>
        <w:ind w:left="19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1.发包人职责</w:t>
      </w:r>
    </w:p>
    <w:p w14:paraId="2910B7B1">
      <w:pPr>
        <w:spacing w:before="181" w:line="290" w:lineRule="auto"/>
        <w:ind w:left="1428" w:right="1427" w:firstLine="519"/>
        <w:rPr>
          <w:rFonts w:ascii="宋体" w:hAnsi="宋体" w:eastAsia="宋体" w:cs="宋体"/>
          <w:color w:val="auto"/>
          <w:sz w:val="24"/>
          <w:szCs w:val="24"/>
          <w:highlight w:val="none"/>
        </w:rPr>
      </w:pPr>
      <w:r>
        <w:rPr>
          <w:rFonts w:ascii="宋体" w:hAnsi="宋体" w:eastAsia="宋体" w:cs="宋体"/>
          <w:color w:val="auto"/>
          <w:sz w:val="24"/>
          <w:szCs w:val="24"/>
          <w:highlight w:val="none"/>
        </w:rPr>
        <w:t>(1)编制工程招标文件及项目概算时，应确定保障建设工程安全作业环境及安全施</w:t>
      </w:r>
      <w:r>
        <w:rPr>
          <w:rFonts w:ascii="宋体" w:hAnsi="宋体" w:eastAsia="宋体" w:cs="宋体"/>
          <w:color w:val="auto"/>
          <w:spacing w:val="-2"/>
          <w:sz w:val="24"/>
          <w:szCs w:val="24"/>
          <w:highlight w:val="none"/>
        </w:rPr>
        <w:t>工措施所需的安全生产费用，并不低于国家规定的标准。</w:t>
      </w:r>
    </w:p>
    <w:p w14:paraId="11B0849F">
      <w:pPr>
        <w:spacing w:before="181" w:line="290" w:lineRule="auto"/>
        <w:ind w:left="1430" w:right="1427" w:firstLine="517"/>
        <w:rPr>
          <w:rFonts w:ascii="宋体" w:hAnsi="宋体" w:eastAsia="宋体" w:cs="宋体"/>
          <w:color w:val="auto"/>
          <w:sz w:val="24"/>
          <w:szCs w:val="24"/>
          <w:highlight w:val="none"/>
        </w:rPr>
      </w:pPr>
      <w:r>
        <w:rPr>
          <w:rFonts w:ascii="宋体" w:hAnsi="宋体" w:eastAsia="宋体" w:cs="宋体"/>
          <w:color w:val="auto"/>
          <w:sz w:val="24"/>
          <w:szCs w:val="24"/>
          <w:highlight w:val="none"/>
        </w:rPr>
        <w:t>(2)按照有关规定对承包人的安全生产条件、安全生产信用情况、安全生产管理体</w:t>
      </w:r>
      <w:r>
        <w:rPr>
          <w:rFonts w:ascii="宋体" w:hAnsi="宋体" w:eastAsia="宋体" w:cs="宋体"/>
          <w:color w:val="auto"/>
          <w:spacing w:val="-3"/>
          <w:sz w:val="24"/>
          <w:szCs w:val="24"/>
          <w:highlight w:val="none"/>
        </w:rPr>
        <w:t>系及保障措施等提出明确要求并检查实施情况。</w:t>
      </w:r>
    </w:p>
    <w:p w14:paraId="7257A353">
      <w:pPr>
        <w:spacing w:before="183" w:line="289" w:lineRule="auto"/>
        <w:ind w:left="1426" w:right="1427" w:firstLine="521"/>
        <w:rPr>
          <w:rFonts w:ascii="宋体" w:hAnsi="宋体" w:eastAsia="宋体" w:cs="宋体"/>
          <w:color w:val="auto"/>
          <w:sz w:val="24"/>
          <w:szCs w:val="24"/>
          <w:highlight w:val="none"/>
        </w:rPr>
      </w:pPr>
      <w:r>
        <w:rPr>
          <w:rFonts w:ascii="宋体" w:hAnsi="宋体" w:eastAsia="宋体" w:cs="宋体"/>
          <w:color w:val="auto"/>
          <w:sz w:val="24"/>
          <w:szCs w:val="24"/>
          <w:highlight w:val="none"/>
        </w:rPr>
        <w:t>(3)开展工程项目安全生产条件核查，按规定组织风险评估。针对工程项目特点和</w:t>
      </w:r>
      <w:r>
        <w:rPr>
          <w:rFonts w:ascii="宋体" w:hAnsi="宋体" w:eastAsia="宋体" w:cs="宋体"/>
          <w:color w:val="auto"/>
          <w:spacing w:val="-2"/>
          <w:sz w:val="24"/>
          <w:szCs w:val="24"/>
          <w:highlight w:val="none"/>
        </w:rPr>
        <w:t>风险评估情况制定项目生产安全事故综合应急预案，并定期组织演练。</w:t>
      </w:r>
    </w:p>
    <w:p w14:paraId="34C1FB30">
      <w:pPr>
        <w:spacing w:before="186" w:line="289" w:lineRule="auto"/>
        <w:ind w:left="1427" w:right="1403" w:firstLine="520"/>
        <w:rPr>
          <w:rFonts w:ascii="宋体" w:hAnsi="宋体" w:eastAsia="宋体" w:cs="宋体"/>
          <w:color w:val="auto"/>
          <w:sz w:val="24"/>
          <w:szCs w:val="24"/>
          <w:highlight w:val="none"/>
        </w:rPr>
      </w:pPr>
      <w:r>
        <w:rPr>
          <w:rFonts w:ascii="宋体" w:hAnsi="宋体" w:eastAsia="宋体" w:cs="宋体"/>
          <w:color w:val="auto"/>
          <w:sz w:val="24"/>
          <w:szCs w:val="24"/>
          <w:highlight w:val="none"/>
        </w:rPr>
        <w:t>(4)按照法律法规及合同文件约定督促承包人落实安全生产责任，对承包人的安全</w:t>
      </w:r>
      <w:r>
        <w:rPr>
          <w:rFonts w:ascii="宋体" w:hAnsi="宋体" w:eastAsia="宋体" w:cs="宋体"/>
          <w:color w:val="auto"/>
          <w:spacing w:val="-1"/>
          <w:sz w:val="24"/>
          <w:szCs w:val="24"/>
          <w:highlight w:val="none"/>
        </w:rPr>
        <w:t>生产工作统一协调、管理，定期进行安全检查，发现安全问题的</w:t>
      </w:r>
      <w:r>
        <w:rPr>
          <w:rFonts w:ascii="宋体" w:hAnsi="宋体" w:eastAsia="宋体" w:cs="宋体"/>
          <w:color w:val="auto"/>
          <w:spacing w:val="-2"/>
          <w:sz w:val="24"/>
          <w:szCs w:val="24"/>
          <w:highlight w:val="none"/>
        </w:rPr>
        <w:t>，应当及时督促整改。</w:t>
      </w:r>
    </w:p>
    <w:p w14:paraId="4AF52938">
      <w:pPr>
        <w:spacing w:before="183" w:line="220"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2.承包人职责</w:t>
      </w:r>
    </w:p>
    <w:p w14:paraId="5A64A3D4">
      <w:pPr>
        <w:spacing w:before="183" w:line="313" w:lineRule="auto"/>
        <w:ind w:left="1430" w:right="1416" w:firstLine="517"/>
        <w:rPr>
          <w:rFonts w:ascii="宋体" w:hAnsi="宋体" w:eastAsia="宋体" w:cs="宋体"/>
          <w:color w:val="auto"/>
          <w:sz w:val="24"/>
          <w:szCs w:val="24"/>
          <w:highlight w:val="none"/>
        </w:rPr>
      </w:pPr>
      <w:r>
        <w:rPr>
          <w:rFonts w:ascii="宋体" w:hAnsi="宋体" w:eastAsia="宋体" w:cs="宋体"/>
          <w:color w:val="auto"/>
          <w:sz w:val="24"/>
          <w:szCs w:val="24"/>
          <w:highlight w:val="none"/>
        </w:rPr>
        <w:t>(1)严格执行安全生产有关法律法规、规章及标准规范，落实合同、</w:t>
      </w:r>
      <w:r>
        <w:rPr>
          <w:rFonts w:ascii="宋体" w:hAnsi="宋体" w:eastAsia="宋体" w:cs="宋体"/>
          <w:color w:val="auto"/>
          <w:spacing w:val="-2"/>
          <w:sz w:val="24"/>
          <w:szCs w:val="24"/>
          <w:highlight w:val="none"/>
        </w:rPr>
        <w:t>《公路工程施工安全防护设施技术指南》以及其他有关</w:t>
      </w:r>
      <w:r>
        <w:rPr>
          <w:rFonts w:ascii="宋体" w:hAnsi="宋体" w:eastAsia="宋体" w:cs="宋体"/>
          <w:color w:val="auto"/>
          <w:spacing w:val="-4"/>
          <w:sz w:val="24"/>
          <w:szCs w:val="24"/>
          <w:highlight w:val="none"/>
        </w:rPr>
        <w:t>安全生产方面的规定和要求。</w:t>
      </w:r>
    </w:p>
    <w:p w14:paraId="73A8E7BF">
      <w:pPr>
        <w:spacing w:before="184" w:line="289" w:lineRule="auto"/>
        <w:ind w:left="1424" w:right="1427" w:firstLine="523"/>
        <w:rPr>
          <w:rFonts w:ascii="宋体" w:hAnsi="宋体" w:eastAsia="宋体" w:cs="宋体"/>
          <w:color w:val="auto"/>
          <w:sz w:val="24"/>
          <w:szCs w:val="24"/>
          <w:highlight w:val="none"/>
        </w:rPr>
      </w:pPr>
      <w:r>
        <w:rPr>
          <w:rFonts w:ascii="宋体" w:hAnsi="宋体" w:eastAsia="宋体" w:cs="宋体"/>
          <w:color w:val="auto"/>
          <w:sz w:val="24"/>
          <w:szCs w:val="24"/>
          <w:highlight w:val="none"/>
        </w:rPr>
        <w:t>(2)应具备相应的安全生产条件及安全生产资质，对施工现场的安全生产负主体责</w:t>
      </w:r>
      <w:r>
        <w:rPr>
          <w:rFonts w:ascii="宋体" w:hAnsi="宋体" w:eastAsia="宋体" w:cs="宋体"/>
          <w:color w:val="auto"/>
          <w:spacing w:val="-2"/>
          <w:sz w:val="24"/>
          <w:szCs w:val="24"/>
          <w:highlight w:val="none"/>
        </w:rPr>
        <w:t>任，主要负责人依法对项目安全生产工作全面负责。</w:t>
      </w:r>
    </w:p>
    <w:p w14:paraId="464C8E11">
      <w:pPr>
        <w:spacing w:before="184" w:line="289" w:lineRule="auto"/>
        <w:ind w:left="1433" w:right="1331" w:firstLine="513"/>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(3)坚持国家安全生产方针、政策及原则， 建立健全并落实项目安全生产管理制度、</w:t>
      </w:r>
      <w:r>
        <w:rPr>
          <w:rFonts w:ascii="宋体" w:hAnsi="宋体" w:eastAsia="宋体" w:cs="宋体"/>
          <w:color w:val="auto"/>
          <w:spacing w:val="-2"/>
          <w:sz w:val="24"/>
          <w:szCs w:val="24"/>
          <w:highlight w:val="none"/>
        </w:rPr>
        <w:t>责任、组织机构等管理体系，配足符合资质条件的专职安全生产管理人员。</w:t>
      </w:r>
    </w:p>
    <w:p w14:paraId="661284FA">
      <w:pPr>
        <w:spacing w:before="183" w:line="290" w:lineRule="auto"/>
        <w:ind w:left="1430" w:right="1427" w:firstLine="517"/>
        <w:rPr>
          <w:rFonts w:ascii="宋体" w:hAnsi="宋体" w:eastAsia="宋体" w:cs="宋体"/>
          <w:color w:val="auto"/>
          <w:sz w:val="24"/>
          <w:szCs w:val="24"/>
          <w:highlight w:val="none"/>
        </w:rPr>
      </w:pPr>
      <w:r>
        <w:rPr>
          <w:rFonts w:ascii="宋体" w:hAnsi="宋体" w:eastAsia="宋体" w:cs="宋体"/>
          <w:color w:val="auto"/>
          <w:sz w:val="24"/>
          <w:szCs w:val="24"/>
          <w:highlight w:val="none"/>
        </w:rPr>
        <w:t>(4)应保证本项目合同段所应具备的安全生产条件必需的资金投入，依法参加各类</w:t>
      </w:r>
      <w:r>
        <w:rPr>
          <w:rFonts w:ascii="宋体" w:hAnsi="宋体" w:eastAsia="宋体" w:cs="宋体"/>
          <w:color w:val="auto"/>
          <w:spacing w:val="-3"/>
          <w:sz w:val="24"/>
          <w:szCs w:val="24"/>
          <w:highlight w:val="none"/>
        </w:rPr>
        <w:t>安全保险，保障从业人员安全生产方面的权利。</w:t>
      </w:r>
    </w:p>
    <w:p w14:paraId="1A98EFE7">
      <w:pPr>
        <w:spacing w:before="184" w:line="289" w:lineRule="auto"/>
        <w:ind w:left="1428" w:right="1416" w:firstLine="519"/>
        <w:rPr>
          <w:rFonts w:ascii="宋体" w:hAnsi="宋体" w:eastAsia="宋体" w:cs="宋体"/>
          <w:color w:val="auto"/>
          <w:sz w:val="24"/>
          <w:szCs w:val="24"/>
          <w:highlight w:val="none"/>
        </w:rPr>
      </w:pPr>
      <w:r>
        <w:rPr>
          <w:rFonts w:ascii="宋体" w:hAnsi="宋体" w:eastAsia="宋体" w:cs="宋体"/>
          <w:color w:val="auto"/>
          <w:sz w:val="24"/>
          <w:szCs w:val="24"/>
          <w:highlight w:val="none"/>
        </w:rPr>
        <w:t>(5)应切实加强作业工人安全培训教育和安全技术交底。运用《公路施工安全视频</w:t>
      </w:r>
      <w:r>
        <w:rPr>
          <w:rFonts w:ascii="宋体" w:hAnsi="宋体" w:eastAsia="宋体" w:cs="宋体"/>
          <w:color w:val="auto"/>
          <w:spacing w:val="-6"/>
          <w:sz w:val="24"/>
          <w:szCs w:val="24"/>
          <w:highlight w:val="none"/>
        </w:rPr>
        <w:t>教程》及配套口袋书、配套测试题集，</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建立工人学校或安全教育体验馆</w:t>
      </w:r>
      <w:r>
        <w:rPr>
          <w:rFonts w:ascii="宋体" w:hAnsi="宋体" w:eastAsia="宋体" w:cs="宋体"/>
          <w:color w:val="auto"/>
          <w:spacing w:val="-7"/>
          <w:sz w:val="24"/>
          <w:szCs w:val="24"/>
          <w:highlight w:val="none"/>
        </w:rPr>
        <w:t>，开展岗前安全</w:t>
      </w:r>
    </w:p>
    <w:p w14:paraId="24821CD7">
      <w:pPr>
        <w:spacing w:line="289" w:lineRule="auto"/>
        <w:rPr>
          <w:rFonts w:ascii="宋体" w:hAnsi="宋体" w:eastAsia="宋体" w:cs="宋体"/>
          <w:color w:val="auto"/>
          <w:sz w:val="24"/>
          <w:szCs w:val="24"/>
          <w:highlight w:val="none"/>
        </w:rPr>
        <w:sectPr>
          <w:headerReference r:id="rId78" w:type="default"/>
          <w:footerReference r:id="rId79" w:type="default"/>
          <w:pgSz w:w="11905" w:h="16840"/>
          <w:pgMar w:top="1182" w:right="0" w:bottom="1171" w:left="0" w:header="849" w:footer="937" w:gutter="0"/>
          <w:pgNumType w:fmt="decimal"/>
          <w:cols w:space="720" w:num="1"/>
        </w:sectPr>
      </w:pPr>
    </w:p>
    <w:p w14:paraId="6C427B32">
      <w:pPr>
        <w:pStyle w:val="3"/>
        <w:spacing w:line="268" w:lineRule="auto"/>
        <w:rPr>
          <w:color w:val="auto"/>
          <w:highlight w:val="none"/>
        </w:rPr>
      </w:pPr>
    </w:p>
    <w:p w14:paraId="34B118C9">
      <w:pPr>
        <w:spacing w:before="78" w:line="360" w:lineRule="auto"/>
        <w:ind w:left="1428" w:right="1416"/>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教育培训和经常性安全再教育，提高全员安全意识和安全技能。认真细致做好工人作业前安全技术交底，落实基层班组班前会制度，确保作业工人熟知作业的安全要求和班前</w:t>
      </w:r>
      <w:r>
        <w:rPr>
          <w:rFonts w:ascii="宋体" w:hAnsi="宋体" w:eastAsia="宋体" w:cs="宋体"/>
          <w:color w:val="auto"/>
          <w:spacing w:val="-6"/>
          <w:sz w:val="24"/>
          <w:szCs w:val="24"/>
          <w:highlight w:val="none"/>
        </w:rPr>
        <w:t>危险预知内容。</w:t>
      </w:r>
    </w:p>
    <w:p w14:paraId="04FFD3F2">
      <w:pPr>
        <w:spacing w:line="290" w:lineRule="auto"/>
        <w:ind w:left="1427" w:right="1427" w:firstLine="520"/>
        <w:rPr>
          <w:rFonts w:ascii="宋体" w:hAnsi="宋体" w:eastAsia="宋体" w:cs="宋体"/>
          <w:color w:val="auto"/>
          <w:sz w:val="24"/>
          <w:szCs w:val="24"/>
          <w:highlight w:val="none"/>
        </w:rPr>
      </w:pPr>
      <w:r>
        <w:rPr>
          <w:rFonts w:ascii="宋体" w:hAnsi="宋体" w:eastAsia="宋体" w:cs="宋体"/>
          <w:color w:val="auto"/>
          <w:sz w:val="24"/>
          <w:szCs w:val="24"/>
          <w:highlight w:val="none"/>
        </w:rPr>
        <w:t>(6)按规定编制危险性较大工程专项施工方案，按程序逐级审批，必要时应组织专</w:t>
      </w:r>
      <w:r>
        <w:rPr>
          <w:rFonts w:ascii="宋体" w:hAnsi="宋体" w:eastAsia="宋体" w:cs="宋体"/>
          <w:color w:val="auto"/>
          <w:spacing w:val="-9"/>
          <w:sz w:val="24"/>
          <w:szCs w:val="24"/>
          <w:highlight w:val="none"/>
        </w:rPr>
        <w:t>家论证。</w:t>
      </w:r>
    </w:p>
    <w:p w14:paraId="2D8100A4">
      <w:pPr>
        <w:spacing w:before="181" w:line="290" w:lineRule="auto"/>
        <w:ind w:left="1431" w:right="1427" w:firstLine="516"/>
        <w:rPr>
          <w:rFonts w:ascii="宋体" w:hAnsi="宋体" w:eastAsia="宋体" w:cs="宋体"/>
          <w:color w:val="auto"/>
          <w:sz w:val="24"/>
          <w:szCs w:val="24"/>
          <w:highlight w:val="none"/>
        </w:rPr>
      </w:pPr>
      <w:r>
        <w:rPr>
          <w:rFonts w:ascii="宋体" w:hAnsi="宋体" w:eastAsia="宋体" w:cs="宋体"/>
          <w:color w:val="auto"/>
          <w:sz w:val="24"/>
          <w:szCs w:val="24"/>
          <w:highlight w:val="none"/>
        </w:rPr>
        <w:t>(7)各类施工设备设施及用品、用具等应具备相关资质证书，定期检查维护，按规</w:t>
      </w:r>
      <w:r>
        <w:rPr>
          <w:rFonts w:ascii="宋体" w:hAnsi="宋体" w:eastAsia="宋体" w:cs="宋体"/>
          <w:color w:val="auto"/>
          <w:spacing w:val="-2"/>
          <w:sz w:val="24"/>
          <w:szCs w:val="24"/>
          <w:highlight w:val="none"/>
        </w:rPr>
        <w:t>定及时报废；特种设备及支撑体系设施设备投入使用前应按规定组织验收。</w:t>
      </w:r>
    </w:p>
    <w:p w14:paraId="0A7FCC60">
      <w:pPr>
        <w:spacing w:before="181" w:line="220" w:lineRule="auto"/>
        <w:ind w:left="194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(8)两区三厂、临建设施等选址及相关防护设施的设置应符合安全要求。</w:t>
      </w:r>
    </w:p>
    <w:p w14:paraId="17EB67E2">
      <w:pPr>
        <w:spacing w:before="181" w:line="290" w:lineRule="auto"/>
        <w:ind w:left="1431" w:right="1427" w:firstLine="516"/>
        <w:rPr>
          <w:rFonts w:ascii="宋体" w:hAnsi="宋体" w:eastAsia="宋体" w:cs="宋体"/>
          <w:color w:val="auto"/>
          <w:sz w:val="24"/>
          <w:szCs w:val="24"/>
          <w:highlight w:val="none"/>
        </w:rPr>
      </w:pPr>
      <w:r>
        <w:rPr>
          <w:rFonts w:ascii="宋体" w:hAnsi="宋体" w:eastAsia="宋体" w:cs="宋体"/>
          <w:color w:val="auto"/>
          <w:sz w:val="24"/>
          <w:szCs w:val="24"/>
          <w:highlight w:val="none"/>
        </w:rPr>
        <w:t>(9)建立施工现场及驻地消防安全责任制度，确定消防安全责任人，落实消防安全</w:t>
      </w:r>
      <w:r>
        <w:rPr>
          <w:rFonts w:ascii="宋体" w:hAnsi="宋体" w:eastAsia="宋体" w:cs="宋体"/>
          <w:color w:val="auto"/>
          <w:spacing w:val="-3"/>
          <w:sz w:val="24"/>
          <w:szCs w:val="24"/>
          <w:highlight w:val="none"/>
        </w:rPr>
        <w:t>管理和消防安全检查，及时消除火灾事故隐患。</w:t>
      </w:r>
    </w:p>
    <w:p w14:paraId="6B90EB42">
      <w:pPr>
        <w:spacing w:before="182" w:line="290" w:lineRule="auto"/>
        <w:ind w:left="1431" w:right="1421" w:firstLine="51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(10)按规定建立并落实安全风险分级管控及事故隐患排查治理双重预防工作机制，</w:t>
      </w:r>
      <w:r>
        <w:rPr>
          <w:rFonts w:ascii="宋体" w:hAnsi="宋体" w:eastAsia="宋体" w:cs="宋体"/>
          <w:color w:val="auto"/>
          <w:spacing w:val="-2"/>
          <w:sz w:val="24"/>
          <w:szCs w:val="24"/>
          <w:highlight w:val="none"/>
        </w:rPr>
        <w:t>并按要求开展各类安全生产检查，重大事故隐患及时上报和专项治理。</w:t>
      </w:r>
    </w:p>
    <w:p w14:paraId="1ED72F17">
      <w:pPr>
        <w:spacing w:before="182" w:line="219" w:lineRule="auto"/>
        <w:ind w:left="194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(11)建立健全本项目合同段生产安全事故</w:t>
      </w:r>
      <w:r>
        <w:rPr>
          <w:rFonts w:ascii="宋体" w:hAnsi="宋体" w:eastAsia="宋体" w:cs="宋体"/>
          <w:color w:val="auto"/>
          <w:spacing w:val="-3"/>
          <w:sz w:val="24"/>
          <w:szCs w:val="24"/>
          <w:highlight w:val="none"/>
        </w:rPr>
        <w:t>应急预案体系，并定期组织演练。</w:t>
      </w:r>
    </w:p>
    <w:p w14:paraId="089B67D0">
      <w:pPr>
        <w:spacing w:before="184" w:line="291" w:lineRule="auto"/>
        <w:ind w:left="1429" w:right="1416" w:firstLine="51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(12)及时、如实报告生产安全事故。发生事故时，</w:t>
      </w:r>
      <w:r>
        <w:rPr>
          <w:rFonts w:ascii="宋体" w:hAnsi="宋体" w:eastAsia="宋体" w:cs="宋体"/>
          <w:color w:val="auto"/>
          <w:spacing w:val="51"/>
          <w:sz w:val="24"/>
          <w:szCs w:val="24"/>
          <w:highlight w:val="none"/>
        </w:rPr>
        <w:t xml:space="preserve"> </w:t>
      </w:r>
      <w:r>
        <w:rPr>
          <w:rFonts w:ascii="宋体" w:hAnsi="宋体" w:eastAsia="宋体" w:cs="宋体"/>
          <w:color w:val="auto"/>
          <w:spacing w:val="-7"/>
          <w:sz w:val="24"/>
          <w:szCs w:val="24"/>
          <w:highlight w:val="none"/>
        </w:rPr>
        <w:t>应立即组织抢救，</w:t>
      </w:r>
      <w:r>
        <w:rPr>
          <w:rFonts w:ascii="宋体" w:hAnsi="宋体" w:eastAsia="宋体" w:cs="宋体"/>
          <w:color w:val="auto"/>
          <w:spacing w:val="-8"/>
          <w:sz w:val="24"/>
          <w:szCs w:val="24"/>
          <w:highlight w:val="none"/>
        </w:rPr>
        <w:t>并积极配合事</w:t>
      </w:r>
      <w:r>
        <w:rPr>
          <w:rFonts w:ascii="宋体" w:hAnsi="宋体" w:eastAsia="宋体" w:cs="宋体"/>
          <w:color w:val="auto"/>
          <w:spacing w:val="-7"/>
          <w:sz w:val="24"/>
          <w:szCs w:val="24"/>
          <w:highlight w:val="none"/>
        </w:rPr>
        <w:t>故调查处理。</w:t>
      </w:r>
    </w:p>
    <w:p w14:paraId="405D0E66">
      <w:pPr>
        <w:spacing w:before="179" w:line="220" w:lineRule="auto"/>
        <w:ind w:left="194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(13)安全生产法律法规、政策等规定的其他职责。</w:t>
      </w:r>
    </w:p>
    <w:p w14:paraId="4768DBEB">
      <w:pPr>
        <w:spacing w:before="182" w:line="220" w:lineRule="auto"/>
        <w:ind w:left="19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3.违约责任</w:t>
      </w:r>
    </w:p>
    <w:p w14:paraId="3C3FCA9F">
      <w:pPr>
        <w:spacing w:before="182" w:line="219" w:lineRule="auto"/>
        <w:ind w:left="19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如因发包人或承包人违约造成安全事故，将依法追究责任。</w:t>
      </w:r>
    </w:p>
    <w:p w14:paraId="25CC4DAA">
      <w:pPr>
        <w:spacing w:before="183" w:line="290" w:lineRule="auto"/>
        <w:ind w:left="1426" w:right="1416"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4.本合同由双方法定代表人或其授权的代理人签署并加盖单位章后生效，全部工程</w:t>
      </w:r>
      <w:r>
        <w:rPr>
          <w:rFonts w:ascii="宋体" w:hAnsi="宋体" w:eastAsia="宋体" w:cs="宋体"/>
          <w:color w:val="auto"/>
          <w:spacing w:val="-5"/>
          <w:sz w:val="24"/>
          <w:szCs w:val="24"/>
          <w:highlight w:val="none"/>
        </w:rPr>
        <w:t>竣工验收后失效。</w:t>
      </w:r>
    </w:p>
    <w:p w14:paraId="64483652">
      <w:pPr>
        <w:spacing w:before="184" w:line="289"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5.本合同正本二份、副本</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份，合同双方各执正本一份，副本</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份，当正本</w:t>
      </w:r>
      <w:r>
        <w:rPr>
          <w:rFonts w:ascii="宋体" w:hAnsi="宋体" w:eastAsia="宋体" w:cs="宋体"/>
          <w:color w:val="auto"/>
          <w:spacing w:val="-3"/>
          <w:sz w:val="24"/>
          <w:szCs w:val="24"/>
          <w:highlight w:val="none"/>
        </w:rPr>
        <w:t>与副本的内容不一致时，以正本为准。</w:t>
      </w:r>
    </w:p>
    <w:p w14:paraId="562B5F10">
      <w:pPr>
        <w:pStyle w:val="3"/>
        <w:spacing w:line="284" w:lineRule="auto"/>
        <w:rPr>
          <w:color w:val="auto"/>
          <w:highlight w:val="none"/>
        </w:rPr>
      </w:pPr>
    </w:p>
    <w:p w14:paraId="03F5DD62">
      <w:pPr>
        <w:pStyle w:val="3"/>
        <w:spacing w:line="285" w:lineRule="auto"/>
        <w:rPr>
          <w:color w:val="auto"/>
          <w:highlight w:val="none"/>
        </w:rPr>
      </w:pPr>
    </w:p>
    <w:p w14:paraId="457EFEC8">
      <w:pPr>
        <w:spacing w:before="78" w:line="219" w:lineRule="auto"/>
        <w:ind w:left="142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3"/>
          <w:sz w:val="24"/>
          <w:szCs w:val="24"/>
          <w:highlight w:val="none"/>
        </w:rPr>
        <w:t>(盖单位章</w:t>
      </w:r>
      <w:r>
        <w:rPr>
          <w:rFonts w:ascii="宋体" w:hAnsi="宋体" w:eastAsia="宋体" w:cs="宋体"/>
          <w:color w:val="auto"/>
          <w:spacing w:val="-4"/>
          <w:sz w:val="24"/>
          <w:szCs w:val="24"/>
          <w:highlight w:val="none"/>
        </w:rPr>
        <w:t>)</w:t>
      </w:r>
      <w:r>
        <w:rPr>
          <w:rFonts w:ascii="宋体" w:hAnsi="宋体" w:eastAsia="宋体" w:cs="宋体"/>
          <w:color w:val="auto"/>
          <w:spacing w:val="2"/>
          <w:sz w:val="24"/>
          <w:szCs w:val="24"/>
          <w:highlight w:val="none"/>
        </w:rPr>
        <w:t xml:space="preserve">     </w:t>
      </w:r>
      <w:r>
        <w:rPr>
          <w:rFonts w:ascii="宋体" w:hAnsi="宋体" w:eastAsia="宋体" w:cs="宋体"/>
          <w:color w:val="auto"/>
          <w:spacing w:val="-4"/>
          <w:sz w:val="24"/>
          <w:szCs w:val="24"/>
          <w:highlight w:val="none"/>
        </w:rPr>
        <w:t>承包人：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4"/>
          <w:sz w:val="24"/>
          <w:szCs w:val="24"/>
          <w:highlight w:val="none"/>
        </w:rPr>
        <w:t>(盖单位章)</w:t>
      </w:r>
    </w:p>
    <w:p w14:paraId="6FF07ED4">
      <w:pPr>
        <w:spacing w:before="183" w:line="220" w:lineRule="auto"/>
        <w:ind w:left="142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法定代表人或其委托代理人：</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3"/>
          <w:sz w:val="24"/>
          <w:szCs w:val="24"/>
          <w:highlight w:val="none"/>
        </w:rPr>
        <w:t>(签字)  法定代表人或</w:t>
      </w:r>
      <w:r>
        <w:rPr>
          <w:rFonts w:ascii="宋体" w:hAnsi="宋体" w:eastAsia="宋体" w:cs="宋体"/>
          <w:color w:val="auto"/>
          <w:spacing w:val="-4"/>
          <w:sz w:val="24"/>
          <w:szCs w:val="24"/>
          <w:highlight w:val="none"/>
        </w:rPr>
        <w:t>其委托代理人：</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4"/>
          <w:sz w:val="24"/>
          <w:szCs w:val="24"/>
          <w:highlight w:val="none"/>
        </w:rPr>
        <w:t>(签字)</w:t>
      </w:r>
    </w:p>
    <w:p w14:paraId="4D978A18">
      <w:pPr>
        <w:tabs>
          <w:tab w:val="left" w:pos="3456"/>
        </w:tabs>
        <w:spacing w:before="182" w:line="220" w:lineRule="auto"/>
        <w:ind w:left="261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3"/>
          <w:sz w:val="24"/>
          <w:szCs w:val="24"/>
          <w:highlight w:val="none"/>
        </w:rPr>
        <w:t xml:space="preserve"> </w:t>
      </w:r>
      <w:r>
        <w:rPr>
          <w:rFonts w:ascii="宋体" w:hAnsi="宋体" w:eastAsia="宋体" w:cs="宋体"/>
          <w:color w:val="auto"/>
          <w:spacing w:val="-10"/>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0"/>
          <w:sz w:val="24"/>
          <w:szCs w:val="24"/>
          <w:highlight w:val="none"/>
        </w:rPr>
        <w:t>月</w:t>
      </w:r>
      <w:r>
        <w:rPr>
          <w:rFonts w:ascii="宋体" w:hAnsi="宋体" w:eastAsia="宋体" w:cs="宋体"/>
          <w:color w:val="auto"/>
          <w:spacing w:val="24"/>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0"/>
          <w:sz w:val="24"/>
          <w:szCs w:val="24"/>
          <w:highlight w:val="none"/>
        </w:rPr>
        <w:t xml:space="preserve">日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0"/>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0"/>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0"/>
          <w:sz w:val="24"/>
          <w:szCs w:val="24"/>
          <w:highlight w:val="none"/>
        </w:rPr>
        <w:t>日</w:t>
      </w:r>
    </w:p>
    <w:p w14:paraId="74F2CA15">
      <w:pPr>
        <w:spacing w:line="220" w:lineRule="auto"/>
        <w:rPr>
          <w:rFonts w:ascii="宋体" w:hAnsi="宋体" w:eastAsia="宋体" w:cs="宋体"/>
          <w:color w:val="auto"/>
          <w:sz w:val="24"/>
          <w:szCs w:val="24"/>
          <w:highlight w:val="none"/>
        </w:rPr>
        <w:sectPr>
          <w:headerReference r:id="rId80" w:type="default"/>
          <w:footerReference r:id="rId81" w:type="default"/>
          <w:pgSz w:w="11905" w:h="16840"/>
          <w:pgMar w:top="1182" w:right="0" w:bottom="1171" w:left="0" w:header="849" w:footer="937" w:gutter="0"/>
          <w:pgNumType w:fmt="decimal"/>
          <w:cols w:space="720" w:num="1"/>
        </w:sectPr>
      </w:pPr>
    </w:p>
    <w:p w14:paraId="7B097C41">
      <w:pPr>
        <w:pStyle w:val="3"/>
        <w:spacing w:line="267" w:lineRule="auto"/>
        <w:rPr>
          <w:color w:val="auto"/>
          <w:highlight w:val="none"/>
        </w:rPr>
      </w:pPr>
    </w:p>
    <w:p w14:paraId="45CFC47F">
      <w:pPr>
        <w:spacing w:before="181" w:line="290" w:lineRule="auto"/>
        <w:ind w:left="1431" w:right="1427" w:firstLine="516"/>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附件八：工程资金监管协议格式</w:t>
      </w:r>
    </w:p>
    <w:p w14:paraId="56A0C7FE">
      <w:pPr>
        <w:spacing w:before="181" w:line="290" w:lineRule="auto"/>
        <w:ind w:left="1431" w:right="1427" w:firstLine="516"/>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（发包人与承包人签订合同协议书时应与发包人指定的银行签署工程资金监管协议，工程资金监管协议内容在保证本项目资金有效监管的前提下由三方共同商定）</w:t>
      </w:r>
    </w:p>
    <w:p w14:paraId="4F2E1B65">
      <w:pPr>
        <w:keepNext w:val="0"/>
        <w:keepLines w:val="0"/>
        <w:widowControl w:val="0"/>
        <w:suppressLineNumbers w:val="0"/>
        <w:autoSpaceDE w:val="0"/>
        <w:autoSpaceDN w:val="0"/>
        <w:adjustRightInd w:val="0"/>
        <w:snapToGrid w:val="0"/>
        <w:spacing w:before="0" w:beforeAutospacing="0" w:after="0" w:afterAutospacing="0" w:line="356" w:lineRule="exact"/>
        <w:ind w:left="0" w:right="0" w:firstLine="0"/>
        <w:jc w:val="both"/>
        <w:textAlignment w:val="center"/>
        <w:rPr>
          <w:rFonts w:hint="default" w:ascii="仿宋_GB2312" w:eastAsia="仿宋_GB2312" w:cs="仿宋_GB2312"/>
          <w:color w:val="auto"/>
          <w:kern w:val="2"/>
          <w:sz w:val="21"/>
          <w:szCs w:val="21"/>
          <w:highlight w:val="none"/>
        </w:rPr>
      </w:pPr>
      <w:r>
        <w:rPr>
          <w:rFonts w:hint="default" w:ascii="仿宋_GB2312" w:hAnsi="Calibri" w:eastAsia="仿宋_GB2312" w:cs="仿宋_GB2312"/>
          <w:color w:val="auto"/>
          <w:kern w:val="2"/>
          <w:sz w:val="21"/>
          <w:szCs w:val="21"/>
          <w:highlight w:val="none"/>
          <w:lang w:val="en-US" w:eastAsia="zh-CN" w:bidi="ar"/>
        </w:rPr>
        <w:t xml:space="preserve"> </w:t>
      </w:r>
    </w:p>
    <w:p w14:paraId="59518503">
      <w:pPr>
        <w:keepNext w:val="0"/>
        <w:keepLines w:val="0"/>
        <w:widowControl w:val="0"/>
        <w:suppressLineNumbers w:val="0"/>
        <w:autoSpaceDE w:val="0"/>
        <w:autoSpaceDN w:val="0"/>
        <w:adjustRightInd w:val="0"/>
        <w:snapToGrid w:val="0"/>
        <w:spacing w:before="0" w:beforeAutospacing="0" w:after="0" w:afterAutospacing="0" w:line="356" w:lineRule="exact"/>
        <w:ind w:left="0" w:right="0" w:firstLine="0"/>
        <w:jc w:val="center"/>
        <w:textAlignment w:val="center"/>
        <w:outlineLvl w:val="0"/>
        <w:rPr>
          <w:rFonts w:hint="eastAsia" w:ascii="黑体" w:hAnsi="宋体" w:eastAsia="黑体" w:cs="黑体"/>
          <w:color w:val="auto"/>
          <w:kern w:val="2"/>
          <w:sz w:val="28"/>
          <w:szCs w:val="28"/>
          <w:highlight w:val="none"/>
        </w:rPr>
      </w:pPr>
      <w:bookmarkStart w:id="19" w:name="_Toc8903"/>
      <w:r>
        <w:rPr>
          <w:rFonts w:hint="eastAsia" w:ascii="黑体" w:hAnsi="宋体" w:eastAsia="黑体" w:cs="黑体"/>
          <w:color w:val="auto"/>
          <w:spacing w:val="-2"/>
          <w:kern w:val="2"/>
          <w:sz w:val="28"/>
          <w:szCs w:val="28"/>
          <w:highlight w:val="none"/>
          <w:lang w:val="en-US" w:eastAsia="zh-CN" w:bidi="ar"/>
        </w:rPr>
        <w:t>工程资金监管协议</w:t>
      </w:r>
      <w:bookmarkEnd w:id="19"/>
    </w:p>
    <w:p w14:paraId="50163D79">
      <w:pPr>
        <w:keepNext w:val="0"/>
        <w:keepLines w:val="0"/>
        <w:widowControl w:val="0"/>
        <w:suppressLineNumbers w:val="0"/>
        <w:autoSpaceDE w:val="0"/>
        <w:autoSpaceDN w:val="0"/>
        <w:adjustRightInd w:val="0"/>
        <w:snapToGrid w:val="0"/>
        <w:spacing w:before="0" w:beforeAutospacing="0" w:after="0" w:afterAutospacing="0" w:line="356" w:lineRule="exact"/>
        <w:ind w:left="0" w:right="0" w:firstLine="0"/>
        <w:jc w:val="both"/>
        <w:textAlignment w:val="center"/>
        <w:rPr>
          <w:rFonts w:hint="default" w:ascii="Arial" w:hAnsi="Calibri" w:eastAsia="Calibri" w:cs="Times New Roman"/>
          <w:color w:val="auto"/>
          <w:kern w:val="2"/>
          <w:sz w:val="21"/>
          <w:szCs w:val="21"/>
          <w:highlight w:val="none"/>
        </w:rPr>
      </w:pPr>
      <w:r>
        <w:rPr>
          <w:rFonts w:hint="default" w:ascii="Arial" w:hAnsi="Calibri" w:eastAsia="Calibri" w:cs="Times New Roman"/>
          <w:color w:val="auto"/>
          <w:kern w:val="2"/>
          <w:sz w:val="21"/>
          <w:szCs w:val="21"/>
          <w:highlight w:val="none"/>
          <w:lang w:val="en-US" w:eastAsia="zh-CN" w:bidi="ar"/>
        </w:rPr>
        <w:t xml:space="preserve"> </w:t>
      </w:r>
    </w:p>
    <w:p w14:paraId="71962893">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lang w:val="en-US" w:eastAsia="zh-CN" w:bidi="ar"/>
        </w:rPr>
        <w:t>发包人</w:t>
      </w:r>
      <w:r>
        <w:rPr>
          <w:rFonts w:hint="eastAsia" w:ascii="宋体" w:hAnsi="宋体" w:eastAsia="宋体" w:cs="宋体"/>
          <w:color w:val="auto"/>
          <w:spacing w:val="-14"/>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广州市增城区正果镇人民政府               </w:t>
      </w:r>
      <w:r>
        <w:rPr>
          <w:rFonts w:hint="eastAsia" w:ascii="宋体" w:hAnsi="宋体" w:eastAsia="宋体" w:cs="宋体"/>
          <w:color w:val="auto"/>
          <w:spacing w:val="-14"/>
          <w:kern w:val="0"/>
          <w:sz w:val="21"/>
          <w:szCs w:val="21"/>
          <w:highlight w:val="none"/>
          <w:lang w:val="en-US" w:eastAsia="zh-CN" w:bidi="ar"/>
        </w:rPr>
        <w:t>（</w:t>
      </w:r>
      <w:r>
        <w:rPr>
          <w:rFonts w:hint="eastAsia" w:ascii="宋体" w:hAnsi="宋体" w:eastAsia="宋体" w:cs="宋体"/>
          <w:color w:val="auto"/>
          <w:spacing w:val="1"/>
          <w:kern w:val="0"/>
          <w:sz w:val="21"/>
          <w:szCs w:val="21"/>
          <w:highlight w:val="none"/>
          <w:lang w:val="en-US" w:eastAsia="zh-CN" w:bidi="ar"/>
        </w:rPr>
        <w:t>以下简称“甲方”）</w:t>
      </w:r>
      <w:r>
        <w:rPr>
          <w:rFonts w:hint="eastAsia" w:ascii="宋体" w:hAnsi="宋体" w:eastAsia="宋体" w:cs="宋体"/>
          <w:color w:val="auto"/>
          <w:kern w:val="0"/>
          <w:sz w:val="21"/>
          <w:szCs w:val="21"/>
          <w:highlight w:val="none"/>
          <w:lang w:val="en-US" w:eastAsia="zh-CN" w:bidi="ar"/>
        </w:rPr>
        <w:t xml:space="preserve">  </w:t>
      </w:r>
    </w:p>
    <w:p w14:paraId="29817F5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lang w:val="en-US" w:eastAsia="zh-CN" w:bidi="ar"/>
        </w:rPr>
        <w:t>承包人</w:t>
      </w:r>
      <w:r>
        <w:rPr>
          <w:rFonts w:hint="eastAsia" w:ascii="宋体" w:hAnsi="宋体" w:eastAsia="宋体" w:cs="宋体"/>
          <w:color w:val="auto"/>
          <w:spacing w:val="-12"/>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spacing w:val="-12"/>
          <w:kern w:val="0"/>
          <w:sz w:val="21"/>
          <w:szCs w:val="21"/>
          <w:highlight w:val="none"/>
          <w:lang w:val="en-US" w:eastAsia="zh-CN" w:bidi="ar"/>
        </w:rPr>
        <w:t>（</w:t>
      </w:r>
      <w:r>
        <w:rPr>
          <w:rFonts w:hint="eastAsia" w:ascii="宋体" w:hAnsi="宋体" w:eastAsia="宋体" w:cs="宋体"/>
          <w:color w:val="auto"/>
          <w:spacing w:val="1"/>
          <w:kern w:val="0"/>
          <w:sz w:val="21"/>
          <w:szCs w:val="21"/>
          <w:highlight w:val="none"/>
          <w:lang w:val="en-US" w:eastAsia="zh-CN" w:bidi="ar"/>
        </w:rPr>
        <w:t>以下简称“乙方”）</w:t>
      </w:r>
      <w:r>
        <w:rPr>
          <w:rFonts w:hint="eastAsia" w:ascii="宋体" w:hAnsi="宋体" w:eastAsia="宋体" w:cs="宋体"/>
          <w:color w:val="auto"/>
          <w:kern w:val="0"/>
          <w:sz w:val="21"/>
          <w:szCs w:val="21"/>
          <w:highlight w:val="none"/>
          <w:lang w:val="en-US" w:eastAsia="zh-CN" w:bidi="ar"/>
        </w:rPr>
        <w:t xml:space="preserve">  </w:t>
      </w:r>
    </w:p>
    <w:p w14:paraId="017162B5">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
        </w:rPr>
        <w:t>经办银行</w:t>
      </w:r>
      <w:r>
        <w:rPr>
          <w:rFonts w:hint="eastAsia" w:ascii="宋体" w:hAnsi="宋体" w:eastAsia="宋体" w:cs="宋体"/>
          <w:color w:val="auto"/>
          <w:spacing w:val="-1"/>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spacing w:val="-1"/>
          <w:kern w:val="0"/>
          <w:sz w:val="21"/>
          <w:szCs w:val="21"/>
          <w:highlight w:val="none"/>
          <w:lang w:val="en-US" w:eastAsia="zh-CN" w:bidi="ar"/>
        </w:rPr>
        <w:t>（</w:t>
      </w:r>
      <w:r>
        <w:rPr>
          <w:rFonts w:hint="eastAsia" w:ascii="宋体" w:hAnsi="宋体" w:eastAsia="宋体" w:cs="宋体"/>
          <w:color w:val="auto"/>
          <w:spacing w:val="-2"/>
          <w:kern w:val="0"/>
          <w:sz w:val="21"/>
          <w:szCs w:val="21"/>
          <w:highlight w:val="none"/>
          <w:lang w:val="en-US" w:eastAsia="zh-CN" w:bidi="ar"/>
        </w:rPr>
        <w:t>以下简称“丙方”）</w:t>
      </w:r>
    </w:p>
    <w:p w14:paraId="048E0FB1">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46640553">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lang w:val="en-US" w:eastAsia="zh-CN" w:bidi="ar"/>
        </w:rPr>
        <w:t>为了促进</w:t>
      </w:r>
      <w:r>
        <w:rPr>
          <w:rFonts w:hint="eastAsia" w:ascii="宋体" w:hAnsi="宋体" w:eastAsia="宋体" w:cs="宋体"/>
          <w:color w:val="auto"/>
          <w:spacing w:val="-120"/>
          <w:kern w:val="0"/>
          <w:sz w:val="21"/>
          <w:szCs w:val="21"/>
          <w:highlight w:val="none"/>
          <w:lang w:val="en-US" w:eastAsia="zh-CN" w:bidi="ar"/>
        </w:rPr>
        <w:t xml:space="preserve"> </w:t>
      </w:r>
      <w:r>
        <w:rPr>
          <w:rFonts w:hint="eastAsia" w:ascii="宋体" w:hAnsi="宋体" w:eastAsia="宋体" w:cs="宋体"/>
          <w:color w:val="auto"/>
          <w:spacing w:val="1"/>
          <w:kern w:val="0"/>
          <w:sz w:val="21"/>
          <w:szCs w:val="21"/>
          <w:highlight w:val="none"/>
          <w:u w:val="single"/>
          <w:lang w:val="en-US" w:eastAsia="zh-CN" w:bidi="ar"/>
        </w:rPr>
        <w:t xml:space="preserve">       </w:t>
      </w:r>
      <w:r>
        <w:rPr>
          <w:rFonts w:hint="eastAsia" w:ascii="宋体" w:hAnsi="宋体" w:eastAsia="宋体" w:cs="宋体"/>
          <w:color w:val="auto"/>
          <w:spacing w:val="1"/>
          <w:kern w:val="0"/>
          <w:sz w:val="21"/>
          <w:szCs w:val="21"/>
          <w:highlight w:val="none"/>
          <w:lang w:val="en-US" w:eastAsia="zh-CN" w:bidi="ar"/>
        </w:rPr>
        <w:t>（项目名称）的</w:t>
      </w:r>
      <w:r>
        <w:rPr>
          <w:rFonts w:hint="eastAsia" w:ascii="宋体" w:hAnsi="宋体" w:eastAsia="宋体" w:cs="宋体"/>
          <w:color w:val="auto"/>
          <w:kern w:val="0"/>
          <w:sz w:val="21"/>
          <w:szCs w:val="21"/>
          <w:highlight w:val="none"/>
          <w:lang w:val="en-US" w:eastAsia="zh-CN" w:bidi="ar"/>
        </w:rPr>
        <w:t>顺利实施，管好用好建设资金，确保工程资</w:t>
      </w:r>
      <w:r>
        <w:rPr>
          <w:rFonts w:hint="eastAsia" w:ascii="宋体" w:hAnsi="宋体" w:eastAsia="宋体" w:cs="宋体"/>
          <w:color w:val="auto"/>
          <w:spacing w:val="-6"/>
          <w:kern w:val="0"/>
          <w:sz w:val="21"/>
          <w:szCs w:val="21"/>
          <w:highlight w:val="none"/>
          <w:lang w:val="en-US" w:eastAsia="zh-CN" w:bidi="ar"/>
        </w:rPr>
        <w:t>金专款专用，同时为承包人提供便捷有效的银行业务服务，根据</w:t>
      </w:r>
      <w:r>
        <w:rPr>
          <w:rFonts w:hint="eastAsia" w:ascii="宋体" w:hAnsi="宋体" w:eastAsia="宋体" w:cs="宋体"/>
          <w:color w:val="auto"/>
          <w:spacing w:val="-102"/>
          <w:kern w:val="0"/>
          <w:sz w:val="21"/>
          <w:szCs w:val="21"/>
          <w:highlight w:val="none"/>
          <w:lang w:val="en-US" w:eastAsia="zh-CN" w:bidi="ar"/>
        </w:rPr>
        <w:t xml:space="preserve"> </w:t>
      </w:r>
      <w:r>
        <w:rPr>
          <w:rFonts w:hint="eastAsia" w:ascii="宋体" w:hAnsi="宋体" w:eastAsia="宋体" w:cs="宋体"/>
          <w:color w:val="auto"/>
          <w:spacing w:val="-6"/>
          <w:kern w:val="0"/>
          <w:sz w:val="21"/>
          <w:szCs w:val="21"/>
          <w:highlight w:val="none"/>
          <w:u w:val="single"/>
          <w:lang w:val="en-US" w:eastAsia="zh-CN" w:bidi="ar"/>
        </w:rPr>
        <w:t xml:space="preserve">     </w:t>
      </w:r>
      <w:r>
        <w:rPr>
          <w:rFonts w:hint="eastAsia" w:ascii="宋体" w:hAnsi="宋体" w:eastAsia="宋体" w:cs="宋体"/>
          <w:color w:val="auto"/>
          <w:spacing w:val="-6"/>
          <w:kern w:val="0"/>
          <w:sz w:val="21"/>
          <w:szCs w:val="21"/>
          <w:highlight w:val="none"/>
          <w:lang w:val="en-US" w:eastAsia="zh-CN" w:bidi="ar"/>
        </w:rPr>
        <w:t>（项目名称）</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合同条款有关规定，经甲、乙、丙三方协商，达成协议如下：</w:t>
      </w:r>
    </w:p>
    <w:p w14:paraId="13ED05AE">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outlineLvl w:val="1"/>
        <w:rPr>
          <w:rFonts w:hint="eastAsia" w:ascii="宋体" w:hAnsi="宋体" w:eastAsia="宋体" w:cs="宋体"/>
          <w:color w:val="auto"/>
          <w:kern w:val="0"/>
          <w:sz w:val="21"/>
          <w:szCs w:val="21"/>
          <w:highlight w:val="none"/>
        </w:rPr>
      </w:pPr>
      <w:bookmarkStart w:id="20" w:name="_Toc11172"/>
      <w:r>
        <w:rPr>
          <w:rFonts w:hint="eastAsia" w:ascii="宋体" w:hAnsi="宋体" w:eastAsia="宋体" w:cs="宋体"/>
          <w:color w:val="auto"/>
          <w:spacing w:val="-5"/>
          <w:kern w:val="0"/>
          <w:sz w:val="21"/>
          <w:szCs w:val="21"/>
          <w:highlight w:val="none"/>
          <w:lang w:val="en-US" w:eastAsia="zh-CN" w:bidi="ar"/>
        </w:rPr>
        <w:t>1.</w:t>
      </w:r>
      <w:r>
        <w:rPr>
          <w:rFonts w:hint="eastAsia" w:ascii="宋体" w:hAnsi="宋体" w:eastAsia="宋体" w:cs="宋体"/>
          <w:color w:val="auto"/>
          <w:spacing w:val="9"/>
          <w:kern w:val="0"/>
          <w:sz w:val="21"/>
          <w:szCs w:val="21"/>
          <w:highlight w:val="none"/>
          <w:lang w:val="en-US" w:eastAsia="zh-CN" w:bidi="ar"/>
        </w:rPr>
        <w:t xml:space="preserve">  </w:t>
      </w:r>
      <w:r>
        <w:rPr>
          <w:rFonts w:hint="eastAsia" w:ascii="宋体" w:hAnsi="宋体" w:eastAsia="宋体" w:cs="宋体"/>
          <w:color w:val="auto"/>
          <w:spacing w:val="-5"/>
          <w:kern w:val="0"/>
          <w:sz w:val="21"/>
          <w:szCs w:val="21"/>
          <w:highlight w:val="none"/>
          <w:lang w:val="en-US" w:eastAsia="zh-CN" w:bidi="ar"/>
        </w:rPr>
        <w:t>资金管理的内容</w:t>
      </w:r>
      <w:bookmarkEnd w:id="20"/>
    </w:p>
    <w:p w14:paraId="13C003A0">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（1）乙方为完成</w:t>
      </w:r>
      <w:r>
        <w:rPr>
          <w:rFonts w:hint="eastAsia" w:ascii="宋体" w:hAnsi="宋体" w:eastAsia="宋体" w:cs="宋体"/>
          <w:color w:val="auto"/>
          <w:spacing w:val="-106"/>
          <w:kern w:val="0"/>
          <w:sz w:val="21"/>
          <w:szCs w:val="21"/>
          <w:highlight w:val="none"/>
          <w:lang w:val="en-US" w:eastAsia="zh-CN" w:bidi="ar"/>
        </w:rPr>
        <w:t xml:space="preserve"> </w:t>
      </w:r>
      <w:r>
        <w:rPr>
          <w:rFonts w:hint="eastAsia" w:ascii="宋体" w:hAnsi="宋体" w:eastAsia="宋体" w:cs="宋体"/>
          <w:color w:val="auto"/>
          <w:spacing w:val="-3"/>
          <w:kern w:val="0"/>
          <w:sz w:val="21"/>
          <w:szCs w:val="21"/>
          <w:highlight w:val="none"/>
          <w:u w:val="singl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（项目名称）工程成立的项目经理部在丙方开设基本</w:t>
      </w:r>
      <w:r>
        <w:rPr>
          <w:rFonts w:hint="eastAsia" w:ascii="宋体" w:hAnsi="宋体" w:eastAsia="宋体" w:cs="宋体"/>
          <w:color w:val="auto"/>
          <w:spacing w:val="-14"/>
          <w:kern w:val="0"/>
          <w:sz w:val="21"/>
          <w:szCs w:val="21"/>
          <w:highlight w:val="none"/>
          <w:lang w:val="en-US" w:eastAsia="zh-CN" w:bidi="ar"/>
        </w:rPr>
        <w:t>结算户；</w:t>
      </w:r>
    </w:p>
    <w:p w14:paraId="65AC801F">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lang w:val="en-US" w:eastAsia="zh-CN" w:bidi="ar"/>
        </w:rPr>
        <w:t>（2）甲方应按合同规定将工程款汇入乙方在丙方开设的账户；</w:t>
      </w:r>
    </w:p>
    <w:p w14:paraId="2B8364EE">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（3）乙方应将流动资金及甲方所拨付资金专项用于</w:t>
      </w:r>
      <w:r>
        <w:rPr>
          <w:rFonts w:hint="eastAsia" w:ascii="宋体" w:hAnsi="宋体" w:eastAsia="宋体" w:cs="宋体"/>
          <w:color w:val="auto"/>
          <w:spacing w:val="-118"/>
          <w:kern w:val="0"/>
          <w:sz w:val="21"/>
          <w:szCs w:val="21"/>
          <w:highlight w:val="none"/>
          <w:lang w:val="en-US" w:eastAsia="zh-CN" w:bidi="ar"/>
        </w:rPr>
        <w:t xml:space="preserve"> </w:t>
      </w:r>
      <w:r>
        <w:rPr>
          <w:rFonts w:hint="eastAsia" w:ascii="宋体" w:hAnsi="宋体" w:eastAsia="宋体" w:cs="宋体"/>
          <w:color w:val="auto"/>
          <w:spacing w:val="-3"/>
          <w:kern w:val="0"/>
          <w:sz w:val="21"/>
          <w:szCs w:val="21"/>
          <w:highlight w:val="none"/>
          <w:u w:val="singl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（项目名称</w:t>
      </w:r>
      <w:r>
        <w:rPr>
          <w:rFonts w:hint="eastAsia" w:ascii="宋体" w:hAnsi="宋体" w:eastAsia="宋体" w:cs="宋体"/>
          <w:color w:val="auto"/>
          <w:kern w:val="0"/>
          <w:sz w:val="21"/>
          <w:szCs w:val="21"/>
          <w:highlight w:val="none"/>
          <w:lang w:val="en-US" w:eastAsia="zh-CN" w:bidi="ar"/>
        </w:rPr>
        <w:t>）；</w:t>
      </w:r>
    </w:p>
    <w:p w14:paraId="12A398A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（4）丙方应为乙方提供便捷有效的银行业务服务，并接受甲方委托对乙方在丙方开设的基本结算户资金使用情况进行监督。</w:t>
      </w:r>
    </w:p>
    <w:p w14:paraId="41DC601A">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outlineLvl w:val="1"/>
        <w:rPr>
          <w:rFonts w:hint="eastAsia" w:ascii="宋体" w:hAnsi="宋体" w:eastAsia="宋体" w:cs="宋体"/>
          <w:color w:val="auto"/>
          <w:kern w:val="0"/>
          <w:sz w:val="21"/>
          <w:szCs w:val="21"/>
          <w:highlight w:val="none"/>
        </w:rPr>
      </w:pPr>
      <w:bookmarkStart w:id="21" w:name="_Toc31086"/>
      <w:r>
        <w:rPr>
          <w:rFonts w:hint="eastAsia" w:ascii="宋体" w:hAnsi="宋体" w:eastAsia="宋体" w:cs="宋体"/>
          <w:color w:val="auto"/>
          <w:spacing w:val="-6"/>
          <w:kern w:val="0"/>
          <w:sz w:val="21"/>
          <w:szCs w:val="21"/>
          <w:highlight w:val="none"/>
          <w:lang w:val="en-US" w:eastAsia="zh-CN" w:bidi="ar"/>
        </w:rPr>
        <w:t>2.</w:t>
      </w:r>
      <w:r>
        <w:rPr>
          <w:rFonts w:hint="eastAsia" w:ascii="宋体" w:hAnsi="宋体" w:eastAsia="宋体" w:cs="宋体"/>
          <w:color w:val="auto"/>
          <w:spacing w:val="22"/>
          <w:kern w:val="0"/>
          <w:sz w:val="21"/>
          <w:szCs w:val="21"/>
          <w:highlight w:val="none"/>
          <w:lang w:val="en-US" w:eastAsia="zh-CN" w:bidi="ar"/>
        </w:rPr>
        <w:t xml:space="preserve">  </w:t>
      </w:r>
      <w:r>
        <w:rPr>
          <w:rFonts w:hint="eastAsia" w:ascii="宋体" w:hAnsi="宋体" w:eastAsia="宋体" w:cs="宋体"/>
          <w:color w:val="auto"/>
          <w:spacing w:val="-6"/>
          <w:kern w:val="0"/>
          <w:sz w:val="21"/>
          <w:szCs w:val="21"/>
          <w:highlight w:val="none"/>
          <w:lang w:val="en-US" w:eastAsia="zh-CN" w:bidi="ar"/>
        </w:rPr>
        <w:t>甲方的权责</w:t>
      </w:r>
      <w:bookmarkEnd w:id="21"/>
    </w:p>
    <w:p w14:paraId="749EC4B6">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（1）按照</w:t>
      </w:r>
      <w:r>
        <w:rPr>
          <w:rFonts w:hint="eastAsia" w:ascii="宋体" w:hAnsi="宋体" w:eastAsia="宋体" w:cs="宋体"/>
          <w:color w:val="auto"/>
          <w:spacing w:val="-3"/>
          <w:kern w:val="0"/>
          <w:sz w:val="21"/>
          <w:szCs w:val="21"/>
          <w:highlight w:val="none"/>
          <w:u w:val="singl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（项目名称）合同有关条款规定的时间和方式，向乙方支付</w:t>
      </w:r>
      <w:r>
        <w:rPr>
          <w:rFonts w:hint="eastAsia" w:ascii="宋体" w:hAnsi="宋体" w:eastAsia="宋体" w:cs="宋体"/>
          <w:color w:val="auto"/>
          <w:spacing w:val="-13"/>
          <w:kern w:val="0"/>
          <w:sz w:val="21"/>
          <w:szCs w:val="21"/>
          <w:highlight w:val="none"/>
          <w:lang w:val="en-US" w:eastAsia="zh-CN" w:bidi="ar"/>
        </w:rPr>
        <w:t>工程款；</w:t>
      </w:r>
    </w:p>
    <w:p w14:paraId="74BD36E8">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7"/>
          <w:kern w:val="0"/>
          <w:sz w:val="21"/>
          <w:szCs w:val="21"/>
          <w:highlight w:val="none"/>
          <w:lang w:val="en-US" w:eastAsia="zh-CN" w:bidi="ar"/>
        </w:rPr>
        <w:t>（2）在发现乙方将本项目资金挪用、转移时，甲方有</w:t>
      </w:r>
      <w:r>
        <w:rPr>
          <w:rFonts w:hint="eastAsia" w:ascii="宋体" w:hAnsi="宋体" w:eastAsia="宋体" w:cs="宋体"/>
          <w:color w:val="auto"/>
          <w:spacing w:val="-8"/>
          <w:kern w:val="0"/>
          <w:sz w:val="21"/>
          <w:szCs w:val="21"/>
          <w:highlight w:val="none"/>
          <w:lang w:val="en-US" w:eastAsia="zh-CN" w:bidi="ar"/>
        </w:rPr>
        <w:t>权中止工程支付，直至乙</w:t>
      </w:r>
      <w:r>
        <w:rPr>
          <w:rFonts w:hint="eastAsia" w:ascii="宋体" w:hAnsi="宋体" w:eastAsia="宋体" w:cs="宋体"/>
          <w:color w:val="auto"/>
          <w:spacing w:val="-10"/>
          <w:kern w:val="0"/>
          <w:sz w:val="21"/>
          <w:szCs w:val="21"/>
          <w:highlight w:val="none"/>
          <w:lang w:val="en-US" w:eastAsia="zh-CN" w:bidi="ar"/>
        </w:rPr>
        <w:t>方改正为止；</w:t>
      </w:r>
    </w:p>
    <w:p w14:paraId="5B1101A5">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（3）不定期审查丙方对乙方的资金使用监督情况，如丙方不能履行其责任，甲</w:t>
      </w:r>
      <w:r>
        <w:rPr>
          <w:rFonts w:hint="eastAsia" w:ascii="宋体" w:hAnsi="宋体" w:eastAsia="宋体" w:cs="宋体"/>
          <w:color w:val="auto"/>
          <w:spacing w:val="-6"/>
          <w:kern w:val="0"/>
          <w:sz w:val="21"/>
          <w:szCs w:val="21"/>
          <w:highlight w:val="none"/>
          <w:lang w:val="en-US" w:eastAsia="zh-CN" w:bidi="ar"/>
        </w:rPr>
        <w:t>方有权随时终止本协议；</w:t>
      </w:r>
    </w:p>
    <w:p w14:paraId="5489B76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
        </w:rPr>
        <w:t>（4）在乙、丙双方发生争议时，甲方应负责协调、解决。</w:t>
      </w:r>
    </w:p>
    <w:p w14:paraId="6B8F0FD9">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outlineLvl w:val="1"/>
        <w:rPr>
          <w:rFonts w:hint="eastAsia" w:ascii="宋体" w:hAnsi="宋体" w:eastAsia="宋体" w:cs="宋体"/>
          <w:color w:val="auto"/>
          <w:kern w:val="0"/>
          <w:sz w:val="21"/>
          <w:szCs w:val="21"/>
          <w:highlight w:val="none"/>
        </w:rPr>
      </w:pPr>
      <w:bookmarkStart w:id="22" w:name="_Toc23586"/>
      <w:r>
        <w:rPr>
          <w:rFonts w:hint="eastAsia" w:ascii="宋体" w:hAnsi="宋体" w:eastAsia="宋体" w:cs="宋体"/>
          <w:color w:val="auto"/>
          <w:spacing w:val="-6"/>
          <w:kern w:val="0"/>
          <w:sz w:val="21"/>
          <w:szCs w:val="21"/>
          <w:highlight w:val="none"/>
          <w:lang w:val="en-US" w:eastAsia="zh-CN" w:bidi="ar"/>
        </w:rPr>
        <w:t>3.</w:t>
      </w:r>
      <w:r>
        <w:rPr>
          <w:rFonts w:hint="eastAsia" w:ascii="宋体" w:hAnsi="宋体" w:eastAsia="宋体" w:cs="宋体"/>
          <w:color w:val="auto"/>
          <w:spacing w:val="18"/>
          <w:w w:val="101"/>
          <w:kern w:val="0"/>
          <w:sz w:val="21"/>
          <w:szCs w:val="21"/>
          <w:highlight w:val="none"/>
          <w:lang w:val="en-US" w:eastAsia="zh-CN" w:bidi="ar"/>
        </w:rPr>
        <w:t xml:space="preserve">  </w:t>
      </w:r>
      <w:r>
        <w:rPr>
          <w:rFonts w:hint="eastAsia" w:ascii="宋体" w:hAnsi="宋体" w:eastAsia="宋体" w:cs="宋体"/>
          <w:color w:val="auto"/>
          <w:spacing w:val="-6"/>
          <w:kern w:val="0"/>
          <w:sz w:val="21"/>
          <w:szCs w:val="21"/>
          <w:highlight w:val="none"/>
          <w:lang w:val="en-US" w:eastAsia="zh-CN" w:bidi="ar"/>
        </w:rPr>
        <w:t>乙方的权责</w:t>
      </w:r>
      <w:bookmarkEnd w:id="22"/>
    </w:p>
    <w:p w14:paraId="2C4C54B1">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（1）项目经理部成立以后，乙方应尽快在丙方开设基本结算户；</w:t>
      </w:r>
    </w:p>
    <w:p w14:paraId="14F401B8">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（2）确保本项目资金专款专用，不发生挪用、转移资金的现象</w:t>
      </w:r>
      <w:r>
        <w:rPr>
          <w:rFonts w:hint="eastAsia" w:ascii="宋体" w:hAnsi="宋体" w:eastAsia="宋体" w:cs="宋体"/>
          <w:color w:val="auto"/>
          <w:spacing w:val="-7"/>
          <w:kern w:val="0"/>
          <w:sz w:val="21"/>
          <w:szCs w:val="21"/>
          <w:highlight w:val="none"/>
          <w:lang w:val="en-US" w:eastAsia="zh-CN" w:bidi="ar"/>
        </w:rPr>
        <w:t>； 保证不通过权</w:t>
      </w:r>
      <w:r>
        <w:rPr>
          <w:rFonts w:hint="eastAsia" w:ascii="宋体" w:hAnsi="宋体" w:eastAsia="宋体" w:cs="宋体"/>
          <w:color w:val="auto"/>
          <w:spacing w:val="-2"/>
          <w:kern w:val="0"/>
          <w:sz w:val="21"/>
          <w:szCs w:val="21"/>
          <w:highlight w:val="none"/>
          <w:lang w:val="en-US" w:eastAsia="zh-CN" w:bidi="ar"/>
        </w:rPr>
        <w:t>益转让、抵押、担保承担债务等任何其他方式使用基本结算</w:t>
      </w:r>
      <w:r>
        <w:rPr>
          <w:rFonts w:hint="eastAsia" w:ascii="宋体" w:hAnsi="宋体" w:eastAsia="宋体" w:cs="宋体"/>
          <w:color w:val="auto"/>
          <w:spacing w:val="-3"/>
          <w:kern w:val="0"/>
          <w:sz w:val="21"/>
          <w:szCs w:val="21"/>
          <w:highlight w:val="none"/>
          <w:lang w:val="en-US" w:eastAsia="zh-CN" w:bidi="ar"/>
        </w:rPr>
        <w:t>户的资金；</w:t>
      </w:r>
    </w:p>
    <w:p w14:paraId="5F7F6920">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4"/>
          <w:kern w:val="0"/>
          <w:sz w:val="21"/>
          <w:szCs w:val="21"/>
          <w:highlight w:val="none"/>
          <w:lang w:val="en-US" w:eastAsia="zh-CN" w:bidi="ar"/>
        </w:rPr>
        <w:t>（3）办理材料、设备等采购业务金额在</w:t>
      </w:r>
      <w:r>
        <w:rPr>
          <w:rFonts w:hint="eastAsia" w:ascii="宋体" w:hAnsi="宋体" w:eastAsia="宋体" w:cs="宋体"/>
          <w:color w:val="auto"/>
          <w:spacing w:val="-102"/>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50 </w:t>
      </w:r>
      <w:r>
        <w:rPr>
          <w:rFonts w:hint="eastAsia" w:ascii="宋体" w:hAnsi="宋体" w:eastAsia="宋体" w:cs="宋体"/>
          <w:color w:val="auto"/>
          <w:spacing w:val="-105"/>
          <w:kern w:val="0"/>
          <w:sz w:val="21"/>
          <w:szCs w:val="21"/>
          <w:highlight w:val="none"/>
          <w:lang w:val="en-US" w:eastAsia="zh-CN" w:bidi="ar"/>
        </w:rPr>
        <w:t xml:space="preserve"> </w:t>
      </w:r>
      <w:r>
        <w:rPr>
          <w:rFonts w:hint="eastAsia" w:ascii="宋体" w:hAnsi="宋体" w:eastAsia="宋体" w:cs="宋体"/>
          <w:color w:val="auto"/>
          <w:spacing w:val="-4"/>
          <w:kern w:val="0"/>
          <w:sz w:val="21"/>
          <w:szCs w:val="21"/>
          <w:highlight w:val="none"/>
          <w:lang w:val="en-US" w:eastAsia="zh-CN" w:bidi="ar"/>
        </w:rPr>
        <w:t>万元以上的，应出示购货合同、协议</w:t>
      </w:r>
      <w:r>
        <w:rPr>
          <w:rFonts w:hint="eastAsia" w:ascii="宋体" w:hAnsi="宋体" w:eastAsia="宋体" w:cs="宋体"/>
          <w:color w:val="auto"/>
          <w:kern w:val="0"/>
          <w:sz w:val="21"/>
          <w:szCs w:val="21"/>
          <w:highlight w:val="none"/>
          <w:lang w:val="en-US" w:eastAsia="zh-CN" w:bidi="ar"/>
        </w:rPr>
        <w:t>和发票；在办理总额超过</w:t>
      </w:r>
      <w:r>
        <w:rPr>
          <w:rFonts w:hint="eastAsia" w:ascii="宋体" w:hAnsi="宋体" w:eastAsia="宋体" w:cs="宋体"/>
          <w:color w:val="auto"/>
          <w:spacing w:val="-114"/>
          <w:kern w:val="0"/>
          <w:sz w:val="21"/>
          <w:szCs w:val="21"/>
          <w:highlight w:val="none"/>
          <w:lang w:val="en-US" w:eastAsia="zh-CN" w:bidi="ar"/>
        </w:rPr>
        <w:t xml:space="preserve"> </w:t>
      </w:r>
      <w:r>
        <w:rPr>
          <w:rFonts w:hint="eastAsia" w:ascii="宋体" w:hAnsi="宋体" w:eastAsia="宋体" w:cs="宋体"/>
          <w:color w:val="auto"/>
          <w:spacing w:val="1"/>
          <w:kern w:val="0"/>
          <w:sz w:val="21"/>
          <w:szCs w:val="21"/>
          <w:highlight w:val="none"/>
          <w:u w:val="single"/>
          <w:lang w:val="en-US" w:eastAsia="zh-CN" w:bidi="ar"/>
        </w:rPr>
        <w:t xml:space="preserve"> 100 </w:t>
      </w:r>
      <w:r>
        <w:rPr>
          <w:rFonts w:hint="eastAsia" w:ascii="宋体" w:hAnsi="宋体" w:eastAsia="宋体" w:cs="宋体"/>
          <w:color w:val="auto"/>
          <w:spacing w:val="-105"/>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万元以上的采购业务时，应将合同、协议和发票复印件</w:t>
      </w:r>
      <w:r>
        <w:rPr>
          <w:rFonts w:hint="eastAsia" w:ascii="宋体" w:hAnsi="宋体" w:eastAsia="宋体" w:cs="宋体"/>
          <w:color w:val="auto"/>
          <w:spacing w:val="-7"/>
          <w:kern w:val="0"/>
          <w:sz w:val="21"/>
          <w:szCs w:val="21"/>
          <w:highlight w:val="none"/>
          <w:lang w:val="en-US" w:eastAsia="zh-CN" w:bidi="ar"/>
        </w:rPr>
        <w:t>送丙方备案；购买应急材料、设备时可先办理支付手续， 但事后必须补备</w:t>
      </w:r>
      <w:r>
        <w:rPr>
          <w:rFonts w:hint="eastAsia" w:ascii="宋体" w:hAnsi="宋体" w:eastAsia="宋体" w:cs="宋体"/>
          <w:color w:val="auto"/>
          <w:spacing w:val="-8"/>
          <w:kern w:val="0"/>
          <w:sz w:val="21"/>
          <w:szCs w:val="21"/>
          <w:highlight w:val="none"/>
          <w:lang w:val="en-US" w:eastAsia="zh-CN" w:bidi="ar"/>
        </w:rPr>
        <w:t>有关资料；</w:t>
      </w:r>
    </w:p>
    <w:p w14:paraId="213FFD2B">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（4）用银行转账支票办理支付款项时，必须将转账支票送交丙方，由丙方负责</w:t>
      </w:r>
      <w:r>
        <w:rPr>
          <w:rFonts w:hint="eastAsia" w:ascii="宋体" w:hAnsi="宋体" w:eastAsia="宋体" w:cs="宋体"/>
          <w:color w:val="auto"/>
          <w:spacing w:val="-7"/>
          <w:kern w:val="0"/>
          <w:sz w:val="21"/>
          <w:szCs w:val="21"/>
          <w:highlight w:val="none"/>
          <w:lang w:val="en-US" w:eastAsia="zh-CN" w:bidi="ar"/>
        </w:rPr>
        <w:t>办理支票转付手续；</w:t>
      </w:r>
    </w:p>
    <w:p w14:paraId="3F6E90AA">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（5）向分包单位支付工程进度款时，应附甲方批准分包的文件；</w:t>
      </w:r>
    </w:p>
    <w:p w14:paraId="0F3F3EF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（6）向上级单位缴纳管理费、机械设备及周转材料租赁摊销费</w:t>
      </w:r>
      <w:r>
        <w:rPr>
          <w:rFonts w:hint="eastAsia" w:ascii="宋体" w:hAnsi="宋体" w:eastAsia="宋体" w:cs="宋体"/>
          <w:color w:val="auto"/>
          <w:spacing w:val="-7"/>
          <w:kern w:val="0"/>
          <w:sz w:val="21"/>
          <w:szCs w:val="21"/>
          <w:highlight w:val="none"/>
          <w:lang w:val="en-US" w:eastAsia="zh-CN" w:bidi="ar"/>
        </w:rPr>
        <w:t>等款项时， 应附</w:t>
      </w:r>
      <w:r>
        <w:rPr>
          <w:rFonts w:hint="eastAsia" w:ascii="宋体" w:hAnsi="宋体" w:eastAsia="宋体" w:cs="宋体"/>
          <w:color w:val="auto"/>
          <w:spacing w:val="-2"/>
          <w:kern w:val="0"/>
          <w:sz w:val="21"/>
          <w:szCs w:val="21"/>
          <w:highlight w:val="none"/>
          <w:lang w:val="en-US" w:eastAsia="zh-CN" w:bidi="ar"/>
        </w:rPr>
        <w:t>上级单位出具的转账通知等有关资料，以确保资金专款专用。</w:t>
      </w:r>
    </w:p>
    <w:p w14:paraId="625C3B68">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outlineLvl w:val="1"/>
        <w:rPr>
          <w:rFonts w:hint="eastAsia" w:ascii="宋体" w:hAnsi="宋体" w:eastAsia="宋体" w:cs="宋体"/>
          <w:color w:val="auto"/>
          <w:kern w:val="0"/>
          <w:sz w:val="21"/>
          <w:szCs w:val="21"/>
          <w:highlight w:val="none"/>
        </w:rPr>
      </w:pPr>
      <w:bookmarkStart w:id="23" w:name="_Toc65"/>
      <w:r>
        <w:rPr>
          <w:rFonts w:hint="eastAsia" w:ascii="宋体" w:hAnsi="宋体" w:eastAsia="宋体" w:cs="宋体"/>
          <w:color w:val="auto"/>
          <w:spacing w:val="-3"/>
          <w:kern w:val="0"/>
          <w:sz w:val="21"/>
          <w:szCs w:val="21"/>
          <w:highlight w:val="none"/>
          <w:lang w:val="en-US" w:eastAsia="zh-CN" w:bidi="ar"/>
        </w:rPr>
        <w:t>4.</w:t>
      </w:r>
      <w:r>
        <w:rPr>
          <w:rFonts w:hint="eastAsia" w:ascii="宋体" w:hAnsi="宋体" w:eastAsia="宋体" w:cs="宋体"/>
          <w:color w:val="auto"/>
          <w:spacing w:val="9"/>
          <w:kern w:val="0"/>
          <w:sz w:val="21"/>
          <w:szCs w:val="21"/>
          <w:highlight w:val="non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丙方的权责</w:t>
      </w:r>
      <w:bookmarkEnd w:id="23"/>
    </w:p>
    <w:p w14:paraId="691A34B4">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（1）成立</w:t>
      </w:r>
      <w:r>
        <w:rPr>
          <w:rFonts w:hint="eastAsia" w:ascii="宋体" w:hAnsi="宋体" w:eastAsia="宋体" w:cs="宋体"/>
          <w:color w:val="auto"/>
          <w:spacing w:val="-3"/>
          <w:kern w:val="0"/>
          <w:sz w:val="21"/>
          <w:szCs w:val="21"/>
          <w:highlight w:val="none"/>
          <w:u w:val="singl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（项目名称）工程资金管理服务小组，明确业务流程，提高</w:t>
      </w:r>
      <w:r>
        <w:rPr>
          <w:rFonts w:hint="eastAsia" w:ascii="宋体" w:hAnsi="宋体" w:eastAsia="宋体" w:cs="宋体"/>
          <w:color w:val="auto"/>
          <w:spacing w:val="-4"/>
          <w:kern w:val="0"/>
          <w:sz w:val="21"/>
          <w:szCs w:val="21"/>
          <w:highlight w:val="none"/>
          <w:lang w:val="en-US" w:eastAsia="zh-CN" w:bidi="ar"/>
        </w:rPr>
        <w:t>工作效率，杜绝“压票”现象；</w:t>
      </w:r>
    </w:p>
    <w:p w14:paraId="389015A1">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5"/>
          <w:kern w:val="0"/>
          <w:sz w:val="21"/>
          <w:szCs w:val="21"/>
          <w:highlight w:val="none"/>
          <w:lang w:val="en-US" w:eastAsia="zh-CN" w:bidi="ar"/>
        </w:rPr>
        <w:t>（2）根据乙方提供的购货合同、协议和发票，检查其所购材料、设备是否用于</w:t>
      </w:r>
      <w:r>
        <w:rPr>
          <w:rFonts w:hint="eastAsia" w:ascii="宋体" w:hAnsi="宋体" w:eastAsia="宋体" w:cs="宋体"/>
          <w:color w:val="auto"/>
          <w:spacing w:val="43"/>
          <w:kern w:val="0"/>
          <w:sz w:val="21"/>
          <w:szCs w:val="21"/>
          <w:highlight w:val="none"/>
          <w:u w:val="single"/>
          <w:lang w:val="en-US" w:eastAsia="zh-CN" w:bidi="ar"/>
        </w:rPr>
        <w:t xml:space="preserve">           </w:t>
      </w:r>
      <w:r>
        <w:rPr>
          <w:rFonts w:hint="eastAsia" w:ascii="宋体" w:hAnsi="宋体" w:eastAsia="宋体" w:cs="宋体"/>
          <w:color w:val="auto"/>
          <w:spacing w:val="-25"/>
          <w:kern w:val="0"/>
          <w:sz w:val="21"/>
          <w:szCs w:val="21"/>
          <w:highlight w:val="none"/>
          <w:lang w:val="en-US" w:eastAsia="zh-CN" w:bidi="ar"/>
        </w:rPr>
        <w:t>（项</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spacing w:val="-3"/>
          <w:kern w:val="0"/>
          <w:sz w:val="21"/>
          <w:szCs w:val="21"/>
          <w:highlight w:val="none"/>
          <w:lang w:val="en-US" w:eastAsia="zh-CN" w:bidi="ar"/>
        </w:rPr>
        <w:t>目名称）工程建设，对本标段以外的购货款项，有权拒绝办理，并及时报告甲</w:t>
      </w:r>
      <w:r>
        <w:rPr>
          <w:rFonts w:hint="eastAsia" w:ascii="宋体" w:hAnsi="宋体" w:eastAsia="宋体" w:cs="宋体"/>
          <w:color w:val="auto"/>
          <w:spacing w:val="-4"/>
          <w:kern w:val="0"/>
          <w:sz w:val="21"/>
          <w:szCs w:val="21"/>
          <w:highlight w:val="none"/>
          <w:lang w:val="en-US" w:eastAsia="zh-CN" w:bidi="ar"/>
        </w:rPr>
        <w:t>方；</w:t>
      </w:r>
    </w:p>
    <w:p w14:paraId="6372A6EA">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（3）根据乙方与分包单位签订的合同及支付文件，检查其支付款项是否符合有</w:t>
      </w:r>
      <w:r>
        <w:rPr>
          <w:rFonts w:hint="eastAsia" w:ascii="宋体" w:hAnsi="宋体" w:eastAsia="宋体" w:cs="宋体"/>
          <w:color w:val="auto"/>
          <w:spacing w:val="-2"/>
          <w:kern w:val="0"/>
          <w:sz w:val="21"/>
          <w:szCs w:val="21"/>
          <w:highlight w:val="none"/>
          <w:lang w:val="en-US" w:eastAsia="zh-CN" w:bidi="ar"/>
        </w:rPr>
        <w:t>关条件，向分包单位以外单位的支付有权拒绝办理，并</w:t>
      </w:r>
      <w:r>
        <w:rPr>
          <w:rFonts w:hint="eastAsia" w:ascii="宋体" w:hAnsi="宋体" w:eastAsia="宋体" w:cs="宋体"/>
          <w:color w:val="auto"/>
          <w:spacing w:val="-3"/>
          <w:kern w:val="0"/>
          <w:sz w:val="21"/>
          <w:szCs w:val="21"/>
          <w:highlight w:val="none"/>
          <w:lang w:val="en-US" w:eastAsia="zh-CN" w:bidi="ar"/>
        </w:rPr>
        <w:t>及时报告甲方；</w:t>
      </w:r>
    </w:p>
    <w:p w14:paraId="12B20E00">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（4）根据乙方提供的上级单位出具的转账通知等有关资料，办理管理费、机械</w:t>
      </w:r>
      <w:r>
        <w:rPr>
          <w:rFonts w:hint="eastAsia" w:ascii="宋体" w:hAnsi="宋体" w:eastAsia="宋体" w:cs="宋体"/>
          <w:color w:val="auto"/>
          <w:spacing w:val="-4"/>
          <w:kern w:val="0"/>
          <w:sz w:val="21"/>
          <w:szCs w:val="21"/>
          <w:highlight w:val="none"/>
          <w:lang w:val="en-US" w:eastAsia="zh-CN" w:bidi="ar"/>
        </w:rPr>
        <w:t>设备及周转材料租赁摊销费等款项的支付；对超出转账通知等有关资料以外的支付，</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spacing w:val="-5"/>
          <w:kern w:val="0"/>
          <w:sz w:val="21"/>
          <w:szCs w:val="21"/>
          <w:highlight w:val="none"/>
          <w:lang w:val="en-US" w:eastAsia="zh-CN" w:bidi="ar"/>
        </w:rPr>
        <w:t>有权拒绝办理，并及时报告甲方；</w:t>
      </w:r>
    </w:p>
    <w:p w14:paraId="08A6CFFB">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3"/>
          <w:kern w:val="0"/>
          <w:sz w:val="21"/>
          <w:szCs w:val="21"/>
          <w:highlight w:val="none"/>
          <w:lang w:val="en-US" w:eastAsia="zh-CN" w:bidi="ar"/>
        </w:rPr>
        <w:t>（5）定期将乙方前一个周期的支付情况，整理后书面报送甲方；乙方复印备案</w:t>
      </w:r>
      <w:r>
        <w:rPr>
          <w:rFonts w:hint="eastAsia" w:ascii="宋体" w:hAnsi="宋体" w:eastAsia="宋体" w:cs="宋体"/>
          <w:color w:val="auto"/>
          <w:spacing w:val="-7"/>
          <w:kern w:val="0"/>
          <w:sz w:val="21"/>
          <w:szCs w:val="21"/>
          <w:highlight w:val="none"/>
          <w:lang w:val="en-US" w:eastAsia="zh-CN" w:bidi="ar"/>
        </w:rPr>
        <w:t>的材料一并送甲方。</w:t>
      </w:r>
    </w:p>
    <w:p w14:paraId="182A067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
        </w:rPr>
        <w:t>5.</w:t>
      </w:r>
      <w:r>
        <w:rPr>
          <w:rFonts w:hint="eastAsia" w:ascii="宋体" w:hAnsi="宋体" w:eastAsia="宋体" w:cs="宋体"/>
          <w:color w:val="auto"/>
          <w:spacing w:val="20"/>
          <w:kern w:val="0"/>
          <w:sz w:val="21"/>
          <w:szCs w:val="21"/>
          <w:highlight w:val="none"/>
          <w:lang w:val="en-US" w:eastAsia="zh-CN" w:bidi="ar"/>
        </w:rPr>
        <w:t xml:space="preserve">  </w:t>
      </w:r>
      <w:r>
        <w:rPr>
          <w:rFonts w:hint="eastAsia" w:ascii="宋体" w:hAnsi="宋体" w:eastAsia="宋体" w:cs="宋体"/>
          <w:color w:val="auto"/>
          <w:spacing w:val="-2"/>
          <w:kern w:val="0"/>
          <w:sz w:val="21"/>
          <w:szCs w:val="21"/>
          <w:highlight w:val="none"/>
          <w:lang w:val="en-US" w:eastAsia="zh-CN" w:bidi="ar"/>
        </w:rPr>
        <w:t>甲、乙、丙三方都应履行保密责任，不得将其他两方的业务情</w:t>
      </w:r>
      <w:r>
        <w:rPr>
          <w:rFonts w:hint="eastAsia" w:ascii="宋体" w:hAnsi="宋体" w:eastAsia="宋体" w:cs="宋体"/>
          <w:color w:val="auto"/>
          <w:spacing w:val="-3"/>
          <w:kern w:val="0"/>
          <w:sz w:val="21"/>
          <w:szCs w:val="21"/>
          <w:highlight w:val="none"/>
          <w:lang w:val="en-US" w:eastAsia="zh-CN" w:bidi="ar"/>
        </w:rPr>
        <w:t>况透露给三方</w:t>
      </w:r>
      <w:r>
        <w:rPr>
          <w:rFonts w:hint="eastAsia" w:ascii="宋体" w:hAnsi="宋体" w:eastAsia="宋体" w:cs="宋体"/>
          <w:color w:val="auto"/>
          <w:spacing w:val="-6"/>
          <w:kern w:val="0"/>
          <w:sz w:val="21"/>
          <w:szCs w:val="21"/>
          <w:highlight w:val="none"/>
          <w:lang w:val="en-US" w:eastAsia="zh-CN" w:bidi="ar"/>
        </w:rPr>
        <w:t>以外的其他单位或个人。</w:t>
      </w:r>
    </w:p>
    <w:p w14:paraId="48DC0543">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lang w:val="en-US" w:eastAsia="zh-CN" w:bidi="ar"/>
        </w:rPr>
        <w:t>6.  本协议有效期自乙方在丙方开户起，至工程交工验收甲方向乙方颁发交工验</w:t>
      </w:r>
      <w:r>
        <w:rPr>
          <w:rFonts w:hint="eastAsia" w:ascii="宋体" w:hAnsi="宋体" w:eastAsia="宋体" w:cs="宋体"/>
          <w:color w:val="auto"/>
          <w:spacing w:val="-7"/>
          <w:kern w:val="0"/>
          <w:sz w:val="21"/>
          <w:szCs w:val="21"/>
          <w:highlight w:val="none"/>
          <w:lang w:val="en-US" w:eastAsia="zh-CN" w:bidi="ar"/>
        </w:rPr>
        <w:t>收证书后结束。</w:t>
      </w:r>
    </w:p>
    <w:p w14:paraId="584B6E9E">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
        </w:rPr>
        <w:t>7.  本协议未尽事宜，由甲方牵头，三方协商解决。</w:t>
      </w:r>
    </w:p>
    <w:p w14:paraId="732300D7">
      <w:pPr>
        <w:keepNext w:val="0"/>
        <w:keepLines w:val="0"/>
        <w:widowControl w:val="0"/>
        <w:suppressLineNumbers w:val="0"/>
        <w:autoSpaceDE w:val="0"/>
        <w:autoSpaceDN w:val="0"/>
        <w:adjustRightInd w:val="0"/>
        <w:snapToGrid w:val="0"/>
        <w:spacing w:before="0" w:beforeAutospacing="0" w:after="0" w:afterAutospacing="0" w:line="356" w:lineRule="exact"/>
        <w:ind w:left="1260" w:leftChars="600" w:right="1405" w:rightChars="669" w:firstLine="0" w:firstLine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
        </w:rPr>
        <w:t>8.  本协议正本三份、副本</w:t>
      </w:r>
      <w:r>
        <w:rPr>
          <w:rFonts w:hint="eastAsia" w:ascii="宋体" w:hAnsi="宋体" w:eastAsia="宋体" w:cs="宋体"/>
          <w:color w:val="auto"/>
          <w:spacing w:val="-111"/>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玖 </w:t>
      </w:r>
      <w:r>
        <w:rPr>
          <w:rFonts w:hint="eastAsia" w:ascii="宋体" w:hAnsi="宋体" w:eastAsia="宋体" w:cs="宋体"/>
          <w:color w:val="auto"/>
          <w:spacing w:val="-110"/>
          <w:kern w:val="0"/>
          <w:sz w:val="21"/>
          <w:szCs w:val="21"/>
          <w:highlight w:val="none"/>
          <w:lang w:val="en-US" w:eastAsia="zh-CN" w:bidi="ar"/>
        </w:rPr>
        <w:t xml:space="preserve"> </w:t>
      </w:r>
      <w:r>
        <w:rPr>
          <w:rFonts w:hint="eastAsia" w:ascii="宋体" w:hAnsi="宋体" w:eastAsia="宋体" w:cs="宋体"/>
          <w:color w:val="auto"/>
          <w:spacing w:val="-2"/>
          <w:kern w:val="0"/>
          <w:sz w:val="21"/>
          <w:szCs w:val="21"/>
          <w:highlight w:val="none"/>
          <w:lang w:val="en-US" w:eastAsia="zh-CN" w:bidi="ar"/>
        </w:rPr>
        <w:t>份。合同三方各执正本一份、副本</w:t>
      </w:r>
      <w:r>
        <w:rPr>
          <w:rFonts w:hint="eastAsia" w:ascii="宋体" w:hAnsi="宋体" w:eastAsia="宋体" w:cs="宋体"/>
          <w:color w:val="auto"/>
          <w:spacing w:val="-120"/>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叁 </w:t>
      </w:r>
      <w:r>
        <w:rPr>
          <w:rFonts w:hint="eastAsia" w:ascii="宋体" w:hAnsi="宋体" w:eastAsia="宋体" w:cs="宋体"/>
          <w:color w:val="auto"/>
          <w:spacing w:val="-110"/>
          <w:kern w:val="0"/>
          <w:sz w:val="21"/>
          <w:szCs w:val="21"/>
          <w:highlight w:val="none"/>
          <w:lang w:val="en-US" w:eastAsia="zh-CN" w:bidi="ar"/>
        </w:rPr>
        <w:t xml:space="preserve"> </w:t>
      </w:r>
      <w:r>
        <w:rPr>
          <w:rFonts w:hint="eastAsia" w:ascii="宋体" w:hAnsi="宋体" w:eastAsia="宋体" w:cs="宋体"/>
          <w:color w:val="auto"/>
          <w:spacing w:val="-2"/>
          <w:kern w:val="0"/>
          <w:sz w:val="21"/>
          <w:szCs w:val="21"/>
          <w:highlight w:val="none"/>
          <w:lang w:val="en-US" w:eastAsia="zh-CN" w:bidi="ar"/>
        </w:rPr>
        <w:t>份，当正本与</w:t>
      </w:r>
      <w:r>
        <w:rPr>
          <w:rFonts w:hint="eastAsia" w:ascii="宋体" w:hAnsi="宋体" w:eastAsia="宋体" w:cs="宋体"/>
          <w:color w:val="auto"/>
          <w:spacing w:val="-4"/>
          <w:kern w:val="0"/>
          <w:sz w:val="21"/>
          <w:szCs w:val="21"/>
          <w:highlight w:val="none"/>
          <w:lang w:val="en-US" w:eastAsia="zh-CN" w:bidi="ar"/>
        </w:rPr>
        <w:t>副本内容不一致时，以正本为准。</w:t>
      </w:r>
    </w:p>
    <w:p w14:paraId="51D3860A">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 xml:space="preserve"> </w:t>
      </w:r>
    </w:p>
    <w:p w14:paraId="29B80D8D">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发包人：</w:t>
      </w:r>
      <w:r>
        <w:rPr>
          <w:rFonts w:hint="eastAsia" w:ascii="宋体" w:hAnsi="宋体" w:eastAsia="宋体" w:cs="宋体"/>
          <w:color w:val="auto"/>
          <w:spacing w:val="0"/>
          <w:kern w:val="2"/>
          <w:sz w:val="21"/>
          <w:szCs w:val="21"/>
          <w:highlight w:val="none"/>
          <w:u w:val="single"/>
          <w:lang w:val="en-US" w:eastAsia="zh-CN" w:bidi="ar"/>
        </w:rPr>
        <w:t xml:space="preserve">广州市增城区正果镇人民政府                   </w:t>
      </w:r>
      <w:r>
        <w:rPr>
          <w:rFonts w:hint="eastAsia" w:ascii="宋体" w:hAnsi="宋体" w:eastAsia="宋体" w:cs="宋体"/>
          <w:color w:val="auto"/>
          <w:spacing w:val="0"/>
          <w:kern w:val="2"/>
          <w:sz w:val="21"/>
          <w:szCs w:val="21"/>
          <w:highlight w:val="none"/>
          <w:lang w:val="en-US" w:eastAsia="zh-CN" w:bidi="ar"/>
        </w:rPr>
        <w:t>(盖单位章)</w:t>
      </w:r>
    </w:p>
    <w:p w14:paraId="19E82B2E">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法定代表人或其委托代理人：</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签字)</w:t>
      </w:r>
    </w:p>
    <w:p w14:paraId="14DFF474">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i w:val="0"/>
          <w:iCs w:val="0"/>
          <w:color w:val="auto"/>
          <w:spacing w:val="0"/>
          <w:kern w:val="2"/>
          <w:sz w:val="21"/>
          <w:szCs w:val="21"/>
          <w:highlight w:val="none"/>
          <w:u w:val="single"/>
          <w:lang w:val="en-US" w:eastAsia="zh-CN" w:bidi="ar"/>
        </w:rPr>
        <w:t xml:space="preserve">       </w:t>
      </w:r>
      <w:r>
        <w:rPr>
          <w:rFonts w:hint="eastAsia" w:ascii="宋体" w:hAnsi="宋体" w:eastAsia="宋体" w:cs="宋体"/>
          <w:i w:val="0"/>
          <w:iCs w:val="0"/>
          <w:color w:val="auto"/>
          <w:spacing w:val="0"/>
          <w:kern w:val="2"/>
          <w:sz w:val="21"/>
          <w:szCs w:val="21"/>
          <w:highlight w:val="none"/>
          <w:lang w:val="en-US" w:eastAsia="zh-CN" w:bidi="ar"/>
        </w:rPr>
        <w:t>年</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月</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日</w:t>
      </w:r>
    </w:p>
    <w:p w14:paraId="55387DA1">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承包人：</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(盖单位章)</w:t>
      </w:r>
    </w:p>
    <w:p w14:paraId="488BACAF">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法定代表人或其委托代理人：</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签字)</w:t>
      </w:r>
    </w:p>
    <w:p w14:paraId="391AA886">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i w:val="0"/>
          <w:iCs w:val="0"/>
          <w:color w:val="auto"/>
          <w:spacing w:val="0"/>
          <w:kern w:val="2"/>
          <w:sz w:val="21"/>
          <w:szCs w:val="21"/>
          <w:highlight w:val="none"/>
          <w:u w:val="single"/>
          <w:lang w:val="en-US" w:eastAsia="zh-CN" w:bidi="ar"/>
        </w:rPr>
        <w:t xml:space="preserve">       </w:t>
      </w:r>
      <w:r>
        <w:rPr>
          <w:rFonts w:hint="eastAsia" w:ascii="宋体" w:hAnsi="宋体" w:eastAsia="宋体" w:cs="宋体"/>
          <w:i w:val="0"/>
          <w:iCs w:val="0"/>
          <w:color w:val="auto"/>
          <w:spacing w:val="0"/>
          <w:kern w:val="2"/>
          <w:sz w:val="21"/>
          <w:szCs w:val="21"/>
          <w:highlight w:val="none"/>
          <w:lang w:val="en-US" w:eastAsia="zh-CN" w:bidi="ar"/>
        </w:rPr>
        <w:t>年</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月</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日</w:t>
      </w:r>
    </w:p>
    <w:p w14:paraId="3FB112DF">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经办银行：</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 xml:space="preserve"> (盖单位章)</w:t>
      </w:r>
    </w:p>
    <w:p w14:paraId="10F83E05">
      <w:pPr>
        <w:keepNext w:val="0"/>
        <w:keepLines w:val="0"/>
        <w:widowControl w:val="0"/>
        <w:suppressLineNumbers w:val="0"/>
        <w:kinsoku w:val="0"/>
        <w:autoSpaceDE w:val="0"/>
        <w:autoSpaceDN/>
        <w:snapToGrid w:val="0"/>
        <w:spacing w:before="0" w:beforeAutospacing="0" w:after="0" w:afterAutospacing="0" w:line="380" w:lineRule="exact"/>
        <w:ind w:left="1260" w:leftChars="600" w:right="1405" w:rightChars="669" w:firstLine="0" w:firstLineChars="0"/>
        <w:jc w:val="both"/>
        <w:textAlignment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lang w:val="en-US" w:eastAsia="zh-CN" w:bidi="ar"/>
        </w:rPr>
        <w:t>法定代表人或其委托代理人：</w:t>
      </w:r>
      <w:r>
        <w:rPr>
          <w:rFonts w:hint="eastAsia" w:ascii="宋体" w:hAnsi="宋体" w:eastAsia="宋体" w:cs="宋体"/>
          <w:color w:val="auto"/>
          <w:spacing w:val="0"/>
          <w:kern w:val="2"/>
          <w:sz w:val="21"/>
          <w:szCs w:val="21"/>
          <w:highlight w:val="none"/>
          <w:u w:val="single"/>
          <w:lang w:val="en-US" w:eastAsia="zh-CN" w:bidi="ar"/>
        </w:rPr>
        <w:t xml:space="preserve">                          (</w:t>
      </w:r>
      <w:r>
        <w:rPr>
          <w:rFonts w:hint="eastAsia" w:ascii="宋体" w:hAnsi="宋体" w:eastAsia="宋体" w:cs="宋体"/>
          <w:color w:val="auto"/>
          <w:spacing w:val="0"/>
          <w:kern w:val="2"/>
          <w:sz w:val="21"/>
          <w:szCs w:val="21"/>
          <w:highlight w:val="none"/>
          <w:lang w:val="en-US" w:eastAsia="zh-CN" w:bidi="ar"/>
        </w:rPr>
        <w:t>签字)</w:t>
      </w:r>
    </w:p>
    <w:p w14:paraId="6BFBEA99">
      <w:pPr>
        <w:rPr>
          <w:rFonts w:ascii="宋体" w:hAnsi="宋体" w:eastAsia="宋体" w:cs="宋体"/>
          <w:b/>
          <w:bCs/>
          <w:color w:val="auto"/>
          <w:spacing w:val="-18"/>
          <w:sz w:val="24"/>
          <w:szCs w:val="24"/>
          <w:highlight w:val="none"/>
        </w:rPr>
      </w:pPr>
    </w:p>
    <w:p w14:paraId="49EE8F63">
      <w:pPr>
        <w:rPr>
          <w:rFonts w:ascii="宋体" w:hAnsi="宋体" w:eastAsia="宋体" w:cs="宋体"/>
          <w:b/>
          <w:bCs/>
          <w:color w:val="auto"/>
          <w:spacing w:val="-18"/>
          <w:sz w:val="24"/>
          <w:szCs w:val="24"/>
          <w:highlight w:val="none"/>
        </w:rPr>
      </w:pPr>
      <w:r>
        <w:rPr>
          <w:rFonts w:ascii="宋体" w:hAnsi="宋体" w:eastAsia="宋体" w:cs="宋体"/>
          <w:b/>
          <w:bCs/>
          <w:color w:val="auto"/>
          <w:spacing w:val="-18"/>
          <w:sz w:val="24"/>
          <w:szCs w:val="24"/>
          <w:highlight w:val="none"/>
        </w:rPr>
        <w:br w:type="page"/>
      </w:r>
    </w:p>
    <w:p w14:paraId="032DE4A0">
      <w:pPr>
        <w:spacing w:before="78" w:line="219" w:lineRule="auto"/>
        <w:ind w:left="1444"/>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18"/>
          <w:sz w:val="24"/>
          <w:szCs w:val="24"/>
          <w:highlight w:val="none"/>
        </w:rPr>
        <w:t>附件九：</w:t>
      </w:r>
    </w:p>
    <w:p w14:paraId="674BCFF1">
      <w:pPr>
        <w:pStyle w:val="3"/>
        <w:spacing w:line="247" w:lineRule="auto"/>
        <w:rPr>
          <w:strike/>
          <w:dstrike w:val="0"/>
          <w:color w:val="auto"/>
          <w:highlight w:val="none"/>
        </w:rPr>
      </w:pPr>
    </w:p>
    <w:p w14:paraId="54CC95F6">
      <w:pPr>
        <w:pStyle w:val="3"/>
        <w:spacing w:line="247" w:lineRule="auto"/>
        <w:rPr>
          <w:strike/>
          <w:dstrike w:val="0"/>
          <w:color w:val="auto"/>
          <w:highlight w:val="none"/>
        </w:rPr>
      </w:pPr>
    </w:p>
    <w:p w14:paraId="14544CA9">
      <w:pPr>
        <w:pStyle w:val="3"/>
        <w:spacing w:line="247" w:lineRule="auto"/>
        <w:rPr>
          <w:strike/>
          <w:dstrike w:val="0"/>
          <w:color w:val="auto"/>
          <w:highlight w:val="none"/>
        </w:rPr>
      </w:pPr>
    </w:p>
    <w:p w14:paraId="5B6B813F">
      <w:pPr>
        <w:spacing w:before="101" w:line="227" w:lineRule="auto"/>
        <w:ind w:left="4229"/>
        <w:rPr>
          <w:rFonts w:ascii="黑体" w:hAnsi="黑体" w:eastAsia="黑体" w:cs="黑体"/>
          <w:strike/>
          <w:dstrike w:val="0"/>
          <w:color w:val="auto"/>
          <w:sz w:val="31"/>
          <w:szCs w:val="31"/>
          <w:highlight w:val="none"/>
        </w:rPr>
      </w:pPr>
      <w:r>
        <w:rPr>
          <w:rFonts w:ascii="黑体" w:hAnsi="黑体" w:eastAsia="黑体" w:cs="黑体"/>
          <w:strike/>
          <w:dstrike w:val="0"/>
          <w:color w:val="auto"/>
          <w:spacing w:val="-3"/>
          <w:sz w:val="31"/>
          <w:szCs w:val="31"/>
          <w:highlight w:val="none"/>
        </w:rPr>
        <w:t>甲控乙购 I</w:t>
      </w:r>
      <w:r>
        <w:rPr>
          <w:rFonts w:ascii="黑体" w:hAnsi="黑体" w:eastAsia="黑体" w:cs="黑体"/>
          <w:strike/>
          <w:dstrike w:val="0"/>
          <w:color w:val="auto"/>
          <w:spacing w:val="-49"/>
          <w:sz w:val="31"/>
          <w:szCs w:val="31"/>
          <w:highlight w:val="none"/>
        </w:rPr>
        <w:t xml:space="preserve"> </w:t>
      </w:r>
      <w:r>
        <w:rPr>
          <w:rFonts w:ascii="黑体" w:hAnsi="黑体" w:eastAsia="黑体" w:cs="黑体"/>
          <w:strike/>
          <w:dstrike w:val="0"/>
          <w:color w:val="auto"/>
          <w:spacing w:val="-3"/>
          <w:sz w:val="31"/>
          <w:szCs w:val="31"/>
          <w:highlight w:val="none"/>
        </w:rPr>
        <w:t>类材料一览表</w:t>
      </w:r>
    </w:p>
    <w:p w14:paraId="636D1AD5">
      <w:pPr>
        <w:spacing w:before="5"/>
        <w:rPr>
          <w:strike/>
          <w:dstrike w:val="0"/>
          <w:color w:val="auto"/>
          <w:highlight w:val="none"/>
        </w:rPr>
      </w:pPr>
    </w:p>
    <w:tbl>
      <w:tblPr>
        <w:tblStyle w:val="16"/>
        <w:tblW w:w="9008" w:type="dxa"/>
        <w:tblInd w:w="1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26"/>
        <w:gridCol w:w="2249"/>
        <w:gridCol w:w="1031"/>
        <w:gridCol w:w="2718"/>
      </w:tblGrid>
      <w:tr w14:paraId="6605B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1084" w:type="dxa"/>
            <w:vAlign w:val="top"/>
          </w:tcPr>
          <w:p w14:paraId="5F33E252">
            <w:pPr>
              <w:spacing w:line="251" w:lineRule="auto"/>
              <w:rPr>
                <w:rFonts w:ascii="Arial"/>
                <w:strike/>
                <w:dstrike w:val="0"/>
                <w:color w:val="auto"/>
                <w:sz w:val="21"/>
                <w:highlight w:val="none"/>
              </w:rPr>
            </w:pPr>
          </w:p>
          <w:p w14:paraId="5EE338F4">
            <w:pPr>
              <w:spacing w:line="252" w:lineRule="auto"/>
              <w:rPr>
                <w:rFonts w:ascii="Arial"/>
                <w:strike/>
                <w:dstrike w:val="0"/>
                <w:color w:val="auto"/>
                <w:sz w:val="21"/>
                <w:highlight w:val="none"/>
              </w:rPr>
            </w:pPr>
          </w:p>
          <w:p w14:paraId="2040E78C">
            <w:pPr>
              <w:pStyle w:val="17"/>
              <w:spacing w:before="78" w:line="221" w:lineRule="auto"/>
              <w:ind w:left="306"/>
              <w:rPr>
                <w:strike/>
                <w:dstrike w:val="0"/>
                <w:color w:val="auto"/>
                <w:sz w:val="24"/>
                <w:szCs w:val="24"/>
                <w:highlight w:val="none"/>
              </w:rPr>
            </w:pPr>
            <w:r>
              <w:rPr>
                <w:b/>
                <w:bCs/>
                <w:strike/>
                <w:dstrike w:val="0"/>
                <w:color w:val="auto"/>
                <w:spacing w:val="-5"/>
                <w:sz w:val="24"/>
                <w:szCs w:val="24"/>
                <w:highlight w:val="none"/>
              </w:rPr>
              <w:t>序号</w:t>
            </w:r>
          </w:p>
        </w:tc>
        <w:tc>
          <w:tcPr>
            <w:tcW w:w="1926" w:type="dxa"/>
            <w:vAlign w:val="top"/>
          </w:tcPr>
          <w:p w14:paraId="1D1AB316">
            <w:pPr>
              <w:spacing w:line="251" w:lineRule="auto"/>
              <w:rPr>
                <w:rFonts w:ascii="Arial"/>
                <w:strike/>
                <w:dstrike w:val="0"/>
                <w:color w:val="auto"/>
                <w:sz w:val="21"/>
                <w:highlight w:val="none"/>
              </w:rPr>
            </w:pPr>
          </w:p>
          <w:p w14:paraId="43434B8D">
            <w:pPr>
              <w:spacing w:line="252" w:lineRule="auto"/>
              <w:rPr>
                <w:rFonts w:ascii="Arial"/>
                <w:strike/>
                <w:dstrike w:val="0"/>
                <w:color w:val="auto"/>
                <w:sz w:val="21"/>
                <w:highlight w:val="none"/>
              </w:rPr>
            </w:pPr>
          </w:p>
          <w:p w14:paraId="6403EF17">
            <w:pPr>
              <w:pStyle w:val="17"/>
              <w:spacing w:before="78" w:line="219" w:lineRule="auto"/>
              <w:ind w:left="487"/>
              <w:rPr>
                <w:strike/>
                <w:dstrike w:val="0"/>
                <w:color w:val="auto"/>
                <w:sz w:val="24"/>
                <w:szCs w:val="24"/>
                <w:highlight w:val="none"/>
              </w:rPr>
            </w:pPr>
            <w:r>
              <w:rPr>
                <w:b/>
                <w:bCs/>
                <w:strike/>
                <w:dstrike w:val="0"/>
                <w:color w:val="auto"/>
                <w:spacing w:val="-4"/>
                <w:sz w:val="24"/>
                <w:szCs w:val="24"/>
                <w:highlight w:val="none"/>
              </w:rPr>
              <w:t>材料名称</w:t>
            </w:r>
          </w:p>
        </w:tc>
        <w:tc>
          <w:tcPr>
            <w:tcW w:w="2249" w:type="dxa"/>
            <w:vAlign w:val="top"/>
          </w:tcPr>
          <w:p w14:paraId="238E5B14">
            <w:pPr>
              <w:spacing w:line="251" w:lineRule="auto"/>
              <w:rPr>
                <w:rFonts w:ascii="Arial"/>
                <w:strike/>
                <w:dstrike w:val="0"/>
                <w:color w:val="auto"/>
                <w:sz w:val="21"/>
                <w:highlight w:val="none"/>
              </w:rPr>
            </w:pPr>
          </w:p>
          <w:p w14:paraId="375D9C92">
            <w:pPr>
              <w:spacing w:line="252" w:lineRule="auto"/>
              <w:rPr>
                <w:rFonts w:ascii="Arial"/>
                <w:strike/>
                <w:dstrike w:val="0"/>
                <w:color w:val="auto"/>
                <w:sz w:val="21"/>
                <w:highlight w:val="none"/>
              </w:rPr>
            </w:pPr>
          </w:p>
          <w:p w14:paraId="78FF430F">
            <w:pPr>
              <w:pStyle w:val="17"/>
              <w:spacing w:before="78" w:line="221" w:lineRule="auto"/>
              <w:ind w:left="898"/>
              <w:rPr>
                <w:strike/>
                <w:dstrike w:val="0"/>
                <w:color w:val="auto"/>
                <w:sz w:val="24"/>
                <w:szCs w:val="24"/>
                <w:highlight w:val="none"/>
              </w:rPr>
            </w:pPr>
            <w:r>
              <w:rPr>
                <w:b/>
                <w:bCs/>
                <w:strike/>
                <w:dstrike w:val="0"/>
                <w:color w:val="auto"/>
                <w:spacing w:val="-11"/>
                <w:sz w:val="24"/>
                <w:szCs w:val="24"/>
                <w:highlight w:val="none"/>
              </w:rPr>
              <w:t>型号</w:t>
            </w:r>
          </w:p>
        </w:tc>
        <w:tc>
          <w:tcPr>
            <w:tcW w:w="1031" w:type="dxa"/>
            <w:vAlign w:val="top"/>
          </w:tcPr>
          <w:p w14:paraId="5744E5A4">
            <w:pPr>
              <w:spacing w:line="251" w:lineRule="auto"/>
              <w:rPr>
                <w:rFonts w:ascii="Arial"/>
                <w:strike/>
                <w:dstrike w:val="0"/>
                <w:color w:val="auto"/>
                <w:sz w:val="21"/>
                <w:highlight w:val="none"/>
              </w:rPr>
            </w:pPr>
          </w:p>
          <w:p w14:paraId="43897954">
            <w:pPr>
              <w:spacing w:line="252" w:lineRule="auto"/>
              <w:rPr>
                <w:rFonts w:ascii="Arial"/>
                <w:strike/>
                <w:dstrike w:val="0"/>
                <w:color w:val="auto"/>
                <w:sz w:val="21"/>
                <w:highlight w:val="none"/>
              </w:rPr>
            </w:pPr>
          </w:p>
          <w:p w14:paraId="3D40B7A9">
            <w:pPr>
              <w:pStyle w:val="17"/>
              <w:spacing w:before="78" w:line="220" w:lineRule="auto"/>
              <w:ind w:left="284"/>
              <w:rPr>
                <w:strike/>
                <w:dstrike w:val="0"/>
                <w:color w:val="auto"/>
                <w:sz w:val="24"/>
                <w:szCs w:val="24"/>
                <w:highlight w:val="none"/>
              </w:rPr>
            </w:pPr>
            <w:r>
              <w:rPr>
                <w:b/>
                <w:bCs/>
                <w:strike/>
                <w:dstrike w:val="0"/>
                <w:color w:val="auto"/>
                <w:spacing w:val="-8"/>
                <w:sz w:val="24"/>
                <w:szCs w:val="24"/>
                <w:highlight w:val="none"/>
              </w:rPr>
              <w:t>单位</w:t>
            </w:r>
          </w:p>
        </w:tc>
        <w:tc>
          <w:tcPr>
            <w:tcW w:w="2718" w:type="dxa"/>
            <w:vAlign w:val="top"/>
          </w:tcPr>
          <w:p w14:paraId="0E055CE4">
            <w:pPr>
              <w:spacing w:line="295" w:lineRule="auto"/>
              <w:rPr>
                <w:rFonts w:ascii="Arial"/>
                <w:strike/>
                <w:dstrike w:val="0"/>
                <w:color w:val="auto"/>
                <w:sz w:val="21"/>
                <w:highlight w:val="none"/>
              </w:rPr>
            </w:pPr>
          </w:p>
          <w:p w14:paraId="168FAAC5">
            <w:pPr>
              <w:pStyle w:val="17"/>
              <w:spacing w:before="78" w:line="324" w:lineRule="auto"/>
              <w:ind w:left="888" w:right="649" w:hanging="236"/>
              <w:rPr>
                <w:strike/>
                <w:dstrike w:val="0"/>
                <w:color w:val="auto"/>
                <w:sz w:val="24"/>
                <w:szCs w:val="24"/>
                <w:highlight w:val="none"/>
              </w:rPr>
            </w:pPr>
            <w:r>
              <w:rPr>
                <w:b/>
                <w:bCs/>
                <w:strike/>
                <w:dstrike w:val="0"/>
                <w:color w:val="auto"/>
                <w:spacing w:val="-8"/>
                <w:sz w:val="24"/>
                <w:szCs w:val="24"/>
                <w:highlight w:val="none"/>
              </w:rPr>
              <w:t>暂扣价（元）</w:t>
            </w:r>
            <w:r>
              <w:rPr>
                <w:b/>
                <w:bCs/>
                <w:strike/>
                <w:dstrike w:val="0"/>
                <w:color w:val="auto"/>
                <w:spacing w:val="-5"/>
                <w:sz w:val="24"/>
                <w:szCs w:val="24"/>
                <w:highlight w:val="none"/>
              </w:rPr>
              <w:t>不含税价</w:t>
            </w:r>
          </w:p>
        </w:tc>
      </w:tr>
      <w:tr w14:paraId="37E3B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4C4C6A8A">
            <w:pPr>
              <w:pStyle w:val="17"/>
              <w:spacing w:before="155" w:line="241" w:lineRule="auto"/>
              <w:ind w:left="505"/>
              <w:rPr>
                <w:strike/>
                <w:dstrike w:val="0"/>
                <w:color w:val="auto"/>
                <w:sz w:val="24"/>
                <w:szCs w:val="24"/>
                <w:highlight w:val="none"/>
              </w:rPr>
            </w:pPr>
            <w:r>
              <w:rPr>
                <w:strike/>
                <w:dstrike w:val="0"/>
                <w:color w:val="auto"/>
                <w:sz w:val="24"/>
                <w:szCs w:val="24"/>
                <w:highlight w:val="none"/>
              </w:rPr>
              <w:t>1</w:t>
            </w:r>
          </w:p>
        </w:tc>
        <w:tc>
          <w:tcPr>
            <w:tcW w:w="1926" w:type="dxa"/>
            <w:vAlign w:val="top"/>
          </w:tcPr>
          <w:p w14:paraId="353401E1">
            <w:pPr>
              <w:rPr>
                <w:rFonts w:ascii="Arial"/>
                <w:strike/>
                <w:dstrike w:val="0"/>
                <w:color w:val="auto"/>
                <w:sz w:val="21"/>
                <w:highlight w:val="none"/>
              </w:rPr>
            </w:pPr>
          </w:p>
        </w:tc>
        <w:tc>
          <w:tcPr>
            <w:tcW w:w="2249" w:type="dxa"/>
            <w:vAlign w:val="top"/>
          </w:tcPr>
          <w:p w14:paraId="2305763D">
            <w:pPr>
              <w:rPr>
                <w:rFonts w:ascii="Arial"/>
                <w:strike/>
                <w:dstrike w:val="0"/>
                <w:color w:val="auto"/>
                <w:sz w:val="21"/>
                <w:highlight w:val="none"/>
              </w:rPr>
            </w:pPr>
          </w:p>
        </w:tc>
        <w:tc>
          <w:tcPr>
            <w:tcW w:w="1031" w:type="dxa"/>
            <w:vAlign w:val="top"/>
          </w:tcPr>
          <w:p w14:paraId="531C9F70">
            <w:pPr>
              <w:rPr>
                <w:rFonts w:ascii="Arial"/>
                <w:strike/>
                <w:dstrike w:val="0"/>
                <w:color w:val="auto"/>
                <w:sz w:val="21"/>
                <w:highlight w:val="none"/>
              </w:rPr>
            </w:pPr>
          </w:p>
        </w:tc>
        <w:tc>
          <w:tcPr>
            <w:tcW w:w="2718" w:type="dxa"/>
            <w:vAlign w:val="top"/>
          </w:tcPr>
          <w:p w14:paraId="7A167007">
            <w:pPr>
              <w:rPr>
                <w:rFonts w:ascii="Arial"/>
                <w:strike/>
                <w:dstrike w:val="0"/>
                <w:color w:val="auto"/>
                <w:sz w:val="21"/>
                <w:highlight w:val="none"/>
              </w:rPr>
            </w:pPr>
          </w:p>
        </w:tc>
      </w:tr>
      <w:tr w14:paraId="7DAE7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05F5D6A7">
            <w:pPr>
              <w:pStyle w:val="17"/>
              <w:spacing w:before="157" w:line="241" w:lineRule="auto"/>
              <w:ind w:left="490"/>
              <w:rPr>
                <w:strike/>
                <w:dstrike w:val="0"/>
                <w:color w:val="auto"/>
                <w:sz w:val="24"/>
                <w:szCs w:val="24"/>
                <w:highlight w:val="none"/>
              </w:rPr>
            </w:pPr>
            <w:r>
              <w:rPr>
                <w:strike/>
                <w:dstrike w:val="0"/>
                <w:color w:val="auto"/>
                <w:sz w:val="24"/>
                <w:szCs w:val="24"/>
                <w:highlight w:val="none"/>
              </w:rPr>
              <w:t>2</w:t>
            </w:r>
          </w:p>
        </w:tc>
        <w:tc>
          <w:tcPr>
            <w:tcW w:w="1926" w:type="dxa"/>
            <w:vAlign w:val="top"/>
          </w:tcPr>
          <w:p w14:paraId="0DA50036">
            <w:pPr>
              <w:rPr>
                <w:rFonts w:ascii="Arial"/>
                <w:strike/>
                <w:dstrike w:val="0"/>
                <w:color w:val="auto"/>
                <w:sz w:val="21"/>
                <w:highlight w:val="none"/>
              </w:rPr>
            </w:pPr>
          </w:p>
        </w:tc>
        <w:tc>
          <w:tcPr>
            <w:tcW w:w="2249" w:type="dxa"/>
            <w:vAlign w:val="top"/>
          </w:tcPr>
          <w:p w14:paraId="1EC67616">
            <w:pPr>
              <w:rPr>
                <w:rFonts w:ascii="Arial"/>
                <w:strike/>
                <w:dstrike w:val="0"/>
                <w:color w:val="auto"/>
                <w:sz w:val="21"/>
                <w:highlight w:val="none"/>
              </w:rPr>
            </w:pPr>
          </w:p>
        </w:tc>
        <w:tc>
          <w:tcPr>
            <w:tcW w:w="1031" w:type="dxa"/>
            <w:vAlign w:val="top"/>
          </w:tcPr>
          <w:p w14:paraId="048C908A">
            <w:pPr>
              <w:rPr>
                <w:rFonts w:ascii="Arial"/>
                <w:strike/>
                <w:dstrike w:val="0"/>
                <w:color w:val="auto"/>
                <w:sz w:val="21"/>
                <w:highlight w:val="none"/>
              </w:rPr>
            </w:pPr>
          </w:p>
        </w:tc>
        <w:tc>
          <w:tcPr>
            <w:tcW w:w="2718" w:type="dxa"/>
            <w:vAlign w:val="top"/>
          </w:tcPr>
          <w:p w14:paraId="470AF3AB">
            <w:pPr>
              <w:rPr>
                <w:rFonts w:ascii="Arial"/>
                <w:strike/>
                <w:dstrike w:val="0"/>
                <w:color w:val="auto"/>
                <w:sz w:val="21"/>
                <w:highlight w:val="none"/>
              </w:rPr>
            </w:pPr>
          </w:p>
        </w:tc>
      </w:tr>
      <w:tr w14:paraId="250E8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5FA86FDC">
            <w:pPr>
              <w:pStyle w:val="17"/>
              <w:spacing w:before="157"/>
              <w:ind w:left="492"/>
              <w:rPr>
                <w:strike/>
                <w:dstrike w:val="0"/>
                <w:color w:val="auto"/>
                <w:sz w:val="24"/>
                <w:szCs w:val="24"/>
                <w:highlight w:val="none"/>
              </w:rPr>
            </w:pPr>
            <w:r>
              <w:rPr>
                <w:strike/>
                <w:dstrike w:val="0"/>
                <w:color w:val="auto"/>
                <w:sz w:val="24"/>
                <w:szCs w:val="24"/>
                <w:highlight w:val="none"/>
              </w:rPr>
              <w:t>3</w:t>
            </w:r>
          </w:p>
        </w:tc>
        <w:tc>
          <w:tcPr>
            <w:tcW w:w="1926" w:type="dxa"/>
            <w:vAlign w:val="top"/>
          </w:tcPr>
          <w:p w14:paraId="5932EB96">
            <w:pPr>
              <w:rPr>
                <w:rFonts w:ascii="Arial"/>
                <w:strike/>
                <w:dstrike w:val="0"/>
                <w:color w:val="auto"/>
                <w:sz w:val="21"/>
                <w:highlight w:val="none"/>
              </w:rPr>
            </w:pPr>
          </w:p>
        </w:tc>
        <w:tc>
          <w:tcPr>
            <w:tcW w:w="2249" w:type="dxa"/>
            <w:vAlign w:val="top"/>
          </w:tcPr>
          <w:p w14:paraId="55F0254D">
            <w:pPr>
              <w:rPr>
                <w:rFonts w:ascii="Arial"/>
                <w:strike/>
                <w:dstrike w:val="0"/>
                <w:color w:val="auto"/>
                <w:sz w:val="21"/>
                <w:highlight w:val="none"/>
              </w:rPr>
            </w:pPr>
          </w:p>
        </w:tc>
        <w:tc>
          <w:tcPr>
            <w:tcW w:w="1031" w:type="dxa"/>
            <w:vAlign w:val="top"/>
          </w:tcPr>
          <w:p w14:paraId="2C8B6B37">
            <w:pPr>
              <w:rPr>
                <w:rFonts w:ascii="Arial"/>
                <w:strike/>
                <w:dstrike w:val="0"/>
                <w:color w:val="auto"/>
                <w:sz w:val="21"/>
                <w:highlight w:val="none"/>
              </w:rPr>
            </w:pPr>
          </w:p>
        </w:tc>
        <w:tc>
          <w:tcPr>
            <w:tcW w:w="2718" w:type="dxa"/>
            <w:vAlign w:val="top"/>
          </w:tcPr>
          <w:p w14:paraId="7C8B8DCB">
            <w:pPr>
              <w:rPr>
                <w:rFonts w:ascii="Arial"/>
                <w:strike/>
                <w:dstrike w:val="0"/>
                <w:color w:val="auto"/>
                <w:sz w:val="21"/>
                <w:highlight w:val="none"/>
              </w:rPr>
            </w:pPr>
          </w:p>
        </w:tc>
      </w:tr>
      <w:tr w14:paraId="5C2D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25F8A2DE">
            <w:pPr>
              <w:pStyle w:val="17"/>
              <w:spacing w:before="158" w:line="241" w:lineRule="auto"/>
              <w:ind w:left="487"/>
              <w:rPr>
                <w:strike/>
                <w:dstrike w:val="0"/>
                <w:color w:val="auto"/>
                <w:sz w:val="24"/>
                <w:szCs w:val="24"/>
                <w:highlight w:val="none"/>
              </w:rPr>
            </w:pPr>
            <w:r>
              <w:rPr>
                <w:strike/>
                <w:dstrike w:val="0"/>
                <w:color w:val="auto"/>
                <w:sz w:val="24"/>
                <w:szCs w:val="24"/>
                <w:highlight w:val="none"/>
              </w:rPr>
              <w:t>4</w:t>
            </w:r>
          </w:p>
        </w:tc>
        <w:tc>
          <w:tcPr>
            <w:tcW w:w="1926" w:type="dxa"/>
            <w:vAlign w:val="top"/>
          </w:tcPr>
          <w:p w14:paraId="0A3BA43C">
            <w:pPr>
              <w:rPr>
                <w:rFonts w:ascii="Arial"/>
                <w:strike/>
                <w:dstrike w:val="0"/>
                <w:color w:val="auto"/>
                <w:sz w:val="21"/>
                <w:highlight w:val="none"/>
              </w:rPr>
            </w:pPr>
          </w:p>
        </w:tc>
        <w:tc>
          <w:tcPr>
            <w:tcW w:w="2249" w:type="dxa"/>
            <w:vAlign w:val="top"/>
          </w:tcPr>
          <w:p w14:paraId="26B5E0FE">
            <w:pPr>
              <w:rPr>
                <w:rFonts w:ascii="Arial"/>
                <w:strike/>
                <w:dstrike w:val="0"/>
                <w:color w:val="auto"/>
                <w:sz w:val="21"/>
                <w:highlight w:val="none"/>
              </w:rPr>
            </w:pPr>
          </w:p>
        </w:tc>
        <w:tc>
          <w:tcPr>
            <w:tcW w:w="1031" w:type="dxa"/>
            <w:vAlign w:val="top"/>
          </w:tcPr>
          <w:p w14:paraId="67470E36">
            <w:pPr>
              <w:rPr>
                <w:rFonts w:ascii="Arial"/>
                <w:strike/>
                <w:dstrike w:val="0"/>
                <w:color w:val="auto"/>
                <w:sz w:val="21"/>
                <w:highlight w:val="none"/>
              </w:rPr>
            </w:pPr>
          </w:p>
        </w:tc>
        <w:tc>
          <w:tcPr>
            <w:tcW w:w="2718" w:type="dxa"/>
            <w:vAlign w:val="top"/>
          </w:tcPr>
          <w:p w14:paraId="137A1D0F">
            <w:pPr>
              <w:rPr>
                <w:rFonts w:ascii="Arial"/>
                <w:strike/>
                <w:dstrike w:val="0"/>
                <w:color w:val="auto"/>
                <w:sz w:val="21"/>
                <w:highlight w:val="none"/>
              </w:rPr>
            </w:pPr>
          </w:p>
        </w:tc>
      </w:tr>
      <w:tr w14:paraId="405D9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084" w:type="dxa"/>
            <w:vAlign w:val="top"/>
          </w:tcPr>
          <w:p w14:paraId="27313241">
            <w:pPr>
              <w:pStyle w:val="17"/>
              <w:spacing w:before="159"/>
              <w:ind w:left="492"/>
              <w:rPr>
                <w:strike/>
                <w:dstrike w:val="0"/>
                <w:color w:val="auto"/>
                <w:sz w:val="24"/>
                <w:szCs w:val="24"/>
                <w:highlight w:val="none"/>
              </w:rPr>
            </w:pPr>
            <w:r>
              <w:rPr>
                <w:strike/>
                <w:dstrike w:val="0"/>
                <w:color w:val="auto"/>
                <w:sz w:val="24"/>
                <w:szCs w:val="24"/>
                <w:highlight w:val="none"/>
              </w:rPr>
              <w:t>5</w:t>
            </w:r>
          </w:p>
        </w:tc>
        <w:tc>
          <w:tcPr>
            <w:tcW w:w="1926" w:type="dxa"/>
            <w:vAlign w:val="top"/>
          </w:tcPr>
          <w:p w14:paraId="1EDD7F41">
            <w:pPr>
              <w:rPr>
                <w:rFonts w:ascii="Arial"/>
                <w:strike/>
                <w:dstrike w:val="0"/>
                <w:color w:val="auto"/>
                <w:sz w:val="21"/>
                <w:highlight w:val="none"/>
              </w:rPr>
            </w:pPr>
          </w:p>
        </w:tc>
        <w:tc>
          <w:tcPr>
            <w:tcW w:w="2249" w:type="dxa"/>
            <w:vAlign w:val="top"/>
          </w:tcPr>
          <w:p w14:paraId="6B4E30B3">
            <w:pPr>
              <w:rPr>
                <w:rFonts w:ascii="Arial"/>
                <w:strike/>
                <w:dstrike w:val="0"/>
                <w:color w:val="auto"/>
                <w:sz w:val="21"/>
                <w:highlight w:val="none"/>
              </w:rPr>
            </w:pPr>
          </w:p>
        </w:tc>
        <w:tc>
          <w:tcPr>
            <w:tcW w:w="1031" w:type="dxa"/>
            <w:vAlign w:val="top"/>
          </w:tcPr>
          <w:p w14:paraId="100A9558">
            <w:pPr>
              <w:rPr>
                <w:rFonts w:ascii="Arial"/>
                <w:strike/>
                <w:dstrike w:val="0"/>
                <w:color w:val="auto"/>
                <w:sz w:val="21"/>
                <w:highlight w:val="none"/>
              </w:rPr>
            </w:pPr>
          </w:p>
        </w:tc>
        <w:tc>
          <w:tcPr>
            <w:tcW w:w="2718" w:type="dxa"/>
            <w:vAlign w:val="top"/>
          </w:tcPr>
          <w:p w14:paraId="57B93DD6">
            <w:pPr>
              <w:rPr>
                <w:rFonts w:ascii="Arial"/>
                <w:strike/>
                <w:dstrike w:val="0"/>
                <w:color w:val="auto"/>
                <w:sz w:val="21"/>
                <w:highlight w:val="none"/>
              </w:rPr>
            </w:pPr>
          </w:p>
        </w:tc>
      </w:tr>
      <w:tr w14:paraId="20F79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7F7B5378">
            <w:pPr>
              <w:pStyle w:val="17"/>
              <w:spacing w:before="157"/>
              <w:ind w:left="489"/>
              <w:rPr>
                <w:strike/>
                <w:dstrike w:val="0"/>
                <w:color w:val="auto"/>
                <w:sz w:val="24"/>
                <w:szCs w:val="24"/>
                <w:highlight w:val="none"/>
              </w:rPr>
            </w:pPr>
            <w:r>
              <w:rPr>
                <w:strike/>
                <w:dstrike w:val="0"/>
                <w:color w:val="auto"/>
                <w:sz w:val="24"/>
                <w:szCs w:val="24"/>
                <w:highlight w:val="none"/>
              </w:rPr>
              <w:t>6</w:t>
            </w:r>
          </w:p>
        </w:tc>
        <w:tc>
          <w:tcPr>
            <w:tcW w:w="1926" w:type="dxa"/>
            <w:vAlign w:val="top"/>
          </w:tcPr>
          <w:p w14:paraId="1A6ABE60">
            <w:pPr>
              <w:rPr>
                <w:rFonts w:ascii="Arial"/>
                <w:strike/>
                <w:dstrike w:val="0"/>
                <w:color w:val="auto"/>
                <w:sz w:val="21"/>
                <w:highlight w:val="none"/>
              </w:rPr>
            </w:pPr>
          </w:p>
        </w:tc>
        <w:tc>
          <w:tcPr>
            <w:tcW w:w="2249" w:type="dxa"/>
            <w:vAlign w:val="top"/>
          </w:tcPr>
          <w:p w14:paraId="3670872A">
            <w:pPr>
              <w:rPr>
                <w:rFonts w:ascii="Arial"/>
                <w:strike/>
                <w:dstrike w:val="0"/>
                <w:color w:val="auto"/>
                <w:sz w:val="21"/>
                <w:highlight w:val="none"/>
              </w:rPr>
            </w:pPr>
          </w:p>
        </w:tc>
        <w:tc>
          <w:tcPr>
            <w:tcW w:w="1031" w:type="dxa"/>
            <w:vAlign w:val="top"/>
          </w:tcPr>
          <w:p w14:paraId="523DE6AE">
            <w:pPr>
              <w:rPr>
                <w:rFonts w:ascii="Arial"/>
                <w:strike/>
                <w:dstrike w:val="0"/>
                <w:color w:val="auto"/>
                <w:sz w:val="21"/>
                <w:highlight w:val="none"/>
              </w:rPr>
            </w:pPr>
          </w:p>
        </w:tc>
        <w:tc>
          <w:tcPr>
            <w:tcW w:w="2718" w:type="dxa"/>
            <w:vAlign w:val="top"/>
          </w:tcPr>
          <w:p w14:paraId="4FB69199">
            <w:pPr>
              <w:rPr>
                <w:rFonts w:ascii="Arial"/>
                <w:strike/>
                <w:dstrike w:val="0"/>
                <w:color w:val="auto"/>
                <w:sz w:val="21"/>
                <w:highlight w:val="none"/>
              </w:rPr>
            </w:pPr>
          </w:p>
        </w:tc>
      </w:tr>
      <w:tr w14:paraId="6338D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vAlign w:val="top"/>
          </w:tcPr>
          <w:p w14:paraId="0FF294F1">
            <w:pPr>
              <w:pStyle w:val="17"/>
              <w:spacing w:before="158"/>
              <w:ind w:left="493"/>
              <w:rPr>
                <w:strike/>
                <w:dstrike w:val="0"/>
                <w:color w:val="auto"/>
                <w:sz w:val="24"/>
                <w:szCs w:val="24"/>
                <w:highlight w:val="none"/>
              </w:rPr>
            </w:pPr>
            <w:r>
              <w:rPr>
                <w:strike/>
                <w:dstrike w:val="0"/>
                <w:color w:val="auto"/>
                <w:sz w:val="24"/>
                <w:szCs w:val="24"/>
                <w:highlight w:val="none"/>
              </w:rPr>
              <w:t>7</w:t>
            </w:r>
          </w:p>
        </w:tc>
        <w:tc>
          <w:tcPr>
            <w:tcW w:w="1926" w:type="dxa"/>
            <w:vAlign w:val="top"/>
          </w:tcPr>
          <w:p w14:paraId="59AC7104">
            <w:pPr>
              <w:rPr>
                <w:rFonts w:ascii="Arial"/>
                <w:strike/>
                <w:dstrike w:val="0"/>
                <w:color w:val="auto"/>
                <w:sz w:val="21"/>
                <w:highlight w:val="none"/>
              </w:rPr>
            </w:pPr>
          </w:p>
        </w:tc>
        <w:tc>
          <w:tcPr>
            <w:tcW w:w="2249" w:type="dxa"/>
            <w:vAlign w:val="top"/>
          </w:tcPr>
          <w:p w14:paraId="06A295F4">
            <w:pPr>
              <w:rPr>
                <w:rFonts w:ascii="Arial"/>
                <w:strike/>
                <w:dstrike w:val="0"/>
                <w:color w:val="auto"/>
                <w:sz w:val="21"/>
                <w:highlight w:val="none"/>
              </w:rPr>
            </w:pPr>
          </w:p>
        </w:tc>
        <w:tc>
          <w:tcPr>
            <w:tcW w:w="1031" w:type="dxa"/>
            <w:vAlign w:val="top"/>
          </w:tcPr>
          <w:p w14:paraId="6603B295">
            <w:pPr>
              <w:rPr>
                <w:rFonts w:ascii="Arial"/>
                <w:strike/>
                <w:dstrike w:val="0"/>
                <w:color w:val="auto"/>
                <w:sz w:val="21"/>
                <w:highlight w:val="none"/>
              </w:rPr>
            </w:pPr>
          </w:p>
        </w:tc>
        <w:tc>
          <w:tcPr>
            <w:tcW w:w="2718" w:type="dxa"/>
            <w:vAlign w:val="top"/>
          </w:tcPr>
          <w:p w14:paraId="389DACB3">
            <w:pPr>
              <w:rPr>
                <w:rFonts w:ascii="Arial"/>
                <w:strike/>
                <w:dstrike w:val="0"/>
                <w:color w:val="auto"/>
                <w:sz w:val="21"/>
                <w:highlight w:val="none"/>
              </w:rPr>
            </w:pPr>
          </w:p>
        </w:tc>
      </w:tr>
      <w:tr w14:paraId="2AF1B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84" w:type="dxa"/>
            <w:vAlign w:val="top"/>
          </w:tcPr>
          <w:p w14:paraId="2A98FC06">
            <w:pPr>
              <w:spacing w:line="257" w:lineRule="auto"/>
              <w:rPr>
                <w:rFonts w:ascii="Arial"/>
                <w:strike/>
                <w:dstrike w:val="0"/>
                <w:color w:val="auto"/>
                <w:sz w:val="21"/>
                <w:highlight w:val="none"/>
              </w:rPr>
            </w:pPr>
          </w:p>
          <w:p w14:paraId="471D9436">
            <w:pPr>
              <w:pStyle w:val="17"/>
              <w:spacing w:before="78" w:line="99" w:lineRule="exact"/>
              <w:ind w:left="314"/>
              <w:rPr>
                <w:strike/>
                <w:dstrike w:val="0"/>
                <w:color w:val="auto"/>
                <w:sz w:val="24"/>
                <w:szCs w:val="24"/>
                <w:highlight w:val="none"/>
              </w:rPr>
            </w:pPr>
            <w:r>
              <w:rPr>
                <w:strike/>
                <w:dstrike w:val="0"/>
                <w:color w:val="auto"/>
                <w:spacing w:val="-3"/>
                <w:position w:val="1"/>
                <w:sz w:val="24"/>
                <w:szCs w:val="24"/>
                <w:highlight w:val="none"/>
              </w:rPr>
              <w:t>....</w:t>
            </w:r>
          </w:p>
        </w:tc>
        <w:tc>
          <w:tcPr>
            <w:tcW w:w="1926" w:type="dxa"/>
            <w:vAlign w:val="top"/>
          </w:tcPr>
          <w:p w14:paraId="02269FAD">
            <w:pPr>
              <w:rPr>
                <w:rFonts w:ascii="Arial"/>
                <w:strike/>
                <w:dstrike w:val="0"/>
                <w:color w:val="auto"/>
                <w:sz w:val="21"/>
                <w:highlight w:val="none"/>
              </w:rPr>
            </w:pPr>
          </w:p>
        </w:tc>
        <w:tc>
          <w:tcPr>
            <w:tcW w:w="2249" w:type="dxa"/>
            <w:vAlign w:val="top"/>
          </w:tcPr>
          <w:p w14:paraId="51D7DA48">
            <w:pPr>
              <w:rPr>
                <w:rFonts w:ascii="Arial"/>
                <w:strike/>
                <w:dstrike w:val="0"/>
                <w:color w:val="auto"/>
                <w:sz w:val="21"/>
                <w:highlight w:val="none"/>
              </w:rPr>
            </w:pPr>
          </w:p>
        </w:tc>
        <w:tc>
          <w:tcPr>
            <w:tcW w:w="1031" w:type="dxa"/>
            <w:vAlign w:val="top"/>
          </w:tcPr>
          <w:p w14:paraId="36E8291C">
            <w:pPr>
              <w:rPr>
                <w:rFonts w:ascii="Arial"/>
                <w:strike/>
                <w:dstrike w:val="0"/>
                <w:color w:val="auto"/>
                <w:sz w:val="21"/>
                <w:highlight w:val="none"/>
              </w:rPr>
            </w:pPr>
          </w:p>
        </w:tc>
        <w:tc>
          <w:tcPr>
            <w:tcW w:w="2718" w:type="dxa"/>
            <w:vAlign w:val="top"/>
          </w:tcPr>
          <w:p w14:paraId="47939101">
            <w:pPr>
              <w:rPr>
                <w:rFonts w:ascii="Arial"/>
                <w:strike/>
                <w:dstrike w:val="0"/>
                <w:color w:val="auto"/>
                <w:sz w:val="21"/>
                <w:highlight w:val="none"/>
              </w:rPr>
            </w:pPr>
          </w:p>
        </w:tc>
      </w:tr>
    </w:tbl>
    <w:p w14:paraId="6127331F">
      <w:pPr>
        <w:spacing w:before="115" w:line="361" w:lineRule="auto"/>
        <w:ind w:left="1848" w:right="1349" w:hanging="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注：发包人将按上述材料基准价和实际供应数量进行甲控乙购</w:t>
      </w:r>
      <w:r>
        <w:rPr>
          <w:rFonts w:ascii="宋体" w:hAnsi="宋体" w:eastAsia="宋体" w:cs="宋体"/>
          <w:strike/>
          <w:dstrike w:val="0"/>
          <w:color w:val="auto"/>
          <w:spacing w:val="-20"/>
          <w:sz w:val="24"/>
          <w:szCs w:val="24"/>
          <w:highlight w:val="none"/>
        </w:rPr>
        <w:t xml:space="preserve"> </w:t>
      </w:r>
      <w:r>
        <w:rPr>
          <w:rFonts w:ascii="宋体" w:hAnsi="宋体" w:eastAsia="宋体" w:cs="宋体"/>
          <w:strike/>
          <w:dstrike w:val="0"/>
          <w:color w:val="auto"/>
          <w:spacing w:val="-6"/>
          <w:sz w:val="24"/>
          <w:szCs w:val="24"/>
          <w:highlight w:val="none"/>
        </w:rPr>
        <w:t>I</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6"/>
          <w:sz w:val="24"/>
          <w:szCs w:val="24"/>
          <w:highlight w:val="none"/>
        </w:rPr>
        <w:t>类供应材料的扣款，</w:t>
      </w:r>
      <w:r>
        <w:rPr>
          <w:rFonts w:ascii="宋体" w:hAnsi="宋体" w:eastAsia="宋体" w:cs="宋体"/>
          <w:strike/>
          <w:dstrike w:val="0"/>
          <w:color w:val="auto"/>
          <w:spacing w:val="-1"/>
          <w:sz w:val="24"/>
          <w:szCs w:val="24"/>
          <w:highlight w:val="none"/>
        </w:rPr>
        <w:t>如采购价与基准价有偏差，按调差条款进行调</w:t>
      </w:r>
      <w:r>
        <w:rPr>
          <w:rFonts w:ascii="宋体" w:hAnsi="宋体" w:eastAsia="宋体" w:cs="宋体"/>
          <w:strike/>
          <w:dstrike w:val="0"/>
          <w:color w:val="auto"/>
          <w:spacing w:val="-2"/>
          <w:sz w:val="24"/>
          <w:szCs w:val="24"/>
          <w:highlight w:val="none"/>
        </w:rPr>
        <w:t>价。上述材料价格单位为：元。</w:t>
      </w:r>
    </w:p>
    <w:p w14:paraId="329C18CB">
      <w:pPr>
        <w:spacing w:line="361" w:lineRule="auto"/>
        <w:rPr>
          <w:rFonts w:ascii="宋体" w:hAnsi="宋体" w:eastAsia="宋体" w:cs="宋体"/>
          <w:strike/>
          <w:dstrike w:val="0"/>
          <w:color w:val="auto"/>
          <w:sz w:val="24"/>
          <w:szCs w:val="24"/>
          <w:highlight w:val="none"/>
        </w:rPr>
        <w:sectPr>
          <w:headerReference r:id="rId82" w:type="default"/>
          <w:footerReference r:id="rId83" w:type="default"/>
          <w:pgSz w:w="11905" w:h="16840"/>
          <w:pgMar w:top="1182" w:right="0" w:bottom="1171" w:left="0" w:header="849" w:footer="937" w:gutter="0"/>
          <w:pgNumType w:fmt="decimal"/>
          <w:cols w:space="720" w:num="1"/>
        </w:sectPr>
      </w:pPr>
    </w:p>
    <w:p w14:paraId="600404EE">
      <w:pPr>
        <w:pStyle w:val="3"/>
        <w:spacing w:line="267" w:lineRule="auto"/>
        <w:rPr>
          <w:strike/>
          <w:dstrike w:val="0"/>
          <w:color w:val="auto"/>
          <w:highlight w:val="none"/>
        </w:rPr>
      </w:pPr>
    </w:p>
    <w:p w14:paraId="0D23E4D3">
      <w:pPr>
        <w:spacing w:before="78" w:line="219" w:lineRule="auto"/>
        <w:ind w:left="1444"/>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18"/>
          <w:sz w:val="24"/>
          <w:szCs w:val="24"/>
          <w:highlight w:val="none"/>
        </w:rPr>
        <w:t>附件十：</w:t>
      </w:r>
    </w:p>
    <w:p w14:paraId="5C6E747E">
      <w:pPr>
        <w:spacing w:before="222" w:line="225" w:lineRule="auto"/>
        <w:ind w:left="4198"/>
        <w:rPr>
          <w:rFonts w:ascii="宋体" w:hAnsi="宋体" w:eastAsia="宋体" w:cs="宋体"/>
          <w:strike/>
          <w:dstrike w:val="0"/>
          <w:color w:val="auto"/>
          <w:sz w:val="31"/>
          <w:szCs w:val="31"/>
          <w:highlight w:val="none"/>
        </w:rPr>
      </w:pPr>
      <w:r>
        <w:rPr>
          <w:rFonts w:ascii="宋体" w:hAnsi="宋体" w:eastAsia="宋体" w:cs="宋体"/>
          <w:b/>
          <w:bCs/>
          <w:strike/>
          <w:dstrike w:val="0"/>
          <w:color w:val="auto"/>
          <w:spacing w:val="7"/>
          <w:sz w:val="31"/>
          <w:szCs w:val="31"/>
          <w:highlight w:val="none"/>
        </w:rPr>
        <w:t>特殊材料设备供应一览表</w:t>
      </w:r>
    </w:p>
    <w:p w14:paraId="34FBD019">
      <w:pPr>
        <w:spacing w:line="94" w:lineRule="exact"/>
        <w:rPr>
          <w:strike/>
          <w:dstrike w:val="0"/>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355"/>
        <w:gridCol w:w="804"/>
        <w:gridCol w:w="734"/>
        <w:gridCol w:w="2444"/>
        <w:gridCol w:w="750"/>
        <w:gridCol w:w="704"/>
        <w:gridCol w:w="753"/>
        <w:gridCol w:w="1036"/>
      </w:tblGrid>
      <w:tr w14:paraId="7A349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2" w:type="dxa"/>
            <w:vAlign w:val="top"/>
          </w:tcPr>
          <w:p w14:paraId="2F4C3710">
            <w:pPr>
              <w:pStyle w:val="17"/>
              <w:spacing w:before="210" w:line="221" w:lineRule="auto"/>
              <w:ind w:left="149"/>
              <w:rPr>
                <w:strike/>
                <w:dstrike w:val="0"/>
                <w:color w:val="auto"/>
                <w:highlight w:val="none"/>
              </w:rPr>
            </w:pPr>
            <w:r>
              <w:rPr>
                <w:strike/>
                <w:dstrike w:val="0"/>
                <w:color w:val="auto"/>
                <w:spacing w:val="-2"/>
                <w:highlight w:val="none"/>
              </w:rPr>
              <w:t>序号</w:t>
            </w:r>
          </w:p>
        </w:tc>
        <w:tc>
          <w:tcPr>
            <w:tcW w:w="1355" w:type="dxa"/>
            <w:vAlign w:val="top"/>
          </w:tcPr>
          <w:p w14:paraId="57EC26BF">
            <w:pPr>
              <w:pStyle w:val="17"/>
              <w:spacing w:before="55" w:line="250" w:lineRule="auto"/>
              <w:ind w:left="263" w:right="151" w:hanging="107"/>
              <w:rPr>
                <w:strike/>
                <w:dstrike w:val="0"/>
                <w:color w:val="auto"/>
                <w:highlight w:val="none"/>
              </w:rPr>
            </w:pPr>
            <w:r>
              <w:rPr>
                <w:strike/>
                <w:dstrike w:val="0"/>
                <w:color w:val="auto"/>
                <w:spacing w:val="-2"/>
                <w:highlight w:val="none"/>
              </w:rPr>
              <w:t>材料品种或</w:t>
            </w:r>
            <w:r>
              <w:rPr>
                <w:strike/>
                <w:dstrike w:val="0"/>
                <w:color w:val="auto"/>
                <w:spacing w:val="-3"/>
                <w:highlight w:val="none"/>
              </w:rPr>
              <w:t>设备型号</w:t>
            </w:r>
          </w:p>
        </w:tc>
        <w:tc>
          <w:tcPr>
            <w:tcW w:w="804" w:type="dxa"/>
            <w:vAlign w:val="top"/>
          </w:tcPr>
          <w:p w14:paraId="3FD7F721">
            <w:pPr>
              <w:pStyle w:val="17"/>
              <w:spacing w:before="210" w:line="220" w:lineRule="auto"/>
              <w:ind w:left="197"/>
              <w:rPr>
                <w:strike/>
                <w:dstrike w:val="0"/>
                <w:color w:val="auto"/>
                <w:highlight w:val="none"/>
              </w:rPr>
            </w:pPr>
            <w:r>
              <w:rPr>
                <w:strike/>
                <w:dstrike w:val="0"/>
                <w:color w:val="auto"/>
                <w:spacing w:val="-3"/>
                <w:highlight w:val="none"/>
              </w:rPr>
              <w:t>单位</w:t>
            </w:r>
          </w:p>
        </w:tc>
        <w:tc>
          <w:tcPr>
            <w:tcW w:w="734" w:type="dxa"/>
            <w:vAlign w:val="top"/>
          </w:tcPr>
          <w:p w14:paraId="684BF329">
            <w:pPr>
              <w:pStyle w:val="17"/>
              <w:spacing w:before="210" w:line="220" w:lineRule="auto"/>
              <w:ind w:left="162"/>
              <w:rPr>
                <w:strike/>
                <w:dstrike w:val="0"/>
                <w:color w:val="auto"/>
                <w:highlight w:val="none"/>
              </w:rPr>
            </w:pPr>
            <w:r>
              <w:rPr>
                <w:strike/>
                <w:dstrike w:val="0"/>
                <w:color w:val="auto"/>
                <w:spacing w:val="-3"/>
                <w:highlight w:val="none"/>
              </w:rPr>
              <w:t>数量</w:t>
            </w:r>
          </w:p>
        </w:tc>
        <w:tc>
          <w:tcPr>
            <w:tcW w:w="2444" w:type="dxa"/>
            <w:vAlign w:val="top"/>
          </w:tcPr>
          <w:p w14:paraId="2FEE30F4">
            <w:pPr>
              <w:pStyle w:val="17"/>
              <w:spacing w:before="194" w:line="232" w:lineRule="auto"/>
              <w:ind w:left="235"/>
              <w:rPr>
                <w:strike/>
                <w:dstrike w:val="0"/>
                <w:color w:val="auto"/>
                <w:sz w:val="10"/>
                <w:szCs w:val="10"/>
                <w:highlight w:val="none"/>
              </w:rPr>
            </w:pPr>
            <w:r>
              <w:rPr>
                <w:strike/>
                <w:dstrike w:val="0"/>
                <w:color w:val="auto"/>
                <w:spacing w:val="-1"/>
                <w:highlight w:val="none"/>
              </w:rPr>
              <w:t>到达工地价格（元）</w:t>
            </w:r>
          </w:p>
        </w:tc>
        <w:tc>
          <w:tcPr>
            <w:tcW w:w="750" w:type="dxa"/>
            <w:vAlign w:val="top"/>
          </w:tcPr>
          <w:p w14:paraId="760758CD">
            <w:pPr>
              <w:pStyle w:val="17"/>
              <w:spacing w:before="54" w:line="220" w:lineRule="auto"/>
              <w:ind w:left="172"/>
              <w:rPr>
                <w:strike/>
                <w:dstrike w:val="0"/>
                <w:color w:val="auto"/>
                <w:highlight w:val="none"/>
              </w:rPr>
            </w:pPr>
            <w:r>
              <w:rPr>
                <w:strike/>
                <w:dstrike w:val="0"/>
                <w:color w:val="auto"/>
                <w:spacing w:val="-3"/>
                <w:highlight w:val="none"/>
              </w:rPr>
              <w:t>质量</w:t>
            </w:r>
          </w:p>
          <w:p w14:paraId="5D9E528B">
            <w:pPr>
              <w:pStyle w:val="17"/>
              <w:spacing w:before="60" w:line="220" w:lineRule="auto"/>
              <w:ind w:left="173"/>
              <w:rPr>
                <w:strike/>
                <w:dstrike w:val="0"/>
                <w:color w:val="auto"/>
                <w:highlight w:val="none"/>
              </w:rPr>
            </w:pPr>
            <w:r>
              <w:rPr>
                <w:strike/>
                <w:dstrike w:val="0"/>
                <w:color w:val="auto"/>
                <w:spacing w:val="-3"/>
                <w:highlight w:val="none"/>
              </w:rPr>
              <w:t>等级</w:t>
            </w:r>
          </w:p>
        </w:tc>
        <w:tc>
          <w:tcPr>
            <w:tcW w:w="704" w:type="dxa"/>
            <w:vAlign w:val="top"/>
          </w:tcPr>
          <w:p w14:paraId="733212E7">
            <w:pPr>
              <w:pStyle w:val="17"/>
              <w:spacing w:before="54" w:line="219" w:lineRule="auto"/>
              <w:ind w:left="147"/>
              <w:rPr>
                <w:strike/>
                <w:dstrike w:val="0"/>
                <w:color w:val="auto"/>
                <w:highlight w:val="none"/>
              </w:rPr>
            </w:pPr>
            <w:r>
              <w:rPr>
                <w:strike/>
                <w:dstrike w:val="0"/>
                <w:color w:val="auto"/>
                <w:spacing w:val="-3"/>
                <w:highlight w:val="none"/>
              </w:rPr>
              <w:t>供应</w:t>
            </w:r>
          </w:p>
          <w:p w14:paraId="2AAD76BD">
            <w:pPr>
              <w:pStyle w:val="17"/>
              <w:spacing w:before="62" w:line="222" w:lineRule="auto"/>
              <w:ind w:left="157"/>
              <w:rPr>
                <w:strike/>
                <w:dstrike w:val="0"/>
                <w:color w:val="auto"/>
                <w:highlight w:val="none"/>
              </w:rPr>
            </w:pPr>
            <w:r>
              <w:rPr>
                <w:strike/>
                <w:dstrike w:val="0"/>
                <w:color w:val="auto"/>
                <w:spacing w:val="-5"/>
                <w:highlight w:val="none"/>
              </w:rPr>
              <w:t>时间</w:t>
            </w:r>
          </w:p>
        </w:tc>
        <w:tc>
          <w:tcPr>
            <w:tcW w:w="753" w:type="dxa"/>
            <w:vAlign w:val="top"/>
          </w:tcPr>
          <w:p w14:paraId="1C831926">
            <w:pPr>
              <w:pStyle w:val="17"/>
              <w:spacing w:before="54" w:line="227" w:lineRule="auto"/>
              <w:ind w:left="172"/>
              <w:rPr>
                <w:strike/>
                <w:dstrike w:val="0"/>
                <w:color w:val="auto"/>
                <w:highlight w:val="none"/>
              </w:rPr>
            </w:pPr>
            <w:r>
              <w:rPr>
                <w:strike/>
                <w:dstrike w:val="0"/>
                <w:color w:val="auto"/>
                <w:spacing w:val="-2"/>
                <w:highlight w:val="none"/>
              </w:rPr>
              <w:t>送达</w:t>
            </w:r>
          </w:p>
          <w:p w14:paraId="3878B7FE">
            <w:pPr>
              <w:pStyle w:val="17"/>
              <w:spacing w:before="53" w:line="224" w:lineRule="auto"/>
              <w:ind w:left="174"/>
              <w:rPr>
                <w:strike/>
                <w:dstrike w:val="0"/>
                <w:color w:val="auto"/>
                <w:highlight w:val="none"/>
              </w:rPr>
            </w:pPr>
            <w:r>
              <w:rPr>
                <w:strike/>
                <w:dstrike w:val="0"/>
                <w:color w:val="auto"/>
                <w:spacing w:val="-3"/>
                <w:highlight w:val="none"/>
              </w:rPr>
              <w:t>地点</w:t>
            </w:r>
          </w:p>
        </w:tc>
        <w:tc>
          <w:tcPr>
            <w:tcW w:w="1036" w:type="dxa"/>
            <w:vAlign w:val="top"/>
          </w:tcPr>
          <w:p w14:paraId="45182F43">
            <w:pPr>
              <w:pStyle w:val="17"/>
              <w:spacing w:before="210" w:line="221" w:lineRule="auto"/>
              <w:ind w:left="316"/>
              <w:rPr>
                <w:strike/>
                <w:dstrike w:val="0"/>
                <w:color w:val="auto"/>
                <w:highlight w:val="none"/>
              </w:rPr>
            </w:pPr>
            <w:r>
              <w:rPr>
                <w:strike/>
                <w:dstrike w:val="0"/>
                <w:color w:val="auto"/>
                <w:spacing w:val="-3"/>
                <w:highlight w:val="none"/>
              </w:rPr>
              <w:t>备注</w:t>
            </w:r>
          </w:p>
        </w:tc>
      </w:tr>
      <w:tr w14:paraId="4C2C5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35ED0BE3">
            <w:pPr>
              <w:rPr>
                <w:rFonts w:ascii="Arial"/>
                <w:strike/>
                <w:dstrike w:val="0"/>
                <w:color w:val="auto"/>
                <w:sz w:val="21"/>
                <w:highlight w:val="none"/>
              </w:rPr>
            </w:pPr>
          </w:p>
        </w:tc>
        <w:tc>
          <w:tcPr>
            <w:tcW w:w="1355" w:type="dxa"/>
            <w:vAlign w:val="top"/>
          </w:tcPr>
          <w:p w14:paraId="17F65D06">
            <w:pPr>
              <w:rPr>
                <w:rFonts w:ascii="Arial"/>
                <w:strike/>
                <w:dstrike w:val="0"/>
                <w:color w:val="auto"/>
                <w:sz w:val="21"/>
                <w:highlight w:val="none"/>
              </w:rPr>
            </w:pPr>
          </w:p>
        </w:tc>
        <w:tc>
          <w:tcPr>
            <w:tcW w:w="804" w:type="dxa"/>
            <w:vAlign w:val="top"/>
          </w:tcPr>
          <w:p w14:paraId="6B753ED7">
            <w:pPr>
              <w:rPr>
                <w:rFonts w:ascii="Arial"/>
                <w:strike/>
                <w:dstrike w:val="0"/>
                <w:color w:val="auto"/>
                <w:sz w:val="21"/>
                <w:highlight w:val="none"/>
              </w:rPr>
            </w:pPr>
          </w:p>
        </w:tc>
        <w:tc>
          <w:tcPr>
            <w:tcW w:w="734" w:type="dxa"/>
            <w:vAlign w:val="top"/>
          </w:tcPr>
          <w:p w14:paraId="2BA42F11">
            <w:pPr>
              <w:rPr>
                <w:rFonts w:ascii="Arial"/>
                <w:strike/>
                <w:dstrike w:val="0"/>
                <w:color w:val="auto"/>
                <w:sz w:val="21"/>
                <w:highlight w:val="none"/>
              </w:rPr>
            </w:pPr>
          </w:p>
        </w:tc>
        <w:tc>
          <w:tcPr>
            <w:tcW w:w="2444" w:type="dxa"/>
            <w:vAlign w:val="top"/>
          </w:tcPr>
          <w:p w14:paraId="4628A5F5">
            <w:pPr>
              <w:rPr>
                <w:rFonts w:ascii="Arial"/>
                <w:strike/>
                <w:dstrike w:val="0"/>
                <w:color w:val="auto"/>
                <w:sz w:val="21"/>
                <w:highlight w:val="none"/>
              </w:rPr>
            </w:pPr>
          </w:p>
        </w:tc>
        <w:tc>
          <w:tcPr>
            <w:tcW w:w="750" w:type="dxa"/>
            <w:vAlign w:val="top"/>
          </w:tcPr>
          <w:p w14:paraId="0C7E43CF">
            <w:pPr>
              <w:rPr>
                <w:rFonts w:ascii="Arial"/>
                <w:strike/>
                <w:dstrike w:val="0"/>
                <w:color w:val="auto"/>
                <w:sz w:val="21"/>
                <w:highlight w:val="none"/>
              </w:rPr>
            </w:pPr>
          </w:p>
        </w:tc>
        <w:tc>
          <w:tcPr>
            <w:tcW w:w="704" w:type="dxa"/>
            <w:vAlign w:val="top"/>
          </w:tcPr>
          <w:p w14:paraId="0DF043F0">
            <w:pPr>
              <w:rPr>
                <w:rFonts w:ascii="Arial"/>
                <w:strike/>
                <w:dstrike w:val="0"/>
                <w:color w:val="auto"/>
                <w:sz w:val="21"/>
                <w:highlight w:val="none"/>
              </w:rPr>
            </w:pPr>
          </w:p>
        </w:tc>
        <w:tc>
          <w:tcPr>
            <w:tcW w:w="753" w:type="dxa"/>
            <w:vAlign w:val="top"/>
          </w:tcPr>
          <w:p w14:paraId="7B387582">
            <w:pPr>
              <w:rPr>
                <w:rFonts w:ascii="Arial"/>
                <w:strike/>
                <w:dstrike w:val="0"/>
                <w:color w:val="auto"/>
                <w:sz w:val="21"/>
                <w:highlight w:val="none"/>
              </w:rPr>
            </w:pPr>
          </w:p>
        </w:tc>
        <w:tc>
          <w:tcPr>
            <w:tcW w:w="1036" w:type="dxa"/>
            <w:vAlign w:val="top"/>
          </w:tcPr>
          <w:p w14:paraId="28B63078">
            <w:pPr>
              <w:rPr>
                <w:rFonts w:ascii="Arial"/>
                <w:strike/>
                <w:dstrike w:val="0"/>
                <w:color w:val="auto"/>
                <w:sz w:val="21"/>
                <w:highlight w:val="none"/>
              </w:rPr>
            </w:pPr>
          </w:p>
        </w:tc>
      </w:tr>
      <w:tr w14:paraId="6EC2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5F2DC0D0">
            <w:pPr>
              <w:rPr>
                <w:rFonts w:ascii="Arial"/>
                <w:strike/>
                <w:dstrike w:val="0"/>
                <w:color w:val="auto"/>
                <w:sz w:val="21"/>
                <w:highlight w:val="none"/>
              </w:rPr>
            </w:pPr>
          </w:p>
        </w:tc>
        <w:tc>
          <w:tcPr>
            <w:tcW w:w="1355" w:type="dxa"/>
            <w:vAlign w:val="top"/>
          </w:tcPr>
          <w:p w14:paraId="79BF8AC0">
            <w:pPr>
              <w:rPr>
                <w:rFonts w:ascii="Arial"/>
                <w:strike/>
                <w:dstrike w:val="0"/>
                <w:color w:val="auto"/>
                <w:sz w:val="21"/>
                <w:highlight w:val="none"/>
              </w:rPr>
            </w:pPr>
          </w:p>
        </w:tc>
        <w:tc>
          <w:tcPr>
            <w:tcW w:w="804" w:type="dxa"/>
            <w:vAlign w:val="top"/>
          </w:tcPr>
          <w:p w14:paraId="21A7916F">
            <w:pPr>
              <w:rPr>
                <w:rFonts w:ascii="Arial"/>
                <w:strike/>
                <w:dstrike w:val="0"/>
                <w:color w:val="auto"/>
                <w:sz w:val="21"/>
                <w:highlight w:val="none"/>
              </w:rPr>
            </w:pPr>
          </w:p>
        </w:tc>
        <w:tc>
          <w:tcPr>
            <w:tcW w:w="734" w:type="dxa"/>
            <w:vAlign w:val="top"/>
          </w:tcPr>
          <w:p w14:paraId="5A71190A">
            <w:pPr>
              <w:rPr>
                <w:rFonts w:ascii="Arial"/>
                <w:strike/>
                <w:dstrike w:val="0"/>
                <w:color w:val="auto"/>
                <w:sz w:val="21"/>
                <w:highlight w:val="none"/>
              </w:rPr>
            </w:pPr>
          </w:p>
        </w:tc>
        <w:tc>
          <w:tcPr>
            <w:tcW w:w="2444" w:type="dxa"/>
            <w:vAlign w:val="top"/>
          </w:tcPr>
          <w:p w14:paraId="56C94C80">
            <w:pPr>
              <w:rPr>
                <w:rFonts w:ascii="Arial"/>
                <w:strike/>
                <w:dstrike w:val="0"/>
                <w:color w:val="auto"/>
                <w:sz w:val="21"/>
                <w:highlight w:val="none"/>
              </w:rPr>
            </w:pPr>
          </w:p>
        </w:tc>
        <w:tc>
          <w:tcPr>
            <w:tcW w:w="750" w:type="dxa"/>
            <w:vAlign w:val="top"/>
          </w:tcPr>
          <w:p w14:paraId="5C0479E3">
            <w:pPr>
              <w:rPr>
                <w:rFonts w:ascii="Arial"/>
                <w:strike/>
                <w:dstrike w:val="0"/>
                <w:color w:val="auto"/>
                <w:sz w:val="21"/>
                <w:highlight w:val="none"/>
              </w:rPr>
            </w:pPr>
          </w:p>
        </w:tc>
        <w:tc>
          <w:tcPr>
            <w:tcW w:w="704" w:type="dxa"/>
            <w:vAlign w:val="top"/>
          </w:tcPr>
          <w:p w14:paraId="57C75753">
            <w:pPr>
              <w:rPr>
                <w:rFonts w:ascii="Arial"/>
                <w:strike/>
                <w:dstrike w:val="0"/>
                <w:color w:val="auto"/>
                <w:sz w:val="21"/>
                <w:highlight w:val="none"/>
              </w:rPr>
            </w:pPr>
          </w:p>
        </w:tc>
        <w:tc>
          <w:tcPr>
            <w:tcW w:w="753" w:type="dxa"/>
            <w:vAlign w:val="top"/>
          </w:tcPr>
          <w:p w14:paraId="5484E3EE">
            <w:pPr>
              <w:rPr>
                <w:rFonts w:ascii="Arial"/>
                <w:strike/>
                <w:dstrike w:val="0"/>
                <w:color w:val="auto"/>
                <w:sz w:val="21"/>
                <w:highlight w:val="none"/>
              </w:rPr>
            </w:pPr>
          </w:p>
        </w:tc>
        <w:tc>
          <w:tcPr>
            <w:tcW w:w="1036" w:type="dxa"/>
            <w:vAlign w:val="top"/>
          </w:tcPr>
          <w:p w14:paraId="08E802F4">
            <w:pPr>
              <w:rPr>
                <w:rFonts w:ascii="Arial"/>
                <w:strike/>
                <w:dstrike w:val="0"/>
                <w:color w:val="auto"/>
                <w:sz w:val="21"/>
                <w:highlight w:val="none"/>
              </w:rPr>
            </w:pPr>
          </w:p>
        </w:tc>
      </w:tr>
      <w:tr w14:paraId="731B5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1B254B58">
            <w:pPr>
              <w:rPr>
                <w:rFonts w:ascii="Arial"/>
                <w:strike/>
                <w:dstrike w:val="0"/>
                <w:color w:val="auto"/>
                <w:sz w:val="21"/>
                <w:highlight w:val="none"/>
              </w:rPr>
            </w:pPr>
          </w:p>
        </w:tc>
        <w:tc>
          <w:tcPr>
            <w:tcW w:w="1355" w:type="dxa"/>
            <w:vAlign w:val="top"/>
          </w:tcPr>
          <w:p w14:paraId="33E32730">
            <w:pPr>
              <w:rPr>
                <w:rFonts w:ascii="Arial"/>
                <w:strike/>
                <w:dstrike w:val="0"/>
                <w:color w:val="auto"/>
                <w:sz w:val="21"/>
                <w:highlight w:val="none"/>
              </w:rPr>
            </w:pPr>
          </w:p>
        </w:tc>
        <w:tc>
          <w:tcPr>
            <w:tcW w:w="804" w:type="dxa"/>
            <w:vAlign w:val="top"/>
          </w:tcPr>
          <w:p w14:paraId="649A7DC4">
            <w:pPr>
              <w:rPr>
                <w:rFonts w:ascii="Arial"/>
                <w:strike/>
                <w:dstrike w:val="0"/>
                <w:color w:val="auto"/>
                <w:sz w:val="21"/>
                <w:highlight w:val="none"/>
              </w:rPr>
            </w:pPr>
          </w:p>
        </w:tc>
        <w:tc>
          <w:tcPr>
            <w:tcW w:w="734" w:type="dxa"/>
            <w:vAlign w:val="top"/>
          </w:tcPr>
          <w:p w14:paraId="1CB812E1">
            <w:pPr>
              <w:rPr>
                <w:rFonts w:ascii="Arial"/>
                <w:strike/>
                <w:dstrike w:val="0"/>
                <w:color w:val="auto"/>
                <w:sz w:val="21"/>
                <w:highlight w:val="none"/>
              </w:rPr>
            </w:pPr>
          </w:p>
        </w:tc>
        <w:tc>
          <w:tcPr>
            <w:tcW w:w="2444" w:type="dxa"/>
            <w:vAlign w:val="top"/>
          </w:tcPr>
          <w:p w14:paraId="5DFEBFC0">
            <w:pPr>
              <w:rPr>
                <w:rFonts w:ascii="Arial"/>
                <w:strike/>
                <w:dstrike w:val="0"/>
                <w:color w:val="auto"/>
                <w:sz w:val="21"/>
                <w:highlight w:val="none"/>
              </w:rPr>
            </w:pPr>
          </w:p>
        </w:tc>
        <w:tc>
          <w:tcPr>
            <w:tcW w:w="750" w:type="dxa"/>
            <w:vAlign w:val="top"/>
          </w:tcPr>
          <w:p w14:paraId="09C0A9F7">
            <w:pPr>
              <w:rPr>
                <w:rFonts w:ascii="Arial"/>
                <w:strike/>
                <w:dstrike w:val="0"/>
                <w:color w:val="auto"/>
                <w:sz w:val="21"/>
                <w:highlight w:val="none"/>
              </w:rPr>
            </w:pPr>
          </w:p>
        </w:tc>
        <w:tc>
          <w:tcPr>
            <w:tcW w:w="704" w:type="dxa"/>
            <w:vAlign w:val="top"/>
          </w:tcPr>
          <w:p w14:paraId="53C967FB">
            <w:pPr>
              <w:rPr>
                <w:rFonts w:ascii="Arial"/>
                <w:strike/>
                <w:dstrike w:val="0"/>
                <w:color w:val="auto"/>
                <w:sz w:val="21"/>
                <w:highlight w:val="none"/>
              </w:rPr>
            </w:pPr>
          </w:p>
        </w:tc>
        <w:tc>
          <w:tcPr>
            <w:tcW w:w="753" w:type="dxa"/>
            <w:vAlign w:val="top"/>
          </w:tcPr>
          <w:p w14:paraId="27E6AED7">
            <w:pPr>
              <w:rPr>
                <w:rFonts w:ascii="Arial"/>
                <w:strike/>
                <w:dstrike w:val="0"/>
                <w:color w:val="auto"/>
                <w:sz w:val="21"/>
                <w:highlight w:val="none"/>
              </w:rPr>
            </w:pPr>
          </w:p>
        </w:tc>
        <w:tc>
          <w:tcPr>
            <w:tcW w:w="1036" w:type="dxa"/>
            <w:vAlign w:val="top"/>
          </w:tcPr>
          <w:p w14:paraId="3717D89D">
            <w:pPr>
              <w:rPr>
                <w:rFonts w:ascii="Arial"/>
                <w:strike/>
                <w:dstrike w:val="0"/>
                <w:color w:val="auto"/>
                <w:sz w:val="21"/>
                <w:highlight w:val="none"/>
              </w:rPr>
            </w:pPr>
          </w:p>
        </w:tc>
      </w:tr>
      <w:tr w14:paraId="3E7C1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5223DB6C">
            <w:pPr>
              <w:rPr>
                <w:rFonts w:ascii="Arial"/>
                <w:strike/>
                <w:dstrike w:val="0"/>
                <w:color w:val="auto"/>
                <w:sz w:val="21"/>
                <w:highlight w:val="none"/>
              </w:rPr>
            </w:pPr>
          </w:p>
        </w:tc>
        <w:tc>
          <w:tcPr>
            <w:tcW w:w="1355" w:type="dxa"/>
            <w:vAlign w:val="top"/>
          </w:tcPr>
          <w:p w14:paraId="1C10D3D6">
            <w:pPr>
              <w:rPr>
                <w:rFonts w:ascii="Arial"/>
                <w:strike/>
                <w:dstrike w:val="0"/>
                <w:color w:val="auto"/>
                <w:sz w:val="21"/>
                <w:highlight w:val="none"/>
              </w:rPr>
            </w:pPr>
          </w:p>
        </w:tc>
        <w:tc>
          <w:tcPr>
            <w:tcW w:w="804" w:type="dxa"/>
            <w:vAlign w:val="top"/>
          </w:tcPr>
          <w:p w14:paraId="5921F42F">
            <w:pPr>
              <w:rPr>
                <w:rFonts w:ascii="Arial"/>
                <w:strike/>
                <w:dstrike w:val="0"/>
                <w:color w:val="auto"/>
                <w:sz w:val="21"/>
                <w:highlight w:val="none"/>
              </w:rPr>
            </w:pPr>
          </w:p>
        </w:tc>
        <w:tc>
          <w:tcPr>
            <w:tcW w:w="734" w:type="dxa"/>
            <w:vAlign w:val="top"/>
          </w:tcPr>
          <w:p w14:paraId="6CFD3793">
            <w:pPr>
              <w:rPr>
                <w:rFonts w:ascii="Arial"/>
                <w:strike/>
                <w:dstrike w:val="0"/>
                <w:color w:val="auto"/>
                <w:sz w:val="21"/>
                <w:highlight w:val="none"/>
              </w:rPr>
            </w:pPr>
          </w:p>
        </w:tc>
        <w:tc>
          <w:tcPr>
            <w:tcW w:w="2444" w:type="dxa"/>
            <w:vAlign w:val="top"/>
          </w:tcPr>
          <w:p w14:paraId="6F5CE85D">
            <w:pPr>
              <w:rPr>
                <w:rFonts w:ascii="Arial"/>
                <w:strike/>
                <w:dstrike w:val="0"/>
                <w:color w:val="auto"/>
                <w:sz w:val="21"/>
                <w:highlight w:val="none"/>
              </w:rPr>
            </w:pPr>
          </w:p>
        </w:tc>
        <w:tc>
          <w:tcPr>
            <w:tcW w:w="750" w:type="dxa"/>
            <w:vAlign w:val="top"/>
          </w:tcPr>
          <w:p w14:paraId="37A8DA48">
            <w:pPr>
              <w:rPr>
                <w:rFonts w:ascii="Arial"/>
                <w:strike/>
                <w:dstrike w:val="0"/>
                <w:color w:val="auto"/>
                <w:sz w:val="21"/>
                <w:highlight w:val="none"/>
              </w:rPr>
            </w:pPr>
          </w:p>
        </w:tc>
        <w:tc>
          <w:tcPr>
            <w:tcW w:w="704" w:type="dxa"/>
            <w:vAlign w:val="top"/>
          </w:tcPr>
          <w:p w14:paraId="49B37FE0">
            <w:pPr>
              <w:rPr>
                <w:rFonts w:ascii="Arial"/>
                <w:strike/>
                <w:dstrike w:val="0"/>
                <w:color w:val="auto"/>
                <w:sz w:val="21"/>
                <w:highlight w:val="none"/>
              </w:rPr>
            </w:pPr>
          </w:p>
        </w:tc>
        <w:tc>
          <w:tcPr>
            <w:tcW w:w="753" w:type="dxa"/>
            <w:vAlign w:val="top"/>
          </w:tcPr>
          <w:p w14:paraId="5FE973CE">
            <w:pPr>
              <w:rPr>
                <w:rFonts w:ascii="Arial"/>
                <w:strike/>
                <w:dstrike w:val="0"/>
                <w:color w:val="auto"/>
                <w:sz w:val="21"/>
                <w:highlight w:val="none"/>
              </w:rPr>
            </w:pPr>
          </w:p>
        </w:tc>
        <w:tc>
          <w:tcPr>
            <w:tcW w:w="1036" w:type="dxa"/>
            <w:vAlign w:val="top"/>
          </w:tcPr>
          <w:p w14:paraId="6A70366E">
            <w:pPr>
              <w:rPr>
                <w:rFonts w:ascii="Arial"/>
                <w:strike/>
                <w:dstrike w:val="0"/>
                <w:color w:val="auto"/>
                <w:sz w:val="21"/>
                <w:highlight w:val="none"/>
              </w:rPr>
            </w:pPr>
          </w:p>
        </w:tc>
      </w:tr>
      <w:tr w14:paraId="3DFA8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16445AFA">
            <w:pPr>
              <w:rPr>
                <w:rFonts w:ascii="Arial"/>
                <w:strike/>
                <w:dstrike w:val="0"/>
                <w:color w:val="auto"/>
                <w:sz w:val="21"/>
                <w:highlight w:val="none"/>
              </w:rPr>
            </w:pPr>
          </w:p>
        </w:tc>
        <w:tc>
          <w:tcPr>
            <w:tcW w:w="1355" w:type="dxa"/>
            <w:vAlign w:val="top"/>
          </w:tcPr>
          <w:p w14:paraId="2252DA9E">
            <w:pPr>
              <w:rPr>
                <w:rFonts w:ascii="Arial"/>
                <w:strike/>
                <w:dstrike w:val="0"/>
                <w:color w:val="auto"/>
                <w:sz w:val="21"/>
                <w:highlight w:val="none"/>
              </w:rPr>
            </w:pPr>
          </w:p>
        </w:tc>
        <w:tc>
          <w:tcPr>
            <w:tcW w:w="804" w:type="dxa"/>
            <w:vAlign w:val="top"/>
          </w:tcPr>
          <w:p w14:paraId="32722EDD">
            <w:pPr>
              <w:rPr>
                <w:rFonts w:ascii="Arial"/>
                <w:strike/>
                <w:dstrike w:val="0"/>
                <w:color w:val="auto"/>
                <w:sz w:val="21"/>
                <w:highlight w:val="none"/>
              </w:rPr>
            </w:pPr>
          </w:p>
        </w:tc>
        <w:tc>
          <w:tcPr>
            <w:tcW w:w="734" w:type="dxa"/>
            <w:vAlign w:val="top"/>
          </w:tcPr>
          <w:p w14:paraId="373F2993">
            <w:pPr>
              <w:rPr>
                <w:rFonts w:ascii="Arial"/>
                <w:strike/>
                <w:dstrike w:val="0"/>
                <w:color w:val="auto"/>
                <w:sz w:val="21"/>
                <w:highlight w:val="none"/>
              </w:rPr>
            </w:pPr>
          </w:p>
        </w:tc>
        <w:tc>
          <w:tcPr>
            <w:tcW w:w="2444" w:type="dxa"/>
            <w:vAlign w:val="top"/>
          </w:tcPr>
          <w:p w14:paraId="063A524A">
            <w:pPr>
              <w:rPr>
                <w:rFonts w:ascii="Arial"/>
                <w:strike/>
                <w:dstrike w:val="0"/>
                <w:color w:val="auto"/>
                <w:sz w:val="21"/>
                <w:highlight w:val="none"/>
              </w:rPr>
            </w:pPr>
          </w:p>
        </w:tc>
        <w:tc>
          <w:tcPr>
            <w:tcW w:w="750" w:type="dxa"/>
            <w:vAlign w:val="top"/>
          </w:tcPr>
          <w:p w14:paraId="0A10DC90">
            <w:pPr>
              <w:rPr>
                <w:rFonts w:ascii="Arial"/>
                <w:strike/>
                <w:dstrike w:val="0"/>
                <w:color w:val="auto"/>
                <w:sz w:val="21"/>
                <w:highlight w:val="none"/>
              </w:rPr>
            </w:pPr>
          </w:p>
        </w:tc>
        <w:tc>
          <w:tcPr>
            <w:tcW w:w="704" w:type="dxa"/>
            <w:vAlign w:val="top"/>
          </w:tcPr>
          <w:p w14:paraId="5E318EAD">
            <w:pPr>
              <w:rPr>
                <w:rFonts w:ascii="Arial"/>
                <w:strike/>
                <w:dstrike w:val="0"/>
                <w:color w:val="auto"/>
                <w:sz w:val="21"/>
                <w:highlight w:val="none"/>
              </w:rPr>
            </w:pPr>
          </w:p>
        </w:tc>
        <w:tc>
          <w:tcPr>
            <w:tcW w:w="753" w:type="dxa"/>
            <w:vAlign w:val="top"/>
          </w:tcPr>
          <w:p w14:paraId="32286CEE">
            <w:pPr>
              <w:rPr>
                <w:rFonts w:ascii="Arial"/>
                <w:strike/>
                <w:dstrike w:val="0"/>
                <w:color w:val="auto"/>
                <w:sz w:val="21"/>
                <w:highlight w:val="none"/>
              </w:rPr>
            </w:pPr>
          </w:p>
        </w:tc>
        <w:tc>
          <w:tcPr>
            <w:tcW w:w="1036" w:type="dxa"/>
            <w:vAlign w:val="top"/>
          </w:tcPr>
          <w:p w14:paraId="55652B37">
            <w:pPr>
              <w:rPr>
                <w:rFonts w:ascii="Arial"/>
                <w:strike/>
                <w:dstrike w:val="0"/>
                <w:color w:val="auto"/>
                <w:sz w:val="21"/>
                <w:highlight w:val="none"/>
              </w:rPr>
            </w:pPr>
          </w:p>
        </w:tc>
      </w:tr>
      <w:tr w14:paraId="6BD08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45C92383">
            <w:pPr>
              <w:rPr>
                <w:rFonts w:ascii="Arial"/>
                <w:strike/>
                <w:dstrike w:val="0"/>
                <w:color w:val="auto"/>
                <w:sz w:val="21"/>
                <w:highlight w:val="none"/>
              </w:rPr>
            </w:pPr>
          </w:p>
        </w:tc>
        <w:tc>
          <w:tcPr>
            <w:tcW w:w="1355" w:type="dxa"/>
            <w:vAlign w:val="top"/>
          </w:tcPr>
          <w:p w14:paraId="5C8614C0">
            <w:pPr>
              <w:rPr>
                <w:rFonts w:ascii="Arial"/>
                <w:strike/>
                <w:dstrike w:val="0"/>
                <w:color w:val="auto"/>
                <w:sz w:val="21"/>
                <w:highlight w:val="none"/>
              </w:rPr>
            </w:pPr>
          </w:p>
        </w:tc>
        <w:tc>
          <w:tcPr>
            <w:tcW w:w="804" w:type="dxa"/>
            <w:vAlign w:val="top"/>
          </w:tcPr>
          <w:p w14:paraId="2A5AF66A">
            <w:pPr>
              <w:rPr>
                <w:rFonts w:ascii="Arial"/>
                <w:strike/>
                <w:dstrike w:val="0"/>
                <w:color w:val="auto"/>
                <w:sz w:val="21"/>
                <w:highlight w:val="none"/>
              </w:rPr>
            </w:pPr>
          </w:p>
        </w:tc>
        <w:tc>
          <w:tcPr>
            <w:tcW w:w="734" w:type="dxa"/>
            <w:vAlign w:val="top"/>
          </w:tcPr>
          <w:p w14:paraId="3A84D89E">
            <w:pPr>
              <w:rPr>
                <w:rFonts w:ascii="Arial"/>
                <w:strike/>
                <w:dstrike w:val="0"/>
                <w:color w:val="auto"/>
                <w:sz w:val="21"/>
                <w:highlight w:val="none"/>
              </w:rPr>
            </w:pPr>
          </w:p>
        </w:tc>
        <w:tc>
          <w:tcPr>
            <w:tcW w:w="2444" w:type="dxa"/>
            <w:vAlign w:val="top"/>
          </w:tcPr>
          <w:p w14:paraId="34FDCF6F">
            <w:pPr>
              <w:rPr>
                <w:rFonts w:ascii="Arial"/>
                <w:strike/>
                <w:dstrike w:val="0"/>
                <w:color w:val="auto"/>
                <w:sz w:val="21"/>
                <w:highlight w:val="none"/>
              </w:rPr>
            </w:pPr>
          </w:p>
        </w:tc>
        <w:tc>
          <w:tcPr>
            <w:tcW w:w="750" w:type="dxa"/>
            <w:vAlign w:val="top"/>
          </w:tcPr>
          <w:p w14:paraId="51EC56D0">
            <w:pPr>
              <w:rPr>
                <w:rFonts w:ascii="Arial"/>
                <w:strike/>
                <w:dstrike w:val="0"/>
                <w:color w:val="auto"/>
                <w:sz w:val="21"/>
                <w:highlight w:val="none"/>
              </w:rPr>
            </w:pPr>
          </w:p>
        </w:tc>
        <w:tc>
          <w:tcPr>
            <w:tcW w:w="704" w:type="dxa"/>
            <w:vAlign w:val="top"/>
          </w:tcPr>
          <w:p w14:paraId="56357A0B">
            <w:pPr>
              <w:rPr>
                <w:rFonts w:ascii="Arial"/>
                <w:strike/>
                <w:dstrike w:val="0"/>
                <w:color w:val="auto"/>
                <w:sz w:val="21"/>
                <w:highlight w:val="none"/>
              </w:rPr>
            </w:pPr>
          </w:p>
        </w:tc>
        <w:tc>
          <w:tcPr>
            <w:tcW w:w="753" w:type="dxa"/>
            <w:vAlign w:val="top"/>
          </w:tcPr>
          <w:p w14:paraId="26076940">
            <w:pPr>
              <w:rPr>
                <w:rFonts w:ascii="Arial"/>
                <w:strike/>
                <w:dstrike w:val="0"/>
                <w:color w:val="auto"/>
                <w:sz w:val="21"/>
                <w:highlight w:val="none"/>
              </w:rPr>
            </w:pPr>
          </w:p>
        </w:tc>
        <w:tc>
          <w:tcPr>
            <w:tcW w:w="1036" w:type="dxa"/>
            <w:vAlign w:val="top"/>
          </w:tcPr>
          <w:p w14:paraId="5CB06D61">
            <w:pPr>
              <w:rPr>
                <w:rFonts w:ascii="Arial"/>
                <w:strike/>
                <w:dstrike w:val="0"/>
                <w:color w:val="auto"/>
                <w:sz w:val="21"/>
                <w:highlight w:val="none"/>
              </w:rPr>
            </w:pPr>
          </w:p>
        </w:tc>
      </w:tr>
      <w:tr w14:paraId="2142D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05E44AD9">
            <w:pPr>
              <w:rPr>
                <w:rFonts w:ascii="Arial"/>
                <w:strike/>
                <w:dstrike w:val="0"/>
                <w:color w:val="auto"/>
                <w:sz w:val="21"/>
                <w:highlight w:val="none"/>
              </w:rPr>
            </w:pPr>
          </w:p>
        </w:tc>
        <w:tc>
          <w:tcPr>
            <w:tcW w:w="1355" w:type="dxa"/>
            <w:vAlign w:val="top"/>
          </w:tcPr>
          <w:p w14:paraId="7BFF4C74">
            <w:pPr>
              <w:rPr>
                <w:rFonts w:ascii="Arial"/>
                <w:strike/>
                <w:dstrike w:val="0"/>
                <w:color w:val="auto"/>
                <w:sz w:val="21"/>
                <w:highlight w:val="none"/>
              </w:rPr>
            </w:pPr>
          </w:p>
        </w:tc>
        <w:tc>
          <w:tcPr>
            <w:tcW w:w="804" w:type="dxa"/>
            <w:vAlign w:val="top"/>
          </w:tcPr>
          <w:p w14:paraId="73D0A733">
            <w:pPr>
              <w:rPr>
                <w:rFonts w:ascii="Arial"/>
                <w:strike/>
                <w:dstrike w:val="0"/>
                <w:color w:val="auto"/>
                <w:sz w:val="21"/>
                <w:highlight w:val="none"/>
              </w:rPr>
            </w:pPr>
          </w:p>
        </w:tc>
        <w:tc>
          <w:tcPr>
            <w:tcW w:w="734" w:type="dxa"/>
            <w:vAlign w:val="top"/>
          </w:tcPr>
          <w:p w14:paraId="6A3B5F7A">
            <w:pPr>
              <w:rPr>
                <w:rFonts w:ascii="Arial"/>
                <w:strike/>
                <w:dstrike w:val="0"/>
                <w:color w:val="auto"/>
                <w:sz w:val="21"/>
                <w:highlight w:val="none"/>
              </w:rPr>
            </w:pPr>
          </w:p>
        </w:tc>
        <w:tc>
          <w:tcPr>
            <w:tcW w:w="2444" w:type="dxa"/>
            <w:vAlign w:val="top"/>
          </w:tcPr>
          <w:p w14:paraId="464FC195">
            <w:pPr>
              <w:rPr>
                <w:rFonts w:ascii="Arial"/>
                <w:strike/>
                <w:dstrike w:val="0"/>
                <w:color w:val="auto"/>
                <w:sz w:val="21"/>
                <w:highlight w:val="none"/>
              </w:rPr>
            </w:pPr>
          </w:p>
        </w:tc>
        <w:tc>
          <w:tcPr>
            <w:tcW w:w="750" w:type="dxa"/>
            <w:vAlign w:val="top"/>
          </w:tcPr>
          <w:p w14:paraId="0F16894C">
            <w:pPr>
              <w:rPr>
                <w:rFonts w:ascii="Arial"/>
                <w:strike/>
                <w:dstrike w:val="0"/>
                <w:color w:val="auto"/>
                <w:sz w:val="21"/>
                <w:highlight w:val="none"/>
              </w:rPr>
            </w:pPr>
          </w:p>
        </w:tc>
        <w:tc>
          <w:tcPr>
            <w:tcW w:w="704" w:type="dxa"/>
            <w:vAlign w:val="top"/>
          </w:tcPr>
          <w:p w14:paraId="2C3FFF44">
            <w:pPr>
              <w:rPr>
                <w:rFonts w:ascii="Arial"/>
                <w:strike/>
                <w:dstrike w:val="0"/>
                <w:color w:val="auto"/>
                <w:sz w:val="21"/>
                <w:highlight w:val="none"/>
              </w:rPr>
            </w:pPr>
          </w:p>
        </w:tc>
        <w:tc>
          <w:tcPr>
            <w:tcW w:w="753" w:type="dxa"/>
            <w:vAlign w:val="top"/>
          </w:tcPr>
          <w:p w14:paraId="233680CF">
            <w:pPr>
              <w:rPr>
                <w:rFonts w:ascii="Arial"/>
                <w:strike/>
                <w:dstrike w:val="0"/>
                <w:color w:val="auto"/>
                <w:sz w:val="21"/>
                <w:highlight w:val="none"/>
              </w:rPr>
            </w:pPr>
          </w:p>
        </w:tc>
        <w:tc>
          <w:tcPr>
            <w:tcW w:w="1036" w:type="dxa"/>
            <w:vAlign w:val="top"/>
          </w:tcPr>
          <w:p w14:paraId="1E7E8006">
            <w:pPr>
              <w:rPr>
                <w:rFonts w:ascii="Arial"/>
                <w:strike/>
                <w:dstrike w:val="0"/>
                <w:color w:val="auto"/>
                <w:sz w:val="21"/>
                <w:highlight w:val="none"/>
              </w:rPr>
            </w:pPr>
          </w:p>
        </w:tc>
      </w:tr>
      <w:tr w14:paraId="57E81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6A46B5D7">
            <w:pPr>
              <w:rPr>
                <w:rFonts w:ascii="Arial"/>
                <w:strike/>
                <w:dstrike w:val="0"/>
                <w:color w:val="auto"/>
                <w:sz w:val="21"/>
                <w:highlight w:val="none"/>
              </w:rPr>
            </w:pPr>
          </w:p>
        </w:tc>
        <w:tc>
          <w:tcPr>
            <w:tcW w:w="1355" w:type="dxa"/>
            <w:vAlign w:val="top"/>
          </w:tcPr>
          <w:p w14:paraId="63C92E2D">
            <w:pPr>
              <w:rPr>
                <w:rFonts w:ascii="Arial"/>
                <w:strike/>
                <w:dstrike w:val="0"/>
                <w:color w:val="auto"/>
                <w:sz w:val="21"/>
                <w:highlight w:val="none"/>
              </w:rPr>
            </w:pPr>
          </w:p>
        </w:tc>
        <w:tc>
          <w:tcPr>
            <w:tcW w:w="804" w:type="dxa"/>
            <w:vAlign w:val="top"/>
          </w:tcPr>
          <w:p w14:paraId="291EB551">
            <w:pPr>
              <w:rPr>
                <w:rFonts w:ascii="Arial"/>
                <w:strike/>
                <w:dstrike w:val="0"/>
                <w:color w:val="auto"/>
                <w:sz w:val="21"/>
                <w:highlight w:val="none"/>
              </w:rPr>
            </w:pPr>
          </w:p>
        </w:tc>
        <w:tc>
          <w:tcPr>
            <w:tcW w:w="734" w:type="dxa"/>
            <w:vAlign w:val="top"/>
          </w:tcPr>
          <w:p w14:paraId="7DEB9374">
            <w:pPr>
              <w:rPr>
                <w:rFonts w:ascii="Arial"/>
                <w:strike/>
                <w:dstrike w:val="0"/>
                <w:color w:val="auto"/>
                <w:sz w:val="21"/>
                <w:highlight w:val="none"/>
              </w:rPr>
            </w:pPr>
          </w:p>
        </w:tc>
        <w:tc>
          <w:tcPr>
            <w:tcW w:w="2444" w:type="dxa"/>
            <w:vAlign w:val="top"/>
          </w:tcPr>
          <w:p w14:paraId="40DAC099">
            <w:pPr>
              <w:rPr>
                <w:rFonts w:ascii="Arial"/>
                <w:strike/>
                <w:dstrike w:val="0"/>
                <w:color w:val="auto"/>
                <w:sz w:val="21"/>
                <w:highlight w:val="none"/>
              </w:rPr>
            </w:pPr>
          </w:p>
        </w:tc>
        <w:tc>
          <w:tcPr>
            <w:tcW w:w="750" w:type="dxa"/>
            <w:vAlign w:val="top"/>
          </w:tcPr>
          <w:p w14:paraId="494E4D30">
            <w:pPr>
              <w:rPr>
                <w:rFonts w:ascii="Arial"/>
                <w:strike/>
                <w:dstrike w:val="0"/>
                <w:color w:val="auto"/>
                <w:sz w:val="21"/>
                <w:highlight w:val="none"/>
              </w:rPr>
            </w:pPr>
          </w:p>
        </w:tc>
        <w:tc>
          <w:tcPr>
            <w:tcW w:w="704" w:type="dxa"/>
            <w:vAlign w:val="top"/>
          </w:tcPr>
          <w:p w14:paraId="327A02BE">
            <w:pPr>
              <w:rPr>
                <w:rFonts w:ascii="Arial"/>
                <w:strike/>
                <w:dstrike w:val="0"/>
                <w:color w:val="auto"/>
                <w:sz w:val="21"/>
                <w:highlight w:val="none"/>
              </w:rPr>
            </w:pPr>
          </w:p>
        </w:tc>
        <w:tc>
          <w:tcPr>
            <w:tcW w:w="753" w:type="dxa"/>
            <w:vAlign w:val="top"/>
          </w:tcPr>
          <w:p w14:paraId="763EA4B2">
            <w:pPr>
              <w:rPr>
                <w:rFonts w:ascii="Arial"/>
                <w:strike/>
                <w:dstrike w:val="0"/>
                <w:color w:val="auto"/>
                <w:sz w:val="21"/>
                <w:highlight w:val="none"/>
              </w:rPr>
            </w:pPr>
          </w:p>
        </w:tc>
        <w:tc>
          <w:tcPr>
            <w:tcW w:w="1036" w:type="dxa"/>
            <w:vAlign w:val="top"/>
          </w:tcPr>
          <w:p w14:paraId="2D024AF2">
            <w:pPr>
              <w:rPr>
                <w:rFonts w:ascii="Arial"/>
                <w:strike/>
                <w:dstrike w:val="0"/>
                <w:color w:val="auto"/>
                <w:sz w:val="21"/>
                <w:highlight w:val="none"/>
              </w:rPr>
            </w:pPr>
          </w:p>
        </w:tc>
      </w:tr>
      <w:tr w14:paraId="00D3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34AD6BDE">
            <w:pPr>
              <w:rPr>
                <w:rFonts w:ascii="Arial"/>
                <w:strike/>
                <w:dstrike w:val="0"/>
                <w:color w:val="auto"/>
                <w:sz w:val="21"/>
                <w:highlight w:val="none"/>
              </w:rPr>
            </w:pPr>
          </w:p>
        </w:tc>
        <w:tc>
          <w:tcPr>
            <w:tcW w:w="1355" w:type="dxa"/>
            <w:vAlign w:val="top"/>
          </w:tcPr>
          <w:p w14:paraId="6F6DFF66">
            <w:pPr>
              <w:rPr>
                <w:rFonts w:ascii="Arial"/>
                <w:strike/>
                <w:dstrike w:val="0"/>
                <w:color w:val="auto"/>
                <w:sz w:val="21"/>
                <w:highlight w:val="none"/>
              </w:rPr>
            </w:pPr>
          </w:p>
        </w:tc>
        <w:tc>
          <w:tcPr>
            <w:tcW w:w="804" w:type="dxa"/>
            <w:vAlign w:val="top"/>
          </w:tcPr>
          <w:p w14:paraId="5EDA2F72">
            <w:pPr>
              <w:rPr>
                <w:rFonts w:ascii="Arial"/>
                <w:strike/>
                <w:dstrike w:val="0"/>
                <w:color w:val="auto"/>
                <w:sz w:val="21"/>
                <w:highlight w:val="none"/>
              </w:rPr>
            </w:pPr>
          </w:p>
        </w:tc>
        <w:tc>
          <w:tcPr>
            <w:tcW w:w="734" w:type="dxa"/>
            <w:vAlign w:val="top"/>
          </w:tcPr>
          <w:p w14:paraId="1793065E">
            <w:pPr>
              <w:rPr>
                <w:rFonts w:ascii="Arial"/>
                <w:strike/>
                <w:dstrike w:val="0"/>
                <w:color w:val="auto"/>
                <w:sz w:val="21"/>
                <w:highlight w:val="none"/>
              </w:rPr>
            </w:pPr>
          </w:p>
        </w:tc>
        <w:tc>
          <w:tcPr>
            <w:tcW w:w="2444" w:type="dxa"/>
            <w:vAlign w:val="top"/>
          </w:tcPr>
          <w:p w14:paraId="2971852C">
            <w:pPr>
              <w:rPr>
                <w:rFonts w:ascii="Arial"/>
                <w:strike/>
                <w:dstrike w:val="0"/>
                <w:color w:val="auto"/>
                <w:sz w:val="21"/>
                <w:highlight w:val="none"/>
              </w:rPr>
            </w:pPr>
          </w:p>
        </w:tc>
        <w:tc>
          <w:tcPr>
            <w:tcW w:w="750" w:type="dxa"/>
            <w:vAlign w:val="top"/>
          </w:tcPr>
          <w:p w14:paraId="29494986">
            <w:pPr>
              <w:rPr>
                <w:rFonts w:ascii="Arial"/>
                <w:strike/>
                <w:dstrike w:val="0"/>
                <w:color w:val="auto"/>
                <w:sz w:val="21"/>
                <w:highlight w:val="none"/>
              </w:rPr>
            </w:pPr>
          </w:p>
        </w:tc>
        <w:tc>
          <w:tcPr>
            <w:tcW w:w="704" w:type="dxa"/>
            <w:vAlign w:val="top"/>
          </w:tcPr>
          <w:p w14:paraId="5F5A8CCF">
            <w:pPr>
              <w:rPr>
                <w:rFonts w:ascii="Arial"/>
                <w:strike/>
                <w:dstrike w:val="0"/>
                <w:color w:val="auto"/>
                <w:sz w:val="21"/>
                <w:highlight w:val="none"/>
              </w:rPr>
            </w:pPr>
          </w:p>
        </w:tc>
        <w:tc>
          <w:tcPr>
            <w:tcW w:w="753" w:type="dxa"/>
            <w:vAlign w:val="top"/>
          </w:tcPr>
          <w:p w14:paraId="0A506E2D">
            <w:pPr>
              <w:rPr>
                <w:rFonts w:ascii="Arial"/>
                <w:strike/>
                <w:dstrike w:val="0"/>
                <w:color w:val="auto"/>
                <w:sz w:val="21"/>
                <w:highlight w:val="none"/>
              </w:rPr>
            </w:pPr>
          </w:p>
        </w:tc>
        <w:tc>
          <w:tcPr>
            <w:tcW w:w="1036" w:type="dxa"/>
            <w:vAlign w:val="top"/>
          </w:tcPr>
          <w:p w14:paraId="27BF7BB3">
            <w:pPr>
              <w:rPr>
                <w:rFonts w:ascii="Arial"/>
                <w:strike/>
                <w:dstrike w:val="0"/>
                <w:color w:val="auto"/>
                <w:sz w:val="21"/>
                <w:highlight w:val="none"/>
              </w:rPr>
            </w:pPr>
          </w:p>
        </w:tc>
      </w:tr>
      <w:tr w14:paraId="4F03A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3175373E">
            <w:pPr>
              <w:rPr>
                <w:rFonts w:ascii="Arial"/>
                <w:strike/>
                <w:dstrike w:val="0"/>
                <w:color w:val="auto"/>
                <w:sz w:val="21"/>
                <w:highlight w:val="none"/>
              </w:rPr>
            </w:pPr>
          </w:p>
        </w:tc>
        <w:tc>
          <w:tcPr>
            <w:tcW w:w="1355" w:type="dxa"/>
            <w:vAlign w:val="top"/>
          </w:tcPr>
          <w:p w14:paraId="054C9767">
            <w:pPr>
              <w:rPr>
                <w:rFonts w:ascii="Arial"/>
                <w:strike/>
                <w:dstrike w:val="0"/>
                <w:color w:val="auto"/>
                <w:sz w:val="21"/>
                <w:highlight w:val="none"/>
              </w:rPr>
            </w:pPr>
          </w:p>
        </w:tc>
        <w:tc>
          <w:tcPr>
            <w:tcW w:w="804" w:type="dxa"/>
            <w:vAlign w:val="top"/>
          </w:tcPr>
          <w:p w14:paraId="610A6ECA">
            <w:pPr>
              <w:rPr>
                <w:rFonts w:ascii="Arial"/>
                <w:strike/>
                <w:dstrike w:val="0"/>
                <w:color w:val="auto"/>
                <w:sz w:val="21"/>
                <w:highlight w:val="none"/>
              </w:rPr>
            </w:pPr>
          </w:p>
        </w:tc>
        <w:tc>
          <w:tcPr>
            <w:tcW w:w="734" w:type="dxa"/>
            <w:vAlign w:val="top"/>
          </w:tcPr>
          <w:p w14:paraId="0FDA0169">
            <w:pPr>
              <w:rPr>
                <w:rFonts w:ascii="Arial"/>
                <w:strike/>
                <w:dstrike w:val="0"/>
                <w:color w:val="auto"/>
                <w:sz w:val="21"/>
                <w:highlight w:val="none"/>
              </w:rPr>
            </w:pPr>
          </w:p>
        </w:tc>
        <w:tc>
          <w:tcPr>
            <w:tcW w:w="2444" w:type="dxa"/>
            <w:vAlign w:val="top"/>
          </w:tcPr>
          <w:p w14:paraId="4D531BF0">
            <w:pPr>
              <w:rPr>
                <w:rFonts w:ascii="Arial"/>
                <w:strike/>
                <w:dstrike w:val="0"/>
                <w:color w:val="auto"/>
                <w:sz w:val="21"/>
                <w:highlight w:val="none"/>
              </w:rPr>
            </w:pPr>
          </w:p>
        </w:tc>
        <w:tc>
          <w:tcPr>
            <w:tcW w:w="750" w:type="dxa"/>
            <w:vAlign w:val="top"/>
          </w:tcPr>
          <w:p w14:paraId="71573532">
            <w:pPr>
              <w:rPr>
                <w:rFonts w:ascii="Arial"/>
                <w:strike/>
                <w:dstrike w:val="0"/>
                <w:color w:val="auto"/>
                <w:sz w:val="21"/>
                <w:highlight w:val="none"/>
              </w:rPr>
            </w:pPr>
          </w:p>
        </w:tc>
        <w:tc>
          <w:tcPr>
            <w:tcW w:w="704" w:type="dxa"/>
            <w:vAlign w:val="top"/>
          </w:tcPr>
          <w:p w14:paraId="227032C3">
            <w:pPr>
              <w:rPr>
                <w:rFonts w:ascii="Arial"/>
                <w:strike/>
                <w:dstrike w:val="0"/>
                <w:color w:val="auto"/>
                <w:sz w:val="21"/>
                <w:highlight w:val="none"/>
              </w:rPr>
            </w:pPr>
          </w:p>
        </w:tc>
        <w:tc>
          <w:tcPr>
            <w:tcW w:w="753" w:type="dxa"/>
            <w:vAlign w:val="top"/>
          </w:tcPr>
          <w:p w14:paraId="55E0618A">
            <w:pPr>
              <w:rPr>
                <w:rFonts w:ascii="Arial"/>
                <w:strike/>
                <w:dstrike w:val="0"/>
                <w:color w:val="auto"/>
                <w:sz w:val="21"/>
                <w:highlight w:val="none"/>
              </w:rPr>
            </w:pPr>
          </w:p>
        </w:tc>
        <w:tc>
          <w:tcPr>
            <w:tcW w:w="1036" w:type="dxa"/>
            <w:vAlign w:val="top"/>
          </w:tcPr>
          <w:p w14:paraId="105AF47D">
            <w:pPr>
              <w:rPr>
                <w:rFonts w:ascii="Arial"/>
                <w:strike/>
                <w:dstrike w:val="0"/>
                <w:color w:val="auto"/>
                <w:sz w:val="21"/>
                <w:highlight w:val="none"/>
              </w:rPr>
            </w:pPr>
          </w:p>
        </w:tc>
      </w:tr>
      <w:tr w14:paraId="2F410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BF39480">
            <w:pPr>
              <w:rPr>
                <w:rFonts w:ascii="Arial"/>
                <w:strike/>
                <w:dstrike w:val="0"/>
                <w:color w:val="auto"/>
                <w:sz w:val="21"/>
                <w:highlight w:val="none"/>
              </w:rPr>
            </w:pPr>
          </w:p>
        </w:tc>
        <w:tc>
          <w:tcPr>
            <w:tcW w:w="1355" w:type="dxa"/>
            <w:vAlign w:val="top"/>
          </w:tcPr>
          <w:p w14:paraId="1A3C563A">
            <w:pPr>
              <w:rPr>
                <w:rFonts w:ascii="Arial"/>
                <w:strike/>
                <w:dstrike w:val="0"/>
                <w:color w:val="auto"/>
                <w:sz w:val="21"/>
                <w:highlight w:val="none"/>
              </w:rPr>
            </w:pPr>
          </w:p>
        </w:tc>
        <w:tc>
          <w:tcPr>
            <w:tcW w:w="804" w:type="dxa"/>
            <w:vAlign w:val="top"/>
          </w:tcPr>
          <w:p w14:paraId="35B70E5E">
            <w:pPr>
              <w:rPr>
                <w:rFonts w:ascii="Arial"/>
                <w:strike/>
                <w:dstrike w:val="0"/>
                <w:color w:val="auto"/>
                <w:sz w:val="21"/>
                <w:highlight w:val="none"/>
              </w:rPr>
            </w:pPr>
          </w:p>
        </w:tc>
        <w:tc>
          <w:tcPr>
            <w:tcW w:w="734" w:type="dxa"/>
            <w:vAlign w:val="top"/>
          </w:tcPr>
          <w:p w14:paraId="5AF14DE0">
            <w:pPr>
              <w:rPr>
                <w:rFonts w:ascii="Arial"/>
                <w:strike/>
                <w:dstrike w:val="0"/>
                <w:color w:val="auto"/>
                <w:sz w:val="21"/>
                <w:highlight w:val="none"/>
              </w:rPr>
            </w:pPr>
          </w:p>
        </w:tc>
        <w:tc>
          <w:tcPr>
            <w:tcW w:w="2444" w:type="dxa"/>
            <w:vAlign w:val="top"/>
          </w:tcPr>
          <w:p w14:paraId="717F4237">
            <w:pPr>
              <w:rPr>
                <w:rFonts w:ascii="Arial"/>
                <w:strike/>
                <w:dstrike w:val="0"/>
                <w:color w:val="auto"/>
                <w:sz w:val="21"/>
                <w:highlight w:val="none"/>
              </w:rPr>
            </w:pPr>
          </w:p>
        </w:tc>
        <w:tc>
          <w:tcPr>
            <w:tcW w:w="750" w:type="dxa"/>
            <w:vAlign w:val="top"/>
          </w:tcPr>
          <w:p w14:paraId="76234DB9">
            <w:pPr>
              <w:rPr>
                <w:rFonts w:ascii="Arial"/>
                <w:strike/>
                <w:dstrike w:val="0"/>
                <w:color w:val="auto"/>
                <w:sz w:val="21"/>
                <w:highlight w:val="none"/>
              </w:rPr>
            </w:pPr>
          </w:p>
        </w:tc>
        <w:tc>
          <w:tcPr>
            <w:tcW w:w="704" w:type="dxa"/>
            <w:vAlign w:val="top"/>
          </w:tcPr>
          <w:p w14:paraId="1AE6A375">
            <w:pPr>
              <w:rPr>
                <w:rFonts w:ascii="Arial"/>
                <w:strike/>
                <w:dstrike w:val="0"/>
                <w:color w:val="auto"/>
                <w:sz w:val="21"/>
                <w:highlight w:val="none"/>
              </w:rPr>
            </w:pPr>
          </w:p>
        </w:tc>
        <w:tc>
          <w:tcPr>
            <w:tcW w:w="753" w:type="dxa"/>
            <w:vAlign w:val="top"/>
          </w:tcPr>
          <w:p w14:paraId="73445514">
            <w:pPr>
              <w:rPr>
                <w:rFonts w:ascii="Arial"/>
                <w:strike/>
                <w:dstrike w:val="0"/>
                <w:color w:val="auto"/>
                <w:sz w:val="21"/>
                <w:highlight w:val="none"/>
              </w:rPr>
            </w:pPr>
          </w:p>
        </w:tc>
        <w:tc>
          <w:tcPr>
            <w:tcW w:w="1036" w:type="dxa"/>
            <w:vAlign w:val="top"/>
          </w:tcPr>
          <w:p w14:paraId="1C4799CC">
            <w:pPr>
              <w:rPr>
                <w:rFonts w:ascii="Arial"/>
                <w:strike/>
                <w:dstrike w:val="0"/>
                <w:color w:val="auto"/>
                <w:sz w:val="21"/>
                <w:highlight w:val="none"/>
              </w:rPr>
            </w:pPr>
          </w:p>
        </w:tc>
      </w:tr>
      <w:tr w14:paraId="4BAB7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2" w:type="dxa"/>
            <w:vAlign w:val="top"/>
          </w:tcPr>
          <w:p w14:paraId="79F8D791">
            <w:pPr>
              <w:rPr>
                <w:rFonts w:ascii="Arial"/>
                <w:strike/>
                <w:dstrike w:val="0"/>
                <w:color w:val="auto"/>
                <w:sz w:val="21"/>
                <w:highlight w:val="none"/>
              </w:rPr>
            </w:pPr>
          </w:p>
        </w:tc>
        <w:tc>
          <w:tcPr>
            <w:tcW w:w="1355" w:type="dxa"/>
            <w:vAlign w:val="top"/>
          </w:tcPr>
          <w:p w14:paraId="173CB8A6">
            <w:pPr>
              <w:rPr>
                <w:rFonts w:ascii="Arial"/>
                <w:strike/>
                <w:dstrike w:val="0"/>
                <w:color w:val="auto"/>
                <w:sz w:val="21"/>
                <w:highlight w:val="none"/>
              </w:rPr>
            </w:pPr>
          </w:p>
        </w:tc>
        <w:tc>
          <w:tcPr>
            <w:tcW w:w="804" w:type="dxa"/>
            <w:vAlign w:val="top"/>
          </w:tcPr>
          <w:p w14:paraId="3C20C497">
            <w:pPr>
              <w:rPr>
                <w:rFonts w:ascii="Arial"/>
                <w:strike/>
                <w:dstrike w:val="0"/>
                <w:color w:val="auto"/>
                <w:sz w:val="21"/>
                <w:highlight w:val="none"/>
              </w:rPr>
            </w:pPr>
          </w:p>
        </w:tc>
        <w:tc>
          <w:tcPr>
            <w:tcW w:w="734" w:type="dxa"/>
            <w:vAlign w:val="top"/>
          </w:tcPr>
          <w:p w14:paraId="25F99169">
            <w:pPr>
              <w:rPr>
                <w:rFonts w:ascii="Arial"/>
                <w:strike/>
                <w:dstrike w:val="0"/>
                <w:color w:val="auto"/>
                <w:sz w:val="21"/>
                <w:highlight w:val="none"/>
              </w:rPr>
            </w:pPr>
          </w:p>
        </w:tc>
        <w:tc>
          <w:tcPr>
            <w:tcW w:w="2444" w:type="dxa"/>
            <w:vAlign w:val="top"/>
          </w:tcPr>
          <w:p w14:paraId="0971E282">
            <w:pPr>
              <w:rPr>
                <w:rFonts w:ascii="Arial"/>
                <w:strike/>
                <w:dstrike w:val="0"/>
                <w:color w:val="auto"/>
                <w:sz w:val="21"/>
                <w:highlight w:val="none"/>
              </w:rPr>
            </w:pPr>
          </w:p>
        </w:tc>
        <w:tc>
          <w:tcPr>
            <w:tcW w:w="750" w:type="dxa"/>
            <w:vAlign w:val="top"/>
          </w:tcPr>
          <w:p w14:paraId="0B618BC9">
            <w:pPr>
              <w:rPr>
                <w:rFonts w:ascii="Arial"/>
                <w:strike/>
                <w:dstrike w:val="0"/>
                <w:color w:val="auto"/>
                <w:sz w:val="21"/>
                <w:highlight w:val="none"/>
              </w:rPr>
            </w:pPr>
          </w:p>
        </w:tc>
        <w:tc>
          <w:tcPr>
            <w:tcW w:w="704" w:type="dxa"/>
            <w:vAlign w:val="top"/>
          </w:tcPr>
          <w:p w14:paraId="40A8B695">
            <w:pPr>
              <w:rPr>
                <w:rFonts w:ascii="Arial"/>
                <w:strike/>
                <w:dstrike w:val="0"/>
                <w:color w:val="auto"/>
                <w:sz w:val="21"/>
                <w:highlight w:val="none"/>
              </w:rPr>
            </w:pPr>
          </w:p>
        </w:tc>
        <w:tc>
          <w:tcPr>
            <w:tcW w:w="753" w:type="dxa"/>
            <w:vAlign w:val="top"/>
          </w:tcPr>
          <w:p w14:paraId="4F6B3BAF">
            <w:pPr>
              <w:rPr>
                <w:rFonts w:ascii="Arial"/>
                <w:strike/>
                <w:dstrike w:val="0"/>
                <w:color w:val="auto"/>
                <w:sz w:val="21"/>
                <w:highlight w:val="none"/>
              </w:rPr>
            </w:pPr>
          </w:p>
        </w:tc>
        <w:tc>
          <w:tcPr>
            <w:tcW w:w="1036" w:type="dxa"/>
            <w:vAlign w:val="top"/>
          </w:tcPr>
          <w:p w14:paraId="51A5E609">
            <w:pPr>
              <w:rPr>
                <w:rFonts w:ascii="Arial"/>
                <w:strike/>
                <w:dstrike w:val="0"/>
                <w:color w:val="auto"/>
                <w:sz w:val="21"/>
                <w:highlight w:val="none"/>
              </w:rPr>
            </w:pPr>
          </w:p>
        </w:tc>
      </w:tr>
    </w:tbl>
    <w:p w14:paraId="2EC20E79">
      <w:pPr>
        <w:pStyle w:val="3"/>
        <w:rPr>
          <w:strike/>
          <w:dstrike w:val="0"/>
          <w:color w:val="auto"/>
          <w:highlight w:val="none"/>
        </w:rPr>
      </w:pPr>
    </w:p>
    <w:p w14:paraId="6405ABC4">
      <w:pPr>
        <w:pStyle w:val="3"/>
        <w:rPr>
          <w:strike/>
          <w:dstrike w:val="0"/>
          <w:color w:val="auto"/>
          <w:highlight w:val="none"/>
        </w:rPr>
      </w:pPr>
    </w:p>
    <w:p w14:paraId="2DE8D434">
      <w:pPr>
        <w:pStyle w:val="3"/>
        <w:rPr>
          <w:strike/>
          <w:dstrike w:val="0"/>
          <w:color w:val="auto"/>
          <w:highlight w:val="none"/>
        </w:rPr>
      </w:pPr>
    </w:p>
    <w:p w14:paraId="11F19B52">
      <w:pPr>
        <w:pStyle w:val="3"/>
        <w:rPr>
          <w:strike/>
          <w:dstrike w:val="0"/>
          <w:color w:val="auto"/>
          <w:highlight w:val="none"/>
        </w:rPr>
      </w:pPr>
    </w:p>
    <w:p w14:paraId="0AE3C7DF">
      <w:pPr>
        <w:pStyle w:val="3"/>
        <w:rPr>
          <w:strike/>
          <w:dstrike w:val="0"/>
          <w:color w:val="auto"/>
          <w:highlight w:val="none"/>
        </w:rPr>
      </w:pPr>
    </w:p>
    <w:p w14:paraId="2B8FBD13">
      <w:pPr>
        <w:pStyle w:val="3"/>
        <w:rPr>
          <w:strike/>
          <w:dstrike w:val="0"/>
          <w:color w:val="auto"/>
          <w:highlight w:val="none"/>
        </w:rPr>
      </w:pPr>
    </w:p>
    <w:p w14:paraId="4A9C19D9">
      <w:pPr>
        <w:pStyle w:val="3"/>
        <w:rPr>
          <w:strike/>
          <w:dstrike w:val="0"/>
          <w:color w:val="auto"/>
          <w:highlight w:val="none"/>
        </w:rPr>
      </w:pPr>
    </w:p>
    <w:p w14:paraId="46DBAB44">
      <w:pPr>
        <w:pStyle w:val="3"/>
        <w:rPr>
          <w:strike/>
          <w:dstrike w:val="0"/>
          <w:color w:val="auto"/>
          <w:highlight w:val="none"/>
        </w:rPr>
      </w:pPr>
    </w:p>
    <w:p w14:paraId="292D83EE">
      <w:pPr>
        <w:pStyle w:val="3"/>
        <w:rPr>
          <w:strike/>
          <w:dstrike w:val="0"/>
          <w:color w:val="auto"/>
          <w:highlight w:val="none"/>
        </w:rPr>
      </w:pPr>
    </w:p>
    <w:p w14:paraId="7BF39A4B">
      <w:pPr>
        <w:pStyle w:val="3"/>
        <w:rPr>
          <w:strike/>
          <w:dstrike w:val="0"/>
          <w:color w:val="auto"/>
          <w:highlight w:val="none"/>
        </w:rPr>
      </w:pPr>
    </w:p>
    <w:p w14:paraId="689BF4B0">
      <w:pPr>
        <w:pStyle w:val="3"/>
        <w:rPr>
          <w:strike/>
          <w:dstrike w:val="0"/>
          <w:color w:val="auto"/>
          <w:highlight w:val="none"/>
        </w:rPr>
      </w:pPr>
    </w:p>
    <w:p w14:paraId="47B1227D">
      <w:pPr>
        <w:pStyle w:val="3"/>
        <w:rPr>
          <w:strike/>
          <w:dstrike w:val="0"/>
          <w:color w:val="auto"/>
          <w:highlight w:val="none"/>
        </w:rPr>
      </w:pPr>
    </w:p>
    <w:p w14:paraId="1DF285EF">
      <w:pPr>
        <w:pStyle w:val="3"/>
        <w:rPr>
          <w:strike/>
          <w:dstrike w:val="0"/>
          <w:color w:val="auto"/>
          <w:highlight w:val="none"/>
        </w:rPr>
      </w:pPr>
    </w:p>
    <w:p w14:paraId="4D2E8F5D">
      <w:pPr>
        <w:pStyle w:val="3"/>
        <w:rPr>
          <w:strike/>
          <w:dstrike w:val="0"/>
          <w:color w:val="auto"/>
          <w:highlight w:val="none"/>
        </w:rPr>
      </w:pPr>
    </w:p>
    <w:p w14:paraId="5A58E7A2">
      <w:pPr>
        <w:pStyle w:val="3"/>
        <w:rPr>
          <w:strike/>
          <w:dstrike w:val="0"/>
          <w:color w:val="auto"/>
          <w:highlight w:val="none"/>
        </w:rPr>
      </w:pPr>
    </w:p>
    <w:p w14:paraId="53B63DA7">
      <w:pPr>
        <w:pStyle w:val="3"/>
        <w:spacing w:line="241" w:lineRule="auto"/>
        <w:rPr>
          <w:strike/>
          <w:dstrike w:val="0"/>
          <w:color w:val="auto"/>
          <w:highlight w:val="none"/>
        </w:rPr>
      </w:pPr>
    </w:p>
    <w:p w14:paraId="714580EE">
      <w:pPr>
        <w:pStyle w:val="3"/>
        <w:spacing w:line="241" w:lineRule="auto"/>
        <w:rPr>
          <w:strike/>
          <w:dstrike w:val="0"/>
          <w:color w:val="auto"/>
          <w:highlight w:val="none"/>
        </w:rPr>
      </w:pPr>
    </w:p>
    <w:p w14:paraId="3E0EB59D">
      <w:pPr>
        <w:pStyle w:val="3"/>
        <w:spacing w:line="241" w:lineRule="auto"/>
        <w:rPr>
          <w:strike/>
          <w:dstrike w:val="0"/>
          <w:color w:val="auto"/>
          <w:highlight w:val="none"/>
        </w:rPr>
      </w:pPr>
    </w:p>
    <w:p w14:paraId="49426C93">
      <w:pPr>
        <w:pStyle w:val="3"/>
        <w:spacing w:line="241" w:lineRule="auto"/>
        <w:rPr>
          <w:strike/>
          <w:dstrike w:val="0"/>
          <w:color w:val="auto"/>
          <w:highlight w:val="none"/>
        </w:rPr>
      </w:pPr>
    </w:p>
    <w:p w14:paraId="5C53533E">
      <w:pPr>
        <w:pStyle w:val="3"/>
        <w:spacing w:line="241" w:lineRule="auto"/>
        <w:rPr>
          <w:strike/>
          <w:dstrike w:val="0"/>
          <w:color w:val="auto"/>
          <w:highlight w:val="none"/>
        </w:rPr>
      </w:pPr>
    </w:p>
    <w:p w14:paraId="1CB7A00B">
      <w:pPr>
        <w:pStyle w:val="3"/>
        <w:spacing w:line="241" w:lineRule="auto"/>
        <w:rPr>
          <w:strike/>
          <w:dstrike w:val="0"/>
          <w:color w:val="auto"/>
          <w:highlight w:val="none"/>
        </w:rPr>
      </w:pPr>
    </w:p>
    <w:p w14:paraId="2DE9EA8E">
      <w:pPr>
        <w:spacing w:line="217" w:lineRule="auto"/>
        <w:rPr>
          <w:rFonts w:ascii="宋体" w:hAnsi="宋体" w:eastAsia="宋体" w:cs="宋体"/>
          <w:strike/>
          <w:dstrike w:val="0"/>
          <w:color w:val="auto"/>
          <w:sz w:val="18"/>
          <w:szCs w:val="18"/>
          <w:highlight w:val="none"/>
        </w:rPr>
        <w:sectPr>
          <w:headerReference r:id="rId84" w:type="default"/>
          <w:footerReference r:id="rId85" w:type="default"/>
          <w:pgSz w:w="11905" w:h="16840"/>
          <w:pgMar w:top="1182" w:right="0" w:bottom="1171" w:left="0" w:header="849" w:footer="936" w:gutter="0"/>
          <w:pgNumType w:fmt="decimal"/>
          <w:cols w:space="720" w:num="1"/>
        </w:sectPr>
      </w:pPr>
    </w:p>
    <w:p w14:paraId="6D39E346">
      <w:pPr>
        <w:pStyle w:val="3"/>
        <w:spacing w:line="267" w:lineRule="auto"/>
        <w:rPr>
          <w:strike/>
          <w:dstrike w:val="0"/>
          <w:color w:val="auto"/>
          <w:highlight w:val="none"/>
        </w:rPr>
      </w:pPr>
    </w:p>
    <w:p w14:paraId="05CDA88D">
      <w:pPr>
        <w:spacing w:before="78" w:line="219" w:lineRule="auto"/>
        <w:ind w:left="1444"/>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8"/>
          <w:sz w:val="24"/>
          <w:szCs w:val="24"/>
          <w:highlight w:val="none"/>
        </w:rPr>
        <w:t>附件十一：</w:t>
      </w:r>
    </w:p>
    <w:p w14:paraId="47A57B6C">
      <w:pPr>
        <w:spacing w:before="222" w:line="225" w:lineRule="auto"/>
        <w:ind w:left="4205"/>
        <w:rPr>
          <w:rFonts w:ascii="宋体" w:hAnsi="宋体" w:eastAsia="宋体" w:cs="宋体"/>
          <w:strike/>
          <w:dstrike w:val="0"/>
          <w:color w:val="auto"/>
          <w:sz w:val="31"/>
          <w:szCs w:val="31"/>
          <w:highlight w:val="none"/>
        </w:rPr>
      </w:pPr>
      <w:r>
        <w:rPr>
          <w:rFonts w:ascii="宋体" w:hAnsi="宋体" w:eastAsia="宋体" w:cs="宋体"/>
          <w:b/>
          <w:bCs/>
          <w:strike/>
          <w:dstrike w:val="0"/>
          <w:color w:val="auto"/>
          <w:spacing w:val="6"/>
          <w:sz w:val="31"/>
          <w:szCs w:val="31"/>
          <w:highlight w:val="none"/>
        </w:rPr>
        <w:t>统一采购供应材料一览表</w:t>
      </w:r>
    </w:p>
    <w:p w14:paraId="25C5D92E">
      <w:pPr>
        <w:spacing w:line="94" w:lineRule="exact"/>
        <w:rPr>
          <w:strike/>
          <w:dstrike w:val="0"/>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355"/>
        <w:gridCol w:w="804"/>
        <w:gridCol w:w="734"/>
        <w:gridCol w:w="2444"/>
        <w:gridCol w:w="750"/>
        <w:gridCol w:w="704"/>
        <w:gridCol w:w="753"/>
        <w:gridCol w:w="1036"/>
      </w:tblGrid>
      <w:tr w14:paraId="4D316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2" w:type="dxa"/>
            <w:vAlign w:val="top"/>
          </w:tcPr>
          <w:p w14:paraId="77D12461">
            <w:pPr>
              <w:pStyle w:val="17"/>
              <w:spacing w:before="210" w:line="221" w:lineRule="auto"/>
              <w:ind w:left="149"/>
              <w:rPr>
                <w:strike/>
                <w:dstrike w:val="0"/>
                <w:color w:val="auto"/>
                <w:highlight w:val="none"/>
              </w:rPr>
            </w:pPr>
            <w:r>
              <w:rPr>
                <w:strike/>
                <w:dstrike w:val="0"/>
                <w:color w:val="auto"/>
                <w:spacing w:val="-2"/>
                <w:highlight w:val="none"/>
              </w:rPr>
              <w:t>序号</w:t>
            </w:r>
          </w:p>
        </w:tc>
        <w:tc>
          <w:tcPr>
            <w:tcW w:w="1355" w:type="dxa"/>
            <w:vAlign w:val="top"/>
          </w:tcPr>
          <w:p w14:paraId="4E66D82B">
            <w:pPr>
              <w:pStyle w:val="17"/>
              <w:spacing w:before="55" w:line="250" w:lineRule="auto"/>
              <w:ind w:left="263" w:right="151" w:hanging="107"/>
              <w:rPr>
                <w:strike/>
                <w:dstrike w:val="0"/>
                <w:color w:val="auto"/>
                <w:highlight w:val="none"/>
              </w:rPr>
            </w:pPr>
            <w:r>
              <w:rPr>
                <w:strike/>
                <w:dstrike w:val="0"/>
                <w:color w:val="auto"/>
                <w:spacing w:val="-2"/>
                <w:highlight w:val="none"/>
              </w:rPr>
              <w:t>材料品种或</w:t>
            </w:r>
            <w:r>
              <w:rPr>
                <w:strike/>
                <w:dstrike w:val="0"/>
                <w:color w:val="auto"/>
                <w:spacing w:val="-3"/>
                <w:highlight w:val="none"/>
              </w:rPr>
              <w:t>设备型号</w:t>
            </w:r>
          </w:p>
        </w:tc>
        <w:tc>
          <w:tcPr>
            <w:tcW w:w="804" w:type="dxa"/>
            <w:vAlign w:val="top"/>
          </w:tcPr>
          <w:p w14:paraId="3DD495AF">
            <w:pPr>
              <w:pStyle w:val="17"/>
              <w:spacing w:before="210" w:line="220" w:lineRule="auto"/>
              <w:ind w:left="197"/>
              <w:rPr>
                <w:strike/>
                <w:dstrike w:val="0"/>
                <w:color w:val="auto"/>
                <w:highlight w:val="none"/>
              </w:rPr>
            </w:pPr>
            <w:r>
              <w:rPr>
                <w:strike/>
                <w:dstrike w:val="0"/>
                <w:color w:val="auto"/>
                <w:spacing w:val="-3"/>
                <w:highlight w:val="none"/>
              </w:rPr>
              <w:t>单位</w:t>
            </w:r>
          </w:p>
        </w:tc>
        <w:tc>
          <w:tcPr>
            <w:tcW w:w="734" w:type="dxa"/>
            <w:vAlign w:val="top"/>
          </w:tcPr>
          <w:p w14:paraId="2B715B22">
            <w:pPr>
              <w:pStyle w:val="17"/>
              <w:spacing w:before="210" w:line="220" w:lineRule="auto"/>
              <w:ind w:left="162"/>
              <w:rPr>
                <w:strike/>
                <w:dstrike w:val="0"/>
                <w:color w:val="auto"/>
                <w:highlight w:val="none"/>
              </w:rPr>
            </w:pPr>
            <w:r>
              <w:rPr>
                <w:strike/>
                <w:dstrike w:val="0"/>
                <w:color w:val="auto"/>
                <w:spacing w:val="-3"/>
                <w:highlight w:val="none"/>
              </w:rPr>
              <w:t>数量</w:t>
            </w:r>
          </w:p>
        </w:tc>
        <w:tc>
          <w:tcPr>
            <w:tcW w:w="2444" w:type="dxa"/>
            <w:vAlign w:val="top"/>
          </w:tcPr>
          <w:p w14:paraId="2087C481">
            <w:pPr>
              <w:pStyle w:val="17"/>
              <w:spacing w:before="194" w:line="232" w:lineRule="auto"/>
              <w:ind w:left="235"/>
              <w:rPr>
                <w:strike/>
                <w:dstrike w:val="0"/>
                <w:color w:val="auto"/>
                <w:sz w:val="10"/>
                <w:szCs w:val="10"/>
                <w:highlight w:val="none"/>
              </w:rPr>
            </w:pPr>
            <w:r>
              <w:rPr>
                <w:strike/>
                <w:dstrike w:val="0"/>
                <w:color w:val="auto"/>
                <w:spacing w:val="-1"/>
                <w:highlight w:val="none"/>
              </w:rPr>
              <w:t>到达工地价格（元）</w:t>
            </w:r>
          </w:p>
        </w:tc>
        <w:tc>
          <w:tcPr>
            <w:tcW w:w="750" w:type="dxa"/>
            <w:vAlign w:val="top"/>
          </w:tcPr>
          <w:p w14:paraId="1D7AC5D6">
            <w:pPr>
              <w:pStyle w:val="17"/>
              <w:spacing w:before="54" w:line="220" w:lineRule="auto"/>
              <w:ind w:left="172"/>
              <w:rPr>
                <w:strike/>
                <w:dstrike w:val="0"/>
                <w:color w:val="auto"/>
                <w:highlight w:val="none"/>
              </w:rPr>
            </w:pPr>
            <w:r>
              <w:rPr>
                <w:strike/>
                <w:dstrike w:val="0"/>
                <w:color w:val="auto"/>
                <w:spacing w:val="-3"/>
                <w:highlight w:val="none"/>
              </w:rPr>
              <w:t>质量</w:t>
            </w:r>
          </w:p>
          <w:p w14:paraId="1E52B9D8">
            <w:pPr>
              <w:pStyle w:val="17"/>
              <w:spacing w:before="60" w:line="220" w:lineRule="auto"/>
              <w:ind w:left="173"/>
              <w:rPr>
                <w:strike/>
                <w:dstrike w:val="0"/>
                <w:color w:val="auto"/>
                <w:highlight w:val="none"/>
              </w:rPr>
            </w:pPr>
            <w:r>
              <w:rPr>
                <w:strike/>
                <w:dstrike w:val="0"/>
                <w:color w:val="auto"/>
                <w:spacing w:val="-3"/>
                <w:highlight w:val="none"/>
              </w:rPr>
              <w:t>等级</w:t>
            </w:r>
          </w:p>
        </w:tc>
        <w:tc>
          <w:tcPr>
            <w:tcW w:w="704" w:type="dxa"/>
            <w:vAlign w:val="top"/>
          </w:tcPr>
          <w:p w14:paraId="3856A0C5">
            <w:pPr>
              <w:pStyle w:val="17"/>
              <w:spacing w:before="54" w:line="219" w:lineRule="auto"/>
              <w:ind w:left="147"/>
              <w:rPr>
                <w:strike/>
                <w:dstrike w:val="0"/>
                <w:color w:val="auto"/>
                <w:highlight w:val="none"/>
              </w:rPr>
            </w:pPr>
            <w:r>
              <w:rPr>
                <w:strike/>
                <w:dstrike w:val="0"/>
                <w:color w:val="auto"/>
                <w:spacing w:val="-3"/>
                <w:highlight w:val="none"/>
              </w:rPr>
              <w:t>供应</w:t>
            </w:r>
          </w:p>
          <w:p w14:paraId="36B7E82F">
            <w:pPr>
              <w:pStyle w:val="17"/>
              <w:spacing w:before="62" w:line="222" w:lineRule="auto"/>
              <w:ind w:left="157"/>
              <w:rPr>
                <w:strike/>
                <w:dstrike w:val="0"/>
                <w:color w:val="auto"/>
                <w:highlight w:val="none"/>
              </w:rPr>
            </w:pPr>
            <w:r>
              <w:rPr>
                <w:strike/>
                <w:dstrike w:val="0"/>
                <w:color w:val="auto"/>
                <w:spacing w:val="-5"/>
                <w:highlight w:val="none"/>
              </w:rPr>
              <w:t>时间</w:t>
            </w:r>
          </w:p>
        </w:tc>
        <w:tc>
          <w:tcPr>
            <w:tcW w:w="753" w:type="dxa"/>
            <w:vAlign w:val="top"/>
          </w:tcPr>
          <w:p w14:paraId="2C2B2BDC">
            <w:pPr>
              <w:pStyle w:val="17"/>
              <w:spacing w:before="54" w:line="227" w:lineRule="auto"/>
              <w:ind w:left="172"/>
              <w:rPr>
                <w:strike/>
                <w:dstrike w:val="0"/>
                <w:color w:val="auto"/>
                <w:highlight w:val="none"/>
              </w:rPr>
            </w:pPr>
            <w:r>
              <w:rPr>
                <w:strike/>
                <w:dstrike w:val="0"/>
                <w:color w:val="auto"/>
                <w:spacing w:val="-2"/>
                <w:highlight w:val="none"/>
              </w:rPr>
              <w:t>送达</w:t>
            </w:r>
          </w:p>
          <w:p w14:paraId="0D337573">
            <w:pPr>
              <w:pStyle w:val="17"/>
              <w:spacing w:before="53" w:line="224" w:lineRule="auto"/>
              <w:ind w:left="174"/>
              <w:rPr>
                <w:strike/>
                <w:dstrike w:val="0"/>
                <w:color w:val="auto"/>
                <w:highlight w:val="none"/>
              </w:rPr>
            </w:pPr>
            <w:r>
              <w:rPr>
                <w:strike/>
                <w:dstrike w:val="0"/>
                <w:color w:val="auto"/>
                <w:spacing w:val="-3"/>
                <w:highlight w:val="none"/>
              </w:rPr>
              <w:t>地点</w:t>
            </w:r>
          </w:p>
        </w:tc>
        <w:tc>
          <w:tcPr>
            <w:tcW w:w="1036" w:type="dxa"/>
            <w:vAlign w:val="top"/>
          </w:tcPr>
          <w:p w14:paraId="6E91C22F">
            <w:pPr>
              <w:pStyle w:val="17"/>
              <w:spacing w:before="210" w:line="221" w:lineRule="auto"/>
              <w:ind w:left="316"/>
              <w:rPr>
                <w:strike/>
                <w:dstrike w:val="0"/>
                <w:color w:val="auto"/>
                <w:highlight w:val="none"/>
              </w:rPr>
            </w:pPr>
            <w:r>
              <w:rPr>
                <w:strike/>
                <w:dstrike w:val="0"/>
                <w:color w:val="auto"/>
                <w:spacing w:val="-3"/>
                <w:highlight w:val="none"/>
              </w:rPr>
              <w:t>备注</w:t>
            </w:r>
          </w:p>
        </w:tc>
      </w:tr>
      <w:tr w14:paraId="64DA7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5B903CBB">
            <w:pPr>
              <w:rPr>
                <w:rFonts w:ascii="Arial"/>
                <w:strike/>
                <w:dstrike w:val="0"/>
                <w:color w:val="auto"/>
                <w:sz w:val="21"/>
                <w:highlight w:val="none"/>
              </w:rPr>
            </w:pPr>
          </w:p>
        </w:tc>
        <w:tc>
          <w:tcPr>
            <w:tcW w:w="1355" w:type="dxa"/>
            <w:vAlign w:val="top"/>
          </w:tcPr>
          <w:p w14:paraId="4B17DE11">
            <w:pPr>
              <w:rPr>
                <w:rFonts w:ascii="Arial"/>
                <w:strike/>
                <w:dstrike w:val="0"/>
                <w:color w:val="auto"/>
                <w:sz w:val="21"/>
                <w:highlight w:val="none"/>
              </w:rPr>
            </w:pPr>
          </w:p>
        </w:tc>
        <w:tc>
          <w:tcPr>
            <w:tcW w:w="804" w:type="dxa"/>
            <w:vAlign w:val="top"/>
          </w:tcPr>
          <w:p w14:paraId="1B381DCD">
            <w:pPr>
              <w:rPr>
                <w:rFonts w:ascii="Arial"/>
                <w:strike/>
                <w:dstrike w:val="0"/>
                <w:color w:val="auto"/>
                <w:sz w:val="21"/>
                <w:highlight w:val="none"/>
              </w:rPr>
            </w:pPr>
          </w:p>
        </w:tc>
        <w:tc>
          <w:tcPr>
            <w:tcW w:w="734" w:type="dxa"/>
            <w:vAlign w:val="top"/>
          </w:tcPr>
          <w:p w14:paraId="082867D0">
            <w:pPr>
              <w:rPr>
                <w:rFonts w:ascii="Arial"/>
                <w:strike/>
                <w:dstrike w:val="0"/>
                <w:color w:val="auto"/>
                <w:sz w:val="21"/>
                <w:highlight w:val="none"/>
              </w:rPr>
            </w:pPr>
          </w:p>
        </w:tc>
        <w:tc>
          <w:tcPr>
            <w:tcW w:w="2444" w:type="dxa"/>
            <w:vAlign w:val="top"/>
          </w:tcPr>
          <w:p w14:paraId="28897345">
            <w:pPr>
              <w:rPr>
                <w:rFonts w:ascii="Arial"/>
                <w:strike/>
                <w:dstrike w:val="0"/>
                <w:color w:val="auto"/>
                <w:sz w:val="21"/>
                <w:highlight w:val="none"/>
              </w:rPr>
            </w:pPr>
          </w:p>
        </w:tc>
        <w:tc>
          <w:tcPr>
            <w:tcW w:w="750" w:type="dxa"/>
            <w:vAlign w:val="top"/>
          </w:tcPr>
          <w:p w14:paraId="62854675">
            <w:pPr>
              <w:rPr>
                <w:rFonts w:ascii="Arial"/>
                <w:strike/>
                <w:dstrike w:val="0"/>
                <w:color w:val="auto"/>
                <w:sz w:val="21"/>
                <w:highlight w:val="none"/>
              </w:rPr>
            </w:pPr>
          </w:p>
        </w:tc>
        <w:tc>
          <w:tcPr>
            <w:tcW w:w="704" w:type="dxa"/>
            <w:vAlign w:val="top"/>
          </w:tcPr>
          <w:p w14:paraId="1BA584B0">
            <w:pPr>
              <w:rPr>
                <w:rFonts w:ascii="Arial"/>
                <w:strike/>
                <w:dstrike w:val="0"/>
                <w:color w:val="auto"/>
                <w:sz w:val="21"/>
                <w:highlight w:val="none"/>
              </w:rPr>
            </w:pPr>
          </w:p>
        </w:tc>
        <w:tc>
          <w:tcPr>
            <w:tcW w:w="753" w:type="dxa"/>
            <w:vAlign w:val="top"/>
          </w:tcPr>
          <w:p w14:paraId="2F116271">
            <w:pPr>
              <w:rPr>
                <w:rFonts w:ascii="Arial"/>
                <w:strike/>
                <w:dstrike w:val="0"/>
                <w:color w:val="auto"/>
                <w:sz w:val="21"/>
                <w:highlight w:val="none"/>
              </w:rPr>
            </w:pPr>
          </w:p>
        </w:tc>
        <w:tc>
          <w:tcPr>
            <w:tcW w:w="1036" w:type="dxa"/>
            <w:vAlign w:val="top"/>
          </w:tcPr>
          <w:p w14:paraId="48A2A9B9">
            <w:pPr>
              <w:rPr>
                <w:rFonts w:ascii="Arial"/>
                <w:strike/>
                <w:dstrike w:val="0"/>
                <w:color w:val="auto"/>
                <w:sz w:val="21"/>
                <w:highlight w:val="none"/>
              </w:rPr>
            </w:pPr>
          </w:p>
        </w:tc>
      </w:tr>
      <w:tr w14:paraId="7F7A5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BB601DB">
            <w:pPr>
              <w:rPr>
                <w:rFonts w:ascii="Arial"/>
                <w:strike/>
                <w:dstrike w:val="0"/>
                <w:color w:val="auto"/>
                <w:sz w:val="21"/>
                <w:highlight w:val="none"/>
              </w:rPr>
            </w:pPr>
          </w:p>
        </w:tc>
        <w:tc>
          <w:tcPr>
            <w:tcW w:w="1355" w:type="dxa"/>
            <w:vAlign w:val="top"/>
          </w:tcPr>
          <w:p w14:paraId="3DD8308A">
            <w:pPr>
              <w:rPr>
                <w:rFonts w:ascii="Arial"/>
                <w:strike/>
                <w:dstrike w:val="0"/>
                <w:color w:val="auto"/>
                <w:sz w:val="21"/>
                <w:highlight w:val="none"/>
              </w:rPr>
            </w:pPr>
          </w:p>
        </w:tc>
        <w:tc>
          <w:tcPr>
            <w:tcW w:w="804" w:type="dxa"/>
            <w:vAlign w:val="top"/>
          </w:tcPr>
          <w:p w14:paraId="79C181B3">
            <w:pPr>
              <w:rPr>
                <w:rFonts w:ascii="Arial"/>
                <w:strike/>
                <w:dstrike w:val="0"/>
                <w:color w:val="auto"/>
                <w:sz w:val="21"/>
                <w:highlight w:val="none"/>
              </w:rPr>
            </w:pPr>
          </w:p>
        </w:tc>
        <w:tc>
          <w:tcPr>
            <w:tcW w:w="734" w:type="dxa"/>
            <w:vAlign w:val="top"/>
          </w:tcPr>
          <w:p w14:paraId="13D65747">
            <w:pPr>
              <w:rPr>
                <w:rFonts w:ascii="Arial"/>
                <w:strike/>
                <w:dstrike w:val="0"/>
                <w:color w:val="auto"/>
                <w:sz w:val="21"/>
                <w:highlight w:val="none"/>
              </w:rPr>
            </w:pPr>
          </w:p>
        </w:tc>
        <w:tc>
          <w:tcPr>
            <w:tcW w:w="2444" w:type="dxa"/>
            <w:vAlign w:val="top"/>
          </w:tcPr>
          <w:p w14:paraId="182594D1">
            <w:pPr>
              <w:rPr>
                <w:rFonts w:ascii="Arial"/>
                <w:strike/>
                <w:dstrike w:val="0"/>
                <w:color w:val="auto"/>
                <w:sz w:val="21"/>
                <w:highlight w:val="none"/>
              </w:rPr>
            </w:pPr>
          </w:p>
        </w:tc>
        <w:tc>
          <w:tcPr>
            <w:tcW w:w="750" w:type="dxa"/>
            <w:vAlign w:val="top"/>
          </w:tcPr>
          <w:p w14:paraId="24EF746C">
            <w:pPr>
              <w:rPr>
                <w:rFonts w:ascii="Arial"/>
                <w:strike/>
                <w:dstrike w:val="0"/>
                <w:color w:val="auto"/>
                <w:sz w:val="21"/>
                <w:highlight w:val="none"/>
              </w:rPr>
            </w:pPr>
          </w:p>
        </w:tc>
        <w:tc>
          <w:tcPr>
            <w:tcW w:w="704" w:type="dxa"/>
            <w:vAlign w:val="top"/>
          </w:tcPr>
          <w:p w14:paraId="14C4133B">
            <w:pPr>
              <w:rPr>
                <w:rFonts w:ascii="Arial"/>
                <w:strike/>
                <w:dstrike w:val="0"/>
                <w:color w:val="auto"/>
                <w:sz w:val="21"/>
                <w:highlight w:val="none"/>
              </w:rPr>
            </w:pPr>
          </w:p>
        </w:tc>
        <w:tc>
          <w:tcPr>
            <w:tcW w:w="753" w:type="dxa"/>
            <w:vAlign w:val="top"/>
          </w:tcPr>
          <w:p w14:paraId="000EE6D7">
            <w:pPr>
              <w:rPr>
                <w:rFonts w:ascii="Arial"/>
                <w:strike/>
                <w:dstrike w:val="0"/>
                <w:color w:val="auto"/>
                <w:sz w:val="21"/>
                <w:highlight w:val="none"/>
              </w:rPr>
            </w:pPr>
          </w:p>
        </w:tc>
        <w:tc>
          <w:tcPr>
            <w:tcW w:w="1036" w:type="dxa"/>
            <w:vAlign w:val="top"/>
          </w:tcPr>
          <w:p w14:paraId="25AD8802">
            <w:pPr>
              <w:rPr>
                <w:rFonts w:ascii="Arial"/>
                <w:strike/>
                <w:dstrike w:val="0"/>
                <w:color w:val="auto"/>
                <w:sz w:val="21"/>
                <w:highlight w:val="none"/>
              </w:rPr>
            </w:pPr>
          </w:p>
        </w:tc>
      </w:tr>
      <w:tr w14:paraId="32056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326EA9B6">
            <w:pPr>
              <w:rPr>
                <w:rFonts w:ascii="Arial"/>
                <w:strike/>
                <w:dstrike w:val="0"/>
                <w:color w:val="auto"/>
                <w:sz w:val="21"/>
                <w:highlight w:val="none"/>
              </w:rPr>
            </w:pPr>
          </w:p>
        </w:tc>
        <w:tc>
          <w:tcPr>
            <w:tcW w:w="1355" w:type="dxa"/>
            <w:vAlign w:val="top"/>
          </w:tcPr>
          <w:p w14:paraId="654F0E8B">
            <w:pPr>
              <w:rPr>
                <w:rFonts w:ascii="Arial"/>
                <w:strike/>
                <w:dstrike w:val="0"/>
                <w:color w:val="auto"/>
                <w:sz w:val="21"/>
                <w:highlight w:val="none"/>
              </w:rPr>
            </w:pPr>
          </w:p>
        </w:tc>
        <w:tc>
          <w:tcPr>
            <w:tcW w:w="804" w:type="dxa"/>
            <w:vAlign w:val="top"/>
          </w:tcPr>
          <w:p w14:paraId="731EC3BD">
            <w:pPr>
              <w:rPr>
                <w:rFonts w:ascii="Arial"/>
                <w:strike/>
                <w:dstrike w:val="0"/>
                <w:color w:val="auto"/>
                <w:sz w:val="21"/>
                <w:highlight w:val="none"/>
              </w:rPr>
            </w:pPr>
          </w:p>
        </w:tc>
        <w:tc>
          <w:tcPr>
            <w:tcW w:w="734" w:type="dxa"/>
            <w:vAlign w:val="top"/>
          </w:tcPr>
          <w:p w14:paraId="39E3ACBE">
            <w:pPr>
              <w:rPr>
                <w:rFonts w:ascii="Arial"/>
                <w:strike/>
                <w:dstrike w:val="0"/>
                <w:color w:val="auto"/>
                <w:sz w:val="21"/>
                <w:highlight w:val="none"/>
              </w:rPr>
            </w:pPr>
          </w:p>
        </w:tc>
        <w:tc>
          <w:tcPr>
            <w:tcW w:w="2444" w:type="dxa"/>
            <w:vAlign w:val="top"/>
          </w:tcPr>
          <w:p w14:paraId="7AC13EDE">
            <w:pPr>
              <w:rPr>
                <w:rFonts w:ascii="Arial"/>
                <w:strike/>
                <w:dstrike w:val="0"/>
                <w:color w:val="auto"/>
                <w:sz w:val="21"/>
                <w:highlight w:val="none"/>
              </w:rPr>
            </w:pPr>
          </w:p>
        </w:tc>
        <w:tc>
          <w:tcPr>
            <w:tcW w:w="750" w:type="dxa"/>
            <w:vAlign w:val="top"/>
          </w:tcPr>
          <w:p w14:paraId="301556A6">
            <w:pPr>
              <w:rPr>
                <w:rFonts w:ascii="Arial"/>
                <w:strike/>
                <w:dstrike w:val="0"/>
                <w:color w:val="auto"/>
                <w:sz w:val="21"/>
                <w:highlight w:val="none"/>
              </w:rPr>
            </w:pPr>
          </w:p>
        </w:tc>
        <w:tc>
          <w:tcPr>
            <w:tcW w:w="704" w:type="dxa"/>
            <w:vAlign w:val="top"/>
          </w:tcPr>
          <w:p w14:paraId="6A340987">
            <w:pPr>
              <w:rPr>
                <w:rFonts w:ascii="Arial"/>
                <w:strike/>
                <w:dstrike w:val="0"/>
                <w:color w:val="auto"/>
                <w:sz w:val="21"/>
                <w:highlight w:val="none"/>
              </w:rPr>
            </w:pPr>
          </w:p>
        </w:tc>
        <w:tc>
          <w:tcPr>
            <w:tcW w:w="753" w:type="dxa"/>
            <w:vAlign w:val="top"/>
          </w:tcPr>
          <w:p w14:paraId="7C76BDA6">
            <w:pPr>
              <w:rPr>
                <w:rFonts w:ascii="Arial"/>
                <w:strike/>
                <w:dstrike w:val="0"/>
                <w:color w:val="auto"/>
                <w:sz w:val="21"/>
                <w:highlight w:val="none"/>
              </w:rPr>
            </w:pPr>
          </w:p>
        </w:tc>
        <w:tc>
          <w:tcPr>
            <w:tcW w:w="1036" w:type="dxa"/>
            <w:vAlign w:val="top"/>
          </w:tcPr>
          <w:p w14:paraId="59DA5A48">
            <w:pPr>
              <w:rPr>
                <w:rFonts w:ascii="Arial"/>
                <w:strike/>
                <w:dstrike w:val="0"/>
                <w:color w:val="auto"/>
                <w:sz w:val="21"/>
                <w:highlight w:val="none"/>
              </w:rPr>
            </w:pPr>
          </w:p>
        </w:tc>
      </w:tr>
      <w:tr w14:paraId="5AC11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203524D9">
            <w:pPr>
              <w:rPr>
                <w:rFonts w:ascii="Arial"/>
                <w:strike/>
                <w:dstrike w:val="0"/>
                <w:color w:val="auto"/>
                <w:sz w:val="21"/>
                <w:highlight w:val="none"/>
              </w:rPr>
            </w:pPr>
          </w:p>
        </w:tc>
        <w:tc>
          <w:tcPr>
            <w:tcW w:w="1355" w:type="dxa"/>
            <w:vAlign w:val="top"/>
          </w:tcPr>
          <w:p w14:paraId="2C8C4088">
            <w:pPr>
              <w:rPr>
                <w:rFonts w:ascii="Arial"/>
                <w:strike/>
                <w:dstrike w:val="0"/>
                <w:color w:val="auto"/>
                <w:sz w:val="21"/>
                <w:highlight w:val="none"/>
              </w:rPr>
            </w:pPr>
          </w:p>
        </w:tc>
        <w:tc>
          <w:tcPr>
            <w:tcW w:w="804" w:type="dxa"/>
            <w:vAlign w:val="top"/>
          </w:tcPr>
          <w:p w14:paraId="1C43878C">
            <w:pPr>
              <w:rPr>
                <w:rFonts w:ascii="Arial"/>
                <w:strike/>
                <w:dstrike w:val="0"/>
                <w:color w:val="auto"/>
                <w:sz w:val="21"/>
                <w:highlight w:val="none"/>
              </w:rPr>
            </w:pPr>
          </w:p>
        </w:tc>
        <w:tc>
          <w:tcPr>
            <w:tcW w:w="734" w:type="dxa"/>
            <w:vAlign w:val="top"/>
          </w:tcPr>
          <w:p w14:paraId="10D67ACD">
            <w:pPr>
              <w:rPr>
                <w:rFonts w:ascii="Arial"/>
                <w:strike/>
                <w:dstrike w:val="0"/>
                <w:color w:val="auto"/>
                <w:sz w:val="21"/>
                <w:highlight w:val="none"/>
              </w:rPr>
            </w:pPr>
          </w:p>
        </w:tc>
        <w:tc>
          <w:tcPr>
            <w:tcW w:w="2444" w:type="dxa"/>
            <w:vAlign w:val="top"/>
          </w:tcPr>
          <w:p w14:paraId="31AC3D4B">
            <w:pPr>
              <w:rPr>
                <w:rFonts w:ascii="Arial"/>
                <w:strike/>
                <w:dstrike w:val="0"/>
                <w:color w:val="auto"/>
                <w:sz w:val="21"/>
                <w:highlight w:val="none"/>
              </w:rPr>
            </w:pPr>
          </w:p>
        </w:tc>
        <w:tc>
          <w:tcPr>
            <w:tcW w:w="750" w:type="dxa"/>
            <w:vAlign w:val="top"/>
          </w:tcPr>
          <w:p w14:paraId="2FCC2451">
            <w:pPr>
              <w:rPr>
                <w:rFonts w:ascii="Arial"/>
                <w:strike/>
                <w:dstrike w:val="0"/>
                <w:color w:val="auto"/>
                <w:sz w:val="21"/>
                <w:highlight w:val="none"/>
              </w:rPr>
            </w:pPr>
          </w:p>
        </w:tc>
        <w:tc>
          <w:tcPr>
            <w:tcW w:w="704" w:type="dxa"/>
            <w:vAlign w:val="top"/>
          </w:tcPr>
          <w:p w14:paraId="6A48DCFC">
            <w:pPr>
              <w:rPr>
                <w:rFonts w:ascii="Arial"/>
                <w:strike/>
                <w:dstrike w:val="0"/>
                <w:color w:val="auto"/>
                <w:sz w:val="21"/>
                <w:highlight w:val="none"/>
              </w:rPr>
            </w:pPr>
          </w:p>
        </w:tc>
        <w:tc>
          <w:tcPr>
            <w:tcW w:w="753" w:type="dxa"/>
            <w:vAlign w:val="top"/>
          </w:tcPr>
          <w:p w14:paraId="70B33500">
            <w:pPr>
              <w:rPr>
                <w:rFonts w:ascii="Arial"/>
                <w:strike/>
                <w:dstrike w:val="0"/>
                <w:color w:val="auto"/>
                <w:sz w:val="21"/>
                <w:highlight w:val="none"/>
              </w:rPr>
            </w:pPr>
          </w:p>
        </w:tc>
        <w:tc>
          <w:tcPr>
            <w:tcW w:w="1036" w:type="dxa"/>
            <w:vAlign w:val="top"/>
          </w:tcPr>
          <w:p w14:paraId="48E3668F">
            <w:pPr>
              <w:rPr>
                <w:rFonts w:ascii="Arial"/>
                <w:strike/>
                <w:dstrike w:val="0"/>
                <w:color w:val="auto"/>
                <w:sz w:val="21"/>
                <w:highlight w:val="none"/>
              </w:rPr>
            </w:pPr>
          </w:p>
        </w:tc>
      </w:tr>
      <w:tr w14:paraId="0E19B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4710709C">
            <w:pPr>
              <w:rPr>
                <w:rFonts w:ascii="Arial"/>
                <w:strike/>
                <w:dstrike w:val="0"/>
                <w:color w:val="auto"/>
                <w:sz w:val="21"/>
                <w:highlight w:val="none"/>
              </w:rPr>
            </w:pPr>
          </w:p>
        </w:tc>
        <w:tc>
          <w:tcPr>
            <w:tcW w:w="1355" w:type="dxa"/>
            <w:vAlign w:val="top"/>
          </w:tcPr>
          <w:p w14:paraId="7C4046E2">
            <w:pPr>
              <w:rPr>
                <w:rFonts w:ascii="Arial"/>
                <w:strike/>
                <w:dstrike w:val="0"/>
                <w:color w:val="auto"/>
                <w:sz w:val="21"/>
                <w:highlight w:val="none"/>
              </w:rPr>
            </w:pPr>
          </w:p>
        </w:tc>
        <w:tc>
          <w:tcPr>
            <w:tcW w:w="804" w:type="dxa"/>
            <w:vAlign w:val="top"/>
          </w:tcPr>
          <w:p w14:paraId="6BEF0895">
            <w:pPr>
              <w:rPr>
                <w:rFonts w:ascii="Arial"/>
                <w:strike/>
                <w:dstrike w:val="0"/>
                <w:color w:val="auto"/>
                <w:sz w:val="21"/>
                <w:highlight w:val="none"/>
              </w:rPr>
            </w:pPr>
          </w:p>
        </w:tc>
        <w:tc>
          <w:tcPr>
            <w:tcW w:w="734" w:type="dxa"/>
            <w:vAlign w:val="top"/>
          </w:tcPr>
          <w:p w14:paraId="58CEF3DD">
            <w:pPr>
              <w:rPr>
                <w:rFonts w:ascii="Arial"/>
                <w:strike/>
                <w:dstrike w:val="0"/>
                <w:color w:val="auto"/>
                <w:sz w:val="21"/>
                <w:highlight w:val="none"/>
              </w:rPr>
            </w:pPr>
          </w:p>
        </w:tc>
        <w:tc>
          <w:tcPr>
            <w:tcW w:w="2444" w:type="dxa"/>
            <w:vAlign w:val="top"/>
          </w:tcPr>
          <w:p w14:paraId="068796E5">
            <w:pPr>
              <w:rPr>
                <w:rFonts w:ascii="Arial"/>
                <w:strike/>
                <w:dstrike w:val="0"/>
                <w:color w:val="auto"/>
                <w:sz w:val="21"/>
                <w:highlight w:val="none"/>
              </w:rPr>
            </w:pPr>
          </w:p>
        </w:tc>
        <w:tc>
          <w:tcPr>
            <w:tcW w:w="750" w:type="dxa"/>
            <w:vAlign w:val="top"/>
          </w:tcPr>
          <w:p w14:paraId="0C17F2EA">
            <w:pPr>
              <w:rPr>
                <w:rFonts w:ascii="Arial"/>
                <w:strike/>
                <w:dstrike w:val="0"/>
                <w:color w:val="auto"/>
                <w:sz w:val="21"/>
                <w:highlight w:val="none"/>
              </w:rPr>
            </w:pPr>
          </w:p>
        </w:tc>
        <w:tc>
          <w:tcPr>
            <w:tcW w:w="704" w:type="dxa"/>
            <w:vAlign w:val="top"/>
          </w:tcPr>
          <w:p w14:paraId="0F290A0B">
            <w:pPr>
              <w:rPr>
                <w:rFonts w:ascii="Arial"/>
                <w:strike/>
                <w:dstrike w:val="0"/>
                <w:color w:val="auto"/>
                <w:sz w:val="21"/>
                <w:highlight w:val="none"/>
              </w:rPr>
            </w:pPr>
          </w:p>
        </w:tc>
        <w:tc>
          <w:tcPr>
            <w:tcW w:w="753" w:type="dxa"/>
            <w:vAlign w:val="top"/>
          </w:tcPr>
          <w:p w14:paraId="7ED41AE4">
            <w:pPr>
              <w:rPr>
                <w:rFonts w:ascii="Arial"/>
                <w:strike/>
                <w:dstrike w:val="0"/>
                <w:color w:val="auto"/>
                <w:sz w:val="21"/>
                <w:highlight w:val="none"/>
              </w:rPr>
            </w:pPr>
          </w:p>
        </w:tc>
        <w:tc>
          <w:tcPr>
            <w:tcW w:w="1036" w:type="dxa"/>
            <w:vAlign w:val="top"/>
          </w:tcPr>
          <w:p w14:paraId="4C47C0FA">
            <w:pPr>
              <w:rPr>
                <w:rFonts w:ascii="Arial"/>
                <w:strike/>
                <w:dstrike w:val="0"/>
                <w:color w:val="auto"/>
                <w:sz w:val="21"/>
                <w:highlight w:val="none"/>
              </w:rPr>
            </w:pPr>
          </w:p>
        </w:tc>
      </w:tr>
      <w:tr w14:paraId="2796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EED2DB2">
            <w:pPr>
              <w:rPr>
                <w:rFonts w:ascii="Arial"/>
                <w:strike/>
                <w:dstrike w:val="0"/>
                <w:color w:val="auto"/>
                <w:sz w:val="21"/>
                <w:highlight w:val="none"/>
              </w:rPr>
            </w:pPr>
          </w:p>
        </w:tc>
        <w:tc>
          <w:tcPr>
            <w:tcW w:w="1355" w:type="dxa"/>
            <w:vAlign w:val="top"/>
          </w:tcPr>
          <w:p w14:paraId="26DCAEF9">
            <w:pPr>
              <w:rPr>
                <w:rFonts w:ascii="Arial"/>
                <w:strike/>
                <w:dstrike w:val="0"/>
                <w:color w:val="auto"/>
                <w:sz w:val="21"/>
                <w:highlight w:val="none"/>
              </w:rPr>
            </w:pPr>
          </w:p>
        </w:tc>
        <w:tc>
          <w:tcPr>
            <w:tcW w:w="804" w:type="dxa"/>
            <w:vAlign w:val="top"/>
          </w:tcPr>
          <w:p w14:paraId="6C9CD2F3">
            <w:pPr>
              <w:rPr>
                <w:rFonts w:ascii="Arial"/>
                <w:strike/>
                <w:dstrike w:val="0"/>
                <w:color w:val="auto"/>
                <w:sz w:val="21"/>
                <w:highlight w:val="none"/>
              </w:rPr>
            </w:pPr>
          </w:p>
        </w:tc>
        <w:tc>
          <w:tcPr>
            <w:tcW w:w="734" w:type="dxa"/>
            <w:vAlign w:val="top"/>
          </w:tcPr>
          <w:p w14:paraId="4E0DB2F2">
            <w:pPr>
              <w:rPr>
                <w:rFonts w:ascii="Arial"/>
                <w:strike/>
                <w:dstrike w:val="0"/>
                <w:color w:val="auto"/>
                <w:sz w:val="21"/>
                <w:highlight w:val="none"/>
              </w:rPr>
            </w:pPr>
          </w:p>
        </w:tc>
        <w:tc>
          <w:tcPr>
            <w:tcW w:w="2444" w:type="dxa"/>
            <w:vAlign w:val="top"/>
          </w:tcPr>
          <w:p w14:paraId="2CD17EAA">
            <w:pPr>
              <w:rPr>
                <w:rFonts w:ascii="Arial"/>
                <w:strike/>
                <w:dstrike w:val="0"/>
                <w:color w:val="auto"/>
                <w:sz w:val="21"/>
                <w:highlight w:val="none"/>
              </w:rPr>
            </w:pPr>
          </w:p>
        </w:tc>
        <w:tc>
          <w:tcPr>
            <w:tcW w:w="750" w:type="dxa"/>
            <w:vAlign w:val="top"/>
          </w:tcPr>
          <w:p w14:paraId="2ADE7004">
            <w:pPr>
              <w:rPr>
                <w:rFonts w:ascii="Arial"/>
                <w:strike/>
                <w:dstrike w:val="0"/>
                <w:color w:val="auto"/>
                <w:sz w:val="21"/>
                <w:highlight w:val="none"/>
              </w:rPr>
            </w:pPr>
          </w:p>
        </w:tc>
        <w:tc>
          <w:tcPr>
            <w:tcW w:w="704" w:type="dxa"/>
            <w:vAlign w:val="top"/>
          </w:tcPr>
          <w:p w14:paraId="4A52F3EE">
            <w:pPr>
              <w:rPr>
                <w:rFonts w:ascii="Arial"/>
                <w:strike/>
                <w:dstrike w:val="0"/>
                <w:color w:val="auto"/>
                <w:sz w:val="21"/>
                <w:highlight w:val="none"/>
              </w:rPr>
            </w:pPr>
          </w:p>
        </w:tc>
        <w:tc>
          <w:tcPr>
            <w:tcW w:w="753" w:type="dxa"/>
            <w:vAlign w:val="top"/>
          </w:tcPr>
          <w:p w14:paraId="735973BD">
            <w:pPr>
              <w:rPr>
                <w:rFonts w:ascii="Arial"/>
                <w:strike/>
                <w:dstrike w:val="0"/>
                <w:color w:val="auto"/>
                <w:sz w:val="21"/>
                <w:highlight w:val="none"/>
              </w:rPr>
            </w:pPr>
          </w:p>
        </w:tc>
        <w:tc>
          <w:tcPr>
            <w:tcW w:w="1036" w:type="dxa"/>
            <w:vAlign w:val="top"/>
          </w:tcPr>
          <w:p w14:paraId="5F9887DA">
            <w:pPr>
              <w:rPr>
                <w:rFonts w:ascii="Arial"/>
                <w:strike/>
                <w:dstrike w:val="0"/>
                <w:color w:val="auto"/>
                <w:sz w:val="21"/>
                <w:highlight w:val="none"/>
              </w:rPr>
            </w:pPr>
          </w:p>
        </w:tc>
      </w:tr>
      <w:tr w14:paraId="7F849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106E379A">
            <w:pPr>
              <w:rPr>
                <w:rFonts w:ascii="Arial"/>
                <w:strike/>
                <w:dstrike w:val="0"/>
                <w:color w:val="auto"/>
                <w:sz w:val="21"/>
                <w:highlight w:val="none"/>
              </w:rPr>
            </w:pPr>
          </w:p>
        </w:tc>
        <w:tc>
          <w:tcPr>
            <w:tcW w:w="1355" w:type="dxa"/>
            <w:vAlign w:val="top"/>
          </w:tcPr>
          <w:p w14:paraId="0C62FD9A">
            <w:pPr>
              <w:rPr>
                <w:rFonts w:ascii="Arial"/>
                <w:strike/>
                <w:dstrike w:val="0"/>
                <w:color w:val="auto"/>
                <w:sz w:val="21"/>
                <w:highlight w:val="none"/>
              </w:rPr>
            </w:pPr>
          </w:p>
        </w:tc>
        <w:tc>
          <w:tcPr>
            <w:tcW w:w="804" w:type="dxa"/>
            <w:vAlign w:val="top"/>
          </w:tcPr>
          <w:p w14:paraId="4CB3B187">
            <w:pPr>
              <w:rPr>
                <w:rFonts w:ascii="Arial"/>
                <w:strike/>
                <w:dstrike w:val="0"/>
                <w:color w:val="auto"/>
                <w:sz w:val="21"/>
                <w:highlight w:val="none"/>
              </w:rPr>
            </w:pPr>
          </w:p>
        </w:tc>
        <w:tc>
          <w:tcPr>
            <w:tcW w:w="734" w:type="dxa"/>
            <w:vAlign w:val="top"/>
          </w:tcPr>
          <w:p w14:paraId="03FA1B72">
            <w:pPr>
              <w:rPr>
                <w:rFonts w:ascii="Arial"/>
                <w:strike/>
                <w:dstrike w:val="0"/>
                <w:color w:val="auto"/>
                <w:sz w:val="21"/>
                <w:highlight w:val="none"/>
              </w:rPr>
            </w:pPr>
          </w:p>
        </w:tc>
        <w:tc>
          <w:tcPr>
            <w:tcW w:w="2444" w:type="dxa"/>
            <w:vAlign w:val="top"/>
          </w:tcPr>
          <w:p w14:paraId="7FFAF5E9">
            <w:pPr>
              <w:rPr>
                <w:rFonts w:ascii="Arial"/>
                <w:strike/>
                <w:dstrike w:val="0"/>
                <w:color w:val="auto"/>
                <w:sz w:val="21"/>
                <w:highlight w:val="none"/>
              </w:rPr>
            </w:pPr>
          </w:p>
        </w:tc>
        <w:tc>
          <w:tcPr>
            <w:tcW w:w="750" w:type="dxa"/>
            <w:vAlign w:val="top"/>
          </w:tcPr>
          <w:p w14:paraId="5845B0EE">
            <w:pPr>
              <w:rPr>
                <w:rFonts w:ascii="Arial"/>
                <w:strike/>
                <w:dstrike w:val="0"/>
                <w:color w:val="auto"/>
                <w:sz w:val="21"/>
                <w:highlight w:val="none"/>
              </w:rPr>
            </w:pPr>
          </w:p>
        </w:tc>
        <w:tc>
          <w:tcPr>
            <w:tcW w:w="704" w:type="dxa"/>
            <w:vAlign w:val="top"/>
          </w:tcPr>
          <w:p w14:paraId="2446932D">
            <w:pPr>
              <w:rPr>
                <w:rFonts w:ascii="Arial"/>
                <w:strike/>
                <w:dstrike w:val="0"/>
                <w:color w:val="auto"/>
                <w:sz w:val="21"/>
                <w:highlight w:val="none"/>
              </w:rPr>
            </w:pPr>
          </w:p>
        </w:tc>
        <w:tc>
          <w:tcPr>
            <w:tcW w:w="753" w:type="dxa"/>
            <w:vAlign w:val="top"/>
          </w:tcPr>
          <w:p w14:paraId="62AFDC7F">
            <w:pPr>
              <w:rPr>
                <w:rFonts w:ascii="Arial"/>
                <w:strike/>
                <w:dstrike w:val="0"/>
                <w:color w:val="auto"/>
                <w:sz w:val="21"/>
                <w:highlight w:val="none"/>
              </w:rPr>
            </w:pPr>
          </w:p>
        </w:tc>
        <w:tc>
          <w:tcPr>
            <w:tcW w:w="1036" w:type="dxa"/>
            <w:vAlign w:val="top"/>
          </w:tcPr>
          <w:p w14:paraId="4C99B5F8">
            <w:pPr>
              <w:rPr>
                <w:rFonts w:ascii="Arial"/>
                <w:strike/>
                <w:dstrike w:val="0"/>
                <w:color w:val="auto"/>
                <w:sz w:val="21"/>
                <w:highlight w:val="none"/>
              </w:rPr>
            </w:pPr>
          </w:p>
        </w:tc>
      </w:tr>
      <w:tr w14:paraId="0924E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1F628C95">
            <w:pPr>
              <w:rPr>
                <w:rFonts w:ascii="Arial"/>
                <w:strike/>
                <w:dstrike w:val="0"/>
                <w:color w:val="auto"/>
                <w:sz w:val="21"/>
                <w:highlight w:val="none"/>
              </w:rPr>
            </w:pPr>
          </w:p>
        </w:tc>
        <w:tc>
          <w:tcPr>
            <w:tcW w:w="1355" w:type="dxa"/>
            <w:vAlign w:val="top"/>
          </w:tcPr>
          <w:p w14:paraId="18DF70DA">
            <w:pPr>
              <w:rPr>
                <w:rFonts w:ascii="Arial"/>
                <w:strike/>
                <w:dstrike w:val="0"/>
                <w:color w:val="auto"/>
                <w:sz w:val="21"/>
                <w:highlight w:val="none"/>
              </w:rPr>
            </w:pPr>
          </w:p>
        </w:tc>
        <w:tc>
          <w:tcPr>
            <w:tcW w:w="804" w:type="dxa"/>
            <w:vAlign w:val="top"/>
          </w:tcPr>
          <w:p w14:paraId="6CDBDADA">
            <w:pPr>
              <w:rPr>
                <w:rFonts w:ascii="Arial"/>
                <w:strike/>
                <w:dstrike w:val="0"/>
                <w:color w:val="auto"/>
                <w:sz w:val="21"/>
                <w:highlight w:val="none"/>
              </w:rPr>
            </w:pPr>
          </w:p>
        </w:tc>
        <w:tc>
          <w:tcPr>
            <w:tcW w:w="734" w:type="dxa"/>
            <w:vAlign w:val="top"/>
          </w:tcPr>
          <w:p w14:paraId="6905D104">
            <w:pPr>
              <w:rPr>
                <w:rFonts w:ascii="Arial"/>
                <w:strike/>
                <w:dstrike w:val="0"/>
                <w:color w:val="auto"/>
                <w:sz w:val="21"/>
                <w:highlight w:val="none"/>
              </w:rPr>
            </w:pPr>
          </w:p>
        </w:tc>
        <w:tc>
          <w:tcPr>
            <w:tcW w:w="2444" w:type="dxa"/>
            <w:vAlign w:val="top"/>
          </w:tcPr>
          <w:p w14:paraId="211F49AC">
            <w:pPr>
              <w:rPr>
                <w:rFonts w:ascii="Arial"/>
                <w:strike/>
                <w:dstrike w:val="0"/>
                <w:color w:val="auto"/>
                <w:sz w:val="21"/>
                <w:highlight w:val="none"/>
              </w:rPr>
            </w:pPr>
          </w:p>
        </w:tc>
        <w:tc>
          <w:tcPr>
            <w:tcW w:w="750" w:type="dxa"/>
            <w:vAlign w:val="top"/>
          </w:tcPr>
          <w:p w14:paraId="5A866C86">
            <w:pPr>
              <w:rPr>
                <w:rFonts w:ascii="Arial"/>
                <w:strike/>
                <w:dstrike w:val="0"/>
                <w:color w:val="auto"/>
                <w:sz w:val="21"/>
                <w:highlight w:val="none"/>
              </w:rPr>
            </w:pPr>
          </w:p>
        </w:tc>
        <w:tc>
          <w:tcPr>
            <w:tcW w:w="704" w:type="dxa"/>
            <w:vAlign w:val="top"/>
          </w:tcPr>
          <w:p w14:paraId="1F2DFFE1">
            <w:pPr>
              <w:rPr>
                <w:rFonts w:ascii="Arial"/>
                <w:strike/>
                <w:dstrike w:val="0"/>
                <w:color w:val="auto"/>
                <w:sz w:val="21"/>
                <w:highlight w:val="none"/>
              </w:rPr>
            </w:pPr>
          </w:p>
        </w:tc>
        <w:tc>
          <w:tcPr>
            <w:tcW w:w="753" w:type="dxa"/>
            <w:vAlign w:val="top"/>
          </w:tcPr>
          <w:p w14:paraId="0683B74E">
            <w:pPr>
              <w:rPr>
                <w:rFonts w:ascii="Arial"/>
                <w:strike/>
                <w:dstrike w:val="0"/>
                <w:color w:val="auto"/>
                <w:sz w:val="21"/>
                <w:highlight w:val="none"/>
              </w:rPr>
            </w:pPr>
          </w:p>
        </w:tc>
        <w:tc>
          <w:tcPr>
            <w:tcW w:w="1036" w:type="dxa"/>
            <w:vAlign w:val="top"/>
          </w:tcPr>
          <w:p w14:paraId="2704C8EA">
            <w:pPr>
              <w:rPr>
                <w:rFonts w:ascii="Arial"/>
                <w:strike/>
                <w:dstrike w:val="0"/>
                <w:color w:val="auto"/>
                <w:sz w:val="21"/>
                <w:highlight w:val="none"/>
              </w:rPr>
            </w:pPr>
          </w:p>
        </w:tc>
      </w:tr>
      <w:tr w14:paraId="328C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4F547806">
            <w:pPr>
              <w:rPr>
                <w:rFonts w:ascii="Arial"/>
                <w:strike/>
                <w:dstrike w:val="0"/>
                <w:color w:val="auto"/>
                <w:sz w:val="21"/>
                <w:highlight w:val="none"/>
              </w:rPr>
            </w:pPr>
          </w:p>
        </w:tc>
        <w:tc>
          <w:tcPr>
            <w:tcW w:w="1355" w:type="dxa"/>
            <w:vAlign w:val="top"/>
          </w:tcPr>
          <w:p w14:paraId="0B539C2C">
            <w:pPr>
              <w:rPr>
                <w:rFonts w:ascii="Arial"/>
                <w:strike/>
                <w:dstrike w:val="0"/>
                <w:color w:val="auto"/>
                <w:sz w:val="21"/>
                <w:highlight w:val="none"/>
              </w:rPr>
            </w:pPr>
          </w:p>
        </w:tc>
        <w:tc>
          <w:tcPr>
            <w:tcW w:w="804" w:type="dxa"/>
            <w:vAlign w:val="top"/>
          </w:tcPr>
          <w:p w14:paraId="63D680B1">
            <w:pPr>
              <w:rPr>
                <w:rFonts w:ascii="Arial"/>
                <w:strike/>
                <w:dstrike w:val="0"/>
                <w:color w:val="auto"/>
                <w:sz w:val="21"/>
                <w:highlight w:val="none"/>
              </w:rPr>
            </w:pPr>
          </w:p>
        </w:tc>
        <w:tc>
          <w:tcPr>
            <w:tcW w:w="734" w:type="dxa"/>
            <w:vAlign w:val="top"/>
          </w:tcPr>
          <w:p w14:paraId="222B449F">
            <w:pPr>
              <w:rPr>
                <w:rFonts w:ascii="Arial"/>
                <w:strike/>
                <w:dstrike w:val="0"/>
                <w:color w:val="auto"/>
                <w:sz w:val="21"/>
                <w:highlight w:val="none"/>
              </w:rPr>
            </w:pPr>
          </w:p>
        </w:tc>
        <w:tc>
          <w:tcPr>
            <w:tcW w:w="2444" w:type="dxa"/>
            <w:vAlign w:val="top"/>
          </w:tcPr>
          <w:p w14:paraId="679023AC">
            <w:pPr>
              <w:rPr>
                <w:rFonts w:ascii="Arial"/>
                <w:strike/>
                <w:dstrike w:val="0"/>
                <w:color w:val="auto"/>
                <w:sz w:val="21"/>
                <w:highlight w:val="none"/>
              </w:rPr>
            </w:pPr>
          </w:p>
        </w:tc>
        <w:tc>
          <w:tcPr>
            <w:tcW w:w="750" w:type="dxa"/>
            <w:vAlign w:val="top"/>
          </w:tcPr>
          <w:p w14:paraId="5467CC05">
            <w:pPr>
              <w:rPr>
                <w:rFonts w:ascii="Arial"/>
                <w:strike/>
                <w:dstrike w:val="0"/>
                <w:color w:val="auto"/>
                <w:sz w:val="21"/>
                <w:highlight w:val="none"/>
              </w:rPr>
            </w:pPr>
          </w:p>
        </w:tc>
        <w:tc>
          <w:tcPr>
            <w:tcW w:w="704" w:type="dxa"/>
            <w:vAlign w:val="top"/>
          </w:tcPr>
          <w:p w14:paraId="5B0DCC17">
            <w:pPr>
              <w:rPr>
                <w:rFonts w:ascii="Arial"/>
                <w:strike/>
                <w:dstrike w:val="0"/>
                <w:color w:val="auto"/>
                <w:sz w:val="21"/>
                <w:highlight w:val="none"/>
              </w:rPr>
            </w:pPr>
          </w:p>
        </w:tc>
        <w:tc>
          <w:tcPr>
            <w:tcW w:w="753" w:type="dxa"/>
            <w:vAlign w:val="top"/>
          </w:tcPr>
          <w:p w14:paraId="51904E21">
            <w:pPr>
              <w:rPr>
                <w:rFonts w:ascii="Arial"/>
                <w:strike/>
                <w:dstrike w:val="0"/>
                <w:color w:val="auto"/>
                <w:sz w:val="21"/>
                <w:highlight w:val="none"/>
              </w:rPr>
            </w:pPr>
          </w:p>
        </w:tc>
        <w:tc>
          <w:tcPr>
            <w:tcW w:w="1036" w:type="dxa"/>
            <w:vAlign w:val="top"/>
          </w:tcPr>
          <w:p w14:paraId="328CF0B5">
            <w:pPr>
              <w:rPr>
                <w:rFonts w:ascii="Arial"/>
                <w:strike/>
                <w:dstrike w:val="0"/>
                <w:color w:val="auto"/>
                <w:sz w:val="21"/>
                <w:highlight w:val="none"/>
              </w:rPr>
            </w:pPr>
          </w:p>
        </w:tc>
      </w:tr>
      <w:tr w14:paraId="38038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1180B9E0">
            <w:pPr>
              <w:rPr>
                <w:rFonts w:ascii="Arial"/>
                <w:strike/>
                <w:dstrike w:val="0"/>
                <w:color w:val="auto"/>
                <w:sz w:val="21"/>
                <w:highlight w:val="none"/>
              </w:rPr>
            </w:pPr>
          </w:p>
        </w:tc>
        <w:tc>
          <w:tcPr>
            <w:tcW w:w="1355" w:type="dxa"/>
            <w:vAlign w:val="top"/>
          </w:tcPr>
          <w:p w14:paraId="424B0564">
            <w:pPr>
              <w:rPr>
                <w:rFonts w:ascii="Arial"/>
                <w:strike/>
                <w:dstrike w:val="0"/>
                <w:color w:val="auto"/>
                <w:sz w:val="21"/>
                <w:highlight w:val="none"/>
              </w:rPr>
            </w:pPr>
          </w:p>
        </w:tc>
        <w:tc>
          <w:tcPr>
            <w:tcW w:w="804" w:type="dxa"/>
            <w:vAlign w:val="top"/>
          </w:tcPr>
          <w:p w14:paraId="2635B99E">
            <w:pPr>
              <w:rPr>
                <w:rFonts w:ascii="Arial"/>
                <w:strike/>
                <w:dstrike w:val="0"/>
                <w:color w:val="auto"/>
                <w:sz w:val="21"/>
                <w:highlight w:val="none"/>
              </w:rPr>
            </w:pPr>
          </w:p>
        </w:tc>
        <w:tc>
          <w:tcPr>
            <w:tcW w:w="734" w:type="dxa"/>
            <w:vAlign w:val="top"/>
          </w:tcPr>
          <w:p w14:paraId="4FA3405E">
            <w:pPr>
              <w:rPr>
                <w:rFonts w:ascii="Arial"/>
                <w:strike/>
                <w:dstrike w:val="0"/>
                <w:color w:val="auto"/>
                <w:sz w:val="21"/>
                <w:highlight w:val="none"/>
              </w:rPr>
            </w:pPr>
          </w:p>
        </w:tc>
        <w:tc>
          <w:tcPr>
            <w:tcW w:w="2444" w:type="dxa"/>
            <w:vAlign w:val="top"/>
          </w:tcPr>
          <w:p w14:paraId="097A8351">
            <w:pPr>
              <w:rPr>
                <w:rFonts w:ascii="Arial"/>
                <w:strike/>
                <w:dstrike w:val="0"/>
                <w:color w:val="auto"/>
                <w:sz w:val="21"/>
                <w:highlight w:val="none"/>
              </w:rPr>
            </w:pPr>
          </w:p>
        </w:tc>
        <w:tc>
          <w:tcPr>
            <w:tcW w:w="750" w:type="dxa"/>
            <w:vAlign w:val="top"/>
          </w:tcPr>
          <w:p w14:paraId="2E034DF5">
            <w:pPr>
              <w:rPr>
                <w:rFonts w:ascii="Arial"/>
                <w:strike/>
                <w:dstrike w:val="0"/>
                <w:color w:val="auto"/>
                <w:sz w:val="21"/>
                <w:highlight w:val="none"/>
              </w:rPr>
            </w:pPr>
          </w:p>
        </w:tc>
        <w:tc>
          <w:tcPr>
            <w:tcW w:w="704" w:type="dxa"/>
            <w:vAlign w:val="top"/>
          </w:tcPr>
          <w:p w14:paraId="686E9B04">
            <w:pPr>
              <w:rPr>
                <w:rFonts w:ascii="Arial"/>
                <w:strike/>
                <w:dstrike w:val="0"/>
                <w:color w:val="auto"/>
                <w:sz w:val="21"/>
                <w:highlight w:val="none"/>
              </w:rPr>
            </w:pPr>
          </w:p>
        </w:tc>
        <w:tc>
          <w:tcPr>
            <w:tcW w:w="753" w:type="dxa"/>
            <w:vAlign w:val="top"/>
          </w:tcPr>
          <w:p w14:paraId="302F89B8">
            <w:pPr>
              <w:rPr>
                <w:rFonts w:ascii="Arial"/>
                <w:strike/>
                <w:dstrike w:val="0"/>
                <w:color w:val="auto"/>
                <w:sz w:val="21"/>
                <w:highlight w:val="none"/>
              </w:rPr>
            </w:pPr>
          </w:p>
        </w:tc>
        <w:tc>
          <w:tcPr>
            <w:tcW w:w="1036" w:type="dxa"/>
            <w:vAlign w:val="top"/>
          </w:tcPr>
          <w:p w14:paraId="553D7D0F">
            <w:pPr>
              <w:rPr>
                <w:rFonts w:ascii="Arial"/>
                <w:strike/>
                <w:dstrike w:val="0"/>
                <w:color w:val="auto"/>
                <w:sz w:val="21"/>
                <w:highlight w:val="none"/>
              </w:rPr>
            </w:pPr>
          </w:p>
        </w:tc>
      </w:tr>
      <w:tr w14:paraId="1ED49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71D68648">
            <w:pPr>
              <w:rPr>
                <w:rFonts w:ascii="Arial"/>
                <w:strike/>
                <w:dstrike w:val="0"/>
                <w:color w:val="auto"/>
                <w:sz w:val="21"/>
                <w:highlight w:val="none"/>
              </w:rPr>
            </w:pPr>
          </w:p>
        </w:tc>
        <w:tc>
          <w:tcPr>
            <w:tcW w:w="1355" w:type="dxa"/>
            <w:vAlign w:val="top"/>
          </w:tcPr>
          <w:p w14:paraId="12FCCD38">
            <w:pPr>
              <w:rPr>
                <w:rFonts w:ascii="Arial"/>
                <w:strike/>
                <w:dstrike w:val="0"/>
                <w:color w:val="auto"/>
                <w:sz w:val="21"/>
                <w:highlight w:val="none"/>
              </w:rPr>
            </w:pPr>
          </w:p>
        </w:tc>
        <w:tc>
          <w:tcPr>
            <w:tcW w:w="804" w:type="dxa"/>
            <w:vAlign w:val="top"/>
          </w:tcPr>
          <w:p w14:paraId="1856DFA6">
            <w:pPr>
              <w:rPr>
                <w:rFonts w:ascii="Arial"/>
                <w:strike/>
                <w:dstrike w:val="0"/>
                <w:color w:val="auto"/>
                <w:sz w:val="21"/>
                <w:highlight w:val="none"/>
              </w:rPr>
            </w:pPr>
          </w:p>
        </w:tc>
        <w:tc>
          <w:tcPr>
            <w:tcW w:w="734" w:type="dxa"/>
            <w:vAlign w:val="top"/>
          </w:tcPr>
          <w:p w14:paraId="290B5182">
            <w:pPr>
              <w:rPr>
                <w:rFonts w:ascii="Arial"/>
                <w:strike/>
                <w:dstrike w:val="0"/>
                <w:color w:val="auto"/>
                <w:sz w:val="21"/>
                <w:highlight w:val="none"/>
              </w:rPr>
            </w:pPr>
          </w:p>
        </w:tc>
        <w:tc>
          <w:tcPr>
            <w:tcW w:w="2444" w:type="dxa"/>
            <w:vAlign w:val="top"/>
          </w:tcPr>
          <w:p w14:paraId="4BD987A4">
            <w:pPr>
              <w:rPr>
                <w:rFonts w:ascii="Arial"/>
                <w:strike/>
                <w:dstrike w:val="0"/>
                <w:color w:val="auto"/>
                <w:sz w:val="21"/>
                <w:highlight w:val="none"/>
              </w:rPr>
            </w:pPr>
          </w:p>
        </w:tc>
        <w:tc>
          <w:tcPr>
            <w:tcW w:w="750" w:type="dxa"/>
            <w:vAlign w:val="top"/>
          </w:tcPr>
          <w:p w14:paraId="105BE3F5">
            <w:pPr>
              <w:rPr>
                <w:rFonts w:ascii="Arial"/>
                <w:strike/>
                <w:dstrike w:val="0"/>
                <w:color w:val="auto"/>
                <w:sz w:val="21"/>
                <w:highlight w:val="none"/>
              </w:rPr>
            </w:pPr>
          </w:p>
        </w:tc>
        <w:tc>
          <w:tcPr>
            <w:tcW w:w="704" w:type="dxa"/>
            <w:vAlign w:val="top"/>
          </w:tcPr>
          <w:p w14:paraId="1CDDD09A">
            <w:pPr>
              <w:rPr>
                <w:rFonts w:ascii="Arial"/>
                <w:strike/>
                <w:dstrike w:val="0"/>
                <w:color w:val="auto"/>
                <w:sz w:val="21"/>
                <w:highlight w:val="none"/>
              </w:rPr>
            </w:pPr>
          </w:p>
        </w:tc>
        <w:tc>
          <w:tcPr>
            <w:tcW w:w="753" w:type="dxa"/>
            <w:vAlign w:val="top"/>
          </w:tcPr>
          <w:p w14:paraId="6160782F">
            <w:pPr>
              <w:rPr>
                <w:rFonts w:ascii="Arial"/>
                <w:strike/>
                <w:dstrike w:val="0"/>
                <w:color w:val="auto"/>
                <w:sz w:val="21"/>
                <w:highlight w:val="none"/>
              </w:rPr>
            </w:pPr>
          </w:p>
        </w:tc>
        <w:tc>
          <w:tcPr>
            <w:tcW w:w="1036" w:type="dxa"/>
            <w:vAlign w:val="top"/>
          </w:tcPr>
          <w:p w14:paraId="7DFF9FD3">
            <w:pPr>
              <w:rPr>
                <w:rFonts w:ascii="Arial"/>
                <w:strike/>
                <w:dstrike w:val="0"/>
                <w:color w:val="auto"/>
                <w:sz w:val="21"/>
                <w:highlight w:val="none"/>
              </w:rPr>
            </w:pPr>
          </w:p>
        </w:tc>
      </w:tr>
      <w:tr w14:paraId="6BA25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2" w:type="dxa"/>
            <w:vAlign w:val="top"/>
          </w:tcPr>
          <w:p w14:paraId="6F690ABD">
            <w:pPr>
              <w:rPr>
                <w:rFonts w:ascii="Arial"/>
                <w:strike/>
                <w:dstrike w:val="0"/>
                <w:color w:val="auto"/>
                <w:sz w:val="21"/>
                <w:highlight w:val="none"/>
              </w:rPr>
            </w:pPr>
          </w:p>
        </w:tc>
        <w:tc>
          <w:tcPr>
            <w:tcW w:w="1355" w:type="dxa"/>
            <w:vAlign w:val="top"/>
          </w:tcPr>
          <w:p w14:paraId="0059596F">
            <w:pPr>
              <w:rPr>
                <w:rFonts w:ascii="Arial"/>
                <w:strike/>
                <w:dstrike w:val="0"/>
                <w:color w:val="auto"/>
                <w:sz w:val="21"/>
                <w:highlight w:val="none"/>
              </w:rPr>
            </w:pPr>
          </w:p>
        </w:tc>
        <w:tc>
          <w:tcPr>
            <w:tcW w:w="804" w:type="dxa"/>
            <w:vAlign w:val="top"/>
          </w:tcPr>
          <w:p w14:paraId="4A2D351F">
            <w:pPr>
              <w:rPr>
                <w:rFonts w:ascii="Arial"/>
                <w:strike/>
                <w:dstrike w:val="0"/>
                <w:color w:val="auto"/>
                <w:sz w:val="21"/>
                <w:highlight w:val="none"/>
              </w:rPr>
            </w:pPr>
          </w:p>
        </w:tc>
        <w:tc>
          <w:tcPr>
            <w:tcW w:w="734" w:type="dxa"/>
            <w:vAlign w:val="top"/>
          </w:tcPr>
          <w:p w14:paraId="61F2A567">
            <w:pPr>
              <w:rPr>
                <w:rFonts w:ascii="Arial"/>
                <w:strike/>
                <w:dstrike w:val="0"/>
                <w:color w:val="auto"/>
                <w:sz w:val="21"/>
                <w:highlight w:val="none"/>
              </w:rPr>
            </w:pPr>
          </w:p>
        </w:tc>
        <w:tc>
          <w:tcPr>
            <w:tcW w:w="2444" w:type="dxa"/>
            <w:vAlign w:val="top"/>
          </w:tcPr>
          <w:p w14:paraId="489909C7">
            <w:pPr>
              <w:rPr>
                <w:rFonts w:ascii="Arial"/>
                <w:strike/>
                <w:dstrike w:val="0"/>
                <w:color w:val="auto"/>
                <w:sz w:val="21"/>
                <w:highlight w:val="none"/>
              </w:rPr>
            </w:pPr>
          </w:p>
        </w:tc>
        <w:tc>
          <w:tcPr>
            <w:tcW w:w="750" w:type="dxa"/>
            <w:vAlign w:val="top"/>
          </w:tcPr>
          <w:p w14:paraId="62EF6EE6">
            <w:pPr>
              <w:rPr>
                <w:rFonts w:ascii="Arial"/>
                <w:strike/>
                <w:dstrike w:val="0"/>
                <w:color w:val="auto"/>
                <w:sz w:val="21"/>
                <w:highlight w:val="none"/>
              </w:rPr>
            </w:pPr>
          </w:p>
        </w:tc>
        <w:tc>
          <w:tcPr>
            <w:tcW w:w="704" w:type="dxa"/>
            <w:vAlign w:val="top"/>
          </w:tcPr>
          <w:p w14:paraId="21C209C3">
            <w:pPr>
              <w:rPr>
                <w:rFonts w:ascii="Arial"/>
                <w:strike/>
                <w:dstrike w:val="0"/>
                <w:color w:val="auto"/>
                <w:sz w:val="21"/>
                <w:highlight w:val="none"/>
              </w:rPr>
            </w:pPr>
          </w:p>
        </w:tc>
        <w:tc>
          <w:tcPr>
            <w:tcW w:w="753" w:type="dxa"/>
            <w:vAlign w:val="top"/>
          </w:tcPr>
          <w:p w14:paraId="0FF83315">
            <w:pPr>
              <w:rPr>
                <w:rFonts w:ascii="Arial"/>
                <w:strike/>
                <w:dstrike w:val="0"/>
                <w:color w:val="auto"/>
                <w:sz w:val="21"/>
                <w:highlight w:val="none"/>
              </w:rPr>
            </w:pPr>
          </w:p>
        </w:tc>
        <w:tc>
          <w:tcPr>
            <w:tcW w:w="1036" w:type="dxa"/>
            <w:vAlign w:val="top"/>
          </w:tcPr>
          <w:p w14:paraId="3986197C">
            <w:pPr>
              <w:rPr>
                <w:rFonts w:ascii="Arial"/>
                <w:strike/>
                <w:dstrike w:val="0"/>
                <w:color w:val="auto"/>
                <w:sz w:val="21"/>
                <w:highlight w:val="none"/>
              </w:rPr>
            </w:pPr>
          </w:p>
        </w:tc>
      </w:tr>
    </w:tbl>
    <w:p w14:paraId="28B18755">
      <w:pPr>
        <w:pStyle w:val="3"/>
        <w:rPr>
          <w:strike/>
          <w:dstrike w:val="0"/>
          <w:color w:val="auto"/>
          <w:highlight w:val="none"/>
        </w:rPr>
      </w:pPr>
    </w:p>
    <w:p w14:paraId="01090A1B">
      <w:pPr>
        <w:pStyle w:val="3"/>
        <w:rPr>
          <w:strike/>
          <w:dstrike w:val="0"/>
          <w:color w:val="auto"/>
          <w:highlight w:val="none"/>
        </w:rPr>
      </w:pPr>
    </w:p>
    <w:p w14:paraId="7F743750">
      <w:pPr>
        <w:pStyle w:val="3"/>
        <w:rPr>
          <w:strike/>
          <w:dstrike w:val="0"/>
          <w:color w:val="auto"/>
          <w:highlight w:val="none"/>
        </w:rPr>
      </w:pPr>
    </w:p>
    <w:p w14:paraId="43C3013A">
      <w:pPr>
        <w:pStyle w:val="3"/>
        <w:rPr>
          <w:strike/>
          <w:dstrike w:val="0"/>
          <w:color w:val="auto"/>
          <w:highlight w:val="none"/>
        </w:rPr>
      </w:pPr>
    </w:p>
    <w:p w14:paraId="6EA38BF0">
      <w:pPr>
        <w:pStyle w:val="3"/>
        <w:rPr>
          <w:strike/>
          <w:dstrike w:val="0"/>
          <w:color w:val="auto"/>
          <w:highlight w:val="none"/>
        </w:rPr>
      </w:pPr>
    </w:p>
    <w:p w14:paraId="1A9761E9">
      <w:pPr>
        <w:pStyle w:val="3"/>
        <w:rPr>
          <w:strike/>
          <w:dstrike w:val="0"/>
          <w:color w:val="auto"/>
          <w:highlight w:val="none"/>
        </w:rPr>
      </w:pPr>
    </w:p>
    <w:p w14:paraId="3067EEDC">
      <w:pPr>
        <w:pStyle w:val="3"/>
        <w:rPr>
          <w:strike/>
          <w:dstrike w:val="0"/>
          <w:color w:val="auto"/>
          <w:highlight w:val="none"/>
        </w:rPr>
      </w:pPr>
    </w:p>
    <w:p w14:paraId="7DAAFFD7">
      <w:pPr>
        <w:pStyle w:val="3"/>
        <w:rPr>
          <w:strike/>
          <w:dstrike w:val="0"/>
          <w:color w:val="auto"/>
          <w:highlight w:val="none"/>
        </w:rPr>
      </w:pPr>
    </w:p>
    <w:p w14:paraId="1DF1462C">
      <w:pPr>
        <w:pStyle w:val="3"/>
        <w:rPr>
          <w:strike/>
          <w:dstrike w:val="0"/>
          <w:color w:val="auto"/>
          <w:highlight w:val="none"/>
        </w:rPr>
      </w:pPr>
    </w:p>
    <w:p w14:paraId="0920AA33">
      <w:pPr>
        <w:pStyle w:val="3"/>
        <w:rPr>
          <w:strike/>
          <w:dstrike w:val="0"/>
          <w:color w:val="auto"/>
          <w:highlight w:val="none"/>
        </w:rPr>
      </w:pPr>
    </w:p>
    <w:p w14:paraId="6C858D14">
      <w:pPr>
        <w:pStyle w:val="3"/>
        <w:rPr>
          <w:strike/>
          <w:dstrike w:val="0"/>
          <w:color w:val="auto"/>
          <w:highlight w:val="none"/>
        </w:rPr>
      </w:pPr>
    </w:p>
    <w:p w14:paraId="2D013580">
      <w:pPr>
        <w:pStyle w:val="3"/>
        <w:rPr>
          <w:color w:val="auto"/>
          <w:highlight w:val="none"/>
        </w:rPr>
      </w:pPr>
    </w:p>
    <w:p w14:paraId="128B498F">
      <w:pPr>
        <w:pStyle w:val="3"/>
        <w:rPr>
          <w:color w:val="auto"/>
          <w:highlight w:val="none"/>
        </w:rPr>
      </w:pPr>
    </w:p>
    <w:p w14:paraId="26C6E93B">
      <w:pPr>
        <w:pStyle w:val="3"/>
        <w:rPr>
          <w:color w:val="auto"/>
          <w:highlight w:val="none"/>
        </w:rPr>
      </w:pPr>
    </w:p>
    <w:p w14:paraId="238D43B6">
      <w:pPr>
        <w:pStyle w:val="3"/>
        <w:rPr>
          <w:color w:val="auto"/>
          <w:highlight w:val="none"/>
        </w:rPr>
      </w:pPr>
    </w:p>
    <w:p w14:paraId="4F8F96F9">
      <w:pPr>
        <w:pStyle w:val="3"/>
        <w:spacing w:line="241" w:lineRule="auto"/>
        <w:rPr>
          <w:color w:val="auto"/>
          <w:highlight w:val="none"/>
        </w:rPr>
      </w:pPr>
    </w:p>
    <w:p w14:paraId="43554FB3">
      <w:pPr>
        <w:pStyle w:val="3"/>
        <w:spacing w:line="241" w:lineRule="auto"/>
        <w:rPr>
          <w:color w:val="auto"/>
          <w:highlight w:val="none"/>
        </w:rPr>
      </w:pPr>
    </w:p>
    <w:p w14:paraId="1BF86E44">
      <w:pPr>
        <w:pStyle w:val="3"/>
        <w:spacing w:line="241" w:lineRule="auto"/>
        <w:rPr>
          <w:color w:val="auto"/>
          <w:highlight w:val="none"/>
        </w:rPr>
      </w:pPr>
    </w:p>
    <w:p w14:paraId="0EF20EA2">
      <w:pPr>
        <w:pStyle w:val="3"/>
        <w:spacing w:line="241" w:lineRule="auto"/>
        <w:rPr>
          <w:color w:val="auto"/>
          <w:highlight w:val="none"/>
        </w:rPr>
      </w:pPr>
    </w:p>
    <w:p w14:paraId="22FEA8F4">
      <w:pPr>
        <w:pStyle w:val="3"/>
        <w:spacing w:line="241" w:lineRule="auto"/>
        <w:rPr>
          <w:color w:val="auto"/>
          <w:highlight w:val="none"/>
        </w:rPr>
      </w:pPr>
    </w:p>
    <w:p w14:paraId="258D03B9">
      <w:pPr>
        <w:pStyle w:val="3"/>
        <w:spacing w:line="241" w:lineRule="auto"/>
        <w:rPr>
          <w:color w:val="auto"/>
          <w:highlight w:val="none"/>
        </w:rPr>
      </w:pPr>
    </w:p>
    <w:p w14:paraId="4BB3F659">
      <w:pPr>
        <w:spacing w:line="217" w:lineRule="auto"/>
        <w:rPr>
          <w:rFonts w:ascii="宋体" w:hAnsi="宋体" w:eastAsia="宋体" w:cs="宋体"/>
          <w:color w:val="auto"/>
          <w:sz w:val="18"/>
          <w:szCs w:val="18"/>
          <w:highlight w:val="none"/>
        </w:rPr>
        <w:sectPr>
          <w:headerReference r:id="rId86" w:type="default"/>
          <w:footerReference r:id="rId87" w:type="default"/>
          <w:pgSz w:w="11905" w:h="16840"/>
          <w:pgMar w:top="1182" w:right="0" w:bottom="1171" w:left="0" w:header="849" w:footer="936" w:gutter="0"/>
          <w:pgNumType w:fmt="decimal"/>
          <w:cols w:space="720" w:num="1"/>
        </w:sectPr>
      </w:pPr>
    </w:p>
    <w:p w14:paraId="59780D36">
      <w:pPr>
        <w:pStyle w:val="3"/>
        <w:spacing w:line="267" w:lineRule="auto"/>
        <w:rPr>
          <w:color w:val="auto"/>
          <w:highlight w:val="none"/>
        </w:rPr>
      </w:pPr>
    </w:p>
    <w:p w14:paraId="7C2E4DE2">
      <w:pPr>
        <w:spacing w:before="78" w:line="219" w:lineRule="auto"/>
        <w:ind w:left="1444"/>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附件十二：</w:t>
      </w:r>
    </w:p>
    <w:p w14:paraId="5EE3FDFD">
      <w:pPr>
        <w:spacing w:before="197"/>
        <w:ind w:left="3438"/>
        <w:rPr>
          <w:rFonts w:ascii="宋体" w:hAnsi="宋体" w:eastAsia="宋体" w:cs="宋体"/>
          <w:color w:val="auto"/>
          <w:sz w:val="15"/>
          <w:szCs w:val="15"/>
          <w:highlight w:val="none"/>
        </w:rPr>
      </w:pPr>
      <w:r>
        <w:rPr>
          <w:rFonts w:ascii="宋体" w:hAnsi="宋体" w:eastAsia="宋体" w:cs="宋体"/>
          <w:b/>
          <w:bCs/>
          <w:color w:val="auto"/>
          <w:spacing w:val="3"/>
          <w:sz w:val="31"/>
          <w:szCs w:val="31"/>
          <w:highlight w:val="none"/>
        </w:rPr>
        <w:t>22.1.2</w:t>
      </w:r>
      <w:r>
        <w:rPr>
          <w:rFonts w:ascii="宋体" w:hAnsi="宋体" w:eastAsia="宋体" w:cs="宋体"/>
          <w:color w:val="auto"/>
          <w:spacing w:val="-26"/>
          <w:sz w:val="31"/>
          <w:szCs w:val="31"/>
          <w:highlight w:val="none"/>
        </w:rPr>
        <w:t xml:space="preserve"> </w:t>
      </w:r>
      <w:r>
        <w:rPr>
          <w:rFonts w:ascii="宋体" w:hAnsi="宋体" w:eastAsia="宋体" w:cs="宋体"/>
          <w:b/>
          <w:bCs/>
          <w:color w:val="auto"/>
          <w:spacing w:val="3"/>
          <w:sz w:val="31"/>
          <w:szCs w:val="31"/>
          <w:highlight w:val="none"/>
        </w:rPr>
        <w:t>附表</w:t>
      </w:r>
      <w:r>
        <w:rPr>
          <w:rFonts w:ascii="宋体" w:hAnsi="宋体" w:eastAsia="宋体" w:cs="宋体"/>
          <w:color w:val="auto"/>
          <w:spacing w:val="3"/>
          <w:sz w:val="31"/>
          <w:szCs w:val="31"/>
          <w:highlight w:val="none"/>
        </w:rPr>
        <w:t xml:space="preserve">  </w:t>
      </w:r>
      <w:r>
        <w:rPr>
          <w:rFonts w:ascii="宋体" w:hAnsi="宋体" w:eastAsia="宋体" w:cs="宋体"/>
          <w:b/>
          <w:bCs/>
          <w:color w:val="auto"/>
          <w:spacing w:val="3"/>
          <w:sz w:val="31"/>
          <w:szCs w:val="31"/>
          <w:highlight w:val="none"/>
        </w:rPr>
        <w:t>承包人违约金一览表</w:t>
      </w:r>
    </w:p>
    <w:p w14:paraId="35441ED7">
      <w:pPr>
        <w:spacing w:line="94" w:lineRule="exact"/>
        <w:rPr>
          <w:color w:val="auto"/>
          <w:highlight w:val="none"/>
        </w:rPr>
      </w:pPr>
    </w:p>
    <w:tbl>
      <w:tblPr>
        <w:tblStyle w:val="16"/>
        <w:tblW w:w="947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59C52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3E75F7F1">
            <w:pPr>
              <w:pStyle w:val="17"/>
              <w:spacing w:before="214" w:line="221" w:lineRule="auto"/>
              <w:ind w:left="225"/>
              <w:rPr>
                <w:color w:val="auto"/>
                <w:highlight w:val="none"/>
              </w:rPr>
            </w:pPr>
            <w:r>
              <w:rPr>
                <w:b/>
                <w:bCs/>
                <w:color w:val="auto"/>
                <w:spacing w:val="-4"/>
                <w:highlight w:val="none"/>
              </w:rPr>
              <w:t>序号</w:t>
            </w:r>
          </w:p>
        </w:tc>
        <w:tc>
          <w:tcPr>
            <w:tcW w:w="1469" w:type="dxa"/>
            <w:vAlign w:val="top"/>
          </w:tcPr>
          <w:p w14:paraId="581B882E">
            <w:pPr>
              <w:pStyle w:val="17"/>
              <w:spacing w:before="213" w:line="219" w:lineRule="auto"/>
              <w:ind w:left="319"/>
              <w:rPr>
                <w:color w:val="auto"/>
                <w:highlight w:val="none"/>
              </w:rPr>
            </w:pPr>
            <w:r>
              <w:rPr>
                <w:b/>
                <w:bCs/>
                <w:color w:val="auto"/>
                <w:spacing w:val="-5"/>
                <w:highlight w:val="none"/>
              </w:rPr>
              <w:t>合同依据</w:t>
            </w:r>
          </w:p>
        </w:tc>
        <w:tc>
          <w:tcPr>
            <w:tcW w:w="3762" w:type="dxa"/>
            <w:vAlign w:val="top"/>
          </w:tcPr>
          <w:p w14:paraId="4E7B3856">
            <w:pPr>
              <w:pStyle w:val="17"/>
              <w:spacing w:before="213" w:line="220" w:lineRule="auto"/>
              <w:ind w:left="1465"/>
              <w:rPr>
                <w:color w:val="auto"/>
                <w:highlight w:val="none"/>
              </w:rPr>
            </w:pPr>
            <w:r>
              <w:rPr>
                <w:b/>
                <w:bCs/>
                <w:color w:val="auto"/>
                <w:spacing w:val="-4"/>
                <w:highlight w:val="none"/>
              </w:rPr>
              <w:t>违约内容</w:t>
            </w:r>
          </w:p>
        </w:tc>
        <w:tc>
          <w:tcPr>
            <w:tcW w:w="1799" w:type="dxa"/>
            <w:vAlign w:val="top"/>
          </w:tcPr>
          <w:p w14:paraId="3611B5D8">
            <w:pPr>
              <w:pStyle w:val="17"/>
              <w:spacing w:before="214" w:line="220" w:lineRule="auto"/>
              <w:ind w:left="381"/>
              <w:rPr>
                <w:color w:val="auto"/>
                <w:highlight w:val="none"/>
              </w:rPr>
            </w:pPr>
            <w:r>
              <w:rPr>
                <w:b/>
                <w:bCs/>
                <w:color w:val="auto"/>
                <w:spacing w:val="-4"/>
                <w:highlight w:val="none"/>
              </w:rPr>
              <w:t>违约金标准</w:t>
            </w:r>
          </w:p>
        </w:tc>
        <w:tc>
          <w:tcPr>
            <w:tcW w:w="1580" w:type="dxa"/>
            <w:vAlign w:val="top"/>
          </w:tcPr>
          <w:p w14:paraId="797DA0FC">
            <w:pPr>
              <w:pStyle w:val="17"/>
              <w:spacing w:before="214" w:line="221" w:lineRule="auto"/>
              <w:ind w:left="586"/>
              <w:rPr>
                <w:color w:val="auto"/>
                <w:highlight w:val="none"/>
              </w:rPr>
            </w:pPr>
            <w:r>
              <w:rPr>
                <w:b/>
                <w:bCs/>
                <w:color w:val="auto"/>
                <w:spacing w:val="-5"/>
                <w:highlight w:val="none"/>
              </w:rPr>
              <w:t>备注</w:t>
            </w:r>
          </w:p>
        </w:tc>
      </w:tr>
      <w:tr w14:paraId="7196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2A86FF15">
            <w:pPr>
              <w:spacing w:line="395" w:lineRule="auto"/>
              <w:rPr>
                <w:rFonts w:ascii="Arial"/>
                <w:color w:val="auto"/>
                <w:sz w:val="21"/>
                <w:highlight w:val="none"/>
              </w:rPr>
            </w:pPr>
          </w:p>
          <w:p w14:paraId="4F2BE545">
            <w:pPr>
              <w:pStyle w:val="17"/>
              <w:spacing w:before="68" w:line="241" w:lineRule="auto"/>
              <w:ind w:left="399"/>
              <w:rPr>
                <w:color w:val="auto"/>
                <w:highlight w:val="none"/>
              </w:rPr>
            </w:pPr>
            <w:r>
              <w:rPr>
                <w:color w:val="auto"/>
                <w:highlight w:val="none"/>
              </w:rPr>
              <w:t>1</w:t>
            </w:r>
          </w:p>
        </w:tc>
        <w:tc>
          <w:tcPr>
            <w:tcW w:w="1469" w:type="dxa"/>
            <w:vAlign w:val="top"/>
          </w:tcPr>
          <w:p w14:paraId="3BDD19AA">
            <w:pPr>
              <w:spacing w:line="395" w:lineRule="auto"/>
              <w:rPr>
                <w:rFonts w:ascii="Arial"/>
                <w:color w:val="auto"/>
                <w:sz w:val="21"/>
                <w:highlight w:val="none"/>
              </w:rPr>
            </w:pPr>
          </w:p>
          <w:p w14:paraId="268304CC">
            <w:pPr>
              <w:pStyle w:val="17"/>
              <w:spacing w:before="68" w:line="239" w:lineRule="auto"/>
              <w:ind w:left="489"/>
              <w:rPr>
                <w:color w:val="auto"/>
                <w:highlight w:val="none"/>
              </w:rPr>
            </w:pPr>
            <w:r>
              <w:rPr>
                <w:color w:val="auto"/>
                <w:spacing w:val="-5"/>
                <w:highlight w:val="none"/>
              </w:rPr>
              <w:t>1.6.1</w:t>
            </w:r>
          </w:p>
        </w:tc>
        <w:tc>
          <w:tcPr>
            <w:tcW w:w="3762" w:type="dxa"/>
            <w:vAlign w:val="top"/>
          </w:tcPr>
          <w:p w14:paraId="21C03BF5">
            <w:pPr>
              <w:pStyle w:val="17"/>
              <w:spacing w:before="104" w:line="284" w:lineRule="auto"/>
              <w:ind w:left="112" w:right="106" w:firstLine="2"/>
              <w:rPr>
                <w:color w:val="auto"/>
                <w:highlight w:val="none"/>
              </w:rPr>
            </w:pPr>
            <w:r>
              <w:rPr>
                <w:color w:val="auto"/>
                <w:spacing w:val="-3"/>
                <w:highlight w:val="none"/>
              </w:rPr>
              <w:t>未经发包人同意，承包人擅自将图纸、</w:t>
            </w:r>
            <w:r>
              <w:rPr>
                <w:color w:val="auto"/>
                <w:spacing w:val="11"/>
                <w:highlight w:val="none"/>
              </w:rPr>
              <w:t>技术规范和其他技术资料提供给与本</w:t>
            </w:r>
            <w:r>
              <w:rPr>
                <w:color w:val="auto"/>
                <w:spacing w:val="-1"/>
                <w:highlight w:val="none"/>
              </w:rPr>
              <w:t>工程施工无关的第三方</w:t>
            </w:r>
          </w:p>
        </w:tc>
        <w:tc>
          <w:tcPr>
            <w:tcW w:w="1799" w:type="dxa"/>
            <w:vAlign w:val="top"/>
          </w:tcPr>
          <w:p w14:paraId="048D8694">
            <w:pPr>
              <w:spacing w:line="394" w:lineRule="auto"/>
              <w:rPr>
                <w:rFonts w:ascii="Arial"/>
                <w:color w:val="auto"/>
                <w:sz w:val="21"/>
                <w:highlight w:val="none"/>
              </w:rPr>
            </w:pPr>
          </w:p>
          <w:p w14:paraId="47023624">
            <w:pPr>
              <w:pStyle w:val="17"/>
              <w:spacing w:before="69" w:line="220" w:lineRule="auto"/>
              <w:ind w:left="463"/>
              <w:rPr>
                <w:color w:val="auto"/>
                <w:highlight w:val="none"/>
              </w:rPr>
            </w:pPr>
            <w:r>
              <w:rPr>
                <w:color w:val="auto"/>
                <w:spacing w:val="-5"/>
                <w:highlight w:val="none"/>
              </w:rPr>
              <w:t>2</w:t>
            </w:r>
            <w:r>
              <w:rPr>
                <w:color w:val="auto"/>
                <w:spacing w:val="-37"/>
                <w:highlight w:val="none"/>
              </w:rPr>
              <w:t xml:space="preserve"> </w:t>
            </w:r>
            <w:r>
              <w:rPr>
                <w:color w:val="auto"/>
                <w:spacing w:val="-5"/>
                <w:highlight w:val="none"/>
              </w:rPr>
              <w:t>万元/次</w:t>
            </w:r>
          </w:p>
        </w:tc>
        <w:tc>
          <w:tcPr>
            <w:tcW w:w="1580" w:type="dxa"/>
            <w:vAlign w:val="top"/>
          </w:tcPr>
          <w:p w14:paraId="429E968F">
            <w:pPr>
              <w:rPr>
                <w:rFonts w:ascii="Arial"/>
                <w:color w:val="auto"/>
                <w:sz w:val="21"/>
                <w:highlight w:val="none"/>
              </w:rPr>
            </w:pPr>
          </w:p>
        </w:tc>
      </w:tr>
      <w:tr w14:paraId="2B834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62" w:type="dxa"/>
            <w:vAlign w:val="top"/>
          </w:tcPr>
          <w:p w14:paraId="6F0FA4A6">
            <w:pPr>
              <w:pStyle w:val="17"/>
              <w:spacing w:before="286" w:line="241" w:lineRule="auto"/>
              <w:ind w:left="386"/>
              <w:rPr>
                <w:color w:val="auto"/>
                <w:highlight w:val="none"/>
              </w:rPr>
            </w:pPr>
            <w:r>
              <w:rPr>
                <w:color w:val="auto"/>
                <w:highlight w:val="none"/>
              </w:rPr>
              <w:t>2</w:t>
            </w:r>
          </w:p>
        </w:tc>
        <w:tc>
          <w:tcPr>
            <w:tcW w:w="1469" w:type="dxa"/>
            <w:vAlign w:val="top"/>
          </w:tcPr>
          <w:p w14:paraId="05CCEDD9">
            <w:pPr>
              <w:pStyle w:val="17"/>
              <w:spacing w:before="286" w:line="239" w:lineRule="auto"/>
              <w:ind w:left="489"/>
              <w:rPr>
                <w:color w:val="auto"/>
                <w:highlight w:val="none"/>
              </w:rPr>
            </w:pPr>
            <w:r>
              <w:rPr>
                <w:color w:val="auto"/>
                <w:spacing w:val="-5"/>
                <w:highlight w:val="none"/>
              </w:rPr>
              <w:t>1.6.3</w:t>
            </w:r>
          </w:p>
        </w:tc>
        <w:tc>
          <w:tcPr>
            <w:tcW w:w="3762" w:type="dxa"/>
            <w:vAlign w:val="top"/>
          </w:tcPr>
          <w:p w14:paraId="4E9DC6B8">
            <w:pPr>
              <w:pStyle w:val="17"/>
              <w:spacing w:before="106" w:line="268" w:lineRule="auto"/>
              <w:ind w:left="132" w:right="103" w:hanging="17"/>
              <w:rPr>
                <w:color w:val="auto"/>
                <w:highlight w:val="none"/>
              </w:rPr>
            </w:pPr>
            <w:r>
              <w:rPr>
                <w:color w:val="auto"/>
                <w:spacing w:val="-2"/>
                <w:highlight w:val="none"/>
              </w:rPr>
              <w:t>未得到监理人批准，承包人擅自对施工</w:t>
            </w:r>
            <w:r>
              <w:rPr>
                <w:color w:val="auto"/>
                <w:spacing w:val="-3"/>
                <w:highlight w:val="none"/>
              </w:rPr>
              <w:t>图的任何部分进行修改</w:t>
            </w:r>
          </w:p>
        </w:tc>
        <w:tc>
          <w:tcPr>
            <w:tcW w:w="1799" w:type="dxa"/>
            <w:vAlign w:val="top"/>
          </w:tcPr>
          <w:p w14:paraId="39E8E8D9">
            <w:pPr>
              <w:pStyle w:val="17"/>
              <w:spacing w:before="286" w:line="220" w:lineRule="auto"/>
              <w:ind w:left="463"/>
              <w:rPr>
                <w:color w:val="auto"/>
                <w:highlight w:val="none"/>
              </w:rPr>
            </w:pPr>
            <w:r>
              <w:rPr>
                <w:color w:val="auto"/>
                <w:spacing w:val="-5"/>
                <w:highlight w:val="none"/>
              </w:rPr>
              <w:t>2</w:t>
            </w:r>
            <w:r>
              <w:rPr>
                <w:color w:val="auto"/>
                <w:spacing w:val="-37"/>
                <w:highlight w:val="none"/>
              </w:rPr>
              <w:t xml:space="preserve"> </w:t>
            </w:r>
            <w:r>
              <w:rPr>
                <w:color w:val="auto"/>
                <w:spacing w:val="-5"/>
                <w:highlight w:val="none"/>
              </w:rPr>
              <w:t>万元/次</w:t>
            </w:r>
          </w:p>
        </w:tc>
        <w:tc>
          <w:tcPr>
            <w:tcW w:w="1580" w:type="dxa"/>
            <w:vAlign w:val="top"/>
          </w:tcPr>
          <w:p w14:paraId="345D94AF">
            <w:pPr>
              <w:rPr>
                <w:rFonts w:ascii="Arial"/>
                <w:color w:val="auto"/>
                <w:sz w:val="21"/>
                <w:highlight w:val="none"/>
              </w:rPr>
            </w:pPr>
          </w:p>
        </w:tc>
      </w:tr>
      <w:tr w14:paraId="2FFF6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317266C3">
            <w:pPr>
              <w:pStyle w:val="17"/>
              <w:spacing w:before="286"/>
              <w:ind w:left="387"/>
              <w:rPr>
                <w:color w:val="auto"/>
                <w:highlight w:val="none"/>
              </w:rPr>
            </w:pPr>
            <w:r>
              <w:rPr>
                <w:color w:val="auto"/>
                <w:highlight w:val="none"/>
              </w:rPr>
              <w:t>3</w:t>
            </w:r>
          </w:p>
        </w:tc>
        <w:tc>
          <w:tcPr>
            <w:tcW w:w="1469" w:type="dxa"/>
            <w:vAlign w:val="top"/>
          </w:tcPr>
          <w:p w14:paraId="31A57238">
            <w:pPr>
              <w:pStyle w:val="17"/>
              <w:spacing w:before="286" w:line="239" w:lineRule="auto"/>
              <w:ind w:left="478"/>
              <w:rPr>
                <w:color w:val="auto"/>
                <w:highlight w:val="none"/>
              </w:rPr>
            </w:pPr>
            <w:r>
              <w:rPr>
                <w:color w:val="auto"/>
                <w:spacing w:val="-3"/>
                <w:highlight w:val="none"/>
              </w:rPr>
              <w:t>3.6.2</w:t>
            </w:r>
          </w:p>
        </w:tc>
        <w:tc>
          <w:tcPr>
            <w:tcW w:w="3762" w:type="dxa"/>
            <w:vAlign w:val="top"/>
          </w:tcPr>
          <w:p w14:paraId="48100E8D">
            <w:pPr>
              <w:pStyle w:val="17"/>
              <w:spacing w:before="106" w:line="267" w:lineRule="auto"/>
              <w:ind w:left="114" w:right="106" w:firstLine="13"/>
              <w:rPr>
                <w:color w:val="auto"/>
                <w:highlight w:val="none"/>
              </w:rPr>
            </w:pPr>
            <w:r>
              <w:rPr>
                <w:color w:val="auto"/>
                <w:spacing w:val="10"/>
                <w:highlight w:val="none"/>
              </w:rPr>
              <w:t>因工程质量出现问题而降低质量标准</w:t>
            </w:r>
            <w:r>
              <w:rPr>
                <w:color w:val="auto"/>
                <w:spacing w:val="-1"/>
                <w:highlight w:val="none"/>
              </w:rPr>
              <w:t>或返工而造成经济和工期损失的</w:t>
            </w:r>
          </w:p>
        </w:tc>
        <w:tc>
          <w:tcPr>
            <w:tcW w:w="1799" w:type="dxa"/>
            <w:vAlign w:val="top"/>
          </w:tcPr>
          <w:p w14:paraId="517FD65B">
            <w:pPr>
              <w:pStyle w:val="17"/>
              <w:spacing w:before="286" w:line="220" w:lineRule="auto"/>
              <w:ind w:left="412"/>
              <w:rPr>
                <w:color w:val="auto"/>
                <w:highlight w:val="none"/>
              </w:rPr>
            </w:pPr>
            <w:r>
              <w:rPr>
                <w:color w:val="auto"/>
                <w:spacing w:val="-4"/>
                <w:highlight w:val="none"/>
              </w:rPr>
              <w:t>30</w:t>
            </w:r>
            <w:r>
              <w:rPr>
                <w:color w:val="auto"/>
                <w:spacing w:val="-39"/>
                <w:highlight w:val="none"/>
              </w:rPr>
              <w:t xml:space="preserve"> </w:t>
            </w:r>
            <w:r>
              <w:rPr>
                <w:color w:val="auto"/>
                <w:spacing w:val="-4"/>
                <w:highlight w:val="none"/>
              </w:rPr>
              <w:t>万元/次</w:t>
            </w:r>
          </w:p>
        </w:tc>
        <w:tc>
          <w:tcPr>
            <w:tcW w:w="1580" w:type="dxa"/>
            <w:vAlign w:val="top"/>
          </w:tcPr>
          <w:p w14:paraId="2B5BEFD0">
            <w:pPr>
              <w:rPr>
                <w:rFonts w:ascii="Arial"/>
                <w:color w:val="auto"/>
                <w:sz w:val="21"/>
                <w:highlight w:val="none"/>
              </w:rPr>
            </w:pPr>
          </w:p>
        </w:tc>
      </w:tr>
      <w:tr w14:paraId="36D3D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2" w:type="dxa"/>
            <w:vAlign w:val="top"/>
          </w:tcPr>
          <w:p w14:paraId="30B55AB4">
            <w:pPr>
              <w:spacing w:line="251" w:lineRule="auto"/>
              <w:rPr>
                <w:rFonts w:ascii="Arial"/>
                <w:color w:val="auto"/>
                <w:sz w:val="21"/>
                <w:highlight w:val="none"/>
              </w:rPr>
            </w:pPr>
          </w:p>
          <w:p w14:paraId="38F1D7CE">
            <w:pPr>
              <w:spacing w:line="251" w:lineRule="auto"/>
              <w:rPr>
                <w:rFonts w:ascii="Arial"/>
                <w:color w:val="auto"/>
                <w:sz w:val="21"/>
                <w:highlight w:val="none"/>
              </w:rPr>
            </w:pPr>
          </w:p>
          <w:p w14:paraId="61206DBB">
            <w:pPr>
              <w:spacing w:line="252" w:lineRule="auto"/>
              <w:rPr>
                <w:rFonts w:ascii="Arial"/>
                <w:color w:val="auto"/>
                <w:sz w:val="21"/>
                <w:highlight w:val="none"/>
              </w:rPr>
            </w:pPr>
          </w:p>
          <w:p w14:paraId="620F1314">
            <w:pPr>
              <w:pStyle w:val="17"/>
              <w:spacing w:before="68" w:line="241" w:lineRule="auto"/>
              <w:ind w:left="382"/>
              <w:rPr>
                <w:color w:val="auto"/>
                <w:highlight w:val="none"/>
              </w:rPr>
            </w:pPr>
            <w:r>
              <w:rPr>
                <w:color w:val="auto"/>
                <w:highlight w:val="none"/>
              </w:rPr>
              <w:t>4</w:t>
            </w:r>
          </w:p>
        </w:tc>
        <w:tc>
          <w:tcPr>
            <w:tcW w:w="1469" w:type="dxa"/>
            <w:vAlign w:val="top"/>
          </w:tcPr>
          <w:p w14:paraId="3190B564">
            <w:pPr>
              <w:spacing w:line="251" w:lineRule="auto"/>
              <w:rPr>
                <w:rFonts w:ascii="Arial"/>
                <w:color w:val="auto"/>
                <w:sz w:val="21"/>
                <w:highlight w:val="none"/>
              </w:rPr>
            </w:pPr>
          </w:p>
          <w:p w14:paraId="79E01F88">
            <w:pPr>
              <w:spacing w:line="251" w:lineRule="auto"/>
              <w:rPr>
                <w:rFonts w:ascii="Arial"/>
                <w:color w:val="auto"/>
                <w:sz w:val="21"/>
                <w:highlight w:val="none"/>
              </w:rPr>
            </w:pPr>
          </w:p>
          <w:p w14:paraId="3BB284A0">
            <w:pPr>
              <w:spacing w:line="252" w:lineRule="auto"/>
              <w:rPr>
                <w:rFonts w:ascii="Arial"/>
                <w:color w:val="auto"/>
                <w:sz w:val="21"/>
                <w:highlight w:val="none"/>
              </w:rPr>
            </w:pPr>
          </w:p>
          <w:p w14:paraId="1317B1D7">
            <w:pPr>
              <w:pStyle w:val="17"/>
              <w:spacing w:before="68" w:line="239" w:lineRule="auto"/>
              <w:ind w:left="473"/>
              <w:rPr>
                <w:color w:val="auto"/>
                <w:highlight w:val="none"/>
              </w:rPr>
            </w:pPr>
            <w:r>
              <w:rPr>
                <w:color w:val="auto"/>
                <w:spacing w:val="-2"/>
                <w:highlight w:val="none"/>
              </w:rPr>
              <w:t>4.1.4</w:t>
            </w:r>
          </w:p>
        </w:tc>
        <w:tc>
          <w:tcPr>
            <w:tcW w:w="3762" w:type="dxa"/>
            <w:vAlign w:val="top"/>
          </w:tcPr>
          <w:p w14:paraId="5C29D739">
            <w:pPr>
              <w:spacing w:line="251" w:lineRule="auto"/>
              <w:rPr>
                <w:rFonts w:ascii="Arial"/>
                <w:color w:val="auto"/>
                <w:sz w:val="21"/>
                <w:highlight w:val="none"/>
              </w:rPr>
            </w:pPr>
          </w:p>
          <w:p w14:paraId="4DC9E4B2">
            <w:pPr>
              <w:spacing w:line="251" w:lineRule="auto"/>
              <w:rPr>
                <w:rFonts w:ascii="Arial"/>
                <w:color w:val="auto"/>
                <w:sz w:val="21"/>
                <w:highlight w:val="none"/>
              </w:rPr>
            </w:pPr>
          </w:p>
          <w:p w14:paraId="372F8359">
            <w:pPr>
              <w:spacing w:line="252" w:lineRule="auto"/>
              <w:rPr>
                <w:rFonts w:ascii="Arial"/>
                <w:color w:val="auto"/>
                <w:sz w:val="21"/>
                <w:highlight w:val="none"/>
              </w:rPr>
            </w:pPr>
          </w:p>
          <w:p w14:paraId="2DABE66C">
            <w:pPr>
              <w:pStyle w:val="17"/>
              <w:spacing w:before="68" w:line="220" w:lineRule="auto"/>
              <w:ind w:left="111"/>
              <w:rPr>
                <w:color w:val="auto"/>
                <w:highlight w:val="none"/>
              </w:rPr>
            </w:pPr>
            <w:r>
              <w:rPr>
                <w:color w:val="auto"/>
                <w:spacing w:val="-3"/>
                <w:highlight w:val="none"/>
              </w:rPr>
              <w:t>施工组织设计未经审批即开始实施。</w:t>
            </w:r>
          </w:p>
        </w:tc>
        <w:tc>
          <w:tcPr>
            <w:tcW w:w="1799" w:type="dxa"/>
            <w:vAlign w:val="top"/>
          </w:tcPr>
          <w:p w14:paraId="19A1C88E">
            <w:pPr>
              <w:spacing w:line="251" w:lineRule="auto"/>
              <w:rPr>
                <w:rFonts w:ascii="Arial"/>
                <w:color w:val="auto"/>
                <w:sz w:val="21"/>
                <w:highlight w:val="none"/>
              </w:rPr>
            </w:pPr>
          </w:p>
          <w:p w14:paraId="26EE193A">
            <w:pPr>
              <w:spacing w:line="251" w:lineRule="auto"/>
              <w:rPr>
                <w:rFonts w:ascii="Arial"/>
                <w:color w:val="auto"/>
                <w:sz w:val="21"/>
                <w:highlight w:val="none"/>
              </w:rPr>
            </w:pPr>
          </w:p>
          <w:p w14:paraId="50C674DE">
            <w:pPr>
              <w:spacing w:line="251" w:lineRule="auto"/>
              <w:rPr>
                <w:rFonts w:ascii="Arial"/>
                <w:color w:val="auto"/>
                <w:sz w:val="21"/>
                <w:highlight w:val="none"/>
              </w:rPr>
            </w:pPr>
          </w:p>
          <w:p w14:paraId="42964AC8">
            <w:pPr>
              <w:pStyle w:val="17"/>
              <w:spacing w:before="69" w:line="220" w:lineRule="auto"/>
              <w:ind w:left="413"/>
              <w:rPr>
                <w:color w:val="auto"/>
                <w:highlight w:val="none"/>
              </w:rPr>
            </w:pPr>
            <w:r>
              <w:rPr>
                <w:color w:val="auto"/>
                <w:spacing w:val="-4"/>
                <w:highlight w:val="none"/>
              </w:rPr>
              <w:t>50</w:t>
            </w:r>
            <w:r>
              <w:rPr>
                <w:color w:val="auto"/>
                <w:spacing w:val="-40"/>
                <w:highlight w:val="none"/>
              </w:rPr>
              <w:t xml:space="preserve"> </w:t>
            </w:r>
            <w:r>
              <w:rPr>
                <w:color w:val="auto"/>
                <w:spacing w:val="-4"/>
                <w:highlight w:val="none"/>
              </w:rPr>
              <w:t>万元/次</w:t>
            </w:r>
          </w:p>
        </w:tc>
        <w:tc>
          <w:tcPr>
            <w:tcW w:w="1580" w:type="dxa"/>
            <w:vAlign w:val="top"/>
          </w:tcPr>
          <w:p w14:paraId="4E9AE180">
            <w:pPr>
              <w:pStyle w:val="17"/>
              <w:spacing w:before="107" w:line="220" w:lineRule="auto"/>
              <w:ind w:left="271"/>
              <w:rPr>
                <w:color w:val="auto"/>
                <w:highlight w:val="none"/>
              </w:rPr>
            </w:pPr>
            <w:r>
              <w:rPr>
                <w:color w:val="auto"/>
                <w:spacing w:val="-2"/>
                <w:highlight w:val="none"/>
              </w:rPr>
              <w:t>属于严重违</w:t>
            </w:r>
          </w:p>
          <w:p w14:paraId="0B730E19">
            <w:pPr>
              <w:pStyle w:val="17"/>
              <w:spacing w:before="109" w:line="220" w:lineRule="auto"/>
              <w:ind w:left="169"/>
              <w:rPr>
                <w:color w:val="auto"/>
                <w:highlight w:val="none"/>
              </w:rPr>
            </w:pPr>
            <w:r>
              <w:rPr>
                <w:color w:val="auto"/>
                <w:spacing w:val="-2"/>
                <w:highlight w:val="none"/>
              </w:rPr>
              <w:t>约，建议参照</w:t>
            </w:r>
          </w:p>
          <w:p w14:paraId="6075348B">
            <w:pPr>
              <w:pStyle w:val="17"/>
              <w:spacing w:before="109" w:line="220" w:lineRule="auto"/>
              <w:ind w:left="149"/>
              <w:rPr>
                <w:color w:val="auto"/>
                <w:highlight w:val="none"/>
              </w:rPr>
            </w:pPr>
            <w:r>
              <w:rPr>
                <w:color w:val="auto"/>
                <w:spacing w:val="1"/>
                <w:highlight w:val="none"/>
              </w:rPr>
              <w:t>“违规分包或</w:t>
            </w:r>
          </w:p>
          <w:p w14:paraId="41FF1029">
            <w:pPr>
              <w:pStyle w:val="17"/>
              <w:spacing w:before="109" w:line="220" w:lineRule="auto"/>
              <w:ind w:left="117"/>
              <w:rPr>
                <w:color w:val="auto"/>
                <w:highlight w:val="none"/>
              </w:rPr>
            </w:pPr>
            <w:r>
              <w:rPr>
                <w:color w:val="auto"/>
                <w:spacing w:val="-2"/>
                <w:highlight w:val="none"/>
              </w:rPr>
              <w:t>转包” 进行重</w:t>
            </w:r>
          </w:p>
          <w:p w14:paraId="0998F9AE">
            <w:pPr>
              <w:pStyle w:val="17"/>
              <w:spacing w:before="110" w:line="217" w:lineRule="auto"/>
              <w:ind w:left="593"/>
              <w:rPr>
                <w:color w:val="auto"/>
                <w:highlight w:val="none"/>
              </w:rPr>
            </w:pPr>
            <w:r>
              <w:rPr>
                <w:color w:val="auto"/>
                <w:spacing w:val="-12"/>
                <w:highlight w:val="none"/>
              </w:rPr>
              <w:t>罚。</w:t>
            </w:r>
          </w:p>
        </w:tc>
      </w:tr>
      <w:tr w14:paraId="343A8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36B8F9AF">
            <w:pPr>
              <w:spacing w:line="287" w:lineRule="auto"/>
              <w:rPr>
                <w:rFonts w:ascii="Arial"/>
                <w:color w:val="auto"/>
                <w:sz w:val="21"/>
                <w:highlight w:val="none"/>
              </w:rPr>
            </w:pPr>
          </w:p>
          <w:p w14:paraId="489D74FB">
            <w:pPr>
              <w:spacing w:line="288" w:lineRule="auto"/>
              <w:rPr>
                <w:rFonts w:ascii="Arial"/>
                <w:color w:val="auto"/>
                <w:sz w:val="21"/>
                <w:highlight w:val="none"/>
              </w:rPr>
            </w:pPr>
          </w:p>
          <w:p w14:paraId="0F8A5C4C">
            <w:pPr>
              <w:pStyle w:val="17"/>
              <w:spacing w:before="68"/>
              <w:ind w:left="387"/>
              <w:rPr>
                <w:color w:val="auto"/>
                <w:highlight w:val="none"/>
              </w:rPr>
            </w:pPr>
            <w:r>
              <w:rPr>
                <w:color w:val="auto"/>
                <w:highlight w:val="none"/>
              </w:rPr>
              <w:t>5</w:t>
            </w:r>
          </w:p>
        </w:tc>
        <w:tc>
          <w:tcPr>
            <w:tcW w:w="1469" w:type="dxa"/>
            <w:vAlign w:val="top"/>
          </w:tcPr>
          <w:p w14:paraId="2C6AD1D0">
            <w:pPr>
              <w:spacing w:line="288" w:lineRule="auto"/>
              <w:rPr>
                <w:rFonts w:ascii="Arial"/>
                <w:color w:val="auto"/>
                <w:sz w:val="21"/>
                <w:highlight w:val="none"/>
              </w:rPr>
            </w:pPr>
          </w:p>
          <w:p w14:paraId="20FE93B6">
            <w:pPr>
              <w:spacing w:line="288" w:lineRule="auto"/>
              <w:rPr>
                <w:rFonts w:ascii="Arial"/>
                <w:color w:val="auto"/>
                <w:sz w:val="21"/>
                <w:highlight w:val="none"/>
              </w:rPr>
            </w:pPr>
          </w:p>
          <w:p w14:paraId="1E781BDE">
            <w:pPr>
              <w:pStyle w:val="17"/>
              <w:spacing w:before="68" w:line="239" w:lineRule="auto"/>
              <w:ind w:left="473"/>
              <w:rPr>
                <w:color w:val="auto"/>
                <w:highlight w:val="none"/>
              </w:rPr>
            </w:pPr>
            <w:r>
              <w:rPr>
                <w:color w:val="auto"/>
                <w:spacing w:val="-2"/>
                <w:highlight w:val="none"/>
              </w:rPr>
              <w:t>4.1.4</w:t>
            </w:r>
          </w:p>
        </w:tc>
        <w:tc>
          <w:tcPr>
            <w:tcW w:w="3762" w:type="dxa"/>
            <w:vAlign w:val="top"/>
          </w:tcPr>
          <w:p w14:paraId="00113984">
            <w:pPr>
              <w:spacing w:line="396" w:lineRule="auto"/>
              <w:rPr>
                <w:rFonts w:ascii="Arial"/>
                <w:color w:val="auto"/>
                <w:sz w:val="21"/>
                <w:highlight w:val="none"/>
              </w:rPr>
            </w:pPr>
          </w:p>
          <w:p w14:paraId="1FEDF990">
            <w:pPr>
              <w:pStyle w:val="17"/>
              <w:spacing w:before="68" w:line="319" w:lineRule="auto"/>
              <w:ind w:left="114" w:right="106"/>
              <w:rPr>
                <w:color w:val="auto"/>
                <w:highlight w:val="none"/>
              </w:rPr>
            </w:pPr>
            <w:r>
              <w:rPr>
                <w:color w:val="auto"/>
                <w:spacing w:val="10"/>
                <w:highlight w:val="none"/>
              </w:rPr>
              <w:t>未按批复的施工组织设计方案组织施</w:t>
            </w:r>
            <w:r>
              <w:rPr>
                <w:color w:val="auto"/>
                <w:spacing w:val="-4"/>
                <w:highlight w:val="none"/>
              </w:rPr>
              <w:t>工，随意调整或变更。</w:t>
            </w:r>
          </w:p>
        </w:tc>
        <w:tc>
          <w:tcPr>
            <w:tcW w:w="1799" w:type="dxa"/>
            <w:vAlign w:val="top"/>
          </w:tcPr>
          <w:p w14:paraId="215F17A0">
            <w:pPr>
              <w:spacing w:line="287" w:lineRule="auto"/>
              <w:rPr>
                <w:rFonts w:ascii="Arial"/>
                <w:color w:val="auto"/>
                <w:sz w:val="21"/>
                <w:highlight w:val="none"/>
              </w:rPr>
            </w:pPr>
          </w:p>
          <w:p w14:paraId="582B7F36">
            <w:pPr>
              <w:spacing w:line="288" w:lineRule="auto"/>
              <w:rPr>
                <w:rFonts w:ascii="Arial"/>
                <w:color w:val="auto"/>
                <w:sz w:val="21"/>
                <w:highlight w:val="none"/>
              </w:rPr>
            </w:pPr>
          </w:p>
          <w:p w14:paraId="2C22A887">
            <w:pPr>
              <w:pStyle w:val="17"/>
              <w:spacing w:before="68" w:line="220" w:lineRule="auto"/>
              <w:ind w:left="463"/>
              <w:rPr>
                <w:color w:val="auto"/>
                <w:highlight w:val="none"/>
              </w:rPr>
            </w:pPr>
            <w:r>
              <w:rPr>
                <w:color w:val="auto"/>
                <w:spacing w:val="-5"/>
                <w:highlight w:val="none"/>
              </w:rPr>
              <w:t>2</w:t>
            </w:r>
            <w:r>
              <w:rPr>
                <w:color w:val="auto"/>
                <w:spacing w:val="-37"/>
                <w:highlight w:val="none"/>
              </w:rPr>
              <w:t xml:space="preserve"> </w:t>
            </w:r>
            <w:r>
              <w:rPr>
                <w:color w:val="auto"/>
                <w:spacing w:val="-5"/>
                <w:highlight w:val="none"/>
              </w:rPr>
              <w:t>万元/次</w:t>
            </w:r>
          </w:p>
        </w:tc>
        <w:tc>
          <w:tcPr>
            <w:tcW w:w="1580" w:type="dxa"/>
            <w:vAlign w:val="top"/>
          </w:tcPr>
          <w:p w14:paraId="65C67C41">
            <w:pPr>
              <w:pStyle w:val="17"/>
              <w:spacing w:before="108" w:line="220" w:lineRule="auto"/>
              <w:ind w:left="166"/>
              <w:rPr>
                <w:color w:val="auto"/>
                <w:highlight w:val="none"/>
              </w:rPr>
            </w:pPr>
            <w:r>
              <w:rPr>
                <w:color w:val="auto"/>
                <w:spacing w:val="-2"/>
                <w:highlight w:val="none"/>
              </w:rPr>
              <w:t>参照“擅自对</w:t>
            </w:r>
          </w:p>
          <w:p w14:paraId="46EBAE93">
            <w:pPr>
              <w:pStyle w:val="17"/>
              <w:spacing w:before="108" w:line="220" w:lineRule="auto"/>
              <w:ind w:left="163"/>
              <w:rPr>
                <w:color w:val="auto"/>
                <w:highlight w:val="none"/>
              </w:rPr>
            </w:pPr>
            <w:r>
              <w:rPr>
                <w:color w:val="auto"/>
                <w:spacing w:val="-2"/>
                <w:highlight w:val="none"/>
              </w:rPr>
              <w:t>施工图的任何</w:t>
            </w:r>
          </w:p>
          <w:p w14:paraId="1F1BBB8B">
            <w:pPr>
              <w:pStyle w:val="17"/>
              <w:spacing w:before="109" w:line="220" w:lineRule="auto"/>
              <w:ind w:left="272"/>
              <w:rPr>
                <w:color w:val="auto"/>
                <w:highlight w:val="none"/>
              </w:rPr>
            </w:pPr>
            <w:r>
              <w:rPr>
                <w:color w:val="auto"/>
                <w:spacing w:val="-2"/>
                <w:highlight w:val="none"/>
              </w:rPr>
              <w:t>部分进行修</w:t>
            </w:r>
          </w:p>
          <w:p w14:paraId="37B84FD9">
            <w:pPr>
              <w:pStyle w:val="17"/>
              <w:spacing w:before="110" w:line="217" w:lineRule="auto"/>
              <w:ind w:left="118"/>
              <w:rPr>
                <w:color w:val="auto"/>
                <w:highlight w:val="none"/>
              </w:rPr>
            </w:pPr>
            <w:r>
              <w:rPr>
                <w:color w:val="auto"/>
                <w:spacing w:val="-6"/>
                <w:highlight w:val="none"/>
              </w:rPr>
              <w:t>订”进行处罚。</w:t>
            </w:r>
          </w:p>
        </w:tc>
      </w:tr>
      <w:tr w14:paraId="73054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862" w:type="dxa"/>
            <w:vAlign w:val="top"/>
          </w:tcPr>
          <w:p w14:paraId="3F7BDC5A">
            <w:pPr>
              <w:spacing w:line="258" w:lineRule="auto"/>
              <w:rPr>
                <w:rFonts w:ascii="Arial"/>
                <w:color w:val="auto"/>
                <w:sz w:val="21"/>
                <w:highlight w:val="none"/>
              </w:rPr>
            </w:pPr>
          </w:p>
          <w:p w14:paraId="7754B2E5">
            <w:pPr>
              <w:spacing w:line="258" w:lineRule="auto"/>
              <w:rPr>
                <w:rFonts w:ascii="Arial"/>
                <w:color w:val="auto"/>
                <w:sz w:val="21"/>
                <w:highlight w:val="none"/>
              </w:rPr>
            </w:pPr>
          </w:p>
          <w:p w14:paraId="0B750053">
            <w:pPr>
              <w:spacing w:line="258" w:lineRule="auto"/>
              <w:rPr>
                <w:rFonts w:ascii="Arial"/>
                <w:color w:val="auto"/>
                <w:sz w:val="21"/>
                <w:highlight w:val="none"/>
              </w:rPr>
            </w:pPr>
          </w:p>
          <w:p w14:paraId="4C98A91E">
            <w:pPr>
              <w:spacing w:line="259" w:lineRule="auto"/>
              <w:rPr>
                <w:rFonts w:ascii="Arial"/>
                <w:color w:val="auto"/>
                <w:sz w:val="21"/>
                <w:highlight w:val="none"/>
              </w:rPr>
            </w:pPr>
          </w:p>
          <w:p w14:paraId="41ADA06D">
            <w:pPr>
              <w:spacing w:line="259" w:lineRule="auto"/>
              <w:rPr>
                <w:rFonts w:ascii="Arial"/>
                <w:color w:val="auto"/>
                <w:sz w:val="21"/>
                <w:highlight w:val="none"/>
              </w:rPr>
            </w:pPr>
          </w:p>
          <w:p w14:paraId="601E26DE">
            <w:pPr>
              <w:pStyle w:val="17"/>
              <w:spacing w:before="68"/>
              <w:ind w:left="385"/>
              <w:rPr>
                <w:color w:val="auto"/>
                <w:highlight w:val="none"/>
              </w:rPr>
            </w:pPr>
            <w:r>
              <w:rPr>
                <w:color w:val="auto"/>
                <w:highlight w:val="none"/>
              </w:rPr>
              <w:t>6</w:t>
            </w:r>
          </w:p>
        </w:tc>
        <w:tc>
          <w:tcPr>
            <w:tcW w:w="1469" w:type="dxa"/>
            <w:vAlign w:val="top"/>
          </w:tcPr>
          <w:p w14:paraId="43D05BCE">
            <w:pPr>
              <w:spacing w:line="258" w:lineRule="auto"/>
              <w:rPr>
                <w:rFonts w:ascii="Arial"/>
                <w:color w:val="auto"/>
                <w:sz w:val="21"/>
                <w:highlight w:val="none"/>
              </w:rPr>
            </w:pPr>
          </w:p>
          <w:p w14:paraId="4D0D0F55">
            <w:pPr>
              <w:spacing w:line="258" w:lineRule="auto"/>
              <w:rPr>
                <w:rFonts w:ascii="Arial"/>
                <w:color w:val="auto"/>
                <w:sz w:val="21"/>
                <w:highlight w:val="none"/>
              </w:rPr>
            </w:pPr>
          </w:p>
          <w:p w14:paraId="49CEEBCB">
            <w:pPr>
              <w:spacing w:line="258" w:lineRule="auto"/>
              <w:rPr>
                <w:rFonts w:ascii="Arial"/>
                <w:color w:val="auto"/>
                <w:sz w:val="21"/>
                <w:highlight w:val="none"/>
              </w:rPr>
            </w:pPr>
          </w:p>
          <w:p w14:paraId="09652986">
            <w:pPr>
              <w:spacing w:line="259" w:lineRule="auto"/>
              <w:rPr>
                <w:rFonts w:ascii="Arial"/>
                <w:color w:val="auto"/>
                <w:sz w:val="21"/>
                <w:highlight w:val="none"/>
              </w:rPr>
            </w:pPr>
          </w:p>
          <w:p w14:paraId="6314EF65">
            <w:pPr>
              <w:spacing w:line="259" w:lineRule="auto"/>
              <w:rPr>
                <w:rFonts w:ascii="Arial"/>
                <w:color w:val="auto"/>
                <w:sz w:val="21"/>
                <w:highlight w:val="none"/>
              </w:rPr>
            </w:pPr>
          </w:p>
          <w:p w14:paraId="1211F270">
            <w:pPr>
              <w:pStyle w:val="17"/>
              <w:spacing w:before="68" w:line="239" w:lineRule="auto"/>
              <w:ind w:left="473"/>
              <w:rPr>
                <w:color w:val="auto"/>
                <w:highlight w:val="none"/>
              </w:rPr>
            </w:pPr>
            <w:r>
              <w:rPr>
                <w:color w:val="auto"/>
                <w:spacing w:val="-2"/>
                <w:highlight w:val="none"/>
              </w:rPr>
              <w:t>4.1.4</w:t>
            </w:r>
          </w:p>
        </w:tc>
        <w:tc>
          <w:tcPr>
            <w:tcW w:w="3762" w:type="dxa"/>
            <w:vAlign w:val="top"/>
          </w:tcPr>
          <w:p w14:paraId="7E27735D">
            <w:pPr>
              <w:spacing w:line="278" w:lineRule="auto"/>
              <w:rPr>
                <w:rFonts w:ascii="Arial"/>
                <w:color w:val="auto"/>
                <w:sz w:val="21"/>
                <w:highlight w:val="none"/>
              </w:rPr>
            </w:pPr>
          </w:p>
          <w:p w14:paraId="2A7756C2">
            <w:pPr>
              <w:spacing w:line="278" w:lineRule="auto"/>
              <w:rPr>
                <w:rFonts w:ascii="Arial"/>
                <w:color w:val="auto"/>
                <w:sz w:val="21"/>
                <w:highlight w:val="none"/>
              </w:rPr>
            </w:pPr>
          </w:p>
          <w:p w14:paraId="0E954D10">
            <w:pPr>
              <w:spacing w:line="278" w:lineRule="auto"/>
              <w:rPr>
                <w:rFonts w:ascii="Arial"/>
                <w:color w:val="auto"/>
                <w:sz w:val="21"/>
                <w:highlight w:val="none"/>
              </w:rPr>
            </w:pPr>
          </w:p>
          <w:p w14:paraId="3C04AD27">
            <w:pPr>
              <w:spacing w:line="279" w:lineRule="auto"/>
              <w:rPr>
                <w:rFonts w:ascii="Arial"/>
                <w:color w:val="auto"/>
                <w:sz w:val="21"/>
                <w:highlight w:val="none"/>
              </w:rPr>
            </w:pPr>
          </w:p>
          <w:p w14:paraId="5F1246B1">
            <w:pPr>
              <w:pStyle w:val="17"/>
              <w:spacing w:before="68" w:line="319" w:lineRule="auto"/>
              <w:ind w:left="114" w:right="106" w:firstLine="20"/>
              <w:rPr>
                <w:color w:val="auto"/>
                <w:highlight w:val="none"/>
              </w:rPr>
            </w:pPr>
            <w:r>
              <w:rPr>
                <w:color w:val="auto"/>
                <w:spacing w:val="9"/>
                <w:highlight w:val="none"/>
              </w:rPr>
              <w:t>已实施的超过一定规模的危险性较大</w:t>
            </w:r>
            <w:r>
              <w:rPr>
                <w:color w:val="auto"/>
                <w:spacing w:val="-3"/>
                <w:highlight w:val="none"/>
              </w:rPr>
              <w:t>工程未组织专家论证、审查。</w:t>
            </w:r>
          </w:p>
        </w:tc>
        <w:tc>
          <w:tcPr>
            <w:tcW w:w="1799" w:type="dxa"/>
            <w:vAlign w:val="top"/>
          </w:tcPr>
          <w:p w14:paraId="3AEF3A8A">
            <w:pPr>
              <w:spacing w:line="258" w:lineRule="auto"/>
              <w:rPr>
                <w:rFonts w:ascii="Arial"/>
                <w:color w:val="auto"/>
                <w:sz w:val="21"/>
                <w:highlight w:val="none"/>
              </w:rPr>
            </w:pPr>
          </w:p>
          <w:p w14:paraId="614AEF78">
            <w:pPr>
              <w:spacing w:line="258" w:lineRule="auto"/>
              <w:rPr>
                <w:rFonts w:ascii="Arial"/>
                <w:color w:val="auto"/>
                <w:sz w:val="21"/>
                <w:highlight w:val="none"/>
              </w:rPr>
            </w:pPr>
          </w:p>
          <w:p w14:paraId="24192AF9">
            <w:pPr>
              <w:spacing w:line="258" w:lineRule="auto"/>
              <w:rPr>
                <w:rFonts w:ascii="Arial"/>
                <w:color w:val="auto"/>
                <w:sz w:val="21"/>
                <w:highlight w:val="none"/>
              </w:rPr>
            </w:pPr>
          </w:p>
          <w:p w14:paraId="181ABDFF">
            <w:pPr>
              <w:spacing w:line="258" w:lineRule="auto"/>
              <w:rPr>
                <w:rFonts w:ascii="Arial"/>
                <w:color w:val="auto"/>
                <w:sz w:val="21"/>
                <w:highlight w:val="none"/>
              </w:rPr>
            </w:pPr>
          </w:p>
          <w:p w14:paraId="6C6A0A45">
            <w:pPr>
              <w:spacing w:line="259" w:lineRule="auto"/>
              <w:rPr>
                <w:rFonts w:ascii="Arial"/>
                <w:color w:val="auto"/>
                <w:sz w:val="21"/>
                <w:highlight w:val="none"/>
              </w:rPr>
            </w:pPr>
          </w:p>
          <w:p w14:paraId="62E804B3">
            <w:pPr>
              <w:pStyle w:val="17"/>
              <w:spacing w:before="69" w:line="220" w:lineRule="auto"/>
              <w:ind w:left="465"/>
              <w:rPr>
                <w:color w:val="auto"/>
                <w:highlight w:val="none"/>
              </w:rPr>
            </w:pPr>
            <w:r>
              <w:rPr>
                <w:color w:val="auto"/>
                <w:spacing w:val="-5"/>
                <w:highlight w:val="none"/>
              </w:rPr>
              <w:t>5</w:t>
            </w:r>
            <w:r>
              <w:rPr>
                <w:color w:val="auto"/>
                <w:spacing w:val="-38"/>
                <w:highlight w:val="none"/>
              </w:rPr>
              <w:t xml:space="preserve"> </w:t>
            </w:r>
            <w:r>
              <w:rPr>
                <w:color w:val="auto"/>
                <w:spacing w:val="-5"/>
                <w:highlight w:val="none"/>
              </w:rPr>
              <w:t>万元/次</w:t>
            </w:r>
          </w:p>
        </w:tc>
        <w:tc>
          <w:tcPr>
            <w:tcW w:w="1580" w:type="dxa"/>
            <w:vAlign w:val="top"/>
          </w:tcPr>
          <w:p w14:paraId="5B597444">
            <w:pPr>
              <w:pStyle w:val="17"/>
              <w:spacing w:before="108" w:line="220" w:lineRule="auto"/>
              <w:ind w:left="166"/>
              <w:rPr>
                <w:color w:val="auto"/>
                <w:highlight w:val="none"/>
              </w:rPr>
            </w:pPr>
            <w:r>
              <w:rPr>
                <w:color w:val="auto"/>
                <w:spacing w:val="-2"/>
                <w:highlight w:val="none"/>
              </w:rPr>
              <w:t>参照“擅自对</w:t>
            </w:r>
          </w:p>
          <w:p w14:paraId="7E04C5E7">
            <w:pPr>
              <w:pStyle w:val="17"/>
              <w:spacing w:before="108" w:line="220" w:lineRule="auto"/>
              <w:ind w:left="163"/>
              <w:rPr>
                <w:color w:val="auto"/>
                <w:highlight w:val="none"/>
              </w:rPr>
            </w:pPr>
            <w:r>
              <w:rPr>
                <w:color w:val="auto"/>
                <w:spacing w:val="-2"/>
                <w:highlight w:val="none"/>
              </w:rPr>
              <w:t>施工图的任何</w:t>
            </w:r>
          </w:p>
          <w:p w14:paraId="52671DC8">
            <w:pPr>
              <w:pStyle w:val="17"/>
              <w:spacing w:before="109" w:line="220" w:lineRule="auto"/>
              <w:ind w:left="272"/>
              <w:rPr>
                <w:color w:val="auto"/>
                <w:highlight w:val="none"/>
              </w:rPr>
            </w:pPr>
            <w:r>
              <w:rPr>
                <w:color w:val="auto"/>
                <w:spacing w:val="-2"/>
                <w:highlight w:val="none"/>
              </w:rPr>
              <w:t>部分进行修</w:t>
            </w:r>
          </w:p>
          <w:p w14:paraId="09BEF73B">
            <w:pPr>
              <w:pStyle w:val="17"/>
              <w:spacing w:before="111" w:line="220" w:lineRule="auto"/>
              <w:ind w:left="118"/>
              <w:rPr>
                <w:color w:val="auto"/>
                <w:highlight w:val="none"/>
              </w:rPr>
            </w:pPr>
            <w:r>
              <w:rPr>
                <w:color w:val="auto"/>
                <w:spacing w:val="-6"/>
                <w:highlight w:val="none"/>
              </w:rPr>
              <w:t>订”进行处罚。</w:t>
            </w:r>
          </w:p>
          <w:p w14:paraId="4F153631">
            <w:pPr>
              <w:pStyle w:val="17"/>
              <w:spacing w:before="109" w:line="219" w:lineRule="auto"/>
              <w:ind w:left="164"/>
              <w:rPr>
                <w:color w:val="auto"/>
                <w:highlight w:val="none"/>
              </w:rPr>
            </w:pPr>
            <w:r>
              <w:rPr>
                <w:color w:val="auto"/>
                <w:spacing w:val="-2"/>
                <w:highlight w:val="none"/>
              </w:rPr>
              <w:t>供招标人结合</w:t>
            </w:r>
          </w:p>
          <w:p w14:paraId="70A42DC1">
            <w:pPr>
              <w:pStyle w:val="17"/>
              <w:spacing w:before="111" w:line="220" w:lineRule="auto"/>
              <w:ind w:left="167"/>
              <w:rPr>
                <w:color w:val="auto"/>
                <w:highlight w:val="none"/>
              </w:rPr>
            </w:pPr>
            <w:r>
              <w:rPr>
                <w:color w:val="auto"/>
                <w:spacing w:val="-2"/>
                <w:highlight w:val="none"/>
              </w:rPr>
              <w:t>项目实际情况</w:t>
            </w:r>
          </w:p>
          <w:p w14:paraId="4822E901">
            <w:pPr>
              <w:pStyle w:val="17"/>
              <w:spacing w:before="109" w:line="220" w:lineRule="auto"/>
              <w:ind w:left="166"/>
              <w:rPr>
                <w:color w:val="auto"/>
                <w:highlight w:val="none"/>
              </w:rPr>
            </w:pPr>
            <w:r>
              <w:rPr>
                <w:color w:val="auto"/>
                <w:spacing w:val="-2"/>
                <w:highlight w:val="none"/>
              </w:rPr>
              <w:t>参考使用，合</w:t>
            </w:r>
          </w:p>
          <w:p w14:paraId="6C05EA6C">
            <w:pPr>
              <w:pStyle w:val="17"/>
              <w:spacing w:before="110" w:line="215" w:lineRule="auto"/>
              <w:ind w:left="482"/>
              <w:rPr>
                <w:color w:val="auto"/>
                <w:highlight w:val="none"/>
              </w:rPr>
            </w:pPr>
            <w:r>
              <w:rPr>
                <w:color w:val="auto"/>
                <w:spacing w:val="-3"/>
                <w:highlight w:val="none"/>
              </w:rPr>
              <w:t>理设置</w:t>
            </w:r>
          </w:p>
        </w:tc>
      </w:tr>
      <w:tr w14:paraId="5D58D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3CD1C940">
            <w:pPr>
              <w:spacing w:line="399" w:lineRule="auto"/>
              <w:rPr>
                <w:rFonts w:ascii="Arial"/>
                <w:color w:val="auto"/>
                <w:sz w:val="21"/>
                <w:highlight w:val="none"/>
              </w:rPr>
            </w:pPr>
          </w:p>
          <w:p w14:paraId="18B39D09">
            <w:pPr>
              <w:pStyle w:val="17"/>
              <w:spacing w:before="68"/>
              <w:ind w:left="388"/>
              <w:rPr>
                <w:color w:val="auto"/>
                <w:highlight w:val="none"/>
              </w:rPr>
            </w:pPr>
            <w:r>
              <w:rPr>
                <w:color w:val="auto"/>
                <w:highlight w:val="none"/>
              </w:rPr>
              <w:t>7</w:t>
            </w:r>
          </w:p>
        </w:tc>
        <w:tc>
          <w:tcPr>
            <w:tcW w:w="1469" w:type="dxa"/>
            <w:vAlign w:val="top"/>
          </w:tcPr>
          <w:p w14:paraId="69478ED0">
            <w:pPr>
              <w:spacing w:line="399" w:lineRule="auto"/>
              <w:rPr>
                <w:rFonts w:ascii="Arial"/>
                <w:color w:val="auto"/>
                <w:sz w:val="21"/>
                <w:highlight w:val="none"/>
              </w:rPr>
            </w:pPr>
          </w:p>
          <w:p w14:paraId="7ADE9EEB">
            <w:pPr>
              <w:pStyle w:val="17"/>
              <w:spacing w:before="68" w:line="239" w:lineRule="auto"/>
              <w:ind w:left="473"/>
              <w:rPr>
                <w:color w:val="auto"/>
                <w:highlight w:val="none"/>
              </w:rPr>
            </w:pPr>
            <w:r>
              <w:rPr>
                <w:color w:val="auto"/>
                <w:spacing w:val="-2"/>
                <w:highlight w:val="none"/>
              </w:rPr>
              <w:t>4.1.4</w:t>
            </w:r>
          </w:p>
        </w:tc>
        <w:tc>
          <w:tcPr>
            <w:tcW w:w="3762" w:type="dxa"/>
            <w:vAlign w:val="top"/>
          </w:tcPr>
          <w:p w14:paraId="3D355D76">
            <w:pPr>
              <w:pStyle w:val="17"/>
              <w:spacing w:before="111" w:line="282" w:lineRule="auto"/>
              <w:ind w:left="112" w:right="103" w:firstLine="15"/>
              <w:jc w:val="both"/>
              <w:rPr>
                <w:color w:val="auto"/>
                <w:highlight w:val="none"/>
              </w:rPr>
            </w:pPr>
            <w:r>
              <w:rPr>
                <w:color w:val="auto"/>
                <w:spacing w:val="-3"/>
                <w:highlight w:val="none"/>
              </w:rPr>
              <w:t>因设计出现重大变更、施工方法发生重</w:t>
            </w:r>
            <w:r>
              <w:rPr>
                <w:color w:val="auto"/>
                <w:spacing w:val="-2"/>
                <w:highlight w:val="none"/>
              </w:rPr>
              <w:t>大调整、外部施工环境或施工条件发生</w:t>
            </w:r>
            <w:r>
              <w:rPr>
                <w:color w:val="auto"/>
                <w:spacing w:val="-3"/>
                <w:highlight w:val="none"/>
              </w:rPr>
              <w:t>重大变化等未及时进行修编的。</w:t>
            </w:r>
          </w:p>
        </w:tc>
        <w:tc>
          <w:tcPr>
            <w:tcW w:w="1799" w:type="dxa"/>
            <w:vAlign w:val="top"/>
          </w:tcPr>
          <w:p w14:paraId="208097C3">
            <w:pPr>
              <w:spacing w:line="399" w:lineRule="auto"/>
              <w:rPr>
                <w:rFonts w:ascii="Arial"/>
                <w:color w:val="auto"/>
                <w:sz w:val="21"/>
                <w:highlight w:val="none"/>
              </w:rPr>
            </w:pPr>
          </w:p>
          <w:p w14:paraId="70F65659">
            <w:pPr>
              <w:pStyle w:val="17"/>
              <w:spacing w:before="68" w:line="220" w:lineRule="auto"/>
              <w:ind w:left="476"/>
              <w:rPr>
                <w:color w:val="auto"/>
                <w:highlight w:val="none"/>
              </w:rPr>
            </w:pPr>
            <w:r>
              <w:rPr>
                <w:color w:val="auto"/>
                <w:spacing w:val="-7"/>
                <w:highlight w:val="none"/>
              </w:rPr>
              <w:t>1</w:t>
            </w:r>
            <w:r>
              <w:rPr>
                <w:color w:val="auto"/>
                <w:spacing w:val="-40"/>
                <w:highlight w:val="none"/>
              </w:rPr>
              <w:t xml:space="preserve"> </w:t>
            </w:r>
            <w:r>
              <w:rPr>
                <w:color w:val="auto"/>
                <w:spacing w:val="-7"/>
                <w:highlight w:val="none"/>
              </w:rPr>
              <w:t>万元/次</w:t>
            </w:r>
          </w:p>
        </w:tc>
        <w:tc>
          <w:tcPr>
            <w:tcW w:w="1580" w:type="dxa"/>
            <w:vAlign w:val="top"/>
          </w:tcPr>
          <w:p w14:paraId="583EDD9E">
            <w:pPr>
              <w:rPr>
                <w:rFonts w:ascii="Arial"/>
                <w:color w:val="auto"/>
                <w:sz w:val="21"/>
                <w:highlight w:val="none"/>
              </w:rPr>
            </w:pPr>
          </w:p>
        </w:tc>
      </w:tr>
      <w:tr w14:paraId="7E6C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3BA0D665">
            <w:pPr>
              <w:spacing w:line="399" w:lineRule="auto"/>
              <w:rPr>
                <w:rFonts w:ascii="Arial"/>
                <w:color w:val="auto"/>
                <w:sz w:val="21"/>
                <w:highlight w:val="none"/>
              </w:rPr>
            </w:pPr>
          </w:p>
          <w:p w14:paraId="478374BC">
            <w:pPr>
              <w:pStyle w:val="17"/>
              <w:spacing w:before="69"/>
              <w:ind w:left="384"/>
              <w:rPr>
                <w:color w:val="auto"/>
                <w:highlight w:val="none"/>
              </w:rPr>
            </w:pPr>
            <w:r>
              <w:rPr>
                <w:color w:val="auto"/>
                <w:highlight w:val="none"/>
              </w:rPr>
              <w:t>8</w:t>
            </w:r>
          </w:p>
        </w:tc>
        <w:tc>
          <w:tcPr>
            <w:tcW w:w="1469" w:type="dxa"/>
            <w:vAlign w:val="top"/>
          </w:tcPr>
          <w:p w14:paraId="673223EC">
            <w:pPr>
              <w:spacing w:line="400" w:lineRule="auto"/>
              <w:rPr>
                <w:rFonts w:ascii="Arial"/>
                <w:color w:val="auto"/>
                <w:sz w:val="21"/>
                <w:highlight w:val="none"/>
              </w:rPr>
            </w:pPr>
          </w:p>
          <w:p w14:paraId="292712AF">
            <w:pPr>
              <w:pStyle w:val="17"/>
              <w:spacing w:before="68" w:line="239" w:lineRule="auto"/>
              <w:ind w:left="473"/>
              <w:rPr>
                <w:color w:val="auto"/>
                <w:highlight w:val="none"/>
              </w:rPr>
            </w:pPr>
            <w:r>
              <w:rPr>
                <w:color w:val="auto"/>
                <w:spacing w:val="-2"/>
                <w:highlight w:val="none"/>
              </w:rPr>
              <w:t>4.1.9</w:t>
            </w:r>
          </w:p>
        </w:tc>
        <w:tc>
          <w:tcPr>
            <w:tcW w:w="3762" w:type="dxa"/>
            <w:vAlign w:val="top"/>
          </w:tcPr>
          <w:p w14:paraId="3F2CA3E0">
            <w:pPr>
              <w:spacing w:line="399" w:lineRule="auto"/>
              <w:rPr>
                <w:rFonts w:ascii="Arial"/>
                <w:color w:val="auto"/>
                <w:sz w:val="21"/>
                <w:highlight w:val="none"/>
              </w:rPr>
            </w:pPr>
          </w:p>
          <w:p w14:paraId="7C39E137">
            <w:pPr>
              <w:pStyle w:val="17"/>
              <w:spacing w:before="68" w:line="220" w:lineRule="auto"/>
              <w:ind w:left="112"/>
              <w:rPr>
                <w:color w:val="auto"/>
                <w:highlight w:val="none"/>
              </w:rPr>
            </w:pPr>
            <w:r>
              <w:rPr>
                <w:color w:val="auto"/>
                <w:spacing w:val="-1"/>
                <w:highlight w:val="none"/>
              </w:rPr>
              <w:t>承包人拒绝按规定履行维护和照管的</w:t>
            </w:r>
          </w:p>
        </w:tc>
        <w:tc>
          <w:tcPr>
            <w:tcW w:w="1799" w:type="dxa"/>
            <w:vAlign w:val="top"/>
          </w:tcPr>
          <w:p w14:paraId="7171629B">
            <w:pPr>
              <w:pStyle w:val="17"/>
              <w:spacing w:before="111" w:line="220" w:lineRule="auto"/>
              <w:ind w:left="160"/>
              <w:rPr>
                <w:color w:val="auto"/>
                <w:highlight w:val="none"/>
              </w:rPr>
            </w:pPr>
            <w:r>
              <w:rPr>
                <w:color w:val="auto"/>
                <w:spacing w:val="-5"/>
                <w:highlight w:val="none"/>
              </w:rPr>
              <w:t>1</w:t>
            </w:r>
            <w:r>
              <w:rPr>
                <w:color w:val="auto"/>
                <w:spacing w:val="-36"/>
                <w:highlight w:val="none"/>
              </w:rPr>
              <w:t xml:space="preserve"> </w:t>
            </w:r>
            <w:r>
              <w:rPr>
                <w:color w:val="auto"/>
                <w:spacing w:val="-5"/>
                <w:highlight w:val="none"/>
              </w:rPr>
              <w:t>万元/天，直至</w:t>
            </w:r>
          </w:p>
          <w:p w14:paraId="6A7556BA">
            <w:pPr>
              <w:pStyle w:val="17"/>
              <w:spacing w:before="108" w:line="220" w:lineRule="auto"/>
              <w:ind w:left="174"/>
              <w:rPr>
                <w:color w:val="auto"/>
                <w:highlight w:val="none"/>
              </w:rPr>
            </w:pPr>
            <w:r>
              <w:rPr>
                <w:color w:val="auto"/>
                <w:spacing w:val="-2"/>
                <w:highlight w:val="none"/>
              </w:rPr>
              <w:t>工程交工并移交</w:t>
            </w:r>
          </w:p>
          <w:p w14:paraId="14AA20A4">
            <w:pPr>
              <w:pStyle w:val="17"/>
              <w:spacing w:before="109" w:line="215" w:lineRule="auto"/>
              <w:ind w:left="278"/>
              <w:rPr>
                <w:color w:val="auto"/>
                <w:highlight w:val="none"/>
              </w:rPr>
            </w:pPr>
            <w:r>
              <w:rPr>
                <w:color w:val="auto"/>
                <w:spacing w:val="-2"/>
                <w:highlight w:val="none"/>
              </w:rPr>
              <w:t>给发包人为止</w:t>
            </w:r>
          </w:p>
        </w:tc>
        <w:tc>
          <w:tcPr>
            <w:tcW w:w="1580" w:type="dxa"/>
            <w:vAlign w:val="top"/>
          </w:tcPr>
          <w:p w14:paraId="2A17C590">
            <w:pPr>
              <w:rPr>
                <w:rFonts w:ascii="Arial"/>
                <w:color w:val="auto"/>
                <w:sz w:val="21"/>
                <w:highlight w:val="none"/>
              </w:rPr>
            </w:pPr>
          </w:p>
        </w:tc>
      </w:tr>
      <w:tr w14:paraId="060ED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862" w:type="dxa"/>
            <w:vAlign w:val="top"/>
          </w:tcPr>
          <w:p w14:paraId="205AF7D0">
            <w:pPr>
              <w:pStyle w:val="17"/>
              <w:spacing w:before="291"/>
              <w:ind w:left="384"/>
              <w:rPr>
                <w:strike/>
                <w:dstrike w:val="0"/>
                <w:color w:val="auto"/>
                <w:highlight w:val="none"/>
              </w:rPr>
            </w:pPr>
            <w:r>
              <w:rPr>
                <w:strike/>
                <w:dstrike w:val="0"/>
                <w:color w:val="auto"/>
                <w:highlight w:val="none"/>
              </w:rPr>
              <w:t>9</w:t>
            </w:r>
          </w:p>
        </w:tc>
        <w:tc>
          <w:tcPr>
            <w:tcW w:w="1469" w:type="dxa"/>
            <w:vAlign w:val="top"/>
          </w:tcPr>
          <w:p w14:paraId="325F6794">
            <w:pPr>
              <w:pStyle w:val="17"/>
              <w:spacing w:before="291" w:line="239" w:lineRule="auto"/>
              <w:ind w:left="579"/>
              <w:rPr>
                <w:strike/>
                <w:dstrike w:val="0"/>
                <w:color w:val="auto"/>
                <w:highlight w:val="none"/>
              </w:rPr>
            </w:pPr>
            <w:r>
              <w:rPr>
                <w:strike/>
                <w:dstrike w:val="0"/>
                <w:color w:val="auto"/>
                <w:spacing w:val="-3"/>
                <w:highlight w:val="none"/>
              </w:rPr>
              <w:t>4.2</w:t>
            </w:r>
          </w:p>
        </w:tc>
        <w:tc>
          <w:tcPr>
            <w:tcW w:w="3762" w:type="dxa"/>
            <w:vAlign w:val="top"/>
          </w:tcPr>
          <w:p w14:paraId="165C24C3">
            <w:pPr>
              <w:pStyle w:val="17"/>
              <w:spacing w:before="112" w:line="266" w:lineRule="auto"/>
              <w:ind w:left="113" w:right="97" w:firstLine="1"/>
              <w:rPr>
                <w:strike/>
                <w:dstrike w:val="0"/>
                <w:color w:val="auto"/>
                <w:highlight w:val="none"/>
              </w:rPr>
            </w:pPr>
            <w:r>
              <w:rPr>
                <w:strike/>
                <w:dstrike w:val="0"/>
                <w:color w:val="auto"/>
                <w:spacing w:val="-3"/>
                <w:highlight w:val="none"/>
              </w:rPr>
              <w:t>未在履约保证金保函期限到期前</w:t>
            </w:r>
            <w:r>
              <w:rPr>
                <w:strike/>
                <w:dstrike w:val="0"/>
                <w:color w:val="auto"/>
                <w:spacing w:val="-33"/>
                <w:highlight w:val="none"/>
              </w:rPr>
              <w:t xml:space="preserve"> </w:t>
            </w:r>
            <w:r>
              <w:rPr>
                <w:strike/>
                <w:dstrike w:val="0"/>
                <w:color w:val="auto"/>
                <w:spacing w:val="-3"/>
                <w:highlight w:val="none"/>
              </w:rPr>
              <w:t>1</w:t>
            </w:r>
            <w:r>
              <w:rPr>
                <w:strike/>
                <w:dstrike w:val="0"/>
                <w:color w:val="auto"/>
                <w:spacing w:val="-54"/>
                <w:highlight w:val="none"/>
              </w:rPr>
              <w:t xml:space="preserve"> </w:t>
            </w:r>
            <w:r>
              <w:rPr>
                <w:strike/>
                <w:dstrike w:val="0"/>
                <w:color w:val="auto"/>
                <w:spacing w:val="-3"/>
                <w:highlight w:val="none"/>
              </w:rPr>
              <w:t>个月</w:t>
            </w:r>
            <w:r>
              <w:rPr>
                <w:strike/>
                <w:dstrike w:val="0"/>
                <w:color w:val="auto"/>
                <w:spacing w:val="-2"/>
                <w:highlight w:val="none"/>
              </w:rPr>
              <w:t>完成原保函续期手续（或开立新保函）</w:t>
            </w:r>
          </w:p>
        </w:tc>
        <w:tc>
          <w:tcPr>
            <w:tcW w:w="1799" w:type="dxa"/>
            <w:vAlign w:val="top"/>
          </w:tcPr>
          <w:p w14:paraId="22CF0ABC">
            <w:pPr>
              <w:pStyle w:val="17"/>
              <w:spacing w:before="112" w:line="266" w:lineRule="auto"/>
              <w:ind w:left="195" w:right="160" w:hanging="22"/>
              <w:rPr>
                <w:strike/>
                <w:dstrike w:val="0"/>
                <w:color w:val="auto"/>
                <w:highlight w:val="none"/>
              </w:rPr>
            </w:pPr>
            <w:r>
              <w:rPr>
                <w:strike/>
                <w:dstrike w:val="0"/>
                <w:color w:val="auto"/>
                <w:spacing w:val="-5"/>
                <w:highlight w:val="none"/>
              </w:rPr>
              <w:t>按</w:t>
            </w:r>
            <w:r>
              <w:rPr>
                <w:strike/>
                <w:dstrike w:val="0"/>
                <w:color w:val="auto"/>
                <w:spacing w:val="-30"/>
                <w:highlight w:val="none"/>
              </w:rPr>
              <w:t xml:space="preserve"> </w:t>
            </w:r>
            <w:r>
              <w:rPr>
                <w:strike/>
                <w:dstrike w:val="0"/>
                <w:color w:val="auto"/>
                <w:spacing w:val="-5"/>
                <w:highlight w:val="none"/>
              </w:rPr>
              <w:t>1000</w:t>
            </w:r>
            <w:r>
              <w:rPr>
                <w:strike/>
                <w:dstrike w:val="0"/>
                <w:color w:val="auto"/>
                <w:spacing w:val="-42"/>
                <w:highlight w:val="none"/>
              </w:rPr>
              <w:t xml:space="preserve"> </w:t>
            </w:r>
            <w:r>
              <w:rPr>
                <w:strike/>
                <w:dstrike w:val="0"/>
                <w:color w:val="auto"/>
                <w:spacing w:val="-5"/>
                <w:highlight w:val="none"/>
              </w:rPr>
              <w:t>元/天处以违约金直至原</w:t>
            </w:r>
          </w:p>
        </w:tc>
        <w:tc>
          <w:tcPr>
            <w:tcW w:w="1580" w:type="dxa"/>
            <w:vAlign w:val="top"/>
          </w:tcPr>
          <w:p w14:paraId="6A9DA3C0">
            <w:pPr>
              <w:rPr>
                <w:rFonts w:ascii="Arial"/>
                <w:strike w:val="0"/>
                <w:dstrike w:val="0"/>
                <w:color w:val="auto"/>
                <w:sz w:val="21"/>
                <w:highlight w:val="none"/>
              </w:rPr>
            </w:pPr>
          </w:p>
        </w:tc>
      </w:tr>
    </w:tbl>
    <w:p w14:paraId="12906C06">
      <w:pPr>
        <w:pStyle w:val="3"/>
        <w:spacing w:line="448" w:lineRule="auto"/>
        <w:rPr>
          <w:strike w:val="0"/>
          <w:dstrike w:val="0"/>
          <w:color w:val="auto"/>
          <w:highlight w:val="none"/>
        </w:rPr>
      </w:pPr>
    </w:p>
    <w:p w14:paraId="4B92BEB6">
      <w:pPr>
        <w:spacing w:before="58" w:line="217" w:lineRule="auto"/>
        <w:ind w:left="1422"/>
        <w:rPr>
          <w:rFonts w:ascii="宋体" w:hAnsi="宋体" w:eastAsia="宋体" w:cs="宋体"/>
          <w:strike w:val="0"/>
          <w:dstrike w:val="0"/>
          <w:color w:val="auto"/>
          <w:sz w:val="18"/>
          <w:szCs w:val="18"/>
          <w:highlight w:val="none"/>
        </w:rPr>
      </w:pPr>
    </w:p>
    <w:p w14:paraId="5E7EADC7">
      <w:pPr>
        <w:spacing w:line="217" w:lineRule="auto"/>
        <w:rPr>
          <w:rFonts w:ascii="宋体" w:hAnsi="宋体" w:eastAsia="宋体" w:cs="宋体"/>
          <w:strike w:val="0"/>
          <w:dstrike w:val="0"/>
          <w:color w:val="auto"/>
          <w:sz w:val="18"/>
          <w:szCs w:val="18"/>
          <w:highlight w:val="none"/>
        </w:rPr>
        <w:sectPr>
          <w:headerReference r:id="rId88" w:type="default"/>
          <w:footerReference r:id="rId89" w:type="default"/>
          <w:pgSz w:w="11905" w:h="16840"/>
          <w:pgMar w:top="1182" w:right="0" w:bottom="1171" w:left="0" w:header="849" w:footer="937" w:gutter="0"/>
          <w:pgNumType w:fmt="decimal"/>
          <w:cols w:space="720" w:num="1"/>
        </w:sectPr>
      </w:pPr>
    </w:p>
    <w:p w14:paraId="4C4EA212">
      <w:pPr>
        <w:spacing w:line="234" w:lineRule="exact"/>
        <w:rPr>
          <w:strike w:val="0"/>
          <w:dstrike w:val="0"/>
          <w:color w:val="auto"/>
          <w:highlight w:val="none"/>
        </w:rPr>
      </w:pPr>
    </w:p>
    <w:tbl>
      <w:tblPr>
        <w:tblStyle w:val="16"/>
        <w:tblW w:w="947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78DC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1B1F32BA">
            <w:pPr>
              <w:pStyle w:val="17"/>
              <w:spacing w:before="214" w:line="221" w:lineRule="auto"/>
              <w:ind w:left="225"/>
              <w:rPr>
                <w:strike w:val="0"/>
                <w:dstrike w:val="0"/>
                <w:color w:val="auto"/>
                <w:highlight w:val="none"/>
              </w:rPr>
            </w:pPr>
            <w:r>
              <w:rPr>
                <w:b/>
                <w:bCs/>
                <w:strike w:val="0"/>
                <w:dstrike w:val="0"/>
                <w:color w:val="auto"/>
                <w:spacing w:val="-4"/>
                <w:highlight w:val="none"/>
              </w:rPr>
              <w:t>序号</w:t>
            </w:r>
          </w:p>
        </w:tc>
        <w:tc>
          <w:tcPr>
            <w:tcW w:w="1469" w:type="dxa"/>
            <w:vAlign w:val="top"/>
          </w:tcPr>
          <w:p w14:paraId="185A6B7E">
            <w:pPr>
              <w:pStyle w:val="17"/>
              <w:spacing w:before="213" w:line="219" w:lineRule="auto"/>
              <w:ind w:left="319"/>
              <w:rPr>
                <w:strike w:val="0"/>
                <w:dstrike w:val="0"/>
                <w:color w:val="auto"/>
                <w:highlight w:val="none"/>
              </w:rPr>
            </w:pPr>
            <w:r>
              <w:rPr>
                <w:b/>
                <w:bCs/>
                <w:strike w:val="0"/>
                <w:dstrike w:val="0"/>
                <w:color w:val="auto"/>
                <w:spacing w:val="-5"/>
                <w:highlight w:val="none"/>
              </w:rPr>
              <w:t>合同依据</w:t>
            </w:r>
          </w:p>
        </w:tc>
        <w:tc>
          <w:tcPr>
            <w:tcW w:w="3762" w:type="dxa"/>
            <w:vAlign w:val="top"/>
          </w:tcPr>
          <w:p w14:paraId="21A0085F">
            <w:pPr>
              <w:pStyle w:val="17"/>
              <w:spacing w:before="213" w:line="220" w:lineRule="auto"/>
              <w:ind w:left="1465"/>
              <w:rPr>
                <w:strike w:val="0"/>
                <w:dstrike w:val="0"/>
                <w:color w:val="auto"/>
                <w:highlight w:val="none"/>
              </w:rPr>
            </w:pPr>
            <w:r>
              <w:rPr>
                <w:b/>
                <w:bCs/>
                <w:strike w:val="0"/>
                <w:dstrike w:val="0"/>
                <w:color w:val="auto"/>
                <w:spacing w:val="-4"/>
                <w:highlight w:val="none"/>
              </w:rPr>
              <w:t>违约内容</w:t>
            </w:r>
          </w:p>
        </w:tc>
        <w:tc>
          <w:tcPr>
            <w:tcW w:w="1799" w:type="dxa"/>
            <w:vAlign w:val="top"/>
          </w:tcPr>
          <w:p w14:paraId="425B1A67">
            <w:pPr>
              <w:pStyle w:val="17"/>
              <w:spacing w:before="214" w:line="220" w:lineRule="auto"/>
              <w:ind w:left="381"/>
              <w:rPr>
                <w:strike w:val="0"/>
                <w:dstrike w:val="0"/>
                <w:color w:val="auto"/>
                <w:highlight w:val="none"/>
              </w:rPr>
            </w:pPr>
            <w:r>
              <w:rPr>
                <w:b/>
                <w:bCs/>
                <w:strike w:val="0"/>
                <w:dstrike w:val="0"/>
                <w:color w:val="auto"/>
                <w:spacing w:val="-4"/>
                <w:highlight w:val="none"/>
              </w:rPr>
              <w:t>违约金标准</w:t>
            </w:r>
          </w:p>
        </w:tc>
        <w:tc>
          <w:tcPr>
            <w:tcW w:w="1580" w:type="dxa"/>
            <w:vAlign w:val="top"/>
          </w:tcPr>
          <w:p w14:paraId="1ADC70F7">
            <w:pPr>
              <w:pStyle w:val="17"/>
              <w:spacing w:before="214" w:line="221" w:lineRule="auto"/>
              <w:ind w:left="586"/>
              <w:rPr>
                <w:strike w:val="0"/>
                <w:dstrike w:val="0"/>
                <w:color w:val="auto"/>
                <w:highlight w:val="none"/>
              </w:rPr>
            </w:pPr>
            <w:r>
              <w:rPr>
                <w:b/>
                <w:bCs/>
                <w:strike w:val="0"/>
                <w:dstrike w:val="0"/>
                <w:color w:val="auto"/>
                <w:spacing w:val="-5"/>
                <w:highlight w:val="none"/>
              </w:rPr>
              <w:t>备注</w:t>
            </w:r>
          </w:p>
        </w:tc>
      </w:tr>
      <w:tr w14:paraId="08AC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60E2F1DC">
            <w:pPr>
              <w:rPr>
                <w:rFonts w:ascii="Arial"/>
                <w:strike/>
                <w:dstrike w:val="0"/>
                <w:color w:val="auto"/>
                <w:sz w:val="21"/>
                <w:highlight w:val="none"/>
              </w:rPr>
            </w:pPr>
          </w:p>
        </w:tc>
        <w:tc>
          <w:tcPr>
            <w:tcW w:w="1469" w:type="dxa"/>
            <w:vAlign w:val="top"/>
          </w:tcPr>
          <w:p w14:paraId="41AE018E">
            <w:pPr>
              <w:rPr>
                <w:rFonts w:ascii="Arial"/>
                <w:strike/>
                <w:dstrike w:val="0"/>
                <w:color w:val="auto"/>
                <w:sz w:val="21"/>
                <w:highlight w:val="none"/>
              </w:rPr>
            </w:pPr>
          </w:p>
        </w:tc>
        <w:tc>
          <w:tcPr>
            <w:tcW w:w="3762" w:type="dxa"/>
            <w:vAlign w:val="top"/>
          </w:tcPr>
          <w:p w14:paraId="68A9D5C3">
            <w:pPr>
              <w:pStyle w:val="17"/>
              <w:spacing w:before="105" w:line="220" w:lineRule="auto"/>
              <w:ind w:left="116"/>
              <w:rPr>
                <w:strike/>
                <w:dstrike w:val="0"/>
                <w:color w:val="auto"/>
                <w:highlight w:val="none"/>
              </w:rPr>
            </w:pPr>
            <w:r>
              <w:rPr>
                <w:strike/>
                <w:dstrike w:val="0"/>
                <w:color w:val="auto"/>
                <w:spacing w:val="-2"/>
                <w:highlight w:val="none"/>
              </w:rPr>
              <w:t>并提交给发包人的</w:t>
            </w:r>
          </w:p>
        </w:tc>
        <w:tc>
          <w:tcPr>
            <w:tcW w:w="1799" w:type="dxa"/>
            <w:vAlign w:val="top"/>
          </w:tcPr>
          <w:p w14:paraId="029536C7">
            <w:pPr>
              <w:pStyle w:val="17"/>
              <w:spacing w:before="106" w:line="220" w:lineRule="auto"/>
              <w:ind w:left="116"/>
              <w:rPr>
                <w:strike/>
                <w:dstrike w:val="0"/>
                <w:color w:val="auto"/>
                <w:highlight w:val="none"/>
              </w:rPr>
            </w:pPr>
            <w:r>
              <w:rPr>
                <w:strike/>
                <w:dstrike w:val="0"/>
                <w:color w:val="auto"/>
                <w:spacing w:val="-8"/>
                <w:highlight w:val="none"/>
              </w:rPr>
              <w:t>保函续期手续（或</w:t>
            </w:r>
          </w:p>
          <w:p w14:paraId="5B0C5FF4">
            <w:pPr>
              <w:pStyle w:val="17"/>
              <w:spacing w:before="108" w:line="220" w:lineRule="auto"/>
              <w:ind w:left="116"/>
              <w:rPr>
                <w:strike/>
                <w:dstrike w:val="0"/>
                <w:color w:val="auto"/>
                <w:highlight w:val="none"/>
              </w:rPr>
            </w:pPr>
            <w:r>
              <w:rPr>
                <w:strike/>
                <w:dstrike w:val="0"/>
                <w:color w:val="auto"/>
                <w:spacing w:val="-14"/>
                <w:highlight w:val="none"/>
              </w:rPr>
              <w:t>开立新保函）并提</w:t>
            </w:r>
          </w:p>
          <w:p w14:paraId="08D58E08">
            <w:pPr>
              <w:pStyle w:val="17"/>
              <w:spacing w:before="110" w:line="218" w:lineRule="auto"/>
              <w:ind w:left="385"/>
              <w:rPr>
                <w:strike/>
                <w:dstrike w:val="0"/>
                <w:color w:val="auto"/>
                <w:highlight w:val="none"/>
              </w:rPr>
            </w:pPr>
            <w:r>
              <w:rPr>
                <w:strike/>
                <w:dstrike w:val="0"/>
                <w:color w:val="auto"/>
                <w:spacing w:val="-2"/>
                <w:highlight w:val="none"/>
              </w:rPr>
              <w:t>交给发包人</w:t>
            </w:r>
          </w:p>
        </w:tc>
        <w:tc>
          <w:tcPr>
            <w:tcW w:w="1580" w:type="dxa"/>
            <w:vAlign w:val="top"/>
          </w:tcPr>
          <w:p w14:paraId="52B5AB9B">
            <w:pPr>
              <w:rPr>
                <w:rFonts w:ascii="Arial"/>
                <w:strike w:val="0"/>
                <w:dstrike w:val="0"/>
                <w:color w:val="auto"/>
                <w:sz w:val="21"/>
                <w:highlight w:val="none"/>
              </w:rPr>
            </w:pPr>
          </w:p>
        </w:tc>
      </w:tr>
      <w:tr w14:paraId="73094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Merge w:val="restart"/>
            <w:tcBorders>
              <w:bottom w:val="nil"/>
            </w:tcBorders>
            <w:vAlign w:val="top"/>
          </w:tcPr>
          <w:p w14:paraId="62FC6ED4">
            <w:pPr>
              <w:spacing w:line="314" w:lineRule="auto"/>
              <w:rPr>
                <w:rFonts w:ascii="Arial"/>
                <w:color w:val="auto"/>
                <w:sz w:val="21"/>
                <w:highlight w:val="none"/>
              </w:rPr>
            </w:pPr>
          </w:p>
          <w:p w14:paraId="1D2A03FA">
            <w:pPr>
              <w:spacing w:line="314" w:lineRule="auto"/>
              <w:rPr>
                <w:rFonts w:ascii="Arial"/>
                <w:color w:val="auto"/>
                <w:sz w:val="21"/>
                <w:highlight w:val="none"/>
              </w:rPr>
            </w:pPr>
          </w:p>
          <w:p w14:paraId="2ACCFD10">
            <w:pPr>
              <w:spacing w:line="315" w:lineRule="auto"/>
              <w:rPr>
                <w:rFonts w:ascii="Arial"/>
                <w:color w:val="auto"/>
                <w:sz w:val="21"/>
                <w:highlight w:val="none"/>
              </w:rPr>
            </w:pPr>
          </w:p>
          <w:p w14:paraId="5C5E16ED">
            <w:pPr>
              <w:pStyle w:val="17"/>
              <w:spacing w:before="68"/>
              <w:ind w:left="346"/>
              <w:rPr>
                <w:color w:val="auto"/>
                <w:highlight w:val="none"/>
              </w:rPr>
            </w:pPr>
            <w:r>
              <w:rPr>
                <w:color w:val="auto"/>
                <w:spacing w:val="-6"/>
                <w:highlight w:val="none"/>
              </w:rPr>
              <w:t>10</w:t>
            </w:r>
          </w:p>
        </w:tc>
        <w:tc>
          <w:tcPr>
            <w:tcW w:w="1469" w:type="dxa"/>
            <w:vMerge w:val="restart"/>
            <w:tcBorders>
              <w:bottom w:val="nil"/>
            </w:tcBorders>
            <w:vAlign w:val="top"/>
          </w:tcPr>
          <w:p w14:paraId="4AE68B4E">
            <w:pPr>
              <w:spacing w:line="314" w:lineRule="auto"/>
              <w:rPr>
                <w:rFonts w:ascii="Arial"/>
                <w:color w:val="auto"/>
                <w:sz w:val="21"/>
                <w:highlight w:val="none"/>
              </w:rPr>
            </w:pPr>
          </w:p>
          <w:p w14:paraId="1E9246B9">
            <w:pPr>
              <w:spacing w:line="314" w:lineRule="auto"/>
              <w:rPr>
                <w:rFonts w:ascii="Arial"/>
                <w:color w:val="auto"/>
                <w:sz w:val="21"/>
                <w:highlight w:val="none"/>
              </w:rPr>
            </w:pPr>
          </w:p>
          <w:p w14:paraId="56831A72">
            <w:pPr>
              <w:spacing w:line="315" w:lineRule="auto"/>
              <w:rPr>
                <w:rFonts w:ascii="Arial"/>
                <w:color w:val="auto"/>
                <w:sz w:val="21"/>
                <w:highlight w:val="none"/>
              </w:rPr>
            </w:pPr>
          </w:p>
          <w:p w14:paraId="36CEC312">
            <w:pPr>
              <w:pStyle w:val="17"/>
              <w:spacing w:before="68" w:line="239" w:lineRule="auto"/>
              <w:ind w:left="579"/>
              <w:rPr>
                <w:color w:val="auto"/>
                <w:highlight w:val="none"/>
              </w:rPr>
            </w:pPr>
            <w:r>
              <w:rPr>
                <w:color w:val="auto"/>
                <w:spacing w:val="-3"/>
                <w:highlight w:val="none"/>
              </w:rPr>
              <w:t>4.3</w:t>
            </w:r>
          </w:p>
        </w:tc>
        <w:tc>
          <w:tcPr>
            <w:tcW w:w="3762" w:type="dxa"/>
            <w:vAlign w:val="top"/>
          </w:tcPr>
          <w:p w14:paraId="3496D1FB">
            <w:pPr>
              <w:pStyle w:val="17"/>
              <w:spacing w:before="287" w:line="220" w:lineRule="auto"/>
              <w:ind w:left="117"/>
              <w:rPr>
                <w:color w:val="auto"/>
                <w:highlight w:val="none"/>
              </w:rPr>
            </w:pPr>
            <w:r>
              <w:rPr>
                <w:color w:val="auto"/>
                <w:spacing w:val="-3"/>
                <w:highlight w:val="none"/>
              </w:rPr>
              <w:t>（1）违规分包或转包</w:t>
            </w:r>
          </w:p>
        </w:tc>
        <w:tc>
          <w:tcPr>
            <w:tcW w:w="1799" w:type="dxa"/>
            <w:vAlign w:val="top"/>
          </w:tcPr>
          <w:p w14:paraId="7ED53F2D">
            <w:pPr>
              <w:pStyle w:val="17"/>
              <w:spacing w:before="107" w:line="267" w:lineRule="auto"/>
              <w:ind w:left="303" w:right="160" w:hanging="130"/>
              <w:rPr>
                <w:color w:val="auto"/>
                <w:highlight w:val="none"/>
              </w:rPr>
            </w:pPr>
            <w:r>
              <w:rPr>
                <w:color w:val="auto"/>
                <w:spacing w:val="-2"/>
                <w:highlight w:val="none"/>
              </w:rPr>
              <w:t>按违规分包转包</w:t>
            </w:r>
            <w:r>
              <w:rPr>
                <w:color w:val="auto"/>
                <w:spacing w:val="-5"/>
                <w:highlight w:val="none"/>
              </w:rPr>
              <w:t>金额</w:t>
            </w:r>
            <w:r>
              <w:rPr>
                <w:color w:val="auto"/>
                <w:spacing w:val="-29"/>
                <w:highlight w:val="none"/>
              </w:rPr>
              <w:t xml:space="preserve"> </w:t>
            </w:r>
            <w:r>
              <w:rPr>
                <w:color w:val="auto"/>
                <w:spacing w:val="-5"/>
                <w:highlight w:val="none"/>
              </w:rPr>
              <w:t>10%处罚</w:t>
            </w:r>
          </w:p>
        </w:tc>
        <w:tc>
          <w:tcPr>
            <w:tcW w:w="1580" w:type="dxa"/>
            <w:vMerge w:val="restart"/>
            <w:tcBorders>
              <w:bottom w:val="nil"/>
            </w:tcBorders>
            <w:vAlign w:val="top"/>
          </w:tcPr>
          <w:p w14:paraId="1DDD32A0">
            <w:pPr>
              <w:spacing w:line="406" w:lineRule="auto"/>
              <w:rPr>
                <w:rFonts w:ascii="Arial"/>
                <w:color w:val="auto"/>
                <w:sz w:val="21"/>
                <w:highlight w:val="none"/>
              </w:rPr>
            </w:pPr>
          </w:p>
          <w:p w14:paraId="4F519F56">
            <w:pPr>
              <w:pStyle w:val="17"/>
              <w:spacing w:before="68" w:line="219" w:lineRule="auto"/>
              <w:ind w:left="164"/>
              <w:rPr>
                <w:color w:val="auto"/>
                <w:highlight w:val="none"/>
              </w:rPr>
            </w:pPr>
            <w:r>
              <w:rPr>
                <w:color w:val="auto"/>
                <w:spacing w:val="-2"/>
                <w:highlight w:val="none"/>
              </w:rPr>
              <w:t>供招标人结合</w:t>
            </w:r>
          </w:p>
          <w:p w14:paraId="2ACFDB96">
            <w:pPr>
              <w:pStyle w:val="17"/>
              <w:spacing w:before="111" w:line="220" w:lineRule="auto"/>
              <w:ind w:left="167"/>
              <w:rPr>
                <w:color w:val="auto"/>
                <w:highlight w:val="none"/>
              </w:rPr>
            </w:pPr>
            <w:r>
              <w:rPr>
                <w:color w:val="auto"/>
                <w:spacing w:val="-2"/>
                <w:highlight w:val="none"/>
              </w:rPr>
              <w:t>项目实际情况</w:t>
            </w:r>
          </w:p>
          <w:p w14:paraId="728CCBF5">
            <w:pPr>
              <w:pStyle w:val="17"/>
              <w:spacing w:before="108" w:line="220" w:lineRule="auto"/>
              <w:ind w:left="166"/>
              <w:rPr>
                <w:color w:val="auto"/>
                <w:highlight w:val="none"/>
              </w:rPr>
            </w:pPr>
            <w:r>
              <w:rPr>
                <w:color w:val="auto"/>
                <w:spacing w:val="-2"/>
                <w:highlight w:val="none"/>
              </w:rPr>
              <w:t>参考使用，合</w:t>
            </w:r>
          </w:p>
          <w:p w14:paraId="40FA44A9">
            <w:pPr>
              <w:pStyle w:val="17"/>
              <w:spacing w:before="110" w:line="221" w:lineRule="auto"/>
              <w:ind w:left="482"/>
              <w:rPr>
                <w:color w:val="auto"/>
                <w:highlight w:val="none"/>
              </w:rPr>
            </w:pPr>
            <w:r>
              <w:rPr>
                <w:color w:val="auto"/>
                <w:spacing w:val="-3"/>
                <w:highlight w:val="none"/>
              </w:rPr>
              <w:t>理设置</w:t>
            </w:r>
          </w:p>
        </w:tc>
      </w:tr>
      <w:tr w14:paraId="7DEDF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Merge w:val="continue"/>
            <w:tcBorders>
              <w:top w:val="nil"/>
              <w:bottom w:val="nil"/>
            </w:tcBorders>
            <w:vAlign w:val="top"/>
          </w:tcPr>
          <w:p w14:paraId="3A27418B">
            <w:pPr>
              <w:rPr>
                <w:rFonts w:ascii="Arial"/>
                <w:color w:val="auto"/>
                <w:sz w:val="21"/>
                <w:highlight w:val="none"/>
              </w:rPr>
            </w:pPr>
          </w:p>
        </w:tc>
        <w:tc>
          <w:tcPr>
            <w:tcW w:w="1469" w:type="dxa"/>
            <w:vMerge w:val="continue"/>
            <w:tcBorders>
              <w:top w:val="nil"/>
              <w:bottom w:val="nil"/>
            </w:tcBorders>
            <w:vAlign w:val="top"/>
          </w:tcPr>
          <w:p w14:paraId="3811EFAC">
            <w:pPr>
              <w:rPr>
                <w:rFonts w:ascii="Arial"/>
                <w:color w:val="auto"/>
                <w:sz w:val="21"/>
                <w:highlight w:val="none"/>
              </w:rPr>
            </w:pPr>
          </w:p>
        </w:tc>
        <w:tc>
          <w:tcPr>
            <w:tcW w:w="3762" w:type="dxa"/>
            <w:vAlign w:val="top"/>
          </w:tcPr>
          <w:p w14:paraId="1E32DCB6">
            <w:pPr>
              <w:pStyle w:val="17"/>
              <w:spacing w:before="106" w:line="267" w:lineRule="auto"/>
              <w:ind w:left="111" w:right="112" w:firstLine="5"/>
              <w:rPr>
                <w:color w:val="auto"/>
                <w:highlight w:val="none"/>
              </w:rPr>
            </w:pPr>
            <w:r>
              <w:rPr>
                <w:color w:val="auto"/>
                <w:spacing w:val="3"/>
                <w:highlight w:val="none"/>
              </w:rPr>
              <w:t>（2）发包人决定采取强制分包时，承</w:t>
            </w:r>
            <w:r>
              <w:rPr>
                <w:color w:val="auto"/>
                <w:spacing w:val="-1"/>
                <w:highlight w:val="none"/>
              </w:rPr>
              <w:t>包人不接受或不予配合的</w:t>
            </w:r>
          </w:p>
        </w:tc>
        <w:tc>
          <w:tcPr>
            <w:tcW w:w="1799" w:type="dxa"/>
            <w:vAlign w:val="top"/>
          </w:tcPr>
          <w:p w14:paraId="2D4618E8">
            <w:pPr>
              <w:pStyle w:val="17"/>
              <w:spacing w:before="287" w:line="220" w:lineRule="auto"/>
              <w:ind w:left="255"/>
              <w:rPr>
                <w:color w:val="auto"/>
                <w:highlight w:val="none"/>
              </w:rPr>
            </w:pPr>
            <w:r>
              <w:rPr>
                <w:color w:val="auto"/>
                <w:spacing w:val="-3"/>
                <w:highlight w:val="none"/>
              </w:rPr>
              <w:t>30-50</w:t>
            </w:r>
            <w:r>
              <w:rPr>
                <w:color w:val="auto"/>
                <w:spacing w:val="-39"/>
                <w:highlight w:val="none"/>
              </w:rPr>
              <w:t xml:space="preserve"> </w:t>
            </w:r>
            <w:r>
              <w:rPr>
                <w:color w:val="auto"/>
                <w:spacing w:val="-3"/>
                <w:highlight w:val="none"/>
              </w:rPr>
              <w:t>万元/次</w:t>
            </w:r>
          </w:p>
        </w:tc>
        <w:tc>
          <w:tcPr>
            <w:tcW w:w="1580" w:type="dxa"/>
            <w:vMerge w:val="continue"/>
            <w:tcBorders>
              <w:top w:val="nil"/>
              <w:bottom w:val="nil"/>
            </w:tcBorders>
            <w:vAlign w:val="top"/>
          </w:tcPr>
          <w:p w14:paraId="5D4E5460">
            <w:pPr>
              <w:rPr>
                <w:rFonts w:ascii="Arial"/>
                <w:color w:val="auto"/>
                <w:sz w:val="21"/>
                <w:highlight w:val="none"/>
              </w:rPr>
            </w:pPr>
          </w:p>
        </w:tc>
      </w:tr>
      <w:tr w14:paraId="1482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Merge w:val="continue"/>
            <w:tcBorders>
              <w:top w:val="nil"/>
            </w:tcBorders>
            <w:vAlign w:val="top"/>
          </w:tcPr>
          <w:p w14:paraId="06E5B873">
            <w:pPr>
              <w:rPr>
                <w:rFonts w:ascii="Arial"/>
                <w:color w:val="auto"/>
                <w:sz w:val="21"/>
                <w:highlight w:val="none"/>
              </w:rPr>
            </w:pPr>
          </w:p>
        </w:tc>
        <w:tc>
          <w:tcPr>
            <w:tcW w:w="1469" w:type="dxa"/>
            <w:vMerge w:val="continue"/>
            <w:tcBorders>
              <w:top w:val="nil"/>
            </w:tcBorders>
            <w:vAlign w:val="top"/>
          </w:tcPr>
          <w:p w14:paraId="0082EC82">
            <w:pPr>
              <w:rPr>
                <w:rFonts w:ascii="Arial"/>
                <w:color w:val="auto"/>
                <w:sz w:val="21"/>
                <w:highlight w:val="none"/>
              </w:rPr>
            </w:pPr>
          </w:p>
        </w:tc>
        <w:tc>
          <w:tcPr>
            <w:tcW w:w="3762" w:type="dxa"/>
            <w:vAlign w:val="top"/>
          </w:tcPr>
          <w:p w14:paraId="0FED15EF">
            <w:pPr>
              <w:pStyle w:val="17"/>
              <w:spacing w:before="108" w:line="266" w:lineRule="auto"/>
              <w:ind w:left="113" w:right="113" w:firstLine="3"/>
              <w:rPr>
                <w:color w:val="auto"/>
                <w:highlight w:val="none"/>
              </w:rPr>
            </w:pPr>
            <w:r>
              <w:rPr>
                <w:color w:val="auto"/>
                <w:spacing w:val="3"/>
                <w:highlight w:val="none"/>
              </w:rPr>
              <w:t>（3）除上述（1</w:t>
            </w:r>
            <w:r>
              <w:rPr>
                <w:color w:val="auto"/>
                <w:spacing w:val="6"/>
                <w:highlight w:val="none"/>
              </w:rPr>
              <w:t>）（</w:t>
            </w:r>
            <w:r>
              <w:rPr>
                <w:color w:val="auto"/>
                <w:spacing w:val="3"/>
                <w:highlight w:val="none"/>
              </w:rPr>
              <w:t>2）的情形外，未</w:t>
            </w:r>
            <w:r>
              <w:rPr>
                <w:color w:val="auto"/>
                <w:spacing w:val="-1"/>
                <w:highlight w:val="none"/>
              </w:rPr>
              <w:t>按合同约定有效开展承包人监管工作</w:t>
            </w:r>
          </w:p>
        </w:tc>
        <w:tc>
          <w:tcPr>
            <w:tcW w:w="1799" w:type="dxa"/>
            <w:vAlign w:val="top"/>
          </w:tcPr>
          <w:p w14:paraId="0F9D305D">
            <w:pPr>
              <w:pStyle w:val="17"/>
              <w:spacing w:before="287" w:line="220" w:lineRule="auto"/>
              <w:ind w:left="306"/>
              <w:rPr>
                <w:color w:val="auto"/>
                <w:highlight w:val="none"/>
              </w:rPr>
            </w:pPr>
            <w:r>
              <w:rPr>
                <w:color w:val="auto"/>
                <w:spacing w:val="-3"/>
                <w:highlight w:val="none"/>
              </w:rPr>
              <w:t>5-10</w:t>
            </w:r>
            <w:r>
              <w:rPr>
                <w:color w:val="auto"/>
                <w:spacing w:val="-41"/>
                <w:highlight w:val="none"/>
              </w:rPr>
              <w:t xml:space="preserve"> </w:t>
            </w:r>
            <w:r>
              <w:rPr>
                <w:color w:val="auto"/>
                <w:spacing w:val="-3"/>
                <w:highlight w:val="none"/>
              </w:rPr>
              <w:t>万元/次</w:t>
            </w:r>
          </w:p>
        </w:tc>
        <w:tc>
          <w:tcPr>
            <w:tcW w:w="1580" w:type="dxa"/>
            <w:vMerge w:val="continue"/>
            <w:tcBorders>
              <w:top w:val="nil"/>
            </w:tcBorders>
            <w:vAlign w:val="top"/>
          </w:tcPr>
          <w:p w14:paraId="75F9018F">
            <w:pPr>
              <w:rPr>
                <w:rFonts w:ascii="Arial"/>
                <w:color w:val="auto"/>
                <w:sz w:val="21"/>
                <w:highlight w:val="none"/>
              </w:rPr>
            </w:pPr>
          </w:p>
        </w:tc>
      </w:tr>
      <w:tr w14:paraId="1CDC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5" w:hRule="atLeast"/>
        </w:trPr>
        <w:tc>
          <w:tcPr>
            <w:tcW w:w="862" w:type="dxa"/>
            <w:vAlign w:val="top"/>
          </w:tcPr>
          <w:p w14:paraId="49DBB5B0">
            <w:pPr>
              <w:spacing w:line="258" w:lineRule="auto"/>
              <w:rPr>
                <w:rFonts w:ascii="Arial"/>
                <w:color w:val="auto"/>
                <w:sz w:val="21"/>
                <w:highlight w:val="none"/>
              </w:rPr>
            </w:pPr>
          </w:p>
          <w:p w14:paraId="40137C01">
            <w:pPr>
              <w:spacing w:line="258" w:lineRule="auto"/>
              <w:rPr>
                <w:rFonts w:ascii="Arial"/>
                <w:color w:val="auto"/>
                <w:sz w:val="21"/>
                <w:highlight w:val="none"/>
              </w:rPr>
            </w:pPr>
          </w:p>
          <w:p w14:paraId="39FFCD9E">
            <w:pPr>
              <w:spacing w:line="258" w:lineRule="auto"/>
              <w:rPr>
                <w:rFonts w:ascii="Arial"/>
                <w:color w:val="auto"/>
                <w:sz w:val="21"/>
                <w:highlight w:val="none"/>
              </w:rPr>
            </w:pPr>
          </w:p>
          <w:p w14:paraId="61B46328">
            <w:pPr>
              <w:spacing w:line="259" w:lineRule="auto"/>
              <w:rPr>
                <w:rFonts w:ascii="Arial"/>
                <w:color w:val="auto"/>
                <w:sz w:val="21"/>
                <w:highlight w:val="none"/>
              </w:rPr>
            </w:pPr>
          </w:p>
          <w:p w14:paraId="01695380">
            <w:pPr>
              <w:spacing w:line="259" w:lineRule="auto"/>
              <w:rPr>
                <w:rFonts w:ascii="Arial"/>
                <w:color w:val="auto"/>
                <w:sz w:val="21"/>
                <w:highlight w:val="none"/>
              </w:rPr>
            </w:pPr>
          </w:p>
          <w:p w14:paraId="4AB6FFB2">
            <w:pPr>
              <w:pStyle w:val="17"/>
              <w:spacing w:before="69" w:line="241" w:lineRule="auto"/>
              <w:ind w:left="346"/>
              <w:rPr>
                <w:color w:val="auto"/>
                <w:highlight w:val="none"/>
              </w:rPr>
            </w:pPr>
            <w:r>
              <w:rPr>
                <w:color w:val="auto"/>
                <w:spacing w:val="-11"/>
                <w:highlight w:val="none"/>
              </w:rPr>
              <w:t>11</w:t>
            </w:r>
          </w:p>
        </w:tc>
        <w:tc>
          <w:tcPr>
            <w:tcW w:w="1469" w:type="dxa"/>
            <w:vAlign w:val="top"/>
          </w:tcPr>
          <w:p w14:paraId="61B4528E">
            <w:pPr>
              <w:spacing w:line="258" w:lineRule="auto"/>
              <w:rPr>
                <w:rFonts w:ascii="Arial"/>
                <w:color w:val="auto"/>
                <w:sz w:val="21"/>
                <w:highlight w:val="none"/>
              </w:rPr>
            </w:pPr>
          </w:p>
          <w:p w14:paraId="0B8D0457">
            <w:pPr>
              <w:spacing w:line="258" w:lineRule="auto"/>
              <w:rPr>
                <w:rFonts w:ascii="Arial"/>
                <w:color w:val="auto"/>
                <w:sz w:val="21"/>
                <w:highlight w:val="none"/>
              </w:rPr>
            </w:pPr>
          </w:p>
          <w:p w14:paraId="7A10A7E1">
            <w:pPr>
              <w:spacing w:line="258" w:lineRule="auto"/>
              <w:rPr>
                <w:rFonts w:ascii="Arial"/>
                <w:color w:val="auto"/>
                <w:sz w:val="21"/>
                <w:highlight w:val="none"/>
              </w:rPr>
            </w:pPr>
          </w:p>
          <w:p w14:paraId="31424118">
            <w:pPr>
              <w:spacing w:line="259" w:lineRule="auto"/>
              <w:rPr>
                <w:rFonts w:ascii="Arial"/>
                <w:color w:val="auto"/>
                <w:sz w:val="21"/>
                <w:highlight w:val="none"/>
              </w:rPr>
            </w:pPr>
          </w:p>
          <w:p w14:paraId="44AEB98A">
            <w:pPr>
              <w:spacing w:line="259" w:lineRule="auto"/>
              <w:rPr>
                <w:rFonts w:ascii="Arial"/>
                <w:color w:val="auto"/>
                <w:sz w:val="21"/>
                <w:highlight w:val="none"/>
              </w:rPr>
            </w:pPr>
          </w:p>
          <w:p w14:paraId="6FFF0943">
            <w:pPr>
              <w:pStyle w:val="17"/>
              <w:spacing w:before="68" w:line="239" w:lineRule="auto"/>
              <w:ind w:left="473"/>
              <w:rPr>
                <w:color w:val="auto"/>
                <w:highlight w:val="none"/>
              </w:rPr>
            </w:pPr>
            <w:r>
              <w:rPr>
                <w:color w:val="auto"/>
                <w:spacing w:val="-2"/>
                <w:highlight w:val="none"/>
              </w:rPr>
              <w:t>4.6.1</w:t>
            </w:r>
          </w:p>
        </w:tc>
        <w:tc>
          <w:tcPr>
            <w:tcW w:w="3762" w:type="dxa"/>
            <w:vAlign w:val="top"/>
          </w:tcPr>
          <w:p w14:paraId="3F1233B0">
            <w:pPr>
              <w:spacing w:line="311" w:lineRule="auto"/>
              <w:rPr>
                <w:rFonts w:ascii="Arial"/>
                <w:color w:val="auto"/>
                <w:sz w:val="21"/>
                <w:highlight w:val="none"/>
              </w:rPr>
            </w:pPr>
          </w:p>
          <w:p w14:paraId="0BB1F796">
            <w:pPr>
              <w:spacing w:line="311" w:lineRule="auto"/>
              <w:rPr>
                <w:rFonts w:ascii="Arial"/>
                <w:color w:val="auto"/>
                <w:sz w:val="21"/>
                <w:highlight w:val="none"/>
              </w:rPr>
            </w:pPr>
          </w:p>
          <w:p w14:paraId="40E36B45">
            <w:pPr>
              <w:spacing w:line="312" w:lineRule="auto"/>
              <w:rPr>
                <w:rFonts w:ascii="Arial"/>
                <w:color w:val="auto"/>
                <w:sz w:val="21"/>
                <w:highlight w:val="none"/>
              </w:rPr>
            </w:pPr>
          </w:p>
          <w:p w14:paraId="18C41F00">
            <w:pPr>
              <w:pStyle w:val="17"/>
              <w:spacing w:before="68" w:line="318" w:lineRule="auto"/>
              <w:ind w:left="111" w:right="103"/>
              <w:jc w:val="both"/>
              <w:rPr>
                <w:color w:val="auto"/>
                <w:highlight w:val="none"/>
              </w:rPr>
            </w:pPr>
            <w:r>
              <w:rPr>
                <w:color w:val="auto"/>
                <w:spacing w:val="11"/>
                <w:highlight w:val="none"/>
              </w:rPr>
              <w:t>承包人在接到监理人要求人员进场的</w:t>
            </w:r>
            <w:r>
              <w:rPr>
                <w:color w:val="auto"/>
                <w:spacing w:val="-4"/>
                <w:highlight w:val="none"/>
              </w:rPr>
              <w:t>通知</w:t>
            </w:r>
            <w:r>
              <w:rPr>
                <w:color w:val="auto"/>
                <w:spacing w:val="-28"/>
                <w:highlight w:val="none"/>
              </w:rPr>
              <w:t xml:space="preserve"> </w:t>
            </w:r>
            <w:r>
              <w:rPr>
                <w:color w:val="auto"/>
                <w:spacing w:val="-4"/>
                <w:highlight w:val="none"/>
              </w:rPr>
              <w:t>5</w:t>
            </w:r>
            <w:r>
              <w:rPr>
                <w:color w:val="auto"/>
                <w:spacing w:val="-39"/>
                <w:highlight w:val="none"/>
              </w:rPr>
              <w:t xml:space="preserve"> </w:t>
            </w:r>
            <w:r>
              <w:rPr>
                <w:color w:val="auto"/>
                <w:spacing w:val="-4"/>
                <w:highlight w:val="none"/>
              </w:rPr>
              <w:t>天后仍未安排相关人员进场，从</w:t>
            </w:r>
            <w:r>
              <w:rPr>
                <w:color w:val="auto"/>
                <w:spacing w:val="-3"/>
                <w:highlight w:val="none"/>
              </w:rPr>
              <w:t>第</w:t>
            </w:r>
            <w:r>
              <w:rPr>
                <w:color w:val="auto"/>
                <w:spacing w:val="-32"/>
                <w:highlight w:val="none"/>
              </w:rPr>
              <w:t xml:space="preserve"> </w:t>
            </w:r>
            <w:r>
              <w:rPr>
                <w:color w:val="auto"/>
                <w:spacing w:val="-3"/>
                <w:highlight w:val="none"/>
              </w:rPr>
              <w:t>6</w:t>
            </w:r>
            <w:r>
              <w:rPr>
                <w:color w:val="auto"/>
                <w:spacing w:val="-40"/>
                <w:highlight w:val="none"/>
              </w:rPr>
              <w:t xml:space="preserve"> </w:t>
            </w:r>
            <w:r>
              <w:rPr>
                <w:color w:val="auto"/>
                <w:spacing w:val="-3"/>
                <w:highlight w:val="none"/>
              </w:rPr>
              <w:t>天算起扣除承包人的违约金</w:t>
            </w:r>
          </w:p>
        </w:tc>
        <w:tc>
          <w:tcPr>
            <w:tcW w:w="1799" w:type="dxa"/>
            <w:vAlign w:val="top"/>
          </w:tcPr>
          <w:p w14:paraId="7754D154">
            <w:pPr>
              <w:spacing w:line="252" w:lineRule="auto"/>
              <w:rPr>
                <w:rFonts w:ascii="Arial"/>
                <w:color w:val="auto"/>
                <w:sz w:val="21"/>
                <w:highlight w:val="none"/>
              </w:rPr>
            </w:pPr>
          </w:p>
          <w:p w14:paraId="176F61A5">
            <w:pPr>
              <w:spacing w:line="252" w:lineRule="auto"/>
              <w:rPr>
                <w:rFonts w:ascii="Arial"/>
                <w:color w:val="auto"/>
                <w:sz w:val="21"/>
                <w:highlight w:val="none"/>
              </w:rPr>
            </w:pPr>
          </w:p>
          <w:p w14:paraId="70D4EE10">
            <w:pPr>
              <w:spacing w:line="252" w:lineRule="auto"/>
              <w:rPr>
                <w:rFonts w:ascii="Arial"/>
                <w:color w:val="auto"/>
                <w:sz w:val="21"/>
                <w:highlight w:val="none"/>
              </w:rPr>
            </w:pPr>
          </w:p>
          <w:p w14:paraId="65266881">
            <w:pPr>
              <w:pStyle w:val="17"/>
              <w:spacing w:before="68" w:line="220" w:lineRule="auto"/>
              <w:ind w:left="118"/>
              <w:rPr>
                <w:color w:val="auto"/>
                <w:highlight w:val="none"/>
              </w:rPr>
            </w:pPr>
            <w:r>
              <w:rPr>
                <w:color w:val="auto"/>
                <w:spacing w:val="-14"/>
                <w:highlight w:val="none"/>
              </w:rPr>
              <w:t>项目经理、项目总</w:t>
            </w:r>
          </w:p>
          <w:p w14:paraId="0E8D7DBE">
            <w:pPr>
              <w:pStyle w:val="17"/>
              <w:spacing w:before="109" w:line="220" w:lineRule="auto"/>
              <w:ind w:left="122"/>
              <w:rPr>
                <w:color w:val="auto"/>
                <w:highlight w:val="none"/>
              </w:rPr>
            </w:pPr>
            <w:r>
              <w:rPr>
                <w:color w:val="auto"/>
                <w:spacing w:val="-10"/>
                <w:highlight w:val="none"/>
              </w:rPr>
              <w:t>工</w:t>
            </w:r>
            <w:r>
              <w:rPr>
                <w:color w:val="auto"/>
                <w:spacing w:val="-37"/>
                <w:highlight w:val="none"/>
              </w:rPr>
              <w:t xml:space="preserve"> </w:t>
            </w:r>
            <w:r>
              <w:rPr>
                <w:color w:val="auto"/>
                <w:spacing w:val="-10"/>
                <w:highlight w:val="none"/>
              </w:rPr>
              <w:t>2</w:t>
            </w:r>
            <w:r>
              <w:rPr>
                <w:color w:val="auto"/>
                <w:spacing w:val="-38"/>
                <w:highlight w:val="none"/>
              </w:rPr>
              <w:t xml:space="preserve"> </w:t>
            </w:r>
            <w:r>
              <w:rPr>
                <w:color w:val="auto"/>
                <w:spacing w:val="-10"/>
                <w:highlight w:val="none"/>
              </w:rPr>
              <w:t>万元/人日；</w:t>
            </w:r>
          </w:p>
          <w:p w14:paraId="36BB9DE6">
            <w:pPr>
              <w:pStyle w:val="17"/>
              <w:spacing w:before="108" w:line="220" w:lineRule="auto"/>
              <w:ind w:left="172"/>
              <w:rPr>
                <w:color w:val="auto"/>
                <w:highlight w:val="none"/>
              </w:rPr>
            </w:pPr>
            <w:r>
              <w:rPr>
                <w:color w:val="auto"/>
                <w:spacing w:val="-2"/>
                <w:highlight w:val="none"/>
              </w:rPr>
              <w:t>其他主要技术人</w:t>
            </w:r>
          </w:p>
          <w:p w14:paraId="190F79F5">
            <w:pPr>
              <w:pStyle w:val="17"/>
              <w:spacing w:before="110" w:line="220" w:lineRule="auto"/>
              <w:ind w:left="232"/>
              <w:rPr>
                <w:color w:val="auto"/>
                <w:highlight w:val="none"/>
              </w:rPr>
            </w:pPr>
            <w:r>
              <w:rPr>
                <w:color w:val="auto"/>
                <w:spacing w:val="-8"/>
                <w:highlight w:val="none"/>
              </w:rPr>
              <w:t>员</w:t>
            </w:r>
            <w:r>
              <w:rPr>
                <w:color w:val="auto"/>
                <w:spacing w:val="-24"/>
                <w:highlight w:val="none"/>
              </w:rPr>
              <w:t xml:space="preserve"> </w:t>
            </w:r>
            <w:r>
              <w:rPr>
                <w:color w:val="auto"/>
                <w:spacing w:val="-8"/>
                <w:highlight w:val="none"/>
              </w:rPr>
              <w:t>1</w:t>
            </w:r>
            <w:r>
              <w:rPr>
                <w:color w:val="auto"/>
                <w:spacing w:val="-40"/>
                <w:highlight w:val="none"/>
              </w:rPr>
              <w:t xml:space="preserve"> </w:t>
            </w:r>
            <w:r>
              <w:rPr>
                <w:color w:val="auto"/>
                <w:spacing w:val="-8"/>
                <w:highlight w:val="none"/>
              </w:rPr>
              <w:t>万元/人日</w:t>
            </w:r>
          </w:p>
        </w:tc>
        <w:tc>
          <w:tcPr>
            <w:tcW w:w="1580" w:type="dxa"/>
            <w:vAlign w:val="top"/>
          </w:tcPr>
          <w:p w14:paraId="7817A354">
            <w:pPr>
              <w:pStyle w:val="17"/>
              <w:spacing w:before="108" w:line="220" w:lineRule="auto"/>
              <w:ind w:left="167"/>
              <w:rPr>
                <w:color w:val="auto"/>
                <w:highlight w:val="none"/>
              </w:rPr>
            </w:pPr>
            <w:r>
              <w:rPr>
                <w:color w:val="auto"/>
                <w:spacing w:val="-2"/>
                <w:highlight w:val="none"/>
              </w:rPr>
              <w:t>如果承包人接</w:t>
            </w:r>
          </w:p>
          <w:p w14:paraId="744D88DB">
            <w:pPr>
              <w:pStyle w:val="17"/>
              <w:spacing w:before="110" w:line="220" w:lineRule="auto"/>
              <w:ind w:left="122"/>
              <w:rPr>
                <w:color w:val="auto"/>
                <w:highlight w:val="none"/>
              </w:rPr>
            </w:pPr>
            <w:r>
              <w:rPr>
                <w:color w:val="auto"/>
                <w:spacing w:val="-6"/>
                <w:highlight w:val="none"/>
              </w:rPr>
              <w:t>到通知后</w:t>
            </w:r>
            <w:r>
              <w:rPr>
                <w:color w:val="auto"/>
                <w:spacing w:val="-30"/>
                <w:highlight w:val="none"/>
              </w:rPr>
              <w:t xml:space="preserve"> </w:t>
            </w:r>
            <w:r>
              <w:rPr>
                <w:color w:val="auto"/>
                <w:spacing w:val="-6"/>
                <w:highlight w:val="none"/>
              </w:rPr>
              <w:t>15</w:t>
            </w:r>
            <w:r>
              <w:rPr>
                <w:color w:val="auto"/>
                <w:spacing w:val="-42"/>
                <w:highlight w:val="none"/>
              </w:rPr>
              <w:t xml:space="preserve"> </w:t>
            </w:r>
            <w:r>
              <w:rPr>
                <w:color w:val="auto"/>
                <w:spacing w:val="-6"/>
                <w:highlight w:val="none"/>
              </w:rPr>
              <w:t>天</w:t>
            </w:r>
          </w:p>
          <w:p w14:paraId="3014B4AB">
            <w:pPr>
              <w:pStyle w:val="17"/>
              <w:spacing w:before="109" w:line="220" w:lineRule="auto"/>
              <w:ind w:left="167"/>
              <w:rPr>
                <w:color w:val="auto"/>
                <w:highlight w:val="none"/>
              </w:rPr>
            </w:pPr>
            <w:r>
              <w:rPr>
                <w:color w:val="auto"/>
                <w:spacing w:val="-2"/>
                <w:highlight w:val="none"/>
              </w:rPr>
              <w:t>未安排相关人</w:t>
            </w:r>
          </w:p>
          <w:p w14:paraId="005FB65C">
            <w:pPr>
              <w:pStyle w:val="17"/>
              <w:spacing w:before="108" w:line="220" w:lineRule="auto"/>
              <w:ind w:left="172"/>
              <w:rPr>
                <w:color w:val="auto"/>
                <w:highlight w:val="none"/>
              </w:rPr>
            </w:pPr>
            <w:r>
              <w:rPr>
                <w:color w:val="auto"/>
                <w:spacing w:val="-3"/>
                <w:highlight w:val="none"/>
              </w:rPr>
              <w:t>员进场，将要</w:t>
            </w:r>
          </w:p>
          <w:p w14:paraId="1BE250AA">
            <w:pPr>
              <w:pStyle w:val="17"/>
              <w:spacing w:before="111" w:line="220" w:lineRule="auto"/>
              <w:ind w:left="271"/>
              <w:rPr>
                <w:color w:val="auto"/>
                <w:highlight w:val="none"/>
              </w:rPr>
            </w:pPr>
            <w:r>
              <w:rPr>
                <w:color w:val="auto"/>
                <w:spacing w:val="-2"/>
                <w:highlight w:val="none"/>
              </w:rPr>
              <w:t>求其更换人</w:t>
            </w:r>
          </w:p>
          <w:p w14:paraId="7B8BC9AF">
            <w:pPr>
              <w:pStyle w:val="17"/>
              <w:spacing w:before="109" w:line="220" w:lineRule="auto"/>
              <w:ind w:left="163"/>
              <w:rPr>
                <w:color w:val="auto"/>
                <w:highlight w:val="none"/>
              </w:rPr>
            </w:pPr>
            <w:r>
              <w:rPr>
                <w:color w:val="auto"/>
                <w:spacing w:val="-2"/>
                <w:highlight w:val="none"/>
              </w:rPr>
              <w:t>选，同时执行</w:t>
            </w:r>
          </w:p>
          <w:p w14:paraId="5AA99EF6">
            <w:pPr>
              <w:pStyle w:val="17"/>
              <w:spacing w:before="110" w:line="220" w:lineRule="auto"/>
              <w:ind w:left="166"/>
              <w:rPr>
                <w:color w:val="auto"/>
                <w:highlight w:val="none"/>
              </w:rPr>
            </w:pPr>
            <w:r>
              <w:rPr>
                <w:color w:val="auto"/>
                <w:spacing w:val="-2"/>
                <w:highlight w:val="none"/>
              </w:rPr>
              <w:t>人员更换违约</w:t>
            </w:r>
          </w:p>
          <w:p w14:paraId="7150F1C1">
            <w:pPr>
              <w:pStyle w:val="17"/>
              <w:spacing w:before="110" w:line="216" w:lineRule="auto"/>
              <w:ind w:left="586"/>
              <w:rPr>
                <w:color w:val="auto"/>
                <w:highlight w:val="none"/>
              </w:rPr>
            </w:pPr>
            <w:r>
              <w:rPr>
                <w:color w:val="auto"/>
                <w:spacing w:val="-3"/>
                <w:highlight w:val="none"/>
              </w:rPr>
              <w:t>条款</w:t>
            </w:r>
          </w:p>
        </w:tc>
      </w:tr>
      <w:tr w14:paraId="269F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862" w:type="dxa"/>
            <w:vAlign w:val="center"/>
          </w:tcPr>
          <w:p w14:paraId="08D28DE6">
            <w:pPr>
              <w:pStyle w:val="17"/>
              <w:spacing w:before="69" w:line="241" w:lineRule="auto"/>
              <w:ind w:left="346"/>
              <w:jc w:val="center"/>
              <w:rPr>
                <w:rFonts w:hint="default" w:eastAsia="宋体"/>
                <w:color w:val="auto"/>
                <w:spacing w:val="-11"/>
                <w:highlight w:val="none"/>
                <w:lang w:val="en-US" w:eastAsia="zh-CN"/>
              </w:rPr>
            </w:pPr>
            <w:r>
              <w:rPr>
                <w:rFonts w:hint="default"/>
                <w:color w:val="auto"/>
                <w:spacing w:val="-11"/>
                <w:highlight w:val="none"/>
                <w:lang w:val="en-US" w:eastAsia="zh-CN"/>
              </w:rPr>
              <w:t>12</w:t>
            </w:r>
          </w:p>
        </w:tc>
        <w:tc>
          <w:tcPr>
            <w:tcW w:w="1469" w:type="dxa"/>
            <w:vAlign w:val="center"/>
          </w:tcPr>
          <w:p w14:paraId="19E67BF3">
            <w:pPr>
              <w:pStyle w:val="17"/>
              <w:spacing w:before="68" w:line="239" w:lineRule="auto"/>
              <w:ind w:left="0"/>
              <w:jc w:val="center"/>
              <w:rPr>
                <w:color w:val="auto"/>
                <w:spacing w:val="-2"/>
                <w:highlight w:val="none"/>
              </w:rPr>
            </w:pPr>
            <w:r>
              <w:rPr>
                <w:color w:val="auto"/>
                <w:spacing w:val="-1"/>
                <w:highlight w:val="none"/>
              </w:rPr>
              <w:t>4.6.3（1）</w:t>
            </w:r>
          </w:p>
        </w:tc>
        <w:tc>
          <w:tcPr>
            <w:tcW w:w="3762" w:type="dxa"/>
            <w:vAlign w:val="center"/>
          </w:tcPr>
          <w:p w14:paraId="5E52CFF1">
            <w:pPr>
              <w:pStyle w:val="17"/>
              <w:spacing w:before="68" w:line="318" w:lineRule="auto"/>
              <w:ind w:left="111" w:right="103"/>
              <w:jc w:val="center"/>
              <w:rPr>
                <w:color w:val="auto"/>
                <w:spacing w:val="11"/>
                <w:highlight w:val="none"/>
              </w:rPr>
            </w:pPr>
            <w:r>
              <w:rPr>
                <w:color w:val="auto"/>
                <w:spacing w:val="-2"/>
                <w:highlight w:val="none"/>
              </w:rPr>
              <w:t>项目经理、总工程师、</w:t>
            </w:r>
            <w:r>
              <w:rPr>
                <w:strike/>
                <w:dstrike w:val="0"/>
                <w:color w:val="auto"/>
                <w:spacing w:val="-2"/>
                <w:highlight w:val="none"/>
              </w:rPr>
              <w:t>质量总监、安全</w:t>
            </w:r>
            <w:r>
              <w:rPr>
                <w:strike/>
                <w:dstrike w:val="0"/>
                <w:color w:val="auto"/>
                <w:spacing w:val="11"/>
                <w:highlight w:val="none"/>
              </w:rPr>
              <w:t>总监</w:t>
            </w:r>
            <w:r>
              <w:rPr>
                <w:color w:val="auto"/>
                <w:spacing w:val="11"/>
                <w:highlight w:val="none"/>
              </w:rPr>
              <w:t>或其他主要管理人员无故不到位</w:t>
            </w:r>
            <w:r>
              <w:rPr>
                <w:color w:val="auto"/>
                <w:spacing w:val="-3"/>
                <w:highlight w:val="none"/>
              </w:rPr>
              <w:t>或被替换</w:t>
            </w:r>
          </w:p>
        </w:tc>
        <w:tc>
          <w:tcPr>
            <w:tcW w:w="1799" w:type="dxa"/>
            <w:vAlign w:val="center"/>
          </w:tcPr>
          <w:p w14:paraId="52C6B853">
            <w:pPr>
              <w:pStyle w:val="17"/>
              <w:spacing w:before="109" w:line="240" w:lineRule="auto"/>
              <w:ind w:left="171"/>
              <w:jc w:val="center"/>
              <w:rPr>
                <w:color w:val="auto"/>
                <w:highlight w:val="none"/>
              </w:rPr>
            </w:pPr>
            <w:r>
              <w:rPr>
                <w:color w:val="auto"/>
                <w:spacing w:val="-2"/>
                <w:highlight w:val="none"/>
              </w:rPr>
              <w:t>根据施工合同段</w:t>
            </w:r>
          </w:p>
          <w:p w14:paraId="346ECE55">
            <w:pPr>
              <w:pStyle w:val="17"/>
              <w:spacing w:before="109" w:line="240" w:lineRule="auto"/>
              <w:ind w:left="116"/>
              <w:jc w:val="center"/>
              <w:rPr>
                <w:color w:val="auto"/>
                <w:highlight w:val="none"/>
              </w:rPr>
            </w:pPr>
            <w:r>
              <w:rPr>
                <w:color w:val="auto"/>
                <w:spacing w:val="-7"/>
                <w:highlight w:val="none"/>
              </w:rPr>
              <w:t>规模调整，例如：</w:t>
            </w:r>
          </w:p>
          <w:p w14:paraId="60C0BC3F">
            <w:pPr>
              <w:pStyle w:val="17"/>
              <w:spacing w:before="109" w:line="240" w:lineRule="auto"/>
              <w:ind w:left="121"/>
              <w:jc w:val="center"/>
              <w:rPr>
                <w:color w:val="auto"/>
                <w:highlight w:val="none"/>
              </w:rPr>
            </w:pPr>
            <w:r>
              <w:rPr>
                <w:color w:val="auto"/>
                <w:spacing w:val="-5"/>
                <w:highlight w:val="none"/>
              </w:rPr>
              <w:t>规模在</w:t>
            </w:r>
            <w:r>
              <w:rPr>
                <w:color w:val="auto"/>
                <w:spacing w:val="-24"/>
                <w:highlight w:val="none"/>
              </w:rPr>
              <w:t xml:space="preserve"> </w:t>
            </w:r>
            <w:r>
              <w:rPr>
                <w:color w:val="auto"/>
                <w:spacing w:val="-5"/>
                <w:highlight w:val="none"/>
              </w:rPr>
              <w:t>1000</w:t>
            </w:r>
            <w:r>
              <w:rPr>
                <w:color w:val="auto"/>
                <w:spacing w:val="-41"/>
                <w:highlight w:val="none"/>
              </w:rPr>
              <w:t xml:space="preserve"> </w:t>
            </w:r>
            <w:r>
              <w:rPr>
                <w:color w:val="auto"/>
                <w:spacing w:val="-5"/>
                <w:highlight w:val="none"/>
              </w:rPr>
              <w:t>万以</w:t>
            </w:r>
          </w:p>
          <w:p w14:paraId="1E016184">
            <w:pPr>
              <w:pStyle w:val="17"/>
              <w:spacing w:before="110" w:line="240" w:lineRule="auto"/>
              <w:ind w:left="147"/>
              <w:jc w:val="center"/>
              <w:rPr>
                <w:color w:val="auto"/>
                <w:highlight w:val="none"/>
              </w:rPr>
            </w:pPr>
            <w:r>
              <w:rPr>
                <w:color w:val="auto"/>
                <w:spacing w:val="-3"/>
                <w:highlight w:val="none"/>
              </w:rPr>
              <w:t>上，5000</w:t>
            </w:r>
            <w:r>
              <w:rPr>
                <w:color w:val="auto"/>
                <w:spacing w:val="-32"/>
                <w:highlight w:val="none"/>
              </w:rPr>
              <w:t xml:space="preserve"> </w:t>
            </w:r>
            <w:r>
              <w:rPr>
                <w:color w:val="auto"/>
                <w:spacing w:val="-3"/>
                <w:highlight w:val="none"/>
              </w:rPr>
              <w:t>万以下</w:t>
            </w:r>
          </w:p>
          <w:p w14:paraId="35657C7D">
            <w:pPr>
              <w:pStyle w:val="17"/>
              <w:spacing w:before="109" w:line="240" w:lineRule="auto"/>
              <w:ind w:left="132"/>
              <w:jc w:val="center"/>
              <w:rPr>
                <w:color w:val="auto"/>
                <w:highlight w:val="none"/>
              </w:rPr>
            </w:pPr>
            <w:r>
              <w:rPr>
                <w:color w:val="auto"/>
                <w:spacing w:val="-15"/>
                <w:highlight w:val="none"/>
              </w:rPr>
              <w:t>的，分别处以项目</w:t>
            </w:r>
          </w:p>
          <w:p w14:paraId="4265EFB5">
            <w:pPr>
              <w:pStyle w:val="17"/>
              <w:spacing w:before="109" w:line="240" w:lineRule="auto"/>
              <w:ind w:left="173"/>
              <w:jc w:val="center"/>
              <w:rPr>
                <w:color w:val="auto"/>
                <w:highlight w:val="none"/>
              </w:rPr>
            </w:pPr>
            <w:r>
              <w:rPr>
                <w:color w:val="auto"/>
                <w:spacing w:val="-2"/>
                <w:highlight w:val="none"/>
              </w:rPr>
              <w:t>经理、总工程师</w:t>
            </w:r>
          </w:p>
          <w:p w14:paraId="0906EEB8">
            <w:pPr>
              <w:pStyle w:val="17"/>
              <w:spacing w:before="110" w:line="240" w:lineRule="auto"/>
              <w:ind w:left="117"/>
              <w:jc w:val="center"/>
              <w:rPr>
                <w:strike/>
                <w:color w:val="auto"/>
                <w:highlight w:val="none"/>
              </w:rPr>
            </w:pPr>
            <w:r>
              <w:rPr>
                <w:color w:val="auto"/>
                <w:spacing w:val="-7"/>
                <w:highlight w:val="none"/>
              </w:rPr>
              <w:t>20</w:t>
            </w:r>
            <w:r>
              <w:rPr>
                <w:color w:val="auto"/>
                <w:spacing w:val="-40"/>
                <w:highlight w:val="none"/>
              </w:rPr>
              <w:t xml:space="preserve"> </w:t>
            </w:r>
            <w:r>
              <w:rPr>
                <w:color w:val="auto"/>
                <w:spacing w:val="-7"/>
                <w:highlight w:val="none"/>
              </w:rPr>
              <w:t>万/人次；</w:t>
            </w:r>
            <w:r>
              <w:rPr>
                <w:strike/>
                <w:color w:val="auto"/>
                <w:spacing w:val="-7"/>
                <w:highlight w:val="none"/>
              </w:rPr>
              <w:t>质量</w:t>
            </w:r>
          </w:p>
          <w:p w14:paraId="538E90F1">
            <w:pPr>
              <w:pStyle w:val="17"/>
              <w:spacing w:before="110" w:line="240" w:lineRule="auto"/>
              <w:ind w:left="177"/>
              <w:jc w:val="center"/>
              <w:rPr>
                <w:strike/>
                <w:color w:val="auto"/>
                <w:highlight w:val="none"/>
              </w:rPr>
            </w:pPr>
            <w:r>
              <w:rPr>
                <w:strike/>
                <w:color w:val="auto"/>
                <w:spacing w:val="-2"/>
                <w:highlight w:val="none"/>
              </w:rPr>
              <w:t>总监、安全总监</w:t>
            </w:r>
          </w:p>
          <w:p w14:paraId="0F3D144F">
            <w:pPr>
              <w:pStyle w:val="17"/>
              <w:spacing w:before="108" w:line="240" w:lineRule="auto"/>
              <w:ind w:left="130"/>
              <w:jc w:val="center"/>
              <w:rPr>
                <w:color w:val="auto"/>
                <w:highlight w:val="none"/>
              </w:rPr>
            </w:pPr>
            <w:r>
              <w:rPr>
                <w:strike/>
                <w:color w:val="auto"/>
                <w:spacing w:val="-9"/>
                <w:highlight w:val="none"/>
              </w:rPr>
              <w:t>10</w:t>
            </w:r>
            <w:r>
              <w:rPr>
                <w:strike/>
                <w:color w:val="auto"/>
                <w:spacing w:val="-35"/>
                <w:highlight w:val="none"/>
              </w:rPr>
              <w:t xml:space="preserve"> </w:t>
            </w:r>
            <w:r>
              <w:rPr>
                <w:strike/>
                <w:color w:val="auto"/>
                <w:spacing w:val="-9"/>
                <w:highlight w:val="none"/>
              </w:rPr>
              <w:t>万/人次；</w:t>
            </w:r>
            <w:r>
              <w:rPr>
                <w:color w:val="auto"/>
                <w:spacing w:val="-9"/>
                <w:highlight w:val="none"/>
              </w:rPr>
              <w:t>其他</w:t>
            </w:r>
          </w:p>
          <w:p w14:paraId="6E76547C">
            <w:pPr>
              <w:pStyle w:val="17"/>
              <w:spacing w:before="110" w:line="240" w:lineRule="auto"/>
              <w:ind w:left="199"/>
              <w:jc w:val="center"/>
              <w:rPr>
                <w:color w:val="auto"/>
                <w:highlight w:val="none"/>
              </w:rPr>
            </w:pPr>
            <w:r>
              <w:rPr>
                <w:color w:val="auto"/>
                <w:spacing w:val="-2"/>
                <w:highlight w:val="none"/>
              </w:rPr>
              <w:t>主要管理人员</w:t>
            </w:r>
            <w:r>
              <w:rPr>
                <w:color w:val="auto"/>
                <w:spacing w:val="-40"/>
                <w:highlight w:val="none"/>
              </w:rPr>
              <w:t xml:space="preserve"> </w:t>
            </w:r>
            <w:r>
              <w:rPr>
                <w:color w:val="auto"/>
                <w:spacing w:val="-2"/>
                <w:highlight w:val="none"/>
              </w:rPr>
              <w:t>2</w:t>
            </w:r>
          </w:p>
          <w:p w14:paraId="0ECB8366">
            <w:pPr>
              <w:pStyle w:val="17"/>
              <w:spacing w:before="110" w:line="240" w:lineRule="auto"/>
              <w:ind w:left="228"/>
              <w:jc w:val="center"/>
              <w:rPr>
                <w:color w:val="auto"/>
                <w:highlight w:val="none"/>
              </w:rPr>
            </w:pPr>
            <w:r>
              <w:rPr>
                <w:color w:val="auto"/>
                <w:spacing w:val="-6"/>
                <w:highlight w:val="none"/>
              </w:rPr>
              <w:t>万/人次罚款。</w:t>
            </w:r>
          </w:p>
          <w:p w14:paraId="2F71A829">
            <w:pPr>
              <w:pStyle w:val="17"/>
              <w:spacing w:before="110" w:line="240" w:lineRule="auto"/>
              <w:ind w:left="225"/>
              <w:jc w:val="center"/>
              <w:rPr>
                <w:color w:val="auto"/>
                <w:highlight w:val="none"/>
              </w:rPr>
            </w:pPr>
            <w:r>
              <w:rPr>
                <w:color w:val="auto"/>
                <w:spacing w:val="-3"/>
                <w:highlight w:val="none"/>
              </w:rPr>
              <w:t>规模在</w:t>
            </w:r>
            <w:r>
              <w:rPr>
                <w:color w:val="auto"/>
                <w:spacing w:val="-38"/>
                <w:highlight w:val="none"/>
              </w:rPr>
              <w:t xml:space="preserve"> </w:t>
            </w:r>
            <w:r>
              <w:rPr>
                <w:color w:val="auto"/>
                <w:spacing w:val="-3"/>
                <w:highlight w:val="none"/>
              </w:rPr>
              <w:t>5000</w:t>
            </w:r>
            <w:r>
              <w:rPr>
                <w:color w:val="auto"/>
                <w:spacing w:val="-21"/>
                <w:highlight w:val="none"/>
              </w:rPr>
              <w:t xml:space="preserve"> </w:t>
            </w:r>
            <w:r>
              <w:rPr>
                <w:color w:val="auto"/>
                <w:spacing w:val="-3"/>
                <w:highlight w:val="none"/>
              </w:rPr>
              <w:t>以</w:t>
            </w:r>
          </w:p>
          <w:p w14:paraId="52807BCE">
            <w:pPr>
              <w:pStyle w:val="17"/>
              <w:spacing w:before="110" w:line="240" w:lineRule="auto"/>
              <w:ind w:left="117"/>
              <w:jc w:val="center"/>
              <w:rPr>
                <w:color w:val="auto"/>
                <w:highlight w:val="none"/>
              </w:rPr>
            </w:pPr>
            <w:r>
              <w:rPr>
                <w:color w:val="auto"/>
                <w:spacing w:val="-7"/>
                <w:highlight w:val="none"/>
              </w:rPr>
              <w:t>上、1</w:t>
            </w:r>
            <w:r>
              <w:rPr>
                <w:color w:val="auto"/>
                <w:spacing w:val="-45"/>
                <w:highlight w:val="none"/>
              </w:rPr>
              <w:t xml:space="preserve"> </w:t>
            </w:r>
            <w:r>
              <w:rPr>
                <w:color w:val="auto"/>
                <w:spacing w:val="-7"/>
                <w:highlight w:val="none"/>
              </w:rPr>
              <w:t>亿以下的，</w:t>
            </w:r>
          </w:p>
          <w:p w14:paraId="00156348">
            <w:pPr>
              <w:pStyle w:val="17"/>
              <w:spacing w:before="109" w:line="240" w:lineRule="auto"/>
              <w:ind w:left="174"/>
              <w:jc w:val="center"/>
              <w:rPr>
                <w:color w:val="auto"/>
                <w:highlight w:val="none"/>
              </w:rPr>
            </w:pPr>
            <w:r>
              <w:rPr>
                <w:color w:val="auto"/>
                <w:spacing w:val="-2"/>
                <w:highlight w:val="none"/>
              </w:rPr>
              <w:t>分别处以项目经</w:t>
            </w:r>
          </w:p>
          <w:p w14:paraId="1B53873E">
            <w:pPr>
              <w:pStyle w:val="17"/>
              <w:spacing w:before="109" w:line="240" w:lineRule="auto"/>
              <w:ind w:left="117"/>
              <w:jc w:val="center"/>
              <w:rPr>
                <w:color w:val="auto"/>
                <w:highlight w:val="none"/>
              </w:rPr>
            </w:pPr>
            <w:r>
              <w:rPr>
                <w:color w:val="auto"/>
                <w:spacing w:val="-9"/>
                <w:highlight w:val="none"/>
              </w:rPr>
              <w:t>理、总工程师</w:t>
            </w:r>
            <w:r>
              <w:rPr>
                <w:color w:val="auto"/>
                <w:spacing w:val="-26"/>
                <w:highlight w:val="none"/>
              </w:rPr>
              <w:t xml:space="preserve"> </w:t>
            </w:r>
            <w:r>
              <w:rPr>
                <w:color w:val="auto"/>
                <w:spacing w:val="-9"/>
                <w:highlight w:val="none"/>
              </w:rPr>
              <w:t>100</w:t>
            </w:r>
          </w:p>
          <w:p w14:paraId="18EC7659">
            <w:pPr>
              <w:pStyle w:val="17"/>
              <w:spacing w:before="110" w:line="240" w:lineRule="auto"/>
              <w:ind w:left="124"/>
              <w:jc w:val="center"/>
              <w:rPr>
                <w:strike/>
                <w:color w:val="auto"/>
                <w:highlight w:val="none"/>
              </w:rPr>
            </w:pPr>
            <w:r>
              <w:rPr>
                <w:color w:val="auto"/>
                <w:spacing w:val="-2"/>
                <w:highlight w:val="none"/>
              </w:rPr>
              <w:t>万/人次；</w:t>
            </w:r>
            <w:r>
              <w:rPr>
                <w:strike/>
                <w:color w:val="auto"/>
                <w:spacing w:val="-2"/>
                <w:highlight w:val="none"/>
              </w:rPr>
              <w:t>质量总</w:t>
            </w:r>
          </w:p>
          <w:p w14:paraId="43FDE4D3">
            <w:pPr>
              <w:pStyle w:val="17"/>
              <w:spacing w:before="110" w:line="240" w:lineRule="auto"/>
              <w:ind w:left="146"/>
              <w:jc w:val="center"/>
              <w:rPr>
                <w:strike/>
                <w:color w:val="auto"/>
                <w:highlight w:val="none"/>
              </w:rPr>
            </w:pPr>
            <w:r>
              <w:rPr>
                <w:strike/>
                <w:color w:val="auto"/>
                <w:spacing w:val="-3"/>
                <w:highlight w:val="none"/>
              </w:rPr>
              <w:t>监、安全总监</w:t>
            </w:r>
            <w:r>
              <w:rPr>
                <w:strike/>
                <w:color w:val="auto"/>
                <w:spacing w:val="-33"/>
                <w:highlight w:val="none"/>
              </w:rPr>
              <w:t xml:space="preserve"> </w:t>
            </w:r>
            <w:r>
              <w:rPr>
                <w:strike/>
                <w:color w:val="auto"/>
                <w:spacing w:val="-3"/>
                <w:highlight w:val="none"/>
              </w:rPr>
              <w:t>50</w:t>
            </w:r>
          </w:p>
          <w:p w14:paraId="77983A9B">
            <w:pPr>
              <w:pStyle w:val="17"/>
              <w:spacing w:before="108" w:line="240" w:lineRule="auto"/>
              <w:ind w:left="124"/>
              <w:jc w:val="center"/>
              <w:rPr>
                <w:color w:val="auto"/>
                <w:highlight w:val="none"/>
              </w:rPr>
            </w:pPr>
            <w:r>
              <w:rPr>
                <w:strike/>
                <w:color w:val="auto"/>
                <w:spacing w:val="-2"/>
                <w:highlight w:val="none"/>
              </w:rPr>
              <w:t>万/人次；</w:t>
            </w:r>
            <w:r>
              <w:rPr>
                <w:color w:val="auto"/>
                <w:spacing w:val="-2"/>
                <w:highlight w:val="none"/>
              </w:rPr>
              <w:t>其他主</w:t>
            </w:r>
          </w:p>
          <w:p w14:paraId="4966CBEE">
            <w:pPr>
              <w:pStyle w:val="17"/>
              <w:spacing w:before="110" w:line="240" w:lineRule="auto"/>
              <w:ind w:left="121"/>
              <w:jc w:val="center"/>
              <w:rPr>
                <w:color w:val="auto"/>
                <w:highlight w:val="none"/>
              </w:rPr>
            </w:pPr>
            <w:r>
              <w:rPr>
                <w:color w:val="auto"/>
                <w:spacing w:val="-4"/>
                <w:highlight w:val="none"/>
              </w:rPr>
              <w:t>要管理人员</w:t>
            </w:r>
            <w:r>
              <w:rPr>
                <w:color w:val="auto"/>
                <w:spacing w:val="-30"/>
                <w:highlight w:val="none"/>
              </w:rPr>
              <w:t xml:space="preserve"> </w:t>
            </w:r>
            <w:r>
              <w:rPr>
                <w:color w:val="auto"/>
                <w:spacing w:val="-4"/>
                <w:highlight w:val="none"/>
              </w:rPr>
              <w:t>10</w:t>
            </w:r>
            <w:r>
              <w:rPr>
                <w:color w:val="auto"/>
                <w:spacing w:val="-41"/>
                <w:highlight w:val="none"/>
              </w:rPr>
              <w:t xml:space="preserve"> </w:t>
            </w:r>
            <w:r>
              <w:rPr>
                <w:color w:val="auto"/>
                <w:spacing w:val="-4"/>
                <w:highlight w:val="none"/>
              </w:rPr>
              <w:t>万</w:t>
            </w:r>
          </w:p>
          <w:p w14:paraId="6F7E9D17">
            <w:pPr>
              <w:pStyle w:val="17"/>
              <w:spacing w:before="110" w:line="240" w:lineRule="auto"/>
              <w:ind w:left="117"/>
              <w:jc w:val="center"/>
              <w:rPr>
                <w:color w:val="auto"/>
                <w:spacing w:val="-8"/>
                <w:highlight w:val="none"/>
              </w:rPr>
            </w:pPr>
            <w:r>
              <w:rPr>
                <w:color w:val="auto"/>
                <w:spacing w:val="-7"/>
                <w:highlight w:val="none"/>
              </w:rPr>
              <w:t>人次罚款。</w:t>
            </w:r>
            <w:r>
              <w:rPr>
                <w:color w:val="auto"/>
                <w:spacing w:val="-6"/>
                <w:highlight w:val="none"/>
              </w:rPr>
              <w:t>规模在</w:t>
            </w:r>
            <w:r>
              <w:rPr>
                <w:color w:val="auto"/>
                <w:spacing w:val="-30"/>
                <w:highlight w:val="none"/>
              </w:rPr>
              <w:t xml:space="preserve"> </w:t>
            </w:r>
            <w:r>
              <w:rPr>
                <w:color w:val="auto"/>
                <w:spacing w:val="-6"/>
                <w:highlight w:val="none"/>
              </w:rPr>
              <w:t>1</w:t>
            </w:r>
            <w:r>
              <w:rPr>
                <w:color w:val="auto"/>
                <w:spacing w:val="-43"/>
                <w:highlight w:val="none"/>
              </w:rPr>
              <w:t xml:space="preserve"> </w:t>
            </w:r>
            <w:r>
              <w:rPr>
                <w:color w:val="auto"/>
                <w:spacing w:val="-6"/>
                <w:highlight w:val="none"/>
              </w:rPr>
              <w:t>亿以上</w:t>
            </w:r>
            <w:r>
              <w:rPr>
                <w:color w:val="auto"/>
                <w:spacing w:val="-14"/>
                <w:highlight w:val="none"/>
              </w:rPr>
              <w:t>的，分别处以项目</w:t>
            </w:r>
            <w:r>
              <w:rPr>
                <w:color w:val="auto"/>
                <w:spacing w:val="6"/>
                <w:highlight w:val="none"/>
              </w:rPr>
              <w:t>经理、总工程师</w:t>
            </w:r>
            <w:r>
              <w:rPr>
                <w:color w:val="auto"/>
                <w:spacing w:val="1"/>
                <w:highlight w:val="none"/>
              </w:rPr>
              <w:t>200</w:t>
            </w:r>
            <w:r>
              <w:rPr>
                <w:color w:val="auto"/>
                <w:spacing w:val="-40"/>
                <w:highlight w:val="none"/>
              </w:rPr>
              <w:t xml:space="preserve"> </w:t>
            </w:r>
            <w:r>
              <w:rPr>
                <w:color w:val="auto"/>
                <w:spacing w:val="1"/>
                <w:highlight w:val="none"/>
              </w:rPr>
              <w:t>万/人次；</w:t>
            </w:r>
            <w:r>
              <w:rPr>
                <w:strike/>
                <w:color w:val="auto"/>
                <w:spacing w:val="1"/>
                <w:highlight w:val="none"/>
              </w:rPr>
              <w:t>质</w:t>
            </w:r>
            <w:r>
              <w:rPr>
                <w:strike/>
                <w:color w:val="auto"/>
                <w:spacing w:val="-14"/>
                <w:highlight w:val="none"/>
              </w:rPr>
              <w:t>量总监、安全总监</w:t>
            </w:r>
            <w:r>
              <w:rPr>
                <w:strike/>
                <w:color w:val="auto"/>
                <w:spacing w:val="-5"/>
                <w:highlight w:val="none"/>
              </w:rPr>
              <w:t>/人次</w:t>
            </w:r>
            <w:r>
              <w:rPr>
                <w:strike/>
                <w:color w:val="auto"/>
                <w:spacing w:val="-26"/>
                <w:highlight w:val="none"/>
              </w:rPr>
              <w:t xml:space="preserve"> </w:t>
            </w:r>
            <w:r>
              <w:rPr>
                <w:strike/>
                <w:color w:val="auto"/>
                <w:spacing w:val="-5"/>
                <w:highlight w:val="none"/>
              </w:rPr>
              <w:t>100</w:t>
            </w:r>
            <w:r>
              <w:rPr>
                <w:strike/>
                <w:color w:val="auto"/>
                <w:spacing w:val="-40"/>
                <w:highlight w:val="none"/>
              </w:rPr>
              <w:t xml:space="preserve"> </w:t>
            </w:r>
            <w:r>
              <w:rPr>
                <w:strike/>
                <w:color w:val="auto"/>
                <w:spacing w:val="-5"/>
                <w:highlight w:val="none"/>
              </w:rPr>
              <w:t>万；</w:t>
            </w:r>
            <w:r>
              <w:rPr>
                <w:color w:val="auto"/>
                <w:spacing w:val="-5"/>
                <w:highlight w:val="none"/>
              </w:rPr>
              <w:t>其</w:t>
            </w:r>
            <w:r>
              <w:rPr>
                <w:color w:val="auto"/>
                <w:spacing w:val="6"/>
                <w:highlight w:val="none"/>
              </w:rPr>
              <w:t>他主要管理人员</w:t>
            </w:r>
            <w:r>
              <w:rPr>
                <w:color w:val="auto"/>
                <w:spacing w:val="-2"/>
                <w:highlight w:val="none"/>
              </w:rPr>
              <w:t>20</w:t>
            </w:r>
            <w:r>
              <w:rPr>
                <w:color w:val="auto"/>
                <w:spacing w:val="-39"/>
                <w:highlight w:val="none"/>
              </w:rPr>
              <w:t xml:space="preserve"> </w:t>
            </w:r>
            <w:r>
              <w:rPr>
                <w:color w:val="auto"/>
                <w:spacing w:val="-2"/>
                <w:highlight w:val="none"/>
              </w:rPr>
              <w:t>万人次罚款</w:t>
            </w:r>
            <w:r>
              <w:rPr>
                <w:color w:val="auto"/>
                <w:spacing w:val="-2"/>
                <w:highlight w:val="none"/>
              </w:rPr>
              <w:t>。</w:t>
            </w:r>
          </w:p>
        </w:tc>
        <w:tc>
          <w:tcPr>
            <w:tcW w:w="1580" w:type="dxa"/>
            <w:vAlign w:val="center"/>
          </w:tcPr>
          <w:p w14:paraId="2E4EEF5C">
            <w:pPr>
              <w:pStyle w:val="17"/>
              <w:spacing w:before="68" w:line="219" w:lineRule="auto"/>
              <w:jc w:val="both"/>
              <w:rPr>
                <w:color w:val="auto"/>
                <w:spacing w:val="-3"/>
                <w:highlight w:val="none"/>
              </w:rPr>
            </w:pPr>
            <w:r>
              <w:rPr>
                <w:color w:val="auto"/>
                <w:spacing w:val="-2"/>
              </w:rPr>
              <w:t>供招标人结合项目实际情况参考使用，合</w:t>
            </w:r>
            <w:r>
              <w:rPr>
                <w:color w:val="auto"/>
                <w:spacing w:val="-3"/>
              </w:rPr>
              <w:t>理设置</w:t>
            </w:r>
          </w:p>
        </w:tc>
      </w:tr>
      <w:tr w14:paraId="6B25A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2" w:type="dxa"/>
            <w:vAlign w:val="center"/>
          </w:tcPr>
          <w:p w14:paraId="029F07DB">
            <w:pPr>
              <w:pStyle w:val="17"/>
              <w:spacing w:before="69" w:line="241" w:lineRule="auto"/>
              <w:jc w:val="center"/>
              <w:rPr>
                <w:rFonts w:hint="default"/>
                <w:strike/>
                <w:color w:val="auto"/>
                <w:spacing w:val="-11"/>
                <w:highlight w:val="none"/>
                <w:lang w:val="en-US" w:eastAsia="zh-CN"/>
              </w:rPr>
            </w:pPr>
            <w:r>
              <w:rPr>
                <w:rFonts w:hint="eastAsia"/>
                <w:strike/>
                <w:color w:val="auto"/>
                <w:spacing w:val="-11"/>
                <w:highlight w:val="none"/>
                <w:lang w:val="en-US" w:eastAsia="zh-CN"/>
              </w:rPr>
              <w:t>13</w:t>
            </w:r>
          </w:p>
        </w:tc>
        <w:tc>
          <w:tcPr>
            <w:tcW w:w="1469" w:type="dxa"/>
            <w:vAlign w:val="center"/>
          </w:tcPr>
          <w:p w14:paraId="663ED7D0">
            <w:pPr>
              <w:pStyle w:val="17"/>
              <w:spacing w:before="69" w:line="232" w:lineRule="auto"/>
              <w:jc w:val="center"/>
              <w:rPr>
                <w:strike/>
                <w:color w:val="auto"/>
                <w:spacing w:val="-1"/>
                <w:highlight w:val="none"/>
              </w:rPr>
            </w:pPr>
            <w:r>
              <w:rPr>
                <w:strike/>
                <w:color w:val="auto"/>
                <w:spacing w:val="-1"/>
              </w:rPr>
              <w:t>4.6.3（2）</w:t>
            </w:r>
          </w:p>
        </w:tc>
        <w:tc>
          <w:tcPr>
            <w:tcW w:w="3762" w:type="dxa"/>
            <w:vAlign w:val="center"/>
          </w:tcPr>
          <w:p w14:paraId="2506ACF1">
            <w:pPr>
              <w:spacing w:line="395" w:lineRule="auto"/>
              <w:jc w:val="center"/>
              <w:rPr>
                <w:rFonts w:ascii="Arial"/>
                <w:strike/>
                <w:color w:val="auto"/>
                <w:sz w:val="21"/>
              </w:rPr>
            </w:pPr>
          </w:p>
          <w:p w14:paraId="4AE8CD4C">
            <w:pPr>
              <w:pStyle w:val="17"/>
              <w:spacing w:before="68" w:line="319" w:lineRule="auto"/>
              <w:ind w:left="151" w:leftChars="0" w:right="106" w:rightChars="0" w:hanging="40" w:firstLineChars="0"/>
              <w:jc w:val="center"/>
              <w:rPr>
                <w:strike/>
                <w:color w:val="auto"/>
                <w:spacing w:val="-2"/>
                <w:highlight w:val="none"/>
              </w:rPr>
            </w:pPr>
            <w:r>
              <w:rPr>
                <w:strike/>
                <w:color w:val="auto"/>
                <w:spacing w:val="11"/>
              </w:rPr>
              <w:t>承包人的档案资料整理负责人在本项</w:t>
            </w:r>
            <w:r>
              <w:rPr>
                <w:strike/>
                <w:color w:val="auto"/>
                <w:spacing w:val="-9"/>
              </w:rPr>
              <w:t>目连续工作不足</w:t>
            </w:r>
            <w:r>
              <w:rPr>
                <w:strike/>
                <w:color w:val="auto"/>
                <w:spacing w:val="-22"/>
              </w:rPr>
              <w:t xml:space="preserve"> </w:t>
            </w:r>
            <w:r>
              <w:rPr>
                <w:strike/>
                <w:color w:val="auto"/>
                <w:spacing w:val="-9"/>
              </w:rPr>
              <w:t>1</w:t>
            </w:r>
            <w:r>
              <w:rPr>
                <w:strike/>
                <w:color w:val="auto"/>
                <w:spacing w:val="-43"/>
              </w:rPr>
              <w:t xml:space="preserve"> </w:t>
            </w:r>
            <w:r>
              <w:rPr>
                <w:strike/>
                <w:color w:val="auto"/>
                <w:spacing w:val="-9"/>
              </w:rPr>
              <w:t>年。</w:t>
            </w:r>
          </w:p>
        </w:tc>
        <w:tc>
          <w:tcPr>
            <w:tcW w:w="1799" w:type="dxa"/>
            <w:vAlign w:val="center"/>
          </w:tcPr>
          <w:p w14:paraId="273461DC">
            <w:pPr>
              <w:spacing w:line="287" w:lineRule="auto"/>
              <w:jc w:val="center"/>
              <w:rPr>
                <w:rFonts w:ascii="Arial"/>
                <w:strike/>
                <w:color w:val="auto"/>
                <w:sz w:val="21"/>
              </w:rPr>
            </w:pPr>
          </w:p>
          <w:p w14:paraId="580A92D1">
            <w:pPr>
              <w:spacing w:line="287" w:lineRule="auto"/>
              <w:jc w:val="center"/>
              <w:rPr>
                <w:rFonts w:ascii="Arial"/>
                <w:strike/>
                <w:color w:val="auto"/>
                <w:sz w:val="21"/>
              </w:rPr>
            </w:pPr>
          </w:p>
          <w:p w14:paraId="4EF60D2B">
            <w:pPr>
              <w:pStyle w:val="17"/>
              <w:spacing w:before="68" w:line="220" w:lineRule="auto"/>
              <w:ind w:left="318" w:leftChars="0"/>
              <w:jc w:val="center"/>
              <w:rPr>
                <w:strike/>
                <w:color w:val="auto"/>
                <w:spacing w:val="-7"/>
                <w:highlight w:val="none"/>
              </w:rPr>
            </w:pPr>
            <w:r>
              <w:rPr>
                <w:strike/>
                <w:color w:val="auto"/>
                <w:spacing w:val="-5"/>
              </w:rPr>
              <w:t>10</w:t>
            </w:r>
            <w:r>
              <w:rPr>
                <w:strike/>
                <w:color w:val="auto"/>
                <w:spacing w:val="-40"/>
              </w:rPr>
              <w:t xml:space="preserve"> </w:t>
            </w:r>
            <w:r>
              <w:rPr>
                <w:strike/>
                <w:color w:val="auto"/>
                <w:spacing w:val="-5"/>
              </w:rPr>
              <w:t>万元/人次</w:t>
            </w:r>
          </w:p>
        </w:tc>
        <w:tc>
          <w:tcPr>
            <w:tcW w:w="1580" w:type="dxa"/>
            <w:vAlign w:val="center"/>
          </w:tcPr>
          <w:p w14:paraId="7B831091">
            <w:pPr>
              <w:pStyle w:val="17"/>
              <w:spacing w:before="106" w:line="219" w:lineRule="auto"/>
              <w:ind w:left="164"/>
              <w:jc w:val="center"/>
              <w:rPr>
                <w:strike/>
                <w:color w:val="auto"/>
              </w:rPr>
            </w:pPr>
            <w:r>
              <w:rPr>
                <w:strike/>
                <w:color w:val="auto"/>
                <w:spacing w:val="-2"/>
              </w:rPr>
              <w:t>供招标人结合</w:t>
            </w:r>
          </w:p>
          <w:p w14:paraId="6F504D46">
            <w:pPr>
              <w:pStyle w:val="17"/>
              <w:spacing w:before="111" w:line="220" w:lineRule="auto"/>
              <w:ind w:left="167"/>
              <w:jc w:val="center"/>
              <w:rPr>
                <w:strike/>
                <w:color w:val="auto"/>
              </w:rPr>
            </w:pPr>
            <w:r>
              <w:rPr>
                <w:strike/>
                <w:color w:val="auto"/>
                <w:spacing w:val="-2"/>
              </w:rPr>
              <w:t>项目实际情况</w:t>
            </w:r>
          </w:p>
          <w:p w14:paraId="099FEAFF">
            <w:pPr>
              <w:pStyle w:val="17"/>
              <w:spacing w:before="108" w:line="220" w:lineRule="auto"/>
              <w:ind w:left="166"/>
              <w:jc w:val="center"/>
              <w:rPr>
                <w:strike/>
                <w:color w:val="auto"/>
              </w:rPr>
            </w:pPr>
            <w:r>
              <w:rPr>
                <w:strike/>
                <w:color w:val="auto"/>
                <w:spacing w:val="-2"/>
              </w:rPr>
              <w:t>参考使用，合</w:t>
            </w:r>
          </w:p>
          <w:p w14:paraId="76DA5ECB">
            <w:pPr>
              <w:pStyle w:val="17"/>
              <w:spacing w:before="110" w:line="218" w:lineRule="auto"/>
              <w:ind w:left="482" w:leftChars="0"/>
              <w:jc w:val="center"/>
              <w:rPr>
                <w:strike/>
                <w:color w:val="auto"/>
                <w:spacing w:val="-3"/>
                <w:highlight w:val="none"/>
              </w:rPr>
            </w:pPr>
            <w:r>
              <w:rPr>
                <w:strike/>
                <w:color w:val="auto"/>
                <w:spacing w:val="-3"/>
              </w:rPr>
              <w:t>理设置</w:t>
            </w:r>
          </w:p>
        </w:tc>
      </w:tr>
      <w:tr w14:paraId="09ACE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862" w:type="dxa"/>
            <w:vAlign w:val="center"/>
          </w:tcPr>
          <w:p w14:paraId="2310FA51">
            <w:pPr>
              <w:pStyle w:val="17"/>
              <w:spacing w:before="69" w:line="241" w:lineRule="auto"/>
              <w:jc w:val="center"/>
              <w:rPr>
                <w:rFonts w:hint="default"/>
                <w:strike/>
                <w:color w:val="auto"/>
                <w:spacing w:val="-11"/>
                <w:highlight w:val="none"/>
                <w:lang w:val="en-US" w:eastAsia="zh-CN"/>
              </w:rPr>
            </w:pPr>
            <w:r>
              <w:rPr>
                <w:rFonts w:hint="eastAsia"/>
                <w:strike/>
                <w:color w:val="auto"/>
                <w:spacing w:val="-11"/>
                <w:highlight w:val="none"/>
                <w:lang w:val="en-US" w:eastAsia="zh-CN"/>
              </w:rPr>
              <w:t>14</w:t>
            </w:r>
          </w:p>
        </w:tc>
        <w:tc>
          <w:tcPr>
            <w:tcW w:w="1469" w:type="dxa"/>
            <w:vAlign w:val="center"/>
          </w:tcPr>
          <w:p w14:paraId="50032843">
            <w:pPr>
              <w:pStyle w:val="17"/>
              <w:spacing w:before="68" w:line="232" w:lineRule="auto"/>
              <w:jc w:val="center"/>
              <w:rPr>
                <w:strike/>
                <w:color w:val="auto"/>
                <w:spacing w:val="-1"/>
              </w:rPr>
            </w:pPr>
            <w:r>
              <w:rPr>
                <w:strike/>
                <w:color w:val="auto"/>
                <w:spacing w:val="-1"/>
              </w:rPr>
              <w:t>4.6.3（2）</w:t>
            </w:r>
          </w:p>
        </w:tc>
        <w:tc>
          <w:tcPr>
            <w:tcW w:w="3762" w:type="dxa"/>
            <w:vAlign w:val="center"/>
          </w:tcPr>
          <w:p w14:paraId="7349A85B">
            <w:pPr>
              <w:spacing w:line="397" w:lineRule="auto"/>
              <w:jc w:val="center"/>
              <w:rPr>
                <w:rFonts w:ascii="Arial"/>
                <w:strike/>
                <w:color w:val="auto"/>
                <w:sz w:val="21"/>
              </w:rPr>
            </w:pPr>
          </w:p>
          <w:p w14:paraId="09656D0B">
            <w:pPr>
              <w:pStyle w:val="17"/>
              <w:spacing w:before="68" w:line="319" w:lineRule="auto"/>
              <w:ind w:left="119" w:leftChars="0" w:right="106" w:rightChars="0" w:hanging="7" w:firstLineChars="0"/>
              <w:jc w:val="center"/>
              <w:rPr>
                <w:strike/>
                <w:color w:val="auto"/>
                <w:spacing w:val="11"/>
              </w:rPr>
            </w:pPr>
            <w:r>
              <w:rPr>
                <w:strike/>
                <w:color w:val="auto"/>
                <w:spacing w:val="11"/>
              </w:rPr>
              <w:t>擅自更换档案资料整理负责人或档案</w:t>
            </w:r>
            <w:r>
              <w:rPr>
                <w:strike/>
                <w:color w:val="auto"/>
              </w:rPr>
              <w:t>员</w:t>
            </w:r>
          </w:p>
        </w:tc>
        <w:tc>
          <w:tcPr>
            <w:tcW w:w="1799" w:type="dxa"/>
            <w:vAlign w:val="center"/>
          </w:tcPr>
          <w:p w14:paraId="2B959A08">
            <w:pPr>
              <w:spacing w:line="287" w:lineRule="auto"/>
              <w:jc w:val="center"/>
              <w:rPr>
                <w:rFonts w:ascii="Arial"/>
                <w:strike/>
                <w:color w:val="auto"/>
                <w:sz w:val="21"/>
              </w:rPr>
            </w:pPr>
          </w:p>
          <w:p w14:paraId="6384AABF">
            <w:pPr>
              <w:spacing w:line="288" w:lineRule="auto"/>
              <w:jc w:val="center"/>
              <w:rPr>
                <w:rFonts w:ascii="Arial"/>
                <w:strike/>
                <w:color w:val="auto"/>
                <w:sz w:val="21"/>
              </w:rPr>
            </w:pPr>
          </w:p>
          <w:p w14:paraId="154D1D47">
            <w:pPr>
              <w:pStyle w:val="17"/>
              <w:spacing w:before="68" w:line="220" w:lineRule="auto"/>
              <w:ind w:left="318" w:leftChars="0"/>
              <w:jc w:val="center"/>
              <w:rPr>
                <w:strike/>
                <w:color w:val="auto"/>
                <w:spacing w:val="-5"/>
              </w:rPr>
            </w:pPr>
            <w:r>
              <w:rPr>
                <w:strike/>
                <w:color w:val="auto"/>
                <w:spacing w:val="-5"/>
              </w:rPr>
              <w:t>10</w:t>
            </w:r>
            <w:r>
              <w:rPr>
                <w:strike/>
                <w:color w:val="auto"/>
                <w:spacing w:val="-40"/>
              </w:rPr>
              <w:t xml:space="preserve"> </w:t>
            </w:r>
            <w:r>
              <w:rPr>
                <w:strike/>
                <w:color w:val="auto"/>
                <w:spacing w:val="-5"/>
              </w:rPr>
              <w:t>万元/人次</w:t>
            </w:r>
          </w:p>
        </w:tc>
        <w:tc>
          <w:tcPr>
            <w:tcW w:w="1580" w:type="dxa"/>
            <w:vAlign w:val="center"/>
          </w:tcPr>
          <w:p w14:paraId="69932050">
            <w:pPr>
              <w:pStyle w:val="17"/>
              <w:spacing w:before="107" w:line="219" w:lineRule="auto"/>
              <w:ind w:left="164"/>
              <w:jc w:val="center"/>
              <w:rPr>
                <w:strike/>
                <w:color w:val="auto"/>
              </w:rPr>
            </w:pPr>
            <w:r>
              <w:rPr>
                <w:strike/>
                <w:color w:val="auto"/>
                <w:spacing w:val="-2"/>
              </w:rPr>
              <w:t>供招标人结合</w:t>
            </w:r>
          </w:p>
          <w:p w14:paraId="4044DE33">
            <w:pPr>
              <w:pStyle w:val="17"/>
              <w:spacing w:before="111" w:line="220" w:lineRule="auto"/>
              <w:ind w:left="167"/>
              <w:jc w:val="center"/>
              <w:rPr>
                <w:strike/>
                <w:color w:val="auto"/>
              </w:rPr>
            </w:pPr>
            <w:r>
              <w:rPr>
                <w:strike/>
                <w:color w:val="auto"/>
                <w:spacing w:val="-2"/>
              </w:rPr>
              <w:t>项目实际情况</w:t>
            </w:r>
          </w:p>
          <w:p w14:paraId="2CFCD344">
            <w:pPr>
              <w:pStyle w:val="17"/>
              <w:spacing w:before="108" w:line="220" w:lineRule="auto"/>
              <w:ind w:left="166"/>
              <w:jc w:val="center"/>
              <w:rPr>
                <w:strike/>
                <w:color w:val="auto"/>
              </w:rPr>
            </w:pPr>
            <w:r>
              <w:rPr>
                <w:strike/>
                <w:color w:val="auto"/>
                <w:spacing w:val="-2"/>
              </w:rPr>
              <w:t>参考使用，合</w:t>
            </w:r>
          </w:p>
          <w:p w14:paraId="6D8158E9">
            <w:pPr>
              <w:pStyle w:val="17"/>
              <w:spacing w:before="109" w:line="217" w:lineRule="auto"/>
              <w:ind w:left="482" w:leftChars="0"/>
              <w:jc w:val="center"/>
              <w:rPr>
                <w:strike/>
                <w:color w:val="auto"/>
                <w:spacing w:val="-3"/>
              </w:rPr>
            </w:pPr>
            <w:r>
              <w:rPr>
                <w:strike/>
                <w:color w:val="auto"/>
                <w:spacing w:val="-3"/>
              </w:rPr>
              <w:t>理设置</w:t>
            </w:r>
          </w:p>
        </w:tc>
      </w:tr>
      <w:tr w14:paraId="41EEC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78229087">
            <w:pPr>
              <w:pStyle w:val="17"/>
              <w:spacing w:before="287"/>
              <w:ind w:left="346"/>
              <w:rPr>
                <w:rFonts w:hint="default" w:eastAsia="宋体"/>
                <w:color w:val="auto"/>
                <w:highlight w:val="none"/>
                <w:lang w:val="en-US" w:eastAsia="zh-CN"/>
              </w:rPr>
            </w:pPr>
            <w:r>
              <w:rPr>
                <w:rFonts w:hint="eastAsia"/>
                <w:color w:val="auto"/>
                <w:spacing w:val="-6"/>
                <w:highlight w:val="none"/>
                <w:lang w:val="en-US" w:eastAsia="zh-CN"/>
              </w:rPr>
              <w:t>15</w:t>
            </w:r>
          </w:p>
        </w:tc>
        <w:tc>
          <w:tcPr>
            <w:tcW w:w="1469" w:type="dxa"/>
            <w:vAlign w:val="top"/>
          </w:tcPr>
          <w:p w14:paraId="74BFF00B">
            <w:pPr>
              <w:pStyle w:val="17"/>
              <w:spacing w:before="288" w:line="232" w:lineRule="auto"/>
              <w:ind w:left="212"/>
              <w:rPr>
                <w:color w:val="auto"/>
                <w:highlight w:val="none"/>
              </w:rPr>
            </w:pPr>
            <w:r>
              <w:rPr>
                <w:color w:val="auto"/>
                <w:spacing w:val="-1"/>
                <w:highlight w:val="none"/>
              </w:rPr>
              <w:t>4.6.3（3）</w:t>
            </w:r>
          </w:p>
        </w:tc>
        <w:tc>
          <w:tcPr>
            <w:tcW w:w="3762" w:type="dxa"/>
            <w:vAlign w:val="top"/>
          </w:tcPr>
          <w:p w14:paraId="73706ABB">
            <w:pPr>
              <w:pStyle w:val="17"/>
              <w:spacing w:before="108" w:line="266" w:lineRule="auto"/>
              <w:ind w:left="117" w:right="103" w:hanging="2"/>
              <w:rPr>
                <w:color w:val="auto"/>
                <w:highlight w:val="none"/>
              </w:rPr>
            </w:pPr>
            <w:r>
              <w:rPr>
                <w:color w:val="auto"/>
                <w:spacing w:val="-2"/>
                <w:highlight w:val="none"/>
              </w:rPr>
              <w:t>项目经理、总工程师</w:t>
            </w:r>
            <w:r>
              <w:rPr>
                <w:strike/>
                <w:dstrike w:val="0"/>
                <w:color w:val="auto"/>
                <w:spacing w:val="-2"/>
                <w:highlight w:val="none"/>
              </w:rPr>
              <w:t>、质量总监、安全</w:t>
            </w:r>
            <w:r>
              <w:rPr>
                <w:strike/>
                <w:dstrike w:val="0"/>
                <w:color w:val="auto"/>
                <w:spacing w:val="-1"/>
                <w:highlight w:val="none"/>
              </w:rPr>
              <w:t>总监</w:t>
            </w:r>
            <w:r>
              <w:rPr>
                <w:color w:val="auto"/>
                <w:spacing w:val="-1"/>
                <w:highlight w:val="none"/>
              </w:rPr>
              <w:t>被认定存在“挂名”现象的</w:t>
            </w:r>
          </w:p>
        </w:tc>
        <w:tc>
          <w:tcPr>
            <w:tcW w:w="1799" w:type="dxa"/>
            <w:vAlign w:val="top"/>
          </w:tcPr>
          <w:p w14:paraId="6A72D80C">
            <w:pPr>
              <w:pStyle w:val="17"/>
              <w:spacing w:before="287" w:line="220" w:lineRule="auto"/>
              <w:ind w:left="359"/>
              <w:rPr>
                <w:color w:val="auto"/>
                <w:highlight w:val="none"/>
              </w:rPr>
            </w:pPr>
            <w:r>
              <w:rPr>
                <w:color w:val="auto"/>
                <w:spacing w:val="-4"/>
                <w:highlight w:val="none"/>
              </w:rPr>
              <w:t>5</w:t>
            </w:r>
            <w:r>
              <w:rPr>
                <w:color w:val="auto"/>
                <w:spacing w:val="-39"/>
                <w:highlight w:val="none"/>
              </w:rPr>
              <w:t xml:space="preserve"> </w:t>
            </w:r>
            <w:r>
              <w:rPr>
                <w:color w:val="auto"/>
                <w:spacing w:val="-4"/>
                <w:highlight w:val="none"/>
              </w:rPr>
              <w:t>万元/人次</w:t>
            </w:r>
          </w:p>
        </w:tc>
        <w:tc>
          <w:tcPr>
            <w:tcW w:w="1580" w:type="dxa"/>
            <w:vAlign w:val="top"/>
          </w:tcPr>
          <w:p w14:paraId="38A97481">
            <w:pPr>
              <w:rPr>
                <w:rFonts w:ascii="Arial"/>
                <w:color w:val="auto"/>
                <w:sz w:val="21"/>
                <w:highlight w:val="none"/>
              </w:rPr>
            </w:pPr>
          </w:p>
        </w:tc>
      </w:tr>
      <w:tr w14:paraId="52E1A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7C1CA1C3">
            <w:pPr>
              <w:spacing w:line="397" w:lineRule="auto"/>
              <w:rPr>
                <w:rFonts w:ascii="Arial"/>
                <w:color w:val="auto"/>
                <w:sz w:val="21"/>
                <w:highlight w:val="none"/>
              </w:rPr>
            </w:pPr>
          </w:p>
          <w:p w14:paraId="741ADAC3">
            <w:pPr>
              <w:pStyle w:val="17"/>
              <w:spacing w:before="69"/>
              <w:ind w:left="346"/>
              <w:rPr>
                <w:rFonts w:hint="default" w:eastAsia="宋体"/>
                <w:color w:val="auto"/>
                <w:highlight w:val="none"/>
                <w:lang w:val="en-US" w:eastAsia="zh-CN"/>
              </w:rPr>
            </w:pPr>
            <w:r>
              <w:rPr>
                <w:rFonts w:hint="eastAsia"/>
                <w:color w:val="auto"/>
                <w:spacing w:val="-6"/>
                <w:highlight w:val="none"/>
                <w:lang w:val="en-US" w:eastAsia="zh-CN"/>
              </w:rPr>
              <w:t>16</w:t>
            </w:r>
          </w:p>
        </w:tc>
        <w:tc>
          <w:tcPr>
            <w:tcW w:w="1469" w:type="dxa"/>
            <w:vAlign w:val="top"/>
          </w:tcPr>
          <w:p w14:paraId="3A65DF7A">
            <w:pPr>
              <w:spacing w:line="397" w:lineRule="auto"/>
              <w:rPr>
                <w:rFonts w:ascii="Arial"/>
                <w:color w:val="auto"/>
                <w:sz w:val="21"/>
                <w:highlight w:val="none"/>
              </w:rPr>
            </w:pPr>
          </w:p>
          <w:p w14:paraId="1A467202">
            <w:pPr>
              <w:pStyle w:val="17"/>
              <w:spacing w:before="69" w:line="232" w:lineRule="auto"/>
              <w:ind w:left="212"/>
              <w:rPr>
                <w:color w:val="auto"/>
                <w:highlight w:val="none"/>
              </w:rPr>
            </w:pPr>
            <w:r>
              <w:rPr>
                <w:color w:val="auto"/>
                <w:spacing w:val="-1"/>
                <w:highlight w:val="none"/>
              </w:rPr>
              <w:t>4.6.3（3）</w:t>
            </w:r>
          </w:p>
        </w:tc>
        <w:tc>
          <w:tcPr>
            <w:tcW w:w="3762" w:type="dxa"/>
            <w:vAlign w:val="top"/>
          </w:tcPr>
          <w:p w14:paraId="6C069522">
            <w:pPr>
              <w:pStyle w:val="17"/>
              <w:spacing w:before="109" w:line="283" w:lineRule="auto"/>
              <w:ind w:left="115" w:right="103"/>
              <w:jc w:val="both"/>
              <w:rPr>
                <w:color w:val="auto"/>
                <w:highlight w:val="none"/>
              </w:rPr>
            </w:pPr>
            <w:r>
              <w:rPr>
                <w:color w:val="auto"/>
                <w:spacing w:val="-2"/>
                <w:highlight w:val="none"/>
              </w:rPr>
              <w:t>项目经理、总工程师、</w:t>
            </w:r>
            <w:r>
              <w:rPr>
                <w:strike/>
                <w:dstrike w:val="0"/>
                <w:color w:val="auto"/>
                <w:spacing w:val="-2"/>
                <w:highlight w:val="none"/>
              </w:rPr>
              <w:t>质量总监、安全</w:t>
            </w:r>
            <w:r>
              <w:rPr>
                <w:strike/>
                <w:dstrike w:val="0"/>
                <w:color w:val="auto"/>
                <w:spacing w:val="-4"/>
                <w:highlight w:val="none"/>
              </w:rPr>
              <w:t>总监</w:t>
            </w:r>
            <w:r>
              <w:rPr>
                <w:color w:val="auto"/>
                <w:spacing w:val="-4"/>
                <w:highlight w:val="none"/>
              </w:rPr>
              <w:t>驻守现场不足</w:t>
            </w:r>
            <w:r>
              <w:rPr>
                <w:color w:val="auto"/>
                <w:spacing w:val="-26"/>
                <w:highlight w:val="none"/>
              </w:rPr>
              <w:t xml:space="preserve"> </w:t>
            </w:r>
            <w:r>
              <w:rPr>
                <w:color w:val="auto"/>
                <w:spacing w:val="-4"/>
                <w:highlight w:val="none"/>
              </w:rPr>
              <w:t>22</w:t>
            </w:r>
            <w:r>
              <w:rPr>
                <w:color w:val="auto"/>
                <w:spacing w:val="-41"/>
                <w:highlight w:val="none"/>
              </w:rPr>
              <w:t xml:space="preserve"> </w:t>
            </w:r>
            <w:r>
              <w:rPr>
                <w:color w:val="auto"/>
                <w:spacing w:val="-4"/>
                <w:highlight w:val="none"/>
              </w:rPr>
              <w:t>天/月，处以不足</w:t>
            </w:r>
            <w:r>
              <w:rPr>
                <w:color w:val="auto"/>
                <w:spacing w:val="-6"/>
                <w:highlight w:val="none"/>
              </w:rPr>
              <w:t>天数的违约金。</w:t>
            </w:r>
          </w:p>
        </w:tc>
        <w:tc>
          <w:tcPr>
            <w:tcW w:w="1799" w:type="dxa"/>
            <w:vAlign w:val="top"/>
          </w:tcPr>
          <w:p w14:paraId="3AB2C1B7">
            <w:pPr>
              <w:spacing w:line="398" w:lineRule="auto"/>
              <w:rPr>
                <w:rFonts w:ascii="Arial"/>
                <w:color w:val="auto"/>
                <w:sz w:val="21"/>
                <w:highlight w:val="none"/>
              </w:rPr>
            </w:pPr>
          </w:p>
          <w:p w14:paraId="375EDF10">
            <w:pPr>
              <w:pStyle w:val="17"/>
              <w:spacing w:before="68" w:line="220" w:lineRule="auto"/>
              <w:ind w:left="306"/>
              <w:rPr>
                <w:color w:val="auto"/>
                <w:highlight w:val="none"/>
              </w:rPr>
            </w:pPr>
            <w:r>
              <w:rPr>
                <w:color w:val="auto"/>
                <w:spacing w:val="-3"/>
                <w:highlight w:val="none"/>
              </w:rPr>
              <w:t>5000</w:t>
            </w:r>
            <w:r>
              <w:rPr>
                <w:color w:val="auto"/>
                <w:spacing w:val="-43"/>
                <w:highlight w:val="none"/>
              </w:rPr>
              <w:t xml:space="preserve"> </w:t>
            </w:r>
            <w:r>
              <w:rPr>
                <w:color w:val="auto"/>
                <w:spacing w:val="-3"/>
                <w:highlight w:val="none"/>
              </w:rPr>
              <w:t>元/人日</w:t>
            </w:r>
          </w:p>
        </w:tc>
        <w:tc>
          <w:tcPr>
            <w:tcW w:w="1580" w:type="dxa"/>
            <w:vAlign w:val="top"/>
          </w:tcPr>
          <w:p w14:paraId="0439EB60">
            <w:pPr>
              <w:rPr>
                <w:rFonts w:ascii="Arial"/>
                <w:color w:val="auto"/>
                <w:sz w:val="21"/>
                <w:highlight w:val="none"/>
              </w:rPr>
            </w:pPr>
          </w:p>
        </w:tc>
      </w:tr>
      <w:tr w14:paraId="05F9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62" w:type="dxa"/>
            <w:vAlign w:val="top"/>
          </w:tcPr>
          <w:p w14:paraId="34875AB6">
            <w:pPr>
              <w:spacing w:line="311" w:lineRule="auto"/>
              <w:rPr>
                <w:rFonts w:ascii="Arial"/>
                <w:color w:val="auto"/>
                <w:sz w:val="21"/>
                <w:highlight w:val="none"/>
              </w:rPr>
            </w:pPr>
          </w:p>
          <w:p w14:paraId="692A384A">
            <w:pPr>
              <w:spacing w:line="312" w:lineRule="auto"/>
              <w:rPr>
                <w:rFonts w:ascii="Arial"/>
                <w:color w:val="auto"/>
                <w:sz w:val="21"/>
                <w:highlight w:val="none"/>
              </w:rPr>
            </w:pPr>
          </w:p>
          <w:p w14:paraId="098A7A34">
            <w:pPr>
              <w:spacing w:line="312" w:lineRule="auto"/>
              <w:rPr>
                <w:rFonts w:ascii="Arial"/>
                <w:color w:val="auto"/>
                <w:sz w:val="21"/>
                <w:highlight w:val="none"/>
              </w:rPr>
            </w:pPr>
          </w:p>
          <w:p w14:paraId="37745A0D">
            <w:pPr>
              <w:pStyle w:val="17"/>
              <w:spacing w:before="68"/>
              <w:ind w:left="346"/>
              <w:rPr>
                <w:rFonts w:hint="default" w:eastAsia="宋体"/>
                <w:color w:val="auto"/>
                <w:highlight w:val="none"/>
                <w:lang w:val="en-US" w:eastAsia="zh-CN"/>
              </w:rPr>
            </w:pPr>
            <w:r>
              <w:rPr>
                <w:rFonts w:hint="eastAsia"/>
                <w:color w:val="auto"/>
                <w:spacing w:val="-6"/>
                <w:highlight w:val="none"/>
                <w:lang w:val="en-US" w:eastAsia="zh-CN"/>
              </w:rPr>
              <w:t>17</w:t>
            </w:r>
          </w:p>
        </w:tc>
        <w:tc>
          <w:tcPr>
            <w:tcW w:w="1469" w:type="dxa"/>
            <w:vAlign w:val="top"/>
          </w:tcPr>
          <w:p w14:paraId="69F37933">
            <w:pPr>
              <w:spacing w:line="311" w:lineRule="auto"/>
              <w:rPr>
                <w:rFonts w:ascii="Arial"/>
                <w:color w:val="auto"/>
                <w:sz w:val="21"/>
                <w:highlight w:val="none"/>
              </w:rPr>
            </w:pPr>
          </w:p>
          <w:p w14:paraId="5F7B6EE9">
            <w:pPr>
              <w:spacing w:line="312" w:lineRule="auto"/>
              <w:rPr>
                <w:rFonts w:ascii="Arial"/>
                <w:color w:val="auto"/>
                <w:sz w:val="21"/>
                <w:highlight w:val="none"/>
              </w:rPr>
            </w:pPr>
          </w:p>
          <w:p w14:paraId="3ED3CB86">
            <w:pPr>
              <w:spacing w:line="312" w:lineRule="auto"/>
              <w:rPr>
                <w:rFonts w:ascii="Arial"/>
                <w:color w:val="auto"/>
                <w:sz w:val="21"/>
                <w:highlight w:val="none"/>
              </w:rPr>
            </w:pPr>
          </w:p>
          <w:p w14:paraId="7932069F">
            <w:pPr>
              <w:pStyle w:val="17"/>
              <w:spacing w:before="68" w:line="232" w:lineRule="auto"/>
              <w:ind w:left="212"/>
              <w:rPr>
                <w:color w:val="auto"/>
                <w:highlight w:val="none"/>
              </w:rPr>
            </w:pPr>
            <w:r>
              <w:rPr>
                <w:color w:val="auto"/>
                <w:spacing w:val="-1"/>
                <w:highlight w:val="none"/>
              </w:rPr>
              <w:t>4.6.3（4）</w:t>
            </w:r>
          </w:p>
        </w:tc>
        <w:tc>
          <w:tcPr>
            <w:tcW w:w="3762" w:type="dxa"/>
            <w:vAlign w:val="top"/>
          </w:tcPr>
          <w:p w14:paraId="690C0374">
            <w:pPr>
              <w:pStyle w:val="17"/>
              <w:spacing w:before="106" w:line="300" w:lineRule="auto"/>
              <w:ind w:left="111" w:right="103"/>
              <w:jc w:val="both"/>
              <w:rPr>
                <w:color w:val="auto"/>
                <w:highlight w:val="none"/>
              </w:rPr>
            </w:pPr>
            <w:r>
              <w:rPr>
                <w:color w:val="auto"/>
                <w:spacing w:val="11"/>
                <w:highlight w:val="none"/>
              </w:rPr>
              <w:t>专职安全生产管理人员没有按规定配</w:t>
            </w:r>
            <w:r>
              <w:rPr>
                <w:color w:val="auto"/>
                <w:spacing w:val="-7"/>
                <w:highlight w:val="none"/>
              </w:rPr>
              <w:t>备：年度施工产值</w:t>
            </w:r>
            <w:r>
              <w:rPr>
                <w:color w:val="auto"/>
                <w:spacing w:val="-24"/>
                <w:highlight w:val="none"/>
              </w:rPr>
              <w:t xml:space="preserve"> </w:t>
            </w:r>
            <w:r>
              <w:rPr>
                <w:color w:val="auto"/>
                <w:spacing w:val="-7"/>
                <w:highlight w:val="none"/>
              </w:rPr>
              <w:t>5000</w:t>
            </w:r>
            <w:r>
              <w:rPr>
                <w:color w:val="auto"/>
                <w:spacing w:val="-40"/>
                <w:highlight w:val="none"/>
              </w:rPr>
              <w:t xml:space="preserve"> </w:t>
            </w:r>
            <w:r>
              <w:rPr>
                <w:color w:val="auto"/>
                <w:spacing w:val="-7"/>
                <w:highlight w:val="none"/>
              </w:rPr>
              <w:t>万元以上不足</w:t>
            </w:r>
            <w:r>
              <w:rPr>
                <w:color w:val="auto"/>
                <w:spacing w:val="-42"/>
                <w:highlight w:val="none"/>
              </w:rPr>
              <w:t xml:space="preserve"> </w:t>
            </w:r>
            <w:r>
              <w:rPr>
                <w:color w:val="auto"/>
                <w:spacing w:val="-7"/>
                <w:highlight w:val="none"/>
              </w:rPr>
              <w:t>2</w:t>
            </w:r>
            <w:r>
              <w:rPr>
                <w:color w:val="auto"/>
                <w:spacing w:val="-1"/>
                <w:highlight w:val="none"/>
              </w:rPr>
              <w:t>亿元的按每</w:t>
            </w:r>
            <w:r>
              <w:rPr>
                <w:color w:val="auto"/>
                <w:spacing w:val="-24"/>
                <w:highlight w:val="none"/>
              </w:rPr>
              <w:t xml:space="preserve"> </w:t>
            </w:r>
            <w:r>
              <w:rPr>
                <w:color w:val="auto"/>
                <w:spacing w:val="-1"/>
                <w:highlight w:val="none"/>
              </w:rPr>
              <w:t>5000</w:t>
            </w:r>
            <w:r>
              <w:rPr>
                <w:color w:val="auto"/>
                <w:spacing w:val="-34"/>
                <w:highlight w:val="none"/>
              </w:rPr>
              <w:t xml:space="preserve"> </w:t>
            </w:r>
            <w:r>
              <w:rPr>
                <w:color w:val="auto"/>
                <w:spacing w:val="-1"/>
                <w:highlight w:val="none"/>
              </w:rPr>
              <w:t>万元不少于</w:t>
            </w:r>
            <w:r>
              <w:rPr>
                <w:color w:val="auto"/>
                <w:spacing w:val="-22"/>
                <w:highlight w:val="none"/>
              </w:rPr>
              <w:t xml:space="preserve"> </w:t>
            </w:r>
            <w:r>
              <w:rPr>
                <w:color w:val="auto"/>
                <w:spacing w:val="-1"/>
                <w:highlight w:val="none"/>
              </w:rPr>
              <w:t>1</w:t>
            </w:r>
            <w:r>
              <w:rPr>
                <w:color w:val="auto"/>
                <w:spacing w:val="-37"/>
                <w:highlight w:val="none"/>
              </w:rPr>
              <w:t xml:space="preserve"> </w:t>
            </w:r>
            <w:r>
              <w:rPr>
                <w:color w:val="auto"/>
                <w:spacing w:val="-1"/>
                <w:highlight w:val="none"/>
              </w:rPr>
              <w:t>名的比</w:t>
            </w:r>
            <w:r>
              <w:rPr>
                <w:color w:val="auto"/>
                <w:spacing w:val="-2"/>
                <w:highlight w:val="none"/>
              </w:rPr>
              <w:t>例配备；2</w:t>
            </w:r>
            <w:r>
              <w:rPr>
                <w:color w:val="auto"/>
                <w:spacing w:val="-36"/>
                <w:highlight w:val="none"/>
              </w:rPr>
              <w:t xml:space="preserve"> </w:t>
            </w:r>
            <w:r>
              <w:rPr>
                <w:color w:val="auto"/>
                <w:spacing w:val="-2"/>
                <w:highlight w:val="none"/>
              </w:rPr>
              <w:t>亿元以上的不少于</w:t>
            </w:r>
            <w:r>
              <w:rPr>
                <w:color w:val="auto"/>
                <w:spacing w:val="-35"/>
                <w:highlight w:val="none"/>
              </w:rPr>
              <w:t xml:space="preserve"> </w:t>
            </w:r>
            <w:r>
              <w:rPr>
                <w:color w:val="auto"/>
                <w:spacing w:val="-2"/>
                <w:highlight w:val="none"/>
              </w:rPr>
              <w:t>5</w:t>
            </w:r>
            <w:r>
              <w:rPr>
                <w:color w:val="auto"/>
                <w:spacing w:val="-40"/>
                <w:highlight w:val="none"/>
              </w:rPr>
              <w:t xml:space="preserve"> </w:t>
            </w:r>
            <w:r>
              <w:rPr>
                <w:color w:val="auto"/>
                <w:spacing w:val="-2"/>
                <w:highlight w:val="none"/>
              </w:rPr>
              <w:t>名，且</w:t>
            </w:r>
            <w:r>
              <w:rPr>
                <w:color w:val="auto"/>
                <w:spacing w:val="3"/>
                <w:highlight w:val="none"/>
              </w:rPr>
              <w:t>按专业配备（不足</w:t>
            </w:r>
            <w:r>
              <w:rPr>
                <w:color w:val="auto"/>
                <w:spacing w:val="-19"/>
                <w:highlight w:val="none"/>
              </w:rPr>
              <w:t xml:space="preserve"> </w:t>
            </w:r>
            <w:r>
              <w:rPr>
                <w:color w:val="auto"/>
                <w:spacing w:val="3"/>
                <w:highlight w:val="none"/>
              </w:rPr>
              <w:t>5000</w:t>
            </w:r>
            <w:r>
              <w:rPr>
                <w:color w:val="auto"/>
                <w:spacing w:val="-31"/>
                <w:highlight w:val="none"/>
              </w:rPr>
              <w:t xml:space="preserve"> </w:t>
            </w:r>
            <w:r>
              <w:rPr>
                <w:color w:val="auto"/>
                <w:spacing w:val="3"/>
                <w:highlight w:val="none"/>
              </w:rPr>
              <w:t>万至少配备</w:t>
            </w:r>
            <w:r>
              <w:rPr>
                <w:color w:val="auto"/>
                <w:spacing w:val="-34"/>
                <w:highlight w:val="none"/>
              </w:rPr>
              <w:t xml:space="preserve"> </w:t>
            </w:r>
            <w:r>
              <w:rPr>
                <w:color w:val="auto"/>
                <w:spacing w:val="3"/>
                <w:highlight w:val="none"/>
              </w:rPr>
              <w:t>2</w:t>
            </w:r>
            <w:r>
              <w:rPr>
                <w:color w:val="auto"/>
                <w:spacing w:val="-9"/>
                <w:highlight w:val="none"/>
              </w:rPr>
              <w:t>名）。</w:t>
            </w:r>
          </w:p>
        </w:tc>
        <w:tc>
          <w:tcPr>
            <w:tcW w:w="1799" w:type="dxa"/>
            <w:vAlign w:val="top"/>
          </w:tcPr>
          <w:p w14:paraId="50B7759B">
            <w:pPr>
              <w:spacing w:line="311" w:lineRule="auto"/>
              <w:rPr>
                <w:rFonts w:ascii="Arial"/>
                <w:color w:val="auto"/>
                <w:sz w:val="21"/>
                <w:highlight w:val="none"/>
              </w:rPr>
            </w:pPr>
          </w:p>
          <w:p w14:paraId="299FF318">
            <w:pPr>
              <w:spacing w:line="312" w:lineRule="auto"/>
              <w:rPr>
                <w:rFonts w:ascii="Arial"/>
                <w:color w:val="auto"/>
                <w:sz w:val="21"/>
                <w:highlight w:val="none"/>
              </w:rPr>
            </w:pPr>
          </w:p>
          <w:p w14:paraId="7500F038">
            <w:pPr>
              <w:spacing w:line="312" w:lineRule="auto"/>
              <w:rPr>
                <w:rFonts w:ascii="Arial"/>
                <w:color w:val="auto"/>
                <w:sz w:val="21"/>
                <w:highlight w:val="none"/>
              </w:rPr>
            </w:pPr>
          </w:p>
          <w:p w14:paraId="11163ED2">
            <w:pPr>
              <w:pStyle w:val="17"/>
              <w:spacing w:before="68" w:line="220" w:lineRule="auto"/>
              <w:ind w:left="359"/>
              <w:rPr>
                <w:color w:val="auto"/>
                <w:highlight w:val="none"/>
              </w:rPr>
            </w:pPr>
            <w:r>
              <w:rPr>
                <w:color w:val="auto"/>
                <w:spacing w:val="-4"/>
                <w:highlight w:val="none"/>
              </w:rPr>
              <w:t>5</w:t>
            </w:r>
            <w:r>
              <w:rPr>
                <w:color w:val="auto"/>
                <w:spacing w:val="-39"/>
                <w:highlight w:val="none"/>
              </w:rPr>
              <w:t xml:space="preserve"> </w:t>
            </w:r>
            <w:r>
              <w:rPr>
                <w:color w:val="auto"/>
                <w:spacing w:val="-4"/>
                <w:highlight w:val="none"/>
              </w:rPr>
              <w:t>万元/人次</w:t>
            </w:r>
          </w:p>
        </w:tc>
        <w:tc>
          <w:tcPr>
            <w:tcW w:w="1580" w:type="dxa"/>
            <w:vAlign w:val="top"/>
          </w:tcPr>
          <w:p w14:paraId="14CF5015">
            <w:pPr>
              <w:rPr>
                <w:rFonts w:ascii="Arial"/>
                <w:color w:val="auto"/>
                <w:sz w:val="21"/>
                <w:highlight w:val="none"/>
              </w:rPr>
            </w:pPr>
          </w:p>
        </w:tc>
      </w:tr>
      <w:tr w14:paraId="25CBF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4C4FB9C7">
            <w:pPr>
              <w:spacing w:line="399" w:lineRule="auto"/>
              <w:rPr>
                <w:rFonts w:ascii="Arial"/>
                <w:color w:val="auto"/>
                <w:sz w:val="21"/>
                <w:highlight w:val="none"/>
              </w:rPr>
            </w:pPr>
          </w:p>
          <w:p w14:paraId="2F0E6E7F">
            <w:pPr>
              <w:pStyle w:val="17"/>
              <w:spacing w:before="68"/>
              <w:ind w:left="346"/>
              <w:rPr>
                <w:rFonts w:hint="default" w:eastAsia="宋体"/>
                <w:color w:val="auto"/>
                <w:highlight w:val="none"/>
                <w:lang w:val="en-US" w:eastAsia="zh-CN"/>
              </w:rPr>
            </w:pPr>
            <w:r>
              <w:rPr>
                <w:rFonts w:hint="eastAsia"/>
                <w:color w:val="auto"/>
                <w:spacing w:val="-6"/>
                <w:highlight w:val="none"/>
                <w:lang w:val="en-US" w:eastAsia="zh-CN"/>
              </w:rPr>
              <w:t>18</w:t>
            </w:r>
          </w:p>
        </w:tc>
        <w:tc>
          <w:tcPr>
            <w:tcW w:w="1469" w:type="dxa"/>
            <w:vAlign w:val="top"/>
          </w:tcPr>
          <w:p w14:paraId="227FBC63">
            <w:pPr>
              <w:spacing w:line="399" w:lineRule="auto"/>
              <w:rPr>
                <w:rFonts w:ascii="Arial"/>
                <w:color w:val="auto"/>
                <w:sz w:val="21"/>
                <w:highlight w:val="none"/>
              </w:rPr>
            </w:pPr>
          </w:p>
          <w:p w14:paraId="1D7B8A0D">
            <w:pPr>
              <w:pStyle w:val="17"/>
              <w:spacing w:before="68" w:line="232" w:lineRule="auto"/>
              <w:ind w:left="212"/>
              <w:rPr>
                <w:color w:val="auto"/>
                <w:highlight w:val="none"/>
              </w:rPr>
            </w:pPr>
            <w:r>
              <w:rPr>
                <w:color w:val="auto"/>
                <w:spacing w:val="-1"/>
                <w:highlight w:val="none"/>
              </w:rPr>
              <w:t>4.6.3（5）</w:t>
            </w:r>
          </w:p>
        </w:tc>
        <w:tc>
          <w:tcPr>
            <w:tcW w:w="3762" w:type="dxa"/>
            <w:vAlign w:val="top"/>
          </w:tcPr>
          <w:p w14:paraId="01BD528F">
            <w:pPr>
              <w:pStyle w:val="17"/>
              <w:spacing w:before="111" w:line="282" w:lineRule="auto"/>
              <w:ind w:left="112" w:right="103" w:firstLine="2"/>
              <w:jc w:val="both"/>
              <w:rPr>
                <w:color w:val="auto"/>
                <w:highlight w:val="none"/>
              </w:rPr>
            </w:pPr>
            <w:r>
              <w:rPr>
                <w:color w:val="auto"/>
                <w:spacing w:val="10"/>
                <w:highlight w:val="none"/>
              </w:rPr>
              <w:t>项目经理或总工程师无故缺席发包人</w:t>
            </w:r>
            <w:r>
              <w:rPr>
                <w:color w:val="auto"/>
                <w:spacing w:val="-2"/>
                <w:highlight w:val="none"/>
              </w:rPr>
              <w:t>指定的各种会议，包括监理人主持的重</w:t>
            </w:r>
            <w:r>
              <w:rPr>
                <w:color w:val="auto"/>
                <w:spacing w:val="-4"/>
                <w:highlight w:val="none"/>
              </w:rPr>
              <w:t>要会议（如工地例会等）。</w:t>
            </w:r>
          </w:p>
        </w:tc>
        <w:tc>
          <w:tcPr>
            <w:tcW w:w="1799" w:type="dxa"/>
            <w:vAlign w:val="top"/>
          </w:tcPr>
          <w:p w14:paraId="7F8801B1">
            <w:pPr>
              <w:spacing w:line="399" w:lineRule="auto"/>
              <w:rPr>
                <w:rFonts w:ascii="Arial"/>
                <w:color w:val="auto"/>
                <w:sz w:val="21"/>
                <w:highlight w:val="none"/>
              </w:rPr>
            </w:pPr>
          </w:p>
          <w:p w14:paraId="1CF8341E">
            <w:pPr>
              <w:pStyle w:val="17"/>
              <w:spacing w:before="68" w:line="220" w:lineRule="auto"/>
              <w:ind w:left="476"/>
              <w:rPr>
                <w:color w:val="auto"/>
                <w:highlight w:val="none"/>
              </w:rPr>
            </w:pPr>
            <w:r>
              <w:rPr>
                <w:color w:val="auto"/>
                <w:spacing w:val="-7"/>
                <w:highlight w:val="none"/>
              </w:rPr>
              <w:t>1</w:t>
            </w:r>
            <w:r>
              <w:rPr>
                <w:color w:val="auto"/>
                <w:spacing w:val="-40"/>
                <w:highlight w:val="none"/>
              </w:rPr>
              <w:t xml:space="preserve"> </w:t>
            </w:r>
            <w:r>
              <w:rPr>
                <w:color w:val="auto"/>
                <w:spacing w:val="-7"/>
                <w:highlight w:val="none"/>
              </w:rPr>
              <w:t>万元/次</w:t>
            </w:r>
          </w:p>
        </w:tc>
        <w:tc>
          <w:tcPr>
            <w:tcW w:w="1580" w:type="dxa"/>
            <w:vAlign w:val="top"/>
          </w:tcPr>
          <w:p w14:paraId="47FA0428">
            <w:pPr>
              <w:rPr>
                <w:rFonts w:ascii="Arial"/>
                <w:color w:val="auto"/>
                <w:sz w:val="21"/>
                <w:highlight w:val="none"/>
              </w:rPr>
            </w:pPr>
          </w:p>
        </w:tc>
      </w:tr>
      <w:tr w14:paraId="3FFBE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7B5D2399">
            <w:pPr>
              <w:spacing w:line="399" w:lineRule="auto"/>
              <w:rPr>
                <w:rFonts w:ascii="Arial"/>
                <w:color w:val="auto"/>
                <w:sz w:val="21"/>
                <w:highlight w:val="none"/>
              </w:rPr>
            </w:pPr>
          </w:p>
          <w:p w14:paraId="3E787694">
            <w:pPr>
              <w:pStyle w:val="17"/>
              <w:spacing w:before="69"/>
              <w:ind w:left="346"/>
              <w:rPr>
                <w:rFonts w:hint="default" w:eastAsia="宋体"/>
                <w:color w:val="auto"/>
                <w:highlight w:val="none"/>
                <w:lang w:val="en-US" w:eastAsia="zh-CN"/>
              </w:rPr>
            </w:pPr>
            <w:r>
              <w:rPr>
                <w:rFonts w:hint="eastAsia"/>
                <w:color w:val="auto"/>
                <w:spacing w:val="-11"/>
                <w:highlight w:val="none"/>
                <w:lang w:val="en-US" w:eastAsia="zh-CN"/>
              </w:rPr>
              <w:t>19</w:t>
            </w:r>
          </w:p>
        </w:tc>
        <w:tc>
          <w:tcPr>
            <w:tcW w:w="1469" w:type="dxa"/>
            <w:vAlign w:val="top"/>
          </w:tcPr>
          <w:p w14:paraId="2AC3658D">
            <w:pPr>
              <w:spacing w:line="400" w:lineRule="auto"/>
              <w:rPr>
                <w:rFonts w:ascii="Arial"/>
                <w:color w:val="auto"/>
                <w:sz w:val="21"/>
                <w:highlight w:val="none"/>
              </w:rPr>
            </w:pPr>
          </w:p>
          <w:p w14:paraId="50B2E9AE">
            <w:pPr>
              <w:pStyle w:val="17"/>
              <w:spacing w:before="68" w:line="239" w:lineRule="auto"/>
              <w:ind w:left="473"/>
              <w:rPr>
                <w:color w:val="auto"/>
                <w:highlight w:val="none"/>
              </w:rPr>
            </w:pPr>
            <w:r>
              <w:rPr>
                <w:color w:val="auto"/>
                <w:spacing w:val="-2"/>
                <w:highlight w:val="none"/>
              </w:rPr>
              <w:t>4.6.6</w:t>
            </w:r>
          </w:p>
        </w:tc>
        <w:tc>
          <w:tcPr>
            <w:tcW w:w="3762" w:type="dxa"/>
            <w:vAlign w:val="top"/>
          </w:tcPr>
          <w:p w14:paraId="34C747E8">
            <w:pPr>
              <w:pStyle w:val="17"/>
              <w:spacing w:before="109" w:line="283" w:lineRule="auto"/>
              <w:ind w:left="113" w:right="103" w:firstLine="1"/>
              <w:jc w:val="both"/>
              <w:rPr>
                <w:color w:val="auto"/>
                <w:highlight w:val="none"/>
              </w:rPr>
            </w:pPr>
            <w:r>
              <w:rPr>
                <w:color w:val="auto"/>
                <w:spacing w:val="-2"/>
                <w:highlight w:val="none"/>
              </w:rPr>
              <w:t>不签订劳动合同、非法使用农民工的，或者拖延和克扣农民工工资的，由此造</w:t>
            </w:r>
            <w:r>
              <w:rPr>
                <w:color w:val="auto"/>
                <w:spacing w:val="-3"/>
                <w:highlight w:val="none"/>
              </w:rPr>
              <w:t>成劳务人员上访或劳动纠纷的。</w:t>
            </w:r>
          </w:p>
        </w:tc>
        <w:tc>
          <w:tcPr>
            <w:tcW w:w="1799" w:type="dxa"/>
            <w:vAlign w:val="top"/>
          </w:tcPr>
          <w:p w14:paraId="102929B5">
            <w:pPr>
              <w:spacing w:line="399" w:lineRule="auto"/>
              <w:rPr>
                <w:rFonts w:ascii="Arial"/>
                <w:color w:val="auto"/>
                <w:sz w:val="21"/>
                <w:highlight w:val="none"/>
              </w:rPr>
            </w:pPr>
          </w:p>
          <w:p w14:paraId="01C47C65">
            <w:pPr>
              <w:pStyle w:val="17"/>
              <w:spacing w:before="68" w:line="220" w:lineRule="auto"/>
              <w:ind w:left="423"/>
              <w:rPr>
                <w:color w:val="auto"/>
                <w:highlight w:val="none"/>
              </w:rPr>
            </w:pPr>
            <w:r>
              <w:rPr>
                <w:color w:val="auto"/>
                <w:spacing w:val="-6"/>
                <w:highlight w:val="none"/>
              </w:rPr>
              <w:t>10</w:t>
            </w:r>
            <w:r>
              <w:rPr>
                <w:color w:val="auto"/>
                <w:spacing w:val="-38"/>
                <w:highlight w:val="none"/>
              </w:rPr>
              <w:t xml:space="preserve"> </w:t>
            </w:r>
            <w:r>
              <w:rPr>
                <w:color w:val="auto"/>
                <w:spacing w:val="-6"/>
                <w:highlight w:val="none"/>
              </w:rPr>
              <w:t>万元/次</w:t>
            </w:r>
          </w:p>
        </w:tc>
        <w:tc>
          <w:tcPr>
            <w:tcW w:w="1580" w:type="dxa"/>
            <w:vAlign w:val="top"/>
          </w:tcPr>
          <w:p w14:paraId="67B706F8">
            <w:pPr>
              <w:rPr>
                <w:rFonts w:ascii="Arial"/>
                <w:color w:val="auto"/>
                <w:sz w:val="21"/>
                <w:highlight w:val="none"/>
              </w:rPr>
            </w:pPr>
          </w:p>
        </w:tc>
      </w:tr>
      <w:tr w14:paraId="1207B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862" w:type="dxa"/>
            <w:vAlign w:val="top"/>
          </w:tcPr>
          <w:p w14:paraId="39C3AD71">
            <w:pPr>
              <w:spacing w:line="400" w:lineRule="auto"/>
              <w:rPr>
                <w:rFonts w:ascii="Arial"/>
                <w:color w:val="auto"/>
                <w:sz w:val="21"/>
                <w:highlight w:val="none"/>
              </w:rPr>
            </w:pPr>
          </w:p>
          <w:p w14:paraId="132DE78F">
            <w:pPr>
              <w:pStyle w:val="17"/>
              <w:spacing w:before="68"/>
              <w:ind w:left="333"/>
              <w:rPr>
                <w:rFonts w:hint="default" w:eastAsia="宋体"/>
                <w:color w:val="auto"/>
                <w:highlight w:val="none"/>
                <w:lang w:val="en-US" w:eastAsia="zh-CN"/>
              </w:rPr>
            </w:pPr>
            <w:r>
              <w:rPr>
                <w:rFonts w:hint="eastAsia"/>
                <w:color w:val="auto"/>
                <w:spacing w:val="-5"/>
                <w:highlight w:val="none"/>
                <w:lang w:val="en-US" w:eastAsia="zh-CN"/>
              </w:rPr>
              <w:t>20</w:t>
            </w:r>
          </w:p>
        </w:tc>
        <w:tc>
          <w:tcPr>
            <w:tcW w:w="1469" w:type="dxa"/>
            <w:vAlign w:val="top"/>
          </w:tcPr>
          <w:p w14:paraId="6B6FEB5B">
            <w:pPr>
              <w:spacing w:line="400" w:lineRule="auto"/>
              <w:rPr>
                <w:rFonts w:ascii="Arial"/>
                <w:color w:val="auto"/>
                <w:sz w:val="21"/>
                <w:highlight w:val="none"/>
              </w:rPr>
            </w:pPr>
          </w:p>
          <w:p w14:paraId="4EEF5D0F">
            <w:pPr>
              <w:pStyle w:val="17"/>
              <w:spacing w:before="69" w:line="239" w:lineRule="auto"/>
              <w:ind w:left="473"/>
              <w:rPr>
                <w:color w:val="auto"/>
                <w:highlight w:val="none"/>
              </w:rPr>
            </w:pPr>
            <w:r>
              <w:rPr>
                <w:color w:val="auto"/>
                <w:spacing w:val="-2"/>
                <w:highlight w:val="none"/>
              </w:rPr>
              <w:t>4.6.6</w:t>
            </w:r>
          </w:p>
        </w:tc>
        <w:tc>
          <w:tcPr>
            <w:tcW w:w="3762" w:type="dxa"/>
            <w:vAlign w:val="top"/>
          </w:tcPr>
          <w:p w14:paraId="09814E94">
            <w:pPr>
              <w:pStyle w:val="17"/>
              <w:spacing w:before="112" w:line="283" w:lineRule="auto"/>
              <w:ind w:left="114" w:right="103"/>
              <w:jc w:val="both"/>
              <w:rPr>
                <w:color w:val="auto"/>
                <w:highlight w:val="none"/>
              </w:rPr>
            </w:pPr>
            <w:r>
              <w:rPr>
                <w:color w:val="auto"/>
                <w:spacing w:val="-2"/>
                <w:highlight w:val="none"/>
              </w:rPr>
              <w:t>未按交通运输主管部门、上级主管或管</w:t>
            </w:r>
            <w:r>
              <w:rPr>
                <w:color w:val="auto"/>
                <w:spacing w:val="11"/>
                <w:highlight w:val="none"/>
              </w:rPr>
              <w:t>理单位等要求落实从业人员实名制管</w:t>
            </w:r>
            <w:r>
              <w:rPr>
                <w:color w:val="auto"/>
                <w:spacing w:val="-4"/>
                <w:highlight w:val="none"/>
              </w:rPr>
              <w:t>理和工资支付管理的。</w:t>
            </w:r>
          </w:p>
        </w:tc>
        <w:tc>
          <w:tcPr>
            <w:tcW w:w="1799" w:type="dxa"/>
            <w:vAlign w:val="top"/>
          </w:tcPr>
          <w:p w14:paraId="08710A98">
            <w:pPr>
              <w:spacing w:line="400" w:lineRule="auto"/>
              <w:rPr>
                <w:rFonts w:ascii="Arial"/>
                <w:color w:val="auto"/>
                <w:sz w:val="21"/>
                <w:highlight w:val="none"/>
              </w:rPr>
            </w:pPr>
          </w:p>
          <w:p w14:paraId="42EC0AFC">
            <w:pPr>
              <w:pStyle w:val="17"/>
              <w:spacing w:before="68" w:line="220" w:lineRule="auto"/>
              <w:ind w:left="465"/>
              <w:rPr>
                <w:color w:val="auto"/>
                <w:highlight w:val="none"/>
              </w:rPr>
            </w:pPr>
            <w:r>
              <w:rPr>
                <w:color w:val="auto"/>
                <w:spacing w:val="-5"/>
                <w:highlight w:val="none"/>
              </w:rPr>
              <w:t>5</w:t>
            </w:r>
            <w:r>
              <w:rPr>
                <w:color w:val="auto"/>
                <w:spacing w:val="-38"/>
                <w:highlight w:val="none"/>
              </w:rPr>
              <w:t xml:space="preserve"> </w:t>
            </w:r>
            <w:r>
              <w:rPr>
                <w:color w:val="auto"/>
                <w:spacing w:val="-5"/>
                <w:highlight w:val="none"/>
              </w:rPr>
              <w:t>万元/次</w:t>
            </w:r>
          </w:p>
        </w:tc>
        <w:tc>
          <w:tcPr>
            <w:tcW w:w="1580" w:type="dxa"/>
            <w:vAlign w:val="top"/>
          </w:tcPr>
          <w:p w14:paraId="0E25F8E6">
            <w:pPr>
              <w:rPr>
                <w:rFonts w:ascii="Arial"/>
                <w:color w:val="auto"/>
                <w:sz w:val="21"/>
                <w:highlight w:val="none"/>
              </w:rPr>
            </w:pPr>
          </w:p>
        </w:tc>
      </w:tr>
    </w:tbl>
    <w:p w14:paraId="3DE36C5E">
      <w:pPr>
        <w:pStyle w:val="3"/>
        <w:rPr>
          <w:color w:val="auto"/>
          <w:highlight w:val="none"/>
        </w:rPr>
      </w:pPr>
    </w:p>
    <w:p w14:paraId="057D5FFD">
      <w:pPr>
        <w:pStyle w:val="3"/>
        <w:rPr>
          <w:color w:val="auto"/>
          <w:highlight w:val="none"/>
        </w:rPr>
      </w:pPr>
    </w:p>
    <w:p w14:paraId="141F38FC">
      <w:pPr>
        <w:pStyle w:val="3"/>
        <w:rPr>
          <w:color w:val="auto"/>
          <w:highlight w:val="none"/>
        </w:rPr>
      </w:pPr>
    </w:p>
    <w:p w14:paraId="481BF7DE">
      <w:pPr>
        <w:pStyle w:val="3"/>
        <w:rPr>
          <w:color w:val="auto"/>
          <w:highlight w:val="none"/>
        </w:rPr>
      </w:pPr>
    </w:p>
    <w:p w14:paraId="3F34C369">
      <w:pPr>
        <w:spacing w:line="234" w:lineRule="exact"/>
        <w:rPr>
          <w:color w:val="auto"/>
          <w:highlight w:val="none"/>
        </w:rPr>
      </w:pPr>
    </w:p>
    <w:tbl>
      <w:tblPr>
        <w:tblStyle w:val="16"/>
        <w:tblW w:w="947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5D983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24551DF6">
            <w:pPr>
              <w:pStyle w:val="17"/>
              <w:spacing w:before="214" w:line="221" w:lineRule="auto"/>
              <w:ind w:left="225"/>
              <w:rPr>
                <w:color w:val="auto"/>
                <w:highlight w:val="none"/>
              </w:rPr>
            </w:pPr>
            <w:r>
              <w:rPr>
                <w:b/>
                <w:bCs/>
                <w:color w:val="auto"/>
                <w:spacing w:val="-4"/>
                <w:highlight w:val="none"/>
              </w:rPr>
              <w:t>序号</w:t>
            </w:r>
          </w:p>
        </w:tc>
        <w:tc>
          <w:tcPr>
            <w:tcW w:w="1469" w:type="dxa"/>
            <w:vAlign w:val="top"/>
          </w:tcPr>
          <w:p w14:paraId="4957E249">
            <w:pPr>
              <w:pStyle w:val="17"/>
              <w:spacing w:before="213" w:line="219" w:lineRule="auto"/>
              <w:ind w:left="319"/>
              <w:rPr>
                <w:color w:val="auto"/>
                <w:highlight w:val="none"/>
              </w:rPr>
            </w:pPr>
            <w:r>
              <w:rPr>
                <w:b/>
                <w:bCs/>
                <w:color w:val="auto"/>
                <w:spacing w:val="-5"/>
                <w:highlight w:val="none"/>
              </w:rPr>
              <w:t>合同依据</w:t>
            </w:r>
          </w:p>
        </w:tc>
        <w:tc>
          <w:tcPr>
            <w:tcW w:w="3762" w:type="dxa"/>
            <w:vAlign w:val="top"/>
          </w:tcPr>
          <w:p w14:paraId="33C16645">
            <w:pPr>
              <w:pStyle w:val="17"/>
              <w:spacing w:before="213" w:line="220" w:lineRule="auto"/>
              <w:ind w:left="1465"/>
              <w:rPr>
                <w:color w:val="auto"/>
                <w:highlight w:val="none"/>
              </w:rPr>
            </w:pPr>
            <w:r>
              <w:rPr>
                <w:b/>
                <w:bCs/>
                <w:color w:val="auto"/>
                <w:spacing w:val="-4"/>
                <w:highlight w:val="none"/>
              </w:rPr>
              <w:t>违约内容</w:t>
            </w:r>
          </w:p>
        </w:tc>
        <w:tc>
          <w:tcPr>
            <w:tcW w:w="1799" w:type="dxa"/>
            <w:vAlign w:val="top"/>
          </w:tcPr>
          <w:p w14:paraId="305C662A">
            <w:pPr>
              <w:pStyle w:val="17"/>
              <w:spacing w:before="214" w:line="220" w:lineRule="auto"/>
              <w:ind w:left="381"/>
              <w:rPr>
                <w:color w:val="auto"/>
                <w:highlight w:val="none"/>
              </w:rPr>
            </w:pPr>
            <w:r>
              <w:rPr>
                <w:b/>
                <w:bCs/>
                <w:color w:val="auto"/>
                <w:spacing w:val="-4"/>
                <w:highlight w:val="none"/>
              </w:rPr>
              <w:t>违约金标准</w:t>
            </w:r>
          </w:p>
        </w:tc>
        <w:tc>
          <w:tcPr>
            <w:tcW w:w="1580" w:type="dxa"/>
            <w:vAlign w:val="top"/>
          </w:tcPr>
          <w:p w14:paraId="7AF17A77">
            <w:pPr>
              <w:pStyle w:val="17"/>
              <w:spacing w:before="214" w:line="221" w:lineRule="auto"/>
              <w:ind w:left="586"/>
              <w:rPr>
                <w:color w:val="auto"/>
                <w:highlight w:val="none"/>
              </w:rPr>
            </w:pPr>
            <w:r>
              <w:rPr>
                <w:b/>
                <w:bCs/>
                <w:color w:val="auto"/>
                <w:spacing w:val="-5"/>
                <w:highlight w:val="none"/>
              </w:rPr>
              <w:t>备注</w:t>
            </w:r>
          </w:p>
        </w:tc>
      </w:tr>
      <w:tr w14:paraId="1B7C1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top"/>
          </w:tcPr>
          <w:p w14:paraId="3EEC00B2">
            <w:pPr>
              <w:pStyle w:val="17"/>
              <w:spacing w:before="209" w:line="241" w:lineRule="auto"/>
              <w:ind w:left="333"/>
              <w:rPr>
                <w:rFonts w:hint="default" w:eastAsia="宋体"/>
                <w:color w:val="auto"/>
                <w:highlight w:val="none"/>
                <w:lang w:val="en-US" w:eastAsia="zh-CN"/>
              </w:rPr>
            </w:pPr>
            <w:r>
              <w:rPr>
                <w:rFonts w:hint="eastAsia"/>
                <w:color w:val="auto"/>
                <w:spacing w:val="-5"/>
                <w:highlight w:val="none"/>
                <w:lang w:val="en-US" w:eastAsia="zh-CN"/>
              </w:rPr>
              <w:t>21</w:t>
            </w:r>
          </w:p>
        </w:tc>
        <w:tc>
          <w:tcPr>
            <w:tcW w:w="1469" w:type="dxa"/>
            <w:vAlign w:val="top"/>
          </w:tcPr>
          <w:p w14:paraId="22B5D37E">
            <w:pPr>
              <w:pStyle w:val="17"/>
              <w:spacing w:before="209" w:line="239" w:lineRule="auto"/>
              <w:ind w:left="473"/>
              <w:rPr>
                <w:color w:val="auto"/>
                <w:highlight w:val="none"/>
              </w:rPr>
            </w:pPr>
            <w:r>
              <w:rPr>
                <w:color w:val="auto"/>
                <w:spacing w:val="-2"/>
                <w:highlight w:val="none"/>
              </w:rPr>
              <w:t>4.6.7</w:t>
            </w:r>
          </w:p>
        </w:tc>
        <w:tc>
          <w:tcPr>
            <w:tcW w:w="3762" w:type="dxa"/>
            <w:vAlign w:val="top"/>
          </w:tcPr>
          <w:p w14:paraId="398DB3F9">
            <w:pPr>
              <w:pStyle w:val="17"/>
              <w:spacing w:before="208" w:line="220" w:lineRule="auto"/>
              <w:ind w:left="114"/>
              <w:rPr>
                <w:color w:val="auto"/>
                <w:highlight w:val="none"/>
              </w:rPr>
            </w:pPr>
            <w:r>
              <w:rPr>
                <w:color w:val="auto"/>
                <w:spacing w:val="-1"/>
                <w:highlight w:val="none"/>
              </w:rPr>
              <w:t>分项工程的施工员没在现场管理的</w:t>
            </w:r>
          </w:p>
        </w:tc>
        <w:tc>
          <w:tcPr>
            <w:tcW w:w="1799" w:type="dxa"/>
            <w:vAlign w:val="top"/>
          </w:tcPr>
          <w:p w14:paraId="449365F0">
            <w:pPr>
              <w:pStyle w:val="17"/>
              <w:spacing w:before="208" w:line="220" w:lineRule="auto"/>
              <w:ind w:left="424"/>
              <w:rPr>
                <w:color w:val="auto"/>
                <w:highlight w:val="none"/>
              </w:rPr>
            </w:pPr>
            <w:r>
              <w:rPr>
                <w:color w:val="auto"/>
                <w:spacing w:val="-5"/>
                <w:highlight w:val="none"/>
              </w:rPr>
              <w:t>1000</w:t>
            </w:r>
            <w:r>
              <w:rPr>
                <w:color w:val="auto"/>
                <w:spacing w:val="-40"/>
                <w:highlight w:val="none"/>
              </w:rPr>
              <w:t xml:space="preserve"> </w:t>
            </w:r>
            <w:r>
              <w:rPr>
                <w:color w:val="auto"/>
                <w:spacing w:val="-5"/>
                <w:highlight w:val="none"/>
              </w:rPr>
              <w:t>元/次</w:t>
            </w:r>
          </w:p>
        </w:tc>
        <w:tc>
          <w:tcPr>
            <w:tcW w:w="1580" w:type="dxa"/>
            <w:vAlign w:val="top"/>
          </w:tcPr>
          <w:p w14:paraId="1DA1537F">
            <w:pPr>
              <w:rPr>
                <w:rFonts w:ascii="Arial"/>
                <w:color w:val="auto"/>
                <w:sz w:val="21"/>
                <w:highlight w:val="none"/>
              </w:rPr>
            </w:pPr>
          </w:p>
        </w:tc>
      </w:tr>
      <w:tr w14:paraId="005F4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475CDD1E">
            <w:pPr>
              <w:pStyle w:val="17"/>
              <w:spacing w:before="286" w:line="241" w:lineRule="auto"/>
              <w:ind w:left="333"/>
              <w:rPr>
                <w:rFonts w:hint="default" w:eastAsia="宋体"/>
                <w:color w:val="auto"/>
                <w:highlight w:val="none"/>
                <w:lang w:val="en-US" w:eastAsia="zh-CN"/>
              </w:rPr>
            </w:pPr>
            <w:r>
              <w:rPr>
                <w:rFonts w:hint="eastAsia"/>
                <w:color w:val="auto"/>
                <w:spacing w:val="-5"/>
                <w:highlight w:val="none"/>
                <w:lang w:val="en-US" w:eastAsia="zh-CN"/>
              </w:rPr>
              <w:t>22</w:t>
            </w:r>
          </w:p>
        </w:tc>
        <w:tc>
          <w:tcPr>
            <w:tcW w:w="1469" w:type="dxa"/>
            <w:vAlign w:val="top"/>
          </w:tcPr>
          <w:p w14:paraId="4C406B43">
            <w:pPr>
              <w:pStyle w:val="17"/>
              <w:spacing w:before="286" w:line="239" w:lineRule="auto"/>
              <w:ind w:left="473"/>
              <w:rPr>
                <w:color w:val="auto"/>
                <w:highlight w:val="none"/>
              </w:rPr>
            </w:pPr>
            <w:r>
              <w:rPr>
                <w:color w:val="auto"/>
                <w:spacing w:val="-2"/>
                <w:highlight w:val="none"/>
              </w:rPr>
              <w:t>4.6.7</w:t>
            </w:r>
          </w:p>
        </w:tc>
        <w:tc>
          <w:tcPr>
            <w:tcW w:w="3762" w:type="dxa"/>
            <w:vAlign w:val="top"/>
          </w:tcPr>
          <w:p w14:paraId="6058CC39">
            <w:pPr>
              <w:pStyle w:val="17"/>
              <w:spacing w:before="106" w:line="267" w:lineRule="auto"/>
              <w:ind w:left="110" w:right="102" w:firstLine="1"/>
              <w:rPr>
                <w:color w:val="auto"/>
                <w:highlight w:val="none"/>
              </w:rPr>
            </w:pPr>
            <w:r>
              <w:rPr>
                <w:color w:val="auto"/>
                <w:spacing w:val="-2"/>
                <w:highlight w:val="none"/>
              </w:rPr>
              <w:t>重要工序（桩基、面层施工等</w:t>
            </w:r>
            <w:r>
              <w:rPr>
                <w:color w:val="auto"/>
                <w:highlight w:val="none"/>
              </w:rPr>
              <w:t>），</w:t>
            </w:r>
            <w:r>
              <w:rPr>
                <w:color w:val="auto"/>
                <w:spacing w:val="-2"/>
                <w:highlight w:val="none"/>
              </w:rPr>
              <w:t>没有</w:t>
            </w:r>
            <w:r>
              <w:rPr>
                <w:color w:val="auto"/>
                <w:spacing w:val="-1"/>
                <w:highlight w:val="none"/>
              </w:rPr>
              <w:t>施工员在现场管理的</w:t>
            </w:r>
          </w:p>
        </w:tc>
        <w:tc>
          <w:tcPr>
            <w:tcW w:w="1799" w:type="dxa"/>
            <w:vAlign w:val="top"/>
          </w:tcPr>
          <w:p w14:paraId="7FBFC97B">
            <w:pPr>
              <w:pStyle w:val="17"/>
              <w:spacing w:before="285" w:line="220" w:lineRule="auto"/>
              <w:ind w:left="410"/>
              <w:rPr>
                <w:color w:val="auto"/>
                <w:highlight w:val="none"/>
              </w:rPr>
            </w:pPr>
            <w:r>
              <w:rPr>
                <w:color w:val="auto"/>
                <w:spacing w:val="-3"/>
                <w:highlight w:val="none"/>
              </w:rPr>
              <w:t>2000</w:t>
            </w:r>
            <w:r>
              <w:rPr>
                <w:color w:val="auto"/>
                <w:spacing w:val="-40"/>
                <w:highlight w:val="none"/>
              </w:rPr>
              <w:t xml:space="preserve"> </w:t>
            </w:r>
            <w:r>
              <w:rPr>
                <w:color w:val="auto"/>
                <w:spacing w:val="-3"/>
                <w:highlight w:val="none"/>
              </w:rPr>
              <w:t>元/次</w:t>
            </w:r>
          </w:p>
        </w:tc>
        <w:tc>
          <w:tcPr>
            <w:tcW w:w="1580" w:type="dxa"/>
            <w:vAlign w:val="top"/>
          </w:tcPr>
          <w:p w14:paraId="5439F15A">
            <w:pPr>
              <w:rPr>
                <w:rFonts w:ascii="Arial"/>
                <w:color w:val="auto"/>
                <w:sz w:val="21"/>
                <w:highlight w:val="none"/>
              </w:rPr>
            </w:pPr>
          </w:p>
        </w:tc>
      </w:tr>
      <w:tr w14:paraId="33D8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62" w:type="dxa"/>
            <w:vAlign w:val="top"/>
          </w:tcPr>
          <w:p w14:paraId="73514EC5">
            <w:pPr>
              <w:pStyle w:val="17"/>
              <w:spacing w:before="286"/>
              <w:ind w:left="333"/>
              <w:rPr>
                <w:rFonts w:hint="default" w:eastAsia="宋体"/>
                <w:color w:val="auto"/>
                <w:highlight w:val="none"/>
                <w:lang w:val="en-US" w:eastAsia="zh-CN"/>
              </w:rPr>
            </w:pPr>
            <w:r>
              <w:rPr>
                <w:rFonts w:hint="eastAsia"/>
                <w:color w:val="auto"/>
                <w:spacing w:val="-5"/>
                <w:highlight w:val="none"/>
                <w:lang w:val="en-US" w:eastAsia="zh-CN"/>
              </w:rPr>
              <w:t>23</w:t>
            </w:r>
          </w:p>
        </w:tc>
        <w:tc>
          <w:tcPr>
            <w:tcW w:w="1469" w:type="dxa"/>
            <w:vAlign w:val="top"/>
          </w:tcPr>
          <w:p w14:paraId="6ADF4D3D">
            <w:pPr>
              <w:pStyle w:val="17"/>
              <w:spacing w:before="287" w:line="239" w:lineRule="auto"/>
              <w:ind w:left="473"/>
              <w:rPr>
                <w:color w:val="auto"/>
                <w:highlight w:val="none"/>
              </w:rPr>
            </w:pPr>
            <w:r>
              <w:rPr>
                <w:color w:val="auto"/>
                <w:spacing w:val="-2"/>
                <w:highlight w:val="none"/>
              </w:rPr>
              <w:t>4.6.7</w:t>
            </w:r>
          </w:p>
        </w:tc>
        <w:tc>
          <w:tcPr>
            <w:tcW w:w="3762" w:type="dxa"/>
            <w:vAlign w:val="top"/>
          </w:tcPr>
          <w:p w14:paraId="17B66EC7">
            <w:pPr>
              <w:pStyle w:val="17"/>
              <w:spacing w:before="106" w:line="268" w:lineRule="auto"/>
              <w:ind w:left="113" w:right="102" w:hanging="3"/>
              <w:rPr>
                <w:color w:val="auto"/>
                <w:highlight w:val="none"/>
              </w:rPr>
            </w:pPr>
            <w:r>
              <w:rPr>
                <w:color w:val="auto"/>
                <w:spacing w:val="2"/>
                <w:highlight w:val="none"/>
              </w:rPr>
              <w:t>超过</w:t>
            </w:r>
            <w:r>
              <w:rPr>
                <w:color w:val="auto"/>
                <w:spacing w:val="-29"/>
                <w:highlight w:val="none"/>
              </w:rPr>
              <w:t xml:space="preserve"> </w:t>
            </w:r>
            <w:r>
              <w:rPr>
                <w:color w:val="auto"/>
                <w:spacing w:val="2"/>
                <w:highlight w:val="none"/>
              </w:rPr>
              <w:t>24</w:t>
            </w:r>
            <w:r>
              <w:rPr>
                <w:color w:val="auto"/>
                <w:spacing w:val="-33"/>
                <w:highlight w:val="none"/>
              </w:rPr>
              <w:t xml:space="preserve"> </w:t>
            </w:r>
            <w:r>
              <w:rPr>
                <w:color w:val="auto"/>
                <w:spacing w:val="2"/>
                <w:highlight w:val="none"/>
              </w:rPr>
              <w:t>小时没有施工员在场而继续施</w:t>
            </w:r>
            <w:r>
              <w:rPr>
                <w:color w:val="auto"/>
                <w:spacing w:val="-3"/>
                <w:highlight w:val="none"/>
              </w:rPr>
              <w:t>工的</w:t>
            </w:r>
          </w:p>
        </w:tc>
        <w:tc>
          <w:tcPr>
            <w:tcW w:w="1799" w:type="dxa"/>
            <w:vAlign w:val="top"/>
          </w:tcPr>
          <w:p w14:paraId="606708EE">
            <w:pPr>
              <w:pStyle w:val="17"/>
              <w:spacing w:before="286" w:line="220" w:lineRule="auto"/>
              <w:ind w:left="412"/>
              <w:rPr>
                <w:color w:val="auto"/>
                <w:highlight w:val="none"/>
              </w:rPr>
            </w:pPr>
            <w:r>
              <w:rPr>
                <w:color w:val="auto"/>
                <w:spacing w:val="-3"/>
                <w:highlight w:val="none"/>
              </w:rPr>
              <w:t>5000</w:t>
            </w:r>
            <w:r>
              <w:rPr>
                <w:color w:val="auto"/>
                <w:spacing w:val="-42"/>
                <w:highlight w:val="none"/>
              </w:rPr>
              <w:t xml:space="preserve"> </w:t>
            </w:r>
            <w:r>
              <w:rPr>
                <w:color w:val="auto"/>
                <w:spacing w:val="-3"/>
                <w:highlight w:val="none"/>
              </w:rPr>
              <w:t>元/次</w:t>
            </w:r>
          </w:p>
        </w:tc>
        <w:tc>
          <w:tcPr>
            <w:tcW w:w="1580" w:type="dxa"/>
            <w:vAlign w:val="top"/>
          </w:tcPr>
          <w:p w14:paraId="7AEA4EAF">
            <w:pPr>
              <w:rPr>
                <w:rFonts w:ascii="Arial"/>
                <w:color w:val="auto"/>
                <w:sz w:val="21"/>
                <w:highlight w:val="none"/>
              </w:rPr>
            </w:pPr>
          </w:p>
        </w:tc>
      </w:tr>
      <w:tr w14:paraId="1714B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3BE96260">
            <w:pPr>
              <w:pStyle w:val="17"/>
              <w:spacing w:before="287" w:line="241" w:lineRule="auto"/>
              <w:ind w:left="333"/>
              <w:rPr>
                <w:rFonts w:hint="default" w:eastAsia="宋体"/>
                <w:color w:val="auto"/>
                <w:highlight w:val="none"/>
                <w:lang w:val="en-US" w:eastAsia="zh-CN"/>
              </w:rPr>
            </w:pPr>
            <w:r>
              <w:rPr>
                <w:rFonts w:hint="eastAsia"/>
                <w:color w:val="auto"/>
                <w:spacing w:val="-3"/>
                <w:highlight w:val="none"/>
                <w:lang w:val="en-US" w:eastAsia="zh-CN"/>
              </w:rPr>
              <w:t>24</w:t>
            </w:r>
          </w:p>
        </w:tc>
        <w:tc>
          <w:tcPr>
            <w:tcW w:w="1469" w:type="dxa"/>
            <w:vAlign w:val="top"/>
          </w:tcPr>
          <w:p w14:paraId="14F1D69B">
            <w:pPr>
              <w:pStyle w:val="17"/>
              <w:spacing w:before="286" w:line="239" w:lineRule="auto"/>
              <w:ind w:left="579"/>
              <w:rPr>
                <w:color w:val="auto"/>
                <w:highlight w:val="none"/>
              </w:rPr>
            </w:pPr>
            <w:r>
              <w:rPr>
                <w:color w:val="auto"/>
                <w:spacing w:val="-3"/>
                <w:highlight w:val="none"/>
              </w:rPr>
              <w:t>4.9</w:t>
            </w:r>
          </w:p>
        </w:tc>
        <w:tc>
          <w:tcPr>
            <w:tcW w:w="3762" w:type="dxa"/>
            <w:vAlign w:val="top"/>
          </w:tcPr>
          <w:p w14:paraId="49983C98">
            <w:pPr>
              <w:pStyle w:val="17"/>
              <w:spacing w:before="106" w:line="267" w:lineRule="auto"/>
              <w:ind w:left="113" w:right="106" w:hanging="2"/>
              <w:rPr>
                <w:color w:val="auto"/>
                <w:highlight w:val="none"/>
              </w:rPr>
            </w:pPr>
            <w:r>
              <w:rPr>
                <w:color w:val="auto"/>
                <w:spacing w:val="11"/>
                <w:highlight w:val="none"/>
              </w:rPr>
              <w:t>承包人将工程进度款转移或用于其他</w:t>
            </w:r>
            <w:r>
              <w:rPr>
                <w:color w:val="auto"/>
                <w:spacing w:val="-3"/>
                <w:highlight w:val="none"/>
              </w:rPr>
              <w:t>工程的</w:t>
            </w:r>
          </w:p>
        </w:tc>
        <w:tc>
          <w:tcPr>
            <w:tcW w:w="1799" w:type="dxa"/>
            <w:vAlign w:val="top"/>
          </w:tcPr>
          <w:p w14:paraId="660FB05B">
            <w:pPr>
              <w:pStyle w:val="17"/>
              <w:spacing w:before="286" w:line="220" w:lineRule="auto"/>
              <w:ind w:left="476"/>
              <w:rPr>
                <w:color w:val="auto"/>
                <w:highlight w:val="none"/>
              </w:rPr>
            </w:pPr>
            <w:r>
              <w:rPr>
                <w:color w:val="auto"/>
                <w:spacing w:val="-7"/>
                <w:highlight w:val="none"/>
              </w:rPr>
              <w:t>1</w:t>
            </w:r>
            <w:r>
              <w:rPr>
                <w:color w:val="auto"/>
                <w:spacing w:val="-40"/>
                <w:highlight w:val="none"/>
              </w:rPr>
              <w:t xml:space="preserve"> </w:t>
            </w:r>
            <w:r>
              <w:rPr>
                <w:color w:val="auto"/>
                <w:spacing w:val="-7"/>
                <w:highlight w:val="none"/>
              </w:rPr>
              <w:t>万元/次</w:t>
            </w:r>
          </w:p>
        </w:tc>
        <w:tc>
          <w:tcPr>
            <w:tcW w:w="1580" w:type="dxa"/>
            <w:vAlign w:val="top"/>
          </w:tcPr>
          <w:p w14:paraId="50F5F41E">
            <w:pPr>
              <w:rPr>
                <w:rFonts w:ascii="Arial"/>
                <w:color w:val="auto"/>
                <w:sz w:val="21"/>
                <w:highlight w:val="none"/>
              </w:rPr>
            </w:pPr>
          </w:p>
        </w:tc>
      </w:tr>
      <w:tr w14:paraId="1A0A4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5193684D">
            <w:pPr>
              <w:pStyle w:val="17"/>
              <w:spacing w:before="287"/>
              <w:ind w:left="333"/>
              <w:rPr>
                <w:rFonts w:hint="default" w:eastAsia="宋体"/>
                <w:color w:val="auto"/>
                <w:highlight w:val="none"/>
                <w:lang w:val="en-US" w:eastAsia="zh-CN"/>
              </w:rPr>
            </w:pPr>
            <w:r>
              <w:rPr>
                <w:rFonts w:hint="eastAsia"/>
                <w:color w:val="auto"/>
                <w:spacing w:val="-5"/>
                <w:highlight w:val="none"/>
                <w:lang w:val="en-US" w:eastAsia="zh-CN"/>
              </w:rPr>
              <w:t>25</w:t>
            </w:r>
          </w:p>
        </w:tc>
        <w:tc>
          <w:tcPr>
            <w:tcW w:w="1469" w:type="dxa"/>
            <w:vAlign w:val="top"/>
          </w:tcPr>
          <w:p w14:paraId="5C460389">
            <w:pPr>
              <w:pStyle w:val="17"/>
              <w:spacing w:before="287" w:line="232" w:lineRule="auto"/>
              <w:ind w:left="263"/>
              <w:rPr>
                <w:color w:val="auto"/>
                <w:highlight w:val="none"/>
              </w:rPr>
            </w:pPr>
            <w:r>
              <w:rPr>
                <w:color w:val="auto"/>
                <w:spacing w:val="-3"/>
                <w:highlight w:val="none"/>
              </w:rPr>
              <w:t>4.13（3）</w:t>
            </w:r>
          </w:p>
        </w:tc>
        <w:tc>
          <w:tcPr>
            <w:tcW w:w="3762" w:type="dxa"/>
            <w:vAlign w:val="top"/>
          </w:tcPr>
          <w:p w14:paraId="4F83400F">
            <w:pPr>
              <w:pStyle w:val="17"/>
              <w:spacing w:before="106" w:line="267" w:lineRule="auto"/>
              <w:ind w:left="111" w:right="106" w:hanging="1"/>
              <w:rPr>
                <w:color w:val="auto"/>
                <w:highlight w:val="none"/>
              </w:rPr>
            </w:pPr>
            <w:r>
              <w:rPr>
                <w:color w:val="auto"/>
                <w:spacing w:val="11"/>
                <w:highlight w:val="none"/>
              </w:rPr>
              <w:t>拒绝完成发包人对于界面模糊点的工</w:t>
            </w:r>
            <w:r>
              <w:rPr>
                <w:color w:val="auto"/>
                <w:spacing w:val="-2"/>
                <w:highlight w:val="none"/>
              </w:rPr>
              <w:t>作指派的</w:t>
            </w:r>
          </w:p>
        </w:tc>
        <w:tc>
          <w:tcPr>
            <w:tcW w:w="1799" w:type="dxa"/>
            <w:vAlign w:val="top"/>
          </w:tcPr>
          <w:p w14:paraId="4008FC23">
            <w:pPr>
              <w:pStyle w:val="17"/>
              <w:spacing w:before="286" w:line="220" w:lineRule="auto"/>
              <w:ind w:left="465"/>
              <w:rPr>
                <w:color w:val="auto"/>
                <w:highlight w:val="none"/>
              </w:rPr>
            </w:pPr>
            <w:r>
              <w:rPr>
                <w:color w:val="auto"/>
                <w:spacing w:val="-5"/>
                <w:highlight w:val="none"/>
              </w:rPr>
              <w:t>5</w:t>
            </w:r>
            <w:r>
              <w:rPr>
                <w:color w:val="auto"/>
                <w:spacing w:val="-38"/>
                <w:highlight w:val="none"/>
              </w:rPr>
              <w:t xml:space="preserve"> </w:t>
            </w:r>
            <w:r>
              <w:rPr>
                <w:color w:val="auto"/>
                <w:spacing w:val="-5"/>
                <w:highlight w:val="none"/>
              </w:rPr>
              <w:t>万元/次</w:t>
            </w:r>
          </w:p>
        </w:tc>
        <w:tc>
          <w:tcPr>
            <w:tcW w:w="1580" w:type="dxa"/>
            <w:vAlign w:val="top"/>
          </w:tcPr>
          <w:p w14:paraId="190EF762">
            <w:pPr>
              <w:rPr>
                <w:rFonts w:ascii="Arial"/>
                <w:color w:val="auto"/>
                <w:sz w:val="21"/>
                <w:highlight w:val="none"/>
              </w:rPr>
            </w:pPr>
          </w:p>
        </w:tc>
      </w:tr>
      <w:tr w14:paraId="081B5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4" w:hRule="atLeast"/>
        </w:trPr>
        <w:tc>
          <w:tcPr>
            <w:tcW w:w="862" w:type="dxa"/>
            <w:vAlign w:val="top"/>
          </w:tcPr>
          <w:p w14:paraId="2168716B">
            <w:pPr>
              <w:spacing w:line="250" w:lineRule="auto"/>
              <w:rPr>
                <w:rFonts w:ascii="Arial"/>
                <w:color w:val="auto"/>
                <w:sz w:val="21"/>
                <w:highlight w:val="none"/>
              </w:rPr>
            </w:pPr>
          </w:p>
          <w:p w14:paraId="0F4E34AF">
            <w:pPr>
              <w:spacing w:line="251" w:lineRule="auto"/>
              <w:rPr>
                <w:rFonts w:ascii="Arial"/>
                <w:color w:val="auto"/>
                <w:sz w:val="21"/>
                <w:highlight w:val="none"/>
              </w:rPr>
            </w:pPr>
          </w:p>
          <w:p w14:paraId="6242ABFD">
            <w:pPr>
              <w:spacing w:line="251" w:lineRule="auto"/>
              <w:rPr>
                <w:rFonts w:ascii="Arial"/>
                <w:color w:val="auto"/>
                <w:sz w:val="21"/>
                <w:highlight w:val="none"/>
              </w:rPr>
            </w:pPr>
          </w:p>
          <w:p w14:paraId="30B626D2">
            <w:pPr>
              <w:spacing w:line="251" w:lineRule="auto"/>
              <w:rPr>
                <w:rFonts w:ascii="Arial"/>
                <w:color w:val="auto"/>
                <w:sz w:val="21"/>
                <w:highlight w:val="none"/>
              </w:rPr>
            </w:pPr>
          </w:p>
          <w:p w14:paraId="2DEDECB7">
            <w:pPr>
              <w:spacing w:line="251" w:lineRule="auto"/>
              <w:rPr>
                <w:rFonts w:ascii="Arial"/>
                <w:color w:val="auto"/>
                <w:sz w:val="21"/>
                <w:highlight w:val="none"/>
              </w:rPr>
            </w:pPr>
          </w:p>
          <w:p w14:paraId="178F4DCA">
            <w:pPr>
              <w:spacing w:line="251" w:lineRule="auto"/>
              <w:rPr>
                <w:rFonts w:ascii="Arial"/>
                <w:color w:val="auto"/>
                <w:sz w:val="21"/>
                <w:highlight w:val="none"/>
              </w:rPr>
            </w:pPr>
          </w:p>
          <w:p w14:paraId="03A25AB0">
            <w:pPr>
              <w:spacing w:line="251" w:lineRule="auto"/>
              <w:rPr>
                <w:rFonts w:ascii="Arial"/>
                <w:color w:val="auto"/>
                <w:sz w:val="21"/>
                <w:highlight w:val="none"/>
              </w:rPr>
            </w:pPr>
          </w:p>
          <w:p w14:paraId="3998D11E">
            <w:pPr>
              <w:spacing w:line="251" w:lineRule="auto"/>
              <w:rPr>
                <w:rFonts w:ascii="Arial"/>
                <w:color w:val="auto"/>
                <w:sz w:val="21"/>
                <w:highlight w:val="none"/>
              </w:rPr>
            </w:pPr>
          </w:p>
          <w:p w14:paraId="625F2FE5">
            <w:pPr>
              <w:pStyle w:val="17"/>
              <w:spacing w:before="68"/>
              <w:ind w:left="333"/>
              <w:rPr>
                <w:rFonts w:hint="default" w:eastAsia="宋体"/>
                <w:color w:val="auto"/>
                <w:highlight w:val="none"/>
                <w:lang w:val="en-US" w:eastAsia="zh-CN"/>
              </w:rPr>
            </w:pPr>
            <w:r>
              <w:rPr>
                <w:rFonts w:hint="eastAsia"/>
                <w:color w:val="auto"/>
                <w:spacing w:val="-5"/>
                <w:highlight w:val="none"/>
                <w:lang w:val="en-US" w:eastAsia="zh-CN"/>
              </w:rPr>
              <w:t>26</w:t>
            </w:r>
          </w:p>
        </w:tc>
        <w:tc>
          <w:tcPr>
            <w:tcW w:w="1469" w:type="dxa"/>
            <w:vAlign w:val="top"/>
          </w:tcPr>
          <w:p w14:paraId="64DF8DD0">
            <w:pPr>
              <w:spacing w:line="250" w:lineRule="auto"/>
              <w:rPr>
                <w:rFonts w:ascii="Arial"/>
                <w:color w:val="auto"/>
                <w:sz w:val="21"/>
                <w:highlight w:val="none"/>
              </w:rPr>
            </w:pPr>
          </w:p>
          <w:p w14:paraId="162852DC">
            <w:pPr>
              <w:spacing w:line="251" w:lineRule="auto"/>
              <w:rPr>
                <w:rFonts w:ascii="Arial"/>
                <w:color w:val="auto"/>
                <w:sz w:val="21"/>
                <w:highlight w:val="none"/>
              </w:rPr>
            </w:pPr>
          </w:p>
          <w:p w14:paraId="56E5FC7F">
            <w:pPr>
              <w:spacing w:line="251" w:lineRule="auto"/>
              <w:rPr>
                <w:rFonts w:ascii="Arial"/>
                <w:color w:val="auto"/>
                <w:sz w:val="21"/>
                <w:highlight w:val="none"/>
              </w:rPr>
            </w:pPr>
          </w:p>
          <w:p w14:paraId="1D57F6CE">
            <w:pPr>
              <w:spacing w:line="251" w:lineRule="auto"/>
              <w:rPr>
                <w:rFonts w:ascii="Arial"/>
                <w:color w:val="auto"/>
                <w:sz w:val="21"/>
                <w:highlight w:val="none"/>
              </w:rPr>
            </w:pPr>
          </w:p>
          <w:p w14:paraId="04833C60">
            <w:pPr>
              <w:spacing w:line="251" w:lineRule="auto"/>
              <w:rPr>
                <w:rFonts w:ascii="Arial"/>
                <w:color w:val="auto"/>
                <w:sz w:val="21"/>
                <w:highlight w:val="none"/>
              </w:rPr>
            </w:pPr>
          </w:p>
          <w:p w14:paraId="4C611503">
            <w:pPr>
              <w:spacing w:line="251" w:lineRule="auto"/>
              <w:rPr>
                <w:rFonts w:ascii="Arial"/>
                <w:color w:val="auto"/>
                <w:sz w:val="21"/>
                <w:highlight w:val="none"/>
              </w:rPr>
            </w:pPr>
          </w:p>
          <w:p w14:paraId="34337048">
            <w:pPr>
              <w:spacing w:line="251" w:lineRule="auto"/>
              <w:rPr>
                <w:rFonts w:ascii="Arial"/>
                <w:color w:val="auto"/>
                <w:sz w:val="21"/>
                <w:highlight w:val="none"/>
              </w:rPr>
            </w:pPr>
          </w:p>
          <w:p w14:paraId="7421AB3B">
            <w:pPr>
              <w:spacing w:line="251" w:lineRule="auto"/>
              <w:rPr>
                <w:rFonts w:ascii="Arial"/>
                <w:color w:val="auto"/>
                <w:sz w:val="21"/>
                <w:highlight w:val="none"/>
              </w:rPr>
            </w:pPr>
          </w:p>
          <w:p w14:paraId="7081EE19">
            <w:pPr>
              <w:pStyle w:val="17"/>
              <w:spacing w:before="68" w:line="239" w:lineRule="auto"/>
              <w:ind w:left="478"/>
              <w:rPr>
                <w:color w:val="auto"/>
                <w:highlight w:val="none"/>
              </w:rPr>
            </w:pPr>
            <w:r>
              <w:rPr>
                <w:color w:val="auto"/>
                <w:spacing w:val="-3"/>
                <w:highlight w:val="none"/>
              </w:rPr>
              <w:t>5.1.2</w:t>
            </w:r>
          </w:p>
        </w:tc>
        <w:tc>
          <w:tcPr>
            <w:tcW w:w="3762" w:type="dxa"/>
            <w:vAlign w:val="top"/>
          </w:tcPr>
          <w:p w14:paraId="774A5F21">
            <w:pPr>
              <w:spacing w:line="274" w:lineRule="auto"/>
              <w:rPr>
                <w:rFonts w:ascii="Arial"/>
                <w:color w:val="auto"/>
                <w:sz w:val="21"/>
                <w:highlight w:val="none"/>
              </w:rPr>
            </w:pPr>
          </w:p>
          <w:p w14:paraId="3CC46477">
            <w:pPr>
              <w:spacing w:line="275" w:lineRule="auto"/>
              <w:rPr>
                <w:rFonts w:ascii="Arial"/>
                <w:color w:val="auto"/>
                <w:sz w:val="21"/>
                <w:highlight w:val="none"/>
              </w:rPr>
            </w:pPr>
          </w:p>
          <w:p w14:paraId="6F2154FC">
            <w:pPr>
              <w:spacing w:line="275" w:lineRule="auto"/>
              <w:rPr>
                <w:rFonts w:ascii="Arial"/>
                <w:color w:val="auto"/>
                <w:sz w:val="21"/>
                <w:highlight w:val="none"/>
              </w:rPr>
            </w:pPr>
          </w:p>
          <w:p w14:paraId="61FD9C1C">
            <w:pPr>
              <w:spacing w:line="275" w:lineRule="auto"/>
              <w:rPr>
                <w:rFonts w:ascii="Arial"/>
                <w:color w:val="auto"/>
                <w:sz w:val="21"/>
                <w:highlight w:val="none"/>
              </w:rPr>
            </w:pPr>
          </w:p>
          <w:p w14:paraId="4F68D60B">
            <w:pPr>
              <w:spacing w:line="275" w:lineRule="auto"/>
              <w:rPr>
                <w:rFonts w:ascii="Arial"/>
                <w:color w:val="auto"/>
                <w:sz w:val="21"/>
                <w:highlight w:val="none"/>
              </w:rPr>
            </w:pPr>
          </w:p>
          <w:p w14:paraId="5DA7DD68">
            <w:pPr>
              <w:spacing w:line="275" w:lineRule="auto"/>
              <w:rPr>
                <w:rFonts w:ascii="Arial"/>
                <w:color w:val="auto"/>
                <w:sz w:val="21"/>
                <w:highlight w:val="none"/>
              </w:rPr>
            </w:pPr>
          </w:p>
          <w:p w14:paraId="31503E62">
            <w:pPr>
              <w:pStyle w:val="17"/>
              <w:spacing w:before="68" w:line="318" w:lineRule="auto"/>
              <w:ind w:left="111" w:right="103"/>
              <w:jc w:val="both"/>
              <w:rPr>
                <w:color w:val="auto"/>
                <w:highlight w:val="none"/>
              </w:rPr>
            </w:pPr>
            <w:r>
              <w:rPr>
                <w:color w:val="auto"/>
                <w:spacing w:val="-3"/>
                <w:highlight w:val="none"/>
              </w:rPr>
              <w:t>承包人应按照《投标人拟投入的关键设</w:t>
            </w:r>
            <w:r>
              <w:rPr>
                <w:color w:val="auto"/>
                <w:spacing w:val="-2"/>
                <w:highlight w:val="none"/>
              </w:rPr>
              <w:t>备承诺表》中所列的品牌进行采购，不</w:t>
            </w:r>
            <w:r>
              <w:rPr>
                <w:color w:val="auto"/>
                <w:spacing w:val="-5"/>
                <w:highlight w:val="none"/>
              </w:rPr>
              <w:t>得变更设备品牌。</w:t>
            </w:r>
          </w:p>
        </w:tc>
        <w:tc>
          <w:tcPr>
            <w:tcW w:w="1799" w:type="dxa"/>
            <w:vAlign w:val="top"/>
          </w:tcPr>
          <w:p w14:paraId="7C5F5FAC">
            <w:pPr>
              <w:spacing w:line="287" w:lineRule="auto"/>
              <w:rPr>
                <w:rFonts w:ascii="Arial"/>
                <w:color w:val="auto"/>
                <w:sz w:val="21"/>
                <w:highlight w:val="none"/>
              </w:rPr>
            </w:pPr>
          </w:p>
          <w:p w14:paraId="70C11027">
            <w:pPr>
              <w:spacing w:line="288" w:lineRule="auto"/>
              <w:rPr>
                <w:rFonts w:ascii="Arial"/>
                <w:color w:val="auto"/>
                <w:sz w:val="21"/>
                <w:highlight w:val="none"/>
              </w:rPr>
            </w:pPr>
          </w:p>
          <w:p w14:paraId="79F5635E">
            <w:pPr>
              <w:pStyle w:val="17"/>
              <w:spacing w:before="68" w:line="317" w:lineRule="auto"/>
              <w:ind w:left="115" w:right="53" w:firstLine="3"/>
              <w:jc w:val="both"/>
              <w:rPr>
                <w:color w:val="auto"/>
                <w:highlight w:val="none"/>
              </w:rPr>
            </w:pPr>
            <w:r>
              <w:rPr>
                <w:color w:val="auto"/>
                <w:spacing w:val="-15"/>
                <w:highlight w:val="none"/>
              </w:rPr>
              <w:t>未按照《投标人拟</w:t>
            </w:r>
            <w:r>
              <w:rPr>
                <w:color w:val="auto"/>
                <w:spacing w:val="6"/>
                <w:highlight w:val="none"/>
              </w:rPr>
              <w:t>投入的关键设备</w:t>
            </w:r>
            <w:r>
              <w:rPr>
                <w:color w:val="auto"/>
                <w:spacing w:val="-14"/>
                <w:highlight w:val="none"/>
              </w:rPr>
              <w:t>承诺表》中所列设</w:t>
            </w:r>
            <w:r>
              <w:rPr>
                <w:color w:val="auto"/>
                <w:spacing w:val="-7"/>
                <w:highlight w:val="none"/>
              </w:rPr>
              <w:t>备品牌进行采购，</w:t>
            </w:r>
            <w:r>
              <w:rPr>
                <w:color w:val="auto"/>
                <w:spacing w:val="6"/>
                <w:highlight w:val="none"/>
              </w:rPr>
              <w:t>按以下标准向发</w:t>
            </w:r>
            <w:r>
              <w:rPr>
                <w:color w:val="auto"/>
                <w:spacing w:val="-7"/>
                <w:highlight w:val="none"/>
              </w:rPr>
              <w:t>包人提交违约金：</w:t>
            </w:r>
            <w:r>
              <w:rPr>
                <w:color w:val="auto"/>
                <w:spacing w:val="-3"/>
                <w:highlight w:val="none"/>
              </w:rPr>
              <w:t>关键设备</w:t>
            </w:r>
            <w:r>
              <w:rPr>
                <w:color w:val="auto"/>
                <w:spacing w:val="-45"/>
                <w:highlight w:val="none"/>
              </w:rPr>
              <w:t xml:space="preserve"> </w:t>
            </w:r>
            <w:r>
              <w:rPr>
                <w:color w:val="auto"/>
                <w:spacing w:val="-3"/>
                <w:highlight w:val="none"/>
                <w:u w:val="single" w:color="auto"/>
              </w:rPr>
              <w:t>80</w:t>
            </w:r>
            <w:r>
              <w:rPr>
                <w:color w:val="auto"/>
                <w:spacing w:val="-41"/>
                <w:highlight w:val="none"/>
                <w:u w:val="single" w:color="auto"/>
              </w:rPr>
              <w:t xml:space="preserve"> </w:t>
            </w:r>
            <w:r>
              <w:rPr>
                <w:color w:val="auto"/>
                <w:spacing w:val="-3"/>
                <w:highlight w:val="none"/>
                <w:u w:val="single" w:color="auto"/>
              </w:rPr>
              <w:t>万元</w:t>
            </w:r>
            <w:r>
              <w:rPr>
                <w:color w:val="auto"/>
                <w:spacing w:val="-1"/>
                <w:highlight w:val="none"/>
                <w:u w:val="single" w:color="auto"/>
              </w:rPr>
              <w:t>/类，其他主要设</w:t>
            </w:r>
            <w:r>
              <w:rPr>
                <w:color w:val="auto"/>
                <w:spacing w:val="2"/>
                <w:highlight w:val="none"/>
                <w:u w:val="single" w:color="auto"/>
              </w:rPr>
              <w:t>备</w:t>
            </w:r>
            <w:r>
              <w:rPr>
                <w:color w:val="auto"/>
                <w:spacing w:val="-36"/>
                <w:highlight w:val="none"/>
                <w:u w:val="single" w:color="auto"/>
              </w:rPr>
              <w:t xml:space="preserve"> </w:t>
            </w:r>
            <w:r>
              <w:rPr>
                <w:color w:val="auto"/>
                <w:spacing w:val="2"/>
                <w:highlight w:val="none"/>
                <w:u w:val="single" w:color="auto"/>
              </w:rPr>
              <w:t>30</w:t>
            </w:r>
            <w:r>
              <w:rPr>
                <w:color w:val="auto"/>
                <w:spacing w:val="-38"/>
                <w:highlight w:val="none"/>
                <w:u w:val="single" w:color="auto"/>
              </w:rPr>
              <w:t xml:space="preserve"> </w:t>
            </w:r>
            <w:r>
              <w:rPr>
                <w:color w:val="auto"/>
                <w:spacing w:val="2"/>
                <w:highlight w:val="none"/>
                <w:u w:val="single" w:color="auto"/>
              </w:rPr>
              <w:t>万元/类</w:t>
            </w:r>
            <w:r>
              <w:rPr>
                <w:color w:val="auto"/>
                <w:spacing w:val="2"/>
                <w:highlight w:val="none"/>
              </w:rPr>
              <w:t>。</w:t>
            </w:r>
          </w:p>
        </w:tc>
        <w:tc>
          <w:tcPr>
            <w:tcW w:w="1580" w:type="dxa"/>
            <w:vAlign w:val="top"/>
          </w:tcPr>
          <w:p w14:paraId="2EB0E7D9">
            <w:pPr>
              <w:pStyle w:val="17"/>
              <w:spacing w:before="107" w:line="219" w:lineRule="auto"/>
              <w:ind w:left="165"/>
              <w:rPr>
                <w:color w:val="auto"/>
                <w:highlight w:val="none"/>
              </w:rPr>
            </w:pPr>
            <w:r>
              <w:rPr>
                <w:color w:val="auto"/>
                <w:spacing w:val="-2"/>
                <w:highlight w:val="none"/>
              </w:rPr>
              <w:t>本条可适用于</w:t>
            </w:r>
          </w:p>
          <w:p w14:paraId="6A735D61">
            <w:pPr>
              <w:pStyle w:val="17"/>
              <w:spacing w:before="110" w:line="219" w:lineRule="auto"/>
              <w:ind w:left="163"/>
              <w:rPr>
                <w:color w:val="auto"/>
                <w:highlight w:val="none"/>
              </w:rPr>
            </w:pPr>
            <w:r>
              <w:rPr>
                <w:color w:val="auto"/>
                <w:spacing w:val="-2"/>
                <w:highlight w:val="none"/>
              </w:rPr>
              <w:t>机电工程（包</w:t>
            </w:r>
          </w:p>
          <w:p w14:paraId="7A5F1739">
            <w:pPr>
              <w:pStyle w:val="17"/>
              <w:spacing w:before="110" w:line="220" w:lineRule="auto"/>
              <w:ind w:left="116"/>
              <w:rPr>
                <w:color w:val="auto"/>
                <w:highlight w:val="none"/>
              </w:rPr>
            </w:pPr>
            <w:r>
              <w:rPr>
                <w:color w:val="auto"/>
                <w:spacing w:val="-7"/>
                <w:highlight w:val="none"/>
              </w:rPr>
              <w:t>括收费、监控、</w:t>
            </w:r>
          </w:p>
          <w:p w14:paraId="6E981487">
            <w:pPr>
              <w:pStyle w:val="17"/>
              <w:spacing w:before="109" w:line="220" w:lineRule="auto"/>
              <w:ind w:left="164"/>
              <w:rPr>
                <w:color w:val="auto"/>
                <w:highlight w:val="none"/>
              </w:rPr>
            </w:pPr>
            <w:r>
              <w:rPr>
                <w:color w:val="auto"/>
                <w:spacing w:val="-2"/>
                <w:highlight w:val="none"/>
              </w:rPr>
              <w:t>通信三大系统</w:t>
            </w:r>
          </w:p>
          <w:p w14:paraId="5C04FC92">
            <w:pPr>
              <w:pStyle w:val="17"/>
              <w:spacing w:before="110" w:line="220" w:lineRule="auto"/>
              <w:ind w:left="163"/>
              <w:rPr>
                <w:color w:val="auto"/>
                <w:highlight w:val="none"/>
              </w:rPr>
            </w:pPr>
            <w:r>
              <w:rPr>
                <w:color w:val="auto"/>
                <w:spacing w:val="-6"/>
                <w:highlight w:val="none"/>
              </w:rPr>
              <w:t>及通信管道、</w:t>
            </w:r>
          </w:p>
          <w:p w14:paraId="0874C527">
            <w:pPr>
              <w:pStyle w:val="17"/>
              <w:spacing w:before="110" w:line="219" w:lineRule="auto"/>
              <w:ind w:left="175"/>
              <w:rPr>
                <w:color w:val="auto"/>
                <w:highlight w:val="none"/>
              </w:rPr>
            </w:pPr>
            <w:r>
              <w:rPr>
                <w:color w:val="auto"/>
                <w:spacing w:val="-3"/>
                <w:highlight w:val="none"/>
              </w:rPr>
              <w:t>隧道消防和供</w:t>
            </w:r>
          </w:p>
          <w:p w14:paraId="3A17CF94">
            <w:pPr>
              <w:pStyle w:val="17"/>
              <w:spacing w:before="111" w:line="219" w:lineRule="auto"/>
              <w:ind w:left="164"/>
              <w:rPr>
                <w:color w:val="auto"/>
                <w:highlight w:val="none"/>
              </w:rPr>
            </w:pPr>
            <w:r>
              <w:rPr>
                <w:color w:val="auto"/>
                <w:spacing w:val="-2"/>
                <w:highlight w:val="none"/>
              </w:rPr>
              <w:t>配电等）采用</w:t>
            </w:r>
          </w:p>
          <w:p w14:paraId="26EE5B14">
            <w:pPr>
              <w:pStyle w:val="17"/>
              <w:spacing w:before="112" w:line="220" w:lineRule="auto"/>
              <w:ind w:left="167"/>
              <w:rPr>
                <w:color w:val="auto"/>
                <w:highlight w:val="none"/>
              </w:rPr>
            </w:pPr>
            <w:r>
              <w:rPr>
                <w:color w:val="auto"/>
                <w:spacing w:val="-2"/>
                <w:highlight w:val="none"/>
              </w:rPr>
              <w:t>设备选型评分</w:t>
            </w:r>
          </w:p>
          <w:p w14:paraId="73931B6A">
            <w:pPr>
              <w:pStyle w:val="17"/>
              <w:spacing w:before="109" w:line="220" w:lineRule="auto"/>
              <w:ind w:left="181"/>
              <w:rPr>
                <w:color w:val="auto"/>
                <w:highlight w:val="none"/>
              </w:rPr>
            </w:pPr>
            <w:r>
              <w:rPr>
                <w:color w:val="auto"/>
                <w:spacing w:val="-4"/>
                <w:highlight w:val="none"/>
              </w:rPr>
              <w:t>的情形，由招</w:t>
            </w:r>
          </w:p>
          <w:p w14:paraId="3C36EA07">
            <w:pPr>
              <w:pStyle w:val="17"/>
              <w:spacing w:before="110" w:line="220" w:lineRule="auto"/>
              <w:ind w:left="165"/>
              <w:rPr>
                <w:color w:val="auto"/>
                <w:highlight w:val="none"/>
              </w:rPr>
            </w:pPr>
            <w:r>
              <w:rPr>
                <w:color w:val="auto"/>
                <w:spacing w:val="-2"/>
                <w:highlight w:val="none"/>
              </w:rPr>
              <w:t>标人自行选择</w:t>
            </w:r>
          </w:p>
          <w:p w14:paraId="31172DB7">
            <w:pPr>
              <w:pStyle w:val="17"/>
              <w:spacing w:before="109" w:line="220" w:lineRule="auto"/>
              <w:ind w:left="273"/>
              <w:rPr>
                <w:color w:val="auto"/>
                <w:highlight w:val="none"/>
              </w:rPr>
            </w:pPr>
            <w:r>
              <w:rPr>
                <w:color w:val="auto"/>
                <w:spacing w:val="-2"/>
                <w:highlight w:val="none"/>
              </w:rPr>
              <w:t>设置相应内</w:t>
            </w:r>
          </w:p>
          <w:p w14:paraId="4D00BEC0">
            <w:pPr>
              <w:pStyle w:val="17"/>
              <w:spacing w:before="111" w:line="216" w:lineRule="auto"/>
              <w:ind w:left="586"/>
              <w:rPr>
                <w:color w:val="auto"/>
                <w:highlight w:val="none"/>
              </w:rPr>
            </w:pPr>
            <w:r>
              <w:rPr>
                <w:color w:val="auto"/>
                <w:spacing w:val="-11"/>
                <w:highlight w:val="none"/>
              </w:rPr>
              <w:t>容。</w:t>
            </w:r>
          </w:p>
        </w:tc>
      </w:tr>
      <w:tr w14:paraId="3FC47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62" w:type="dxa"/>
            <w:vAlign w:val="center"/>
          </w:tcPr>
          <w:p w14:paraId="33EF0D50">
            <w:pPr>
              <w:pStyle w:val="17"/>
              <w:spacing w:before="68"/>
              <w:jc w:val="center"/>
              <w:rPr>
                <w:rFonts w:hint="default"/>
                <w:color w:val="auto"/>
                <w:spacing w:val="-5"/>
                <w:highlight w:val="none"/>
                <w:lang w:val="en-US" w:eastAsia="zh-CN"/>
              </w:rPr>
            </w:pPr>
            <w:r>
              <w:rPr>
                <w:rFonts w:hint="eastAsia"/>
                <w:color w:val="auto"/>
                <w:spacing w:val="-5"/>
                <w:highlight w:val="none"/>
                <w:lang w:val="en-US" w:eastAsia="zh-CN"/>
              </w:rPr>
              <w:t>27</w:t>
            </w:r>
          </w:p>
        </w:tc>
        <w:tc>
          <w:tcPr>
            <w:tcW w:w="1469" w:type="dxa"/>
            <w:vAlign w:val="center"/>
          </w:tcPr>
          <w:p w14:paraId="45E0E2D5">
            <w:pPr>
              <w:spacing w:line="252" w:lineRule="auto"/>
              <w:jc w:val="center"/>
              <w:rPr>
                <w:rFonts w:ascii="Arial"/>
                <w:strike/>
                <w:dstrike w:val="0"/>
                <w:color w:val="auto"/>
                <w:sz w:val="21"/>
              </w:rPr>
            </w:pPr>
          </w:p>
          <w:p w14:paraId="7AF20E43">
            <w:pPr>
              <w:spacing w:line="252" w:lineRule="auto"/>
              <w:jc w:val="center"/>
              <w:rPr>
                <w:rFonts w:ascii="Arial"/>
                <w:strike/>
                <w:dstrike w:val="0"/>
                <w:color w:val="auto"/>
                <w:sz w:val="21"/>
              </w:rPr>
            </w:pPr>
          </w:p>
          <w:p w14:paraId="27ADD679">
            <w:pPr>
              <w:spacing w:line="252" w:lineRule="auto"/>
              <w:jc w:val="center"/>
              <w:rPr>
                <w:rFonts w:ascii="Arial"/>
                <w:strike/>
                <w:dstrike w:val="0"/>
                <w:color w:val="auto"/>
                <w:sz w:val="21"/>
              </w:rPr>
            </w:pPr>
          </w:p>
          <w:p w14:paraId="46B2811D">
            <w:pPr>
              <w:pStyle w:val="17"/>
              <w:spacing w:before="69" w:line="239" w:lineRule="auto"/>
              <w:ind w:left="374" w:leftChars="0"/>
              <w:jc w:val="center"/>
              <w:rPr>
                <w:color w:val="auto"/>
                <w:spacing w:val="-3"/>
                <w:highlight w:val="none"/>
              </w:rPr>
            </w:pPr>
            <w:r>
              <w:rPr>
                <w:strike/>
                <w:dstrike w:val="0"/>
                <w:color w:val="auto"/>
                <w:spacing w:val="-2"/>
              </w:rPr>
              <w:t>5.1.5.2</w:t>
            </w:r>
          </w:p>
        </w:tc>
        <w:tc>
          <w:tcPr>
            <w:tcW w:w="3762" w:type="dxa"/>
            <w:vAlign w:val="center"/>
          </w:tcPr>
          <w:p w14:paraId="33DDD0C0">
            <w:pPr>
              <w:spacing w:line="397" w:lineRule="auto"/>
              <w:jc w:val="center"/>
              <w:rPr>
                <w:rFonts w:ascii="Arial"/>
                <w:strike/>
                <w:dstrike w:val="0"/>
                <w:color w:val="auto"/>
                <w:sz w:val="21"/>
              </w:rPr>
            </w:pPr>
          </w:p>
          <w:p w14:paraId="460EBD4C">
            <w:pPr>
              <w:pStyle w:val="17"/>
              <w:spacing w:before="69" w:line="318" w:lineRule="auto"/>
              <w:ind w:left="111" w:leftChars="0" w:right="106" w:rightChars="0" w:firstLine="3" w:firstLineChars="0"/>
              <w:jc w:val="center"/>
              <w:rPr>
                <w:color w:val="auto"/>
                <w:spacing w:val="-3"/>
                <w:highlight w:val="none"/>
              </w:rPr>
            </w:pPr>
            <w:r>
              <w:rPr>
                <w:strike/>
                <w:dstrike w:val="0"/>
                <w:color w:val="auto"/>
                <w:spacing w:val="10"/>
              </w:rPr>
              <w:t>未经发包人书面同意擅自与公开招标</w:t>
            </w:r>
            <w:r>
              <w:rPr>
                <w:strike/>
                <w:dstrike w:val="0"/>
                <w:color w:val="auto"/>
                <w:spacing w:val="11"/>
              </w:rPr>
              <w:t>确定的供货人以外的其他供货人采购</w:t>
            </w:r>
            <w:r>
              <w:rPr>
                <w:strike/>
                <w:dstrike w:val="0"/>
                <w:color w:val="auto"/>
                <w:spacing w:val="-4"/>
              </w:rPr>
              <w:t>甲控乙购</w:t>
            </w:r>
            <w:r>
              <w:rPr>
                <w:strike/>
                <w:dstrike w:val="0"/>
                <w:color w:val="auto"/>
                <w:spacing w:val="-33"/>
              </w:rPr>
              <w:t xml:space="preserve"> </w:t>
            </w:r>
            <w:r>
              <w:rPr>
                <w:strike/>
                <w:dstrike w:val="0"/>
                <w:color w:val="auto"/>
                <w:spacing w:val="-4"/>
              </w:rPr>
              <w:t>I</w:t>
            </w:r>
            <w:r>
              <w:rPr>
                <w:strike/>
                <w:dstrike w:val="0"/>
                <w:color w:val="auto"/>
                <w:spacing w:val="-44"/>
              </w:rPr>
              <w:t xml:space="preserve"> </w:t>
            </w:r>
            <w:r>
              <w:rPr>
                <w:strike/>
                <w:dstrike w:val="0"/>
                <w:color w:val="auto"/>
                <w:spacing w:val="-4"/>
              </w:rPr>
              <w:t>类材料的</w:t>
            </w:r>
          </w:p>
        </w:tc>
        <w:tc>
          <w:tcPr>
            <w:tcW w:w="1799" w:type="dxa"/>
            <w:vAlign w:val="center"/>
          </w:tcPr>
          <w:p w14:paraId="7146D40D">
            <w:pPr>
              <w:pStyle w:val="17"/>
              <w:spacing w:before="109" w:line="219" w:lineRule="auto"/>
              <w:ind w:left="173"/>
              <w:jc w:val="center"/>
              <w:rPr>
                <w:strike/>
                <w:dstrike w:val="0"/>
                <w:color w:val="auto"/>
              </w:rPr>
            </w:pPr>
            <w:r>
              <w:rPr>
                <w:strike/>
                <w:dstrike w:val="0"/>
                <w:color w:val="auto"/>
                <w:spacing w:val="-2"/>
              </w:rPr>
              <w:t>按承包人自行采</w:t>
            </w:r>
          </w:p>
          <w:p w14:paraId="3D2C49A8">
            <w:pPr>
              <w:pStyle w:val="17"/>
              <w:spacing w:before="110" w:line="219" w:lineRule="auto"/>
              <w:ind w:left="113"/>
              <w:jc w:val="center"/>
              <w:rPr>
                <w:strike/>
                <w:dstrike w:val="0"/>
                <w:color w:val="auto"/>
                <w:sz w:val="19"/>
                <w:szCs w:val="19"/>
              </w:rPr>
            </w:pPr>
            <w:r>
              <w:rPr>
                <w:strike/>
                <w:dstrike w:val="0"/>
                <w:color w:val="auto"/>
                <w:spacing w:val="-8"/>
              </w:rPr>
              <w:t>购材料金额（</w:t>
            </w:r>
            <w:r>
              <w:rPr>
                <w:strike/>
                <w:dstrike w:val="0"/>
                <w:color w:val="auto"/>
                <w:spacing w:val="-8"/>
                <w:sz w:val="19"/>
                <w:szCs w:val="19"/>
              </w:rPr>
              <w:t>按暂</w:t>
            </w:r>
          </w:p>
          <w:p w14:paraId="63980991">
            <w:pPr>
              <w:pStyle w:val="17"/>
              <w:spacing w:before="110" w:line="219" w:lineRule="auto"/>
              <w:ind w:left="118"/>
              <w:jc w:val="center"/>
              <w:rPr>
                <w:strike/>
                <w:dstrike w:val="0"/>
                <w:color w:val="auto"/>
              </w:rPr>
            </w:pPr>
            <w:r>
              <w:rPr>
                <w:strike/>
                <w:dstrike w:val="0"/>
                <w:color w:val="auto"/>
                <w:spacing w:val="-4"/>
                <w:sz w:val="19"/>
                <w:szCs w:val="19"/>
              </w:rPr>
              <w:t>扣价计，</w:t>
            </w:r>
            <w:r>
              <w:rPr>
                <w:strike/>
                <w:dstrike w:val="0"/>
                <w:color w:val="auto"/>
                <w:spacing w:val="-4"/>
              </w:rPr>
              <w:t>含销售货</w:t>
            </w:r>
          </w:p>
          <w:p w14:paraId="278E85ED">
            <w:pPr>
              <w:pStyle w:val="17"/>
              <w:spacing w:before="110" w:line="220" w:lineRule="auto"/>
              <w:ind w:left="115"/>
              <w:jc w:val="center"/>
              <w:rPr>
                <w:strike/>
                <w:dstrike w:val="0"/>
                <w:color w:val="auto"/>
              </w:rPr>
            </w:pPr>
            <w:r>
              <w:rPr>
                <w:strike/>
                <w:dstrike w:val="0"/>
                <w:color w:val="auto"/>
                <w:spacing w:val="-14"/>
              </w:rPr>
              <w:t>物增值税）的双倍</w:t>
            </w:r>
          </w:p>
          <w:p w14:paraId="76818AA2">
            <w:pPr>
              <w:pStyle w:val="17"/>
              <w:spacing w:before="110" w:line="215" w:lineRule="auto"/>
              <w:ind w:left="385" w:leftChars="0"/>
              <w:jc w:val="center"/>
              <w:rPr>
                <w:color w:val="auto"/>
                <w:spacing w:val="-15"/>
                <w:highlight w:val="none"/>
              </w:rPr>
            </w:pPr>
            <w:r>
              <w:rPr>
                <w:strike/>
                <w:dstrike w:val="0"/>
                <w:color w:val="auto"/>
                <w:spacing w:val="-2"/>
              </w:rPr>
              <w:t>扣除违约金</w:t>
            </w:r>
          </w:p>
        </w:tc>
        <w:tc>
          <w:tcPr>
            <w:tcW w:w="1580" w:type="dxa"/>
            <w:vAlign w:val="top"/>
          </w:tcPr>
          <w:p w14:paraId="67DA0D1B">
            <w:pPr>
              <w:pStyle w:val="17"/>
              <w:spacing w:before="111" w:line="216" w:lineRule="auto"/>
              <w:ind w:left="586"/>
              <w:rPr>
                <w:color w:val="auto"/>
                <w:spacing w:val="-11"/>
                <w:highlight w:val="none"/>
              </w:rPr>
            </w:pPr>
          </w:p>
        </w:tc>
      </w:tr>
      <w:tr w14:paraId="06B05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862" w:type="dxa"/>
            <w:vAlign w:val="center"/>
          </w:tcPr>
          <w:p w14:paraId="419DBFA3">
            <w:pPr>
              <w:pStyle w:val="17"/>
              <w:spacing w:before="68"/>
              <w:jc w:val="center"/>
              <w:rPr>
                <w:rFonts w:hint="default"/>
                <w:color w:val="auto"/>
                <w:spacing w:val="-5"/>
                <w:highlight w:val="none"/>
                <w:lang w:val="en-US" w:eastAsia="zh-CN"/>
              </w:rPr>
            </w:pPr>
            <w:r>
              <w:rPr>
                <w:rFonts w:hint="eastAsia"/>
                <w:color w:val="auto"/>
                <w:spacing w:val="-5"/>
                <w:highlight w:val="none"/>
                <w:lang w:val="en-US" w:eastAsia="zh-CN"/>
              </w:rPr>
              <w:t>28</w:t>
            </w:r>
          </w:p>
        </w:tc>
        <w:tc>
          <w:tcPr>
            <w:tcW w:w="1469" w:type="dxa"/>
            <w:vAlign w:val="center"/>
          </w:tcPr>
          <w:p w14:paraId="7A031ED3">
            <w:pPr>
              <w:spacing w:line="289" w:lineRule="auto"/>
              <w:jc w:val="center"/>
              <w:rPr>
                <w:rFonts w:ascii="Arial"/>
                <w:strike/>
                <w:dstrike w:val="0"/>
                <w:color w:val="auto"/>
                <w:sz w:val="21"/>
              </w:rPr>
            </w:pPr>
          </w:p>
          <w:p w14:paraId="0FE8A3C2">
            <w:pPr>
              <w:spacing w:line="289" w:lineRule="auto"/>
              <w:jc w:val="center"/>
              <w:rPr>
                <w:rFonts w:ascii="Arial"/>
                <w:strike/>
                <w:dstrike w:val="0"/>
                <w:color w:val="auto"/>
                <w:sz w:val="21"/>
              </w:rPr>
            </w:pPr>
          </w:p>
          <w:p w14:paraId="348D6724">
            <w:pPr>
              <w:pStyle w:val="17"/>
              <w:spacing w:before="68" w:line="239" w:lineRule="auto"/>
              <w:ind w:left="374" w:leftChars="0"/>
              <w:jc w:val="center"/>
              <w:rPr>
                <w:color w:val="auto"/>
                <w:spacing w:val="-3"/>
                <w:highlight w:val="none"/>
              </w:rPr>
            </w:pPr>
            <w:r>
              <w:rPr>
                <w:strike/>
                <w:dstrike w:val="0"/>
                <w:color w:val="auto"/>
                <w:spacing w:val="-2"/>
              </w:rPr>
              <w:t>5.1.5.2</w:t>
            </w:r>
          </w:p>
        </w:tc>
        <w:tc>
          <w:tcPr>
            <w:tcW w:w="3762" w:type="dxa"/>
            <w:vAlign w:val="center"/>
          </w:tcPr>
          <w:p w14:paraId="5EB04332">
            <w:pPr>
              <w:spacing w:line="400" w:lineRule="auto"/>
              <w:jc w:val="center"/>
              <w:rPr>
                <w:rFonts w:ascii="Arial"/>
                <w:strike/>
                <w:dstrike w:val="0"/>
                <w:color w:val="auto"/>
                <w:sz w:val="21"/>
              </w:rPr>
            </w:pPr>
          </w:p>
          <w:p w14:paraId="76C375DA">
            <w:pPr>
              <w:pStyle w:val="17"/>
              <w:spacing w:before="68" w:line="318" w:lineRule="auto"/>
              <w:ind w:left="112" w:leftChars="0" w:right="103" w:rightChars="0"/>
              <w:jc w:val="center"/>
              <w:rPr>
                <w:color w:val="auto"/>
                <w:spacing w:val="-3"/>
                <w:highlight w:val="none"/>
              </w:rPr>
            </w:pPr>
            <w:r>
              <w:rPr>
                <w:strike/>
                <w:dstrike w:val="0"/>
                <w:color w:val="auto"/>
                <w:spacing w:val="-2"/>
              </w:rPr>
              <w:t>擅自将统一采购的材料、设备倒卖或使</w:t>
            </w:r>
            <w:r>
              <w:rPr>
                <w:strike/>
                <w:dstrike w:val="0"/>
                <w:color w:val="auto"/>
                <w:spacing w:val="-1"/>
              </w:rPr>
              <w:t>用在与本项目无关的工程中的</w:t>
            </w:r>
          </w:p>
        </w:tc>
        <w:tc>
          <w:tcPr>
            <w:tcW w:w="1799" w:type="dxa"/>
            <w:vAlign w:val="center"/>
          </w:tcPr>
          <w:p w14:paraId="29A5F4CE">
            <w:pPr>
              <w:pStyle w:val="17"/>
              <w:spacing w:before="109" w:line="220" w:lineRule="auto"/>
              <w:ind w:left="117"/>
              <w:jc w:val="center"/>
              <w:rPr>
                <w:strike/>
                <w:dstrike w:val="0"/>
                <w:color w:val="auto"/>
                <w:sz w:val="19"/>
                <w:szCs w:val="19"/>
              </w:rPr>
            </w:pPr>
            <w:r>
              <w:rPr>
                <w:strike/>
                <w:dstrike w:val="0"/>
                <w:color w:val="auto"/>
                <w:spacing w:val="-9"/>
              </w:rPr>
              <w:t>按发生金额（</w:t>
            </w:r>
            <w:r>
              <w:rPr>
                <w:strike/>
                <w:dstrike w:val="0"/>
                <w:color w:val="auto"/>
                <w:spacing w:val="-9"/>
                <w:sz w:val="19"/>
                <w:szCs w:val="19"/>
              </w:rPr>
              <w:t>按暂</w:t>
            </w:r>
          </w:p>
          <w:p w14:paraId="50430A4A">
            <w:pPr>
              <w:pStyle w:val="17"/>
              <w:spacing w:before="110" w:line="219" w:lineRule="auto"/>
              <w:ind w:left="118"/>
              <w:jc w:val="center"/>
              <w:rPr>
                <w:strike/>
                <w:dstrike w:val="0"/>
                <w:color w:val="auto"/>
              </w:rPr>
            </w:pPr>
            <w:r>
              <w:rPr>
                <w:strike/>
                <w:dstrike w:val="0"/>
                <w:color w:val="auto"/>
                <w:spacing w:val="-4"/>
                <w:sz w:val="19"/>
                <w:szCs w:val="19"/>
              </w:rPr>
              <w:t>扣价计，</w:t>
            </w:r>
            <w:r>
              <w:rPr>
                <w:strike/>
                <w:dstrike w:val="0"/>
                <w:color w:val="auto"/>
                <w:spacing w:val="-4"/>
              </w:rPr>
              <w:t>含销售货</w:t>
            </w:r>
          </w:p>
          <w:p w14:paraId="5187E1C5">
            <w:pPr>
              <w:pStyle w:val="17"/>
              <w:spacing w:before="110" w:line="220" w:lineRule="auto"/>
              <w:ind w:left="115"/>
              <w:jc w:val="center"/>
              <w:rPr>
                <w:strike/>
                <w:dstrike w:val="0"/>
                <w:color w:val="auto"/>
              </w:rPr>
            </w:pPr>
            <w:r>
              <w:rPr>
                <w:strike/>
                <w:dstrike w:val="0"/>
                <w:color w:val="auto"/>
                <w:spacing w:val="-14"/>
              </w:rPr>
              <w:t>物增值税）的双倍</w:t>
            </w:r>
          </w:p>
          <w:p w14:paraId="54553ABB">
            <w:pPr>
              <w:pStyle w:val="17"/>
              <w:spacing w:before="110" w:line="214" w:lineRule="auto"/>
              <w:ind w:left="385" w:leftChars="0"/>
              <w:jc w:val="center"/>
              <w:rPr>
                <w:color w:val="auto"/>
                <w:spacing w:val="-15"/>
                <w:highlight w:val="none"/>
              </w:rPr>
            </w:pPr>
            <w:r>
              <w:rPr>
                <w:strike/>
                <w:dstrike w:val="0"/>
                <w:color w:val="auto"/>
                <w:spacing w:val="-2"/>
              </w:rPr>
              <w:t>扣除违约金</w:t>
            </w:r>
          </w:p>
        </w:tc>
        <w:tc>
          <w:tcPr>
            <w:tcW w:w="1580" w:type="dxa"/>
            <w:vAlign w:val="top"/>
          </w:tcPr>
          <w:p w14:paraId="441306BE">
            <w:pPr>
              <w:pStyle w:val="17"/>
              <w:spacing w:before="111" w:line="216" w:lineRule="auto"/>
              <w:ind w:left="586"/>
              <w:rPr>
                <w:color w:val="auto"/>
                <w:spacing w:val="-11"/>
                <w:highlight w:val="none"/>
              </w:rPr>
            </w:pPr>
          </w:p>
        </w:tc>
      </w:tr>
      <w:tr w14:paraId="72E3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62" w:type="dxa"/>
            <w:vAlign w:val="top"/>
          </w:tcPr>
          <w:p w14:paraId="5A59034F">
            <w:pPr>
              <w:spacing w:line="312" w:lineRule="auto"/>
              <w:rPr>
                <w:rFonts w:ascii="Arial"/>
                <w:color w:val="auto"/>
                <w:sz w:val="21"/>
                <w:highlight w:val="none"/>
              </w:rPr>
            </w:pPr>
          </w:p>
          <w:p w14:paraId="7D2B5BFE">
            <w:pPr>
              <w:spacing w:line="312" w:lineRule="auto"/>
              <w:rPr>
                <w:rFonts w:ascii="Arial"/>
                <w:color w:val="auto"/>
                <w:sz w:val="21"/>
                <w:highlight w:val="none"/>
              </w:rPr>
            </w:pPr>
          </w:p>
          <w:p w14:paraId="45D5B964">
            <w:pPr>
              <w:spacing w:line="312" w:lineRule="auto"/>
              <w:rPr>
                <w:rFonts w:ascii="Arial"/>
                <w:color w:val="auto"/>
                <w:sz w:val="21"/>
                <w:highlight w:val="none"/>
              </w:rPr>
            </w:pPr>
          </w:p>
          <w:p w14:paraId="7BD0D1AC">
            <w:pPr>
              <w:pStyle w:val="17"/>
              <w:spacing w:before="68"/>
              <w:ind w:left="333"/>
              <w:rPr>
                <w:rFonts w:hint="default" w:eastAsia="宋体"/>
                <w:color w:val="auto"/>
                <w:highlight w:val="none"/>
                <w:lang w:val="en-US" w:eastAsia="zh-CN"/>
              </w:rPr>
            </w:pPr>
            <w:r>
              <w:rPr>
                <w:rFonts w:hint="eastAsia"/>
                <w:color w:val="auto"/>
                <w:spacing w:val="-5"/>
                <w:highlight w:val="none"/>
                <w:lang w:val="en-US" w:eastAsia="zh-CN"/>
              </w:rPr>
              <w:t>29</w:t>
            </w:r>
          </w:p>
        </w:tc>
        <w:tc>
          <w:tcPr>
            <w:tcW w:w="1469" w:type="dxa"/>
            <w:vAlign w:val="top"/>
          </w:tcPr>
          <w:p w14:paraId="62E4C62F">
            <w:pPr>
              <w:spacing w:line="312" w:lineRule="auto"/>
              <w:rPr>
                <w:rFonts w:ascii="Arial"/>
                <w:color w:val="auto"/>
                <w:sz w:val="21"/>
                <w:highlight w:val="none"/>
              </w:rPr>
            </w:pPr>
          </w:p>
          <w:p w14:paraId="4284090A">
            <w:pPr>
              <w:spacing w:line="312" w:lineRule="auto"/>
              <w:rPr>
                <w:rFonts w:ascii="Arial"/>
                <w:color w:val="auto"/>
                <w:sz w:val="21"/>
                <w:highlight w:val="none"/>
              </w:rPr>
            </w:pPr>
          </w:p>
          <w:p w14:paraId="1FCAD955">
            <w:pPr>
              <w:spacing w:line="312" w:lineRule="auto"/>
              <w:rPr>
                <w:rFonts w:ascii="Arial"/>
                <w:color w:val="auto"/>
                <w:sz w:val="21"/>
                <w:highlight w:val="none"/>
              </w:rPr>
            </w:pPr>
          </w:p>
          <w:p w14:paraId="085DEE91">
            <w:pPr>
              <w:pStyle w:val="17"/>
              <w:spacing w:before="69" w:line="239" w:lineRule="auto"/>
              <w:ind w:left="374"/>
              <w:rPr>
                <w:color w:val="auto"/>
                <w:highlight w:val="none"/>
              </w:rPr>
            </w:pPr>
            <w:r>
              <w:rPr>
                <w:color w:val="auto"/>
                <w:spacing w:val="-2"/>
                <w:highlight w:val="none"/>
              </w:rPr>
              <w:t>5.1.5.3</w:t>
            </w:r>
          </w:p>
        </w:tc>
        <w:tc>
          <w:tcPr>
            <w:tcW w:w="3762" w:type="dxa"/>
            <w:vAlign w:val="top"/>
          </w:tcPr>
          <w:p w14:paraId="39803C48">
            <w:pPr>
              <w:spacing w:line="252" w:lineRule="auto"/>
              <w:rPr>
                <w:rFonts w:ascii="Arial"/>
                <w:color w:val="auto"/>
                <w:sz w:val="21"/>
                <w:highlight w:val="none"/>
              </w:rPr>
            </w:pPr>
          </w:p>
          <w:p w14:paraId="626C6561">
            <w:pPr>
              <w:spacing w:line="252" w:lineRule="auto"/>
              <w:rPr>
                <w:rFonts w:ascii="Arial"/>
                <w:color w:val="auto"/>
                <w:sz w:val="21"/>
                <w:highlight w:val="none"/>
              </w:rPr>
            </w:pPr>
          </w:p>
          <w:p w14:paraId="29AE9C57">
            <w:pPr>
              <w:spacing w:line="253" w:lineRule="auto"/>
              <w:rPr>
                <w:rFonts w:ascii="Arial"/>
                <w:color w:val="auto"/>
                <w:sz w:val="21"/>
                <w:highlight w:val="none"/>
              </w:rPr>
            </w:pPr>
          </w:p>
          <w:p w14:paraId="55A3956B">
            <w:pPr>
              <w:pStyle w:val="17"/>
              <w:spacing w:before="68" w:line="319" w:lineRule="auto"/>
              <w:ind w:left="112" w:right="103" w:firstLine="2"/>
              <w:rPr>
                <w:color w:val="auto"/>
                <w:highlight w:val="none"/>
              </w:rPr>
            </w:pPr>
            <w:r>
              <w:rPr>
                <w:color w:val="auto"/>
                <w:spacing w:val="2"/>
                <w:highlight w:val="none"/>
              </w:rPr>
              <w:t>未经发包人同意擅自使用</w:t>
            </w:r>
            <w:r>
              <w:rPr>
                <w:color w:val="auto"/>
                <w:spacing w:val="-29"/>
                <w:highlight w:val="none"/>
              </w:rPr>
              <w:t xml:space="preserve"> </w:t>
            </w:r>
            <w:r>
              <w:rPr>
                <w:color w:val="auto"/>
                <w:spacing w:val="2"/>
                <w:highlight w:val="none"/>
              </w:rPr>
              <w:t>52.5</w:t>
            </w:r>
            <w:r>
              <w:rPr>
                <w:color w:val="auto"/>
                <w:spacing w:val="-40"/>
                <w:highlight w:val="none"/>
              </w:rPr>
              <w:t xml:space="preserve"> </w:t>
            </w:r>
            <w:r>
              <w:rPr>
                <w:color w:val="auto"/>
                <w:spacing w:val="2"/>
                <w:highlight w:val="none"/>
              </w:rPr>
              <w:t>及以上</w:t>
            </w:r>
            <w:r>
              <w:rPr>
                <w:color w:val="auto"/>
                <w:spacing w:val="-2"/>
                <w:highlight w:val="none"/>
              </w:rPr>
              <w:t>标号水泥的</w:t>
            </w:r>
          </w:p>
        </w:tc>
        <w:tc>
          <w:tcPr>
            <w:tcW w:w="1799" w:type="dxa"/>
            <w:vAlign w:val="top"/>
          </w:tcPr>
          <w:p w14:paraId="5B9EA615">
            <w:pPr>
              <w:pStyle w:val="17"/>
              <w:spacing w:before="111" w:line="300" w:lineRule="auto"/>
              <w:ind w:left="117" w:right="102"/>
              <w:jc w:val="both"/>
              <w:rPr>
                <w:color w:val="auto"/>
                <w:spacing w:val="-14"/>
                <w:highlight w:val="none"/>
              </w:rPr>
            </w:pPr>
            <w:r>
              <w:rPr>
                <w:color w:val="auto"/>
                <w:spacing w:val="-14"/>
                <w:highlight w:val="none"/>
              </w:rPr>
              <w:t>按“擅自使用的水</w:t>
            </w:r>
            <w:r>
              <w:rPr>
                <w:color w:val="auto"/>
                <w:spacing w:val="6"/>
                <w:highlight w:val="none"/>
              </w:rPr>
              <w:t>泥数量×（当期</w:t>
            </w:r>
            <w:r>
              <w:rPr>
                <w:color w:val="auto"/>
                <w:spacing w:val="1"/>
                <w:highlight w:val="none"/>
              </w:rPr>
              <w:t>52.5</w:t>
            </w:r>
            <w:r>
              <w:rPr>
                <w:color w:val="auto"/>
                <w:spacing w:val="-42"/>
                <w:highlight w:val="none"/>
              </w:rPr>
              <w:t xml:space="preserve"> </w:t>
            </w:r>
            <w:r>
              <w:rPr>
                <w:color w:val="auto"/>
                <w:spacing w:val="1"/>
                <w:highlight w:val="none"/>
              </w:rPr>
              <w:t>及以上标号</w:t>
            </w:r>
            <w:r>
              <w:rPr>
                <w:color w:val="auto"/>
                <w:spacing w:val="-1"/>
                <w:highlight w:val="none"/>
              </w:rPr>
              <w:t>水泥单价信息价-</w:t>
            </w:r>
            <w:r>
              <w:rPr>
                <w:color w:val="auto"/>
                <w:spacing w:val="-3"/>
                <w:highlight w:val="none"/>
              </w:rPr>
              <w:t>当期</w:t>
            </w:r>
            <w:r>
              <w:rPr>
                <w:color w:val="auto"/>
                <w:spacing w:val="-40"/>
                <w:highlight w:val="none"/>
              </w:rPr>
              <w:t xml:space="preserve"> </w:t>
            </w:r>
            <w:r>
              <w:rPr>
                <w:color w:val="auto"/>
                <w:spacing w:val="-3"/>
                <w:highlight w:val="none"/>
              </w:rPr>
              <w:t>42.5</w:t>
            </w:r>
            <w:r>
              <w:rPr>
                <w:color w:val="auto"/>
                <w:spacing w:val="-45"/>
                <w:highlight w:val="none"/>
              </w:rPr>
              <w:t xml:space="preserve"> </w:t>
            </w:r>
            <w:r>
              <w:rPr>
                <w:color w:val="auto"/>
                <w:spacing w:val="-3"/>
                <w:highlight w:val="none"/>
              </w:rPr>
              <w:t>标号水</w:t>
            </w:r>
            <w:r>
              <w:rPr>
                <w:color w:val="auto"/>
                <w:spacing w:val="-14"/>
                <w:highlight w:val="none"/>
              </w:rPr>
              <w:t>泥单价信息价）×</w:t>
            </w:r>
          </w:p>
          <w:p w14:paraId="1E5501E3">
            <w:pPr>
              <w:pStyle w:val="17"/>
              <w:spacing w:before="105" w:line="219" w:lineRule="auto"/>
              <w:ind w:left="177"/>
              <w:rPr>
                <w:strike w:val="0"/>
                <w:dstrike w:val="0"/>
                <w:color w:val="auto"/>
                <w:highlight w:val="none"/>
              </w:rPr>
            </w:pPr>
            <w:r>
              <w:rPr>
                <w:strike w:val="0"/>
                <w:dstrike w:val="0"/>
                <w:color w:val="auto"/>
                <w:spacing w:val="-4"/>
                <w:highlight w:val="none"/>
              </w:rPr>
              <w:t>（1+销售货物增</w:t>
            </w:r>
          </w:p>
          <w:p w14:paraId="06769706">
            <w:pPr>
              <w:pStyle w:val="17"/>
              <w:spacing w:before="110" w:line="220" w:lineRule="auto"/>
              <w:ind w:left="115"/>
              <w:rPr>
                <w:strike w:val="0"/>
                <w:dstrike w:val="0"/>
                <w:color w:val="auto"/>
                <w:highlight w:val="none"/>
              </w:rPr>
            </w:pPr>
            <w:r>
              <w:rPr>
                <w:strike w:val="0"/>
                <w:dstrike w:val="0"/>
                <w:color w:val="auto"/>
                <w:spacing w:val="-12"/>
                <w:highlight w:val="none"/>
              </w:rPr>
              <w:t>值税）”扣除违约</w:t>
            </w:r>
          </w:p>
          <w:p w14:paraId="25AE4689">
            <w:pPr>
              <w:pStyle w:val="17"/>
              <w:spacing w:before="110" w:line="218" w:lineRule="auto"/>
              <w:ind w:left="803"/>
              <w:rPr>
                <w:strike/>
                <w:dstrike w:val="0"/>
                <w:color w:val="auto"/>
                <w:highlight w:val="none"/>
              </w:rPr>
            </w:pPr>
            <w:r>
              <w:rPr>
                <w:strike w:val="0"/>
                <w:dstrike w:val="0"/>
                <w:color w:val="auto"/>
                <w:highlight w:val="none"/>
              </w:rPr>
              <w:t>金</w:t>
            </w:r>
          </w:p>
        </w:tc>
        <w:tc>
          <w:tcPr>
            <w:tcW w:w="1580" w:type="dxa"/>
            <w:vAlign w:val="top"/>
          </w:tcPr>
          <w:p w14:paraId="4C8FAD39">
            <w:pPr>
              <w:rPr>
                <w:rFonts w:ascii="Arial"/>
                <w:color w:val="auto"/>
                <w:sz w:val="21"/>
                <w:highlight w:val="none"/>
              </w:rPr>
            </w:pPr>
          </w:p>
        </w:tc>
      </w:tr>
      <w:tr w14:paraId="55701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862" w:type="dxa"/>
            <w:vAlign w:val="center"/>
          </w:tcPr>
          <w:p w14:paraId="7220B7E8">
            <w:pPr>
              <w:pStyle w:val="17"/>
              <w:spacing w:before="68"/>
              <w:ind w:left="333"/>
              <w:jc w:val="center"/>
              <w:rPr>
                <w:rFonts w:hint="default"/>
                <w:color w:val="auto"/>
                <w:spacing w:val="-5"/>
                <w:highlight w:val="none"/>
                <w:lang w:val="en-US" w:eastAsia="zh-CN"/>
              </w:rPr>
            </w:pPr>
            <w:r>
              <w:rPr>
                <w:rFonts w:hint="eastAsia"/>
                <w:color w:val="auto"/>
                <w:spacing w:val="-5"/>
                <w:highlight w:val="none"/>
                <w:lang w:val="en-US" w:eastAsia="zh-CN"/>
              </w:rPr>
              <w:t>30</w:t>
            </w:r>
          </w:p>
        </w:tc>
        <w:tc>
          <w:tcPr>
            <w:tcW w:w="1469" w:type="dxa"/>
            <w:vAlign w:val="center"/>
          </w:tcPr>
          <w:p w14:paraId="0E7DB158">
            <w:pPr>
              <w:spacing w:line="395" w:lineRule="auto"/>
              <w:jc w:val="center"/>
              <w:rPr>
                <w:rFonts w:ascii="Arial"/>
                <w:strike/>
                <w:dstrike w:val="0"/>
                <w:color w:val="auto"/>
                <w:sz w:val="21"/>
              </w:rPr>
            </w:pPr>
          </w:p>
          <w:p w14:paraId="3027701A">
            <w:pPr>
              <w:pStyle w:val="17"/>
              <w:spacing w:before="69" w:line="232" w:lineRule="auto"/>
              <w:ind w:left="217" w:leftChars="0"/>
              <w:jc w:val="center"/>
              <w:rPr>
                <w:color w:val="auto"/>
                <w:spacing w:val="-2"/>
                <w:highlight w:val="none"/>
              </w:rPr>
            </w:pPr>
            <w:r>
              <w:rPr>
                <w:strike/>
                <w:dstrike w:val="0"/>
                <w:color w:val="auto"/>
                <w:spacing w:val="-2"/>
              </w:rPr>
              <w:t>5.1.6（2）</w:t>
            </w:r>
          </w:p>
        </w:tc>
        <w:tc>
          <w:tcPr>
            <w:tcW w:w="3762" w:type="dxa"/>
            <w:vAlign w:val="center"/>
          </w:tcPr>
          <w:p w14:paraId="0F2729A5">
            <w:pPr>
              <w:pStyle w:val="17"/>
              <w:spacing w:before="106" w:line="284" w:lineRule="auto"/>
              <w:ind w:left="112" w:leftChars="0" w:right="103" w:rightChars="0" w:hanging="2" w:firstLineChars="0"/>
              <w:jc w:val="center"/>
              <w:rPr>
                <w:color w:val="auto"/>
                <w:spacing w:val="2"/>
                <w:highlight w:val="none"/>
              </w:rPr>
            </w:pPr>
            <w:r>
              <w:rPr>
                <w:strike/>
                <w:dstrike w:val="0"/>
                <w:color w:val="auto"/>
                <w:spacing w:val="2"/>
              </w:rPr>
              <w:t>逾期支付甲控乙购</w:t>
            </w:r>
            <w:r>
              <w:rPr>
                <w:strike/>
                <w:dstrike w:val="0"/>
                <w:color w:val="auto"/>
                <w:spacing w:val="-19"/>
              </w:rPr>
              <w:t xml:space="preserve"> </w:t>
            </w:r>
            <w:r>
              <w:rPr>
                <w:strike/>
                <w:dstrike w:val="0"/>
                <w:color w:val="auto"/>
              </w:rPr>
              <w:t>II</w:t>
            </w:r>
            <w:r>
              <w:rPr>
                <w:strike/>
                <w:dstrike w:val="0"/>
                <w:color w:val="auto"/>
                <w:spacing w:val="-39"/>
              </w:rPr>
              <w:t xml:space="preserve"> </w:t>
            </w:r>
            <w:r>
              <w:rPr>
                <w:strike/>
                <w:dstrike w:val="0"/>
                <w:color w:val="auto"/>
                <w:spacing w:val="2"/>
              </w:rPr>
              <w:t>类材料款，或以</w:t>
            </w:r>
            <w:r>
              <w:rPr>
                <w:strike/>
                <w:dstrike w:val="0"/>
                <w:color w:val="auto"/>
                <w:spacing w:val="-2"/>
              </w:rPr>
              <w:t>压低单价、私自扣留或巧设名目等方式</w:t>
            </w:r>
            <w:r>
              <w:rPr>
                <w:strike/>
                <w:dstrike w:val="0"/>
                <w:color w:val="auto"/>
                <w:spacing w:val="-1"/>
              </w:rPr>
              <w:t>收取或变相收取供应商费用的</w:t>
            </w:r>
          </w:p>
        </w:tc>
        <w:tc>
          <w:tcPr>
            <w:tcW w:w="1799" w:type="dxa"/>
            <w:vAlign w:val="center"/>
          </w:tcPr>
          <w:p w14:paraId="78579E90">
            <w:pPr>
              <w:spacing w:line="395" w:lineRule="auto"/>
              <w:jc w:val="center"/>
              <w:rPr>
                <w:rFonts w:ascii="Arial"/>
                <w:strike/>
                <w:dstrike w:val="0"/>
                <w:color w:val="auto"/>
                <w:sz w:val="21"/>
              </w:rPr>
            </w:pPr>
          </w:p>
          <w:p w14:paraId="300A47DF">
            <w:pPr>
              <w:pStyle w:val="17"/>
              <w:spacing w:before="68" w:line="220" w:lineRule="auto"/>
              <w:ind w:left="476" w:leftChars="0"/>
              <w:jc w:val="center"/>
              <w:rPr>
                <w:strike w:val="0"/>
                <w:dstrike w:val="0"/>
                <w:color w:val="auto"/>
                <w:highlight w:val="none"/>
              </w:rPr>
            </w:pPr>
            <w:r>
              <w:rPr>
                <w:strike/>
                <w:dstrike w:val="0"/>
                <w:color w:val="auto"/>
                <w:spacing w:val="-7"/>
              </w:rPr>
              <w:t>1</w:t>
            </w:r>
            <w:r>
              <w:rPr>
                <w:strike/>
                <w:dstrike w:val="0"/>
                <w:color w:val="auto"/>
                <w:spacing w:val="-40"/>
              </w:rPr>
              <w:t xml:space="preserve"> </w:t>
            </w:r>
            <w:r>
              <w:rPr>
                <w:strike/>
                <w:dstrike w:val="0"/>
                <w:color w:val="auto"/>
                <w:spacing w:val="-7"/>
              </w:rPr>
              <w:t>万元/次</w:t>
            </w:r>
          </w:p>
        </w:tc>
        <w:tc>
          <w:tcPr>
            <w:tcW w:w="1580" w:type="dxa"/>
            <w:vAlign w:val="center"/>
          </w:tcPr>
          <w:p w14:paraId="3B2BE186">
            <w:pPr>
              <w:jc w:val="center"/>
              <w:rPr>
                <w:rFonts w:ascii="Arial"/>
                <w:color w:val="auto"/>
                <w:sz w:val="21"/>
                <w:highlight w:val="none"/>
              </w:rPr>
            </w:pPr>
          </w:p>
        </w:tc>
      </w:tr>
      <w:tr w14:paraId="7C20D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62" w:type="dxa"/>
            <w:vAlign w:val="center"/>
          </w:tcPr>
          <w:p w14:paraId="606097E2">
            <w:pPr>
              <w:spacing w:line="395" w:lineRule="auto"/>
              <w:jc w:val="center"/>
              <w:rPr>
                <w:rFonts w:ascii="Arial"/>
                <w:strike/>
                <w:dstrike w:val="0"/>
                <w:color w:val="auto"/>
                <w:sz w:val="21"/>
              </w:rPr>
            </w:pPr>
          </w:p>
          <w:p w14:paraId="37956889">
            <w:pPr>
              <w:pStyle w:val="17"/>
              <w:spacing w:before="68"/>
              <w:ind w:left="334" w:leftChars="0"/>
              <w:jc w:val="center"/>
              <w:rPr>
                <w:rFonts w:hint="eastAsia"/>
                <w:color w:val="auto"/>
                <w:spacing w:val="-5"/>
                <w:highlight w:val="none"/>
                <w:lang w:val="en-US" w:eastAsia="zh-CN"/>
              </w:rPr>
            </w:pPr>
            <w:r>
              <w:rPr>
                <w:strike/>
                <w:dstrike w:val="0"/>
                <w:color w:val="auto"/>
                <w:spacing w:val="-3"/>
              </w:rPr>
              <w:t>31</w:t>
            </w:r>
          </w:p>
        </w:tc>
        <w:tc>
          <w:tcPr>
            <w:tcW w:w="1469" w:type="dxa"/>
            <w:vAlign w:val="center"/>
          </w:tcPr>
          <w:p w14:paraId="158868CF">
            <w:pPr>
              <w:spacing w:line="395" w:lineRule="auto"/>
              <w:jc w:val="center"/>
              <w:rPr>
                <w:rFonts w:ascii="Arial"/>
                <w:strike/>
                <w:dstrike w:val="0"/>
                <w:color w:val="auto"/>
                <w:sz w:val="21"/>
              </w:rPr>
            </w:pPr>
          </w:p>
          <w:p w14:paraId="5C56DF63">
            <w:pPr>
              <w:pStyle w:val="17"/>
              <w:spacing w:before="68" w:line="232" w:lineRule="auto"/>
              <w:ind w:left="216" w:leftChars="0"/>
              <w:jc w:val="center"/>
              <w:rPr>
                <w:strike/>
                <w:dstrike w:val="0"/>
                <w:color w:val="auto"/>
                <w:spacing w:val="-2"/>
              </w:rPr>
            </w:pPr>
            <w:r>
              <w:rPr>
                <w:strike/>
                <w:dstrike w:val="0"/>
                <w:color w:val="auto"/>
                <w:spacing w:val="-2"/>
              </w:rPr>
              <w:t>5.1.6（3）</w:t>
            </w:r>
          </w:p>
        </w:tc>
        <w:tc>
          <w:tcPr>
            <w:tcW w:w="3762" w:type="dxa"/>
            <w:vAlign w:val="center"/>
          </w:tcPr>
          <w:p w14:paraId="3733BC36">
            <w:pPr>
              <w:pStyle w:val="17"/>
              <w:spacing w:before="285" w:line="319" w:lineRule="auto"/>
              <w:ind w:left="110" w:leftChars="0" w:right="104" w:rightChars="0" w:firstLine="4" w:firstLineChars="0"/>
              <w:jc w:val="center"/>
              <w:rPr>
                <w:strike/>
                <w:dstrike w:val="0"/>
                <w:color w:val="auto"/>
                <w:spacing w:val="2"/>
              </w:rPr>
            </w:pPr>
            <w:r>
              <w:rPr>
                <w:strike/>
                <w:dstrike w:val="0"/>
                <w:color w:val="auto"/>
                <w:spacing w:val="2"/>
              </w:rPr>
              <w:t>不服从发包人对于甲控乙购</w:t>
            </w:r>
            <w:r>
              <w:rPr>
                <w:strike/>
                <w:dstrike w:val="0"/>
                <w:color w:val="auto"/>
                <w:spacing w:val="-24"/>
              </w:rPr>
              <w:t xml:space="preserve"> </w:t>
            </w:r>
            <w:r>
              <w:rPr>
                <w:strike/>
                <w:dstrike w:val="0"/>
                <w:color w:val="auto"/>
              </w:rPr>
              <w:t>II</w:t>
            </w:r>
            <w:r>
              <w:rPr>
                <w:strike/>
                <w:dstrike w:val="0"/>
                <w:color w:val="auto"/>
                <w:spacing w:val="-41"/>
              </w:rPr>
              <w:t xml:space="preserve"> </w:t>
            </w:r>
            <w:r>
              <w:rPr>
                <w:strike/>
                <w:dstrike w:val="0"/>
                <w:color w:val="auto"/>
                <w:spacing w:val="2"/>
              </w:rPr>
              <w:t>类材料</w:t>
            </w:r>
            <w:r>
              <w:rPr>
                <w:strike/>
                <w:dstrike w:val="0"/>
                <w:color w:val="auto"/>
                <w:spacing w:val="-2"/>
              </w:rPr>
              <w:t>选定的管理的</w:t>
            </w:r>
          </w:p>
        </w:tc>
        <w:tc>
          <w:tcPr>
            <w:tcW w:w="1799" w:type="dxa"/>
            <w:vAlign w:val="center"/>
          </w:tcPr>
          <w:p w14:paraId="401F7C2C">
            <w:pPr>
              <w:pStyle w:val="17"/>
              <w:spacing w:before="106" w:line="220" w:lineRule="auto"/>
              <w:ind w:left="149"/>
              <w:jc w:val="center"/>
              <w:rPr>
                <w:strike/>
                <w:dstrike w:val="0"/>
                <w:color w:val="auto"/>
              </w:rPr>
            </w:pPr>
            <w:r>
              <w:rPr>
                <w:strike/>
                <w:dstrike w:val="0"/>
                <w:color w:val="auto"/>
                <w:spacing w:val="-3"/>
              </w:rPr>
              <w:t>5</w:t>
            </w:r>
            <w:r>
              <w:rPr>
                <w:strike/>
                <w:dstrike w:val="0"/>
                <w:color w:val="auto"/>
                <w:spacing w:val="-40"/>
              </w:rPr>
              <w:t xml:space="preserve"> </w:t>
            </w:r>
            <w:r>
              <w:rPr>
                <w:strike/>
                <w:dstrike w:val="0"/>
                <w:color w:val="auto"/>
                <w:spacing w:val="-3"/>
              </w:rPr>
              <w:t>万元/次，情节</w:t>
            </w:r>
          </w:p>
          <w:p w14:paraId="2345A006">
            <w:pPr>
              <w:pStyle w:val="17"/>
              <w:spacing w:before="109" w:line="220" w:lineRule="auto"/>
              <w:ind w:left="172"/>
              <w:jc w:val="center"/>
              <w:rPr>
                <w:strike/>
                <w:dstrike w:val="0"/>
                <w:color w:val="auto"/>
              </w:rPr>
            </w:pPr>
            <w:r>
              <w:rPr>
                <w:strike/>
                <w:dstrike w:val="0"/>
                <w:color w:val="auto"/>
                <w:spacing w:val="-2"/>
              </w:rPr>
              <w:t>严重的没收履约</w:t>
            </w:r>
          </w:p>
          <w:p w14:paraId="65D94038">
            <w:pPr>
              <w:pStyle w:val="17"/>
              <w:spacing w:before="110" w:line="217" w:lineRule="auto"/>
              <w:ind w:left="592" w:leftChars="0"/>
              <w:jc w:val="center"/>
              <w:rPr>
                <w:strike/>
                <w:dstrike w:val="0"/>
                <w:color w:val="auto"/>
                <w:spacing w:val="-7"/>
              </w:rPr>
            </w:pPr>
            <w:r>
              <w:rPr>
                <w:strike/>
                <w:dstrike w:val="0"/>
                <w:color w:val="auto"/>
                <w:spacing w:val="-3"/>
              </w:rPr>
              <w:t>保证金</w:t>
            </w:r>
          </w:p>
        </w:tc>
        <w:tc>
          <w:tcPr>
            <w:tcW w:w="1580" w:type="dxa"/>
            <w:vAlign w:val="center"/>
          </w:tcPr>
          <w:p w14:paraId="521B122E">
            <w:pPr>
              <w:jc w:val="center"/>
              <w:rPr>
                <w:rFonts w:ascii="Arial"/>
                <w:color w:val="auto"/>
                <w:sz w:val="21"/>
                <w:highlight w:val="none"/>
              </w:rPr>
            </w:pPr>
          </w:p>
        </w:tc>
      </w:tr>
      <w:tr w14:paraId="7B4BC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62" w:type="dxa"/>
            <w:vAlign w:val="center"/>
          </w:tcPr>
          <w:p w14:paraId="0A384643">
            <w:pPr>
              <w:pStyle w:val="17"/>
              <w:spacing w:before="286"/>
              <w:ind w:left="334" w:leftChars="0"/>
              <w:jc w:val="center"/>
              <w:rPr>
                <w:strike/>
                <w:dstrike w:val="0"/>
                <w:color w:val="auto"/>
                <w:spacing w:val="-3"/>
              </w:rPr>
            </w:pPr>
            <w:r>
              <w:rPr>
                <w:strike/>
                <w:dstrike w:val="0"/>
                <w:color w:val="auto"/>
                <w:spacing w:val="-3"/>
              </w:rPr>
              <w:t>32</w:t>
            </w:r>
          </w:p>
        </w:tc>
        <w:tc>
          <w:tcPr>
            <w:tcW w:w="1469" w:type="dxa"/>
            <w:vAlign w:val="center"/>
          </w:tcPr>
          <w:p w14:paraId="4E9389E3">
            <w:pPr>
              <w:pStyle w:val="17"/>
              <w:spacing w:before="286" w:line="232" w:lineRule="auto"/>
              <w:ind w:left="216" w:leftChars="0"/>
              <w:jc w:val="center"/>
              <w:rPr>
                <w:strike/>
                <w:dstrike w:val="0"/>
                <w:color w:val="auto"/>
                <w:spacing w:val="-2"/>
              </w:rPr>
            </w:pPr>
            <w:r>
              <w:rPr>
                <w:strike/>
                <w:dstrike w:val="0"/>
                <w:color w:val="auto"/>
                <w:spacing w:val="-2"/>
              </w:rPr>
              <w:t>5.1.6（4）</w:t>
            </w:r>
          </w:p>
        </w:tc>
        <w:tc>
          <w:tcPr>
            <w:tcW w:w="3762" w:type="dxa"/>
            <w:vAlign w:val="center"/>
          </w:tcPr>
          <w:p w14:paraId="21BDB48F">
            <w:pPr>
              <w:pStyle w:val="17"/>
              <w:spacing w:before="106" w:line="267" w:lineRule="auto"/>
              <w:ind w:left="114" w:leftChars="0" w:right="103" w:rightChars="0"/>
              <w:jc w:val="center"/>
              <w:rPr>
                <w:strike/>
                <w:dstrike w:val="0"/>
                <w:color w:val="auto"/>
                <w:spacing w:val="2"/>
              </w:rPr>
            </w:pPr>
            <w:r>
              <w:rPr>
                <w:strike/>
                <w:dstrike w:val="0"/>
                <w:color w:val="auto"/>
                <w:spacing w:val="-2"/>
              </w:rPr>
              <w:t>未在规定的时间内对支座、伸缩缝进行</w:t>
            </w:r>
            <w:r>
              <w:rPr>
                <w:strike/>
                <w:dstrike w:val="0"/>
                <w:color w:val="auto"/>
                <w:spacing w:val="-3"/>
              </w:rPr>
              <w:t>更换的</w:t>
            </w:r>
          </w:p>
        </w:tc>
        <w:tc>
          <w:tcPr>
            <w:tcW w:w="1799" w:type="dxa"/>
            <w:vAlign w:val="center"/>
          </w:tcPr>
          <w:p w14:paraId="6BBB08DC">
            <w:pPr>
              <w:pStyle w:val="17"/>
              <w:spacing w:before="286" w:line="220" w:lineRule="auto"/>
              <w:ind w:left="465" w:leftChars="0"/>
              <w:jc w:val="center"/>
              <w:rPr>
                <w:strike/>
                <w:dstrike w:val="0"/>
                <w:color w:val="auto"/>
                <w:spacing w:val="-3"/>
              </w:rPr>
            </w:pPr>
            <w:r>
              <w:rPr>
                <w:strike/>
                <w:dstrike w:val="0"/>
                <w:color w:val="auto"/>
                <w:spacing w:val="-5"/>
              </w:rPr>
              <w:t>5</w:t>
            </w:r>
            <w:r>
              <w:rPr>
                <w:strike/>
                <w:dstrike w:val="0"/>
                <w:color w:val="auto"/>
                <w:spacing w:val="-38"/>
              </w:rPr>
              <w:t xml:space="preserve"> </w:t>
            </w:r>
            <w:r>
              <w:rPr>
                <w:strike/>
                <w:dstrike w:val="0"/>
                <w:color w:val="auto"/>
                <w:spacing w:val="-5"/>
              </w:rPr>
              <w:t>万元/次</w:t>
            </w:r>
          </w:p>
        </w:tc>
        <w:tc>
          <w:tcPr>
            <w:tcW w:w="1580" w:type="dxa"/>
            <w:vAlign w:val="center"/>
          </w:tcPr>
          <w:p w14:paraId="0450175E">
            <w:pPr>
              <w:jc w:val="center"/>
              <w:rPr>
                <w:rFonts w:ascii="Arial"/>
                <w:color w:val="auto"/>
                <w:sz w:val="21"/>
                <w:highlight w:val="none"/>
              </w:rPr>
            </w:pPr>
          </w:p>
        </w:tc>
      </w:tr>
      <w:tr w14:paraId="63CE2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45C0B870">
            <w:pPr>
              <w:spacing w:line="287" w:lineRule="auto"/>
              <w:rPr>
                <w:rFonts w:ascii="Arial"/>
                <w:color w:val="auto"/>
                <w:sz w:val="21"/>
                <w:highlight w:val="none"/>
              </w:rPr>
            </w:pPr>
          </w:p>
          <w:p w14:paraId="20A5CE54">
            <w:pPr>
              <w:spacing w:line="288" w:lineRule="auto"/>
              <w:rPr>
                <w:rFonts w:ascii="Arial"/>
                <w:color w:val="auto"/>
                <w:sz w:val="21"/>
                <w:highlight w:val="none"/>
              </w:rPr>
            </w:pPr>
          </w:p>
          <w:p w14:paraId="66AEB2D1">
            <w:pPr>
              <w:pStyle w:val="17"/>
              <w:spacing w:before="68"/>
              <w:ind w:left="334"/>
              <w:rPr>
                <w:rFonts w:hint="default" w:eastAsia="宋体"/>
                <w:color w:val="auto"/>
                <w:highlight w:val="none"/>
                <w:lang w:val="en-US" w:eastAsia="zh-CN"/>
              </w:rPr>
            </w:pPr>
            <w:r>
              <w:rPr>
                <w:rFonts w:hint="eastAsia"/>
                <w:color w:val="auto"/>
                <w:spacing w:val="-6"/>
                <w:highlight w:val="none"/>
                <w:lang w:val="en-US" w:eastAsia="zh-CN"/>
              </w:rPr>
              <w:t>33</w:t>
            </w:r>
          </w:p>
        </w:tc>
        <w:tc>
          <w:tcPr>
            <w:tcW w:w="1469" w:type="dxa"/>
            <w:vAlign w:val="top"/>
          </w:tcPr>
          <w:p w14:paraId="413D5A4C">
            <w:pPr>
              <w:spacing w:line="288" w:lineRule="auto"/>
              <w:rPr>
                <w:rFonts w:ascii="Arial"/>
                <w:color w:val="auto"/>
                <w:sz w:val="21"/>
                <w:highlight w:val="none"/>
              </w:rPr>
            </w:pPr>
          </w:p>
          <w:p w14:paraId="4C357D8C">
            <w:pPr>
              <w:spacing w:line="288" w:lineRule="auto"/>
              <w:rPr>
                <w:rFonts w:ascii="Arial"/>
                <w:color w:val="auto"/>
                <w:sz w:val="21"/>
                <w:highlight w:val="none"/>
              </w:rPr>
            </w:pPr>
          </w:p>
          <w:p w14:paraId="7E833795">
            <w:pPr>
              <w:pStyle w:val="17"/>
              <w:spacing w:before="68" w:line="239" w:lineRule="auto"/>
              <w:ind w:left="478"/>
              <w:rPr>
                <w:color w:val="auto"/>
                <w:highlight w:val="none"/>
              </w:rPr>
            </w:pPr>
            <w:r>
              <w:rPr>
                <w:color w:val="auto"/>
                <w:spacing w:val="-3"/>
                <w:highlight w:val="none"/>
              </w:rPr>
              <w:t>5.3.1</w:t>
            </w:r>
          </w:p>
        </w:tc>
        <w:tc>
          <w:tcPr>
            <w:tcW w:w="3762" w:type="dxa"/>
            <w:vAlign w:val="top"/>
          </w:tcPr>
          <w:p w14:paraId="47451A12">
            <w:pPr>
              <w:pStyle w:val="17"/>
              <w:spacing w:before="288" w:line="318" w:lineRule="auto"/>
              <w:ind w:left="110" w:right="103" w:firstLine="4"/>
              <w:jc w:val="both"/>
              <w:rPr>
                <w:color w:val="auto"/>
                <w:highlight w:val="none"/>
              </w:rPr>
            </w:pPr>
            <w:r>
              <w:rPr>
                <w:color w:val="auto"/>
                <w:spacing w:val="-2"/>
                <w:highlight w:val="none"/>
              </w:rPr>
              <w:t>未经监理人同意，承包人将专用于本工程的材料、工程设备、施工设备和临时</w:t>
            </w:r>
            <w:r>
              <w:rPr>
                <w:color w:val="auto"/>
                <w:spacing w:val="-3"/>
                <w:highlight w:val="none"/>
              </w:rPr>
              <w:t>设施运出施工场地或挪作他用。</w:t>
            </w:r>
          </w:p>
        </w:tc>
        <w:tc>
          <w:tcPr>
            <w:tcW w:w="1799" w:type="dxa"/>
            <w:vAlign w:val="top"/>
          </w:tcPr>
          <w:p w14:paraId="03792AA6">
            <w:pPr>
              <w:pStyle w:val="17"/>
              <w:spacing w:before="106" w:line="292" w:lineRule="auto"/>
              <w:ind w:left="170" w:right="134" w:hanging="10"/>
              <w:jc w:val="both"/>
              <w:rPr>
                <w:color w:val="auto"/>
                <w:highlight w:val="none"/>
              </w:rPr>
            </w:pPr>
            <w:r>
              <w:rPr>
                <w:color w:val="auto"/>
                <w:spacing w:val="-5"/>
                <w:highlight w:val="none"/>
              </w:rPr>
              <w:t>1</w:t>
            </w:r>
            <w:r>
              <w:rPr>
                <w:color w:val="auto"/>
                <w:spacing w:val="-38"/>
                <w:highlight w:val="none"/>
              </w:rPr>
              <w:t xml:space="preserve"> </w:t>
            </w:r>
            <w:r>
              <w:rPr>
                <w:color w:val="auto"/>
                <w:spacing w:val="-5"/>
                <w:highlight w:val="none"/>
              </w:rPr>
              <w:t>万元/台，同时处以</w:t>
            </w:r>
            <w:r>
              <w:rPr>
                <w:color w:val="auto"/>
                <w:spacing w:val="-27"/>
                <w:highlight w:val="none"/>
              </w:rPr>
              <w:t xml:space="preserve"> </w:t>
            </w:r>
            <w:r>
              <w:rPr>
                <w:color w:val="auto"/>
                <w:spacing w:val="-5"/>
                <w:highlight w:val="none"/>
              </w:rPr>
              <w:t>1000</w:t>
            </w:r>
            <w:r>
              <w:rPr>
                <w:color w:val="auto"/>
                <w:spacing w:val="-42"/>
                <w:highlight w:val="none"/>
              </w:rPr>
              <w:t xml:space="preserve"> </w:t>
            </w:r>
            <w:r>
              <w:rPr>
                <w:color w:val="auto"/>
                <w:spacing w:val="-5"/>
                <w:highlight w:val="none"/>
              </w:rPr>
              <w:t>元/天</w:t>
            </w:r>
            <w:r>
              <w:rPr>
                <w:color w:val="auto"/>
                <w:spacing w:val="-2"/>
                <w:highlight w:val="none"/>
              </w:rPr>
              <w:t>的违约金直至承</w:t>
            </w:r>
            <w:r>
              <w:rPr>
                <w:color w:val="auto"/>
                <w:spacing w:val="-5"/>
                <w:highlight w:val="none"/>
              </w:rPr>
              <w:t>包人纠正为止。</w:t>
            </w:r>
          </w:p>
        </w:tc>
        <w:tc>
          <w:tcPr>
            <w:tcW w:w="1580" w:type="dxa"/>
            <w:vAlign w:val="top"/>
          </w:tcPr>
          <w:p w14:paraId="2B3BFF99">
            <w:pPr>
              <w:rPr>
                <w:rFonts w:ascii="Arial"/>
                <w:color w:val="auto"/>
                <w:sz w:val="21"/>
                <w:highlight w:val="none"/>
              </w:rPr>
            </w:pPr>
          </w:p>
        </w:tc>
      </w:tr>
      <w:tr w14:paraId="300E5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center"/>
          </w:tcPr>
          <w:p w14:paraId="5FBBF8DB">
            <w:pPr>
              <w:pStyle w:val="17"/>
              <w:spacing w:before="68"/>
              <w:jc w:val="center"/>
              <w:rPr>
                <w:rFonts w:hint="default"/>
                <w:color w:val="auto"/>
                <w:spacing w:val="-6"/>
                <w:highlight w:val="none"/>
                <w:lang w:val="en-US" w:eastAsia="zh-CN"/>
              </w:rPr>
            </w:pPr>
            <w:r>
              <w:rPr>
                <w:color w:val="auto"/>
                <w:spacing w:val="-3"/>
              </w:rPr>
              <w:t>34</w:t>
            </w:r>
          </w:p>
        </w:tc>
        <w:tc>
          <w:tcPr>
            <w:tcW w:w="1469" w:type="dxa"/>
            <w:vAlign w:val="center"/>
          </w:tcPr>
          <w:p w14:paraId="4567F5B3">
            <w:pPr>
              <w:pStyle w:val="17"/>
              <w:spacing w:before="69" w:line="239" w:lineRule="auto"/>
              <w:jc w:val="center"/>
              <w:rPr>
                <w:color w:val="auto"/>
                <w:spacing w:val="-3"/>
                <w:highlight w:val="none"/>
              </w:rPr>
            </w:pPr>
            <w:r>
              <w:rPr>
                <w:color w:val="auto"/>
                <w:spacing w:val="-2"/>
              </w:rPr>
              <w:t>5.6.11</w:t>
            </w:r>
          </w:p>
        </w:tc>
        <w:tc>
          <w:tcPr>
            <w:tcW w:w="3762" w:type="dxa"/>
            <w:vAlign w:val="center"/>
          </w:tcPr>
          <w:p w14:paraId="13F5EA54">
            <w:pPr>
              <w:pStyle w:val="17"/>
              <w:spacing w:before="288" w:line="320" w:lineRule="auto"/>
              <w:ind w:left="128" w:leftChars="0" w:right="103" w:rightChars="0" w:hanging="18" w:firstLineChars="0"/>
              <w:jc w:val="center"/>
              <w:rPr>
                <w:color w:val="auto"/>
                <w:spacing w:val="-2"/>
                <w:highlight w:val="none"/>
              </w:rPr>
            </w:pPr>
            <w:r>
              <w:rPr>
                <w:color w:val="auto"/>
                <w:spacing w:val="-2"/>
              </w:rPr>
              <w:t>对自动采集的试验数据进行修改、造假</w:t>
            </w:r>
            <w:r>
              <w:rPr>
                <w:color w:val="auto"/>
              </w:rPr>
              <w:t>的</w:t>
            </w:r>
          </w:p>
        </w:tc>
        <w:tc>
          <w:tcPr>
            <w:tcW w:w="1799" w:type="dxa"/>
            <w:vAlign w:val="center"/>
          </w:tcPr>
          <w:p w14:paraId="6B9E5CCD">
            <w:pPr>
              <w:pStyle w:val="17"/>
              <w:spacing w:before="108" w:line="220" w:lineRule="auto"/>
              <w:ind w:left="160"/>
              <w:jc w:val="center"/>
              <w:rPr>
                <w:color w:val="auto"/>
              </w:rPr>
            </w:pPr>
            <w:r>
              <w:rPr>
                <w:color w:val="auto"/>
                <w:spacing w:val="-5"/>
              </w:rPr>
              <w:t>1</w:t>
            </w:r>
            <w:r>
              <w:rPr>
                <w:color w:val="auto"/>
                <w:spacing w:val="-36"/>
              </w:rPr>
              <w:t xml:space="preserve"> </w:t>
            </w:r>
            <w:r>
              <w:rPr>
                <w:color w:val="auto"/>
                <w:spacing w:val="-5"/>
              </w:rPr>
              <w:t>万元/次，责任</w:t>
            </w:r>
          </w:p>
          <w:p w14:paraId="4013E99E">
            <w:pPr>
              <w:pStyle w:val="17"/>
              <w:spacing w:before="109" w:line="220" w:lineRule="auto"/>
              <w:ind w:left="117"/>
              <w:jc w:val="center"/>
              <w:rPr>
                <w:color w:val="auto"/>
              </w:rPr>
            </w:pPr>
            <w:r>
              <w:rPr>
                <w:color w:val="auto"/>
                <w:spacing w:val="-13"/>
              </w:rPr>
              <w:t>人第一次通报，第</w:t>
            </w:r>
          </w:p>
          <w:p w14:paraId="3B24C0E6">
            <w:pPr>
              <w:pStyle w:val="17"/>
              <w:spacing w:before="109" w:line="216" w:lineRule="auto"/>
              <w:ind w:left="490" w:leftChars="0"/>
              <w:jc w:val="center"/>
              <w:rPr>
                <w:color w:val="auto"/>
                <w:spacing w:val="-5"/>
                <w:highlight w:val="none"/>
              </w:rPr>
            </w:pPr>
            <w:r>
              <w:rPr>
                <w:color w:val="auto"/>
                <w:spacing w:val="-3"/>
              </w:rPr>
              <w:t>二次清退</w:t>
            </w:r>
          </w:p>
        </w:tc>
        <w:tc>
          <w:tcPr>
            <w:tcW w:w="1580" w:type="dxa"/>
            <w:vAlign w:val="top"/>
          </w:tcPr>
          <w:p w14:paraId="6C38F77B">
            <w:pPr>
              <w:rPr>
                <w:rFonts w:ascii="Arial"/>
                <w:color w:val="auto"/>
                <w:sz w:val="21"/>
                <w:highlight w:val="none"/>
              </w:rPr>
            </w:pPr>
          </w:p>
        </w:tc>
      </w:tr>
      <w:tr w14:paraId="2B6EA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72BDEDDD">
            <w:pPr>
              <w:spacing w:line="288" w:lineRule="auto"/>
              <w:rPr>
                <w:rFonts w:ascii="Arial"/>
                <w:color w:val="auto"/>
                <w:sz w:val="21"/>
                <w:highlight w:val="none"/>
              </w:rPr>
            </w:pPr>
          </w:p>
          <w:p w14:paraId="4DBF398E">
            <w:pPr>
              <w:spacing w:line="289" w:lineRule="auto"/>
              <w:rPr>
                <w:rFonts w:ascii="Arial"/>
                <w:color w:val="auto"/>
                <w:sz w:val="21"/>
                <w:highlight w:val="none"/>
              </w:rPr>
            </w:pPr>
          </w:p>
          <w:p w14:paraId="3847F86E">
            <w:pPr>
              <w:pStyle w:val="17"/>
              <w:spacing w:before="68"/>
              <w:ind w:left="334"/>
              <w:rPr>
                <w:rFonts w:hint="default" w:eastAsia="宋体"/>
                <w:color w:val="auto"/>
                <w:highlight w:val="none"/>
                <w:lang w:val="en-US" w:eastAsia="zh-CN"/>
              </w:rPr>
            </w:pPr>
            <w:r>
              <w:rPr>
                <w:rFonts w:hint="eastAsia"/>
                <w:color w:val="auto"/>
                <w:spacing w:val="-6"/>
                <w:highlight w:val="none"/>
                <w:lang w:val="en-US" w:eastAsia="zh-CN"/>
              </w:rPr>
              <w:t>35</w:t>
            </w:r>
          </w:p>
        </w:tc>
        <w:tc>
          <w:tcPr>
            <w:tcW w:w="1469" w:type="dxa"/>
            <w:vAlign w:val="top"/>
          </w:tcPr>
          <w:p w14:paraId="594E40A8">
            <w:pPr>
              <w:spacing w:line="288" w:lineRule="auto"/>
              <w:rPr>
                <w:rFonts w:ascii="Arial"/>
                <w:color w:val="auto"/>
                <w:sz w:val="21"/>
                <w:highlight w:val="none"/>
              </w:rPr>
            </w:pPr>
          </w:p>
          <w:p w14:paraId="4F8E998C">
            <w:pPr>
              <w:spacing w:line="289" w:lineRule="auto"/>
              <w:rPr>
                <w:rFonts w:ascii="Arial"/>
                <w:color w:val="auto"/>
                <w:sz w:val="21"/>
                <w:highlight w:val="none"/>
              </w:rPr>
            </w:pPr>
          </w:p>
          <w:p w14:paraId="13FDF9B0">
            <w:pPr>
              <w:pStyle w:val="17"/>
              <w:spacing w:before="68" w:line="239" w:lineRule="auto"/>
              <w:ind w:left="476"/>
              <w:rPr>
                <w:color w:val="auto"/>
                <w:highlight w:val="none"/>
              </w:rPr>
            </w:pPr>
            <w:r>
              <w:rPr>
                <w:color w:val="auto"/>
                <w:spacing w:val="-2"/>
                <w:highlight w:val="none"/>
              </w:rPr>
              <w:t>6.1.1</w:t>
            </w:r>
          </w:p>
        </w:tc>
        <w:tc>
          <w:tcPr>
            <w:tcW w:w="3762" w:type="dxa"/>
            <w:vAlign w:val="top"/>
          </w:tcPr>
          <w:p w14:paraId="74CCE324">
            <w:pPr>
              <w:spacing w:line="397" w:lineRule="auto"/>
              <w:rPr>
                <w:rFonts w:ascii="Arial"/>
                <w:color w:val="auto"/>
                <w:sz w:val="21"/>
                <w:highlight w:val="none"/>
              </w:rPr>
            </w:pPr>
          </w:p>
          <w:p w14:paraId="71FF9034">
            <w:pPr>
              <w:pStyle w:val="17"/>
              <w:spacing w:before="68" w:line="319" w:lineRule="auto"/>
              <w:ind w:left="112" w:right="106"/>
              <w:rPr>
                <w:color w:val="auto"/>
                <w:highlight w:val="none"/>
              </w:rPr>
            </w:pPr>
            <w:r>
              <w:rPr>
                <w:color w:val="auto"/>
                <w:spacing w:val="11"/>
                <w:highlight w:val="none"/>
              </w:rPr>
              <w:t>按施工进度计划须到位而未到位的主</w:t>
            </w:r>
            <w:r>
              <w:rPr>
                <w:color w:val="auto"/>
                <w:spacing w:val="-3"/>
                <w:highlight w:val="none"/>
              </w:rPr>
              <w:t>要设备，或擅自改变主要设备型号。</w:t>
            </w:r>
          </w:p>
        </w:tc>
        <w:tc>
          <w:tcPr>
            <w:tcW w:w="1799" w:type="dxa"/>
            <w:vAlign w:val="top"/>
          </w:tcPr>
          <w:p w14:paraId="039D1B3C">
            <w:pPr>
              <w:pStyle w:val="17"/>
              <w:spacing w:before="109" w:line="291" w:lineRule="auto"/>
              <w:ind w:left="170" w:right="134" w:hanging="10"/>
              <w:jc w:val="both"/>
              <w:rPr>
                <w:color w:val="auto"/>
                <w:highlight w:val="none"/>
              </w:rPr>
            </w:pPr>
            <w:r>
              <w:rPr>
                <w:color w:val="auto"/>
                <w:spacing w:val="-5"/>
                <w:highlight w:val="none"/>
              </w:rPr>
              <w:t>1</w:t>
            </w:r>
            <w:r>
              <w:rPr>
                <w:color w:val="auto"/>
                <w:spacing w:val="-38"/>
                <w:highlight w:val="none"/>
              </w:rPr>
              <w:t xml:space="preserve"> </w:t>
            </w:r>
            <w:r>
              <w:rPr>
                <w:color w:val="auto"/>
                <w:spacing w:val="-5"/>
                <w:highlight w:val="none"/>
              </w:rPr>
              <w:t>万元/台，同时处以</w:t>
            </w:r>
            <w:r>
              <w:rPr>
                <w:color w:val="auto"/>
                <w:spacing w:val="-27"/>
                <w:highlight w:val="none"/>
              </w:rPr>
              <w:t xml:space="preserve"> </w:t>
            </w:r>
            <w:r>
              <w:rPr>
                <w:color w:val="auto"/>
                <w:spacing w:val="-5"/>
                <w:highlight w:val="none"/>
              </w:rPr>
              <w:t>1000</w:t>
            </w:r>
            <w:r>
              <w:rPr>
                <w:color w:val="auto"/>
                <w:spacing w:val="-42"/>
                <w:highlight w:val="none"/>
              </w:rPr>
              <w:t xml:space="preserve"> </w:t>
            </w:r>
            <w:r>
              <w:rPr>
                <w:color w:val="auto"/>
                <w:spacing w:val="-5"/>
                <w:highlight w:val="none"/>
              </w:rPr>
              <w:t>元/天</w:t>
            </w:r>
            <w:r>
              <w:rPr>
                <w:color w:val="auto"/>
                <w:spacing w:val="-2"/>
                <w:highlight w:val="none"/>
              </w:rPr>
              <w:t>的违约金直至承</w:t>
            </w:r>
            <w:r>
              <w:rPr>
                <w:color w:val="auto"/>
                <w:spacing w:val="-5"/>
                <w:highlight w:val="none"/>
              </w:rPr>
              <w:t>包人纠正为止。</w:t>
            </w:r>
          </w:p>
        </w:tc>
        <w:tc>
          <w:tcPr>
            <w:tcW w:w="1580" w:type="dxa"/>
            <w:vAlign w:val="top"/>
          </w:tcPr>
          <w:p w14:paraId="31FB2EC4">
            <w:pPr>
              <w:rPr>
                <w:rFonts w:ascii="Arial"/>
                <w:color w:val="auto"/>
                <w:sz w:val="21"/>
                <w:highlight w:val="none"/>
              </w:rPr>
            </w:pPr>
          </w:p>
        </w:tc>
      </w:tr>
      <w:tr w14:paraId="382EA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379A622C">
            <w:pPr>
              <w:spacing w:line="288" w:lineRule="auto"/>
              <w:rPr>
                <w:rFonts w:ascii="Arial"/>
                <w:color w:val="auto"/>
                <w:sz w:val="21"/>
                <w:highlight w:val="none"/>
              </w:rPr>
            </w:pPr>
          </w:p>
          <w:p w14:paraId="6A42C8BA">
            <w:pPr>
              <w:spacing w:line="289" w:lineRule="auto"/>
              <w:rPr>
                <w:rFonts w:ascii="Arial"/>
                <w:color w:val="auto"/>
                <w:sz w:val="21"/>
                <w:highlight w:val="none"/>
              </w:rPr>
            </w:pPr>
          </w:p>
          <w:p w14:paraId="2EC01063">
            <w:pPr>
              <w:pStyle w:val="17"/>
              <w:spacing w:before="69"/>
              <w:ind w:left="334"/>
              <w:rPr>
                <w:rFonts w:hint="default" w:eastAsia="宋体"/>
                <w:color w:val="auto"/>
                <w:highlight w:val="none"/>
                <w:lang w:val="en-US" w:eastAsia="zh-CN"/>
              </w:rPr>
            </w:pPr>
            <w:r>
              <w:rPr>
                <w:rFonts w:hint="eastAsia"/>
                <w:color w:val="auto"/>
                <w:spacing w:val="-3"/>
                <w:highlight w:val="none"/>
                <w:lang w:val="en-US" w:eastAsia="zh-CN"/>
              </w:rPr>
              <w:t>36</w:t>
            </w:r>
          </w:p>
        </w:tc>
        <w:tc>
          <w:tcPr>
            <w:tcW w:w="1469" w:type="dxa"/>
            <w:vAlign w:val="top"/>
          </w:tcPr>
          <w:p w14:paraId="65F0E63A">
            <w:pPr>
              <w:spacing w:line="289" w:lineRule="auto"/>
              <w:rPr>
                <w:rFonts w:ascii="Arial"/>
                <w:color w:val="auto"/>
                <w:sz w:val="21"/>
                <w:highlight w:val="none"/>
              </w:rPr>
            </w:pPr>
          </w:p>
          <w:p w14:paraId="4681E2D5">
            <w:pPr>
              <w:spacing w:line="289" w:lineRule="auto"/>
              <w:rPr>
                <w:rFonts w:ascii="Arial"/>
                <w:color w:val="auto"/>
                <w:sz w:val="21"/>
                <w:highlight w:val="none"/>
              </w:rPr>
            </w:pPr>
          </w:p>
          <w:p w14:paraId="32139884">
            <w:pPr>
              <w:pStyle w:val="17"/>
              <w:spacing w:before="68" w:line="239" w:lineRule="auto"/>
              <w:ind w:left="581"/>
              <w:rPr>
                <w:color w:val="auto"/>
                <w:highlight w:val="none"/>
              </w:rPr>
            </w:pPr>
            <w:r>
              <w:rPr>
                <w:color w:val="auto"/>
                <w:spacing w:val="-4"/>
                <w:highlight w:val="none"/>
              </w:rPr>
              <w:t>6.3</w:t>
            </w:r>
          </w:p>
        </w:tc>
        <w:tc>
          <w:tcPr>
            <w:tcW w:w="3762" w:type="dxa"/>
            <w:vAlign w:val="top"/>
          </w:tcPr>
          <w:p w14:paraId="2ABF4146">
            <w:pPr>
              <w:spacing w:line="399" w:lineRule="auto"/>
              <w:rPr>
                <w:rFonts w:ascii="Arial"/>
                <w:color w:val="auto"/>
                <w:sz w:val="21"/>
                <w:highlight w:val="none"/>
              </w:rPr>
            </w:pPr>
          </w:p>
          <w:p w14:paraId="3AE18565">
            <w:pPr>
              <w:pStyle w:val="17"/>
              <w:spacing w:before="69" w:line="319" w:lineRule="auto"/>
              <w:ind w:left="113" w:right="106" w:hanging="2"/>
              <w:rPr>
                <w:color w:val="auto"/>
                <w:highlight w:val="none"/>
              </w:rPr>
            </w:pPr>
            <w:r>
              <w:rPr>
                <w:color w:val="auto"/>
                <w:spacing w:val="11"/>
                <w:highlight w:val="none"/>
              </w:rPr>
              <w:t>承包人未按监理人要求增加或更换施</w:t>
            </w:r>
            <w:r>
              <w:rPr>
                <w:color w:val="auto"/>
                <w:spacing w:val="-3"/>
                <w:highlight w:val="none"/>
              </w:rPr>
              <w:t>工设备</w:t>
            </w:r>
          </w:p>
        </w:tc>
        <w:tc>
          <w:tcPr>
            <w:tcW w:w="1799" w:type="dxa"/>
            <w:vAlign w:val="top"/>
          </w:tcPr>
          <w:p w14:paraId="25DB58DD">
            <w:pPr>
              <w:pStyle w:val="17"/>
              <w:spacing w:before="110" w:line="291" w:lineRule="auto"/>
              <w:ind w:left="170" w:right="134" w:hanging="10"/>
              <w:jc w:val="both"/>
              <w:rPr>
                <w:color w:val="auto"/>
                <w:highlight w:val="none"/>
              </w:rPr>
            </w:pPr>
            <w:r>
              <w:rPr>
                <w:color w:val="auto"/>
                <w:spacing w:val="-5"/>
                <w:highlight w:val="none"/>
              </w:rPr>
              <w:t>1</w:t>
            </w:r>
            <w:r>
              <w:rPr>
                <w:color w:val="auto"/>
                <w:spacing w:val="-38"/>
                <w:highlight w:val="none"/>
              </w:rPr>
              <w:t xml:space="preserve"> </w:t>
            </w:r>
            <w:r>
              <w:rPr>
                <w:color w:val="auto"/>
                <w:spacing w:val="-5"/>
                <w:highlight w:val="none"/>
              </w:rPr>
              <w:t>万元/台，同时处以</w:t>
            </w:r>
            <w:r>
              <w:rPr>
                <w:color w:val="auto"/>
                <w:spacing w:val="-27"/>
                <w:highlight w:val="none"/>
              </w:rPr>
              <w:t xml:space="preserve"> </w:t>
            </w:r>
            <w:r>
              <w:rPr>
                <w:color w:val="auto"/>
                <w:spacing w:val="-5"/>
                <w:highlight w:val="none"/>
              </w:rPr>
              <w:t>1000</w:t>
            </w:r>
            <w:r>
              <w:rPr>
                <w:color w:val="auto"/>
                <w:spacing w:val="-42"/>
                <w:highlight w:val="none"/>
              </w:rPr>
              <w:t xml:space="preserve"> </w:t>
            </w:r>
            <w:r>
              <w:rPr>
                <w:color w:val="auto"/>
                <w:spacing w:val="-5"/>
                <w:highlight w:val="none"/>
              </w:rPr>
              <w:t>元/天</w:t>
            </w:r>
            <w:r>
              <w:rPr>
                <w:color w:val="auto"/>
                <w:spacing w:val="-2"/>
                <w:highlight w:val="none"/>
              </w:rPr>
              <w:t>的违约金直至承</w:t>
            </w:r>
            <w:r>
              <w:rPr>
                <w:color w:val="auto"/>
                <w:spacing w:val="-5"/>
                <w:highlight w:val="none"/>
              </w:rPr>
              <w:t>包人纠正为止。</w:t>
            </w:r>
          </w:p>
        </w:tc>
        <w:tc>
          <w:tcPr>
            <w:tcW w:w="1580" w:type="dxa"/>
            <w:vAlign w:val="top"/>
          </w:tcPr>
          <w:p w14:paraId="1878E980">
            <w:pPr>
              <w:rPr>
                <w:rFonts w:ascii="Arial"/>
                <w:color w:val="auto"/>
                <w:sz w:val="21"/>
                <w:highlight w:val="none"/>
              </w:rPr>
            </w:pPr>
          </w:p>
        </w:tc>
      </w:tr>
      <w:tr w14:paraId="47B8C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Align w:val="top"/>
          </w:tcPr>
          <w:p w14:paraId="4A7B7735">
            <w:pPr>
              <w:pStyle w:val="17"/>
              <w:spacing w:before="290"/>
              <w:ind w:left="334"/>
              <w:rPr>
                <w:rFonts w:hint="default" w:eastAsia="宋体"/>
                <w:color w:val="auto"/>
                <w:highlight w:val="none"/>
                <w:lang w:val="en-US" w:eastAsia="zh-CN"/>
              </w:rPr>
            </w:pPr>
            <w:r>
              <w:rPr>
                <w:rFonts w:hint="eastAsia"/>
                <w:color w:val="auto"/>
                <w:spacing w:val="-6"/>
                <w:highlight w:val="none"/>
                <w:lang w:val="en-US" w:eastAsia="zh-CN"/>
              </w:rPr>
              <w:t>37</w:t>
            </w:r>
          </w:p>
        </w:tc>
        <w:tc>
          <w:tcPr>
            <w:tcW w:w="1469" w:type="dxa"/>
            <w:vAlign w:val="top"/>
          </w:tcPr>
          <w:p w14:paraId="38F99597">
            <w:pPr>
              <w:pStyle w:val="17"/>
              <w:spacing w:before="290" w:line="239" w:lineRule="auto"/>
              <w:ind w:left="438"/>
              <w:rPr>
                <w:color w:val="auto"/>
                <w:highlight w:val="none"/>
              </w:rPr>
            </w:pPr>
            <w:r>
              <w:rPr>
                <w:color w:val="auto"/>
                <w:spacing w:val="-4"/>
                <w:highlight w:val="none"/>
              </w:rPr>
              <w:t>11.1.1</w:t>
            </w:r>
          </w:p>
        </w:tc>
        <w:tc>
          <w:tcPr>
            <w:tcW w:w="3762" w:type="dxa"/>
            <w:vAlign w:val="top"/>
          </w:tcPr>
          <w:p w14:paraId="0B4E45F7">
            <w:pPr>
              <w:pStyle w:val="17"/>
              <w:spacing w:before="290" w:line="220" w:lineRule="auto"/>
              <w:ind w:left="111"/>
              <w:rPr>
                <w:color w:val="auto"/>
                <w:highlight w:val="none"/>
              </w:rPr>
            </w:pPr>
            <w:r>
              <w:rPr>
                <w:color w:val="auto"/>
                <w:spacing w:val="-1"/>
                <w:highlight w:val="none"/>
              </w:rPr>
              <w:t>承包人未按期开工</w:t>
            </w:r>
          </w:p>
        </w:tc>
        <w:tc>
          <w:tcPr>
            <w:tcW w:w="1799" w:type="dxa"/>
            <w:vAlign w:val="top"/>
          </w:tcPr>
          <w:p w14:paraId="39968F08">
            <w:pPr>
              <w:pStyle w:val="17"/>
              <w:spacing w:before="109" w:line="266" w:lineRule="auto"/>
              <w:ind w:left="172" w:right="160"/>
              <w:rPr>
                <w:color w:val="auto"/>
                <w:highlight w:val="none"/>
              </w:rPr>
            </w:pPr>
            <w:r>
              <w:rPr>
                <w:color w:val="auto"/>
                <w:spacing w:val="-2"/>
                <w:highlight w:val="none"/>
              </w:rPr>
              <w:t>参照工期延误的标准扣除违约金</w:t>
            </w:r>
          </w:p>
        </w:tc>
        <w:tc>
          <w:tcPr>
            <w:tcW w:w="1580" w:type="dxa"/>
            <w:vAlign w:val="top"/>
          </w:tcPr>
          <w:p w14:paraId="7F47582F">
            <w:pPr>
              <w:rPr>
                <w:rFonts w:ascii="Arial"/>
                <w:color w:val="auto"/>
                <w:sz w:val="21"/>
                <w:highlight w:val="none"/>
              </w:rPr>
            </w:pPr>
          </w:p>
        </w:tc>
      </w:tr>
      <w:tr w14:paraId="6157B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70F4D05E">
            <w:pPr>
              <w:spacing w:line="289" w:lineRule="auto"/>
              <w:rPr>
                <w:rFonts w:ascii="Arial"/>
                <w:color w:val="auto"/>
                <w:sz w:val="21"/>
                <w:highlight w:val="none"/>
              </w:rPr>
            </w:pPr>
          </w:p>
          <w:p w14:paraId="206EBAF1">
            <w:pPr>
              <w:spacing w:line="289" w:lineRule="auto"/>
              <w:rPr>
                <w:rFonts w:ascii="Arial"/>
                <w:color w:val="auto"/>
                <w:sz w:val="21"/>
                <w:highlight w:val="none"/>
              </w:rPr>
            </w:pPr>
          </w:p>
          <w:p w14:paraId="3DE8BB96">
            <w:pPr>
              <w:pStyle w:val="17"/>
              <w:spacing w:before="68"/>
              <w:ind w:left="334"/>
              <w:rPr>
                <w:rFonts w:hint="default" w:eastAsia="宋体"/>
                <w:color w:val="auto"/>
                <w:highlight w:val="none"/>
                <w:lang w:val="en-US" w:eastAsia="zh-CN"/>
              </w:rPr>
            </w:pPr>
            <w:r>
              <w:rPr>
                <w:rFonts w:hint="eastAsia"/>
                <w:color w:val="auto"/>
                <w:spacing w:val="-6"/>
                <w:highlight w:val="none"/>
                <w:lang w:val="en-US" w:eastAsia="zh-CN"/>
              </w:rPr>
              <w:t>38</w:t>
            </w:r>
          </w:p>
        </w:tc>
        <w:tc>
          <w:tcPr>
            <w:tcW w:w="1469" w:type="dxa"/>
            <w:vAlign w:val="top"/>
          </w:tcPr>
          <w:p w14:paraId="729FC4DE">
            <w:pPr>
              <w:spacing w:line="289" w:lineRule="auto"/>
              <w:rPr>
                <w:rFonts w:ascii="Arial"/>
                <w:color w:val="auto"/>
                <w:sz w:val="21"/>
                <w:highlight w:val="none"/>
              </w:rPr>
            </w:pPr>
          </w:p>
          <w:p w14:paraId="7B74E7ED">
            <w:pPr>
              <w:spacing w:line="289" w:lineRule="auto"/>
              <w:rPr>
                <w:rFonts w:ascii="Arial"/>
                <w:color w:val="auto"/>
                <w:sz w:val="21"/>
                <w:highlight w:val="none"/>
              </w:rPr>
            </w:pPr>
          </w:p>
          <w:p w14:paraId="3C8B1D0E">
            <w:pPr>
              <w:pStyle w:val="17"/>
              <w:spacing w:before="68" w:line="232" w:lineRule="auto"/>
              <w:ind w:left="279"/>
              <w:rPr>
                <w:color w:val="auto"/>
                <w:highlight w:val="none"/>
              </w:rPr>
            </w:pPr>
            <w:r>
              <w:rPr>
                <w:color w:val="auto"/>
                <w:spacing w:val="-5"/>
                <w:highlight w:val="none"/>
              </w:rPr>
              <w:t>11.5（3）</w:t>
            </w:r>
          </w:p>
        </w:tc>
        <w:tc>
          <w:tcPr>
            <w:tcW w:w="3762" w:type="dxa"/>
            <w:vAlign w:val="top"/>
          </w:tcPr>
          <w:p w14:paraId="352F4E4F">
            <w:pPr>
              <w:spacing w:line="288" w:lineRule="auto"/>
              <w:rPr>
                <w:rFonts w:ascii="Arial"/>
                <w:color w:val="auto"/>
                <w:sz w:val="21"/>
                <w:highlight w:val="none"/>
              </w:rPr>
            </w:pPr>
          </w:p>
          <w:p w14:paraId="1980F2F9">
            <w:pPr>
              <w:spacing w:line="289" w:lineRule="auto"/>
              <w:rPr>
                <w:rFonts w:ascii="Arial"/>
                <w:color w:val="auto"/>
                <w:sz w:val="21"/>
                <w:highlight w:val="none"/>
              </w:rPr>
            </w:pPr>
          </w:p>
          <w:p w14:paraId="20120B07">
            <w:pPr>
              <w:pStyle w:val="17"/>
              <w:spacing w:before="69" w:line="220" w:lineRule="auto"/>
              <w:ind w:left="111"/>
              <w:rPr>
                <w:color w:val="auto"/>
                <w:highlight w:val="none"/>
              </w:rPr>
            </w:pPr>
            <w:r>
              <w:rPr>
                <w:color w:val="auto"/>
                <w:spacing w:val="-1"/>
                <w:highlight w:val="none"/>
              </w:rPr>
              <w:t>承包人的工期延误</w:t>
            </w:r>
          </w:p>
        </w:tc>
        <w:tc>
          <w:tcPr>
            <w:tcW w:w="1799" w:type="dxa"/>
            <w:vAlign w:val="top"/>
          </w:tcPr>
          <w:p w14:paraId="6DA28C7C">
            <w:pPr>
              <w:pStyle w:val="17"/>
              <w:spacing w:before="109" w:line="220" w:lineRule="auto"/>
              <w:ind w:left="173"/>
              <w:rPr>
                <w:color w:val="auto"/>
                <w:highlight w:val="none"/>
              </w:rPr>
            </w:pPr>
            <w:r>
              <w:rPr>
                <w:color w:val="auto"/>
                <w:spacing w:val="-2"/>
                <w:highlight w:val="none"/>
              </w:rPr>
              <w:t>按照项目专用条</w:t>
            </w:r>
          </w:p>
          <w:p w14:paraId="2F42593E">
            <w:pPr>
              <w:pStyle w:val="17"/>
              <w:spacing w:before="109" w:line="220" w:lineRule="auto"/>
              <w:ind w:left="146"/>
              <w:rPr>
                <w:color w:val="auto"/>
                <w:highlight w:val="none"/>
              </w:rPr>
            </w:pPr>
            <w:r>
              <w:rPr>
                <w:color w:val="auto"/>
                <w:spacing w:val="-4"/>
                <w:highlight w:val="none"/>
              </w:rPr>
              <w:t>款数据表第</w:t>
            </w:r>
            <w:r>
              <w:rPr>
                <w:color w:val="auto"/>
                <w:spacing w:val="-27"/>
                <w:highlight w:val="none"/>
              </w:rPr>
              <w:t xml:space="preserve"> </w:t>
            </w:r>
            <w:r>
              <w:rPr>
                <w:color w:val="auto"/>
                <w:spacing w:val="-4"/>
                <w:highlight w:val="none"/>
              </w:rPr>
              <w:t>11.5</w:t>
            </w:r>
          </w:p>
          <w:p w14:paraId="20F674BB">
            <w:pPr>
              <w:pStyle w:val="17"/>
              <w:spacing w:before="110" w:line="220" w:lineRule="auto"/>
              <w:ind w:left="172"/>
              <w:rPr>
                <w:color w:val="auto"/>
                <w:highlight w:val="none"/>
              </w:rPr>
            </w:pPr>
            <w:r>
              <w:rPr>
                <w:color w:val="auto"/>
                <w:spacing w:val="-2"/>
                <w:highlight w:val="none"/>
              </w:rPr>
              <w:t>款规定的标准扣</w:t>
            </w:r>
          </w:p>
          <w:p w14:paraId="3162204D">
            <w:pPr>
              <w:pStyle w:val="17"/>
              <w:spacing w:before="109" w:line="214" w:lineRule="auto"/>
              <w:ind w:left="814"/>
              <w:rPr>
                <w:color w:val="auto"/>
                <w:highlight w:val="none"/>
              </w:rPr>
            </w:pPr>
            <w:r>
              <w:rPr>
                <w:color w:val="auto"/>
                <w:highlight w:val="none"/>
              </w:rPr>
              <w:t>除</w:t>
            </w:r>
          </w:p>
        </w:tc>
        <w:tc>
          <w:tcPr>
            <w:tcW w:w="1580" w:type="dxa"/>
            <w:vAlign w:val="top"/>
          </w:tcPr>
          <w:p w14:paraId="58548E0A">
            <w:pPr>
              <w:rPr>
                <w:rFonts w:ascii="Arial"/>
                <w:color w:val="auto"/>
                <w:sz w:val="21"/>
                <w:highlight w:val="none"/>
              </w:rPr>
            </w:pPr>
          </w:p>
        </w:tc>
      </w:tr>
      <w:tr w14:paraId="2AE95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862" w:type="dxa"/>
            <w:vAlign w:val="top"/>
          </w:tcPr>
          <w:p w14:paraId="520806A5">
            <w:pPr>
              <w:spacing w:line="289" w:lineRule="auto"/>
              <w:rPr>
                <w:rFonts w:ascii="Arial"/>
                <w:color w:val="auto"/>
                <w:sz w:val="21"/>
                <w:highlight w:val="none"/>
              </w:rPr>
            </w:pPr>
          </w:p>
          <w:p w14:paraId="5ADE2C99">
            <w:pPr>
              <w:spacing w:line="289" w:lineRule="auto"/>
              <w:rPr>
                <w:rFonts w:ascii="Arial"/>
                <w:color w:val="auto"/>
                <w:sz w:val="21"/>
                <w:highlight w:val="none"/>
              </w:rPr>
            </w:pPr>
          </w:p>
          <w:p w14:paraId="5516BB26">
            <w:pPr>
              <w:pStyle w:val="17"/>
              <w:spacing w:before="69"/>
              <w:ind w:left="334"/>
              <w:rPr>
                <w:rFonts w:hint="default"/>
                <w:color w:val="auto"/>
                <w:spacing w:val="-6"/>
                <w:highlight w:val="none"/>
                <w:lang w:val="en-US" w:eastAsia="zh-CN"/>
              </w:rPr>
            </w:pPr>
            <w:r>
              <w:rPr>
                <w:rFonts w:hint="eastAsia"/>
                <w:color w:val="auto"/>
                <w:spacing w:val="-6"/>
                <w:highlight w:val="none"/>
                <w:lang w:val="en-US" w:eastAsia="zh-CN"/>
              </w:rPr>
              <w:t>39</w:t>
            </w:r>
          </w:p>
        </w:tc>
        <w:tc>
          <w:tcPr>
            <w:tcW w:w="1469" w:type="dxa"/>
            <w:vAlign w:val="top"/>
          </w:tcPr>
          <w:p w14:paraId="2AF683AD">
            <w:pPr>
              <w:spacing w:line="289" w:lineRule="auto"/>
              <w:rPr>
                <w:rFonts w:ascii="Arial"/>
                <w:color w:val="auto"/>
                <w:sz w:val="21"/>
                <w:highlight w:val="none"/>
              </w:rPr>
            </w:pPr>
          </w:p>
          <w:p w14:paraId="692A870C">
            <w:pPr>
              <w:spacing w:line="289" w:lineRule="auto"/>
              <w:rPr>
                <w:rFonts w:ascii="Arial"/>
                <w:color w:val="auto"/>
                <w:sz w:val="21"/>
                <w:highlight w:val="none"/>
              </w:rPr>
            </w:pPr>
          </w:p>
          <w:p w14:paraId="347BCE87">
            <w:pPr>
              <w:pStyle w:val="17"/>
              <w:spacing w:before="69" w:line="232" w:lineRule="auto"/>
              <w:ind w:left="279"/>
              <w:rPr>
                <w:color w:val="auto"/>
                <w:highlight w:val="none"/>
              </w:rPr>
            </w:pPr>
            <w:r>
              <w:rPr>
                <w:color w:val="auto"/>
                <w:spacing w:val="-5"/>
                <w:highlight w:val="none"/>
              </w:rPr>
              <w:t>11.5（6）</w:t>
            </w:r>
          </w:p>
        </w:tc>
        <w:tc>
          <w:tcPr>
            <w:tcW w:w="3762" w:type="dxa"/>
            <w:vAlign w:val="top"/>
          </w:tcPr>
          <w:p w14:paraId="38A78C53">
            <w:pPr>
              <w:pStyle w:val="17"/>
              <w:spacing w:before="110" w:line="292" w:lineRule="auto"/>
              <w:ind w:left="112" w:right="103"/>
              <w:jc w:val="both"/>
              <w:rPr>
                <w:color w:val="auto"/>
                <w:highlight w:val="none"/>
              </w:rPr>
            </w:pPr>
            <w:r>
              <w:rPr>
                <w:color w:val="auto"/>
                <w:spacing w:val="10"/>
                <w:highlight w:val="none"/>
              </w:rPr>
              <w:t>连续三个月未能完成发包人下发（批</w:t>
            </w:r>
            <w:r>
              <w:rPr>
                <w:color w:val="auto"/>
                <w:highlight w:val="none"/>
              </w:rPr>
              <w:t>复）的月计划任务的</w:t>
            </w:r>
            <w:r>
              <w:rPr>
                <w:color w:val="auto"/>
                <w:spacing w:val="-35"/>
                <w:highlight w:val="none"/>
              </w:rPr>
              <w:t xml:space="preserve"> </w:t>
            </w:r>
            <w:r>
              <w:rPr>
                <w:color w:val="auto"/>
                <w:highlight w:val="none"/>
              </w:rPr>
              <w:t>80%或累计未能完</w:t>
            </w:r>
            <w:r>
              <w:rPr>
                <w:color w:val="auto"/>
                <w:spacing w:val="-2"/>
                <w:highlight w:val="none"/>
              </w:rPr>
              <w:t>成发包人下发（批复）的季度计划任务</w:t>
            </w:r>
            <w:r>
              <w:rPr>
                <w:color w:val="auto"/>
                <w:spacing w:val="-4"/>
                <w:highlight w:val="none"/>
              </w:rPr>
              <w:t>的</w:t>
            </w:r>
            <w:r>
              <w:rPr>
                <w:color w:val="auto"/>
                <w:spacing w:val="-44"/>
                <w:highlight w:val="none"/>
              </w:rPr>
              <w:t xml:space="preserve"> </w:t>
            </w:r>
            <w:r>
              <w:rPr>
                <w:color w:val="auto"/>
                <w:spacing w:val="-4"/>
                <w:highlight w:val="none"/>
              </w:rPr>
              <w:t>80%的</w:t>
            </w:r>
          </w:p>
        </w:tc>
        <w:tc>
          <w:tcPr>
            <w:tcW w:w="1799" w:type="dxa"/>
            <w:vAlign w:val="top"/>
          </w:tcPr>
          <w:p w14:paraId="352F2DF2">
            <w:pPr>
              <w:spacing w:line="289" w:lineRule="auto"/>
              <w:rPr>
                <w:rFonts w:ascii="Arial"/>
                <w:color w:val="auto"/>
                <w:sz w:val="21"/>
                <w:highlight w:val="none"/>
              </w:rPr>
            </w:pPr>
          </w:p>
          <w:p w14:paraId="1F84DD6E">
            <w:pPr>
              <w:spacing w:line="289" w:lineRule="auto"/>
              <w:rPr>
                <w:rFonts w:ascii="Arial"/>
                <w:color w:val="auto"/>
                <w:sz w:val="21"/>
                <w:highlight w:val="none"/>
              </w:rPr>
            </w:pPr>
          </w:p>
          <w:p w14:paraId="214F07AD">
            <w:pPr>
              <w:pStyle w:val="17"/>
              <w:spacing w:before="68" w:line="220" w:lineRule="auto"/>
              <w:ind w:left="412"/>
              <w:rPr>
                <w:color w:val="auto"/>
                <w:highlight w:val="none"/>
              </w:rPr>
            </w:pPr>
            <w:r>
              <w:rPr>
                <w:color w:val="auto"/>
                <w:spacing w:val="-4"/>
                <w:highlight w:val="none"/>
              </w:rPr>
              <w:t>50</w:t>
            </w:r>
            <w:r>
              <w:rPr>
                <w:color w:val="auto"/>
                <w:spacing w:val="-39"/>
                <w:highlight w:val="none"/>
              </w:rPr>
              <w:t xml:space="preserve"> </w:t>
            </w:r>
            <w:r>
              <w:rPr>
                <w:color w:val="auto"/>
                <w:spacing w:val="-4"/>
                <w:highlight w:val="none"/>
              </w:rPr>
              <w:t>万元/次</w:t>
            </w:r>
          </w:p>
        </w:tc>
        <w:tc>
          <w:tcPr>
            <w:tcW w:w="1580" w:type="dxa"/>
            <w:vAlign w:val="top"/>
          </w:tcPr>
          <w:p w14:paraId="01E3F730">
            <w:pPr>
              <w:rPr>
                <w:rFonts w:ascii="Arial"/>
                <w:color w:val="auto"/>
                <w:sz w:val="21"/>
                <w:highlight w:val="none"/>
              </w:rPr>
            </w:pPr>
          </w:p>
        </w:tc>
      </w:tr>
      <w:tr w14:paraId="067E9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862" w:type="dxa"/>
            <w:vAlign w:val="center"/>
          </w:tcPr>
          <w:p w14:paraId="3F76A0F3">
            <w:pPr>
              <w:pStyle w:val="17"/>
              <w:spacing w:before="69"/>
              <w:jc w:val="center"/>
              <w:rPr>
                <w:rFonts w:hint="default"/>
                <w:color w:val="auto"/>
                <w:spacing w:val="-6"/>
                <w:highlight w:val="none"/>
                <w:lang w:val="en-US" w:eastAsia="zh-CN"/>
              </w:rPr>
            </w:pPr>
            <w:r>
              <w:rPr>
                <w:rFonts w:hint="eastAsia"/>
                <w:color w:val="auto"/>
                <w:spacing w:val="-6"/>
                <w:highlight w:val="none"/>
                <w:lang w:val="en-US" w:eastAsia="zh-CN"/>
              </w:rPr>
              <w:t>40</w:t>
            </w:r>
          </w:p>
        </w:tc>
        <w:tc>
          <w:tcPr>
            <w:tcW w:w="1469" w:type="dxa"/>
            <w:vAlign w:val="center"/>
          </w:tcPr>
          <w:p w14:paraId="09EBF328">
            <w:pPr>
              <w:pStyle w:val="17"/>
              <w:spacing w:before="68" w:line="239" w:lineRule="auto"/>
              <w:jc w:val="center"/>
              <w:rPr>
                <w:color w:val="auto"/>
                <w:spacing w:val="-5"/>
                <w:highlight w:val="none"/>
              </w:rPr>
            </w:pPr>
            <w:r>
              <w:rPr>
                <w:color w:val="auto"/>
                <w:spacing w:val="-4"/>
              </w:rPr>
              <w:t>13.1.2</w:t>
            </w:r>
          </w:p>
        </w:tc>
        <w:tc>
          <w:tcPr>
            <w:tcW w:w="3762" w:type="dxa"/>
            <w:vAlign w:val="center"/>
          </w:tcPr>
          <w:p w14:paraId="68351F87">
            <w:pPr>
              <w:pStyle w:val="17"/>
              <w:spacing w:before="105" w:line="292" w:lineRule="auto"/>
              <w:ind w:left="113" w:leftChars="0" w:right="103" w:rightChars="0" w:firstLine="14" w:firstLineChars="0"/>
              <w:jc w:val="center"/>
              <w:rPr>
                <w:color w:val="auto"/>
                <w:spacing w:val="10"/>
                <w:highlight w:val="none"/>
              </w:rPr>
            </w:pPr>
            <w:r>
              <w:rPr>
                <w:color w:val="auto"/>
                <w:spacing w:val="-3"/>
              </w:rPr>
              <w:t>因任何方式（包括政府质量监督部门、</w:t>
            </w:r>
            <w:r>
              <w:rPr>
                <w:color w:val="auto"/>
                <w:spacing w:val="-2"/>
              </w:rPr>
              <w:t>发包人或监理人组织的各类检查）发现的关键工程质量不合格、工序不规范造成质量隐患的</w:t>
            </w:r>
          </w:p>
        </w:tc>
        <w:tc>
          <w:tcPr>
            <w:tcW w:w="1799" w:type="dxa"/>
            <w:vAlign w:val="center"/>
          </w:tcPr>
          <w:p w14:paraId="1AEEABF4">
            <w:pPr>
              <w:pStyle w:val="17"/>
              <w:spacing w:before="69" w:line="220" w:lineRule="auto"/>
              <w:jc w:val="center"/>
              <w:rPr>
                <w:color w:val="auto"/>
                <w:spacing w:val="-4"/>
                <w:highlight w:val="none"/>
              </w:rPr>
            </w:pPr>
            <w:r>
              <w:rPr>
                <w:color w:val="auto"/>
                <w:spacing w:val="-6"/>
              </w:rPr>
              <w:t>10</w:t>
            </w:r>
            <w:r>
              <w:rPr>
                <w:color w:val="auto"/>
                <w:spacing w:val="-38"/>
              </w:rPr>
              <w:t xml:space="preserve"> </w:t>
            </w:r>
            <w:r>
              <w:rPr>
                <w:color w:val="auto"/>
                <w:spacing w:val="-6"/>
              </w:rPr>
              <w:t>万元/次</w:t>
            </w:r>
          </w:p>
        </w:tc>
        <w:tc>
          <w:tcPr>
            <w:tcW w:w="1580" w:type="dxa"/>
            <w:vAlign w:val="center"/>
          </w:tcPr>
          <w:p w14:paraId="6DC50041">
            <w:pPr>
              <w:pStyle w:val="17"/>
              <w:spacing w:before="106" w:line="219" w:lineRule="auto"/>
              <w:ind w:left="164"/>
              <w:jc w:val="center"/>
              <w:rPr>
                <w:color w:val="auto"/>
              </w:rPr>
            </w:pPr>
            <w:r>
              <w:rPr>
                <w:color w:val="auto"/>
                <w:spacing w:val="-2"/>
              </w:rPr>
              <w:t>供招标人结合</w:t>
            </w:r>
          </w:p>
          <w:p w14:paraId="5026BEE6">
            <w:pPr>
              <w:pStyle w:val="17"/>
              <w:spacing w:before="111" w:line="220" w:lineRule="auto"/>
              <w:ind w:left="167"/>
              <w:jc w:val="center"/>
              <w:rPr>
                <w:color w:val="auto"/>
              </w:rPr>
            </w:pPr>
            <w:r>
              <w:rPr>
                <w:color w:val="auto"/>
                <w:spacing w:val="-2"/>
              </w:rPr>
              <w:t>项目实际情况</w:t>
            </w:r>
          </w:p>
          <w:p w14:paraId="5963A7CF">
            <w:pPr>
              <w:pStyle w:val="17"/>
              <w:spacing w:before="108" w:line="220" w:lineRule="auto"/>
              <w:ind w:left="166"/>
              <w:jc w:val="center"/>
              <w:rPr>
                <w:color w:val="auto"/>
              </w:rPr>
            </w:pPr>
            <w:r>
              <w:rPr>
                <w:color w:val="auto"/>
                <w:spacing w:val="-2"/>
              </w:rPr>
              <w:t>参考使用，合</w:t>
            </w:r>
          </w:p>
          <w:p w14:paraId="52C8C6B2">
            <w:pPr>
              <w:pStyle w:val="17"/>
              <w:spacing w:before="110" w:line="218" w:lineRule="auto"/>
              <w:ind w:left="482" w:leftChars="0"/>
              <w:jc w:val="center"/>
              <w:rPr>
                <w:rFonts w:ascii="Arial"/>
                <w:color w:val="auto"/>
                <w:sz w:val="21"/>
                <w:highlight w:val="none"/>
              </w:rPr>
            </w:pPr>
            <w:r>
              <w:rPr>
                <w:color w:val="auto"/>
                <w:spacing w:val="-3"/>
              </w:rPr>
              <w:t>理设置</w:t>
            </w:r>
          </w:p>
        </w:tc>
      </w:tr>
      <w:tr w14:paraId="3F236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Align w:val="top"/>
          </w:tcPr>
          <w:p w14:paraId="31FD7246">
            <w:pPr>
              <w:pStyle w:val="17"/>
              <w:spacing w:before="287" w:line="241" w:lineRule="auto"/>
              <w:ind w:left="329"/>
              <w:rPr>
                <w:rFonts w:hint="default" w:eastAsia="宋体"/>
                <w:color w:val="auto"/>
                <w:highlight w:val="none"/>
                <w:lang w:val="en-US" w:eastAsia="zh-CN"/>
              </w:rPr>
            </w:pPr>
            <w:r>
              <w:rPr>
                <w:rFonts w:hint="eastAsia"/>
                <w:color w:val="auto"/>
                <w:spacing w:val="-3"/>
                <w:highlight w:val="none"/>
                <w:lang w:val="en-US" w:eastAsia="zh-CN"/>
              </w:rPr>
              <w:t>41</w:t>
            </w:r>
          </w:p>
        </w:tc>
        <w:tc>
          <w:tcPr>
            <w:tcW w:w="1469" w:type="dxa"/>
            <w:vAlign w:val="top"/>
          </w:tcPr>
          <w:p w14:paraId="1B6B2FE0">
            <w:pPr>
              <w:pStyle w:val="17"/>
              <w:spacing w:before="286" w:line="239" w:lineRule="auto"/>
              <w:ind w:left="543"/>
              <w:rPr>
                <w:color w:val="auto"/>
                <w:highlight w:val="none"/>
              </w:rPr>
            </w:pPr>
            <w:r>
              <w:rPr>
                <w:color w:val="auto"/>
                <w:spacing w:val="-6"/>
                <w:highlight w:val="none"/>
              </w:rPr>
              <w:t>13.7</w:t>
            </w:r>
          </w:p>
        </w:tc>
        <w:tc>
          <w:tcPr>
            <w:tcW w:w="3762" w:type="dxa"/>
            <w:vAlign w:val="top"/>
          </w:tcPr>
          <w:p w14:paraId="784D5C06">
            <w:pPr>
              <w:pStyle w:val="17"/>
              <w:spacing w:before="107" w:line="267" w:lineRule="auto"/>
              <w:ind w:left="131" w:right="103" w:hanging="21"/>
              <w:rPr>
                <w:color w:val="auto"/>
                <w:highlight w:val="none"/>
              </w:rPr>
            </w:pPr>
            <w:r>
              <w:rPr>
                <w:color w:val="auto"/>
                <w:spacing w:val="-2"/>
                <w:highlight w:val="none"/>
              </w:rPr>
              <w:t>存在偷工减料，有意降低工程质量，企</w:t>
            </w:r>
            <w:r>
              <w:rPr>
                <w:color w:val="auto"/>
                <w:spacing w:val="-3"/>
                <w:highlight w:val="none"/>
              </w:rPr>
              <w:t>图蒙骗发包人、监理人的</w:t>
            </w:r>
          </w:p>
        </w:tc>
        <w:tc>
          <w:tcPr>
            <w:tcW w:w="1799" w:type="dxa"/>
            <w:vAlign w:val="top"/>
          </w:tcPr>
          <w:p w14:paraId="3D2D2294">
            <w:pPr>
              <w:pStyle w:val="17"/>
              <w:spacing w:before="286" w:line="220" w:lineRule="auto"/>
              <w:ind w:left="423"/>
              <w:rPr>
                <w:color w:val="auto"/>
                <w:highlight w:val="none"/>
              </w:rPr>
            </w:pPr>
            <w:r>
              <w:rPr>
                <w:color w:val="auto"/>
                <w:spacing w:val="-6"/>
                <w:highlight w:val="none"/>
              </w:rPr>
              <w:t>10</w:t>
            </w:r>
            <w:r>
              <w:rPr>
                <w:color w:val="auto"/>
                <w:spacing w:val="-38"/>
                <w:highlight w:val="none"/>
              </w:rPr>
              <w:t xml:space="preserve"> </w:t>
            </w:r>
            <w:r>
              <w:rPr>
                <w:color w:val="auto"/>
                <w:spacing w:val="-6"/>
                <w:highlight w:val="none"/>
              </w:rPr>
              <w:t>万元/次</w:t>
            </w:r>
          </w:p>
        </w:tc>
        <w:tc>
          <w:tcPr>
            <w:tcW w:w="1580" w:type="dxa"/>
            <w:vAlign w:val="top"/>
          </w:tcPr>
          <w:p w14:paraId="22C908D0">
            <w:pPr>
              <w:rPr>
                <w:rFonts w:ascii="Arial"/>
                <w:color w:val="auto"/>
                <w:sz w:val="21"/>
                <w:highlight w:val="none"/>
              </w:rPr>
            </w:pPr>
          </w:p>
        </w:tc>
      </w:tr>
      <w:tr w14:paraId="7F768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top"/>
          </w:tcPr>
          <w:p w14:paraId="287C3FF2">
            <w:pPr>
              <w:pStyle w:val="17"/>
              <w:spacing w:before="211" w:line="241" w:lineRule="auto"/>
              <w:ind w:left="329"/>
              <w:rPr>
                <w:color w:val="auto"/>
                <w:highlight w:val="none"/>
              </w:rPr>
            </w:pPr>
            <w:r>
              <w:rPr>
                <w:color w:val="auto"/>
                <w:spacing w:val="-3"/>
                <w:highlight w:val="none"/>
              </w:rPr>
              <w:t>42</w:t>
            </w:r>
          </w:p>
        </w:tc>
        <w:tc>
          <w:tcPr>
            <w:tcW w:w="1469" w:type="dxa"/>
            <w:vAlign w:val="top"/>
          </w:tcPr>
          <w:p w14:paraId="56142A12">
            <w:pPr>
              <w:pStyle w:val="17"/>
              <w:spacing w:before="210" w:line="239" w:lineRule="auto"/>
              <w:ind w:left="489"/>
              <w:rPr>
                <w:color w:val="auto"/>
                <w:highlight w:val="none"/>
              </w:rPr>
            </w:pPr>
            <w:r>
              <w:rPr>
                <w:color w:val="auto"/>
                <w:spacing w:val="-5"/>
                <w:highlight w:val="none"/>
              </w:rPr>
              <w:t>13.12</w:t>
            </w:r>
          </w:p>
        </w:tc>
        <w:tc>
          <w:tcPr>
            <w:tcW w:w="3762" w:type="dxa"/>
            <w:vAlign w:val="top"/>
          </w:tcPr>
          <w:p w14:paraId="2F361664">
            <w:pPr>
              <w:pStyle w:val="17"/>
              <w:spacing w:before="211" w:line="220" w:lineRule="auto"/>
              <w:ind w:left="129"/>
              <w:rPr>
                <w:color w:val="auto"/>
                <w:highlight w:val="none"/>
              </w:rPr>
            </w:pPr>
            <w:r>
              <w:rPr>
                <w:color w:val="auto"/>
                <w:spacing w:val="-2"/>
                <w:highlight w:val="none"/>
              </w:rPr>
              <w:t>出现严重的质量缺陷或质量事故的</w:t>
            </w:r>
          </w:p>
        </w:tc>
        <w:tc>
          <w:tcPr>
            <w:tcW w:w="1799" w:type="dxa"/>
            <w:vAlign w:val="top"/>
          </w:tcPr>
          <w:p w14:paraId="36F658DB">
            <w:pPr>
              <w:pStyle w:val="17"/>
              <w:spacing w:before="210" w:line="220" w:lineRule="auto"/>
              <w:ind w:left="266"/>
              <w:rPr>
                <w:color w:val="auto"/>
                <w:highlight w:val="none"/>
              </w:rPr>
            </w:pPr>
            <w:r>
              <w:rPr>
                <w:color w:val="auto"/>
                <w:spacing w:val="-4"/>
                <w:highlight w:val="none"/>
              </w:rPr>
              <w:t>10-50</w:t>
            </w:r>
            <w:r>
              <w:rPr>
                <w:color w:val="auto"/>
                <w:spacing w:val="-38"/>
                <w:highlight w:val="none"/>
              </w:rPr>
              <w:t xml:space="preserve"> </w:t>
            </w:r>
            <w:r>
              <w:rPr>
                <w:color w:val="auto"/>
                <w:spacing w:val="-4"/>
                <w:highlight w:val="none"/>
              </w:rPr>
              <w:t>万元/次</w:t>
            </w:r>
          </w:p>
        </w:tc>
        <w:tc>
          <w:tcPr>
            <w:tcW w:w="1580" w:type="dxa"/>
            <w:vAlign w:val="top"/>
          </w:tcPr>
          <w:p w14:paraId="45A15528">
            <w:pPr>
              <w:rPr>
                <w:rFonts w:ascii="Arial"/>
                <w:color w:val="auto"/>
                <w:sz w:val="21"/>
                <w:highlight w:val="none"/>
              </w:rPr>
            </w:pPr>
          </w:p>
        </w:tc>
      </w:tr>
      <w:tr w14:paraId="67D6C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center"/>
          </w:tcPr>
          <w:p w14:paraId="00716245">
            <w:pPr>
              <w:pStyle w:val="17"/>
              <w:spacing w:before="68"/>
              <w:jc w:val="center"/>
              <w:rPr>
                <w:color w:val="auto"/>
                <w:spacing w:val="-3"/>
                <w:highlight w:val="none"/>
              </w:rPr>
            </w:pPr>
            <w:r>
              <w:rPr>
                <w:color w:val="auto"/>
                <w:spacing w:val="-2"/>
              </w:rPr>
              <w:t>43</w:t>
            </w:r>
          </w:p>
        </w:tc>
        <w:tc>
          <w:tcPr>
            <w:tcW w:w="1469" w:type="dxa"/>
            <w:vAlign w:val="center"/>
          </w:tcPr>
          <w:p w14:paraId="5C2E65EA">
            <w:pPr>
              <w:pStyle w:val="17"/>
              <w:spacing w:before="68" w:line="239" w:lineRule="auto"/>
              <w:jc w:val="center"/>
              <w:rPr>
                <w:color w:val="auto"/>
                <w:spacing w:val="-5"/>
                <w:highlight w:val="none"/>
              </w:rPr>
            </w:pPr>
            <w:r>
              <w:rPr>
                <w:color w:val="auto"/>
                <w:spacing w:val="-2"/>
              </w:rPr>
              <w:t>20.1.3</w:t>
            </w:r>
          </w:p>
        </w:tc>
        <w:tc>
          <w:tcPr>
            <w:tcW w:w="3762" w:type="dxa"/>
            <w:vAlign w:val="center"/>
          </w:tcPr>
          <w:p w14:paraId="5B6559A5">
            <w:pPr>
              <w:pStyle w:val="17"/>
              <w:spacing w:before="287" w:line="319" w:lineRule="auto"/>
              <w:ind w:left="111" w:leftChars="0" w:right="106" w:rightChars="0"/>
              <w:jc w:val="center"/>
              <w:rPr>
                <w:color w:val="auto"/>
                <w:spacing w:val="-2"/>
                <w:highlight w:val="none"/>
              </w:rPr>
            </w:pPr>
            <w:r>
              <w:rPr>
                <w:color w:val="auto"/>
                <w:spacing w:val="11"/>
              </w:rPr>
              <w:t>承包人不履行索赔主体责任或发包人认为承包人履行索赔主体责任不尽责</w:t>
            </w:r>
            <w:r>
              <w:rPr>
                <w:color w:val="auto"/>
              </w:rPr>
              <w:t>的</w:t>
            </w:r>
          </w:p>
        </w:tc>
        <w:tc>
          <w:tcPr>
            <w:tcW w:w="1799" w:type="dxa"/>
            <w:vAlign w:val="center"/>
          </w:tcPr>
          <w:p w14:paraId="5069BB20">
            <w:pPr>
              <w:pStyle w:val="17"/>
              <w:spacing w:before="287" w:line="220" w:lineRule="auto"/>
              <w:jc w:val="center"/>
              <w:rPr>
                <w:color w:val="auto"/>
              </w:rPr>
            </w:pPr>
            <w:r>
              <w:rPr>
                <w:color w:val="auto"/>
                <w:spacing w:val="-1"/>
              </w:rPr>
              <w:t>视情节最高按该</w:t>
            </w:r>
          </w:p>
          <w:p w14:paraId="10E670C4">
            <w:pPr>
              <w:pStyle w:val="17"/>
              <w:spacing w:before="109" w:line="220" w:lineRule="auto"/>
              <w:ind w:left="145"/>
              <w:jc w:val="center"/>
              <w:rPr>
                <w:color w:val="auto"/>
              </w:rPr>
            </w:pPr>
            <w:r>
              <w:rPr>
                <w:color w:val="auto"/>
                <w:spacing w:val="-3"/>
              </w:rPr>
              <w:t>变更金额的</w:t>
            </w:r>
            <w:r>
              <w:rPr>
                <w:color w:val="auto"/>
                <w:spacing w:val="-28"/>
              </w:rPr>
              <w:t xml:space="preserve"> </w:t>
            </w:r>
            <w:r>
              <w:rPr>
                <w:color w:val="auto"/>
                <w:spacing w:val="-3"/>
              </w:rPr>
              <w:t>100%</w:t>
            </w:r>
          </w:p>
          <w:p w14:paraId="38577CAC">
            <w:pPr>
              <w:pStyle w:val="17"/>
              <w:spacing w:before="110" w:line="220" w:lineRule="auto"/>
              <w:ind w:left="381" w:leftChars="0"/>
              <w:jc w:val="center"/>
              <w:rPr>
                <w:color w:val="auto"/>
                <w:spacing w:val="-4"/>
                <w:highlight w:val="none"/>
              </w:rPr>
            </w:pPr>
            <w:r>
              <w:rPr>
                <w:color w:val="auto"/>
                <w:spacing w:val="-2"/>
              </w:rPr>
              <w:t>计扣违约金</w:t>
            </w:r>
          </w:p>
        </w:tc>
        <w:tc>
          <w:tcPr>
            <w:tcW w:w="1580" w:type="dxa"/>
            <w:vAlign w:val="center"/>
          </w:tcPr>
          <w:p w14:paraId="7F427CA5">
            <w:pPr>
              <w:pStyle w:val="17"/>
              <w:spacing w:before="107" w:line="219" w:lineRule="auto"/>
              <w:jc w:val="center"/>
              <w:rPr>
                <w:rFonts w:ascii="Arial"/>
                <w:color w:val="auto"/>
                <w:sz w:val="21"/>
                <w:highlight w:val="none"/>
              </w:rPr>
            </w:pPr>
            <w:r>
              <w:rPr>
                <w:color w:val="auto"/>
                <w:spacing w:val="-2"/>
              </w:rPr>
              <w:t>供招标人结合项目实际情况参考使用，合</w:t>
            </w:r>
            <w:r>
              <w:rPr>
                <w:color w:val="auto"/>
                <w:spacing w:val="-3"/>
              </w:rPr>
              <w:t>理设置</w:t>
            </w:r>
          </w:p>
        </w:tc>
      </w:tr>
      <w:tr w14:paraId="39188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center"/>
          </w:tcPr>
          <w:p w14:paraId="2E514BB2">
            <w:pPr>
              <w:pStyle w:val="17"/>
              <w:spacing w:before="211" w:line="241" w:lineRule="auto"/>
              <w:jc w:val="center"/>
              <w:rPr>
                <w:color w:val="auto"/>
                <w:spacing w:val="-3"/>
                <w:highlight w:val="none"/>
              </w:rPr>
            </w:pPr>
            <w:r>
              <w:rPr>
                <w:color w:val="auto"/>
                <w:spacing w:val="-3"/>
              </w:rPr>
              <w:t>44</w:t>
            </w:r>
          </w:p>
        </w:tc>
        <w:tc>
          <w:tcPr>
            <w:tcW w:w="1469" w:type="dxa"/>
            <w:vAlign w:val="center"/>
          </w:tcPr>
          <w:p w14:paraId="2BD6E2D6">
            <w:pPr>
              <w:pStyle w:val="17"/>
              <w:spacing w:before="211" w:line="239" w:lineRule="auto"/>
              <w:jc w:val="center"/>
              <w:rPr>
                <w:color w:val="auto"/>
                <w:spacing w:val="-5"/>
                <w:highlight w:val="none"/>
              </w:rPr>
            </w:pPr>
            <w:r>
              <w:rPr>
                <w:color w:val="auto"/>
                <w:spacing w:val="-3"/>
              </w:rPr>
              <w:t>25.6</w:t>
            </w:r>
          </w:p>
        </w:tc>
        <w:tc>
          <w:tcPr>
            <w:tcW w:w="3762" w:type="dxa"/>
            <w:vAlign w:val="center"/>
          </w:tcPr>
          <w:p w14:paraId="283882E3">
            <w:pPr>
              <w:pStyle w:val="17"/>
              <w:spacing w:before="211" w:line="220" w:lineRule="auto"/>
              <w:jc w:val="center"/>
              <w:rPr>
                <w:color w:val="auto"/>
                <w:spacing w:val="-2"/>
                <w:highlight w:val="none"/>
              </w:rPr>
            </w:pPr>
            <w:r>
              <w:rPr>
                <w:color w:val="auto"/>
                <w:spacing w:val="-1"/>
              </w:rPr>
              <w:t>保密要求落实不到位</w:t>
            </w:r>
          </w:p>
        </w:tc>
        <w:tc>
          <w:tcPr>
            <w:tcW w:w="1799" w:type="dxa"/>
            <w:vAlign w:val="center"/>
          </w:tcPr>
          <w:p w14:paraId="36FD2C9C">
            <w:pPr>
              <w:pStyle w:val="17"/>
              <w:spacing w:before="211" w:line="220" w:lineRule="auto"/>
              <w:jc w:val="center"/>
              <w:rPr>
                <w:color w:val="auto"/>
                <w:spacing w:val="-4"/>
                <w:highlight w:val="none"/>
              </w:rPr>
            </w:pPr>
            <w:r>
              <w:rPr>
                <w:color w:val="auto"/>
                <w:spacing w:val="-4"/>
              </w:rPr>
              <w:t>30</w:t>
            </w:r>
            <w:r>
              <w:rPr>
                <w:color w:val="auto"/>
                <w:spacing w:val="-40"/>
              </w:rPr>
              <w:t xml:space="preserve"> </w:t>
            </w:r>
            <w:r>
              <w:rPr>
                <w:color w:val="auto"/>
                <w:spacing w:val="-4"/>
              </w:rPr>
              <w:t>万元/次</w:t>
            </w:r>
          </w:p>
        </w:tc>
        <w:tc>
          <w:tcPr>
            <w:tcW w:w="1580" w:type="dxa"/>
            <w:vAlign w:val="center"/>
          </w:tcPr>
          <w:p w14:paraId="31438234">
            <w:pPr>
              <w:jc w:val="center"/>
              <w:rPr>
                <w:rFonts w:ascii="Arial"/>
                <w:color w:val="auto"/>
                <w:sz w:val="21"/>
                <w:highlight w:val="none"/>
              </w:rPr>
            </w:pPr>
          </w:p>
        </w:tc>
      </w:tr>
      <w:tr w14:paraId="5B362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center"/>
          </w:tcPr>
          <w:p w14:paraId="193A1B14">
            <w:pPr>
              <w:pStyle w:val="17"/>
              <w:spacing w:before="68"/>
              <w:jc w:val="center"/>
              <w:rPr>
                <w:color w:val="auto"/>
                <w:spacing w:val="-3"/>
                <w:highlight w:val="none"/>
              </w:rPr>
            </w:pPr>
            <w:r>
              <w:rPr>
                <w:color w:val="auto"/>
                <w:spacing w:val="-3"/>
              </w:rPr>
              <w:t>45</w:t>
            </w:r>
          </w:p>
        </w:tc>
        <w:tc>
          <w:tcPr>
            <w:tcW w:w="1469" w:type="dxa"/>
            <w:vAlign w:val="center"/>
          </w:tcPr>
          <w:p w14:paraId="1454DE07">
            <w:pPr>
              <w:pStyle w:val="17"/>
              <w:spacing w:before="69" w:line="239" w:lineRule="auto"/>
              <w:jc w:val="center"/>
              <w:rPr>
                <w:color w:val="auto"/>
                <w:spacing w:val="-5"/>
                <w:highlight w:val="none"/>
              </w:rPr>
            </w:pPr>
            <w:r>
              <w:rPr>
                <w:color w:val="auto"/>
                <w:spacing w:val="-3"/>
              </w:rPr>
              <w:t>25.6</w:t>
            </w:r>
          </w:p>
        </w:tc>
        <w:tc>
          <w:tcPr>
            <w:tcW w:w="3762" w:type="dxa"/>
            <w:vAlign w:val="center"/>
          </w:tcPr>
          <w:p w14:paraId="1A1EFD64">
            <w:pPr>
              <w:pStyle w:val="17"/>
              <w:spacing w:before="68" w:line="220" w:lineRule="auto"/>
              <w:jc w:val="center"/>
              <w:rPr>
                <w:color w:val="auto"/>
                <w:spacing w:val="-2"/>
                <w:highlight w:val="none"/>
              </w:rPr>
            </w:pPr>
            <w:r>
              <w:rPr>
                <w:color w:val="auto"/>
                <w:spacing w:val="-1"/>
              </w:rPr>
              <w:t>舆情管理落实不到位</w:t>
            </w:r>
          </w:p>
        </w:tc>
        <w:tc>
          <w:tcPr>
            <w:tcW w:w="1799" w:type="dxa"/>
            <w:vAlign w:val="center"/>
          </w:tcPr>
          <w:p w14:paraId="3FF2FD98">
            <w:pPr>
              <w:pStyle w:val="17"/>
              <w:spacing w:before="108" w:line="220" w:lineRule="auto"/>
              <w:jc w:val="center"/>
              <w:rPr>
                <w:color w:val="auto"/>
                <w:spacing w:val="-4"/>
                <w:highlight w:val="none"/>
              </w:rPr>
            </w:pPr>
            <w:r>
              <w:rPr>
                <w:color w:val="auto"/>
                <w:spacing w:val="-12"/>
              </w:rPr>
              <w:t>根据具体情况，按</w:t>
            </w:r>
            <w:r>
              <w:rPr>
                <w:color w:val="auto"/>
                <w:spacing w:val="-3"/>
              </w:rPr>
              <w:t>2-10</w:t>
            </w:r>
            <w:r>
              <w:rPr>
                <w:color w:val="auto"/>
                <w:spacing w:val="-35"/>
              </w:rPr>
              <w:t xml:space="preserve"> </w:t>
            </w:r>
            <w:r>
              <w:rPr>
                <w:color w:val="auto"/>
                <w:spacing w:val="-3"/>
              </w:rPr>
              <w:t>万元/次处</w:t>
            </w:r>
            <w:r>
              <w:rPr>
                <w:color w:val="auto"/>
                <w:spacing w:val="-6"/>
              </w:rPr>
              <w:t>以违约金</w:t>
            </w:r>
          </w:p>
        </w:tc>
        <w:tc>
          <w:tcPr>
            <w:tcW w:w="1580" w:type="dxa"/>
            <w:vAlign w:val="center"/>
          </w:tcPr>
          <w:p w14:paraId="7DF9C78F">
            <w:pPr>
              <w:jc w:val="center"/>
              <w:rPr>
                <w:rFonts w:ascii="Arial"/>
                <w:color w:val="auto"/>
                <w:sz w:val="21"/>
                <w:highlight w:val="none"/>
              </w:rPr>
            </w:pPr>
          </w:p>
        </w:tc>
      </w:tr>
      <w:tr w14:paraId="48C71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862" w:type="dxa"/>
            <w:vAlign w:val="top"/>
          </w:tcPr>
          <w:p w14:paraId="223CCB75">
            <w:pPr>
              <w:spacing w:line="261" w:lineRule="auto"/>
              <w:rPr>
                <w:rFonts w:ascii="Arial"/>
                <w:color w:val="auto"/>
                <w:sz w:val="21"/>
                <w:highlight w:val="none"/>
              </w:rPr>
            </w:pPr>
          </w:p>
          <w:p w14:paraId="77B71EF9">
            <w:pPr>
              <w:spacing w:line="261" w:lineRule="auto"/>
              <w:rPr>
                <w:rFonts w:ascii="Arial"/>
                <w:color w:val="auto"/>
                <w:sz w:val="21"/>
                <w:highlight w:val="none"/>
              </w:rPr>
            </w:pPr>
          </w:p>
          <w:p w14:paraId="10D22611">
            <w:pPr>
              <w:spacing w:line="261" w:lineRule="auto"/>
              <w:rPr>
                <w:rFonts w:ascii="Arial"/>
                <w:color w:val="auto"/>
                <w:sz w:val="21"/>
                <w:highlight w:val="none"/>
              </w:rPr>
            </w:pPr>
          </w:p>
          <w:p w14:paraId="374D7E52">
            <w:pPr>
              <w:spacing w:line="261" w:lineRule="auto"/>
              <w:rPr>
                <w:rFonts w:ascii="Arial"/>
                <w:color w:val="auto"/>
                <w:sz w:val="21"/>
                <w:highlight w:val="none"/>
              </w:rPr>
            </w:pPr>
          </w:p>
          <w:p w14:paraId="32BB5043">
            <w:pPr>
              <w:spacing w:line="261" w:lineRule="auto"/>
              <w:rPr>
                <w:rFonts w:ascii="Arial"/>
                <w:color w:val="auto"/>
                <w:sz w:val="21"/>
                <w:highlight w:val="none"/>
              </w:rPr>
            </w:pPr>
          </w:p>
          <w:p w14:paraId="7F553594">
            <w:pPr>
              <w:spacing w:line="262" w:lineRule="auto"/>
              <w:rPr>
                <w:rFonts w:ascii="Arial"/>
                <w:color w:val="auto"/>
                <w:sz w:val="21"/>
                <w:highlight w:val="none"/>
              </w:rPr>
            </w:pPr>
          </w:p>
          <w:p w14:paraId="376D9476">
            <w:pPr>
              <w:spacing w:line="262" w:lineRule="auto"/>
              <w:rPr>
                <w:rFonts w:ascii="Arial"/>
                <w:color w:val="auto"/>
                <w:sz w:val="21"/>
                <w:highlight w:val="none"/>
              </w:rPr>
            </w:pPr>
          </w:p>
          <w:p w14:paraId="6C06456A">
            <w:pPr>
              <w:pStyle w:val="17"/>
              <w:spacing w:before="68"/>
              <w:ind w:left="329"/>
              <w:rPr>
                <w:rFonts w:hint="default" w:eastAsia="宋体"/>
                <w:color w:val="auto"/>
                <w:highlight w:val="none"/>
                <w:lang w:val="en-US" w:eastAsia="zh-CN"/>
              </w:rPr>
            </w:pPr>
            <w:r>
              <w:rPr>
                <w:rFonts w:hint="eastAsia"/>
                <w:color w:val="auto"/>
                <w:spacing w:val="-2"/>
                <w:highlight w:val="none"/>
                <w:lang w:val="en-US" w:eastAsia="zh-CN"/>
              </w:rPr>
              <w:t>46</w:t>
            </w:r>
          </w:p>
        </w:tc>
        <w:tc>
          <w:tcPr>
            <w:tcW w:w="1469" w:type="dxa"/>
            <w:vAlign w:val="top"/>
          </w:tcPr>
          <w:p w14:paraId="0F63E9D7">
            <w:pPr>
              <w:spacing w:line="241" w:lineRule="auto"/>
              <w:rPr>
                <w:rFonts w:ascii="Arial"/>
                <w:color w:val="auto"/>
                <w:sz w:val="21"/>
                <w:highlight w:val="none"/>
              </w:rPr>
            </w:pPr>
          </w:p>
          <w:p w14:paraId="217BCA9F">
            <w:pPr>
              <w:spacing w:line="241" w:lineRule="auto"/>
              <w:rPr>
                <w:rFonts w:ascii="Arial"/>
                <w:color w:val="auto"/>
                <w:sz w:val="21"/>
                <w:highlight w:val="none"/>
              </w:rPr>
            </w:pPr>
          </w:p>
          <w:p w14:paraId="7B91EC0A">
            <w:pPr>
              <w:spacing w:line="241" w:lineRule="auto"/>
              <w:rPr>
                <w:rFonts w:ascii="Arial"/>
                <w:color w:val="auto"/>
                <w:sz w:val="21"/>
                <w:highlight w:val="none"/>
              </w:rPr>
            </w:pPr>
          </w:p>
          <w:p w14:paraId="113217EF">
            <w:pPr>
              <w:spacing w:line="241" w:lineRule="auto"/>
              <w:rPr>
                <w:rFonts w:ascii="Arial"/>
                <w:color w:val="auto"/>
                <w:sz w:val="21"/>
                <w:highlight w:val="none"/>
              </w:rPr>
            </w:pPr>
          </w:p>
          <w:p w14:paraId="1428BBC2">
            <w:pPr>
              <w:spacing w:line="241" w:lineRule="auto"/>
              <w:rPr>
                <w:rFonts w:ascii="Arial"/>
                <w:color w:val="auto"/>
                <w:sz w:val="21"/>
                <w:highlight w:val="none"/>
              </w:rPr>
            </w:pPr>
          </w:p>
          <w:p w14:paraId="2E4A0E24">
            <w:pPr>
              <w:spacing w:line="241" w:lineRule="auto"/>
              <w:rPr>
                <w:rFonts w:ascii="Arial"/>
                <w:color w:val="auto"/>
                <w:sz w:val="21"/>
                <w:highlight w:val="none"/>
              </w:rPr>
            </w:pPr>
          </w:p>
          <w:p w14:paraId="5915F085">
            <w:pPr>
              <w:spacing w:line="241" w:lineRule="auto"/>
              <w:rPr>
                <w:rFonts w:ascii="Arial"/>
                <w:color w:val="auto"/>
                <w:sz w:val="21"/>
                <w:highlight w:val="none"/>
              </w:rPr>
            </w:pPr>
          </w:p>
          <w:p w14:paraId="51CE659D">
            <w:pPr>
              <w:spacing w:line="241" w:lineRule="auto"/>
              <w:rPr>
                <w:rFonts w:ascii="Arial"/>
                <w:color w:val="auto"/>
                <w:sz w:val="21"/>
                <w:highlight w:val="none"/>
              </w:rPr>
            </w:pPr>
          </w:p>
          <w:p w14:paraId="7B4E4A9B">
            <w:pPr>
              <w:pStyle w:val="17"/>
              <w:spacing w:before="68" w:line="142" w:lineRule="exact"/>
              <w:ind w:left="682"/>
              <w:rPr>
                <w:color w:val="auto"/>
                <w:highlight w:val="none"/>
              </w:rPr>
            </w:pPr>
            <w:r>
              <w:rPr>
                <w:color w:val="auto"/>
                <w:position w:val="-3"/>
                <w:highlight w:val="none"/>
              </w:rPr>
              <w:t>-</w:t>
            </w:r>
          </w:p>
        </w:tc>
        <w:tc>
          <w:tcPr>
            <w:tcW w:w="3762" w:type="dxa"/>
            <w:vAlign w:val="top"/>
          </w:tcPr>
          <w:p w14:paraId="0F480211">
            <w:pPr>
              <w:spacing w:line="278" w:lineRule="auto"/>
              <w:rPr>
                <w:rFonts w:ascii="Arial"/>
                <w:color w:val="auto"/>
                <w:sz w:val="21"/>
                <w:highlight w:val="none"/>
              </w:rPr>
            </w:pPr>
          </w:p>
          <w:p w14:paraId="21C6DDFF">
            <w:pPr>
              <w:spacing w:line="279" w:lineRule="auto"/>
              <w:rPr>
                <w:rFonts w:ascii="Arial"/>
                <w:color w:val="auto"/>
                <w:sz w:val="21"/>
                <w:highlight w:val="none"/>
              </w:rPr>
            </w:pPr>
          </w:p>
          <w:p w14:paraId="2D3E9909">
            <w:pPr>
              <w:spacing w:line="279" w:lineRule="auto"/>
              <w:rPr>
                <w:rFonts w:ascii="Arial"/>
                <w:color w:val="auto"/>
                <w:sz w:val="21"/>
                <w:highlight w:val="none"/>
              </w:rPr>
            </w:pPr>
          </w:p>
          <w:p w14:paraId="3173BF26">
            <w:pPr>
              <w:spacing w:line="279" w:lineRule="auto"/>
              <w:rPr>
                <w:rFonts w:ascii="Arial"/>
                <w:color w:val="auto"/>
                <w:sz w:val="21"/>
                <w:highlight w:val="none"/>
              </w:rPr>
            </w:pPr>
          </w:p>
          <w:p w14:paraId="2219DCC5">
            <w:pPr>
              <w:pStyle w:val="17"/>
              <w:spacing w:before="69" w:line="317" w:lineRule="auto"/>
              <w:ind w:left="111" w:right="101"/>
              <w:jc w:val="both"/>
              <w:rPr>
                <w:color w:val="auto"/>
                <w:highlight w:val="none"/>
              </w:rPr>
            </w:pPr>
            <w:r>
              <w:rPr>
                <w:color w:val="auto"/>
                <w:spacing w:val="11"/>
                <w:highlight w:val="none"/>
              </w:rPr>
              <w:t>承包人未在发包人及监理人规定的时</w:t>
            </w:r>
            <w:r>
              <w:rPr>
                <w:color w:val="auto"/>
                <w:spacing w:val="-2"/>
                <w:highlight w:val="none"/>
              </w:rPr>
              <w:t>间内上报其要求的有关资料，含计量及</w:t>
            </w:r>
            <w:r>
              <w:rPr>
                <w:color w:val="auto"/>
                <w:spacing w:val="-8"/>
                <w:highlight w:val="none"/>
              </w:rPr>
              <w:t>计划、统计、变更、结算书、（交） 竣</w:t>
            </w:r>
            <w:r>
              <w:rPr>
                <w:color w:val="auto"/>
                <w:spacing w:val="2"/>
                <w:highlight w:val="none"/>
              </w:rPr>
              <w:t>工等资料</w:t>
            </w:r>
            <w:r>
              <w:rPr>
                <w:color w:val="auto"/>
                <w:spacing w:val="44"/>
                <w:highlight w:val="none"/>
              </w:rPr>
              <w:t xml:space="preserve"> </w:t>
            </w:r>
            <w:r>
              <w:rPr>
                <w:color w:val="auto"/>
                <w:spacing w:val="2"/>
                <w:highlight w:val="none"/>
              </w:rPr>
              <w:t>，或承包人上报有关资料出</w:t>
            </w:r>
            <w:r>
              <w:rPr>
                <w:color w:val="auto"/>
                <w:spacing w:val="-2"/>
                <w:highlight w:val="none"/>
              </w:rPr>
              <w:t>现数据严重失实、有意瞒报、误报等的</w:t>
            </w:r>
          </w:p>
        </w:tc>
        <w:tc>
          <w:tcPr>
            <w:tcW w:w="1799" w:type="dxa"/>
            <w:vAlign w:val="top"/>
          </w:tcPr>
          <w:p w14:paraId="2255E029">
            <w:pPr>
              <w:pStyle w:val="17"/>
              <w:spacing w:before="108" w:line="220" w:lineRule="auto"/>
              <w:ind w:left="160"/>
              <w:rPr>
                <w:color w:val="auto"/>
                <w:highlight w:val="none"/>
              </w:rPr>
            </w:pPr>
            <w:r>
              <w:rPr>
                <w:color w:val="auto"/>
                <w:spacing w:val="-5"/>
                <w:highlight w:val="none"/>
              </w:rPr>
              <w:t>1</w:t>
            </w:r>
            <w:r>
              <w:rPr>
                <w:color w:val="auto"/>
                <w:spacing w:val="-36"/>
                <w:highlight w:val="none"/>
              </w:rPr>
              <w:t xml:space="preserve"> </w:t>
            </w:r>
            <w:r>
              <w:rPr>
                <w:color w:val="auto"/>
                <w:spacing w:val="-5"/>
                <w:highlight w:val="none"/>
              </w:rPr>
              <w:t>万元/次，同时</w:t>
            </w:r>
          </w:p>
          <w:p w14:paraId="623249C7">
            <w:pPr>
              <w:pStyle w:val="17"/>
              <w:spacing w:before="110" w:line="220" w:lineRule="auto"/>
              <w:ind w:left="175"/>
              <w:rPr>
                <w:color w:val="auto"/>
                <w:highlight w:val="none"/>
              </w:rPr>
            </w:pPr>
            <w:r>
              <w:rPr>
                <w:color w:val="auto"/>
                <w:spacing w:val="-5"/>
                <w:highlight w:val="none"/>
              </w:rPr>
              <w:t>处以</w:t>
            </w:r>
            <w:r>
              <w:rPr>
                <w:color w:val="auto"/>
                <w:spacing w:val="-28"/>
                <w:highlight w:val="none"/>
              </w:rPr>
              <w:t xml:space="preserve"> </w:t>
            </w:r>
            <w:r>
              <w:rPr>
                <w:color w:val="auto"/>
                <w:spacing w:val="-5"/>
                <w:highlight w:val="none"/>
              </w:rPr>
              <w:t>1000</w:t>
            </w:r>
            <w:r>
              <w:rPr>
                <w:color w:val="auto"/>
                <w:spacing w:val="-42"/>
                <w:highlight w:val="none"/>
              </w:rPr>
              <w:t xml:space="preserve"> </w:t>
            </w:r>
            <w:r>
              <w:rPr>
                <w:color w:val="auto"/>
                <w:spacing w:val="-5"/>
                <w:highlight w:val="none"/>
              </w:rPr>
              <w:t>元/天</w:t>
            </w:r>
          </w:p>
          <w:p w14:paraId="5F2317BB">
            <w:pPr>
              <w:pStyle w:val="17"/>
              <w:spacing w:before="108" w:line="220" w:lineRule="auto"/>
              <w:ind w:left="188"/>
              <w:rPr>
                <w:color w:val="auto"/>
                <w:highlight w:val="none"/>
              </w:rPr>
            </w:pPr>
            <w:r>
              <w:rPr>
                <w:color w:val="auto"/>
                <w:spacing w:val="-4"/>
                <w:highlight w:val="none"/>
              </w:rPr>
              <w:t>的违约金直至承</w:t>
            </w:r>
          </w:p>
          <w:p w14:paraId="75A78D8C">
            <w:pPr>
              <w:pStyle w:val="17"/>
              <w:spacing w:before="110" w:line="220" w:lineRule="auto"/>
              <w:ind w:left="115"/>
              <w:rPr>
                <w:color w:val="auto"/>
                <w:highlight w:val="none"/>
              </w:rPr>
            </w:pPr>
            <w:r>
              <w:rPr>
                <w:color w:val="auto"/>
                <w:spacing w:val="-14"/>
                <w:highlight w:val="none"/>
              </w:rPr>
              <w:t>包人纠正为止。同</w:t>
            </w:r>
          </w:p>
          <w:p w14:paraId="02D1731B">
            <w:pPr>
              <w:pStyle w:val="17"/>
              <w:spacing w:before="110" w:line="220" w:lineRule="auto"/>
              <w:ind w:left="201"/>
              <w:rPr>
                <w:color w:val="auto"/>
                <w:highlight w:val="none"/>
              </w:rPr>
            </w:pPr>
            <w:r>
              <w:rPr>
                <w:color w:val="auto"/>
                <w:spacing w:val="-2"/>
                <w:highlight w:val="none"/>
              </w:rPr>
              <w:t>一资料如超过</w:t>
            </w:r>
            <w:r>
              <w:rPr>
                <w:color w:val="auto"/>
                <w:spacing w:val="-40"/>
                <w:highlight w:val="none"/>
              </w:rPr>
              <w:t xml:space="preserve"> </w:t>
            </w:r>
            <w:r>
              <w:rPr>
                <w:color w:val="auto"/>
                <w:spacing w:val="-2"/>
                <w:highlight w:val="none"/>
              </w:rPr>
              <w:t>3</w:t>
            </w:r>
          </w:p>
          <w:p w14:paraId="1D074608">
            <w:pPr>
              <w:pStyle w:val="17"/>
              <w:spacing w:before="109" w:line="220" w:lineRule="auto"/>
              <w:ind w:left="121"/>
              <w:rPr>
                <w:color w:val="auto"/>
                <w:highlight w:val="none"/>
              </w:rPr>
            </w:pPr>
            <w:r>
              <w:rPr>
                <w:color w:val="auto"/>
                <w:spacing w:val="-13"/>
                <w:highlight w:val="none"/>
              </w:rPr>
              <w:t>次仍未上报的，可</w:t>
            </w:r>
          </w:p>
          <w:p w14:paraId="1271E5A6">
            <w:pPr>
              <w:pStyle w:val="17"/>
              <w:spacing w:before="110" w:line="220" w:lineRule="auto"/>
              <w:ind w:left="119"/>
              <w:rPr>
                <w:color w:val="auto"/>
                <w:highlight w:val="none"/>
              </w:rPr>
            </w:pPr>
            <w:r>
              <w:rPr>
                <w:color w:val="auto"/>
                <w:spacing w:val="-10"/>
                <w:highlight w:val="none"/>
              </w:rPr>
              <w:t>处以</w:t>
            </w:r>
            <w:r>
              <w:rPr>
                <w:color w:val="auto"/>
                <w:spacing w:val="-23"/>
                <w:highlight w:val="none"/>
              </w:rPr>
              <w:t xml:space="preserve"> </w:t>
            </w:r>
            <w:r>
              <w:rPr>
                <w:color w:val="auto"/>
                <w:spacing w:val="-10"/>
                <w:highlight w:val="none"/>
              </w:rPr>
              <w:t>10</w:t>
            </w:r>
            <w:r>
              <w:rPr>
                <w:color w:val="auto"/>
                <w:spacing w:val="-39"/>
                <w:highlight w:val="none"/>
              </w:rPr>
              <w:t xml:space="preserve"> </w:t>
            </w:r>
            <w:r>
              <w:rPr>
                <w:color w:val="auto"/>
                <w:spacing w:val="-10"/>
                <w:highlight w:val="none"/>
              </w:rPr>
              <w:t>万元/次，</w:t>
            </w:r>
          </w:p>
          <w:p w14:paraId="628FE127">
            <w:pPr>
              <w:pStyle w:val="17"/>
              <w:spacing w:before="110" w:line="220" w:lineRule="auto"/>
              <w:ind w:left="140"/>
              <w:rPr>
                <w:color w:val="auto"/>
                <w:highlight w:val="none"/>
              </w:rPr>
            </w:pPr>
            <w:r>
              <w:rPr>
                <w:color w:val="auto"/>
                <w:spacing w:val="-8"/>
                <w:highlight w:val="none"/>
              </w:rPr>
              <w:t>同时处以</w:t>
            </w:r>
            <w:r>
              <w:rPr>
                <w:color w:val="auto"/>
                <w:spacing w:val="-30"/>
                <w:highlight w:val="none"/>
              </w:rPr>
              <w:t xml:space="preserve"> </w:t>
            </w:r>
            <w:r>
              <w:rPr>
                <w:color w:val="auto"/>
                <w:spacing w:val="-8"/>
                <w:highlight w:val="none"/>
              </w:rPr>
              <w:t>1</w:t>
            </w:r>
            <w:r>
              <w:rPr>
                <w:color w:val="auto"/>
                <w:spacing w:val="-39"/>
                <w:highlight w:val="none"/>
              </w:rPr>
              <w:t xml:space="preserve"> </w:t>
            </w:r>
            <w:r>
              <w:rPr>
                <w:color w:val="auto"/>
                <w:spacing w:val="-8"/>
                <w:highlight w:val="none"/>
              </w:rPr>
              <w:t>万元/</w:t>
            </w:r>
          </w:p>
          <w:p w14:paraId="36021FC1">
            <w:pPr>
              <w:pStyle w:val="17"/>
              <w:spacing w:before="110" w:line="220" w:lineRule="auto"/>
              <w:ind w:left="175"/>
              <w:rPr>
                <w:color w:val="auto"/>
                <w:highlight w:val="none"/>
              </w:rPr>
            </w:pPr>
            <w:r>
              <w:rPr>
                <w:color w:val="auto"/>
                <w:spacing w:val="-2"/>
                <w:highlight w:val="none"/>
              </w:rPr>
              <w:t>天的处违约金直</w:t>
            </w:r>
          </w:p>
          <w:p w14:paraId="16BE112B">
            <w:pPr>
              <w:pStyle w:val="17"/>
              <w:spacing w:before="109" w:line="220" w:lineRule="auto"/>
              <w:ind w:left="173"/>
              <w:rPr>
                <w:color w:val="auto"/>
                <w:highlight w:val="none"/>
              </w:rPr>
            </w:pPr>
            <w:r>
              <w:rPr>
                <w:color w:val="auto"/>
                <w:spacing w:val="-2"/>
                <w:highlight w:val="none"/>
              </w:rPr>
              <w:t>至承包人纠正为</w:t>
            </w:r>
          </w:p>
          <w:p w14:paraId="70B62B94">
            <w:pPr>
              <w:pStyle w:val="17"/>
              <w:spacing w:before="111" w:line="214" w:lineRule="auto"/>
              <w:ind w:left="802"/>
              <w:rPr>
                <w:color w:val="auto"/>
                <w:highlight w:val="none"/>
              </w:rPr>
            </w:pPr>
            <w:r>
              <w:rPr>
                <w:color w:val="auto"/>
                <w:highlight w:val="none"/>
              </w:rPr>
              <w:t>止</w:t>
            </w:r>
          </w:p>
        </w:tc>
        <w:tc>
          <w:tcPr>
            <w:tcW w:w="1580" w:type="dxa"/>
            <w:vAlign w:val="top"/>
          </w:tcPr>
          <w:p w14:paraId="605AFFEA">
            <w:pPr>
              <w:rPr>
                <w:rFonts w:ascii="Arial"/>
                <w:color w:val="auto"/>
                <w:sz w:val="21"/>
                <w:highlight w:val="none"/>
              </w:rPr>
            </w:pPr>
          </w:p>
        </w:tc>
      </w:tr>
      <w:tr w14:paraId="16BD8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862" w:type="dxa"/>
            <w:vAlign w:val="top"/>
          </w:tcPr>
          <w:p w14:paraId="53242F8C">
            <w:pPr>
              <w:spacing w:line="399" w:lineRule="auto"/>
              <w:rPr>
                <w:rFonts w:ascii="Arial"/>
                <w:color w:val="auto"/>
                <w:sz w:val="21"/>
                <w:highlight w:val="none"/>
              </w:rPr>
            </w:pPr>
          </w:p>
          <w:p w14:paraId="60F8CEDF">
            <w:pPr>
              <w:pStyle w:val="17"/>
              <w:spacing w:before="69"/>
              <w:ind w:left="329"/>
              <w:rPr>
                <w:rFonts w:hint="default" w:eastAsia="宋体"/>
                <w:color w:val="auto"/>
                <w:highlight w:val="none"/>
                <w:lang w:val="en-US" w:eastAsia="zh-CN"/>
              </w:rPr>
            </w:pPr>
            <w:r>
              <w:rPr>
                <w:rFonts w:hint="eastAsia"/>
                <w:color w:val="auto"/>
                <w:spacing w:val="-2"/>
                <w:highlight w:val="none"/>
                <w:lang w:val="en-US" w:eastAsia="zh-CN"/>
              </w:rPr>
              <w:t>47</w:t>
            </w:r>
          </w:p>
        </w:tc>
        <w:tc>
          <w:tcPr>
            <w:tcW w:w="1469" w:type="dxa"/>
            <w:vAlign w:val="top"/>
          </w:tcPr>
          <w:p w14:paraId="1A377D54">
            <w:pPr>
              <w:spacing w:line="249" w:lineRule="auto"/>
              <w:rPr>
                <w:rFonts w:ascii="Arial"/>
                <w:color w:val="auto"/>
                <w:sz w:val="21"/>
                <w:highlight w:val="none"/>
              </w:rPr>
            </w:pPr>
          </w:p>
          <w:p w14:paraId="1DE31913">
            <w:pPr>
              <w:spacing w:line="249" w:lineRule="auto"/>
              <w:rPr>
                <w:rFonts w:ascii="Arial"/>
                <w:color w:val="auto"/>
                <w:sz w:val="21"/>
                <w:highlight w:val="none"/>
              </w:rPr>
            </w:pPr>
          </w:p>
          <w:p w14:paraId="7B8FFAFB">
            <w:pPr>
              <w:pStyle w:val="17"/>
              <w:spacing w:before="68" w:line="143" w:lineRule="exact"/>
              <w:ind w:left="682"/>
              <w:rPr>
                <w:color w:val="auto"/>
                <w:highlight w:val="none"/>
              </w:rPr>
            </w:pPr>
            <w:r>
              <w:rPr>
                <w:color w:val="auto"/>
                <w:position w:val="-3"/>
                <w:highlight w:val="none"/>
              </w:rPr>
              <w:t>-</w:t>
            </w:r>
          </w:p>
        </w:tc>
        <w:tc>
          <w:tcPr>
            <w:tcW w:w="3762" w:type="dxa"/>
            <w:vAlign w:val="top"/>
          </w:tcPr>
          <w:p w14:paraId="038A6EF0">
            <w:pPr>
              <w:pStyle w:val="17"/>
              <w:spacing w:before="110" w:line="284" w:lineRule="auto"/>
              <w:ind w:left="114" w:right="103" w:hanging="4"/>
              <w:rPr>
                <w:color w:val="auto"/>
                <w:highlight w:val="none"/>
              </w:rPr>
            </w:pPr>
            <w:r>
              <w:rPr>
                <w:color w:val="auto"/>
                <w:spacing w:val="-2"/>
                <w:highlight w:val="none"/>
              </w:rPr>
              <w:t>在规定期限内，未执行有关合同指令、发包人指令、会议纪要（决定）以及有</w:t>
            </w:r>
            <w:r>
              <w:rPr>
                <w:color w:val="auto"/>
                <w:spacing w:val="-3"/>
                <w:highlight w:val="none"/>
              </w:rPr>
              <w:t>关制度的</w:t>
            </w:r>
          </w:p>
        </w:tc>
        <w:tc>
          <w:tcPr>
            <w:tcW w:w="1799" w:type="dxa"/>
            <w:vAlign w:val="top"/>
          </w:tcPr>
          <w:p w14:paraId="46844A9B">
            <w:pPr>
              <w:spacing w:line="399" w:lineRule="auto"/>
              <w:rPr>
                <w:rFonts w:ascii="Arial"/>
                <w:color w:val="auto"/>
                <w:sz w:val="21"/>
                <w:highlight w:val="none"/>
              </w:rPr>
            </w:pPr>
          </w:p>
          <w:p w14:paraId="7799E6B7">
            <w:pPr>
              <w:pStyle w:val="17"/>
              <w:spacing w:before="68" w:line="220" w:lineRule="auto"/>
              <w:ind w:left="465"/>
              <w:rPr>
                <w:color w:val="auto"/>
                <w:highlight w:val="none"/>
              </w:rPr>
            </w:pPr>
            <w:r>
              <w:rPr>
                <w:color w:val="auto"/>
                <w:spacing w:val="-5"/>
                <w:highlight w:val="none"/>
              </w:rPr>
              <w:t>5</w:t>
            </w:r>
            <w:r>
              <w:rPr>
                <w:color w:val="auto"/>
                <w:spacing w:val="-38"/>
                <w:highlight w:val="none"/>
              </w:rPr>
              <w:t xml:space="preserve"> </w:t>
            </w:r>
            <w:r>
              <w:rPr>
                <w:color w:val="auto"/>
                <w:spacing w:val="-5"/>
                <w:highlight w:val="none"/>
              </w:rPr>
              <w:t>万元/次</w:t>
            </w:r>
          </w:p>
        </w:tc>
        <w:tc>
          <w:tcPr>
            <w:tcW w:w="1580" w:type="dxa"/>
            <w:vAlign w:val="top"/>
          </w:tcPr>
          <w:p w14:paraId="2334FBEB">
            <w:pPr>
              <w:rPr>
                <w:rFonts w:ascii="Arial"/>
                <w:color w:val="auto"/>
                <w:sz w:val="21"/>
                <w:highlight w:val="none"/>
              </w:rPr>
            </w:pPr>
          </w:p>
        </w:tc>
      </w:tr>
    </w:tbl>
    <w:p w14:paraId="37B7EE14">
      <w:pPr>
        <w:pStyle w:val="3"/>
        <w:rPr>
          <w:color w:val="auto"/>
          <w:highlight w:val="none"/>
        </w:rPr>
      </w:pPr>
    </w:p>
    <w:p w14:paraId="27B701CF">
      <w:pPr>
        <w:rPr>
          <w:color w:val="auto"/>
          <w:highlight w:val="none"/>
        </w:rPr>
        <w:sectPr>
          <w:headerReference r:id="rId90" w:type="default"/>
          <w:footerReference r:id="rId91" w:type="default"/>
          <w:pgSz w:w="11905" w:h="16840"/>
          <w:pgMar w:top="1182" w:right="0" w:bottom="1171" w:left="0" w:header="849" w:footer="937" w:gutter="0"/>
          <w:pgNumType w:fmt="decimal"/>
          <w:cols w:space="720" w:num="1"/>
        </w:sectPr>
      </w:pPr>
    </w:p>
    <w:p w14:paraId="7788F119">
      <w:pPr>
        <w:pStyle w:val="3"/>
        <w:spacing w:line="267" w:lineRule="auto"/>
        <w:rPr>
          <w:color w:val="auto"/>
          <w:highlight w:val="none"/>
        </w:rPr>
      </w:pPr>
    </w:p>
    <w:p w14:paraId="459E06CA">
      <w:pPr>
        <w:spacing w:before="78" w:line="219" w:lineRule="auto"/>
        <w:ind w:left="1444"/>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附件十三：</w:t>
      </w:r>
    </w:p>
    <w:p w14:paraId="0A940D63">
      <w:pPr>
        <w:spacing w:before="196" w:line="241" w:lineRule="auto"/>
        <w:ind w:left="2838"/>
        <w:rPr>
          <w:rFonts w:ascii="宋体" w:hAnsi="宋体" w:eastAsia="宋体" w:cs="宋体"/>
          <w:color w:val="auto"/>
          <w:sz w:val="15"/>
          <w:szCs w:val="15"/>
          <w:highlight w:val="none"/>
        </w:rPr>
      </w:pPr>
      <w:r>
        <w:rPr>
          <w:rFonts w:ascii="宋体" w:hAnsi="宋体" w:eastAsia="宋体" w:cs="宋体"/>
          <w:b/>
          <w:bCs/>
          <w:color w:val="auto"/>
          <w:spacing w:val="7"/>
          <w:sz w:val="31"/>
          <w:szCs w:val="31"/>
          <w:highlight w:val="none"/>
        </w:rPr>
        <w:t>工程质量、安全及文明施工违约项目一览表</w:t>
      </w:r>
    </w:p>
    <w:p w14:paraId="517C1A96">
      <w:pPr>
        <w:spacing w:line="93"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BCA0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7DC55662">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5963092B">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7D9C2BAA">
            <w:pPr>
              <w:pStyle w:val="17"/>
              <w:spacing w:before="226" w:line="220" w:lineRule="auto"/>
              <w:ind w:left="3393"/>
              <w:rPr>
                <w:color w:val="auto"/>
                <w:highlight w:val="none"/>
              </w:rPr>
            </w:pPr>
            <w:r>
              <w:rPr>
                <w:b/>
                <w:bCs/>
                <w:color w:val="auto"/>
                <w:spacing w:val="-4"/>
                <w:highlight w:val="none"/>
              </w:rPr>
              <w:t>违约项目</w:t>
            </w:r>
          </w:p>
        </w:tc>
      </w:tr>
      <w:tr w14:paraId="566EB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2" w:type="dxa"/>
            <w:vAlign w:val="top"/>
          </w:tcPr>
          <w:p w14:paraId="6DC10D9A">
            <w:pPr>
              <w:spacing w:line="265" w:lineRule="auto"/>
              <w:rPr>
                <w:rFonts w:ascii="Arial"/>
                <w:color w:val="auto"/>
                <w:sz w:val="21"/>
                <w:highlight w:val="none"/>
              </w:rPr>
            </w:pPr>
          </w:p>
          <w:p w14:paraId="6E1AC1A1">
            <w:pPr>
              <w:spacing w:line="265" w:lineRule="auto"/>
              <w:rPr>
                <w:rFonts w:ascii="Arial"/>
                <w:color w:val="auto"/>
                <w:sz w:val="21"/>
                <w:highlight w:val="none"/>
              </w:rPr>
            </w:pPr>
          </w:p>
          <w:p w14:paraId="0F69CC2C">
            <w:pPr>
              <w:spacing w:line="266" w:lineRule="auto"/>
              <w:rPr>
                <w:rFonts w:ascii="Arial"/>
                <w:color w:val="auto"/>
                <w:sz w:val="21"/>
                <w:highlight w:val="none"/>
              </w:rPr>
            </w:pPr>
          </w:p>
          <w:p w14:paraId="118CDCA1">
            <w:pPr>
              <w:spacing w:line="266" w:lineRule="auto"/>
              <w:rPr>
                <w:rFonts w:ascii="Arial"/>
                <w:color w:val="auto"/>
                <w:sz w:val="21"/>
                <w:highlight w:val="none"/>
              </w:rPr>
            </w:pPr>
          </w:p>
          <w:p w14:paraId="626AE5FB">
            <w:pPr>
              <w:pStyle w:val="17"/>
              <w:spacing w:before="69" w:line="354" w:lineRule="auto"/>
              <w:ind w:left="315" w:right="204" w:hanging="100"/>
              <w:rPr>
                <w:color w:val="auto"/>
                <w:highlight w:val="none"/>
              </w:rPr>
            </w:pPr>
            <w:r>
              <w:rPr>
                <w:color w:val="auto"/>
                <w:spacing w:val="-7"/>
                <w:highlight w:val="none"/>
              </w:rPr>
              <w:t>原材</w:t>
            </w:r>
            <w:r>
              <w:rPr>
                <w:color w:val="auto"/>
                <w:highlight w:val="none"/>
              </w:rPr>
              <w:t>料</w:t>
            </w:r>
          </w:p>
        </w:tc>
        <w:tc>
          <w:tcPr>
            <w:tcW w:w="839" w:type="dxa"/>
            <w:vAlign w:val="top"/>
          </w:tcPr>
          <w:p w14:paraId="10D123A6">
            <w:pPr>
              <w:spacing w:line="252" w:lineRule="auto"/>
              <w:rPr>
                <w:rFonts w:ascii="Arial"/>
                <w:color w:val="auto"/>
                <w:sz w:val="21"/>
                <w:highlight w:val="none"/>
              </w:rPr>
            </w:pPr>
          </w:p>
          <w:p w14:paraId="7E0587AE">
            <w:pPr>
              <w:spacing w:line="252" w:lineRule="auto"/>
              <w:rPr>
                <w:rFonts w:ascii="Arial"/>
                <w:color w:val="auto"/>
                <w:sz w:val="21"/>
                <w:highlight w:val="none"/>
              </w:rPr>
            </w:pPr>
          </w:p>
          <w:p w14:paraId="231188E2">
            <w:pPr>
              <w:spacing w:line="252" w:lineRule="auto"/>
              <w:rPr>
                <w:rFonts w:ascii="Arial"/>
                <w:color w:val="auto"/>
                <w:sz w:val="21"/>
                <w:highlight w:val="none"/>
              </w:rPr>
            </w:pPr>
          </w:p>
          <w:p w14:paraId="2E52AEED">
            <w:pPr>
              <w:spacing w:line="253" w:lineRule="auto"/>
              <w:rPr>
                <w:rFonts w:ascii="Arial"/>
                <w:color w:val="auto"/>
                <w:sz w:val="21"/>
                <w:highlight w:val="none"/>
              </w:rPr>
            </w:pPr>
          </w:p>
          <w:p w14:paraId="22D3C016">
            <w:pPr>
              <w:spacing w:line="253" w:lineRule="auto"/>
              <w:rPr>
                <w:rFonts w:ascii="Arial"/>
                <w:color w:val="auto"/>
                <w:sz w:val="21"/>
                <w:highlight w:val="none"/>
              </w:rPr>
            </w:pPr>
          </w:p>
          <w:p w14:paraId="79245976">
            <w:pPr>
              <w:pStyle w:val="17"/>
              <w:spacing w:before="69" w:line="241" w:lineRule="auto"/>
              <w:ind w:left="385"/>
              <w:rPr>
                <w:color w:val="auto"/>
                <w:highlight w:val="none"/>
              </w:rPr>
            </w:pPr>
            <w:r>
              <w:rPr>
                <w:color w:val="auto"/>
                <w:highlight w:val="none"/>
              </w:rPr>
              <w:t>1</w:t>
            </w:r>
          </w:p>
        </w:tc>
        <w:tc>
          <w:tcPr>
            <w:tcW w:w="7621" w:type="dxa"/>
            <w:vAlign w:val="top"/>
          </w:tcPr>
          <w:p w14:paraId="7F4CF6FF">
            <w:pPr>
              <w:pStyle w:val="17"/>
              <w:spacing w:before="139" w:line="351" w:lineRule="auto"/>
              <w:ind w:left="113" w:right="115" w:firstLine="2"/>
              <w:rPr>
                <w:color w:val="auto"/>
                <w:highlight w:val="none"/>
              </w:rPr>
            </w:pPr>
            <w:r>
              <w:rPr>
                <w:color w:val="auto"/>
                <w:spacing w:val="1"/>
                <w:highlight w:val="none"/>
              </w:rPr>
              <w:t>凡是施工用材出现不合格情况，应对相关单位进行处罚，并将情况上报交通</w:t>
            </w:r>
            <w:r>
              <w:rPr>
                <w:color w:val="auto"/>
                <w:highlight w:val="none"/>
              </w:rPr>
              <w:t>运输</w:t>
            </w:r>
            <w:r>
              <w:rPr>
                <w:color w:val="auto"/>
                <w:spacing w:val="-2"/>
                <w:highlight w:val="none"/>
              </w:rPr>
              <w:t>主管部门，建议对该品牌及供货商列入黑名单。</w:t>
            </w:r>
          </w:p>
          <w:p w14:paraId="177E96F4">
            <w:pPr>
              <w:pStyle w:val="17"/>
              <w:spacing w:before="2" w:line="351" w:lineRule="auto"/>
              <w:ind w:left="111" w:right="115"/>
              <w:jc w:val="both"/>
              <w:rPr>
                <w:color w:val="auto"/>
                <w:highlight w:val="none"/>
              </w:rPr>
            </w:pPr>
            <w:r>
              <w:rPr>
                <w:color w:val="auto"/>
                <w:spacing w:val="1"/>
                <w:highlight w:val="none"/>
              </w:rPr>
              <w:t>桥梁支座、桥梁伸缩装置、土工织物（土工格栅、土</w:t>
            </w:r>
            <w:r>
              <w:rPr>
                <w:color w:val="auto"/>
                <w:highlight w:val="none"/>
              </w:rPr>
              <w:t>工布）、外加剂、锚（夹）</w:t>
            </w:r>
            <w:r>
              <w:rPr>
                <w:color w:val="auto"/>
                <w:spacing w:val="1"/>
                <w:highlight w:val="none"/>
              </w:rPr>
              <w:t>具、机电工程及交通安全设施等产品，出现不合格检验批，除该批次的产品全部</w:t>
            </w:r>
            <w:r>
              <w:rPr>
                <w:color w:val="auto"/>
                <w:spacing w:val="-5"/>
                <w:highlight w:val="none"/>
              </w:rPr>
              <w:t>退回外，违约金</w:t>
            </w:r>
            <w:r>
              <w:rPr>
                <w:color w:val="auto"/>
                <w:spacing w:val="-27"/>
                <w:highlight w:val="none"/>
              </w:rPr>
              <w:t xml:space="preserve"> </w:t>
            </w:r>
            <w:r>
              <w:rPr>
                <w:color w:val="auto"/>
                <w:spacing w:val="-5"/>
                <w:highlight w:val="none"/>
              </w:rPr>
              <w:t>10</w:t>
            </w:r>
            <w:r>
              <w:rPr>
                <w:color w:val="auto"/>
                <w:spacing w:val="-39"/>
                <w:highlight w:val="none"/>
              </w:rPr>
              <w:t xml:space="preserve"> </w:t>
            </w:r>
            <w:r>
              <w:rPr>
                <w:color w:val="auto"/>
                <w:spacing w:val="-5"/>
                <w:highlight w:val="none"/>
              </w:rPr>
              <w:t>万元/次。</w:t>
            </w:r>
          </w:p>
          <w:p w14:paraId="62059631">
            <w:pPr>
              <w:pStyle w:val="17"/>
              <w:spacing w:line="288" w:lineRule="auto"/>
              <w:ind w:left="129" w:right="115" w:hanging="19"/>
              <w:rPr>
                <w:color w:val="auto"/>
                <w:highlight w:val="none"/>
              </w:rPr>
            </w:pPr>
            <w:r>
              <w:rPr>
                <w:color w:val="auto"/>
                <w:spacing w:val="1"/>
                <w:highlight w:val="none"/>
              </w:rPr>
              <w:t>钢材、水泥、沥青、集料等原材料出现不合格材料时，除该批次的产品全部清除</w:t>
            </w:r>
            <w:r>
              <w:rPr>
                <w:color w:val="auto"/>
                <w:spacing w:val="-6"/>
                <w:highlight w:val="none"/>
              </w:rPr>
              <w:t>出场外，违约金</w:t>
            </w:r>
            <w:r>
              <w:rPr>
                <w:color w:val="auto"/>
                <w:spacing w:val="-31"/>
                <w:highlight w:val="none"/>
              </w:rPr>
              <w:t xml:space="preserve"> </w:t>
            </w:r>
            <w:r>
              <w:rPr>
                <w:color w:val="auto"/>
                <w:spacing w:val="-6"/>
                <w:highlight w:val="none"/>
              </w:rPr>
              <w:t>20</w:t>
            </w:r>
            <w:r>
              <w:rPr>
                <w:color w:val="auto"/>
                <w:spacing w:val="-38"/>
                <w:highlight w:val="none"/>
              </w:rPr>
              <w:t xml:space="preserve"> </w:t>
            </w:r>
            <w:r>
              <w:rPr>
                <w:color w:val="auto"/>
                <w:spacing w:val="-6"/>
                <w:highlight w:val="none"/>
              </w:rPr>
              <w:t>万元/次。</w:t>
            </w:r>
          </w:p>
        </w:tc>
      </w:tr>
      <w:tr w14:paraId="458DD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4B6723E4">
            <w:pPr>
              <w:spacing w:line="251" w:lineRule="auto"/>
              <w:rPr>
                <w:rFonts w:ascii="Arial"/>
                <w:color w:val="auto"/>
                <w:sz w:val="21"/>
                <w:highlight w:val="none"/>
              </w:rPr>
            </w:pPr>
          </w:p>
          <w:p w14:paraId="42129233">
            <w:pPr>
              <w:spacing w:line="251" w:lineRule="auto"/>
              <w:rPr>
                <w:rFonts w:ascii="Arial"/>
                <w:color w:val="auto"/>
                <w:sz w:val="21"/>
                <w:highlight w:val="none"/>
              </w:rPr>
            </w:pPr>
          </w:p>
          <w:p w14:paraId="1D4C14D0">
            <w:pPr>
              <w:spacing w:line="251" w:lineRule="auto"/>
              <w:rPr>
                <w:rFonts w:ascii="Arial"/>
                <w:color w:val="auto"/>
                <w:sz w:val="21"/>
                <w:highlight w:val="none"/>
              </w:rPr>
            </w:pPr>
          </w:p>
          <w:p w14:paraId="285658BF">
            <w:pPr>
              <w:spacing w:line="251" w:lineRule="auto"/>
              <w:rPr>
                <w:rFonts w:ascii="Arial"/>
                <w:color w:val="auto"/>
                <w:sz w:val="21"/>
                <w:highlight w:val="none"/>
              </w:rPr>
            </w:pPr>
          </w:p>
          <w:p w14:paraId="2FA78DB3">
            <w:pPr>
              <w:spacing w:line="251" w:lineRule="auto"/>
              <w:rPr>
                <w:rFonts w:ascii="Arial"/>
                <w:color w:val="auto"/>
                <w:sz w:val="21"/>
                <w:highlight w:val="none"/>
              </w:rPr>
            </w:pPr>
          </w:p>
          <w:p w14:paraId="1492998A">
            <w:pPr>
              <w:spacing w:line="251" w:lineRule="auto"/>
              <w:rPr>
                <w:rFonts w:ascii="Arial"/>
                <w:color w:val="auto"/>
                <w:sz w:val="21"/>
                <w:highlight w:val="none"/>
              </w:rPr>
            </w:pPr>
          </w:p>
          <w:p w14:paraId="70C24A44">
            <w:pPr>
              <w:spacing w:line="251" w:lineRule="auto"/>
              <w:rPr>
                <w:rFonts w:ascii="Arial"/>
                <w:color w:val="auto"/>
                <w:sz w:val="21"/>
                <w:highlight w:val="none"/>
              </w:rPr>
            </w:pPr>
          </w:p>
          <w:p w14:paraId="14C84112">
            <w:pPr>
              <w:spacing w:line="252" w:lineRule="auto"/>
              <w:rPr>
                <w:rFonts w:ascii="Arial"/>
                <w:color w:val="auto"/>
                <w:sz w:val="21"/>
                <w:highlight w:val="none"/>
              </w:rPr>
            </w:pPr>
          </w:p>
          <w:p w14:paraId="3B261109">
            <w:pPr>
              <w:spacing w:line="252" w:lineRule="auto"/>
              <w:rPr>
                <w:rFonts w:ascii="Arial"/>
                <w:color w:val="auto"/>
                <w:sz w:val="21"/>
                <w:highlight w:val="none"/>
              </w:rPr>
            </w:pPr>
          </w:p>
          <w:p w14:paraId="36C38C11">
            <w:pPr>
              <w:spacing w:line="252" w:lineRule="auto"/>
              <w:rPr>
                <w:rFonts w:ascii="Arial"/>
                <w:color w:val="auto"/>
                <w:sz w:val="21"/>
                <w:highlight w:val="none"/>
              </w:rPr>
            </w:pPr>
          </w:p>
          <w:p w14:paraId="68FEA0F5">
            <w:pPr>
              <w:spacing w:line="252" w:lineRule="auto"/>
              <w:rPr>
                <w:rFonts w:ascii="Arial"/>
                <w:color w:val="auto"/>
                <w:sz w:val="21"/>
                <w:highlight w:val="none"/>
              </w:rPr>
            </w:pPr>
          </w:p>
          <w:p w14:paraId="1D9AAEA2">
            <w:pPr>
              <w:spacing w:line="252" w:lineRule="auto"/>
              <w:rPr>
                <w:rFonts w:ascii="Arial"/>
                <w:color w:val="auto"/>
                <w:sz w:val="21"/>
                <w:highlight w:val="none"/>
              </w:rPr>
            </w:pPr>
          </w:p>
          <w:p w14:paraId="09FF4199">
            <w:pPr>
              <w:spacing w:line="252" w:lineRule="auto"/>
              <w:rPr>
                <w:rFonts w:ascii="Arial"/>
                <w:color w:val="auto"/>
                <w:sz w:val="21"/>
                <w:highlight w:val="none"/>
              </w:rPr>
            </w:pPr>
          </w:p>
          <w:p w14:paraId="31822598">
            <w:pPr>
              <w:spacing w:line="252" w:lineRule="auto"/>
              <w:rPr>
                <w:rFonts w:ascii="Arial"/>
                <w:color w:val="auto"/>
                <w:sz w:val="21"/>
                <w:highlight w:val="none"/>
              </w:rPr>
            </w:pPr>
          </w:p>
          <w:p w14:paraId="48D4A75A">
            <w:pPr>
              <w:pStyle w:val="17"/>
              <w:spacing w:before="68" w:line="220" w:lineRule="auto"/>
              <w:ind w:left="212"/>
              <w:rPr>
                <w:color w:val="auto"/>
                <w:highlight w:val="none"/>
              </w:rPr>
            </w:pPr>
            <w:r>
              <w:rPr>
                <w:color w:val="auto"/>
                <w:spacing w:val="-3"/>
                <w:highlight w:val="none"/>
              </w:rPr>
              <w:t>路基</w:t>
            </w:r>
          </w:p>
          <w:p w14:paraId="623915EA">
            <w:pPr>
              <w:pStyle w:val="17"/>
              <w:spacing w:before="149" w:line="221" w:lineRule="auto"/>
              <w:ind w:left="209"/>
              <w:rPr>
                <w:color w:val="auto"/>
                <w:highlight w:val="none"/>
              </w:rPr>
            </w:pPr>
            <w:r>
              <w:rPr>
                <w:color w:val="auto"/>
                <w:spacing w:val="-2"/>
                <w:highlight w:val="none"/>
              </w:rPr>
              <w:t>及砌</w:t>
            </w:r>
          </w:p>
          <w:p w14:paraId="296F8B45">
            <w:pPr>
              <w:pStyle w:val="17"/>
              <w:spacing w:before="148" w:line="221" w:lineRule="auto"/>
              <w:ind w:left="210"/>
              <w:rPr>
                <w:color w:val="auto"/>
                <w:highlight w:val="none"/>
              </w:rPr>
            </w:pPr>
            <w:r>
              <w:rPr>
                <w:color w:val="auto"/>
                <w:spacing w:val="-3"/>
                <w:highlight w:val="none"/>
              </w:rPr>
              <w:t>体工</w:t>
            </w:r>
          </w:p>
          <w:p w14:paraId="0620EADB">
            <w:pPr>
              <w:pStyle w:val="17"/>
              <w:spacing w:before="149" w:line="220" w:lineRule="auto"/>
              <w:ind w:left="315"/>
              <w:rPr>
                <w:color w:val="auto"/>
                <w:highlight w:val="none"/>
              </w:rPr>
            </w:pPr>
            <w:r>
              <w:rPr>
                <w:color w:val="auto"/>
                <w:highlight w:val="none"/>
              </w:rPr>
              <w:t>程</w:t>
            </w:r>
          </w:p>
        </w:tc>
        <w:tc>
          <w:tcPr>
            <w:tcW w:w="839" w:type="dxa"/>
            <w:vAlign w:val="top"/>
          </w:tcPr>
          <w:p w14:paraId="0687D734">
            <w:pPr>
              <w:spacing w:line="269" w:lineRule="auto"/>
              <w:rPr>
                <w:rFonts w:ascii="Arial"/>
                <w:color w:val="auto"/>
                <w:sz w:val="21"/>
                <w:highlight w:val="none"/>
              </w:rPr>
            </w:pPr>
          </w:p>
          <w:p w14:paraId="13EAE917">
            <w:pPr>
              <w:pStyle w:val="17"/>
              <w:spacing w:before="68" w:line="241" w:lineRule="auto"/>
              <w:ind w:left="385"/>
              <w:rPr>
                <w:color w:val="auto"/>
                <w:highlight w:val="none"/>
              </w:rPr>
            </w:pPr>
            <w:r>
              <w:rPr>
                <w:color w:val="auto"/>
                <w:highlight w:val="none"/>
              </w:rPr>
              <w:t>1</w:t>
            </w:r>
          </w:p>
        </w:tc>
        <w:tc>
          <w:tcPr>
            <w:tcW w:w="7621" w:type="dxa"/>
            <w:vAlign w:val="top"/>
          </w:tcPr>
          <w:p w14:paraId="4DF604BF">
            <w:pPr>
              <w:pStyle w:val="17"/>
              <w:spacing w:before="138" w:line="288" w:lineRule="auto"/>
              <w:ind w:left="128" w:right="107" w:hanging="15"/>
              <w:rPr>
                <w:color w:val="auto"/>
                <w:highlight w:val="none"/>
              </w:rPr>
            </w:pPr>
            <w:r>
              <w:rPr>
                <w:color w:val="auto"/>
                <w:highlight w:val="none"/>
              </w:rPr>
              <w:t>填土没有路拱（要求</w:t>
            </w:r>
            <w:r>
              <w:rPr>
                <w:color w:val="auto"/>
                <w:spacing w:val="-42"/>
                <w:highlight w:val="none"/>
              </w:rPr>
              <w:t xml:space="preserve"> </w:t>
            </w:r>
            <w:r>
              <w:rPr>
                <w:color w:val="auto"/>
                <w:highlight w:val="none"/>
              </w:rPr>
              <w:t>2%—4%</w:t>
            </w:r>
            <w:r>
              <w:rPr>
                <w:color w:val="auto"/>
                <w:spacing w:val="-3"/>
                <w:highlight w:val="none"/>
              </w:rPr>
              <w:t>），</w:t>
            </w:r>
            <w:r>
              <w:rPr>
                <w:color w:val="auto"/>
                <w:highlight w:val="none"/>
              </w:rPr>
              <w:t>排水不畅的；路基</w:t>
            </w:r>
            <w:r>
              <w:rPr>
                <w:color w:val="auto"/>
                <w:spacing w:val="-1"/>
                <w:highlight w:val="none"/>
              </w:rPr>
              <w:t>施工未采取临时防护排水措施</w:t>
            </w:r>
            <w:r>
              <w:rPr>
                <w:color w:val="auto"/>
                <w:spacing w:val="-5"/>
                <w:highlight w:val="none"/>
              </w:rPr>
              <w:t>的，违约金</w:t>
            </w:r>
            <w:r>
              <w:rPr>
                <w:color w:val="auto"/>
                <w:spacing w:val="-38"/>
                <w:highlight w:val="none"/>
              </w:rPr>
              <w:t xml:space="preserve"> </w:t>
            </w:r>
            <w:r>
              <w:rPr>
                <w:color w:val="auto"/>
                <w:spacing w:val="-5"/>
                <w:highlight w:val="none"/>
              </w:rPr>
              <w:t>2,000</w:t>
            </w:r>
            <w:r>
              <w:rPr>
                <w:color w:val="auto"/>
                <w:spacing w:val="-42"/>
                <w:highlight w:val="none"/>
              </w:rPr>
              <w:t xml:space="preserve"> </w:t>
            </w:r>
            <w:r>
              <w:rPr>
                <w:color w:val="auto"/>
                <w:spacing w:val="-5"/>
                <w:highlight w:val="none"/>
              </w:rPr>
              <w:t>元/处。</w:t>
            </w:r>
          </w:p>
        </w:tc>
      </w:tr>
      <w:tr w14:paraId="1FF5C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F997071">
            <w:pPr>
              <w:rPr>
                <w:rFonts w:ascii="Arial"/>
                <w:color w:val="auto"/>
                <w:sz w:val="21"/>
                <w:highlight w:val="none"/>
              </w:rPr>
            </w:pPr>
          </w:p>
        </w:tc>
        <w:tc>
          <w:tcPr>
            <w:tcW w:w="839" w:type="dxa"/>
            <w:vAlign w:val="top"/>
          </w:tcPr>
          <w:p w14:paraId="1C0BE2A6">
            <w:pPr>
              <w:pStyle w:val="17"/>
              <w:spacing w:before="224" w:line="241" w:lineRule="auto"/>
              <w:ind w:left="372"/>
              <w:rPr>
                <w:color w:val="auto"/>
                <w:highlight w:val="none"/>
              </w:rPr>
            </w:pPr>
            <w:r>
              <w:rPr>
                <w:color w:val="auto"/>
                <w:highlight w:val="none"/>
              </w:rPr>
              <w:t>2</w:t>
            </w:r>
          </w:p>
        </w:tc>
        <w:tc>
          <w:tcPr>
            <w:tcW w:w="7621" w:type="dxa"/>
            <w:vAlign w:val="top"/>
          </w:tcPr>
          <w:p w14:paraId="20B20FDB">
            <w:pPr>
              <w:pStyle w:val="17"/>
              <w:spacing w:before="223" w:line="217" w:lineRule="auto"/>
              <w:ind w:left="113"/>
              <w:rPr>
                <w:color w:val="auto"/>
                <w:highlight w:val="none"/>
              </w:rPr>
            </w:pPr>
            <w:r>
              <w:rPr>
                <w:color w:val="auto"/>
                <w:spacing w:val="-2"/>
                <w:highlight w:val="none"/>
              </w:rPr>
              <w:t>路基平整度不符合规范要求的，违约金</w:t>
            </w:r>
            <w:r>
              <w:rPr>
                <w:color w:val="auto"/>
                <w:spacing w:val="-40"/>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55B01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0D7ADD1D">
            <w:pPr>
              <w:rPr>
                <w:rFonts w:ascii="Arial"/>
                <w:color w:val="auto"/>
                <w:sz w:val="21"/>
                <w:highlight w:val="none"/>
              </w:rPr>
            </w:pPr>
          </w:p>
        </w:tc>
        <w:tc>
          <w:tcPr>
            <w:tcW w:w="839" w:type="dxa"/>
            <w:vAlign w:val="top"/>
          </w:tcPr>
          <w:p w14:paraId="36AC8818">
            <w:pPr>
              <w:pStyle w:val="17"/>
              <w:spacing w:before="222"/>
              <w:ind w:left="374"/>
              <w:rPr>
                <w:color w:val="auto"/>
                <w:highlight w:val="none"/>
              </w:rPr>
            </w:pPr>
            <w:r>
              <w:rPr>
                <w:color w:val="auto"/>
                <w:highlight w:val="none"/>
              </w:rPr>
              <w:t>3</w:t>
            </w:r>
          </w:p>
        </w:tc>
        <w:tc>
          <w:tcPr>
            <w:tcW w:w="7621" w:type="dxa"/>
            <w:vAlign w:val="top"/>
          </w:tcPr>
          <w:p w14:paraId="56A76460">
            <w:pPr>
              <w:pStyle w:val="17"/>
              <w:spacing w:before="222" w:line="217" w:lineRule="auto"/>
              <w:ind w:left="113"/>
              <w:rPr>
                <w:color w:val="auto"/>
                <w:highlight w:val="none"/>
              </w:rPr>
            </w:pPr>
            <w:r>
              <w:rPr>
                <w:color w:val="auto"/>
                <w:spacing w:val="-2"/>
                <w:highlight w:val="none"/>
              </w:rPr>
              <w:t>路基填土未经平地机整平就进行压实施工的，违约金</w:t>
            </w:r>
            <w:r>
              <w:rPr>
                <w:color w:val="auto"/>
                <w:spacing w:val="-28"/>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4BA8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6CA14845">
            <w:pPr>
              <w:rPr>
                <w:rFonts w:ascii="Arial"/>
                <w:color w:val="auto"/>
                <w:sz w:val="21"/>
                <w:highlight w:val="none"/>
              </w:rPr>
            </w:pPr>
          </w:p>
        </w:tc>
        <w:tc>
          <w:tcPr>
            <w:tcW w:w="839" w:type="dxa"/>
            <w:vAlign w:val="top"/>
          </w:tcPr>
          <w:p w14:paraId="79C40BBF">
            <w:pPr>
              <w:spacing w:line="271" w:lineRule="auto"/>
              <w:rPr>
                <w:rFonts w:ascii="Arial"/>
                <w:color w:val="auto"/>
                <w:sz w:val="21"/>
                <w:highlight w:val="none"/>
              </w:rPr>
            </w:pPr>
          </w:p>
          <w:p w14:paraId="596F62AD">
            <w:pPr>
              <w:pStyle w:val="17"/>
              <w:spacing w:before="69" w:line="241" w:lineRule="auto"/>
              <w:ind w:left="369"/>
              <w:rPr>
                <w:color w:val="auto"/>
                <w:highlight w:val="none"/>
              </w:rPr>
            </w:pPr>
            <w:r>
              <w:rPr>
                <w:color w:val="auto"/>
                <w:highlight w:val="none"/>
              </w:rPr>
              <w:t>4</w:t>
            </w:r>
          </w:p>
        </w:tc>
        <w:tc>
          <w:tcPr>
            <w:tcW w:w="7621" w:type="dxa"/>
            <w:vAlign w:val="top"/>
          </w:tcPr>
          <w:p w14:paraId="0E6D0F51">
            <w:pPr>
              <w:pStyle w:val="17"/>
              <w:spacing w:before="141" w:line="287" w:lineRule="auto"/>
              <w:ind w:left="116" w:right="115" w:hanging="3"/>
              <w:rPr>
                <w:color w:val="auto"/>
                <w:highlight w:val="none"/>
              </w:rPr>
            </w:pPr>
            <w:r>
              <w:rPr>
                <w:color w:val="auto"/>
                <w:spacing w:val="1"/>
                <w:highlight w:val="none"/>
              </w:rPr>
              <w:t>填土松铺厚度或现场实测的压实层厚度超过试验段报告明确的松铺厚度或压实层</w:t>
            </w:r>
            <w:r>
              <w:rPr>
                <w:color w:val="auto"/>
                <w:spacing w:val="-4"/>
                <w:highlight w:val="none"/>
              </w:rPr>
              <w:t>厚时，违约金</w:t>
            </w:r>
            <w:r>
              <w:rPr>
                <w:color w:val="auto"/>
                <w:spacing w:val="-36"/>
                <w:highlight w:val="none"/>
              </w:rPr>
              <w:t xml:space="preserve"> </w:t>
            </w:r>
            <w:r>
              <w:rPr>
                <w:color w:val="auto"/>
                <w:spacing w:val="-4"/>
                <w:highlight w:val="none"/>
              </w:rPr>
              <w:t>5,000</w:t>
            </w:r>
            <w:r>
              <w:rPr>
                <w:color w:val="auto"/>
                <w:spacing w:val="-42"/>
                <w:highlight w:val="none"/>
              </w:rPr>
              <w:t xml:space="preserve"> </w:t>
            </w:r>
            <w:r>
              <w:rPr>
                <w:color w:val="auto"/>
                <w:spacing w:val="-4"/>
                <w:highlight w:val="none"/>
              </w:rPr>
              <w:t>元/处。</w:t>
            </w:r>
          </w:p>
        </w:tc>
      </w:tr>
      <w:tr w14:paraId="2E411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214DF0A3">
            <w:pPr>
              <w:rPr>
                <w:rFonts w:ascii="Arial"/>
                <w:color w:val="auto"/>
                <w:sz w:val="21"/>
                <w:highlight w:val="none"/>
              </w:rPr>
            </w:pPr>
          </w:p>
        </w:tc>
        <w:tc>
          <w:tcPr>
            <w:tcW w:w="839" w:type="dxa"/>
            <w:vAlign w:val="top"/>
          </w:tcPr>
          <w:p w14:paraId="665140F0">
            <w:pPr>
              <w:spacing w:line="272" w:lineRule="auto"/>
              <w:rPr>
                <w:rFonts w:ascii="Arial"/>
                <w:color w:val="auto"/>
                <w:sz w:val="21"/>
                <w:highlight w:val="none"/>
              </w:rPr>
            </w:pPr>
          </w:p>
          <w:p w14:paraId="08E587E1">
            <w:pPr>
              <w:pStyle w:val="17"/>
              <w:spacing w:before="68"/>
              <w:ind w:left="374"/>
              <w:rPr>
                <w:color w:val="auto"/>
                <w:highlight w:val="none"/>
              </w:rPr>
            </w:pPr>
            <w:r>
              <w:rPr>
                <w:color w:val="auto"/>
                <w:highlight w:val="none"/>
              </w:rPr>
              <w:t>5</w:t>
            </w:r>
          </w:p>
        </w:tc>
        <w:tc>
          <w:tcPr>
            <w:tcW w:w="7621" w:type="dxa"/>
            <w:vAlign w:val="top"/>
          </w:tcPr>
          <w:p w14:paraId="2CAD9D70">
            <w:pPr>
              <w:pStyle w:val="17"/>
              <w:spacing w:before="143" w:line="286" w:lineRule="auto"/>
              <w:ind w:left="113" w:right="104"/>
              <w:rPr>
                <w:color w:val="auto"/>
                <w:highlight w:val="none"/>
              </w:rPr>
            </w:pPr>
            <w:r>
              <w:rPr>
                <w:color w:val="auto"/>
                <w:spacing w:val="-2"/>
                <w:highlight w:val="none"/>
              </w:rPr>
              <w:t>路槽底面以下</w:t>
            </w:r>
            <w:r>
              <w:rPr>
                <w:color w:val="auto"/>
                <w:spacing w:val="-44"/>
                <w:highlight w:val="none"/>
              </w:rPr>
              <w:t xml:space="preserve"> </w:t>
            </w:r>
            <w:r>
              <w:rPr>
                <w:color w:val="auto"/>
                <w:spacing w:val="-2"/>
                <w:highlight w:val="none"/>
              </w:rPr>
              <w:t>0-80cm</w:t>
            </w:r>
            <w:r>
              <w:rPr>
                <w:color w:val="auto"/>
                <w:spacing w:val="-40"/>
                <w:highlight w:val="none"/>
              </w:rPr>
              <w:t xml:space="preserve"> </w:t>
            </w:r>
            <w:r>
              <w:rPr>
                <w:color w:val="auto"/>
                <w:spacing w:val="-2"/>
                <w:highlight w:val="none"/>
              </w:rPr>
              <w:t>范围内，填料最大粒径不超过</w:t>
            </w:r>
            <w:r>
              <w:rPr>
                <w:color w:val="auto"/>
                <w:spacing w:val="-29"/>
                <w:highlight w:val="none"/>
              </w:rPr>
              <w:t xml:space="preserve"> </w:t>
            </w:r>
            <w:r>
              <w:rPr>
                <w:color w:val="auto"/>
                <w:spacing w:val="-2"/>
                <w:highlight w:val="none"/>
              </w:rPr>
              <w:t>10cm，在</w:t>
            </w:r>
            <w:r>
              <w:rPr>
                <w:color w:val="auto"/>
                <w:spacing w:val="-43"/>
                <w:highlight w:val="none"/>
              </w:rPr>
              <w:t xml:space="preserve"> </w:t>
            </w:r>
            <w:r>
              <w:rPr>
                <w:color w:val="auto"/>
                <w:spacing w:val="-3"/>
                <w:highlight w:val="none"/>
              </w:rPr>
              <w:t>80cm</w:t>
            </w:r>
            <w:r>
              <w:rPr>
                <w:color w:val="auto"/>
                <w:spacing w:val="-21"/>
                <w:highlight w:val="none"/>
              </w:rPr>
              <w:t xml:space="preserve"> </w:t>
            </w:r>
            <w:r>
              <w:rPr>
                <w:color w:val="auto"/>
                <w:spacing w:val="-3"/>
                <w:highlight w:val="none"/>
              </w:rPr>
              <w:t>以下的填料最大粒径不超过</w:t>
            </w:r>
            <w:r>
              <w:rPr>
                <w:color w:val="auto"/>
                <w:spacing w:val="-29"/>
                <w:highlight w:val="none"/>
              </w:rPr>
              <w:t xml:space="preserve"> </w:t>
            </w:r>
            <w:r>
              <w:rPr>
                <w:color w:val="auto"/>
                <w:spacing w:val="-3"/>
                <w:highlight w:val="none"/>
              </w:rPr>
              <w:t>15cm。违者违约金</w:t>
            </w:r>
            <w:r>
              <w:rPr>
                <w:color w:val="auto"/>
                <w:spacing w:val="-40"/>
                <w:highlight w:val="none"/>
              </w:rPr>
              <w:t xml:space="preserve"> </w:t>
            </w:r>
            <w:r>
              <w:rPr>
                <w:color w:val="auto"/>
                <w:spacing w:val="-3"/>
                <w:highlight w:val="none"/>
              </w:rPr>
              <w:t>2,000</w:t>
            </w:r>
            <w:r>
              <w:rPr>
                <w:color w:val="auto"/>
                <w:spacing w:val="-44"/>
                <w:highlight w:val="none"/>
              </w:rPr>
              <w:t xml:space="preserve"> </w:t>
            </w:r>
            <w:r>
              <w:rPr>
                <w:color w:val="auto"/>
                <w:spacing w:val="-3"/>
                <w:highlight w:val="none"/>
              </w:rPr>
              <w:t>元/次。</w:t>
            </w:r>
          </w:p>
        </w:tc>
      </w:tr>
      <w:tr w14:paraId="3579D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F6B11B8">
            <w:pPr>
              <w:rPr>
                <w:rFonts w:ascii="Arial"/>
                <w:color w:val="auto"/>
                <w:sz w:val="21"/>
                <w:highlight w:val="none"/>
              </w:rPr>
            </w:pPr>
          </w:p>
        </w:tc>
        <w:tc>
          <w:tcPr>
            <w:tcW w:w="839" w:type="dxa"/>
            <w:vAlign w:val="top"/>
          </w:tcPr>
          <w:p w14:paraId="41C7036C">
            <w:pPr>
              <w:pStyle w:val="17"/>
              <w:spacing w:before="225"/>
              <w:ind w:left="371"/>
              <w:rPr>
                <w:color w:val="auto"/>
                <w:highlight w:val="none"/>
              </w:rPr>
            </w:pPr>
            <w:r>
              <w:rPr>
                <w:color w:val="auto"/>
                <w:highlight w:val="none"/>
              </w:rPr>
              <w:t>6</w:t>
            </w:r>
          </w:p>
        </w:tc>
        <w:tc>
          <w:tcPr>
            <w:tcW w:w="7621" w:type="dxa"/>
            <w:vAlign w:val="top"/>
          </w:tcPr>
          <w:p w14:paraId="3536353F">
            <w:pPr>
              <w:pStyle w:val="17"/>
              <w:spacing w:before="225" w:line="217" w:lineRule="auto"/>
              <w:ind w:left="113"/>
              <w:rPr>
                <w:color w:val="auto"/>
                <w:highlight w:val="none"/>
              </w:rPr>
            </w:pPr>
            <w:r>
              <w:rPr>
                <w:color w:val="auto"/>
                <w:spacing w:val="-2"/>
                <w:highlight w:val="none"/>
              </w:rPr>
              <w:t>路基填土应按规定作液限、塑限指数及</w:t>
            </w:r>
            <w:r>
              <w:rPr>
                <w:color w:val="auto"/>
                <w:spacing w:val="-37"/>
                <w:highlight w:val="none"/>
              </w:rPr>
              <w:t xml:space="preserve"> </w:t>
            </w:r>
            <w:r>
              <w:rPr>
                <w:color w:val="auto"/>
                <w:spacing w:val="-2"/>
                <w:highlight w:val="none"/>
              </w:rPr>
              <w:t>CBR</w:t>
            </w:r>
            <w:r>
              <w:rPr>
                <w:color w:val="auto"/>
                <w:spacing w:val="-43"/>
                <w:highlight w:val="none"/>
              </w:rPr>
              <w:t xml:space="preserve"> </w:t>
            </w:r>
            <w:r>
              <w:rPr>
                <w:color w:val="auto"/>
                <w:spacing w:val="-2"/>
                <w:highlight w:val="none"/>
              </w:rPr>
              <w:t>值试验。违者违约金</w:t>
            </w:r>
            <w:r>
              <w:rPr>
                <w:color w:val="auto"/>
                <w:spacing w:val="-41"/>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5F613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3132D90">
            <w:pPr>
              <w:rPr>
                <w:rFonts w:ascii="Arial"/>
                <w:color w:val="auto"/>
                <w:sz w:val="21"/>
                <w:highlight w:val="none"/>
              </w:rPr>
            </w:pPr>
          </w:p>
        </w:tc>
        <w:tc>
          <w:tcPr>
            <w:tcW w:w="839" w:type="dxa"/>
            <w:vAlign w:val="top"/>
          </w:tcPr>
          <w:p w14:paraId="5F616B3C">
            <w:pPr>
              <w:spacing w:line="273" w:lineRule="auto"/>
              <w:rPr>
                <w:rFonts w:ascii="Arial"/>
                <w:color w:val="auto"/>
                <w:sz w:val="21"/>
                <w:highlight w:val="none"/>
              </w:rPr>
            </w:pPr>
          </w:p>
          <w:p w14:paraId="46BD8A36">
            <w:pPr>
              <w:pStyle w:val="17"/>
              <w:spacing w:before="68"/>
              <w:ind w:left="375"/>
              <w:rPr>
                <w:color w:val="auto"/>
                <w:highlight w:val="none"/>
              </w:rPr>
            </w:pPr>
            <w:r>
              <w:rPr>
                <w:color w:val="auto"/>
                <w:highlight w:val="none"/>
              </w:rPr>
              <w:t>7</w:t>
            </w:r>
          </w:p>
        </w:tc>
        <w:tc>
          <w:tcPr>
            <w:tcW w:w="7621" w:type="dxa"/>
            <w:vAlign w:val="top"/>
          </w:tcPr>
          <w:p w14:paraId="74FC7449">
            <w:pPr>
              <w:pStyle w:val="17"/>
              <w:spacing w:before="144" w:line="286" w:lineRule="auto"/>
              <w:ind w:left="114" w:right="115" w:hanging="3"/>
              <w:rPr>
                <w:color w:val="auto"/>
                <w:highlight w:val="none"/>
              </w:rPr>
            </w:pPr>
            <w:r>
              <w:rPr>
                <w:color w:val="auto"/>
                <w:spacing w:val="1"/>
                <w:highlight w:val="none"/>
              </w:rPr>
              <w:t>确保填方边坡碾压密实，边坡坡面要夯实，路基宽度在设计基础上每边超填不小</w:t>
            </w:r>
            <w:r>
              <w:rPr>
                <w:color w:val="auto"/>
                <w:spacing w:val="-3"/>
                <w:highlight w:val="none"/>
              </w:rPr>
              <w:t>于</w:t>
            </w:r>
            <w:r>
              <w:rPr>
                <w:color w:val="auto"/>
                <w:spacing w:val="-24"/>
                <w:highlight w:val="none"/>
              </w:rPr>
              <w:t xml:space="preserve"> </w:t>
            </w:r>
            <w:r>
              <w:rPr>
                <w:color w:val="auto"/>
                <w:spacing w:val="-3"/>
                <w:highlight w:val="none"/>
              </w:rPr>
              <w:t>50cm，等植草前刷坡。违者违约金</w:t>
            </w:r>
            <w:r>
              <w:rPr>
                <w:color w:val="auto"/>
                <w:spacing w:val="-40"/>
                <w:highlight w:val="none"/>
              </w:rPr>
              <w:t xml:space="preserve"> </w:t>
            </w:r>
            <w:r>
              <w:rPr>
                <w:color w:val="auto"/>
                <w:spacing w:val="-3"/>
                <w:highlight w:val="none"/>
              </w:rPr>
              <w:t>2,000</w:t>
            </w:r>
            <w:r>
              <w:rPr>
                <w:color w:val="auto"/>
                <w:spacing w:val="-44"/>
                <w:highlight w:val="none"/>
              </w:rPr>
              <w:t xml:space="preserve"> </w:t>
            </w:r>
            <w:r>
              <w:rPr>
                <w:color w:val="auto"/>
                <w:spacing w:val="-3"/>
                <w:highlight w:val="none"/>
              </w:rPr>
              <w:t>元/处。</w:t>
            </w:r>
          </w:p>
        </w:tc>
      </w:tr>
      <w:tr w14:paraId="39DBB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55F7764">
            <w:pPr>
              <w:rPr>
                <w:rFonts w:ascii="Arial"/>
                <w:color w:val="auto"/>
                <w:sz w:val="21"/>
                <w:highlight w:val="none"/>
              </w:rPr>
            </w:pPr>
          </w:p>
        </w:tc>
        <w:tc>
          <w:tcPr>
            <w:tcW w:w="839" w:type="dxa"/>
            <w:vAlign w:val="top"/>
          </w:tcPr>
          <w:p w14:paraId="47AC683B">
            <w:pPr>
              <w:pStyle w:val="17"/>
              <w:spacing w:before="226"/>
              <w:ind w:left="370"/>
              <w:rPr>
                <w:color w:val="auto"/>
                <w:highlight w:val="none"/>
              </w:rPr>
            </w:pPr>
            <w:r>
              <w:rPr>
                <w:color w:val="auto"/>
                <w:highlight w:val="none"/>
              </w:rPr>
              <w:t>8</w:t>
            </w:r>
          </w:p>
        </w:tc>
        <w:tc>
          <w:tcPr>
            <w:tcW w:w="7621" w:type="dxa"/>
            <w:vAlign w:val="top"/>
          </w:tcPr>
          <w:p w14:paraId="6E4672E9">
            <w:pPr>
              <w:pStyle w:val="17"/>
              <w:spacing w:before="225" w:line="217" w:lineRule="auto"/>
              <w:ind w:left="113"/>
              <w:rPr>
                <w:color w:val="auto"/>
                <w:highlight w:val="none"/>
              </w:rPr>
            </w:pPr>
            <w:r>
              <w:rPr>
                <w:color w:val="auto"/>
                <w:spacing w:val="-2"/>
                <w:highlight w:val="none"/>
              </w:rPr>
              <w:t>填土压实度达不到设计要求的，违约金</w:t>
            </w:r>
            <w:r>
              <w:rPr>
                <w:color w:val="auto"/>
                <w:spacing w:val="-42"/>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元/检测段。</w:t>
            </w:r>
          </w:p>
        </w:tc>
      </w:tr>
      <w:tr w14:paraId="5DFDF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712770B">
            <w:pPr>
              <w:rPr>
                <w:rFonts w:ascii="Arial"/>
                <w:color w:val="auto"/>
                <w:sz w:val="21"/>
                <w:highlight w:val="none"/>
              </w:rPr>
            </w:pPr>
          </w:p>
        </w:tc>
        <w:tc>
          <w:tcPr>
            <w:tcW w:w="839" w:type="dxa"/>
            <w:vAlign w:val="top"/>
          </w:tcPr>
          <w:p w14:paraId="595CD683">
            <w:pPr>
              <w:spacing w:line="272" w:lineRule="auto"/>
              <w:rPr>
                <w:rFonts w:ascii="Arial"/>
                <w:color w:val="auto"/>
                <w:sz w:val="21"/>
                <w:highlight w:val="none"/>
              </w:rPr>
            </w:pPr>
          </w:p>
          <w:p w14:paraId="519B1C35">
            <w:pPr>
              <w:pStyle w:val="17"/>
              <w:spacing w:before="68"/>
              <w:ind w:left="370"/>
              <w:rPr>
                <w:color w:val="auto"/>
                <w:highlight w:val="none"/>
              </w:rPr>
            </w:pPr>
            <w:r>
              <w:rPr>
                <w:color w:val="auto"/>
                <w:highlight w:val="none"/>
              </w:rPr>
              <w:t>9</w:t>
            </w:r>
          </w:p>
        </w:tc>
        <w:tc>
          <w:tcPr>
            <w:tcW w:w="7621" w:type="dxa"/>
            <w:vAlign w:val="top"/>
          </w:tcPr>
          <w:p w14:paraId="1DE69BCC">
            <w:pPr>
              <w:pStyle w:val="17"/>
              <w:spacing w:before="144" w:line="286" w:lineRule="auto"/>
              <w:ind w:left="112" w:right="45"/>
              <w:rPr>
                <w:color w:val="auto"/>
                <w:highlight w:val="none"/>
              </w:rPr>
            </w:pPr>
            <w:r>
              <w:rPr>
                <w:color w:val="auto"/>
                <w:spacing w:val="-7"/>
                <w:highlight w:val="none"/>
              </w:rPr>
              <w:t>石方路基靠近边坡范围采用光面爆破，爆破后及时清理</w:t>
            </w:r>
            <w:r>
              <w:rPr>
                <w:color w:val="auto"/>
                <w:spacing w:val="-8"/>
                <w:highlight w:val="none"/>
              </w:rPr>
              <w:t>险石、松石，违者违约金</w:t>
            </w:r>
            <w:r>
              <w:rPr>
                <w:color w:val="auto"/>
                <w:spacing w:val="-42"/>
                <w:highlight w:val="none"/>
              </w:rPr>
              <w:t xml:space="preserve"> </w:t>
            </w:r>
            <w:r>
              <w:rPr>
                <w:color w:val="auto"/>
                <w:spacing w:val="-8"/>
                <w:highlight w:val="none"/>
              </w:rPr>
              <w:t>2，</w:t>
            </w:r>
            <w:r>
              <w:rPr>
                <w:color w:val="auto"/>
                <w:highlight w:val="none"/>
              </w:rPr>
              <w:t xml:space="preserve"> </w:t>
            </w:r>
            <w:r>
              <w:rPr>
                <w:color w:val="auto"/>
                <w:spacing w:val="-3"/>
                <w:highlight w:val="none"/>
              </w:rPr>
              <w:t>000</w:t>
            </w:r>
            <w:r>
              <w:rPr>
                <w:color w:val="auto"/>
                <w:spacing w:val="-43"/>
                <w:highlight w:val="none"/>
              </w:rPr>
              <w:t xml:space="preserve"> </w:t>
            </w:r>
            <w:r>
              <w:rPr>
                <w:color w:val="auto"/>
                <w:spacing w:val="-3"/>
                <w:highlight w:val="none"/>
              </w:rPr>
              <w:t>元/处。</w:t>
            </w:r>
          </w:p>
        </w:tc>
      </w:tr>
      <w:tr w14:paraId="28FB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DE829C4">
            <w:pPr>
              <w:rPr>
                <w:rFonts w:ascii="Arial"/>
                <w:color w:val="auto"/>
                <w:sz w:val="21"/>
                <w:highlight w:val="none"/>
              </w:rPr>
            </w:pPr>
          </w:p>
        </w:tc>
        <w:tc>
          <w:tcPr>
            <w:tcW w:w="839" w:type="dxa"/>
            <w:vAlign w:val="top"/>
          </w:tcPr>
          <w:p w14:paraId="5BEB3EB1">
            <w:pPr>
              <w:spacing w:line="272" w:lineRule="auto"/>
              <w:rPr>
                <w:rFonts w:ascii="Arial"/>
                <w:color w:val="auto"/>
                <w:sz w:val="21"/>
                <w:highlight w:val="none"/>
              </w:rPr>
            </w:pPr>
          </w:p>
          <w:p w14:paraId="4AA48725">
            <w:pPr>
              <w:pStyle w:val="17"/>
              <w:spacing w:before="68"/>
              <w:ind w:left="333"/>
              <w:rPr>
                <w:color w:val="auto"/>
                <w:highlight w:val="none"/>
              </w:rPr>
            </w:pPr>
            <w:r>
              <w:rPr>
                <w:color w:val="auto"/>
                <w:spacing w:val="-6"/>
                <w:highlight w:val="none"/>
              </w:rPr>
              <w:t>10</w:t>
            </w:r>
          </w:p>
        </w:tc>
        <w:tc>
          <w:tcPr>
            <w:tcW w:w="7621" w:type="dxa"/>
            <w:vAlign w:val="top"/>
          </w:tcPr>
          <w:p w14:paraId="18A1FB49">
            <w:pPr>
              <w:pStyle w:val="17"/>
              <w:spacing w:before="144" w:line="286" w:lineRule="auto"/>
              <w:ind w:left="116" w:right="115" w:hanging="3"/>
              <w:rPr>
                <w:color w:val="auto"/>
                <w:highlight w:val="none"/>
              </w:rPr>
            </w:pPr>
            <w:r>
              <w:rPr>
                <w:color w:val="auto"/>
                <w:spacing w:val="1"/>
                <w:highlight w:val="none"/>
              </w:rPr>
              <w:t>路堤填石要求逐层水平填筑石块，摆放平整，码砌边部，空隙用石渣石屑嵌压稳</w:t>
            </w:r>
            <w:r>
              <w:rPr>
                <w:color w:val="auto"/>
                <w:spacing w:val="-2"/>
                <w:highlight w:val="none"/>
              </w:rPr>
              <w:t>定，石块尺寸符合规范要求，违者违约金</w:t>
            </w:r>
            <w:r>
              <w:rPr>
                <w:color w:val="auto"/>
                <w:spacing w:val="-42"/>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7F6F9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CF5F771">
            <w:pPr>
              <w:rPr>
                <w:rFonts w:ascii="Arial"/>
                <w:color w:val="auto"/>
                <w:sz w:val="21"/>
                <w:highlight w:val="none"/>
              </w:rPr>
            </w:pPr>
          </w:p>
        </w:tc>
        <w:tc>
          <w:tcPr>
            <w:tcW w:w="839" w:type="dxa"/>
            <w:vAlign w:val="top"/>
          </w:tcPr>
          <w:p w14:paraId="0572D816">
            <w:pPr>
              <w:spacing w:line="273" w:lineRule="auto"/>
              <w:rPr>
                <w:rFonts w:ascii="Arial"/>
                <w:color w:val="auto"/>
                <w:sz w:val="21"/>
                <w:highlight w:val="none"/>
              </w:rPr>
            </w:pPr>
          </w:p>
          <w:p w14:paraId="0E5A568E">
            <w:pPr>
              <w:pStyle w:val="17"/>
              <w:spacing w:before="68" w:line="241" w:lineRule="auto"/>
              <w:ind w:left="333"/>
              <w:rPr>
                <w:color w:val="auto"/>
                <w:highlight w:val="none"/>
              </w:rPr>
            </w:pPr>
            <w:r>
              <w:rPr>
                <w:color w:val="auto"/>
                <w:spacing w:val="-6"/>
                <w:highlight w:val="none"/>
              </w:rPr>
              <w:t>11</w:t>
            </w:r>
          </w:p>
        </w:tc>
        <w:tc>
          <w:tcPr>
            <w:tcW w:w="7621" w:type="dxa"/>
            <w:vAlign w:val="top"/>
          </w:tcPr>
          <w:p w14:paraId="38FFB1DF">
            <w:pPr>
              <w:pStyle w:val="17"/>
              <w:spacing w:before="144" w:line="286" w:lineRule="auto"/>
              <w:ind w:left="110" w:right="115"/>
              <w:rPr>
                <w:color w:val="auto"/>
                <w:highlight w:val="none"/>
              </w:rPr>
            </w:pPr>
            <w:r>
              <w:rPr>
                <w:color w:val="auto"/>
                <w:spacing w:val="1"/>
                <w:highlight w:val="none"/>
              </w:rPr>
              <w:t>粉喷桩应严格控制喷粉时间、停粉时间、水泥喷入量，不得中断喷粉，确保喷粉</w:t>
            </w:r>
            <w:r>
              <w:rPr>
                <w:color w:val="auto"/>
                <w:spacing w:val="-2"/>
                <w:highlight w:val="none"/>
              </w:rPr>
              <w:t>桩长度，桩身上部范围必须进行二次搅拌，违者违约金</w:t>
            </w:r>
            <w:r>
              <w:rPr>
                <w:color w:val="auto"/>
                <w:spacing w:val="-25"/>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34625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6508BE79">
            <w:pPr>
              <w:rPr>
                <w:rFonts w:ascii="Arial"/>
                <w:color w:val="auto"/>
                <w:sz w:val="21"/>
                <w:highlight w:val="none"/>
              </w:rPr>
            </w:pPr>
          </w:p>
        </w:tc>
        <w:tc>
          <w:tcPr>
            <w:tcW w:w="839" w:type="dxa"/>
            <w:vAlign w:val="top"/>
          </w:tcPr>
          <w:p w14:paraId="798E1BFE">
            <w:pPr>
              <w:pStyle w:val="17"/>
              <w:spacing w:before="226" w:line="241" w:lineRule="auto"/>
              <w:ind w:left="333"/>
              <w:rPr>
                <w:color w:val="auto"/>
                <w:highlight w:val="none"/>
              </w:rPr>
            </w:pPr>
            <w:r>
              <w:rPr>
                <w:color w:val="auto"/>
                <w:spacing w:val="-6"/>
                <w:highlight w:val="none"/>
              </w:rPr>
              <w:t>12</w:t>
            </w:r>
          </w:p>
        </w:tc>
        <w:tc>
          <w:tcPr>
            <w:tcW w:w="7621" w:type="dxa"/>
            <w:vAlign w:val="top"/>
          </w:tcPr>
          <w:p w14:paraId="5FE53AA5">
            <w:pPr>
              <w:pStyle w:val="17"/>
              <w:spacing w:before="226" w:line="219" w:lineRule="auto"/>
              <w:ind w:left="113"/>
              <w:rPr>
                <w:color w:val="auto"/>
                <w:highlight w:val="none"/>
              </w:rPr>
            </w:pPr>
            <w:r>
              <w:rPr>
                <w:color w:val="auto"/>
                <w:spacing w:val="-1"/>
                <w:highlight w:val="none"/>
              </w:rPr>
              <w:t>软基换填处理未将软土清除干净就进行回填施</w:t>
            </w:r>
            <w:r>
              <w:rPr>
                <w:color w:val="auto"/>
                <w:spacing w:val="-2"/>
                <w:highlight w:val="none"/>
              </w:rPr>
              <w:t>工的，违约金</w:t>
            </w:r>
            <w:r>
              <w:rPr>
                <w:color w:val="auto"/>
                <w:spacing w:val="-42"/>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bl>
    <w:p w14:paraId="1C069692">
      <w:pPr>
        <w:pStyle w:val="3"/>
        <w:spacing w:line="345" w:lineRule="auto"/>
        <w:rPr>
          <w:color w:val="auto"/>
          <w:highlight w:val="none"/>
        </w:rPr>
      </w:pPr>
    </w:p>
    <w:p w14:paraId="3A0CC49A">
      <w:pPr>
        <w:pStyle w:val="3"/>
        <w:spacing w:line="346" w:lineRule="auto"/>
        <w:rPr>
          <w:color w:val="auto"/>
          <w:highlight w:val="none"/>
        </w:rPr>
      </w:pPr>
    </w:p>
    <w:p w14:paraId="635A0C90">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DE27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12F95F7E">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013A30DD">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659439C9">
            <w:pPr>
              <w:pStyle w:val="17"/>
              <w:spacing w:before="226" w:line="220" w:lineRule="auto"/>
              <w:ind w:left="3393"/>
              <w:rPr>
                <w:color w:val="auto"/>
                <w:highlight w:val="none"/>
              </w:rPr>
            </w:pPr>
            <w:r>
              <w:rPr>
                <w:b/>
                <w:bCs/>
                <w:color w:val="auto"/>
                <w:spacing w:val="-4"/>
                <w:highlight w:val="none"/>
              </w:rPr>
              <w:t>违约项目</w:t>
            </w:r>
          </w:p>
        </w:tc>
      </w:tr>
      <w:tr w14:paraId="2AC18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59C8E268">
            <w:pPr>
              <w:rPr>
                <w:rFonts w:ascii="Arial"/>
                <w:color w:val="auto"/>
                <w:sz w:val="21"/>
                <w:highlight w:val="none"/>
              </w:rPr>
            </w:pPr>
          </w:p>
        </w:tc>
        <w:tc>
          <w:tcPr>
            <w:tcW w:w="839" w:type="dxa"/>
            <w:vAlign w:val="top"/>
          </w:tcPr>
          <w:p w14:paraId="6611595C">
            <w:pPr>
              <w:pStyle w:val="17"/>
              <w:spacing w:before="221"/>
              <w:ind w:left="333"/>
              <w:rPr>
                <w:color w:val="auto"/>
                <w:highlight w:val="none"/>
              </w:rPr>
            </w:pPr>
            <w:r>
              <w:rPr>
                <w:color w:val="auto"/>
                <w:spacing w:val="-6"/>
                <w:highlight w:val="none"/>
              </w:rPr>
              <w:t>13</w:t>
            </w:r>
          </w:p>
        </w:tc>
        <w:tc>
          <w:tcPr>
            <w:tcW w:w="7621" w:type="dxa"/>
            <w:vAlign w:val="top"/>
          </w:tcPr>
          <w:p w14:paraId="4232024C">
            <w:pPr>
              <w:pStyle w:val="17"/>
              <w:spacing w:before="220" w:line="220" w:lineRule="auto"/>
              <w:ind w:left="113"/>
              <w:rPr>
                <w:color w:val="auto"/>
                <w:highlight w:val="none"/>
              </w:rPr>
            </w:pPr>
            <w:r>
              <w:rPr>
                <w:color w:val="auto"/>
                <w:spacing w:val="-2"/>
                <w:highlight w:val="none"/>
              </w:rPr>
              <w:t>软基处理未按要求进行沉降和稳定性观测的，违约金</w:t>
            </w:r>
            <w:r>
              <w:rPr>
                <w:color w:val="auto"/>
                <w:spacing w:val="-29"/>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4E34B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4AE80342">
            <w:pPr>
              <w:rPr>
                <w:rFonts w:ascii="Arial"/>
                <w:color w:val="auto"/>
                <w:sz w:val="21"/>
                <w:highlight w:val="none"/>
              </w:rPr>
            </w:pPr>
          </w:p>
        </w:tc>
        <w:tc>
          <w:tcPr>
            <w:tcW w:w="839" w:type="dxa"/>
            <w:vAlign w:val="top"/>
          </w:tcPr>
          <w:p w14:paraId="335854D6">
            <w:pPr>
              <w:spacing w:line="268" w:lineRule="auto"/>
              <w:rPr>
                <w:rFonts w:ascii="Arial"/>
                <w:color w:val="auto"/>
                <w:sz w:val="21"/>
                <w:highlight w:val="none"/>
              </w:rPr>
            </w:pPr>
          </w:p>
          <w:p w14:paraId="7E2047A2">
            <w:pPr>
              <w:pStyle w:val="17"/>
              <w:spacing w:before="68" w:line="241" w:lineRule="auto"/>
              <w:ind w:left="333"/>
              <w:rPr>
                <w:color w:val="auto"/>
                <w:highlight w:val="none"/>
              </w:rPr>
            </w:pPr>
            <w:r>
              <w:rPr>
                <w:color w:val="auto"/>
                <w:spacing w:val="-6"/>
                <w:highlight w:val="none"/>
              </w:rPr>
              <w:t>14</w:t>
            </w:r>
          </w:p>
        </w:tc>
        <w:tc>
          <w:tcPr>
            <w:tcW w:w="7621" w:type="dxa"/>
            <w:vAlign w:val="top"/>
          </w:tcPr>
          <w:p w14:paraId="69CB3E64">
            <w:pPr>
              <w:pStyle w:val="17"/>
              <w:spacing w:before="138" w:line="288" w:lineRule="auto"/>
              <w:ind w:left="113" w:right="115"/>
              <w:rPr>
                <w:color w:val="auto"/>
                <w:highlight w:val="none"/>
              </w:rPr>
            </w:pPr>
            <w:r>
              <w:rPr>
                <w:color w:val="auto"/>
                <w:spacing w:val="1"/>
                <w:highlight w:val="none"/>
              </w:rPr>
              <w:t>软基路段施工前应调查软土分布范围、软土深度，进行土工试验，发现与设计不</w:t>
            </w:r>
            <w:r>
              <w:rPr>
                <w:color w:val="auto"/>
                <w:spacing w:val="-2"/>
                <w:highlight w:val="none"/>
              </w:rPr>
              <w:t>符的，应通知监理人，违者违约金</w:t>
            </w:r>
            <w:r>
              <w:rPr>
                <w:color w:val="auto"/>
                <w:spacing w:val="-41"/>
                <w:highlight w:val="none"/>
              </w:rPr>
              <w:t xml:space="preserve"> </w:t>
            </w:r>
            <w:r>
              <w:rPr>
                <w:color w:val="auto"/>
                <w:spacing w:val="-2"/>
                <w:highlight w:val="none"/>
              </w:rPr>
              <w:t>5，000</w:t>
            </w:r>
            <w:r>
              <w:rPr>
                <w:color w:val="auto"/>
                <w:spacing w:val="-42"/>
                <w:highlight w:val="none"/>
              </w:rPr>
              <w:t xml:space="preserve"> </w:t>
            </w:r>
            <w:r>
              <w:rPr>
                <w:color w:val="auto"/>
                <w:spacing w:val="-3"/>
                <w:highlight w:val="none"/>
              </w:rPr>
              <w:t>元/次。</w:t>
            </w:r>
          </w:p>
        </w:tc>
      </w:tr>
      <w:tr w14:paraId="443D2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1E988F1D">
            <w:pPr>
              <w:rPr>
                <w:rFonts w:ascii="Arial"/>
                <w:color w:val="auto"/>
                <w:sz w:val="21"/>
                <w:highlight w:val="none"/>
              </w:rPr>
            </w:pPr>
          </w:p>
        </w:tc>
        <w:tc>
          <w:tcPr>
            <w:tcW w:w="839" w:type="dxa"/>
            <w:vAlign w:val="top"/>
          </w:tcPr>
          <w:p w14:paraId="49516E73">
            <w:pPr>
              <w:pStyle w:val="17"/>
              <w:spacing w:before="222"/>
              <w:ind w:left="333"/>
              <w:rPr>
                <w:color w:val="auto"/>
                <w:highlight w:val="none"/>
              </w:rPr>
            </w:pPr>
            <w:r>
              <w:rPr>
                <w:color w:val="auto"/>
                <w:spacing w:val="-6"/>
                <w:highlight w:val="none"/>
              </w:rPr>
              <w:t>15</w:t>
            </w:r>
          </w:p>
        </w:tc>
        <w:tc>
          <w:tcPr>
            <w:tcW w:w="7621" w:type="dxa"/>
            <w:vAlign w:val="top"/>
          </w:tcPr>
          <w:p w14:paraId="56104AAA">
            <w:pPr>
              <w:pStyle w:val="17"/>
              <w:spacing w:before="222" w:line="217" w:lineRule="auto"/>
              <w:ind w:left="111"/>
              <w:rPr>
                <w:color w:val="auto"/>
                <w:highlight w:val="none"/>
              </w:rPr>
            </w:pPr>
            <w:r>
              <w:rPr>
                <w:color w:val="auto"/>
                <w:spacing w:val="-1"/>
                <w:highlight w:val="none"/>
              </w:rPr>
              <w:t>袋装砂井施工中，砂袋未垂吊、灌沙不饱满</w:t>
            </w:r>
            <w:r>
              <w:rPr>
                <w:color w:val="auto"/>
                <w:spacing w:val="-2"/>
                <w:highlight w:val="none"/>
              </w:rPr>
              <w:t>的，违约金</w:t>
            </w:r>
            <w:r>
              <w:rPr>
                <w:color w:val="auto"/>
                <w:spacing w:val="-42"/>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元/根。</w:t>
            </w:r>
          </w:p>
        </w:tc>
      </w:tr>
      <w:tr w14:paraId="7D424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699F4C08">
            <w:pPr>
              <w:rPr>
                <w:rFonts w:ascii="Arial"/>
                <w:color w:val="auto"/>
                <w:sz w:val="21"/>
                <w:highlight w:val="none"/>
              </w:rPr>
            </w:pPr>
          </w:p>
        </w:tc>
        <w:tc>
          <w:tcPr>
            <w:tcW w:w="839" w:type="dxa"/>
            <w:vAlign w:val="top"/>
          </w:tcPr>
          <w:p w14:paraId="58A0F60C">
            <w:pPr>
              <w:spacing w:line="269" w:lineRule="auto"/>
              <w:rPr>
                <w:rFonts w:ascii="Arial"/>
                <w:color w:val="auto"/>
                <w:sz w:val="21"/>
                <w:highlight w:val="none"/>
              </w:rPr>
            </w:pPr>
          </w:p>
          <w:p w14:paraId="4138EB16">
            <w:pPr>
              <w:pStyle w:val="17"/>
              <w:spacing w:before="68"/>
              <w:ind w:left="333"/>
              <w:rPr>
                <w:color w:val="auto"/>
                <w:highlight w:val="none"/>
              </w:rPr>
            </w:pPr>
            <w:r>
              <w:rPr>
                <w:color w:val="auto"/>
                <w:spacing w:val="-6"/>
                <w:highlight w:val="none"/>
              </w:rPr>
              <w:t>16</w:t>
            </w:r>
          </w:p>
        </w:tc>
        <w:tc>
          <w:tcPr>
            <w:tcW w:w="7621" w:type="dxa"/>
            <w:vAlign w:val="top"/>
          </w:tcPr>
          <w:p w14:paraId="326EF597">
            <w:pPr>
              <w:pStyle w:val="17"/>
              <w:spacing w:before="139" w:line="288" w:lineRule="auto"/>
              <w:ind w:left="112" w:right="50" w:hanging="1"/>
              <w:rPr>
                <w:color w:val="auto"/>
                <w:highlight w:val="none"/>
              </w:rPr>
            </w:pPr>
            <w:r>
              <w:rPr>
                <w:color w:val="auto"/>
                <w:spacing w:val="-2"/>
                <w:highlight w:val="none"/>
              </w:rPr>
              <w:t>袋装砂井、砂袋织物和塑料排水板的材料质量必须符合设计要求，违者违约金</w:t>
            </w:r>
            <w:r>
              <w:rPr>
                <w:color w:val="auto"/>
                <w:spacing w:val="-35"/>
                <w:highlight w:val="none"/>
              </w:rPr>
              <w:t xml:space="preserve"> </w:t>
            </w:r>
            <w:r>
              <w:rPr>
                <w:color w:val="auto"/>
                <w:spacing w:val="-2"/>
                <w:highlight w:val="none"/>
              </w:rPr>
              <w:t>2，</w:t>
            </w:r>
            <w:r>
              <w:rPr>
                <w:color w:val="auto"/>
                <w:highlight w:val="none"/>
              </w:rPr>
              <w:t xml:space="preserve"> </w:t>
            </w:r>
            <w:r>
              <w:rPr>
                <w:color w:val="auto"/>
                <w:spacing w:val="-3"/>
                <w:highlight w:val="none"/>
              </w:rPr>
              <w:t>000</w:t>
            </w:r>
            <w:r>
              <w:rPr>
                <w:color w:val="auto"/>
                <w:spacing w:val="-43"/>
                <w:highlight w:val="none"/>
              </w:rPr>
              <w:t xml:space="preserve"> </w:t>
            </w:r>
            <w:r>
              <w:rPr>
                <w:color w:val="auto"/>
                <w:spacing w:val="-3"/>
                <w:highlight w:val="none"/>
              </w:rPr>
              <w:t>元/处。</w:t>
            </w:r>
          </w:p>
        </w:tc>
      </w:tr>
      <w:tr w14:paraId="110BD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44CD8BB">
            <w:pPr>
              <w:rPr>
                <w:rFonts w:ascii="Arial"/>
                <w:color w:val="auto"/>
                <w:sz w:val="21"/>
                <w:highlight w:val="none"/>
              </w:rPr>
            </w:pPr>
          </w:p>
        </w:tc>
        <w:tc>
          <w:tcPr>
            <w:tcW w:w="839" w:type="dxa"/>
            <w:vAlign w:val="top"/>
          </w:tcPr>
          <w:p w14:paraId="19A7CE6F">
            <w:pPr>
              <w:spacing w:line="269" w:lineRule="auto"/>
              <w:rPr>
                <w:rFonts w:ascii="Arial"/>
                <w:color w:val="auto"/>
                <w:sz w:val="21"/>
                <w:highlight w:val="none"/>
              </w:rPr>
            </w:pPr>
          </w:p>
          <w:p w14:paraId="66719E00">
            <w:pPr>
              <w:pStyle w:val="17"/>
              <w:spacing w:before="68"/>
              <w:ind w:left="333"/>
              <w:rPr>
                <w:color w:val="auto"/>
                <w:highlight w:val="none"/>
              </w:rPr>
            </w:pPr>
            <w:r>
              <w:rPr>
                <w:color w:val="auto"/>
                <w:spacing w:val="-6"/>
                <w:highlight w:val="none"/>
              </w:rPr>
              <w:t>17</w:t>
            </w:r>
          </w:p>
        </w:tc>
        <w:tc>
          <w:tcPr>
            <w:tcW w:w="7621" w:type="dxa"/>
            <w:vAlign w:val="top"/>
          </w:tcPr>
          <w:p w14:paraId="2AA9B385">
            <w:pPr>
              <w:pStyle w:val="17"/>
              <w:spacing w:before="139" w:line="288" w:lineRule="auto"/>
              <w:ind w:left="112" w:right="115"/>
              <w:rPr>
                <w:color w:val="auto"/>
                <w:highlight w:val="none"/>
              </w:rPr>
            </w:pPr>
            <w:r>
              <w:rPr>
                <w:color w:val="auto"/>
                <w:spacing w:val="1"/>
                <w:highlight w:val="none"/>
              </w:rPr>
              <w:t>土工格栅、土工布等土工材料质量不符合设计要求，搭接宽度、搭接方式不符合</w:t>
            </w:r>
            <w:r>
              <w:rPr>
                <w:color w:val="auto"/>
                <w:spacing w:val="-3"/>
                <w:highlight w:val="none"/>
              </w:rPr>
              <w:t>有关要求的，违约金</w:t>
            </w:r>
            <w:r>
              <w:rPr>
                <w:color w:val="auto"/>
                <w:spacing w:val="-38"/>
                <w:highlight w:val="none"/>
              </w:rPr>
              <w:t xml:space="preserve"> </w:t>
            </w:r>
            <w:r>
              <w:rPr>
                <w:color w:val="auto"/>
                <w:spacing w:val="-3"/>
                <w:highlight w:val="none"/>
              </w:rPr>
              <w:t>2，000</w:t>
            </w:r>
            <w:r>
              <w:rPr>
                <w:color w:val="auto"/>
                <w:spacing w:val="-42"/>
                <w:highlight w:val="none"/>
              </w:rPr>
              <w:t xml:space="preserve"> </w:t>
            </w:r>
            <w:r>
              <w:rPr>
                <w:color w:val="auto"/>
                <w:spacing w:val="-3"/>
                <w:highlight w:val="none"/>
              </w:rPr>
              <w:t>元/处。</w:t>
            </w:r>
          </w:p>
        </w:tc>
      </w:tr>
      <w:tr w14:paraId="53A8B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832" w:type="dxa"/>
            <w:vMerge w:val="continue"/>
            <w:tcBorders>
              <w:top w:val="nil"/>
              <w:bottom w:val="nil"/>
            </w:tcBorders>
            <w:vAlign w:val="top"/>
          </w:tcPr>
          <w:p w14:paraId="010C4270">
            <w:pPr>
              <w:rPr>
                <w:rFonts w:ascii="Arial"/>
                <w:color w:val="auto"/>
                <w:sz w:val="21"/>
                <w:highlight w:val="none"/>
              </w:rPr>
            </w:pPr>
          </w:p>
        </w:tc>
        <w:tc>
          <w:tcPr>
            <w:tcW w:w="839" w:type="dxa"/>
            <w:vAlign w:val="top"/>
          </w:tcPr>
          <w:p w14:paraId="12F10F97">
            <w:pPr>
              <w:spacing w:line="265" w:lineRule="auto"/>
              <w:rPr>
                <w:rFonts w:ascii="Arial"/>
                <w:color w:val="auto"/>
                <w:sz w:val="21"/>
                <w:highlight w:val="none"/>
              </w:rPr>
            </w:pPr>
          </w:p>
          <w:p w14:paraId="10540AC0">
            <w:pPr>
              <w:spacing w:line="265" w:lineRule="auto"/>
              <w:rPr>
                <w:rFonts w:ascii="Arial"/>
                <w:color w:val="auto"/>
                <w:sz w:val="21"/>
                <w:highlight w:val="none"/>
              </w:rPr>
            </w:pPr>
          </w:p>
          <w:p w14:paraId="74E63CF2">
            <w:pPr>
              <w:spacing w:line="265" w:lineRule="auto"/>
              <w:rPr>
                <w:rFonts w:ascii="Arial"/>
                <w:color w:val="auto"/>
                <w:sz w:val="21"/>
                <w:highlight w:val="none"/>
              </w:rPr>
            </w:pPr>
          </w:p>
          <w:p w14:paraId="15C92A13">
            <w:pPr>
              <w:spacing w:line="265" w:lineRule="auto"/>
              <w:rPr>
                <w:rFonts w:ascii="Arial"/>
                <w:color w:val="auto"/>
                <w:sz w:val="21"/>
                <w:highlight w:val="none"/>
              </w:rPr>
            </w:pPr>
          </w:p>
          <w:p w14:paraId="5EE37E86">
            <w:pPr>
              <w:spacing w:line="266" w:lineRule="auto"/>
              <w:rPr>
                <w:rFonts w:ascii="Arial"/>
                <w:color w:val="auto"/>
                <w:sz w:val="21"/>
                <w:highlight w:val="none"/>
              </w:rPr>
            </w:pPr>
          </w:p>
          <w:p w14:paraId="4AF5BDE4">
            <w:pPr>
              <w:spacing w:line="266" w:lineRule="auto"/>
              <w:rPr>
                <w:rFonts w:ascii="Arial"/>
                <w:color w:val="auto"/>
                <w:sz w:val="21"/>
                <w:highlight w:val="none"/>
              </w:rPr>
            </w:pPr>
          </w:p>
          <w:p w14:paraId="417579B6">
            <w:pPr>
              <w:spacing w:line="266" w:lineRule="auto"/>
              <w:rPr>
                <w:rFonts w:ascii="Arial"/>
                <w:color w:val="auto"/>
                <w:sz w:val="21"/>
                <w:highlight w:val="none"/>
              </w:rPr>
            </w:pPr>
          </w:p>
          <w:p w14:paraId="33CBB113">
            <w:pPr>
              <w:pStyle w:val="17"/>
              <w:spacing w:before="69"/>
              <w:ind w:left="333"/>
              <w:rPr>
                <w:color w:val="auto"/>
                <w:highlight w:val="none"/>
              </w:rPr>
            </w:pPr>
            <w:r>
              <w:rPr>
                <w:color w:val="auto"/>
                <w:spacing w:val="-6"/>
                <w:highlight w:val="none"/>
              </w:rPr>
              <w:t>18</w:t>
            </w:r>
          </w:p>
        </w:tc>
        <w:tc>
          <w:tcPr>
            <w:tcW w:w="7621" w:type="dxa"/>
            <w:vAlign w:val="top"/>
          </w:tcPr>
          <w:p w14:paraId="7DEA3EB7">
            <w:pPr>
              <w:pStyle w:val="17"/>
              <w:spacing w:before="138" w:line="217" w:lineRule="auto"/>
              <w:ind w:left="116"/>
              <w:rPr>
                <w:color w:val="auto"/>
                <w:highlight w:val="none"/>
              </w:rPr>
            </w:pPr>
            <w:r>
              <w:rPr>
                <w:color w:val="auto"/>
                <w:spacing w:val="-2"/>
                <w:highlight w:val="none"/>
              </w:rPr>
              <w:t>结构物台背回填施工应符合以下要求，违者违约金</w:t>
            </w:r>
            <w:r>
              <w:rPr>
                <w:color w:val="auto"/>
                <w:spacing w:val="-43"/>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元/处（次</w:t>
            </w:r>
            <w:r>
              <w:rPr>
                <w:color w:val="auto"/>
                <w:spacing w:val="-5"/>
                <w:highlight w:val="none"/>
              </w:rPr>
              <w:t>）：</w:t>
            </w:r>
          </w:p>
          <w:p w14:paraId="2B52AB87">
            <w:pPr>
              <w:pStyle w:val="17"/>
              <w:spacing w:before="153" w:line="286" w:lineRule="auto"/>
              <w:ind w:left="116" w:right="114"/>
              <w:rPr>
                <w:color w:val="auto"/>
                <w:highlight w:val="none"/>
              </w:rPr>
            </w:pPr>
            <w:r>
              <w:rPr>
                <w:color w:val="auto"/>
                <w:spacing w:val="-2"/>
                <w:highlight w:val="none"/>
              </w:rPr>
              <w:t>（1）除肋式及桩柱式外，回填必须在上部结构安装完毕，结构物验收合格，且砼</w:t>
            </w:r>
            <w:r>
              <w:rPr>
                <w:color w:val="auto"/>
                <w:spacing w:val="-4"/>
                <w:highlight w:val="none"/>
              </w:rPr>
              <w:t>强度达到设计的</w:t>
            </w:r>
            <w:r>
              <w:rPr>
                <w:color w:val="auto"/>
                <w:spacing w:val="-45"/>
                <w:highlight w:val="none"/>
              </w:rPr>
              <w:t xml:space="preserve"> </w:t>
            </w:r>
            <w:r>
              <w:rPr>
                <w:color w:val="auto"/>
                <w:spacing w:val="-4"/>
                <w:highlight w:val="none"/>
              </w:rPr>
              <w:t>85%后方可进行；</w:t>
            </w:r>
          </w:p>
          <w:p w14:paraId="5758CE0D">
            <w:pPr>
              <w:pStyle w:val="17"/>
              <w:spacing w:before="149" w:line="286" w:lineRule="auto"/>
              <w:ind w:left="115" w:right="118" w:firstLine="2"/>
              <w:rPr>
                <w:color w:val="auto"/>
                <w:highlight w:val="none"/>
              </w:rPr>
            </w:pPr>
            <w:r>
              <w:rPr>
                <w:color w:val="auto"/>
                <w:spacing w:val="-6"/>
                <w:highlight w:val="none"/>
              </w:rPr>
              <w:t>（2）回填必须在构造物两端对称填筑压实，以免产生变形、破坏</w:t>
            </w:r>
            <w:r>
              <w:rPr>
                <w:color w:val="auto"/>
                <w:spacing w:val="-7"/>
                <w:highlight w:val="none"/>
              </w:rPr>
              <w:t>，</w:t>
            </w:r>
            <w:r>
              <w:rPr>
                <w:color w:val="auto"/>
                <w:spacing w:val="42"/>
                <w:highlight w:val="none"/>
              </w:rPr>
              <w:t xml:space="preserve"> </w:t>
            </w:r>
            <w:r>
              <w:rPr>
                <w:color w:val="auto"/>
                <w:spacing w:val="-7"/>
                <w:highlight w:val="none"/>
              </w:rPr>
              <w:t>每层松铺厚度</w:t>
            </w:r>
            <w:r>
              <w:rPr>
                <w:color w:val="auto"/>
                <w:spacing w:val="-3"/>
                <w:highlight w:val="none"/>
              </w:rPr>
              <w:t>不大于</w:t>
            </w:r>
            <w:r>
              <w:rPr>
                <w:color w:val="auto"/>
                <w:spacing w:val="-42"/>
                <w:highlight w:val="none"/>
              </w:rPr>
              <w:t xml:space="preserve"> </w:t>
            </w:r>
            <w:r>
              <w:rPr>
                <w:color w:val="auto"/>
                <w:spacing w:val="-3"/>
                <w:highlight w:val="none"/>
              </w:rPr>
              <w:t>20cm；</w:t>
            </w:r>
          </w:p>
          <w:p w14:paraId="2D8AE195">
            <w:pPr>
              <w:pStyle w:val="17"/>
              <w:spacing w:before="148" w:line="286" w:lineRule="auto"/>
              <w:ind w:left="116" w:right="121"/>
              <w:rPr>
                <w:color w:val="auto"/>
                <w:highlight w:val="none"/>
              </w:rPr>
            </w:pPr>
            <w:r>
              <w:rPr>
                <w:color w:val="auto"/>
                <w:spacing w:val="-1"/>
                <w:highlight w:val="none"/>
              </w:rPr>
              <w:t>（3）回填界面路基填筑时必须超填</w:t>
            </w:r>
            <w:r>
              <w:rPr>
                <w:color w:val="auto"/>
                <w:spacing w:val="-23"/>
                <w:highlight w:val="none"/>
              </w:rPr>
              <w:t xml:space="preserve"> </w:t>
            </w:r>
            <w:r>
              <w:rPr>
                <w:color w:val="auto"/>
                <w:spacing w:val="-1"/>
                <w:highlight w:val="none"/>
              </w:rPr>
              <w:t>50cm</w:t>
            </w:r>
            <w:r>
              <w:rPr>
                <w:color w:val="auto"/>
                <w:spacing w:val="-19"/>
                <w:highlight w:val="none"/>
              </w:rPr>
              <w:t xml:space="preserve"> </w:t>
            </w:r>
            <w:r>
              <w:rPr>
                <w:color w:val="auto"/>
                <w:spacing w:val="-1"/>
                <w:highlight w:val="none"/>
              </w:rPr>
              <w:t>以上，超填部分回填施工前清除，保证</w:t>
            </w:r>
            <w:r>
              <w:rPr>
                <w:color w:val="auto"/>
                <w:spacing w:val="-10"/>
                <w:highlight w:val="none"/>
              </w:rPr>
              <w:t>界面密实；</w:t>
            </w:r>
          </w:p>
          <w:p w14:paraId="593EF030">
            <w:pPr>
              <w:pStyle w:val="17"/>
              <w:spacing w:before="150" w:line="286" w:lineRule="auto"/>
              <w:ind w:left="115" w:right="49" w:firstLine="2"/>
              <w:rPr>
                <w:color w:val="auto"/>
                <w:highlight w:val="none"/>
              </w:rPr>
            </w:pPr>
            <w:r>
              <w:rPr>
                <w:color w:val="auto"/>
                <w:spacing w:val="-6"/>
                <w:highlight w:val="none"/>
              </w:rPr>
              <w:t>（4）回填砂施工采用水密法，配合插入式振捣捧小型夯实设备，小型压路机进行，必须达到设计压实度；</w:t>
            </w:r>
          </w:p>
          <w:p w14:paraId="1C58DE11">
            <w:pPr>
              <w:pStyle w:val="17"/>
              <w:spacing w:before="148" w:line="220" w:lineRule="auto"/>
              <w:ind w:left="117"/>
              <w:rPr>
                <w:color w:val="auto"/>
                <w:highlight w:val="none"/>
              </w:rPr>
            </w:pPr>
            <w:r>
              <w:rPr>
                <w:color w:val="auto"/>
                <w:spacing w:val="-2"/>
                <w:highlight w:val="none"/>
              </w:rPr>
              <w:t>（5）台背填料及回填断面应符合设计和规范要求。</w:t>
            </w:r>
          </w:p>
        </w:tc>
      </w:tr>
      <w:tr w14:paraId="42993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6" w:hRule="atLeast"/>
        </w:trPr>
        <w:tc>
          <w:tcPr>
            <w:tcW w:w="832" w:type="dxa"/>
            <w:vMerge w:val="continue"/>
            <w:tcBorders>
              <w:top w:val="nil"/>
              <w:bottom w:val="nil"/>
            </w:tcBorders>
            <w:vAlign w:val="top"/>
          </w:tcPr>
          <w:p w14:paraId="55CBFF44">
            <w:pPr>
              <w:rPr>
                <w:rFonts w:ascii="Arial"/>
                <w:color w:val="auto"/>
                <w:sz w:val="21"/>
                <w:highlight w:val="none"/>
              </w:rPr>
            </w:pPr>
          </w:p>
        </w:tc>
        <w:tc>
          <w:tcPr>
            <w:tcW w:w="839" w:type="dxa"/>
            <w:vAlign w:val="top"/>
          </w:tcPr>
          <w:p w14:paraId="74A3E39A">
            <w:pPr>
              <w:spacing w:line="259" w:lineRule="auto"/>
              <w:rPr>
                <w:rFonts w:ascii="Arial"/>
                <w:color w:val="auto"/>
                <w:sz w:val="21"/>
                <w:highlight w:val="none"/>
              </w:rPr>
            </w:pPr>
          </w:p>
          <w:p w14:paraId="418D2B2E">
            <w:pPr>
              <w:spacing w:line="259" w:lineRule="auto"/>
              <w:rPr>
                <w:rFonts w:ascii="Arial"/>
                <w:color w:val="auto"/>
                <w:sz w:val="21"/>
                <w:highlight w:val="none"/>
              </w:rPr>
            </w:pPr>
          </w:p>
          <w:p w14:paraId="022B00F0">
            <w:pPr>
              <w:spacing w:line="259" w:lineRule="auto"/>
              <w:rPr>
                <w:rFonts w:ascii="Arial"/>
                <w:color w:val="auto"/>
                <w:sz w:val="21"/>
                <w:highlight w:val="none"/>
              </w:rPr>
            </w:pPr>
          </w:p>
          <w:p w14:paraId="2BCD20C5">
            <w:pPr>
              <w:spacing w:line="260" w:lineRule="auto"/>
              <w:rPr>
                <w:rFonts w:ascii="Arial"/>
                <w:color w:val="auto"/>
                <w:sz w:val="21"/>
                <w:highlight w:val="none"/>
              </w:rPr>
            </w:pPr>
          </w:p>
          <w:p w14:paraId="736C436A">
            <w:pPr>
              <w:spacing w:line="260" w:lineRule="auto"/>
              <w:rPr>
                <w:rFonts w:ascii="Arial"/>
                <w:color w:val="auto"/>
                <w:sz w:val="21"/>
                <w:highlight w:val="none"/>
              </w:rPr>
            </w:pPr>
          </w:p>
          <w:p w14:paraId="7BEC9A54">
            <w:pPr>
              <w:spacing w:line="260" w:lineRule="auto"/>
              <w:rPr>
                <w:rFonts w:ascii="Arial"/>
                <w:color w:val="auto"/>
                <w:sz w:val="21"/>
                <w:highlight w:val="none"/>
              </w:rPr>
            </w:pPr>
          </w:p>
          <w:p w14:paraId="1FB72C65">
            <w:pPr>
              <w:spacing w:line="260" w:lineRule="auto"/>
              <w:rPr>
                <w:rFonts w:ascii="Arial"/>
                <w:color w:val="auto"/>
                <w:sz w:val="21"/>
                <w:highlight w:val="none"/>
              </w:rPr>
            </w:pPr>
          </w:p>
          <w:p w14:paraId="2A7EA323">
            <w:pPr>
              <w:pStyle w:val="17"/>
              <w:spacing w:before="68"/>
              <w:ind w:left="333"/>
              <w:rPr>
                <w:color w:val="auto"/>
                <w:highlight w:val="none"/>
              </w:rPr>
            </w:pPr>
            <w:r>
              <w:rPr>
                <w:color w:val="auto"/>
                <w:spacing w:val="-6"/>
                <w:highlight w:val="none"/>
              </w:rPr>
              <w:t>19</w:t>
            </w:r>
          </w:p>
        </w:tc>
        <w:tc>
          <w:tcPr>
            <w:tcW w:w="7621" w:type="dxa"/>
            <w:vAlign w:val="top"/>
          </w:tcPr>
          <w:p w14:paraId="28AD68D7">
            <w:pPr>
              <w:pStyle w:val="17"/>
              <w:spacing w:before="140" w:line="217" w:lineRule="auto"/>
              <w:ind w:left="112"/>
              <w:rPr>
                <w:color w:val="auto"/>
                <w:highlight w:val="none"/>
              </w:rPr>
            </w:pPr>
            <w:r>
              <w:rPr>
                <w:color w:val="auto"/>
                <w:spacing w:val="-6"/>
                <w:highlight w:val="none"/>
              </w:rPr>
              <w:t>支挡工程（含砌体工程）不满足下列规定者，违约金</w:t>
            </w:r>
            <w:r>
              <w:rPr>
                <w:color w:val="auto"/>
                <w:spacing w:val="-34"/>
                <w:highlight w:val="none"/>
              </w:rPr>
              <w:t xml:space="preserve"> </w:t>
            </w:r>
            <w:r>
              <w:rPr>
                <w:color w:val="auto"/>
                <w:spacing w:val="-6"/>
                <w:highlight w:val="none"/>
              </w:rPr>
              <w:t>2,000</w:t>
            </w:r>
            <w:r>
              <w:rPr>
                <w:color w:val="auto"/>
                <w:spacing w:val="-43"/>
                <w:highlight w:val="none"/>
              </w:rPr>
              <w:t xml:space="preserve"> </w:t>
            </w:r>
            <w:r>
              <w:rPr>
                <w:color w:val="auto"/>
                <w:spacing w:val="-6"/>
                <w:highlight w:val="none"/>
              </w:rPr>
              <w:t>元/项，并作返工处理：</w:t>
            </w:r>
          </w:p>
          <w:p w14:paraId="4582B280">
            <w:pPr>
              <w:pStyle w:val="17"/>
              <w:spacing w:before="152" w:line="219" w:lineRule="auto"/>
              <w:ind w:left="117"/>
              <w:rPr>
                <w:color w:val="auto"/>
                <w:highlight w:val="none"/>
              </w:rPr>
            </w:pPr>
            <w:r>
              <w:rPr>
                <w:color w:val="auto"/>
                <w:spacing w:val="-3"/>
                <w:highlight w:val="none"/>
              </w:rPr>
              <w:t>（1）不得采用风化石，表面石料粒径需≥30cm；</w:t>
            </w:r>
          </w:p>
          <w:p w14:paraId="6B6329DC">
            <w:pPr>
              <w:pStyle w:val="17"/>
              <w:spacing w:before="152" w:line="286" w:lineRule="auto"/>
              <w:ind w:left="112" w:right="117" w:firstLine="4"/>
              <w:rPr>
                <w:color w:val="auto"/>
                <w:highlight w:val="none"/>
              </w:rPr>
            </w:pPr>
            <w:r>
              <w:rPr>
                <w:color w:val="auto"/>
                <w:spacing w:val="-2"/>
                <w:highlight w:val="none"/>
              </w:rPr>
              <w:t>（2）构造物表面平顺，无凹凸扭曲现象，砂浆抹边的棱角线、平直度符</w:t>
            </w:r>
            <w:r>
              <w:rPr>
                <w:color w:val="auto"/>
                <w:spacing w:val="-3"/>
                <w:highlight w:val="none"/>
              </w:rPr>
              <w:t>合设计及</w:t>
            </w:r>
            <w:r>
              <w:rPr>
                <w:color w:val="auto"/>
                <w:spacing w:val="-10"/>
                <w:highlight w:val="none"/>
              </w:rPr>
              <w:t>规范要求；</w:t>
            </w:r>
          </w:p>
          <w:p w14:paraId="3CCCCD2E">
            <w:pPr>
              <w:pStyle w:val="17"/>
              <w:spacing w:before="148" w:line="219" w:lineRule="auto"/>
              <w:ind w:left="117"/>
              <w:rPr>
                <w:color w:val="auto"/>
                <w:highlight w:val="none"/>
              </w:rPr>
            </w:pPr>
            <w:r>
              <w:rPr>
                <w:color w:val="auto"/>
                <w:spacing w:val="-3"/>
                <w:highlight w:val="none"/>
              </w:rPr>
              <w:t>（3）构造物结构尺寸符合设计及规范要求。</w:t>
            </w:r>
          </w:p>
          <w:p w14:paraId="07D1AC97">
            <w:pPr>
              <w:pStyle w:val="17"/>
              <w:spacing w:before="151" w:line="220" w:lineRule="auto"/>
              <w:ind w:left="117"/>
              <w:rPr>
                <w:color w:val="auto"/>
                <w:highlight w:val="none"/>
              </w:rPr>
            </w:pPr>
            <w:r>
              <w:rPr>
                <w:color w:val="auto"/>
                <w:spacing w:val="-1"/>
                <w:highlight w:val="none"/>
              </w:rPr>
              <w:t>（4）勾缝不得有瞎缝、丢缝、裂纹和脱落现象，缝宽统一；</w:t>
            </w:r>
          </w:p>
          <w:p w14:paraId="3EA869F3">
            <w:pPr>
              <w:pStyle w:val="17"/>
              <w:spacing w:before="149" w:line="286" w:lineRule="auto"/>
              <w:ind w:left="111" w:right="49" w:firstLine="5"/>
              <w:rPr>
                <w:color w:val="auto"/>
                <w:highlight w:val="none"/>
              </w:rPr>
            </w:pPr>
            <w:r>
              <w:rPr>
                <w:color w:val="auto"/>
                <w:spacing w:val="-8"/>
                <w:highlight w:val="none"/>
              </w:rPr>
              <w:t>（5）石缝不大于</w:t>
            </w:r>
            <w:r>
              <w:rPr>
                <w:color w:val="auto"/>
                <w:spacing w:val="-45"/>
                <w:highlight w:val="none"/>
              </w:rPr>
              <w:t xml:space="preserve"> </w:t>
            </w:r>
            <w:r>
              <w:rPr>
                <w:color w:val="auto"/>
                <w:spacing w:val="-8"/>
                <w:highlight w:val="none"/>
              </w:rPr>
              <w:t>40mm，砌缝内砂浆均匀饱满，不得有空洞；层间</w:t>
            </w:r>
            <w:r>
              <w:rPr>
                <w:color w:val="auto"/>
                <w:spacing w:val="-9"/>
                <w:highlight w:val="none"/>
              </w:rPr>
              <w:t>错缝不大于</w:t>
            </w:r>
            <w:r>
              <w:rPr>
                <w:color w:val="auto"/>
                <w:spacing w:val="-45"/>
                <w:highlight w:val="none"/>
              </w:rPr>
              <w:t xml:space="preserve"> </w:t>
            </w:r>
            <w:r>
              <w:rPr>
                <w:color w:val="auto"/>
                <w:spacing w:val="-9"/>
                <w:highlight w:val="none"/>
              </w:rPr>
              <w:t>80mm，</w:t>
            </w:r>
            <w:r>
              <w:rPr>
                <w:color w:val="auto"/>
                <w:spacing w:val="-4"/>
                <w:highlight w:val="none"/>
              </w:rPr>
              <w:t>三块石相接空隙不大于</w:t>
            </w:r>
            <w:r>
              <w:rPr>
                <w:color w:val="auto"/>
                <w:spacing w:val="-31"/>
                <w:highlight w:val="none"/>
              </w:rPr>
              <w:t xml:space="preserve"> </w:t>
            </w:r>
            <w:r>
              <w:rPr>
                <w:color w:val="auto"/>
                <w:spacing w:val="-4"/>
                <w:highlight w:val="none"/>
              </w:rPr>
              <w:t>70mm；</w:t>
            </w:r>
          </w:p>
          <w:p w14:paraId="1BDF1D84">
            <w:pPr>
              <w:pStyle w:val="17"/>
              <w:spacing w:before="62" w:line="219" w:lineRule="auto"/>
              <w:ind w:left="117"/>
              <w:rPr>
                <w:color w:val="auto"/>
                <w:highlight w:val="none"/>
              </w:rPr>
            </w:pPr>
            <w:r>
              <w:rPr>
                <w:color w:val="auto"/>
                <w:spacing w:val="-3"/>
                <w:highlight w:val="none"/>
              </w:rPr>
              <w:t>（6）砂浆抹面，平整度用 2m</w:t>
            </w:r>
            <w:r>
              <w:rPr>
                <w:color w:val="auto"/>
                <w:spacing w:val="-43"/>
                <w:highlight w:val="none"/>
              </w:rPr>
              <w:t xml:space="preserve"> </w:t>
            </w:r>
            <w:r>
              <w:rPr>
                <w:color w:val="auto"/>
                <w:spacing w:val="-3"/>
                <w:highlight w:val="none"/>
              </w:rPr>
              <w:t>直尺检查</w:t>
            </w:r>
            <w:r>
              <w:rPr>
                <w:color w:val="auto"/>
                <w:spacing w:val="-4"/>
                <w:highlight w:val="none"/>
              </w:rPr>
              <w:t>≤8mm，不得有裂缝、空鼓现象；</w:t>
            </w:r>
          </w:p>
          <w:p w14:paraId="1C9EF931">
            <w:pPr>
              <w:pStyle w:val="17"/>
              <w:spacing w:before="151" w:line="220" w:lineRule="auto"/>
              <w:ind w:left="117"/>
              <w:rPr>
                <w:color w:val="auto"/>
                <w:highlight w:val="none"/>
              </w:rPr>
            </w:pPr>
            <w:r>
              <w:rPr>
                <w:color w:val="auto"/>
                <w:spacing w:val="-2"/>
                <w:highlight w:val="none"/>
              </w:rPr>
              <w:t>（7）泄水孔按设计设置，数量、位置和坡度符合要求，无堵塞现象。</w:t>
            </w:r>
          </w:p>
        </w:tc>
      </w:tr>
      <w:tr w14:paraId="0495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5CBEED8B">
            <w:pPr>
              <w:rPr>
                <w:rFonts w:ascii="Arial"/>
                <w:color w:val="auto"/>
                <w:sz w:val="21"/>
                <w:highlight w:val="none"/>
              </w:rPr>
            </w:pPr>
          </w:p>
        </w:tc>
        <w:tc>
          <w:tcPr>
            <w:tcW w:w="839" w:type="dxa"/>
            <w:vAlign w:val="top"/>
          </w:tcPr>
          <w:p w14:paraId="01CF28BA">
            <w:pPr>
              <w:spacing w:line="334" w:lineRule="auto"/>
              <w:rPr>
                <w:rFonts w:ascii="Arial"/>
                <w:color w:val="auto"/>
                <w:sz w:val="21"/>
                <w:highlight w:val="none"/>
              </w:rPr>
            </w:pPr>
          </w:p>
          <w:p w14:paraId="75B5DF6E">
            <w:pPr>
              <w:spacing w:line="335" w:lineRule="auto"/>
              <w:rPr>
                <w:rFonts w:ascii="Arial"/>
                <w:color w:val="auto"/>
                <w:sz w:val="21"/>
                <w:highlight w:val="none"/>
              </w:rPr>
            </w:pPr>
          </w:p>
          <w:p w14:paraId="6F0CD409">
            <w:pPr>
              <w:pStyle w:val="17"/>
              <w:spacing w:before="68"/>
              <w:ind w:left="320"/>
              <w:rPr>
                <w:color w:val="auto"/>
                <w:highlight w:val="none"/>
              </w:rPr>
            </w:pPr>
            <w:r>
              <w:rPr>
                <w:color w:val="auto"/>
                <w:spacing w:val="-3"/>
                <w:highlight w:val="none"/>
              </w:rPr>
              <w:t>20</w:t>
            </w:r>
          </w:p>
        </w:tc>
        <w:tc>
          <w:tcPr>
            <w:tcW w:w="7621" w:type="dxa"/>
            <w:vAlign w:val="top"/>
          </w:tcPr>
          <w:p w14:paraId="3EA7654B">
            <w:pPr>
              <w:pStyle w:val="17"/>
              <w:spacing w:before="141" w:line="217" w:lineRule="auto"/>
              <w:ind w:left="111"/>
              <w:rPr>
                <w:color w:val="auto"/>
                <w:highlight w:val="none"/>
              </w:rPr>
            </w:pPr>
            <w:r>
              <w:rPr>
                <w:color w:val="auto"/>
                <w:spacing w:val="-2"/>
                <w:highlight w:val="none"/>
              </w:rPr>
              <w:t>浆砌或砼排水工程存在下列情况之一的，违约金</w:t>
            </w:r>
            <w:r>
              <w:rPr>
                <w:color w:val="auto"/>
                <w:spacing w:val="-41"/>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p w14:paraId="1EC1671D">
            <w:pPr>
              <w:pStyle w:val="17"/>
              <w:spacing w:before="153" w:line="220" w:lineRule="auto"/>
              <w:ind w:left="117"/>
              <w:rPr>
                <w:color w:val="auto"/>
                <w:highlight w:val="none"/>
              </w:rPr>
            </w:pPr>
            <w:r>
              <w:rPr>
                <w:color w:val="auto"/>
                <w:spacing w:val="-5"/>
                <w:highlight w:val="none"/>
              </w:rPr>
              <w:t>（1）铺砌厚度不满足要求；</w:t>
            </w:r>
          </w:p>
          <w:p w14:paraId="19AC4536">
            <w:pPr>
              <w:pStyle w:val="17"/>
              <w:spacing w:before="149" w:line="220" w:lineRule="auto"/>
              <w:ind w:left="117"/>
              <w:rPr>
                <w:color w:val="auto"/>
                <w:highlight w:val="none"/>
              </w:rPr>
            </w:pPr>
            <w:r>
              <w:rPr>
                <w:color w:val="auto"/>
                <w:spacing w:val="-5"/>
                <w:highlight w:val="none"/>
              </w:rPr>
              <w:t>（2）垫层厚度不满足要求的；</w:t>
            </w:r>
          </w:p>
          <w:p w14:paraId="4AB58C13">
            <w:pPr>
              <w:pStyle w:val="17"/>
              <w:spacing w:before="149" w:line="220" w:lineRule="auto"/>
              <w:ind w:left="117"/>
              <w:rPr>
                <w:color w:val="auto"/>
                <w:highlight w:val="none"/>
              </w:rPr>
            </w:pPr>
            <w:r>
              <w:rPr>
                <w:color w:val="auto"/>
                <w:spacing w:val="-5"/>
                <w:highlight w:val="none"/>
              </w:rPr>
              <w:t>（3）砌缝内砂浆不饱满的；</w:t>
            </w:r>
          </w:p>
        </w:tc>
      </w:tr>
    </w:tbl>
    <w:p w14:paraId="3576B716">
      <w:pPr>
        <w:pStyle w:val="3"/>
        <w:rPr>
          <w:color w:val="auto"/>
          <w:highlight w:val="none"/>
        </w:rPr>
      </w:pPr>
    </w:p>
    <w:p w14:paraId="7F5DCF4D">
      <w:pPr>
        <w:rPr>
          <w:color w:val="auto"/>
          <w:highlight w:val="none"/>
        </w:rPr>
        <w:sectPr>
          <w:headerReference r:id="rId92" w:type="default"/>
          <w:footerReference r:id="rId93" w:type="default"/>
          <w:pgSz w:w="11905" w:h="16840"/>
          <w:pgMar w:top="1182" w:right="0" w:bottom="1171" w:left="0" w:header="849" w:footer="937" w:gutter="0"/>
          <w:pgNumType w:fmt="decimal"/>
          <w:cols w:space="720" w:num="1"/>
        </w:sectPr>
      </w:pPr>
    </w:p>
    <w:p w14:paraId="0D34BFE8">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0FB2F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37E1D3DF">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5A0DC1CC">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7B0B4D09">
            <w:pPr>
              <w:pStyle w:val="17"/>
              <w:spacing w:before="226" w:line="220" w:lineRule="auto"/>
              <w:ind w:left="3393"/>
              <w:rPr>
                <w:color w:val="auto"/>
                <w:highlight w:val="none"/>
              </w:rPr>
            </w:pPr>
            <w:r>
              <w:rPr>
                <w:b/>
                <w:bCs/>
                <w:color w:val="auto"/>
                <w:spacing w:val="-4"/>
                <w:highlight w:val="none"/>
              </w:rPr>
              <w:t>违约项目</w:t>
            </w:r>
          </w:p>
        </w:tc>
      </w:tr>
      <w:tr w14:paraId="0C3A7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2" w:type="dxa"/>
            <w:vMerge w:val="restart"/>
            <w:tcBorders>
              <w:bottom w:val="nil"/>
            </w:tcBorders>
            <w:vAlign w:val="top"/>
          </w:tcPr>
          <w:p w14:paraId="73F6690F">
            <w:pPr>
              <w:rPr>
                <w:rFonts w:ascii="Arial"/>
                <w:color w:val="auto"/>
                <w:sz w:val="21"/>
                <w:highlight w:val="none"/>
              </w:rPr>
            </w:pPr>
          </w:p>
        </w:tc>
        <w:tc>
          <w:tcPr>
            <w:tcW w:w="839" w:type="dxa"/>
            <w:vAlign w:val="top"/>
          </w:tcPr>
          <w:p w14:paraId="6701107D">
            <w:pPr>
              <w:rPr>
                <w:rFonts w:ascii="Arial"/>
                <w:color w:val="auto"/>
                <w:sz w:val="21"/>
                <w:highlight w:val="none"/>
              </w:rPr>
            </w:pPr>
          </w:p>
        </w:tc>
        <w:tc>
          <w:tcPr>
            <w:tcW w:w="7621" w:type="dxa"/>
            <w:vAlign w:val="top"/>
          </w:tcPr>
          <w:p w14:paraId="7E2365D1">
            <w:pPr>
              <w:pStyle w:val="17"/>
              <w:spacing w:before="138" w:line="219" w:lineRule="auto"/>
              <w:ind w:left="117"/>
              <w:rPr>
                <w:color w:val="auto"/>
                <w:highlight w:val="none"/>
              </w:rPr>
            </w:pPr>
            <w:r>
              <w:rPr>
                <w:color w:val="auto"/>
                <w:spacing w:val="-5"/>
                <w:highlight w:val="none"/>
              </w:rPr>
              <w:t>（4）砂浆不采用机械拌和的；</w:t>
            </w:r>
          </w:p>
          <w:p w14:paraId="450FF9C7">
            <w:pPr>
              <w:pStyle w:val="17"/>
              <w:spacing w:before="150" w:line="220" w:lineRule="auto"/>
              <w:ind w:left="117"/>
              <w:rPr>
                <w:color w:val="auto"/>
                <w:highlight w:val="none"/>
              </w:rPr>
            </w:pPr>
            <w:r>
              <w:rPr>
                <w:color w:val="auto"/>
                <w:spacing w:val="-6"/>
                <w:highlight w:val="none"/>
              </w:rPr>
              <w:t>（5）砌缝没有错开的；</w:t>
            </w:r>
          </w:p>
          <w:p w14:paraId="535D4167">
            <w:pPr>
              <w:pStyle w:val="17"/>
              <w:spacing w:before="148" w:line="220" w:lineRule="auto"/>
              <w:ind w:left="117"/>
              <w:rPr>
                <w:color w:val="auto"/>
                <w:highlight w:val="none"/>
              </w:rPr>
            </w:pPr>
            <w:r>
              <w:rPr>
                <w:color w:val="auto"/>
                <w:spacing w:val="-4"/>
                <w:highlight w:val="none"/>
              </w:rPr>
              <w:t>（6）砂浆强度达不到规定要求的；</w:t>
            </w:r>
          </w:p>
          <w:p w14:paraId="5D2E72B5">
            <w:pPr>
              <w:pStyle w:val="17"/>
              <w:spacing w:before="150" w:line="219" w:lineRule="auto"/>
              <w:ind w:left="117"/>
              <w:rPr>
                <w:color w:val="auto"/>
                <w:highlight w:val="none"/>
              </w:rPr>
            </w:pPr>
            <w:r>
              <w:rPr>
                <w:color w:val="auto"/>
                <w:spacing w:val="-3"/>
                <w:highlight w:val="none"/>
              </w:rPr>
              <w:t>（7）沟底未清理干净，有浮土、泥浆等杂物的；</w:t>
            </w:r>
          </w:p>
          <w:p w14:paraId="374873EA">
            <w:pPr>
              <w:pStyle w:val="17"/>
              <w:spacing w:before="150" w:line="220" w:lineRule="auto"/>
              <w:ind w:left="117"/>
              <w:rPr>
                <w:color w:val="auto"/>
                <w:highlight w:val="none"/>
              </w:rPr>
            </w:pPr>
            <w:r>
              <w:rPr>
                <w:color w:val="auto"/>
                <w:spacing w:val="-5"/>
                <w:highlight w:val="none"/>
              </w:rPr>
              <w:t>（8）施工后不进行养护的；</w:t>
            </w:r>
          </w:p>
          <w:p w14:paraId="05DA36DB">
            <w:pPr>
              <w:pStyle w:val="17"/>
              <w:spacing w:before="150" w:line="220" w:lineRule="auto"/>
              <w:ind w:left="117"/>
              <w:rPr>
                <w:color w:val="auto"/>
                <w:highlight w:val="none"/>
              </w:rPr>
            </w:pPr>
            <w:r>
              <w:rPr>
                <w:color w:val="auto"/>
                <w:spacing w:val="-2"/>
                <w:highlight w:val="none"/>
              </w:rPr>
              <w:t>（9）截水沟与实际地形砌顺，要求线形顺畅，地形无变化时，不得出现弯曲；</w:t>
            </w:r>
          </w:p>
          <w:p w14:paraId="28180497">
            <w:pPr>
              <w:pStyle w:val="17"/>
              <w:spacing w:before="150" w:line="220" w:lineRule="auto"/>
              <w:ind w:left="117"/>
              <w:rPr>
                <w:color w:val="auto"/>
                <w:highlight w:val="none"/>
              </w:rPr>
            </w:pPr>
            <w:r>
              <w:rPr>
                <w:color w:val="auto"/>
                <w:spacing w:val="-3"/>
                <w:highlight w:val="none"/>
              </w:rPr>
              <w:t>（10）排水沟出现“沟外沟”问题。</w:t>
            </w:r>
          </w:p>
        </w:tc>
      </w:tr>
      <w:tr w14:paraId="369EA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48385E83">
            <w:pPr>
              <w:rPr>
                <w:rFonts w:ascii="Arial"/>
                <w:color w:val="auto"/>
                <w:sz w:val="21"/>
                <w:highlight w:val="none"/>
              </w:rPr>
            </w:pPr>
          </w:p>
        </w:tc>
        <w:tc>
          <w:tcPr>
            <w:tcW w:w="839" w:type="dxa"/>
            <w:vAlign w:val="top"/>
          </w:tcPr>
          <w:p w14:paraId="53DA49AE">
            <w:pPr>
              <w:spacing w:line="269" w:lineRule="auto"/>
              <w:rPr>
                <w:rFonts w:ascii="Arial"/>
                <w:color w:val="auto"/>
                <w:sz w:val="21"/>
                <w:highlight w:val="none"/>
              </w:rPr>
            </w:pPr>
          </w:p>
          <w:p w14:paraId="3DBD5AC0">
            <w:pPr>
              <w:pStyle w:val="17"/>
              <w:spacing w:before="68" w:line="241" w:lineRule="auto"/>
              <w:ind w:left="320"/>
              <w:rPr>
                <w:color w:val="auto"/>
                <w:highlight w:val="none"/>
              </w:rPr>
            </w:pPr>
            <w:r>
              <w:rPr>
                <w:color w:val="auto"/>
                <w:spacing w:val="-3"/>
                <w:highlight w:val="none"/>
              </w:rPr>
              <w:t>21</w:t>
            </w:r>
          </w:p>
        </w:tc>
        <w:tc>
          <w:tcPr>
            <w:tcW w:w="7621" w:type="dxa"/>
            <w:vAlign w:val="top"/>
          </w:tcPr>
          <w:p w14:paraId="6E39DC8C">
            <w:pPr>
              <w:pStyle w:val="17"/>
              <w:spacing w:before="138" w:line="288" w:lineRule="auto"/>
              <w:ind w:left="112" w:right="115" w:hanging="1"/>
              <w:rPr>
                <w:color w:val="auto"/>
                <w:highlight w:val="none"/>
              </w:rPr>
            </w:pPr>
            <w:r>
              <w:rPr>
                <w:color w:val="auto"/>
                <w:spacing w:val="1"/>
                <w:highlight w:val="none"/>
              </w:rPr>
              <w:t>排水盲沟（渗沟）断面不符合设计要求，回填碎石含泥量超标的，土工布铺设不</w:t>
            </w:r>
            <w:r>
              <w:rPr>
                <w:color w:val="auto"/>
                <w:spacing w:val="-2"/>
                <w:highlight w:val="none"/>
              </w:rPr>
              <w:t>符合要求的，出水口堵塞的，违者违约金</w:t>
            </w:r>
            <w:r>
              <w:rPr>
                <w:color w:val="auto"/>
                <w:spacing w:val="-38"/>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259E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2176A1CF">
            <w:pPr>
              <w:rPr>
                <w:rFonts w:ascii="Arial"/>
                <w:color w:val="auto"/>
                <w:sz w:val="21"/>
                <w:highlight w:val="none"/>
              </w:rPr>
            </w:pPr>
          </w:p>
        </w:tc>
        <w:tc>
          <w:tcPr>
            <w:tcW w:w="839" w:type="dxa"/>
            <w:vAlign w:val="top"/>
          </w:tcPr>
          <w:p w14:paraId="4B02E544">
            <w:pPr>
              <w:spacing w:line="270" w:lineRule="auto"/>
              <w:rPr>
                <w:rFonts w:ascii="Arial"/>
                <w:color w:val="auto"/>
                <w:sz w:val="21"/>
                <w:highlight w:val="none"/>
              </w:rPr>
            </w:pPr>
          </w:p>
          <w:p w14:paraId="10CE5C87">
            <w:pPr>
              <w:pStyle w:val="17"/>
              <w:spacing w:before="68" w:line="241" w:lineRule="auto"/>
              <w:ind w:left="320"/>
              <w:rPr>
                <w:color w:val="auto"/>
                <w:highlight w:val="none"/>
              </w:rPr>
            </w:pPr>
            <w:r>
              <w:rPr>
                <w:color w:val="auto"/>
                <w:spacing w:val="-3"/>
                <w:highlight w:val="none"/>
              </w:rPr>
              <w:t>22</w:t>
            </w:r>
          </w:p>
        </w:tc>
        <w:tc>
          <w:tcPr>
            <w:tcW w:w="7621" w:type="dxa"/>
            <w:vAlign w:val="top"/>
          </w:tcPr>
          <w:p w14:paraId="2392F96B">
            <w:pPr>
              <w:pStyle w:val="17"/>
              <w:spacing w:before="139" w:line="288" w:lineRule="auto"/>
              <w:ind w:left="111" w:right="115" w:hanging="1"/>
              <w:rPr>
                <w:color w:val="auto"/>
                <w:highlight w:val="none"/>
              </w:rPr>
            </w:pPr>
            <w:r>
              <w:rPr>
                <w:color w:val="auto"/>
                <w:spacing w:val="1"/>
                <w:highlight w:val="none"/>
              </w:rPr>
              <w:t>边坡开挖未做到开挖一级、防护一级的，斜陡坡路堤基底台阶开挖不符合设计及</w:t>
            </w:r>
            <w:r>
              <w:rPr>
                <w:color w:val="auto"/>
                <w:spacing w:val="-4"/>
                <w:highlight w:val="none"/>
              </w:rPr>
              <w:t>规范要求的，违约金</w:t>
            </w:r>
            <w:r>
              <w:rPr>
                <w:color w:val="auto"/>
                <w:spacing w:val="-16"/>
                <w:highlight w:val="none"/>
              </w:rPr>
              <w:t xml:space="preserve"> </w:t>
            </w:r>
            <w:r>
              <w:rPr>
                <w:color w:val="auto"/>
                <w:spacing w:val="-4"/>
                <w:highlight w:val="none"/>
              </w:rPr>
              <w:t>10,000</w:t>
            </w:r>
            <w:r>
              <w:rPr>
                <w:color w:val="auto"/>
                <w:spacing w:val="-42"/>
                <w:highlight w:val="none"/>
              </w:rPr>
              <w:t xml:space="preserve"> </w:t>
            </w:r>
            <w:r>
              <w:rPr>
                <w:color w:val="auto"/>
                <w:spacing w:val="-4"/>
                <w:highlight w:val="none"/>
              </w:rPr>
              <w:t>元/次。</w:t>
            </w:r>
          </w:p>
        </w:tc>
      </w:tr>
      <w:tr w14:paraId="6370D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2" w:type="dxa"/>
            <w:vMerge w:val="continue"/>
            <w:tcBorders>
              <w:top w:val="nil"/>
            </w:tcBorders>
            <w:vAlign w:val="top"/>
          </w:tcPr>
          <w:p w14:paraId="7699D538">
            <w:pPr>
              <w:rPr>
                <w:rFonts w:ascii="Arial"/>
                <w:color w:val="auto"/>
                <w:sz w:val="21"/>
                <w:highlight w:val="none"/>
              </w:rPr>
            </w:pPr>
          </w:p>
        </w:tc>
        <w:tc>
          <w:tcPr>
            <w:tcW w:w="839" w:type="dxa"/>
            <w:vAlign w:val="top"/>
          </w:tcPr>
          <w:p w14:paraId="6A6F3DA3">
            <w:pPr>
              <w:spacing w:line="288" w:lineRule="auto"/>
              <w:rPr>
                <w:rFonts w:ascii="Arial"/>
                <w:color w:val="auto"/>
                <w:sz w:val="21"/>
                <w:highlight w:val="none"/>
              </w:rPr>
            </w:pPr>
          </w:p>
          <w:p w14:paraId="0FD33D02">
            <w:pPr>
              <w:spacing w:line="289" w:lineRule="auto"/>
              <w:rPr>
                <w:rFonts w:ascii="Arial"/>
                <w:color w:val="auto"/>
                <w:sz w:val="21"/>
                <w:highlight w:val="none"/>
              </w:rPr>
            </w:pPr>
          </w:p>
          <w:p w14:paraId="652BD143">
            <w:pPr>
              <w:spacing w:line="289" w:lineRule="auto"/>
              <w:rPr>
                <w:rFonts w:ascii="Arial"/>
                <w:color w:val="auto"/>
                <w:sz w:val="21"/>
                <w:highlight w:val="none"/>
              </w:rPr>
            </w:pPr>
          </w:p>
          <w:p w14:paraId="345F945C">
            <w:pPr>
              <w:pStyle w:val="17"/>
              <w:spacing w:before="68"/>
              <w:ind w:left="320"/>
              <w:rPr>
                <w:color w:val="auto"/>
                <w:highlight w:val="none"/>
              </w:rPr>
            </w:pPr>
            <w:r>
              <w:rPr>
                <w:color w:val="auto"/>
                <w:spacing w:val="-3"/>
                <w:highlight w:val="none"/>
              </w:rPr>
              <w:t>23</w:t>
            </w:r>
          </w:p>
        </w:tc>
        <w:tc>
          <w:tcPr>
            <w:tcW w:w="7621" w:type="dxa"/>
            <w:vAlign w:val="top"/>
          </w:tcPr>
          <w:p w14:paraId="1DD2A56C">
            <w:pPr>
              <w:pStyle w:val="17"/>
              <w:spacing w:before="139" w:line="217" w:lineRule="auto"/>
              <w:ind w:left="111"/>
              <w:rPr>
                <w:color w:val="auto"/>
                <w:highlight w:val="none"/>
              </w:rPr>
            </w:pPr>
            <w:r>
              <w:rPr>
                <w:color w:val="auto"/>
                <w:spacing w:val="-2"/>
                <w:highlight w:val="none"/>
              </w:rPr>
              <w:t>锚杆或锚索工程存在以下类别的问题时，违约金</w:t>
            </w:r>
            <w:r>
              <w:rPr>
                <w:color w:val="auto"/>
                <w:spacing w:val="-31"/>
                <w:highlight w:val="none"/>
              </w:rPr>
              <w:t xml:space="preserve"> </w:t>
            </w:r>
            <w:r>
              <w:rPr>
                <w:color w:val="auto"/>
                <w:spacing w:val="-2"/>
                <w:highlight w:val="none"/>
              </w:rPr>
              <w:t>5,000</w:t>
            </w:r>
            <w:r>
              <w:rPr>
                <w:color w:val="auto"/>
                <w:spacing w:val="-41"/>
                <w:highlight w:val="none"/>
              </w:rPr>
              <w:t xml:space="preserve"> </w:t>
            </w:r>
            <w:r>
              <w:rPr>
                <w:color w:val="auto"/>
                <w:spacing w:val="-2"/>
                <w:highlight w:val="none"/>
              </w:rPr>
              <w:t>元/处。</w:t>
            </w:r>
          </w:p>
          <w:p w14:paraId="5E085A7E">
            <w:pPr>
              <w:pStyle w:val="17"/>
              <w:spacing w:before="153" w:line="220" w:lineRule="auto"/>
              <w:ind w:left="117"/>
              <w:rPr>
                <w:color w:val="auto"/>
                <w:highlight w:val="none"/>
              </w:rPr>
            </w:pPr>
            <w:r>
              <w:rPr>
                <w:color w:val="auto"/>
                <w:spacing w:val="-5"/>
                <w:highlight w:val="none"/>
              </w:rPr>
              <w:t>（1）锚杆或锚索长度不足；</w:t>
            </w:r>
          </w:p>
          <w:p w14:paraId="5843D56A">
            <w:pPr>
              <w:pStyle w:val="17"/>
              <w:spacing w:before="149" w:line="220" w:lineRule="auto"/>
              <w:ind w:left="117"/>
              <w:rPr>
                <w:color w:val="auto"/>
                <w:highlight w:val="none"/>
              </w:rPr>
            </w:pPr>
            <w:r>
              <w:rPr>
                <w:color w:val="auto"/>
                <w:spacing w:val="-5"/>
                <w:highlight w:val="none"/>
              </w:rPr>
              <w:t>（2）压浆、封锚不规范；</w:t>
            </w:r>
          </w:p>
          <w:p w14:paraId="0830C0DD">
            <w:pPr>
              <w:pStyle w:val="17"/>
              <w:spacing w:before="149" w:line="220" w:lineRule="auto"/>
              <w:ind w:left="117"/>
              <w:rPr>
                <w:color w:val="auto"/>
                <w:highlight w:val="none"/>
              </w:rPr>
            </w:pPr>
            <w:r>
              <w:rPr>
                <w:color w:val="auto"/>
                <w:spacing w:val="-7"/>
                <w:highlight w:val="none"/>
              </w:rPr>
              <w:t>（3）张拉力不足；</w:t>
            </w:r>
          </w:p>
          <w:p w14:paraId="31743F97">
            <w:pPr>
              <w:pStyle w:val="17"/>
              <w:spacing w:before="150" w:line="220" w:lineRule="auto"/>
              <w:ind w:left="117"/>
              <w:rPr>
                <w:color w:val="auto"/>
                <w:highlight w:val="none"/>
              </w:rPr>
            </w:pPr>
            <w:r>
              <w:rPr>
                <w:color w:val="auto"/>
                <w:spacing w:val="-5"/>
                <w:highlight w:val="none"/>
              </w:rPr>
              <w:t>（4）强度不合格。</w:t>
            </w:r>
          </w:p>
        </w:tc>
      </w:tr>
      <w:tr w14:paraId="27287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bottom w:val="nil"/>
            </w:tcBorders>
            <w:vAlign w:val="top"/>
          </w:tcPr>
          <w:p w14:paraId="301BE3C9">
            <w:pPr>
              <w:spacing w:line="242" w:lineRule="auto"/>
              <w:rPr>
                <w:rFonts w:ascii="Arial"/>
                <w:color w:val="auto"/>
                <w:sz w:val="21"/>
                <w:highlight w:val="none"/>
              </w:rPr>
            </w:pPr>
          </w:p>
          <w:p w14:paraId="5D4875C3">
            <w:pPr>
              <w:spacing w:line="242" w:lineRule="auto"/>
              <w:rPr>
                <w:rFonts w:ascii="Arial"/>
                <w:color w:val="auto"/>
                <w:sz w:val="21"/>
                <w:highlight w:val="none"/>
              </w:rPr>
            </w:pPr>
          </w:p>
          <w:p w14:paraId="1C84F5EF">
            <w:pPr>
              <w:spacing w:line="242" w:lineRule="auto"/>
              <w:rPr>
                <w:rFonts w:ascii="Arial"/>
                <w:color w:val="auto"/>
                <w:sz w:val="21"/>
                <w:highlight w:val="none"/>
              </w:rPr>
            </w:pPr>
          </w:p>
          <w:p w14:paraId="1D3077B4">
            <w:pPr>
              <w:spacing w:line="242" w:lineRule="auto"/>
              <w:rPr>
                <w:rFonts w:ascii="Arial"/>
                <w:color w:val="auto"/>
                <w:sz w:val="21"/>
                <w:highlight w:val="none"/>
              </w:rPr>
            </w:pPr>
          </w:p>
          <w:p w14:paraId="31EA25D9">
            <w:pPr>
              <w:spacing w:line="242" w:lineRule="auto"/>
              <w:rPr>
                <w:rFonts w:ascii="Arial"/>
                <w:color w:val="auto"/>
                <w:sz w:val="21"/>
                <w:highlight w:val="none"/>
              </w:rPr>
            </w:pPr>
          </w:p>
          <w:p w14:paraId="35A41396">
            <w:pPr>
              <w:spacing w:line="242" w:lineRule="auto"/>
              <w:rPr>
                <w:rFonts w:ascii="Arial"/>
                <w:color w:val="auto"/>
                <w:sz w:val="21"/>
                <w:highlight w:val="none"/>
              </w:rPr>
            </w:pPr>
          </w:p>
          <w:p w14:paraId="50F99921">
            <w:pPr>
              <w:spacing w:line="242" w:lineRule="auto"/>
              <w:rPr>
                <w:rFonts w:ascii="Arial"/>
                <w:color w:val="auto"/>
                <w:sz w:val="21"/>
                <w:highlight w:val="none"/>
              </w:rPr>
            </w:pPr>
          </w:p>
          <w:p w14:paraId="51F12149">
            <w:pPr>
              <w:spacing w:line="242" w:lineRule="auto"/>
              <w:rPr>
                <w:rFonts w:ascii="Arial"/>
                <w:color w:val="auto"/>
                <w:sz w:val="21"/>
                <w:highlight w:val="none"/>
              </w:rPr>
            </w:pPr>
          </w:p>
          <w:p w14:paraId="73E41287">
            <w:pPr>
              <w:spacing w:line="242" w:lineRule="auto"/>
              <w:rPr>
                <w:rFonts w:ascii="Arial"/>
                <w:color w:val="auto"/>
                <w:sz w:val="21"/>
                <w:highlight w:val="none"/>
              </w:rPr>
            </w:pPr>
          </w:p>
          <w:p w14:paraId="6FB2EBC0">
            <w:pPr>
              <w:spacing w:line="242" w:lineRule="auto"/>
              <w:rPr>
                <w:rFonts w:ascii="Arial"/>
                <w:color w:val="auto"/>
                <w:sz w:val="21"/>
                <w:highlight w:val="none"/>
              </w:rPr>
            </w:pPr>
          </w:p>
          <w:p w14:paraId="497C41D1">
            <w:pPr>
              <w:spacing w:line="243" w:lineRule="auto"/>
              <w:rPr>
                <w:rFonts w:ascii="Arial"/>
                <w:color w:val="auto"/>
                <w:sz w:val="21"/>
                <w:highlight w:val="none"/>
              </w:rPr>
            </w:pPr>
          </w:p>
          <w:p w14:paraId="0F4DC39B">
            <w:pPr>
              <w:spacing w:line="243" w:lineRule="auto"/>
              <w:rPr>
                <w:rFonts w:ascii="Arial"/>
                <w:color w:val="auto"/>
                <w:sz w:val="21"/>
                <w:highlight w:val="none"/>
              </w:rPr>
            </w:pPr>
          </w:p>
          <w:p w14:paraId="28C15B97">
            <w:pPr>
              <w:pStyle w:val="17"/>
              <w:spacing w:before="68" w:line="354" w:lineRule="auto"/>
              <w:ind w:left="212" w:right="204" w:hanging="2"/>
              <w:rPr>
                <w:color w:val="auto"/>
                <w:highlight w:val="none"/>
              </w:rPr>
            </w:pPr>
            <w:r>
              <w:rPr>
                <w:color w:val="auto"/>
                <w:spacing w:val="-5"/>
                <w:highlight w:val="none"/>
              </w:rPr>
              <w:t>桥涵</w:t>
            </w:r>
            <w:r>
              <w:rPr>
                <w:color w:val="auto"/>
                <w:spacing w:val="-6"/>
                <w:highlight w:val="none"/>
              </w:rPr>
              <w:t>工程</w:t>
            </w:r>
          </w:p>
        </w:tc>
        <w:tc>
          <w:tcPr>
            <w:tcW w:w="839" w:type="dxa"/>
            <w:vAlign w:val="top"/>
          </w:tcPr>
          <w:p w14:paraId="0DE5FD57">
            <w:pPr>
              <w:spacing w:line="271" w:lineRule="auto"/>
              <w:rPr>
                <w:rFonts w:ascii="Arial"/>
                <w:color w:val="auto"/>
                <w:sz w:val="21"/>
                <w:highlight w:val="none"/>
              </w:rPr>
            </w:pPr>
          </w:p>
          <w:p w14:paraId="6F84A5DC">
            <w:pPr>
              <w:pStyle w:val="17"/>
              <w:spacing w:before="68" w:line="241" w:lineRule="auto"/>
              <w:ind w:left="385"/>
              <w:rPr>
                <w:color w:val="auto"/>
                <w:highlight w:val="none"/>
              </w:rPr>
            </w:pPr>
            <w:r>
              <w:rPr>
                <w:color w:val="auto"/>
                <w:highlight w:val="none"/>
              </w:rPr>
              <w:t>1</w:t>
            </w:r>
          </w:p>
        </w:tc>
        <w:tc>
          <w:tcPr>
            <w:tcW w:w="7621" w:type="dxa"/>
            <w:vAlign w:val="top"/>
          </w:tcPr>
          <w:p w14:paraId="40722248">
            <w:pPr>
              <w:pStyle w:val="17"/>
              <w:spacing w:before="139" w:line="288" w:lineRule="auto"/>
              <w:ind w:left="111" w:right="47" w:firstLine="13"/>
              <w:rPr>
                <w:color w:val="auto"/>
                <w:highlight w:val="none"/>
              </w:rPr>
            </w:pPr>
            <w:r>
              <w:rPr>
                <w:color w:val="auto"/>
                <w:spacing w:val="-7"/>
                <w:highlight w:val="none"/>
              </w:rPr>
              <w:t>防撞栏出现大量麻面；线形有明显波折、错台；</w:t>
            </w:r>
            <w:r>
              <w:rPr>
                <w:color w:val="auto"/>
                <w:spacing w:val="44"/>
                <w:highlight w:val="none"/>
              </w:rPr>
              <w:t xml:space="preserve"> </w:t>
            </w:r>
            <w:r>
              <w:rPr>
                <w:color w:val="auto"/>
                <w:spacing w:val="-8"/>
                <w:highlight w:val="none"/>
              </w:rPr>
              <w:t>墙角或接缝漏浆；表面多处露筋，</w:t>
            </w:r>
            <w:r>
              <w:rPr>
                <w:color w:val="auto"/>
                <w:spacing w:val="-3"/>
                <w:highlight w:val="none"/>
              </w:rPr>
              <w:t>每十米违约金</w:t>
            </w:r>
            <w:r>
              <w:rPr>
                <w:color w:val="auto"/>
                <w:spacing w:val="-34"/>
                <w:highlight w:val="none"/>
              </w:rPr>
              <w:t xml:space="preserve"> </w:t>
            </w:r>
            <w:r>
              <w:rPr>
                <w:color w:val="auto"/>
                <w:spacing w:val="-3"/>
                <w:highlight w:val="none"/>
              </w:rPr>
              <w:t>2,000</w:t>
            </w:r>
            <w:r>
              <w:rPr>
                <w:color w:val="auto"/>
                <w:spacing w:val="-42"/>
                <w:highlight w:val="none"/>
              </w:rPr>
              <w:t xml:space="preserve"> </w:t>
            </w:r>
            <w:r>
              <w:rPr>
                <w:color w:val="auto"/>
                <w:spacing w:val="-3"/>
                <w:highlight w:val="none"/>
              </w:rPr>
              <w:t>元。</w:t>
            </w:r>
          </w:p>
        </w:tc>
      </w:tr>
      <w:tr w14:paraId="1E328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47E3721">
            <w:pPr>
              <w:rPr>
                <w:rFonts w:ascii="Arial"/>
                <w:color w:val="auto"/>
                <w:sz w:val="21"/>
                <w:highlight w:val="none"/>
              </w:rPr>
            </w:pPr>
          </w:p>
        </w:tc>
        <w:tc>
          <w:tcPr>
            <w:tcW w:w="839" w:type="dxa"/>
            <w:vAlign w:val="top"/>
          </w:tcPr>
          <w:p w14:paraId="67D299A3">
            <w:pPr>
              <w:pStyle w:val="17"/>
              <w:spacing w:before="225" w:line="241" w:lineRule="auto"/>
              <w:ind w:left="372"/>
              <w:rPr>
                <w:color w:val="auto"/>
                <w:highlight w:val="none"/>
              </w:rPr>
            </w:pPr>
            <w:r>
              <w:rPr>
                <w:color w:val="auto"/>
                <w:highlight w:val="none"/>
              </w:rPr>
              <w:t>2</w:t>
            </w:r>
          </w:p>
        </w:tc>
        <w:tc>
          <w:tcPr>
            <w:tcW w:w="7621" w:type="dxa"/>
            <w:vAlign w:val="top"/>
          </w:tcPr>
          <w:p w14:paraId="03C30391">
            <w:pPr>
              <w:pStyle w:val="17"/>
              <w:spacing w:before="224" w:line="217" w:lineRule="auto"/>
              <w:ind w:left="114"/>
              <w:rPr>
                <w:color w:val="auto"/>
                <w:highlight w:val="none"/>
              </w:rPr>
            </w:pPr>
            <w:r>
              <w:rPr>
                <w:color w:val="auto"/>
                <w:spacing w:val="-2"/>
                <w:highlight w:val="none"/>
              </w:rPr>
              <w:t>构造物不按要求进行养生的，违约金</w:t>
            </w:r>
            <w:r>
              <w:rPr>
                <w:color w:val="auto"/>
                <w:spacing w:val="-43"/>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7C2AF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3145420C">
            <w:pPr>
              <w:rPr>
                <w:rFonts w:ascii="Arial"/>
                <w:color w:val="auto"/>
                <w:sz w:val="21"/>
                <w:highlight w:val="none"/>
              </w:rPr>
            </w:pPr>
          </w:p>
        </w:tc>
        <w:tc>
          <w:tcPr>
            <w:tcW w:w="839" w:type="dxa"/>
            <w:vAlign w:val="top"/>
          </w:tcPr>
          <w:p w14:paraId="5D339E3A">
            <w:pPr>
              <w:pStyle w:val="17"/>
              <w:spacing w:before="223"/>
              <w:ind w:left="374"/>
              <w:rPr>
                <w:color w:val="auto"/>
                <w:highlight w:val="none"/>
              </w:rPr>
            </w:pPr>
            <w:r>
              <w:rPr>
                <w:color w:val="auto"/>
                <w:highlight w:val="none"/>
              </w:rPr>
              <w:t>3</w:t>
            </w:r>
          </w:p>
        </w:tc>
        <w:tc>
          <w:tcPr>
            <w:tcW w:w="7621" w:type="dxa"/>
            <w:vAlign w:val="top"/>
          </w:tcPr>
          <w:p w14:paraId="6858F792">
            <w:pPr>
              <w:pStyle w:val="17"/>
              <w:spacing w:before="223" w:line="217" w:lineRule="auto"/>
              <w:ind w:left="114"/>
              <w:rPr>
                <w:color w:val="auto"/>
                <w:highlight w:val="none"/>
              </w:rPr>
            </w:pPr>
            <w:r>
              <w:rPr>
                <w:color w:val="auto"/>
                <w:spacing w:val="-1"/>
                <w:highlight w:val="none"/>
              </w:rPr>
              <w:t>构造物施工未采取措施保证钢筋保护层厚度就浇筑砼的</w:t>
            </w:r>
            <w:r>
              <w:rPr>
                <w:color w:val="auto"/>
                <w:spacing w:val="-2"/>
                <w:highlight w:val="none"/>
              </w:rPr>
              <w:t>，违约金</w:t>
            </w:r>
            <w:r>
              <w:rPr>
                <w:color w:val="auto"/>
                <w:spacing w:val="-43"/>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1C50A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2" w:type="dxa"/>
            <w:vMerge w:val="continue"/>
            <w:tcBorders>
              <w:top w:val="nil"/>
              <w:bottom w:val="nil"/>
            </w:tcBorders>
            <w:vAlign w:val="top"/>
          </w:tcPr>
          <w:p w14:paraId="154C4892">
            <w:pPr>
              <w:rPr>
                <w:rFonts w:ascii="Arial"/>
                <w:color w:val="auto"/>
                <w:sz w:val="21"/>
                <w:highlight w:val="none"/>
              </w:rPr>
            </w:pPr>
          </w:p>
        </w:tc>
        <w:tc>
          <w:tcPr>
            <w:tcW w:w="839" w:type="dxa"/>
            <w:vAlign w:val="top"/>
          </w:tcPr>
          <w:p w14:paraId="18555314">
            <w:pPr>
              <w:spacing w:line="289" w:lineRule="auto"/>
              <w:rPr>
                <w:rFonts w:ascii="Arial"/>
                <w:color w:val="auto"/>
                <w:sz w:val="21"/>
                <w:highlight w:val="none"/>
              </w:rPr>
            </w:pPr>
          </w:p>
          <w:p w14:paraId="1B0FF4C0">
            <w:pPr>
              <w:spacing w:line="290" w:lineRule="auto"/>
              <w:rPr>
                <w:rFonts w:ascii="Arial"/>
                <w:color w:val="auto"/>
                <w:sz w:val="21"/>
                <w:highlight w:val="none"/>
              </w:rPr>
            </w:pPr>
          </w:p>
          <w:p w14:paraId="48CD9EB1">
            <w:pPr>
              <w:spacing w:line="290" w:lineRule="auto"/>
              <w:rPr>
                <w:rFonts w:ascii="Arial"/>
                <w:color w:val="auto"/>
                <w:sz w:val="21"/>
                <w:highlight w:val="none"/>
              </w:rPr>
            </w:pPr>
          </w:p>
          <w:p w14:paraId="7D3ADF27">
            <w:pPr>
              <w:pStyle w:val="17"/>
              <w:spacing w:before="68" w:line="241" w:lineRule="auto"/>
              <w:ind w:left="369"/>
              <w:rPr>
                <w:color w:val="auto"/>
                <w:highlight w:val="none"/>
              </w:rPr>
            </w:pPr>
            <w:r>
              <w:rPr>
                <w:color w:val="auto"/>
                <w:highlight w:val="none"/>
              </w:rPr>
              <w:t>4</w:t>
            </w:r>
          </w:p>
        </w:tc>
        <w:tc>
          <w:tcPr>
            <w:tcW w:w="7621" w:type="dxa"/>
            <w:vAlign w:val="top"/>
          </w:tcPr>
          <w:p w14:paraId="22A0E3AE">
            <w:pPr>
              <w:pStyle w:val="17"/>
              <w:spacing w:before="141" w:line="217" w:lineRule="auto"/>
              <w:ind w:left="118"/>
              <w:rPr>
                <w:color w:val="auto"/>
                <w:highlight w:val="none"/>
              </w:rPr>
            </w:pPr>
            <w:r>
              <w:rPr>
                <w:color w:val="auto"/>
                <w:spacing w:val="-4"/>
                <w:highlight w:val="none"/>
              </w:rPr>
              <w:t>下列情况，违者违约金</w:t>
            </w:r>
            <w:r>
              <w:rPr>
                <w:color w:val="auto"/>
                <w:spacing w:val="-32"/>
                <w:highlight w:val="none"/>
              </w:rPr>
              <w:t xml:space="preserve"> </w:t>
            </w:r>
            <w:r>
              <w:rPr>
                <w:color w:val="auto"/>
                <w:spacing w:val="-4"/>
                <w:highlight w:val="none"/>
              </w:rPr>
              <w:t>2,000</w:t>
            </w:r>
            <w:r>
              <w:rPr>
                <w:color w:val="auto"/>
                <w:spacing w:val="-42"/>
                <w:highlight w:val="none"/>
              </w:rPr>
              <w:t xml:space="preserve"> </w:t>
            </w:r>
            <w:r>
              <w:rPr>
                <w:color w:val="auto"/>
                <w:spacing w:val="-4"/>
                <w:highlight w:val="none"/>
              </w:rPr>
              <w:t>元/处：</w:t>
            </w:r>
          </w:p>
          <w:p w14:paraId="3735AA34">
            <w:pPr>
              <w:pStyle w:val="17"/>
              <w:spacing w:before="152" w:line="219" w:lineRule="auto"/>
              <w:ind w:left="117"/>
              <w:rPr>
                <w:color w:val="auto"/>
                <w:highlight w:val="none"/>
              </w:rPr>
            </w:pPr>
            <w:r>
              <w:rPr>
                <w:color w:val="auto"/>
                <w:spacing w:val="-2"/>
                <w:highlight w:val="none"/>
              </w:rPr>
              <w:t>（1）伸缩缝位置必须保证满足设计要求，安装时必须按气温来确定安装宽度；</w:t>
            </w:r>
          </w:p>
          <w:p w14:paraId="208C7C19">
            <w:pPr>
              <w:pStyle w:val="17"/>
              <w:spacing w:before="151" w:line="220" w:lineRule="auto"/>
              <w:ind w:left="117"/>
              <w:rPr>
                <w:color w:val="auto"/>
                <w:highlight w:val="none"/>
              </w:rPr>
            </w:pPr>
            <w:r>
              <w:rPr>
                <w:color w:val="auto"/>
                <w:spacing w:val="-3"/>
                <w:highlight w:val="none"/>
              </w:rPr>
              <w:t>（2）预留槽口的砼面必须密实、平整，无杂物；</w:t>
            </w:r>
          </w:p>
          <w:p w14:paraId="3396EFA7">
            <w:pPr>
              <w:pStyle w:val="17"/>
              <w:spacing w:before="149" w:line="219" w:lineRule="auto"/>
              <w:ind w:left="117"/>
              <w:rPr>
                <w:color w:val="auto"/>
                <w:highlight w:val="none"/>
              </w:rPr>
            </w:pPr>
            <w:r>
              <w:rPr>
                <w:color w:val="auto"/>
                <w:spacing w:val="-2"/>
                <w:highlight w:val="none"/>
              </w:rPr>
              <w:t>（3）伸缩缝型钢及配件的规格、质量与设计一致；</w:t>
            </w:r>
          </w:p>
          <w:p w14:paraId="4169E356">
            <w:pPr>
              <w:pStyle w:val="17"/>
              <w:spacing w:before="151" w:line="220" w:lineRule="auto"/>
              <w:ind w:left="117"/>
              <w:rPr>
                <w:color w:val="auto"/>
                <w:highlight w:val="none"/>
              </w:rPr>
            </w:pPr>
            <w:r>
              <w:rPr>
                <w:color w:val="auto"/>
                <w:spacing w:val="-3"/>
                <w:highlight w:val="none"/>
              </w:rPr>
              <w:t>（4）预埋钢筋应按设计要求预埋。</w:t>
            </w:r>
          </w:p>
        </w:tc>
      </w:tr>
      <w:tr w14:paraId="2934B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F48D640">
            <w:pPr>
              <w:rPr>
                <w:rFonts w:ascii="Arial"/>
                <w:color w:val="auto"/>
                <w:sz w:val="21"/>
                <w:highlight w:val="none"/>
              </w:rPr>
            </w:pPr>
          </w:p>
        </w:tc>
        <w:tc>
          <w:tcPr>
            <w:tcW w:w="839" w:type="dxa"/>
            <w:vAlign w:val="top"/>
          </w:tcPr>
          <w:p w14:paraId="549E8DE9">
            <w:pPr>
              <w:pStyle w:val="17"/>
              <w:spacing w:before="225"/>
              <w:ind w:left="374"/>
              <w:rPr>
                <w:color w:val="auto"/>
                <w:highlight w:val="none"/>
              </w:rPr>
            </w:pPr>
            <w:r>
              <w:rPr>
                <w:color w:val="auto"/>
                <w:highlight w:val="none"/>
              </w:rPr>
              <w:t>5</w:t>
            </w:r>
          </w:p>
        </w:tc>
        <w:tc>
          <w:tcPr>
            <w:tcW w:w="7621" w:type="dxa"/>
            <w:vAlign w:val="top"/>
          </w:tcPr>
          <w:p w14:paraId="7DE28C56">
            <w:pPr>
              <w:pStyle w:val="17"/>
              <w:spacing w:before="225" w:line="217" w:lineRule="auto"/>
              <w:ind w:left="113"/>
              <w:rPr>
                <w:color w:val="auto"/>
                <w:highlight w:val="none"/>
              </w:rPr>
            </w:pPr>
            <w:r>
              <w:rPr>
                <w:color w:val="auto"/>
                <w:spacing w:val="-2"/>
                <w:highlight w:val="none"/>
              </w:rPr>
              <w:t>预应力张拉不规范，或张拉力不符设计要求的，违约金</w:t>
            </w:r>
            <w:r>
              <w:rPr>
                <w:color w:val="auto"/>
                <w:spacing w:val="-26"/>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543B2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4811B60">
            <w:pPr>
              <w:rPr>
                <w:rFonts w:ascii="Arial"/>
                <w:color w:val="auto"/>
                <w:sz w:val="21"/>
                <w:highlight w:val="none"/>
              </w:rPr>
            </w:pPr>
          </w:p>
        </w:tc>
        <w:tc>
          <w:tcPr>
            <w:tcW w:w="839" w:type="dxa"/>
            <w:vAlign w:val="top"/>
          </w:tcPr>
          <w:p w14:paraId="745F72B7">
            <w:pPr>
              <w:pStyle w:val="17"/>
              <w:spacing w:before="226"/>
              <w:ind w:left="371"/>
              <w:rPr>
                <w:color w:val="auto"/>
                <w:highlight w:val="none"/>
              </w:rPr>
            </w:pPr>
            <w:r>
              <w:rPr>
                <w:color w:val="auto"/>
                <w:highlight w:val="none"/>
              </w:rPr>
              <w:t>6</w:t>
            </w:r>
          </w:p>
        </w:tc>
        <w:tc>
          <w:tcPr>
            <w:tcW w:w="7621" w:type="dxa"/>
            <w:vAlign w:val="top"/>
          </w:tcPr>
          <w:p w14:paraId="48F1265D">
            <w:pPr>
              <w:pStyle w:val="17"/>
              <w:spacing w:before="225" w:line="217" w:lineRule="auto"/>
              <w:ind w:left="113"/>
              <w:rPr>
                <w:color w:val="auto"/>
                <w:highlight w:val="none"/>
              </w:rPr>
            </w:pPr>
            <w:r>
              <w:rPr>
                <w:color w:val="auto"/>
                <w:spacing w:val="-2"/>
                <w:highlight w:val="none"/>
              </w:rPr>
              <w:t>预应力筋有烧伤或划伤，必须立即撤换，违者违约金</w:t>
            </w:r>
            <w:r>
              <w:rPr>
                <w:color w:val="auto"/>
                <w:spacing w:val="-28"/>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435ED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262F7BCE">
            <w:pPr>
              <w:rPr>
                <w:rFonts w:ascii="Arial"/>
                <w:color w:val="auto"/>
                <w:sz w:val="21"/>
                <w:highlight w:val="none"/>
              </w:rPr>
            </w:pPr>
          </w:p>
        </w:tc>
        <w:tc>
          <w:tcPr>
            <w:tcW w:w="839" w:type="dxa"/>
            <w:vAlign w:val="top"/>
          </w:tcPr>
          <w:p w14:paraId="11073E8B">
            <w:pPr>
              <w:pStyle w:val="17"/>
              <w:spacing w:before="226"/>
              <w:ind w:left="375"/>
              <w:rPr>
                <w:color w:val="auto"/>
                <w:highlight w:val="none"/>
              </w:rPr>
            </w:pPr>
            <w:r>
              <w:rPr>
                <w:color w:val="auto"/>
                <w:highlight w:val="none"/>
              </w:rPr>
              <w:t>7</w:t>
            </w:r>
          </w:p>
        </w:tc>
        <w:tc>
          <w:tcPr>
            <w:tcW w:w="7621" w:type="dxa"/>
            <w:vAlign w:val="top"/>
          </w:tcPr>
          <w:p w14:paraId="3654517A">
            <w:pPr>
              <w:pStyle w:val="17"/>
              <w:spacing w:before="226" w:line="217" w:lineRule="auto"/>
              <w:ind w:left="113"/>
              <w:rPr>
                <w:color w:val="auto"/>
                <w:highlight w:val="none"/>
              </w:rPr>
            </w:pPr>
            <w:r>
              <w:rPr>
                <w:color w:val="auto"/>
                <w:spacing w:val="-2"/>
                <w:highlight w:val="none"/>
              </w:rPr>
              <w:t>预应力筋因施工不当造成断丝且无法补救时，违约金</w:t>
            </w:r>
            <w:r>
              <w:rPr>
                <w:color w:val="auto"/>
                <w:spacing w:val="-28"/>
                <w:highlight w:val="none"/>
              </w:rPr>
              <w:t xml:space="preserve"> </w:t>
            </w:r>
            <w:r>
              <w:rPr>
                <w:color w:val="auto"/>
                <w:spacing w:val="-2"/>
                <w:highlight w:val="none"/>
              </w:rPr>
              <w:t>8,000</w:t>
            </w:r>
            <w:r>
              <w:rPr>
                <w:color w:val="auto"/>
                <w:spacing w:val="-42"/>
                <w:highlight w:val="none"/>
              </w:rPr>
              <w:t xml:space="preserve"> </w:t>
            </w:r>
            <w:r>
              <w:rPr>
                <w:color w:val="auto"/>
                <w:spacing w:val="-2"/>
                <w:highlight w:val="none"/>
              </w:rPr>
              <w:t>元/次。</w:t>
            </w:r>
          </w:p>
        </w:tc>
      </w:tr>
      <w:tr w14:paraId="4C527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32" w:type="dxa"/>
            <w:vMerge w:val="continue"/>
            <w:tcBorders>
              <w:top w:val="nil"/>
            </w:tcBorders>
            <w:vAlign w:val="top"/>
          </w:tcPr>
          <w:p w14:paraId="271349B2">
            <w:pPr>
              <w:rPr>
                <w:rFonts w:ascii="Arial"/>
                <w:color w:val="auto"/>
                <w:sz w:val="21"/>
                <w:highlight w:val="none"/>
              </w:rPr>
            </w:pPr>
          </w:p>
        </w:tc>
        <w:tc>
          <w:tcPr>
            <w:tcW w:w="839" w:type="dxa"/>
            <w:vAlign w:val="top"/>
          </w:tcPr>
          <w:p w14:paraId="4BDD6A7E">
            <w:pPr>
              <w:spacing w:line="272" w:lineRule="auto"/>
              <w:rPr>
                <w:rFonts w:ascii="Arial"/>
                <w:color w:val="auto"/>
                <w:sz w:val="21"/>
                <w:highlight w:val="none"/>
              </w:rPr>
            </w:pPr>
          </w:p>
          <w:p w14:paraId="42CD6627">
            <w:pPr>
              <w:pStyle w:val="17"/>
              <w:spacing w:before="69"/>
              <w:ind w:left="370"/>
              <w:rPr>
                <w:color w:val="auto"/>
                <w:highlight w:val="none"/>
              </w:rPr>
            </w:pPr>
            <w:r>
              <w:rPr>
                <w:color w:val="auto"/>
                <w:highlight w:val="none"/>
              </w:rPr>
              <w:t>8</w:t>
            </w:r>
          </w:p>
        </w:tc>
        <w:tc>
          <w:tcPr>
            <w:tcW w:w="7621" w:type="dxa"/>
            <w:vAlign w:val="top"/>
          </w:tcPr>
          <w:p w14:paraId="797173A6">
            <w:pPr>
              <w:pStyle w:val="17"/>
              <w:spacing w:before="145" w:line="287" w:lineRule="auto"/>
              <w:ind w:left="113" w:right="105"/>
              <w:rPr>
                <w:color w:val="auto"/>
                <w:highlight w:val="none"/>
              </w:rPr>
            </w:pPr>
            <w:r>
              <w:rPr>
                <w:color w:val="auto"/>
                <w:spacing w:val="-6"/>
                <w:highlight w:val="none"/>
              </w:rPr>
              <w:t>预制梁施工必须符合设计要求，吊装位置准确，标高误差±1cm，违者违约金</w:t>
            </w:r>
            <w:r>
              <w:rPr>
                <w:color w:val="auto"/>
                <w:spacing w:val="-29"/>
                <w:highlight w:val="none"/>
              </w:rPr>
              <w:t xml:space="preserve"> </w:t>
            </w:r>
            <w:r>
              <w:rPr>
                <w:color w:val="auto"/>
                <w:spacing w:val="-6"/>
                <w:highlight w:val="none"/>
              </w:rPr>
              <w:t>2,000</w:t>
            </w:r>
            <w:r>
              <w:rPr>
                <w:color w:val="auto"/>
                <w:spacing w:val="-8"/>
                <w:highlight w:val="none"/>
              </w:rPr>
              <w:t>元/处。</w:t>
            </w:r>
          </w:p>
        </w:tc>
      </w:tr>
    </w:tbl>
    <w:p w14:paraId="4F75F72B">
      <w:pPr>
        <w:pStyle w:val="3"/>
        <w:rPr>
          <w:color w:val="auto"/>
          <w:highlight w:val="none"/>
        </w:rPr>
      </w:pPr>
    </w:p>
    <w:p w14:paraId="5ED60C3E">
      <w:pPr>
        <w:rPr>
          <w:color w:val="auto"/>
          <w:highlight w:val="none"/>
        </w:rPr>
        <w:sectPr>
          <w:headerReference r:id="rId94" w:type="default"/>
          <w:footerReference r:id="rId95" w:type="default"/>
          <w:pgSz w:w="11905" w:h="16840"/>
          <w:pgMar w:top="1182" w:right="0" w:bottom="1171" w:left="0" w:header="849" w:footer="937" w:gutter="0"/>
          <w:pgNumType w:fmt="decimal"/>
          <w:cols w:space="720" w:num="1"/>
        </w:sectPr>
      </w:pPr>
    </w:p>
    <w:p w14:paraId="43416FB6">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1D42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4D4D3C75">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72D4A81C">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252DE6E4">
            <w:pPr>
              <w:pStyle w:val="17"/>
              <w:spacing w:before="226" w:line="220" w:lineRule="auto"/>
              <w:ind w:left="3393"/>
              <w:rPr>
                <w:color w:val="auto"/>
                <w:highlight w:val="none"/>
              </w:rPr>
            </w:pPr>
            <w:r>
              <w:rPr>
                <w:b/>
                <w:bCs/>
                <w:color w:val="auto"/>
                <w:spacing w:val="-4"/>
                <w:highlight w:val="none"/>
              </w:rPr>
              <w:t>违约项目</w:t>
            </w:r>
          </w:p>
        </w:tc>
      </w:tr>
      <w:tr w14:paraId="5487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602573BC">
            <w:pPr>
              <w:rPr>
                <w:rFonts w:ascii="Arial"/>
                <w:color w:val="auto"/>
                <w:sz w:val="21"/>
                <w:highlight w:val="none"/>
              </w:rPr>
            </w:pPr>
          </w:p>
        </w:tc>
        <w:tc>
          <w:tcPr>
            <w:tcW w:w="839" w:type="dxa"/>
            <w:vAlign w:val="top"/>
          </w:tcPr>
          <w:p w14:paraId="7DC51B11">
            <w:pPr>
              <w:spacing w:line="267" w:lineRule="auto"/>
              <w:rPr>
                <w:rFonts w:ascii="Arial"/>
                <w:color w:val="auto"/>
                <w:sz w:val="21"/>
                <w:highlight w:val="none"/>
              </w:rPr>
            </w:pPr>
          </w:p>
          <w:p w14:paraId="70C919F0">
            <w:pPr>
              <w:pStyle w:val="17"/>
              <w:spacing w:before="68"/>
              <w:ind w:left="370"/>
              <w:rPr>
                <w:color w:val="auto"/>
                <w:highlight w:val="none"/>
              </w:rPr>
            </w:pPr>
            <w:r>
              <w:rPr>
                <w:color w:val="auto"/>
                <w:highlight w:val="none"/>
              </w:rPr>
              <w:t>9</w:t>
            </w:r>
          </w:p>
        </w:tc>
        <w:tc>
          <w:tcPr>
            <w:tcW w:w="7621" w:type="dxa"/>
            <w:vAlign w:val="top"/>
          </w:tcPr>
          <w:p w14:paraId="557CCF41">
            <w:pPr>
              <w:pStyle w:val="17"/>
              <w:spacing w:before="138" w:line="288" w:lineRule="auto"/>
              <w:ind w:left="114" w:right="106"/>
              <w:rPr>
                <w:color w:val="auto"/>
                <w:highlight w:val="none"/>
              </w:rPr>
            </w:pPr>
            <w:r>
              <w:rPr>
                <w:color w:val="auto"/>
                <w:highlight w:val="none"/>
              </w:rPr>
              <w:t>一个经过自检的钢筋骨架中钢筋焊接长度不足及焊缝不饱满超过</w:t>
            </w:r>
            <w:r>
              <w:rPr>
                <w:color w:val="auto"/>
                <w:spacing w:val="-23"/>
                <w:highlight w:val="none"/>
              </w:rPr>
              <w:t xml:space="preserve"> </w:t>
            </w:r>
            <w:r>
              <w:rPr>
                <w:color w:val="auto"/>
                <w:highlight w:val="none"/>
              </w:rPr>
              <w:t>3</w:t>
            </w:r>
            <w:r>
              <w:rPr>
                <w:color w:val="auto"/>
                <w:spacing w:val="-39"/>
                <w:highlight w:val="none"/>
              </w:rPr>
              <w:t xml:space="preserve"> </w:t>
            </w:r>
            <w:r>
              <w:rPr>
                <w:color w:val="auto"/>
                <w:highlight w:val="none"/>
              </w:rPr>
              <w:t>处的，违约金</w:t>
            </w:r>
            <w:r>
              <w:rPr>
                <w:color w:val="auto"/>
                <w:spacing w:val="-3"/>
                <w:highlight w:val="none"/>
              </w:rPr>
              <w:t>2,000</w:t>
            </w:r>
            <w:r>
              <w:rPr>
                <w:color w:val="auto"/>
                <w:spacing w:val="-39"/>
                <w:highlight w:val="none"/>
              </w:rPr>
              <w:t xml:space="preserve"> </w:t>
            </w:r>
            <w:r>
              <w:rPr>
                <w:color w:val="auto"/>
                <w:spacing w:val="-3"/>
                <w:highlight w:val="none"/>
              </w:rPr>
              <w:t>元/个。</w:t>
            </w:r>
          </w:p>
        </w:tc>
      </w:tr>
      <w:tr w14:paraId="6B6C0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294EADF9">
            <w:pPr>
              <w:rPr>
                <w:rFonts w:ascii="Arial"/>
                <w:color w:val="auto"/>
                <w:sz w:val="21"/>
                <w:highlight w:val="none"/>
              </w:rPr>
            </w:pPr>
          </w:p>
        </w:tc>
        <w:tc>
          <w:tcPr>
            <w:tcW w:w="839" w:type="dxa"/>
            <w:vAlign w:val="top"/>
          </w:tcPr>
          <w:p w14:paraId="56CF6AA3">
            <w:pPr>
              <w:spacing w:line="268" w:lineRule="auto"/>
              <w:rPr>
                <w:rFonts w:ascii="Arial"/>
                <w:color w:val="auto"/>
                <w:sz w:val="21"/>
                <w:highlight w:val="none"/>
              </w:rPr>
            </w:pPr>
          </w:p>
          <w:p w14:paraId="778E9E6C">
            <w:pPr>
              <w:pStyle w:val="17"/>
              <w:spacing w:before="68"/>
              <w:ind w:left="333"/>
              <w:rPr>
                <w:color w:val="auto"/>
                <w:highlight w:val="none"/>
              </w:rPr>
            </w:pPr>
            <w:r>
              <w:rPr>
                <w:color w:val="auto"/>
                <w:spacing w:val="-6"/>
                <w:highlight w:val="none"/>
              </w:rPr>
              <w:t>10</w:t>
            </w:r>
          </w:p>
        </w:tc>
        <w:tc>
          <w:tcPr>
            <w:tcW w:w="7621" w:type="dxa"/>
            <w:vAlign w:val="top"/>
          </w:tcPr>
          <w:p w14:paraId="2430DA55">
            <w:pPr>
              <w:pStyle w:val="17"/>
              <w:spacing w:before="138" w:line="288" w:lineRule="auto"/>
              <w:ind w:left="128" w:right="112" w:hanging="13"/>
              <w:rPr>
                <w:color w:val="auto"/>
                <w:highlight w:val="none"/>
              </w:rPr>
            </w:pPr>
            <w:r>
              <w:rPr>
                <w:color w:val="auto"/>
                <w:highlight w:val="none"/>
              </w:rPr>
              <w:t>一个经过自检的钢筋骨架有</w:t>
            </w:r>
            <w:r>
              <w:rPr>
                <w:color w:val="auto"/>
                <w:spacing w:val="-30"/>
                <w:highlight w:val="none"/>
              </w:rPr>
              <w:t xml:space="preserve"> </w:t>
            </w:r>
            <w:r>
              <w:rPr>
                <w:color w:val="auto"/>
                <w:highlight w:val="none"/>
              </w:rPr>
              <w:t>3</w:t>
            </w:r>
            <w:r>
              <w:rPr>
                <w:color w:val="auto"/>
                <w:spacing w:val="-38"/>
                <w:highlight w:val="none"/>
              </w:rPr>
              <w:t xml:space="preserve"> </w:t>
            </w:r>
            <w:r>
              <w:rPr>
                <w:color w:val="auto"/>
                <w:highlight w:val="none"/>
              </w:rPr>
              <w:t>处钢筋间距（包括主筋和构造筋）不符合规范要求</w:t>
            </w:r>
            <w:r>
              <w:rPr>
                <w:color w:val="auto"/>
                <w:spacing w:val="-5"/>
                <w:highlight w:val="none"/>
              </w:rPr>
              <w:t>的违约金</w:t>
            </w:r>
            <w:r>
              <w:rPr>
                <w:color w:val="auto"/>
                <w:spacing w:val="-43"/>
                <w:highlight w:val="none"/>
              </w:rPr>
              <w:t xml:space="preserve"> </w:t>
            </w:r>
            <w:r>
              <w:rPr>
                <w:color w:val="auto"/>
                <w:spacing w:val="-5"/>
                <w:highlight w:val="none"/>
              </w:rPr>
              <w:t>2,000</w:t>
            </w:r>
            <w:r>
              <w:rPr>
                <w:color w:val="auto"/>
                <w:spacing w:val="-42"/>
                <w:highlight w:val="none"/>
              </w:rPr>
              <w:t xml:space="preserve"> </w:t>
            </w:r>
            <w:r>
              <w:rPr>
                <w:color w:val="auto"/>
                <w:spacing w:val="-5"/>
                <w:highlight w:val="none"/>
              </w:rPr>
              <w:t>元/个。</w:t>
            </w:r>
          </w:p>
        </w:tc>
      </w:tr>
      <w:tr w14:paraId="497FE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DADE4A4">
            <w:pPr>
              <w:rPr>
                <w:rFonts w:ascii="Arial"/>
                <w:color w:val="auto"/>
                <w:sz w:val="21"/>
                <w:highlight w:val="none"/>
              </w:rPr>
            </w:pPr>
          </w:p>
        </w:tc>
        <w:tc>
          <w:tcPr>
            <w:tcW w:w="839" w:type="dxa"/>
            <w:vAlign w:val="top"/>
          </w:tcPr>
          <w:p w14:paraId="5DCFE9AD">
            <w:pPr>
              <w:pStyle w:val="17"/>
              <w:spacing w:before="223" w:line="241" w:lineRule="auto"/>
              <w:ind w:left="333"/>
              <w:rPr>
                <w:color w:val="auto"/>
                <w:highlight w:val="none"/>
              </w:rPr>
            </w:pPr>
            <w:r>
              <w:rPr>
                <w:color w:val="auto"/>
                <w:spacing w:val="-6"/>
                <w:highlight w:val="none"/>
              </w:rPr>
              <w:t>11</w:t>
            </w:r>
          </w:p>
        </w:tc>
        <w:tc>
          <w:tcPr>
            <w:tcW w:w="7621" w:type="dxa"/>
            <w:vAlign w:val="top"/>
          </w:tcPr>
          <w:p w14:paraId="7EB6EE5D">
            <w:pPr>
              <w:pStyle w:val="17"/>
              <w:spacing w:before="223" w:line="217" w:lineRule="auto"/>
              <w:ind w:left="109"/>
              <w:rPr>
                <w:color w:val="auto"/>
                <w:highlight w:val="none"/>
              </w:rPr>
            </w:pPr>
            <w:r>
              <w:rPr>
                <w:color w:val="auto"/>
                <w:spacing w:val="-1"/>
                <w:highlight w:val="none"/>
              </w:rPr>
              <w:t>钢筋骨架已生锈，在浇筑砼前未作去锈处理的，</w:t>
            </w:r>
            <w:r>
              <w:rPr>
                <w:color w:val="auto"/>
                <w:spacing w:val="-2"/>
                <w:highlight w:val="none"/>
              </w:rPr>
              <w:t>违约金</w:t>
            </w:r>
            <w:r>
              <w:rPr>
                <w:color w:val="auto"/>
                <w:spacing w:val="-43"/>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5F1E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3DD19D95">
            <w:pPr>
              <w:rPr>
                <w:rFonts w:ascii="Arial"/>
                <w:color w:val="auto"/>
                <w:sz w:val="21"/>
                <w:highlight w:val="none"/>
              </w:rPr>
            </w:pPr>
          </w:p>
        </w:tc>
        <w:tc>
          <w:tcPr>
            <w:tcW w:w="839" w:type="dxa"/>
            <w:vAlign w:val="top"/>
          </w:tcPr>
          <w:p w14:paraId="1B3B1455">
            <w:pPr>
              <w:spacing w:line="270" w:lineRule="auto"/>
              <w:rPr>
                <w:rFonts w:ascii="Arial"/>
                <w:color w:val="auto"/>
                <w:sz w:val="21"/>
                <w:highlight w:val="none"/>
              </w:rPr>
            </w:pPr>
          </w:p>
          <w:p w14:paraId="0144668B">
            <w:pPr>
              <w:pStyle w:val="17"/>
              <w:spacing w:before="68" w:line="241" w:lineRule="auto"/>
              <w:ind w:left="333"/>
              <w:rPr>
                <w:color w:val="auto"/>
                <w:highlight w:val="none"/>
              </w:rPr>
            </w:pPr>
            <w:r>
              <w:rPr>
                <w:color w:val="auto"/>
                <w:spacing w:val="-6"/>
                <w:highlight w:val="none"/>
              </w:rPr>
              <w:t>12</w:t>
            </w:r>
          </w:p>
        </w:tc>
        <w:tc>
          <w:tcPr>
            <w:tcW w:w="7621" w:type="dxa"/>
            <w:vAlign w:val="top"/>
          </w:tcPr>
          <w:p w14:paraId="1F1529B7">
            <w:pPr>
              <w:pStyle w:val="17"/>
              <w:spacing w:before="141" w:line="287" w:lineRule="auto"/>
              <w:ind w:left="110" w:right="49"/>
              <w:rPr>
                <w:color w:val="auto"/>
                <w:highlight w:val="none"/>
              </w:rPr>
            </w:pPr>
            <w:r>
              <w:rPr>
                <w:color w:val="auto"/>
                <w:spacing w:val="-3"/>
                <w:highlight w:val="none"/>
              </w:rPr>
              <w:t>在钻孔桩的施工中泥浆循环系统未设沉淀池的，或沉淀池规格不符合有关要求的，</w:t>
            </w:r>
            <w:r>
              <w:rPr>
                <w:color w:val="auto"/>
                <w:spacing w:val="-4"/>
                <w:highlight w:val="none"/>
              </w:rPr>
              <w:t>违约金</w:t>
            </w:r>
            <w:r>
              <w:rPr>
                <w:color w:val="auto"/>
                <w:spacing w:val="-43"/>
                <w:highlight w:val="none"/>
              </w:rPr>
              <w:t xml:space="preserve"> </w:t>
            </w:r>
            <w:r>
              <w:rPr>
                <w:color w:val="auto"/>
                <w:spacing w:val="-4"/>
                <w:highlight w:val="none"/>
              </w:rPr>
              <w:t>2,000</w:t>
            </w:r>
            <w:r>
              <w:rPr>
                <w:color w:val="auto"/>
                <w:spacing w:val="-41"/>
                <w:highlight w:val="none"/>
              </w:rPr>
              <w:t xml:space="preserve"> </w:t>
            </w:r>
            <w:r>
              <w:rPr>
                <w:color w:val="auto"/>
                <w:spacing w:val="-4"/>
                <w:highlight w:val="none"/>
              </w:rPr>
              <w:t>元/处。</w:t>
            </w:r>
          </w:p>
        </w:tc>
      </w:tr>
      <w:tr w14:paraId="50E17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7934AD9">
            <w:pPr>
              <w:rPr>
                <w:rFonts w:ascii="Arial"/>
                <w:color w:val="auto"/>
                <w:sz w:val="21"/>
                <w:highlight w:val="none"/>
              </w:rPr>
            </w:pPr>
          </w:p>
        </w:tc>
        <w:tc>
          <w:tcPr>
            <w:tcW w:w="839" w:type="dxa"/>
            <w:vAlign w:val="top"/>
          </w:tcPr>
          <w:p w14:paraId="7102D920">
            <w:pPr>
              <w:spacing w:line="270" w:lineRule="auto"/>
              <w:rPr>
                <w:rFonts w:ascii="Arial"/>
                <w:color w:val="auto"/>
                <w:sz w:val="21"/>
                <w:highlight w:val="none"/>
              </w:rPr>
            </w:pPr>
          </w:p>
          <w:p w14:paraId="01F9107B">
            <w:pPr>
              <w:pStyle w:val="17"/>
              <w:spacing w:before="69"/>
              <w:ind w:left="333"/>
              <w:rPr>
                <w:color w:val="auto"/>
                <w:highlight w:val="none"/>
              </w:rPr>
            </w:pPr>
            <w:r>
              <w:rPr>
                <w:color w:val="auto"/>
                <w:spacing w:val="-6"/>
                <w:highlight w:val="none"/>
              </w:rPr>
              <w:t>13</w:t>
            </w:r>
          </w:p>
        </w:tc>
        <w:tc>
          <w:tcPr>
            <w:tcW w:w="7621" w:type="dxa"/>
            <w:vAlign w:val="top"/>
          </w:tcPr>
          <w:p w14:paraId="5BF64943">
            <w:pPr>
              <w:pStyle w:val="17"/>
              <w:spacing w:before="142" w:line="287" w:lineRule="auto"/>
              <w:ind w:left="112" w:right="103" w:hanging="1"/>
              <w:rPr>
                <w:color w:val="auto"/>
                <w:highlight w:val="none"/>
              </w:rPr>
            </w:pPr>
            <w:r>
              <w:rPr>
                <w:color w:val="auto"/>
                <w:spacing w:val="-4"/>
                <w:highlight w:val="none"/>
              </w:rPr>
              <w:t>桩基检测评定为</w:t>
            </w:r>
            <w:r>
              <w:rPr>
                <w:color w:val="auto"/>
                <w:spacing w:val="-42"/>
                <w:highlight w:val="none"/>
              </w:rPr>
              <w:t xml:space="preserve"> </w:t>
            </w:r>
            <w:r>
              <w:rPr>
                <w:color w:val="auto"/>
                <w:spacing w:val="-4"/>
                <w:highlight w:val="none"/>
              </w:rPr>
              <w:t>C</w:t>
            </w:r>
            <w:r>
              <w:rPr>
                <w:color w:val="auto"/>
                <w:spacing w:val="-43"/>
                <w:highlight w:val="none"/>
              </w:rPr>
              <w:t xml:space="preserve"> </w:t>
            </w:r>
            <w:r>
              <w:rPr>
                <w:color w:val="auto"/>
                <w:spacing w:val="-4"/>
                <w:highlight w:val="none"/>
              </w:rPr>
              <w:t>类桩的，每根违约金</w:t>
            </w:r>
            <w:r>
              <w:rPr>
                <w:color w:val="auto"/>
                <w:spacing w:val="-42"/>
                <w:highlight w:val="none"/>
              </w:rPr>
              <w:t xml:space="preserve"> </w:t>
            </w:r>
            <w:r>
              <w:rPr>
                <w:color w:val="auto"/>
                <w:spacing w:val="-4"/>
                <w:highlight w:val="none"/>
              </w:rPr>
              <w:t>2,000</w:t>
            </w:r>
            <w:r>
              <w:rPr>
                <w:color w:val="auto"/>
                <w:spacing w:val="-44"/>
                <w:highlight w:val="none"/>
              </w:rPr>
              <w:t xml:space="preserve"> </w:t>
            </w:r>
            <w:r>
              <w:rPr>
                <w:color w:val="auto"/>
                <w:spacing w:val="-4"/>
                <w:highlight w:val="none"/>
              </w:rPr>
              <w:t>元，出现不合格桩的，违约金</w:t>
            </w:r>
            <w:r>
              <w:rPr>
                <w:color w:val="auto"/>
                <w:spacing w:val="-40"/>
                <w:highlight w:val="none"/>
              </w:rPr>
              <w:t xml:space="preserve"> </w:t>
            </w:r>
            <w:r>
              <w:rPr>
                <w:color w:val="auto"/>
                <w:spacing w:val="-4"/>
                <w:highlight w:val="none"/>
              </w:rPr>
              <w:t>5,000</w:t>
            </w:r>
            <w:r>
              <w:rPr>
                <w:color w:val="auto"/>
                <w:spacing w:val="-8"/>
                <w:highlight w:val="none"/>
              </w:rPr>
              <w:t>元/根。</w:t>
            </w:r>
          </w:p>
        </w:tc>
      </w:tr>
      <w:tr w14:paraId="3D4D0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3A1E037">
            <w:pPr>
              <w:rPr>
                <w:rFonts w:ascii="Arial"/>
                <w:color w:val="auto"/>
                <w:sz w:val="21"/>
                <w:highlight w:val="none"/>
              </w:rPr>
            </w:pPr>
          </w:p>
        </w:tc>
        <w:tc>
          <w:tcPr>
            <w:tcW w:w="839" w:type="dxa"/>
            <w:vAlign w:val="top"/>
          </w:tcPr>
          <w:p w14:paraId="2E44C47B">
            <w:pPr>
              <w:pStyle w:val="17"/>
              <w:spacing w:before="224" w:line="241" w:lineRule="auto"/>
              <w:ind w:left="333"/>
              <w:rPr>
                <w:color w:val="auto"/>
                <w:highlight w:val="none"/>
              </w:rPr>
            </w:pPr>
            <w:r>
              <w:rPr>
                <w:color w:val="auto"/>
                <w:spacing w:val="-6"/>
                <w:highlight w:val="none"/>
              </w:rPr>
              <w:t>14</w:t>
            </w:r>
          </w:p>
        </w:tc>
        <w:tc>
          <w:tcPr>
            <w:tcW w:w="7621" w:type="dxa"/>
            <w:vAlign w:val="top"/>
          </w:tcPr>
          <w:p w14:paraId="14773F22">
            <w:pPr>
              <w:pStyle w:val="17"/>
              <w:spacing w:before="224" w:line="217" w:lineRule="auto"/>
              <w:ind w:left="112"/>
              <w:rPr>
                <w:color w:val="auto"/>
                <w:highlight w:val="none"/>
              </w:rPr>
            </w:pPr>
            <w:r>
              <w:rPr>
                <w:color w:val="auto"/>
                <w:spacing w:val="-2"/>
                <w:highlight w:val="none"/>
              </w:rPr>
              <w:t>浇注砼时，自由下落高度超过</w:t>
            </w:r>
            <w:r>
              <w:rPr>
                <w:color w:val="auto"/>
                <w:spacing w:val="-42"/>
                <w:highlight w:val="none"/>
              </w:rPr>
              <w:t xml:space="preserve"> </w:t>
            </w:r>
            <w:r>
              <w:rPr>
                <w:color w:val="auto"/>
                <w:spacing w:val="-2"/>
                <w:highlight w:val="none"/>
              </w:rPr>
              <w:t>2m</w:t>
            </w:r>
            <w:r>
              <w:rPr>
                <w:color w:val="auto"/>
                <w:spacing w:val="-43"/>
                <w:highlight w:val="none"/>
              </w:rPr>
              <w:t xml:space="preserve"> </w:t>
            </w:r>
            <w:r>
              <w:rPr>
                <w:color w:val="auto"/>
                <w:spacing w:val="-2"/>
                <w:highlight w:val="none"/>
              </w:rPr>
              <w:t>而不用串筒的，违约金</w:t>
            </w:r>
            <w:r>
              <w:rPr>
                <w:color w:val="auto"/>
                <w:spacing w:val="-42"/>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5FDA2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08C0662">
            <w:pPr>
              <w:rPr>
                <w:rFonts w:ascii="Arial"/>
                <w:color w:val="auto"/>
                <w:sz w:val="21"/>
                <w:highlight w:val="none"/>
              </w:rPr>
            </w:pPr>
          </w:p>
        </w:tc>
        <w:tc>
          <w:tcPr>
            <w:tcW w:w="839" w:type="dxa"/>
            <w:vAlign w:val="top"/>
          </w:tcPr>
          <w:p w14:paraId="40F58FF4">
            <w:pPr>
              <w:pStyle w:val="17"/>
              <w:spacing w:before="224"/>
              <w:ind w:left="333"/>
              <w:rPr>
                <w:color w:val="auto"/>
                <w:highlight w:val="none"/>
              </w:rPr>
            </w:pPr>
            <w:r>
              <w:rPr>
                <w:color w:val="auto"/>
                <w:spacing w:val="-6"/>
                <w:highlight w:val="none"/>
              </w:rPr>
              <w:t>15</w:t>
            </w:r>
          </w:p>
        </w:tc>
        <w:tc>
          <w:tcPr>
            <w:tcW w:w="7621" w:type="dxa"/>
            <w:vAlign w:val="top"/>
          </w:tcPr>
          <w:p w14:paraId="72B48CF3">
            <w:pPr>
              <w:pStyle w:val="17"/>
              <w:spacing w:before="224" w:line="217" w:lineRule="auto"/>
              <w:ind w:left="110"/>
              <w:rPr>
                <w:color w:val="auto"/>
                <w:highlight w:val="none"/>
              </w:rPr>
            </w:pPr>
            <w:r>
              <w:rPr>
                <w:color w:val="auto"/>
                <w:spacing w:val="-2"/>
                <w:highlight w:val="none"/>
              </w:rPr>
              <w:t>砼施工配合比不按重量比的，违约金</w:t>
            </w:r>
            <w:r>
              <w:rPr>
                <w:color w:val="auto"/>
                <w:spacing w:val="-39"/>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27CD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1DA7C1BD">
            <w:pPr>
              <w:rPr>
                <w:rFonts w:ascii="Arial"/>
                <w:color w:val="auto"/>
                <w:sz w:val="21"/>
                <w:highlight w:val="none"/>
              </w:rPr>
            </w:pPr>
          </w:p>
        </w:tc>
        <w:tc>
          <w:tcPr>
            <w:tcW w:w="839" w:type="dxa"/>
            <w:vAlign w:val="top"/>
          </w:tcPr>
          <w:p w14:paraId="2861F6E7">
            <w:pPr>
              <w:pStyle w:val="17"/>
              <w:spacing w:before="223"/>
              <w:ind w:left="333"/>
              <w:rPr>
                <w:color w:val="auto"/>
                <w:highlight w:val="none"/>
              </w:rPr>
            </w:pPr>
            <w:r>
              <w:rPr>
                <w:color w:val="auto"/>
                <w:spacing w:val="-6"/>
                <w:highlight w:val="none"/>
              </w:rPr>
              <w:t>16</w:t>
            </w:r>
          </w:p>
        </w:tc>
        <w:tc>
          <w:tcPr>
            <w:tcW w:w="7621" w:type="dxa"/>
            <w:vAlign w:val="top"/>
          </w:tcPr>
          <w:p w14:paraId="497D1FDB">
            <w:pPr>
              <w:pStyle w:val="17"/>
              <w:spacing w:before="223" w:line="217" w:lineRule="auto"/>
              <w:ind w:left="112"/>
              <w:rPr>
                <w:color w:val="auto"/>
                <w:highlight w:val="none"/>
              </w:rPr>
            </w:pPr>
            <w:r>
              <w:rPr>
                <w:color w:val="auto"/>
                <w:spacing w:val="-1"/>
                <w:highlight w:val="none"/>
              </w:rPr>
              <w:t>两梁板之间接缝不得有杂物，填充料符合设计要求，违者违约金</w:t>
            </w:r>
            <w:r>
              <w:rPr>
                <w:color w:val="auto"/>
                <w:spacing w:val="-37"/>
                <w:highlight w:val="none"/>
              </w:rPr>
              <w:t xml:space="preserve"> </w:t>
            </w:r>
            <w:r>
              <w:rPr>
                <w:color w:val="auto"/>
                <w:spacing w:val="-1"/>
                <w:highlight w:val="none"/>
              </w:rPr>
              <w:t>2,000</w:t>
            </w:r>
            <w:r>
              <w:rPr>
                <w:color w:val="auto"/>
                <w:spacing w:val="-42"/>
                <w:highlight w:val="none"/>
              </w:rPr>
              <w:t xml:space="preserve"> </w:t>
            </w:r>
            <w:r>
              <w:rPr>
                <w:color w:val="auto"/>
                <w:spacing w:val="-1"/>
                <w:highlight w:val="none"/>
              </w:rPr>
              <w:t>元。</w:t>
            </w:r>
          </w:p>
        </w:tc>
      </w:tr>
      <w:tr w14:paraId="5B10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EF06AB8">
            <w:pPr>
              <w:rPr>
                <w:rFonts w:ascii="Arial"/>
                <w:color w:val="auto"/>
                <w:sz w:val="21"/>
                <w:highlight w:val="none"/>
              </w:rPr>
            </w:pPr>
          </w:p>
        </w:tc>
        <w:tc>
          <w:tcPr>
            <w:tcW w:w="839" w:type="dxa"/>
            <w:vAlign w:val="top"/>
          </w:tcPr>
          <w:p w14:paraId="314914AF">
            <w:pPr>
              <w:spacing w:line="272" w:lineRule="auto"/>
              <w:rPr>
                <w:rFonts w:ascii="Arial"/>
                <w:color w:val="auto"/>
                <w:sz w:val="21"/>
                <w:highlight w:val="none"/>
              </w:rPr>
            </w:pPr>
          </w:p>
          <w:p w14:paraId="217E2F37">
            <w:pPr>
              <w:pStyle w:val="17"/>
              <w:spacing w:before="68"/>
              <w:ind w:left="333"/>
              <w:rPr>
                <w:color w:val="auto"/>
                <w:highlight w:val="none"/>
              </w:rPr>
            </w:pPr>
            <w:r>
              <w:rPr>
                <w:color w:val="auto"/>
                <w:spacing w:val="-6"/>
                <w:highlight w:val="none"/>
              </w:rPr>
              <w:t>17</w:t>
            </w:r>
          </w:p>
        </w:tc>
        <w:tc>
          <w:tcPr>
            <w:tcW w:w="7621" w:type="dxa"/>
            <w:vAlign w:val="top"/>
          </w:tcPr>
          <w:p w14:paraId="6BCDCC16">
            <w:pPr>
              <w:pStyle w:val="17"/>
              <w:spacing w:before="142" w:line="287" w:lineRule="auto"/>
              <w:ind w:left="110" w:right="49"/>
              <w:rPr>
                <w:color w:val="auto"/>
                <w:highlight w:val="none"/>
              </w:rPr>
            </w:pPr>
            <w:r>
              <w:rPr>
                <w:color w:val="auto"/>
                <w:spacing w:val="-6"/>
                <w:highlight w:val="none"/>
              </w:rPr>
              <w:t>砼拌和机的计量装置应定期标定、误差在允许范围内， 拌和机的容量要满足要求，</w:t>
            </w:r>
            <w:r>
              <w:rPr>
                <w:color w:val="auto"/>
                <w:spacing w:val="-1"/>
                <w:highlight w:val="none"/>
              </w:rPr>
              <w:t>桥梁施工要具备应急拌和机，不满足上述要求</w:t>
            </w:r>
            <w:r>
              <w:rPr>
                <w:color w:val="auto"/>
                <w:spacing w:val="-2"/>
                <w:highlight w:val="none"/>
              </w:rPr>
              <w:t>的，违约金</w:t>
            </w:r>
            <w:r>
              <w:rPr>
                <w:color w:val="auto"/>
                <w:spacing w:val="-43"/>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5FE90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65A68E4">
            <w:pPr>
              <w:rPr>
                <w:rFonts w:ascii="Arial"/>
                <w:color w:val="auto"/>
                <w:sz w:val="21"/>
                <w:highlight w:val="none"/>
              </w:rPr>
            </w:pPr>
          </w:p>
        </w:tc>
        <w:tc>
          <w:tcPr>
            <w:tcW w:w="839" w:type="dxa"/>
            <w:vAlign w:val="top"/>
          </w:tcPr>
          <w:p w14:paraId="0DC934C2">
            <w:pPr>
              <w:pStyle w:val="17"/>
              <w:spacing w:before="224"/>
              <w:ind w:left="333"/>
              <w:rPr>
                <w:color w:val="auto"/>
                <w:highlight w:val="none"/>
              </w:rPr>
            </w:pPr>
            <w:r>
              <w:rPr>
                <w:color w:val="auto"/>
                <w:spacing w:val="-6"/>
                <w:highlight w:val="none"/>
              </w:rPr>
              <w:t>18</w:t>
            </w:r>
          </w:p>
        </w:tc>
        <w:tc>
          <w:tcPr>
            <w:tcW w:w="7621" w:type="dxa"/>
            <w:vAlign w:val="top"/>
          </w:tcPr>
          <w:p w14:paraId="3ED38BEA">
            <w:pPr>
              <w:pStyle w:val="17"/>
              <w:spacing w:before="224" w:line="217" w:lineRule="auto"/>
              <w:ind w:left="112"/>
              <w:rPr>
                <w:color w:val="auto"/>
                <w:highlight w:val="none"/>
              </w:rPr>
            </w:pPr>
            <w:r>
              <w:rPr>
                <w:color w:val="auto"/>
                <w:spacing w:val="-1"/>
                <w:highlight w:val="none"/>
              </w:rPr>
              <w:t>压浆不按配合比制浆，水灰比失控，强度达不到要求的</w:t>
            </w:r>
            <w:r>
              <w:rPr>
                <w:color w:val="auto"/>
                <w:spacing w:val="-2"/>
                <w:highlight w:val="none"/>
              </w:rPr>
              <w:t>，违约金</w:t>
            </w:r>
            <w:r>
              <w:rPr>
                <w:color w:val="auto"/>
                <w:spacing w:val="-41"/>
                <w:highlight w:val="none"/>
              </w:rPr>
              <w:t xml:space="preserve"> </w:t>
            </w:r>
            <w:r>
              <w:rPr>
                <w:color w:val="auto"/>
                <w:spacing w:val="-2"/>
                <w:highlight w:val="none"/>
              </w:rPr>
              <w:t>3,000</w:t>
            </w:r>
            <w:r>
              <w:rPr>
                <w:color w:val="auto"/>
                <w:spacing w:val="-41"/>
                <w:highlight w:val="none"/>
              </w:rPr>
              <w:t xml:space="preserve"> </w:t>
            </w:r>
            <w:r>
              <w:rPr>
                <w:color w:val="auto"/>
                <w:spacing w:val="-2"/>
                <w:highlight w:val="none"/>
              </w:rPr>
              <w:t>元/次。</w:t>
            </w:r>
          </w:p>
        </w:tc>
      </w:tr>
      <w:tr w14:paraId="009EF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26766E98">
            <w:pPr>
              <w:rPr>
                <w:rFonts w:ascii="Arial"/>
                <w:color w:val="auto"/>
                <w:sz w:val="21"/>
                <w:highlight w:val="none"/>
              </w:rPr>
            </w:pPr>
          </w:p>
        </w:tc>
        <w:tc>
          <w:tcPr>
            <w:tcW w:w="839" w:type="dxa"/>
            <w:vAlign w:val="top"/>
          </w:tcPr>
          <w:p w14:paraId="55F3D349">
            <w:pPr>
              <w:pStyle w:val="17"/>
              <w:spacing w:before="224"/>
              <w:ind w:left="333"/>
              <w:rPr>
                <w:color w:val="auto"/>
                <w:highlight w:val="none"/>
              </w:rPr>
            </w:pPr>
            <w:r>
              <w:rPr>
                <w:color w:val="auto"/>
                <w:spacing w:val="-6"/>
                <w:highlight w:val="none"/>
              </w:rPr>
              <w:t>19</w:t>
            </w:r>
          </w:p>
        </w:tc>
        <w:tc>
          <w:tcPr>
            <w:tcW w:w="7621" w:type="dxa"/>
            <w:vAlign w:val="top"/>
          </w:tcPr>
          <w:p w14:paraId="1226557E">
            <w:pPr>
              <w:pStyle w:val="17"/>
              <w:spacing w:before="224" w:line="217" w:lineRule="auto"/>
              <w:ind w:left="112"/>
              <w:rPr>
                <w:color w:val="auto"/>
                <w:highlight w:val="none"/>
              </w:rPr>
            </w:pPr>
            <w:r>
              <w:rPr>
                <w:color w:val="auto"/>
                <w:spacing w:val="-3"/>
                <w:highlight w:val="none"/>
              </w:rPr>
              <w:t>压浆不饱满的，违约金</w:t>
            </w:r>
            <w:r>
              <w:rPr>
                <w:color w:val="auto"/>
                <w:spacing w:val="-34"/>
                <w:highlight w:val="none"/>
              </w:rPr>
              <w:t xml:space="preserve"> </w:t>
            </w:r>
            <w:r>
              <w:rPr>
                <w:color w:val="auto"/>
                <w:spacing w:val="-3"/>
                <w:highlight w:val="none"/>
              </w:rPr>
              <w:t>3,000</w:t>
            </w:r>
            <w:r>
              <w:rPr>
                <w:color w:val="auto"/>
                <w:spacing w:val="-41"/>
                <w:highlight w:val="none"/>
              </w:rPr>
              <w:t xml:space="preserve"> </w:t>
            </w:r>
            <w:r>
              <w:rPr>
                <w:color w:val="auto"/>
                <w:spacing w:val="-3"/>
                <w:highlight w:val="none"/>
              </w:rPr>
              <w:t>元/束。</w:t>
            </w:r>
          </w:p>
        </w:tc>
      </w:tr>
      <w:tr w14:paraId="2A52D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6DF178D6">
            <w:pPr>
              <w:rPr>
                <w:rFonts w:ascii="Arial"/>
                <w:color w:val="auto"/>
                <w:sz w:val="21"/>
                <w:highlight w:val="none"/>
              </w:rPr>
            </w:pPr>
          </w:p>
        </w:tc>
        <w:tc>
          <w:tcPr>
            <w:tcW w:w="839" w:type="dxa"/>
            <w:vAlign w:val="top"/>
          </w:tcPr>
          <w:p w14:paraId="6FA23C1A">
            <w:pPr>
              <w:spacing w:line="271" w:lineRule="auto"/>
              <w:rPr>
                <w:rFonts w:ascii="Arial"/>
                <w:color w:val="auto"/>
                <w:sz w:val="21"/>
                <w:highlight w:val="none"/>
              </w:rPr>
            </w:pPr>
          </w:p>
          <w:p w14:paraId="302725A3">
            <w:pPr>
              <w:pStyle w:val="17"/>
              <w:spacing w:before="68"/>
              <w:ind w:left="320"/>
              <w:rPr>
                <w:color w:val="auto"/>
                <w:highlight w:val="none"/>
              </w:rPr>
            </w:pPr>
            <w:r>
              <w:rPr>
                <w:color w:val="auto"/>
                <w:spacing w:val="-3"/>
                <w:highlight w:val="none"/>
              </w:rPr>
              <w:t>20</w:t>
            </w:r>
          </w:p>
        </w:tc>
        <w:tc>
          <w:tcPr>
            <w:tcW w:w="7621" w:type="dxa"/>
            <w:vAlign w:val="top"/>
          </w:tcPr>
          <w:p w14:paraId="5F484533">
            <w:pPr>
              <w:pStyle w:val="17"/>
              <w:spacing w:before="142" w:line="287" w:lineRule="auto"/>
              <w:ind w:left="113" w:right="107"/>
              <w:rPr>
                <w:color w:val="auto"/>
                <w:highlight w:val="none"/>
              </w:rPr>
            </w:pPr>
            <w:r>
              <w:rPr>
                <w:color w:val="auto"/>
                <w:spacing w:val="2"/>
                <w:highlight w:val="none"/>
              </w:rPr>
              <w:t>预制、现浇砼构件必须采用足够强度、大面积的钢板制模板，违者违约金</w:t>
            </w:r>
            <w:r>
              <w:rPr>
                <w:color w:val="auto"/>
                <w:spacing w:val="-31"/>
                <w:highlight w:val="none"/>
              </w:rPr>
              <w:t xml:space="preserve"> </w:t>
            </w:r>
            <w:r>
              <w:rPr>
                <w:color w:val="auto"/>
                <w:spacing w:val="2"/>
                <w:highlight w:val="none"/>
              </w:rPr>
              <w:t>3,000</w:t>
            </w:r>
            <w:r>
              <w:rPr>
                <w:color w:val="auto"/>
                <w:spacing w:val="-8"/>
                <w:highlight w:val="none"/>
              </w:rPr>
              <w:t>元/次。</w:t>
            </w:r>
          </w:p>
        </w:tc>
      </w:tr>
      <w:tr w14:paraId="13CFF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2B677189">
            <w:pPr>
              <w:rPr>
                <w:rFonts w:ascii="Arial"/>
                <w:color w:val="auto"/>
                <w:sz w:val="21"/>
                <w:highlight w:val="none"/>
              </w:rPr>
            </w:pPr>
          </w:p>
        </w:tc>
        <w:tc>
          <w:tcPr>
            <w:tcW w:w="839" w:type="dxa"/>
            <w:vAlign w:val="top"/>
          </w:tcPr>
          <w:p w14:paraId="1EEEFC8E">
            <w:pPr>
              <w:spacing w:line="471" w:lineRule="auto"/>
              <w:rPr>
                <w:rFonts w:ascii="Arial"/>
                <w:color w:val="auto"/>
                <w:sz w:val="21"/>
                <w:highlight w:val="none"/>
              </w:rPr>
            </w:pPr>
          </w:p>
          <w:p w14:paraId="41FBF3E9">
            <w:pPr>
              <w:pStyle w:val="17"/>
              <w:spacing w:before="68" w:line="241" w:lineRule="auto"/>
              <w:ind w:left="320"/>
              <w:rPr>
                <w:color w:val="auto"/>
                <w:highlight w:val="none"/>
              </w:rPr>
            </w:pPr>
            <w:r>
              <w:rPr>
                <w:color w:val="auto"/>
                <w:spacing w:val="-3"/>
                <w:highlight w:val="none"/>
              </w:rPr>
              <w:t>21</w:t>
            </w:r>
          </w:p>
        </w:tc>
        <w:tc>
          <w:tcPr>
            <w:tcW w:w="7621" w:type="dxa"/>
            <w:vAlign w:val="top"/>
          </w:tcPr>
          <w:p w14:paraId="46656763">
            <w:pPr>
              <w:pStyle w:val="17"/>
              <w:spacing w:before="142" w:line="308" w:lineRule="auto"/>
              <w:ind w:left="112" w:right="109" w:firstLine="4"/>
              <w:jc w:val="both"/>
              <w:rPr>
                <w:color w:val="auto"/>
                <w:highlight w:val="none"/>
              </w:rPr>
            </w:pPr>
            <w:r>
              <w:rPr>
                <w:color w:val="auto"/>
                <w:spacing w:val="1"/>
                <w:highlight w:val="none"/>
              </w:rPr>
              <w:t>结构物外观质量出现限制缺陷需修补的，必须按方案试验确定可行，并经</w:t>
            </w:r>
            <w:r>
              <w:rPr>
                <w:color w:val="auto"/>
                <w:highlight w:val="none"/>
              </w:rPr>
              <w:t>发包人</w:t>
            </w:r>
            <w:r>
              <w:rPr>
                <w:color w:val="auto"/>
                <w:spacing w:val="1"/>
                <w:highlight w:val="none"/>
              </w:rPr>
              <w:t>和监理人检查同意后，方可修整补救，无法补救的则以“推倒重来”为原则。违</w:t>
            </w:r>
            <w:r>
              <w:rPr>
                <w:color w:val="auto"/>
                <w:spacing w:val="-4"/>
                <w:highlight w:val="none"/>
              </w:rPr>
              <w:t>者违约金</w:t>
            </w:r>
            <w:r>
              <w:rPr>
                <w:color w:val="auto"/>
                <w:spacing w:val="-40"/>
                <w:highlight w:val="none"/>
              </w:rPr>
              <w:t xml:space="preserve"> </w:t>
            </w:r>
            <w:r>
              <w:rPr>
                <w:color w:val="auto"/>
                <w:spacing w:val="-4"/>
                <w:highlight w:val="none"/>
              </w:rPr>
              <w:t>3,000</w:t>
            </w:r>
            <w:r>
              <w:rPr>
                <w:color w:val="auto"/>
                <w:spacing w:val="-41"/>
                <w:highlight w:val="none"/>
              </w:rPr>
              <w:t xml:space="preserve"> </w:t>
            </w:r>
            <w:r>
              <w:rPr>
                <w:color w:val="auto"/>
                <w:spacing w:val="-4"/>
                <w:highlight w:val="none"/>
              </w:rPr>
              <w:t>元/处。</w:t>
            </w:r>
          </w:p>
        </w:tc>
      </w:tr>
      <w:tr w14:paraId="5C406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AB7B024">
            <w:pPr>
              <w:rPr>
                <w:rFonts w:ascii="Arial"/>
                <w:color w:val="auto"/>
                <w:sz w:val="21"/>
                <w:highlight w:val="none"/>
              </w:rPr>
            </w:pPr>
          </w:p>
        </w:tc>
        <w:tc>
          <w:tcPr>
            <w:tcW w:w="839" w:type="dxa"/>
            <w:vAlign w:val="top"/>
          </w:tcPr>
          <w:p w14:paraId="73E9FDA4">
            <w:pPr>
              <w:spacing w:line="273" w:lineRule="auto"/>
              <w:rPr>
                <w:rFonts w:ascii="Arial"/>
                <w:color w:val="auto"/>
                <w:sz w:val="21"/>
                <w:highlight w:val="none"/>
              </w:rPr>
            </w:pPr>
          </w:p>
          <w:p w14:paraId="1B3E84CA">
            <w:pPr>
              <w:pStyle w:val="17"/>
              <w:spacing w:before="69" w:line="241" w:lineRule="auto"/>
              <w:ind w:left="320"/>
              <w:rPr>
                <w:color w:val="auto"/>
                <w:highlight w:val="none"/>
              </w:rPr>
            </w:pPr>
            <w:r>
              <w:rPr>
                <w:color w:val="auto"/>
                <w:spacing w:val="-3"/>
                <w:highlight w:val="none"/>
              </w:rPr>
              <w:t>22</w:t>
            </w:r>
          </w:p>
        </w:tc>
        <w:tc>
          <w:tcPr>
            <w:tcW w:w="7621" w:type="dxa"/>
            <w:vAlign w:val="top"/>
          </w:tcPr>
          <w:p w14:paraId="4203C2FA">
            <w:pPr>
              <w:pStyle w:val="17"/>
              <w:spacing w:before="144" w:line="286" w:lineRule="auto"/>
              <w:ind w:left="111" w:right="49" w:firstLine="2"/>
              <w:rPr>
                <w:color w:val="auto"/>
                <w:highlight w:val="none"/>
              </w:rPr>
            </w:pPr>
            <w:r>
              <w:rPr>
                <w:color w:val="auto"/>
                <w:spacing w:val="-3"/>
                <w:highlight w:val="none"/>
              </w:rPr>
              <w:t>各构件按首件制要求施工后，经发包人和监理人检查合格后，方可进行后续施工，</w:t>
            </w:r>
            <w:r>
              <w:rPr>
                <w:color w:val="auto"/>
                <w:spacing w:val="-4"/>
                <w:highlight w:val="none"/>
              </w:rPr>
              <w:t>违者违约金</w:t>
            </w:r>
            <w:r>
              <w:rPr>
                <w:color w:val="auto"/>
                <w:spacing w:val="-35"/>
                <w:highlight w:val="none"/>
              </w:rPr>
              <w:t xml:space="preserve"> </w:t>
            </w:r>
            <w:r>
              <w:rPr>
                <w:color w:val="auto"/>
                <w:spacing w:val="-4"/>
                <w:highlight w:val="none"/>
              </w:rPr>
              <w:t>5,000</w:t>
            </w:r>
            <w:r>
              <w:rPr>
                <w:color w:val="auto"/>
                <w:spacing w:val="-41"/>
                <w:highlight w:val="none"/>
              </w:rPr>
              <w:t xml:space="preserve"> </w:t>
            </w:r>
            <w:r>
              <w:rPr>
                <w:color w:val="auto"/>
                <w:spacing w:val="-4"/>
                <w:highlight w:val="none"/>
              </w:rPr>
              <w:t>元/次。</w:t>
            </w:r>
          </w:p>
        </w:tc>
      </w:tr>
      <w:tr w14:paraId="7938C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8326F78">
            <w:pPr>
              <w:rPr>
                <w:rFonts w:ascii="Arial"/>
                <w:color w:val="auto"/>
                <w:sz w:val="21"/>
                <w:highlight w:val="none"/>
              </w:rPr>
            </w:pPr>
          </w:p>
        </w:tc>
        <w:tc>
          <w:tcPr>
            <w:tcW w:w="839" w:type="dxa"/>
            <w:vAlign w:val="top"/>
          </w:tcPr>
          <w:p w14:paraId="593B2060">
            <w:pPr>
              <w:pStyle w:val="17"/>
              <w:spacing w:before="225"/>
              <w:ind w:left="320"/>
              <w:rPr>
                <w:color w:val="auto"/>
                <w:highlight w:val="none"/>
              </w:rPr>
            </w:pPr>
            <w:r>
              <w:rPr>
                <w:color w:val="auto"/>
                <w:spacing w:val="-3"/>
                <w:highlight w:val="none"/>
              </w:rPr>
              <w:t>23</w:t>
            </w:r>
          </w:p>
        </w:tc>
        <w:tc>
          <w:tcPr>
            <w:tcW w:w="7621" w:type="dxa"/>
            <w:vAlign w:val="top"/>
          </w:tcPr>
          <w:p w14:paraId="7652A057">
            <w:pPr>
              <w:pStyle w:val="17"/>
              <w:spacing w:before="225" w:line="217" w:lineRule="auto"/>
              <w:ind w:left="116"/>
              <w:rPr>
                <w:color w:val="auto"/>
                <w:highlight w:val="none"/>
              </w:rPr>
            </w:pPr>
            <w:r>
              <w:rPr>
                <w:color w:val="auto"/>
                <w:spacing w:val="-2"/>
                <w:highlight w:val="none"/>
              </w:rPr>
              <w:t>结构标高尺寸误差超出规范允许值，违约金</w:t>
            </w:r>
            <w:r>
              <w:rPr>
                <w:color w:val="auto"/>
                <w:spacing w:val="-39"/>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元/处。</w:t>
            </w:r>
          </w:p>
        </w:tc>
      </w:tr>
      <w:tr w14:paraId="0FC6F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200F340">
            <w:pPr>
              <w:rPr>
                <w:rFonts w:ascii="Arial"/>
                <w:color w:val="auto"/>
                <w:sz w:val="21"/>
                <w:highlight w:val="none"/>
              </w:rPr>
            </w:pPr>
          </w:p>
        </w:tc>
        <w:tc>
          <w:tcPr>
            <w:tcW w:w="839" w:type="dxa"/>
            <w:vAlign w:val="top"/>
          </w:tcPr>
          <w:p w14:paraId="7D8B3C94">
            <w:pPr>
              <w:spacing w:line="274" w:lineRule="auto"/>
              <w:rPr>
                <w:rFonts w:ascii="Arial"/>
                <w:color w:val="auto"/>
                <w:sz w:val="21"/>
                <w:highlight w:val="none"/>
              </w:rPr>
            </w:pPr>
          </w:p>
          <w:p w14:paraId="0D8657C0">
            <w:pPr>
              <w:pStyle w:val="17"/>
              <w:spacing w:before="68" w:line="241" w:lineRule="auto"/>
              <w:ind w:left="320"/>
              <w:rPr>
                <w:color w:val="auto"/>
                <w:highlight w:val="none"/>
              </w:rPr>
            </w:pPr>
            <w:r>
              <w:rPr>
                <w:color w:val="auto"/>
                <w:spacing w:val="-3"/>
                <w:highlight w:val="none"/>
              </w:rPr>
              <w:t>24</w:t>
            </w:r>
          </w:p>
        </w:tc>
        <w:tc>
          <w:tcPr>
            <w:tcW w:w="7621" w:type="dxa"/>
            <w:vAlign w:val="top"/>
          </w:tcPr>
          <w:p w14:paraId="2C5200B9">
            <w:pPr>
              <w:pStyle w:val="17"/>
              <w:spacing w:before="144" w:line="286" w:lineRule="auto"/>
              <w:ind w:left="111" w:right="115"/>
              <w:rPr>
                <w:color w:val="auto"/>
                <w:highlight w:val="none"/>
              </w:rPr>
            </w:pPr>
            <w:r>
              <w:rPr>
                <w:color w:val="auto"/>
                <w:spacing w:val="1"/>
                <w:highlight w:val="none"/>
              </w:rPr>
              <w:t>桥面铺装强度、厚度、平整度、横坡、抗滑性能均应符合要求；桥面铺装与伸缩</w:t>
            </w:r>
            <w:r>
              <w:rPr>
                <w:color w:val="auto"/>
                <w:spacing w:val="-2"/>
                <w:highlight w:val="none"/>
              </w:rPr>
              <w:t>缝结合良好，保证平整，违者违约金</w:t>
            </w:r>
            <w:r>
              <w:rPr>
                <w:color w:val="auto"/>
                <w:spacing w:val="-42"/>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元/处。</w:t>
            </w:r>
          </w:p>
        </w:tc>
      </w:tr>
      <w:tr w14:paraId="15732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4594F340">
            <w:pPr>
              <w:rPr>
                <w:rFonts w:ascii="Arial"/>
                <w:color w:val="auto"/>
                <w:sz w:val="21"/>
                <w:highlight w:val="none"/>
              </w:rPr>
            </w:pPr>
          </w:p>
        </w:tc>
        <w:tc>
          <w:tcPr>
            <w:tcW w:w="839" w:type="dxa"/>
            <w:vAlign w:val="top"/>
          </w:tcPr>
          <w:p w14:paraId="4F932242">
            <w:pPr>
              <w:spacing w:line="335" w:lineRule="auto"/>
              <w:rPr>
                <w:rFonts w:ascii="Arial"/>
                <w:color w:val="auto"/>
                <w:sz w:val="21"/>
                <w:highlight w:val="none"/>
              </w:rPr>
            </w:pPr>
          </w:p>
          <w:p w14:paraId="28EC016C">
            <w:pPr>
              <w:spacing w:line="335" w:lineRule="auto"/>
              <w:rPr>
                <w:rFonts w:ascii="Arial"/>
                <w:color w:val="auto"/>
                <w:sz w:val="21"/>
                <w:highlight w:val="none"/>
              </w:rPr>
            </w:pPr>
          </w:p>
          <w:p w14:paraId="797FCEE9">
            <w:pPr>
              <w:pStyle w:val="17"/>
              <w:spacing w:before="69"/>
              <w:ind w:left="320"/>
              <w:rPr>
                <w:color w:val="auto"/>
                <w:highlight w:val="none"/>
              </w:rPr>
            </w:pPr>
            <w:r>
              <w:rPr>
                <w:color w:val="auto"/>
                <w:spacing w:val="-3"/>
                <w:highlight w:val="none"/>
              </w:rPr>
              <w:t>25</w:t>
            </w:r>
          </w:p>
        </w:tc>
        <w:tc>
          <w:tcPr>
            <w:tcW w:w="7621" w:type="dxa"/>
            <w:vAlign w:val="top"/>
          </w:tcPr>
          <w:p w14:paraId="113403A8">
            <w:pPr>
              <w:pStyle w:val="17"/>
              <w:spacing w:before="143" w:line="217" w:lineRule="auto"/>
              <w:ind w:left="110"/>
              <w:rPr>
                <w:color w:val="auto"/>
                <w:highlight w:val="none"/>
              </w:rPr>
            </w:pPr>
            <w:r>
              <w:rPr>
                <w:color w:val="auto"/>
                <w:spacing w:val="-3"/>
                <w:highlight w:val="none"/>
              </w:rPr>
              <w:t>达不到以下要求的，违约金</w:t>
            </w:r>
            <w:r>
              <w:rPr>
                <w:color w:val="auto"/>
                <w:spacing w:val="-37"/>
                <w:highlight w:val="none"/>
              </w:rPr>
              <w:t xml:space="preserve"> </w:t>
            </w:r>
            <w:r>
              <w:rPr>
                <w:color w:val="auto"/>
                <w:spacing w:val="-3"/>
                <w:highlight w:val="none"/>
              </w:rPr>
              <w:t>2,000</w:t>
            </w:r>
            <w:r>
              <w:rPr>
                <w:color w:val="auto"/>
                <w:spacing w:val="-42"/>
                <w:highlight w:val="none"/>
              </w:rPr>
              <w:t xml:space="preserve"> </w:t>
            </w:r>
            <w:r>
              <w:rPr>
                <w:color w:val="auto"/>
                <w:spacing w:val="-3"/>
                <w:highlight w:val="none"/>
              </w:rPr>
              <w:t>元/处：</w:t>
            </w:r>
          </w:p>
          <w:p w14:paraId="06839B13">
            <w:pPr>
              <w:pStyle w:val="17"/>
              <w:spacing w:before="152" w:line="219" w:lineRule="auto"/>
              <w:ind w:left="117"/>
              <w:rPr>
                <w:color w:val="auto"/>
                <w:highlight w:val="none"/>
              </w:rPr>
            </w:pPr>
            <w:r>
              <w:rPr>
                <w:color w:val="auto"/>
                <w:spacing w:val="-3"/>
                <w:highlight w:val="none"/>
              </w:rPr>
              <w:t>（1）钢模板大面平整、坚固，板面缝隙小，错台不大于 1mm；</w:t>
            </w:r>
          </w:p>
          <w:p w14:paraId="421DEB85">
            <w:pPr>
              <w:pStyle w:val="17"/>
              <w:spacing w:before="151" w:line="286" w:lineRule="auto"/>
              <w:ind w:left="115" w:right="116" w:firstLine="1"/>
              <w:rPr>
                <w:color w:val="auto"/>
                <w:highlight w:val="none"/>
              </w:rPr>
            </w:pPr>
            <w:r>
              <w:rPr>
                <w:color w:val="auto"/>
                <w:spacing w:val="-2"/>
                <w:highlight w:val="none"/>
              </w:rPr>
              <w:t>（2）在盖梁浇筑前，立柱应用薄膜包裹，并用胶布密封固定，防止漏浆损</w:t>
            </w:r>
            <w:r>
              <w:rPr>
                <w:color w:val="auto"/>
                <w:spacing w:val="-3"/>
                <w:highlight w:val="none"/>
              </w:rPr>
              <w:t>坏立柱</w:t>
            </w:r>
            <w:r>
              <w:rPr>
                <w:color w:val="auto"/>
                <w:spacing w:val="-10"/>
                <w:highlight w:val="none"/>
              </w:rPr>
              <w:t>外观质量；</w:t>
            </w:r>
          </w:p>
        </w:tc>
      </w:tr>
    </w:tbl>
    <w:p w14:paraId="3E8AB9FA">
      <w:pPr>
        <w:pStyle w:val="3"/>
        <w:rPr>
          <w:color w:val="auto"/>
          <w:highlight w:val="none"/>
        </w:rPr>
      </w:pPr>
    </w:p>
    <w:p w14:paraId="3EC9C997">
      <w:pPr>
        <w:rPr>
          <w:color w:val="auto"/>
          <w:highlight w:val="none"/>
        </w:rPr>
        <w:sectPr>
          <w:headerReference r:id="rId96" w:type="default"/>
          <w:footerReference r:id="rId97" w:type="default"/>
          <w:pgSz w:w="11905" w:h="16840"/>
          <w:pgMar w:top="1182" w:right="0" w:bottom="1171" w:left="0" w:header="849" w:footer="937" w:gutter="0"/>
          <w:pgNumType w:fmt="decimal"/>
          <w:cols w:space="720" w:num="1"/>
        </w:sectPr>
      </w:pPr>
    </w:p>
    <w:p w14:paraId="75AC1B6F">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632C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420BD96D">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7F716BBE">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428577B5">
            <w:pPr>
              <w:pStyle w:val="17"/>
              <w:spacing w:before="226" w:line="220" w:lineRule="auto"/>
              <w:ind w:left="3393"/>
              <w:rPr>
                <w:color w:val="auto"/>
                <w:highlight w:val="none"/>
              </w:rPr>
            </w:pPr>
            <w:r>
              <w:rPr>
                <w:b/>
                <w:bCs/>
                <w:color w:val="auto"/>
                <w:spacing w:val="-4"/>
                <w:highlight w:val="none"/>
              </w:rPr>
              <w:t>违约项目</w:t>
            </w:r>
          </w:p>
        </w:tc>
      </w:tr>
      <w:tr w14:paraId="2E35A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3C09EE5B">
            <w:pPr>
              <w:rPr>
                <w:rFonts w:ascii="Arial"/>
                <w:color w:val="auto"/>
                <w:sz w:val="21"/>
                <w:highlight w:val="none"/>
              </w:rPr>
            </w:pPr>
          </w:p>
        </w:tc>
        <w:tc>
          <w:tcPr>
            <w:tcW w:w="839" w:type="dxa"/>
            <w:vAlign w:val="top"/>
          </w:tcPr>
          <w:p w14:paraId="41603ED8">
            <w:pPr>
              <w:rPr>
                <w:rFonts w:ascii="Arial"/>
                <w:color w:val="auto"/>
                <w:sz w:val="21"/>
                <w:highlight w:val="none"/>
              </w:rPr>
            </w:pPr>
          </w:p>
        </w:tc>
        <w:tc>
          <w:tcPr>
            <w:tcW w:w="7621" w:type="dxa"/>
            <w:vAlign w:val="top"/>
          </w:tcPr>
          <w:p w14:paraId="7878914B">
            <w:pPr>
              <w:pStyle w:val="17"/>
              <w:spacing w:before="138" w:line="288" w:lineRule="auto"/>
              <w:ind w:left="114" w:right="107" w:firstLine="3"/>
              <w:rPr>
                <w:color w:val="auto"/>
                <w:highlight w:val="none"/>
              </w:rPr>
            </w:pPr>
            <w:r>
              <w:rPr>
                <w:color w:val="auto"/>
                <w:spacing w:val="-2"/>
                <w:highlight w:val="none"/>
              </w:rPr>
              <w:t>（3）裸露在砼外的结构钢筋或施工用的临时钢构件，时间需超过一个月，必须采</w:t>
            </w:r>
            <w:r>
              <w:rPr>
                <w:color w:val="auto"/>
                <w:spacing w:val="-5"/>
                <w:highlight w:val="none"/>
              </w:rPr>
              <w:t>取有效的防锈措施。</w:t>
            </w:r>
          </w:p>
        </w:tc>
      </w:tr>
      <w:tr w14:paraId="22216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C432CA5">
            <w:pPr>
              <w:rPr>
                <w:rFonts w:ascii="Arial"/>
                <w:color w:val="auto"/>
                <w:sz w:val="21"/>
                <w:highlight w:val="none"/>
              </w:rPr>
            </w:pPr>
          </w:p>
        </w:tc>
        <w:tc>
          <w:tcPr>
            <w:tcW w:w="839" w:type="dxa"/>
            <w:vAlign w:val="top"/>
          </w:tcPr>
          <w:p w14:paraId="67E8E136">
            <w:pPr>
              <w:spacing w:line="268" w:lineRule="auto"/>
              <w:rPr>
                <w:rFonts w:ascii="Arial"/>
                <w:color w:val="auto"/>
                <w:sz w:val="21"/>
                <w:highlight w:val="none"/>
              </w:rPr>
            </w:pPr>
          </w:p>
          <w:p w14:paraId="35867660">
            <w:pPr>
              <w:pStyle w:val="17"/>
              <w:spacing w:before="68"/>
              <w:ind w:left="320"/>
              <w:rPr>
                <w:color w:val="auto"/>
                <w:highlight w:val="none"/>
              </w:rPr>
            </w:pPr>
            <w:r>
              <w:rPr>
                <w:color w:val="auto"/>
                <w:spacing w:val="-3"/>
                <w:highlight w:val="none"/>
              </w:rPr>
              <w:t>26</w:t>
            </w:r>
          </w:p>
        </w:tc>
        <w:tc>
          <w:tcPr>
            <w:tcW w:w="7621" w:type="dxa"/>
            <w:vAlign w:val="top"/>
          </w:tcPr>
          <w:p w14:paraId="0F67C6AC">
            <w:pPr>
              <w:pStyle w:val="17"/>
              <w:spacing w:before="138" w:line="288" w:lineRule="auto"/>
              <w:ind w:left="112" w:right="153"/>
              <w:rPr>
                <w:color w:val="auto"/>
                <w:highlight w:val="none"/>
              </w:rPr>
            </w:pPr>
            <w:r>
              <w:rPr>
                <w:color w:val="auto"/>
                <w:spacing w:val="-2"/>
                <w:highlight w:val="none"/>
              </w:rPr>
              <w:t>支座垫石标高误差超过±5mm，表面不清洁、不平整，有脱空松动的，违约金</w:t>
            </w:r>
            <w:r>
              <w:rPr>
                <w:color w:val="auto"/>
                <w:spacing w:val="-33"/>
                <w:highlight w:val="none"/>
              </w:rPr>
              <w:t xml:space="preserve"> </w:t>
            </w:r>
            <w:r>
              <w:rPr>
                <w:color w:val="auto"/>
                <w:spacing w:val="-2"/>
                <w:highlight w:val="none"/>
              </w:rPr>
              <w:t>2，</w:t>
            </w:r>
            <w:r>
              <w:rPr>
                <w:color w:val="auto"/>
                <w:highlight w:val="none"/>
              </w:rPr>
              <w:t xml:space="preserve"> </w:t>
            </w:r>
            <w:r>
              <w:rPr>
                <w:color w:val="auto"/>
                <w:spacing w:val="-3"/>
                <w:highlight w:val="none"/>
              </w:rPr>
              <w:t>000</w:t>
            </w:r>
            <w:r>
              <w:rPr>
                <w:color w:val="auto"/>
                <w:spacing w:val="-43"/>
                <w:highlight w:val="none"/>
              </w:rPr>
              <w:t xml:space="preserve"> </w:t>
            </w:r>
            <w:r>
              <w:rPr>
                <w:color w:val="auto"/>
                <w:spacing w:val="-3"/>
                <w:highlight w:val="none"/>
              </w:rPr>
              <w:t>元/处。</w:t>
            </w:r>
          </w:p>
        </w:tc>
      </w:tr>
      <w:tr w14:paraId="14CA3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6E6D9DFC">
            <w:pPr>
              <w:rPr>
                <w:rFonts w:ascii="Arial"/>
                <w:color w:val="auto"/>
                <w:sz w:val="21"/>
                <w:highlight w:val="none"/>
              </w:rPr>
            </w:pPr>
          </w:p>
        </w:tc>
        <w:tc>
          <w:tcPr>
            <w:tcW w:w="839" w:type="dxa"/>
            <w:vAlign w:val="top"/>
          </w:tcPr>
          <w:p w14:paraId="79FCCF8A">
            <w:pPr>
              <w:pStyle w:val="17"/>
              <w:spacing w:before="223"/>
              <w:ind w:left="320"/>
              <w:rPr>
                <w:color w:val="auto"/>
                <w:highlight w:val="none"/>
              </w:rPr>
            </w:pPr>
            <w:r>
              <w:rPr>
                <w:color w:val="auto"/>
                <w:spacing w:val="-3"/>
                <w:highlight w:val="none"/>
              </w:rPr>
              <w:t>27</w:t>
            </w:r>
          </w:p>
        </w:tc>
        <w:tc>
          <w:tcPr>
            <w:tcW w:w="7621" w:type="dxa"/>
            <w:vAlign w:val="top"/>
          </w:tcPr>
          <w:p w14:paraId="104D5283">
            <w:pPr>
              <w:pStyle w:val="17"/>
              <w:spacing w:before="223" w:line="217" w:lineRule="auto"/>
              <w:ind w:left="111"/>
              <w:rPr>
                <w:color w:val="auto"/>
                <w:highlight w:val="none"/>
              </w:rPr>
            </w:pPr>
            <w:r>
              <w:rPr>
                <w:color w:val="auto"/>
                <w:spacing w:val="-2"/>
                <w:highlight w:val="none"/>
              </w:rPr>
              <w:t>检测发现混凝土强度不合格的构件，违约金</w:t>
            </w:r>
            <w:r>
              <w:rPr>
                <w:color w:val="auto"/>
                <w:spacing w:val="-29"/>
                <w:highlight w:val="none"/>
              </w:rPr>
              <w:t xml:space="preserve"> </w:t>
            </w:r>
            <w:r>
              <w:rPr>
                <w:color w:val="auto"/>
                <w:spacing w:val="-2"/>
                <w:highlight w:val="none"/>
              </w:rPr>
              <w:t>10,000</w:t>
            </w:r>
            <w:r>
              <w:rPr>
                <w:color w:val="auto"/>
                <w:spacing w:val="-42"/>
                <w:highlight w:val="none"/>
              </w:rPr>
              <w:t xml:space="preserve"> </w:t>
            </w:r>
            <w:r>
              <w:rPr>
                <w:color w:val="auto"/>
                <w:spacing w:val="-2"/>
                <w:highlight w:val="none"/>
              </w:rPr>
              <w:t>元</w:t>
            </w:r>
            <w:r>
              <w:rPr>
                <w:color w:val="auto"/>
                <w:spacing w:val="-3"/>
                <w:highlight w:val="none"/>
              </w:rPr>
              <w:t>/处。</w:t>
            </w:r>
          </w:p>
        </w:tc>
      </w:tr>
      <w:tr w14:paraId="7D7C6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bottom w:val="nil"/>
            </w:tcBorders>
            <w:vAlign w:val="top"/>
          </w:tcPr>
          <w:p w14:paraId="46014724">
            <w:pPr>
              <w:spacing w:line="245" w:lineRule="auto"/>
              <w:rPr>
                <w:rFonts w:ascii="Arial"/>
                <w:color w:val="auto"/>
                <w:sz w:val="21"/>
                <w:highlight w:val="none"/>
              </w:rPr>
            </w:pPr>
          </w:p>
          <w:p w14:paraId="043D10E1">
            <w:pPr>
              <w:spacing w:line="245" w:lineRule="auto"/>
              <w:rPr>
                <w:rFonts w:ascii="Arial"/>
                <w:color w:val="auto"/>
                <w:sz w:val="21"/>
                <w:highlight w:val="none"/>
              </w:rPr>
            </w:pPr>
          </w:p>
          <w:p w14:paraId="508EABC1">
            <w:pPr>
              <w:spacing w:line="245" w:lineRule="auto"/>
              <w:rPr>
                <w:rFonts w:ascii="Arial"/>
                <w:color w:val="auto"/>
                <w:sz w:val="21"/>
                <w:highlight w:val="none"/>
              </w:rPr>
            </w:pPr>
          </w:p>
          <w:p w14:paraId="2BF4A7E3">
            <w:pPr>
              <w:spacing w:line="245" w:lineRule="auto"/>
              <w:rPr>
                <w:rFonts w:ascii="Arial"/>
                <w:color w:val="auto"/>
                <w:sz w:val="21"/>
                <w:highlight w:val="none"/>
              </w:rPr>
            </w:pPr>
          </w:p>
          <w:p w14:paraId="19A4D4AE">
            <w:pPr>
              <w:spacing w:line="245" w:lineRule="auto"/>
              <w:rPr>
                <w:rFonts w:ascii="Arial"/>
                <w:color w:val="auto"/>
                <w:sz w:val="21"/>
                <w:highlight w:val="none"/>
              </w:rPr>
            </w:pPr>
          </w:p>
          <w:p w14:paraId="6F791376">
            <w:pPr>
              <w:spacing w:line="245" w:lineRule="auto"/>
              <w:rPr>
                <w:rFonts w:ascii="Arial"/>
                <w:color w:val="auto"/>
                <w:sz w:val="21"/>
                <w:highlight w:val="none"/>
              </w:rPr>
            </w:pPr>
          </w:p>
          <w:p w14:paraId="6702E18C">
            <w:pPr>
              <w:spacing w:line="245" w:lineRule="auto"/>
              <w:rPr>
                <w:rFonts w:ascii="Arial"/>
                <w:color w:val="auto"/>
                <w:sz w:val="21"/>
                <w:highlight w:val="none"/>
              </w:rPr>
            </w:pPr>
          </w:p>
          <w:p w14:paraId="1E6209C1">
            <w:pPr>
              <w:spacing w:line="245" w:lineRule="auto"/>
              <w:rPr>
                <w:rFonts w:ascii="Arial"/>
                <w:color w:val="auto"/>
                <w:sz w:val="21"/>
                <w:highlight w:val="none"/>
              </w:rPr>
            </w:pPr>
          </w:p>
          <w:p w14:paraId="39A73AEB">
            <w:pPr>
              <w:spacing w:line="245" w:lineRule="auto"/>
              <w:rPr>
                <w:rFonts w:ascii="Arial"/>
                <w:color w:val="auto"/>
                <w:sz w:val="21"/>
                <w:highlight w:val="none"/>
              </w:rPr>
            </w:pPr>
          </w:p>
          <w:p w14:paraId="065123E9">
            <w:pPr>
              <w:spacing w:line="245" w:lineRule="auto"/>
              <w:rPr>
                <w:rFonts w:ascii="Arial"/>
                <w:color w:val="auto"/>
                <w:sz w:val="21"/>
                <w:highlight w:val="none"/>
              </w:rPr>
            </w:pPr>
          </w:p>
          <w:p w14:paraId="25B6D84F">
            <w:pPr>
              <w:spacing w:line="245" w:lineRule="auto"/>
              <w:rPr>
                <w:rFonts w:ascii="Arial"/>
                <w:color w:val="auto"/>
                <w:sz w:val="21"/>
                <w:highlight w:val="none"/>
              </w:rPr>
            </w:pPr>
          </w:p>
          <w:p w14:paraId="38639A8A">
            <w:pPr>
              <w:spacing w:line="245" w:lineRule="auto"/>
              <w:rPr>
                <w:rFonts w:ascii="Arial"/>
                <w:color w:val="auto"/>
                <w:sz w:val="21"/>
                <w:highlight w:val="none"/>
              </w:rPr>
            </w:pPr>
          </w:p>
          <w:p w14:paraId="1EFA264F">
            <w:pPr>
              <w:spacing w:line="245" w:lineRule="auto"/>
              <w:rPr>
                <w:rFonts w:ascii="Arial"/>
                <w:color w:val="auto"/>
                <w:sz w:val="21"/>
                <w:highlight w:val="none"/>
              </w:rPr>
            </w:pPr>
          </w:p>
          <w:p w14:paraId="49E9205F">
            <w:pPr>
              <w:spacing w:line="245" w:lineRule="auto"/>
              <w:rPr>
                <w:rFonts w:ascii="Arial"/>
                <w:color w:val="auto"/>
                <w:sz w:val="21"/>
                <w:highlight w:val="none"/>
              </w:rPr>
            </w:pPr>
          </w:p>
          <w:p w14:paraId="107B67E4">
            <w:pPr>
              <w:spacing w:line="246" w:lineRule="auto"/>
              <w:rPr>
                <w:rFonts w:ascii="Arial"/>
                <w:color w:val="auto"/>
                <w:sz w:val="21"/>
                <w:highlight w:val="none"/>
              </w:rPr>
            </w:pPr>
          </w:p>
          <w:p w14:paraId="1BB9E050">
            <w:pPr>
              <w:spacing w:line="246" w:lineRule="auto"/>
              <w:rPr>
                <w:rFonts w:ascii="Arial"/>
                <w:color w:val="auto"/>
                <w:sz w:val="21"/>
                <w:highlight w:val="none"/>
              </w:rPr>
            </w:pPr>
          </w:p>
          <w:p w14:paraId="7B61877B">
            <w:pPr>
              <w:spacing w:line="246" w:lineRule="auto"/>
              <w:rPr>
                <w:rFonts w:ascii="Arial"/>
                <w:color w:val="auto"/>
                <w:sz w:val="21"/>
                <w:highlight w:val="none"/>
              </w:rPr>
            </w:pPr>
          </w:p>
          <w:p w14:paraId="262C2DBA">
            <w:pPr>
              <w:spacing w:line="246" w:lineRule="auto"/>
              <w:rPr>
                <w:rFonts w:ascii="Arial"/>
                <w:color w:val="auto"/>
                <w:sz w:val="21"/>
                <w:highlight w:val="none"/>
              </w:rPr>
            </w:pPr>
          </w:p>
          <w:p w14:paraId="2615A66A">
            <w:pPr>
              <w:spacing w:line="246" w:lineRule="auto"/>
              <w:rPr>
                <w:rFonts w:ascii="Arial"/>
                <w:color w:val="auto"/>
                <w:sz w:val="21"/>
                <w:highlight w:val="none"/>
              </w:rPr>
            </w:pPr>
          </w:p>
          <w:p w14:paraId="260B132B">
            <w:pPr>
              <w:spacing w:line="246" w:lineRule="auto"/>
              <w:rPr>
                <w:rFonts w:ascii="Arial"/>
                <w:color w:val="auto"/>
                <w:sz w:val="21"/>
                <w:highlight w:val="none"/>
              </w:rPr>
            </w:pPr>
          </w:p>
          <w:p w14:paraId="06B1083D">
            <w:pPr>
              <w:spacing w:line="246" w:lineRule="auto"/>
              <w:rPr>
                <w:rFonts w:ascii="Arial"/>
                <w:color w:val="auto"/>
                <w:sz w:val="21"/>
                <w:highlight w:val="none"/>
              </w:rPr>
            </w:pPr>
          </w:p>
          <w:p w14:paraId="7EA0EC59">
            <w:pPr>
              <w:pStyle w:val="17"/>
              <w:spacing w:before="68" w:line="355" w:lineRule="auto"/>
              <w:ind w:left="212" w:right="204"/>
              <w:rPr>
                <w:color w:val="auto"/>
                <w:highlight w:val="none"/>
              </w:rPr>
            </w:pPr>
            <w:r>
              <w:rPr>
                <w:color w:val="auto"/>
                <w:spacing w:val="-5"/>
                <w:highlight w:val="none"/>
              </w:rPr>
              <w:t>路面</w:t>
            </w:r>
            <w:r>
              <w:rPr>
                <w:color w:val="auto"/>
                <w:spacing w:val="-6"/>
                <w:highlight w:val="none"/>
              </w:rPr>
              <w:t>工程</w:t>
            </w:r>
          </w:p>
        </w:tc>
        <w:tc>
          <w:tcPr>
            <w:tcW w:w="839" w:type="dxa"/>
            <w:vAlign w:val="top"/>
          </w:tcPr>
          <w:p w14:paraId="3D534937">
            <w:pPr>
              <w:spacing w:line="270" w:lineRule="auto"/>
              <w:rPr>
                <w:rFonts w:ascii="Arial"/>
                <w:color w:val="auto"/>
                <w:sz w:val="21"/>
                <w:highlight w:val="none"/>
              </w:rPr>
            </w:pPr>
          </w:p>
          <w:p w14:paraId="14FE7277">
            <w:pPr>
              <w:pStyle w:val="17"/>
              <w:spacing w:before="68" w:line="241" w:lineRule="auto"/>
              <w:ind w:left="385"/>
              <w:rPr>
                <w:color w:val="auto"/>
                <w:highlight w:val="none"/>
              </w:rPr>
            </w:pPr>
            <w:r>
              <w:rPr>
                <w:color w:val="auto"/>
                <w:highlight w:val="none"/>
              </w:rPr>
              <w:t>1</w:t>
            </w:r>
          </w:p>
        </w:tc>
        <w:tc>
          <w:tcPr>
            <w:tcW w:w="7621" w:type="dxa"/>
            <w:vAlign w:val="top"/>
          </w:tcPr>
          <w:p w14:paraId="05CA1669">
            <w:pPr>
              <w:pStyle w:val="17"/>
              <w:spacing w:before="139" w:line="288" w:lineRule="auto"/>
              <w:ind w:left="112" w:right="120"/>
              <w:rPr>
                <w:color w:val="auto"/>
                <w:highlight w:val="none"/>
              </w:rPr>
            </w:pPr>
            <w:r>
              <w:rPr>
                <w:color w:val="auto"/>
                <w:spacing w:val="-4"/>
                <w:highlight w:val="none"/>
              </w:rPr>
              <w:t>路面基层必须碾压密实，表面干燥、清洁、无浮土，</w:t>
            </w:r>
            <w:r>
              <w:rPr>
                <w:color w:val="auto"/>
                <w:spacing w:val="65"/>
                <w:highlight w:val="none"/>
              </w:rPr>
              <w:t xml:space="preserve"> </w:t>
            </w:r>
            <w:r>
              <w:rPr>
                <w:color w:val="auto"/>
                <w:spacing w:val="-4"/>
                <w:highlight w:val="none"/>
              </w:rPr>
              <w:t>边线整齐、无松散，平整度</w:t>
            </w:r>
            <w:r>
              <w:rPr>
                <w:color w:val="auto"/>
                <w:spacing w:val="-2"/>
                <w:highlight w:val="none"/>
              </w:rPr>
              <w:t>和路拱度符合要求，违者每处违约金</w:t>
            </w:r>
            <w:r>
              <w:rPr>
                <w:color w:val="auto"/>
                <w:spacing w:val="-42"/>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元/处。</w:t>
            </w:r>
          </w:p>
        </w:tc>
      </w:tr>
      <w:tr w14:paraId="2978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832" w:type="dxa"/>
            <w:vMerge w:val="continue"/>
            <w:tcBorders>
              <w:top w:val="nil"/>
              <w:bottom w:val="nil"/>
            </w:tcBorders>
            <w:vAlign w:val="top"/>
          </w:tcPr>
          <w:p w14:paraId="41866279">
            <w:pPr>
              <w:rPr>
                <w:rFonts w:ascii="Arial"/>
                <w:color w:val="auto"/>
                <w:sz w:val="21"/>
                <w:highlight w:val="none"/>
              </w:rPr>
            </w:pPr>
          </w:p>
        </w:tc>
        <w:tc>
          <w:tcPr>
            <w:tcW w:w="839" w:type="dxa"/>
            <w:vAlign w:val="top"/>
          </w:tcPr>
          <w:p w14:paraId="37E6D0CF">
            <w:pPr>
              <w:spacing w:line="334" w:lineRule="auto"/>
              <w:rPr>
                <w:rFonts w:ascii="Arial"/>
                <w:color w:val="auto"/>
                <w:sz w:val="21"/>
                <w:highlight w:val="none"/>
              </w:rPr>
            </w:pPr>
          </w:p>
          <w:p w14:paraId="43FE38D6">
            <w:pPr>
              <w:spacing w:line="334" w:lineRule="auto"/>
              <w:rPr>
                <w:rFonts w:ascii="Arial"/>
                <w:color w:val="auto"/>
                <w:sz w:val="21"/>
                <w:highlight w:val="none"/>
              </w:rPr>
            </w:pPr>
          </w:p>
          <w:p w14:paraId="55D7B324">
            <w:pPr>
              <w:pStyle w:val="17"/>
              <w:spacing w:before="68" w:line="241" w:lineRule="auto"/>
              <w:ind w:left="372"/>
              <w:rPr>
                <w:color w:val="auto"/>
                <w:highlight w:val="none"/>
              </w:rPr>
            </w:pPr>
            <w:r>
              <w:rPr>
                <w:color w:val="auto"/>
                <w:highlight w:val="none"/>
              </w:rPr>
              <w:t>2</w:t>
            </w:r>
          </w:p>
        </w:tc>
        <w:tc>
          <w:tcPr>
            <w:tcW w:w="7621" w:type="dxa"/>
            <w:vAlign w:val="top"/>
          </w:tcPr>
          <w:p w14:paraId="65F3096A">
            <w:pPr>
              <w:pStyle w:val="17"/>
              <w:spacing w:before="138" w:line="320" w:lineRule="auto"/>
              <w:ind w:left="112" w:right="49" w:firstLine="1"/>
              <w:jc w:val="both"/>
              <w:rPr>
                <w:color w:val="auto"/>
                <w:highlight w:val="none"/>
              </w:rPr>
            </w:pPr>
            <w:r>
              <w:rPr>
                <w:color w:val="auto"/>
                <w:spacing w:val="-2"/>
                <w:highlight w:val="none"/>
              </w:rPr>
              <w:t>水泥砼路面存在下列问题的，违约金</w:t>
            </w:r>
            <w:r>
              <w:rPr>
                <w:color w:val="auto"/>
                <w:spacing w:val="-28"/>
                <w:highlight w:val="none"/>
              </w:rPr>
              <w:t xml:space="preserve"> </w:t>
            </w:r>
            <w:r>
              <w:rPr>
                <w:color w:val="auto"/>
                <w:spacing w:val="-2"/>
                <w:highlight w:val="none"/>
              </w:rPr>
              <w:t>1,000</w:t>
            </w:r>
            <w:r>
              <w:rPr>
                <w:color w:val="auto"/>
                <w:spacing w:val="-43"/>
                <w:highlight w:val="none"/>
              </w:rPr>
              <w:t xml:space="preserve"> </w:t>
            </w:r>
            <w:r>
              <w:rPr>
                <w:color w:val="auto"/>
                <w:spacing w:val="-3"/>
                <w:highlight w:val="none"/>
              </w:rPr>
              <w:t>元/处：1)粗细集料不符合设计和规范</w:t>
            </w:r>
            <w:r>
              <w:rPr>
                <w:color w:val="auto"/>
                <w:spacing w:val="-6"/>
                <w:highlight w:val="none"/>
              </w:rPr>
              <w:t>要求；2)基层和底基层压实度＜98%（高速公路和一级公路）或＜97%（其他公路</w:t>
            </w:r>
            <w:r>
              <w:rPr>
                <w:color w:val="auto"/>
                <w:spacing w:val="-42"/>
                <w:highlight w:val="none"/>
              </w:rPr>
              <w:t>），</w:t>
            </w:r>
            <w:r>
              <w:rPr>
                <w:color w:val="auto"/>
                <w:spacing w:val="1"/>
                <w:highlight w:val="none"/>
              </w:rPr>
              <w:t>明显离析，露骨严重，表面坑洼，开裂严重；3)基层和底基层没有清理杂物，有</w:t>
            </w:r>
            <w:r>
              <w:rPr>
                <w:color w:val="auto"/>
                <w:spacing w:val="-1"/>
                <w:highlight w:val="none"/>
              </w:rPr>
              <w:t>浮土；4)养护不规范；5)接缝填充料用量不足或用料不符</w:t>
            </w:r>
            <w:r>
              <w:rPr>
                <w:color w:val="auto"/>
                <w:spacing w:val="-2"/>
                <w:highlight w:val="none"/>
              </w:rPr>
              <w:t>合设计要求。</w:t>
            </w:r>
          </w:p>
        </w:tc>
      </w:tr>
      <w:tr w14:paraId="5AA4B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6FB6F868">
            <w:pPr>
              <w:rPr>
                <w:rFonts w:ascii="Arial"/>
                <w:color w:val="auto"/>
                <w:sz w:val="21"/>
                <w:highlight w:val="none"/>
              </w:rPr>
            </w:pPr>
          </w:p>
        </w:tc>
        <w:tc>
          <w:tcPr>
            <w:tcW w:w="839" w:type="dxa"/>
            <w:vAlign w:val="top"/>
          </w:tcPr>
          <w:p w14:paraId="0B362DD0">
            <w:pPr>
              <w:spacing w:line="270" w:lineRule="auto"/>
              <w:rPr>
                <w:rFonts w:ascii="Arial"/>
                <w:color w:val="auto"/>
                <w:sz w:val="21"/>
                <w:highlight w:val="none"/>
              </w:rPr>
            </w:pPr>
          </w:p>
          <w:p w14:paraId="4466DCA0">
            <w:pPr>
              <w:pStyle w:val="17"/>
              <w:spacing w:before="68"/>
              <w:ind w:left="374"/>
              <w:rPr>
                <w:color w:val="auto"/>
                <w:highlight w:val="none"/>
              </w:rPr>
            </w:pPr>
            <w:r>
              <w:rPr>
                <w:color w:val="auto"/>
                <w:highlight w:val="none"/>
              </w:rPr>
              <w:t>3</w:t>
            </w:r>
          </w:p>
        </w:tc>
        <w:tc>
          <w:tcPr>
            <w:tcW w:w="7621" w:type="dxa"/>
            <w:vAlign w:val="top"/>
          </w:tcPr>
          <w:p w14:paraId="5C913250">
            <w:pPr>
              <w:pStyle w:val="17"/>
              <w:spacing w:before="139" w:line="288" w:lineRule="auto"/>
              <w:ind w:left="111" w:right="106" w:firstLine="2"/>
              <w:rPr>
                <w:color w:val="auto"/>
                <w:highlight w:val="none"/>
              </w:rPr>
            </w:pPr>
            <w:r>
              <w:rPr>
                <w:color w:val="auto"/>
                <w:highlight w:val="none"/>
              </w:rPr>
              <w:t>水泥砼路面检测发现混凝土强度不合格的部位，违约金</w:t>
            </w:r>
            <w:r>
              <w:rPr>
                <w:color w:val="auto"/>
                <w:spacing w:val="-19"/>
                <w:highlight w:val="none"/>
              </w:rPr>
              <w:t xml:space="preserve"> </w:t>
            </w:r>
            <w:r>
              <w:rPr>
                <w:color w:val="auto"/>
                <w:highlight w:val="none"/>
              </w:rPr>
              <w:t>10,000</w:t>
            </w:r>
            <w:r>
              <w:rPr>
                <w:color w:val="auto"/>
                <w:spacing w:val="-42"/>
                <w:highlight w:val="none"/>
              </w:rPr>
              <w:t xml:space="preserve"> </w:t>
            </w:r>
            <w:r>
              <w:rPr>
                <w:color w:val="auto"/>
                <w:highlight w:val="none"/>
              </w:rPr>
              <w:t>元/处；平整度合</w:t>
            </w:r>
            <w:r>
              <w:rPr>
                <w:color w:val="auto"/>
                <w:spacing w:val="-3"/>
                <w:highlight w:val="none"/>
              </w:rPr>
              <w:t>格率＜80%，违约金</w:t>
            </w:r>
            <w:r>
              <w:rPr>
                <w:color w:val="auto"/>
                <w:spacing w:val="-32"/>
                <w:highlight w:val="none"/>
              </w:rPr>
              <w:t xml:space="preserve"> </w:t>
            </w:r>
            <w:r>
              <w:rPr>
                <w:color w:val="auto"/>
                <w:spacing w:val="-3"/>
                <w:highlight w:val="none"/>
              </w:rPr>
              <w:t>30000</w:t>
            </w:r>
            <w:r>
              <w:rPr>
                <w:color w:val="auto"/>
                <w:spacing w:val="-42"/>
                <w:highlight w:val="none"/>
              </w:rPr>
              <w:t xml:space="preserve"> </w:t>
            </w:r>
            <w:r>
              <w:rPr>
                <w:color w:val="auto"/>
                <w:spacing w:val="-3"/>
                <w:highlight w:val="none"/>
              </w:rPr>
              <w:t>元/分项工程。</w:t>
            </w:r>
          </w:p>
        </w:tc>
      </w:tr>
      <w:tr w14:paraId="4FF58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832" w:type="dxa"/>
            <w:vMerge w:val="continue"/>
            <w:tcBorders>
              <w:top w:val="nil"/>
              <w:bottom w:val="nil"/>
            </w:tcBorders>
            <w:vAlign w:val="top"/>
          </w:tcPr>
          <w:p w14:paraId="74A6913F">
            <w:pPr>
              <w:rPr>
                <w:rFonts w:ascii="Arial"/>
                <w:color w:val="auto"/>
                <w:sz w:val="21"/>
                <w:highlight w:val="none"/>
              </w:rPr>
            </w:pPr>
          </w:p>
        </w:tc>
        <w:tc>
          <w:tcPr>
            <w:tcW w:w="839" w:type="dxa"/>
            <w:vAlign w:val="top"/>
          </w:tcPr>
          <w:p w14:paraId="290644C0">
            <w:pPr>
              <w:spacing w:line="241" w:lineRule="auto"/>
              <w:rPr>
                <w:rFonts w:ascii="Arial"/>
                <w:color w:val="auto"/>
                <w:sz w:val="21"/>
                <w:highlight w:val="none"/>
              </w:rPr>
            </w:pPr>
          </w:p>
          <w:p w14:paraId="358FAAD6">
            <w:pPr>
              <w:spacing w:line="241" w:lineRule="auto"/>
              <w:rPr>
                <w:rFonts w:ascii="Arial"/>
                <w:color w:val="auto"/>
                <w:sz w:val="21"/>
                <w:highlight w:val="none"/>
              </w:rPr>
            </w:pPr>
          </w:p>
          <w:p w14:paraId="039573F5">
            <w:pPr>
              <w:spacing w:line="241" w:lineRule="auto"/>
              <w:rPr>
                <w:rFonts w:ascii="Arial"/>
                <w:color w:val="auto"/>
                <w:sz w:val="21"/>
                <w:highlight w:val="none"/>
              </w:rPr>
            </w:pPr>
          </w:p>
          <w:p w14:paraId="6B696F86">
            <w:pPr>
              <w:spacing w:line="241" w:lineRule="auto"/>
              <w:rPr>
                <w:rFonts w:ascii="Arial"/>
                <w:color w:val="auto"/>
                <w:sz w:val="21"/>
                <w:highlight w:val="none"/>
              </w:rPr>
            </w:pPr>
          </w:p>
          <w:p w14:paraId="1F0844BE">
            <w:pPr>
              <w:spacing w:line="241" w:lineRule="auto"/>
              <w:rPr>
                <w:rFonts w:ascii="Arial"/>
                <w:color w:val="auto"/>
                <w:sz w:val="21"/>
                <w:highlight w:val="none"/>
              </w:rPr>
            </w:pPr>
          </w:p>
          <w:p w14:paraId="754C2CFF">
            <w:pPr>
              <w:spacing w:line="241" w:lineRule="auto"/>
              <w:rPr>
                <w:rFonts w:ascii="Arial"/>
                <w:color w:val="auto"/>
                <w:sz w:val="21"/>
                <w:highlight w:val="none"/>
              </w:rPr>
            </w:pPr>
          </w:p>
          <w:p w14:paraId="4BB3A313">
            <w:pPr>
              <w:spacing w:line="242" w:lineRule="auto"/>
              <w:rPr>
                <w:rFonts w:ascii="Arial"/>
                <w:color w:val="auto"/>
                <w:sz w:val="21"/>
                <w:highlight w:val="none"/>
              </w:rPr>
            </w:pPr>
          </w:p>
          <w:p w14:paraId="12F3F622">
            <w:pPr>
              <w:spacing w:line="242" w:lineRule="auto"/>
              <w:rPr>
                <w:rFonts w:ascii="Arial"/>
                <w:color w:val="auto"/>
                <w:sz w:val="21"/>
                <w:highlight w:val="none"/>
              </w:rPr>
            </w:pPr>
          </w:p>
          <w:p w14:paraId="4F9342C5">
            <w:pPr>
              <w:spacing w:line="242" w:lineRule="auto"/>
              <w:rPr>
                <w:rFonts w:ascii="Arial"/>
                <w:color w:val="auto"/>
                <w:sz w:val="21"/>
                <w:highlight w:val="none"/>
              </w:rPr>
            </w:pPr>
          </w:p>
          <w:p w14:paraId="0684AA94">
            <w:pPr>
              <w:spacing w:line="242" w:lineRule="auto"/>
              <w:rPr>
                <w:rFonts w:ascii="Arial"/>
                <w:color w:val="auto"/>
                <w:sz w:val="21"/>
                <w:highlight w:val="none"/>
              </w:rPr>
            </w:pPr>
          </w:p>
          <w:p w14:paraId="34A21926">
            <w:pPr>
              <w:spacing w:line="242" w:lineRule="auto"/>
              <w:rPr>
                <w:rFonts w:ascii="Arial"/>
                <w:color w:val="auto"/>
                <w:sz w:val="21"/>
                <w:highlight w:val="none"/>
              </w:rPr>
            </w:pPr>
          </w:p>
          <w:p w14:paraId="75585EC3">
            <w:pPr>
              <w:pStyle w:val="17"/>
              <w:spacing w:before="68" w:line="241" w:lineRule="auto"/>
              <w:ind w:left="369"/>
              <w:rPr>
                <w:color w:val="auto"/>
                <w:highlight w:val="none"/>
              </w:rPr>
            </w:pPr>
            <w:r>
              <w:rPr>
                <w:color w:val="auto"/>
                <w:highlight w:val="none"/>
              </w:rPr>
              <w:t>4</w:t>
            </w:r>
          </w:p>
        </w:tc>
        <w:tc>
          <w:tcPr>
            <w:tcW w:w="7621" w:type="dxa"/>
            <w:vAlign w:val="top"/>
          </w:tcPr>
          <w:p w14:paraId="2C95A31D">
            <w:pPr>
              <w:pStyle w:val="17"/>
              <w:spacing w:before="139" w:line="219" w:lineRule="auto"/>
              <w:ind w:left="111"/>
              <w:rPr>
                <w:color w:val="auto"/>
                <w:highlight w:val="none"/>
              </w:rPr>
            </w:pPr>
            <w:r>
              <w:rPr>
                <w:color w:val="auto"/>
                <w:spacing w:val="-3"/>
                <w:highlight w:val="none"/>
              </w:rPr>
              <w:t>沥青路面存在以下问题的，违约金</w:t>
            </w:r>
            <w:r>
              <w:rPr>
                <w:color w:val="auto"/>
                <w:spacing w:val="-11"/>
                <w:highlight w:val="none"/>
              </w:rPr>
              <w:t xml:space="preserve"> </w:t>
            </w:r>
            <w:r>
              <w:rPr>
                <w:color w:val="auto"/>
                <w:spacing w:val="-3"/>
                <w:highlight w:val="none"/>
              </w:rPr>
              <w:t>10000-50000</w:t>
            </w:r>
            <w:r>
              <w:rPr>
                <w:color w:val="auto"/>
                <w:spacing w:val="-42"/>
                <w:highlight w:val="none"/>
              </w:rPr>
              <w:t xml:space="preserve"> </w:t>
            </w:r>
            <w:r>
              <w:rPr>
                <w:color w:val="auto"/>
                <w:spacing w:val="-3"/>
                <w:highlight w:val="none"/>
              </w:rPr>
              <w:t>元/处：</w:t>
            </w:r>
          </w:p>
          <w:p w14:paraId="36BEC37D">
            <w:pPr>
              <w:pStyle w:val="17"/>
              <w:spacing w:before="152" w:line="286" w:lineRule="auto"/>
              <w:ind w:left="113" w:right="121" w:firstLine="3"/>
              <w:rPr>
                <w:color w:val="auto"/>
                <w:highlight w:val="none"/>
              </w:rPr>
            </w:pPr>
            <w:r>
              <w:rPr>
                <w:color w:val="auto"/>
                <w:spacing w:val="-1"/>
                <w:highlight w:val="none"/>
              </w:rPr>
              <w:t>（1）沥青、矿料质量、混合料级配、混合料指标不符合要求的，沥青含量或</w:t>
            </w:r>
            <w:r>
              <w:rPr>
                <w:color w:val="auto"/>
                <w:spacing w:val="-42"/>
                <w:highlight w:val="none"/>
              </w:rPr>
              <w:t xml:space="preserve"> </w:t>
            </w:r>
            <w:r>
              <w:rPr>
                <w:color w:val="auto"/>
                <w:spacing w:val="-1"/>
                <w:highlight w:val="none"/>
              </w:rPr>
              <w:t>SBS</w:t>
            </w:r>
            <w:r>
              <w:rPr>
                <w:color w:val="auto"/>
                <w:spacing w:val="-10"/>
                <w:highlight w:val="none"/>
              </w:rPr>
              <w:t>用量不足；</w:t>
            </w:r>
          </w:p>
          <w:p w14:paraId="4747E3BD">
            <w:pPr>
              <w:pStyle w:val="17"/>
              <w:spacing w:before="148" w:line="219" w:lineRule="auto"/>
              <w:ind w:left="117"/>
              <w:rPr>
                <w:color w:val="auto"/>
                <w:highlight w:val="none"/>
              </w:rPr>
            </w:pPr>
            <w:r>
              <w:rPr>
                <w:color w:val="auto"/>
                <w:spacing w:val="-2"/>
                <w:highlight w:val="none"/>
              </w:rPr>
              <w:t>（2）沥青混合料的拌和温度、摊铺温度、碾压温度不符合规范或设计要求；</w:t>
            </w:r>
          </w:p>
          <w:p w14:paraId="0C604458">
            <w:pPr>
              <w:pStyle w:val="17"/>
              <w:spacing w:before="152" w:line="285" w:lineRule="auto"/>
              <w:ind w:left="151" w:right="118" w:hanging="34"/>
              <w:rPr>
                <w:color w:val="auto"/>
                <w:highlight w:val="none"/>
              </w:rPr>
            </w:pPr>
            <w:r>
              <w:rPr>
                <w:color w:val="auto"/>
                <w:spacing w:val="-6"/>
                <w:highlight w:val="none"/>
              </w:rPr>
              <w:t>（3）沥青混合料的生产，未按要求做抽提试验、筛分试验、马</w:t>
            </w:r>
            <w:r>
              <w:rPr>
                <w:color w:val="auto"/>
                <w:spacing w:val="-7"/>
                <w:highlight w:val="none"/>
              </w:rPr>
              <w:t>歇尔试验，</w:t>
            </w:r>
            <w:r>
              <w:rPr>
                <w:color w:val="auto"/>
                <w:spacing w:val="42"/>
                <w:highlight w:val="none"/>
              </w:rPr>
              <w:t xml:space="preserve"> </w:t>
            </w:r>
            <w:r>
              <w:rPr>
                <w:color w:val="auto"/>
                <w:spacing w:val="-7"/>
                <w:highlight w:val="none"/>
              </w:rPr>
              <w:t>检测项</w:t>
            </w:r>
            <w:r>
              <w:rPr>
                <w:color w:val="auto"/>
                <w:spacing w:val="-5"/>
                <w:highlight w:val="none"/>
              </w:rPr>
              <w:t>目、方法、频率没有按设计或规范要求执行；</w:t>
            </w:r>
          </w:p>
          <w:p w14:paraId="194F41C8">
            <w:pPr>
              <w:pStyle w:val="17"/>
              <w:spacing w:before="149" w:line="220" w:lineRule="auto"/>
              <w:ind w:left="117"/>
              <w:rPr>
                <w:color w:val="auto"/>
                <w:highlight w:val="none"/>
              </w:rPr>
            </w:pPr>
            <w:r>
              <w:rPr>
                <w:color w:val="auto"/>
                <w:spacing w:val="-2"/>
                <w:highlight w:val="none"/>
              </w:rPr>
              <w:t>（4）拌和后的混合料不均匀一致，有花白、粗细料分离和结团成块现象；</w:t>
            </w:r>
          </w:p>
          <w:p w14:paraId="4DB7C96C">
            <w:pPr>
              <w:pStyle w:val="17"/>
              <w:spacing w:before="150" w:line="220" w:lineRule="auto"/>
              <w:ind w:left="117"/>
              <w:rPr>
                <w:color w:val="auto"/>
                <w:highlight w:val="none"/>
              </w:rPr>
            </w:pPr>
            <w:r>
              <w:rPr>
                <w:color w:val="auto"/>
                <w:spacing w:val="-3"/>
                <w:highlight w:val="none"/>
              </w:rPr>
              <w:t>（5）有泛油、松散、裂缝和明显离析现象；</w:t>
            </w:r>
          </w:p>
          <w:p w14:paraId="39135A50">
            <w:pPr>
              <w:pStyle w:val="17"/>
              <w:spacing w:before="150" w:line="220" w:lineRule="auto"/>
              <w:ind w:left="117"/>
              <w:rPr>
                <w:color w:val="auto"/>
                <w:highlight w:val="none"/>
              </w:rPr>
            </w:pPr>
            <w:r>
              <w:rPr>
                <w:color w:val="auto"/>
                <w:spacing w:val="-3"/>
                <w:highlight w:val="none"/>
              </w:rPr>
              <w:t>（6）面层施工前未按要求对基层裂缝进行处理；</w:t>
            </w:r>
          </w:p>
          <w:p w14:paraId="594231A3">
            <w:pPr>
              <w:pStyle w:val="17"/>
              <w:spacing w:before="149" w:line="220" w:lineRule="auto"/>
              <w:ind w:left="117"/>
              <w:rPr>
                <w:color w:val="auto"/>
                <w:highlight w:val="none"/>
              </w:rPr>
            </w:pPr>
            <w:r>
              <w:rPr>
                <w:color w:val="auto"/>
                <w:spacing w:val="-2"/>
                <w:highlight w:val="none"/>
              </w:rPr>
              <w:t>（7）面层和路缘石及其他构造物不密贴，有积水或漏水</w:t>
            </w:r>
            <w:r>
              <w:rPr>
                <w:color w:val="auto"/>
                <w:spacing w:val="-3"/>
                <w:highlight w:val="none"/>
              </w:rPr>
              <w:t>现象的；</w:t>
            </w:r>
          </w:p>
          <w:p w14:paraId="6317573E">
            <w:pPr>
              <w:pStyle w:val="17"/>
              <w:spacing w:before="151" w:line="219" w:lineRule="auto"/>
              <w:ind w:left="117"/>
              <w:rPr>
                <w:color w:val="auto"/>
                <w:highlight w:val="none"/>
              </w:rPr>
            </w:pPr>
            <w:r>
              <w:rPr>
                <w:color w:val="auto"/>
                <w:spacing w:val="-4"/>
                <w:highlight w:val="none"/>
              </w:rPr>
              <w:t>（8）运输车辆未采取保温措施；</w:t>
            </w:r>
          </w:p>
          <w:p w14:paraId="2D4AF620">
            <w:pPr>
              <w:pStyle w:val="17"/>
              <w:spacing w:before="150" w:line="219" w:lineRule="auto"/>
              <w:ind w:left="117"/>
              <w:rPr>
                <w:color w:val="auto"/>
                <w:highlight w:val="none"/>
              </w:rPr>
            </w:pPr>
            <w:r>
              <w:rPr>
                <w:color w:val="auto"/>
                <w:spacing w:val="-3"/>
                <w:highlight w:val="none"/>
              </w:rPr>
              <w:t>（9）下雨时摊铺，或雨后下承层未干就摊铺的；</w:t>
            </w:r>
          </w:p>
          <w:p w14:paraId="5227F4A5">
            <w:pPr>
              <w:pStyle w:val="17"/>
              <w:spacing w:before="151" w:line="220" w:lineRule="auto"/>
              <w:ind w:left="117"/>
              <w:rPr>
                <w:color w:val="auto"/>
                <w:highlight w:val="none"/>
              </w:rPr>
            </w:pPr>
            <w:r>
              <w:rPr>
                <w:color w:val="auto"/>
                <w:spacing w:val="-3"/>
                <w:highlight w:val="none"/>
              </w:rPr>
              <w:t>（10）纵横接缝施工不符合规范要求的。</w:t>
            </w:r>
          </w:p>
          <w:p w14:paraId="6A6F4810">
            <w:pPr>
              <w:pStyle w:val="17"/>
              <w:spacing w:before="151" w:line="220" w:lineRule="auto"/>
              <w:ind w:left="117"/>
              <w:rPr>
                <w:color w:val="auto"/>
                <w:highlight w:val="none"/>
              </w:rPr>
            </w:pPr>
            <w:r>
              <w:rPr>
                <w:color w:val="auto"/>
                <w:spacing w:val="-4"/>
                <w:highlight w:val="none"/>
              </w:rPr>
              <w:t>（11）平整度没有达标。</w:t>
            </w:r>
          </w:p>
        </w:tc>
      </w:tr>
      <w:tr w14:paraId="36B29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110728B">
            <w:pPr>
              <w:rPr>
                <w:rFonts w:ascii="Arial"/>
                <w:color w:val="auto"/>
                <w:sz w:val="21"/>
                <w:highlight w:val="none"/>
              </w:rPr>
            </w:pPr>
          </w:p>
        </w:tc>
        <w:tc>
          <w:tcPr>
            <w:tcW w:w="839" w:type="dxa"/>
            <w:vAlign w:val="top"/>
          </w:tcPr>
          <w:p w14:paraId="080C4278">
            <w:pPr>
              <w:spacing w:line="272" w:lineRule="auto"/>
              <w:rPr>
                <w:rFonts w:ascii="Arial"/>
                <w:color w:val="auto"/>
                <w:sz w:val="21"/>
                <w:highlight w:val="none"/>
              </w:rPr>
            </w:pPr>
          </w:p>
          <w:p w14:paraId="08985DD0">
            <w:pPr>
              <w:pStyle w:val="17"/>
              <w:spacing w:before="68"/>
              <w:ind w:left="374"/>
              <w:rPr>
                <w:color w:val="auto"/>
                <w:highlight w:val="none"/>
              </w:rPr>
            </w:pPr>
            <w:r>
              <w:rPr>
                <w:color w:val="auto"/>
                <w:highlight w:val="none"/>
              </w:rPr>
              <w:t>5</w:t>
            </w:r>
          </w:p>
        </w:tc>
        <w:tc>
          <w:tcPr>
            <w:tcW w:w="7621" w:type="dxa"/>
            <w:vAlign w:val="top"/>
          </w:tcPr>
          <w:p w14:paraId="00EBF183">
            <w:pPr>
              <w:pStyle w:val="17"/>
              <w:spacing w:before="142" w:line="287" w:lineRule="auto"/>
              <w:ind w:left="112" w:right="105"/>
              <w:rPr>
                <w:color w:val="auto"/>
                <w:highlight w:val="none"/>
              </w:rPr>
            </w:pPr>
            <w:r>
              <w:rPr>
                <w:color w:val="auto"/>
                <w:spacing w:val="-2"/>
                <w:highlight w:val="none"/>
              </w:rPr>
              <w:t>路面基层或沥青面层未保护好，污染严重的，违约金</w:t>
            </w:r>
            <w:r>
              <w:rPr>
                <w:color w:val="auto"/>
                <w:spacing w:val="-41"/>
                <w:highlight w:val="none"/>
              </w:rPr>
              <w:t xml:space="preserve"> </w:t>
            </w:r>
            <w:r>
              <w:rPr>
                <w:color w:val="auto"/>
                <w:spacing w:val="-2"/>
                <w:highlight w:val="none"/>
              </w:rPr>
              <w:t>20000</w:t>
            </w:r>
            <w:r>
              <w:rPr>
                <w:color w:val="auto"/>
                <w:spacing w:val="-43"/>
                <w:highlight w:val="none"/>
              </w:rPr>
              <w:t xml:space="preserve"> </w:t>
            </w:r>
            <w:r>
              <w:rPr>
                <w:color w:val="auto"/>
                <w:spacing w:val="-2"/>
                <w:highlight w:val="none"/>
              </w:rPr>
              <w:t>元/处；污</w:t>
            </w:r>
            <w:r>
              <w:rPr>
                <w:color w:val="auto"/>
                <w:spacing w:val="-3"/>
                <w:highlight w:val="none"/>
              </w:rPr>
              <w:t>染严重的路</w:t>
            </w:r>
            <w:r>
              <w:rPr>
                <w:color w:val="auto"/>
                <w:spacing w:val="-1"/>
                <w:highlight w:val="none"/>
              </w:rPr>
              <w:t>面基层或沥青面层在施工下一层时未及时清</w:t>
            </w:r>
            <w:r>
              <w:rPr>
                <w:color w:val="auto"/>
                <w:spacing w:val="-2"/>
                <w:highlight w:val="none"/>
              </w:rPr>
              <w:t>理时，违约金</w:t>
            </w:r>
            <w:r>
              <w:rPr>
                <w:color w:val="auto"/>
                <w:spacing w:val="-42"/>
                <w:highlight w:val="none"/>
              </w:rPr>
              <w:t xml:space="preserve"> </w:t>
            </w:r>
            <w:r>
              <w:rPr>
                <w:color w:val="auto"/>
                <w:spacing w:val="-2"/>
                <w:highlight w:val="none"/>
              </w:rPr>
              <w:t>20000</w:t>
            </w:r>
            <w:r>
              <w:rPr>
                <w:color w:val="auto"/>
                <w:spacing w:val="-42"/>
                <w:highlight w:val="none"/>
              </w:rPr>
              <w:t xml:space="preserve"> </w:t>
            </w:r>
            <w:r>
              <w:rPr>
                <w:color w:val="auto"/>
                <w:spacing w:val="-2"/>
                <w:highlight w:val="none"/>
              </w:rPr>
              <w:t>元/处。</w:t>
            </w:r>
          </w:p>
        </w:tc>
      </w:tr>
      <w:tr w14:paraId="259DC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6062455">
            <w:pPr>
              <w:rPr>
                <w:rFonts w:ascii="Arial"/>
                <w:color w:val="auto"/>
                <w:sz w:val="21"/>
                <w:highlight w:val="none"/>
              </w:rPr>
            </w:pPr>
          </w:p>
        </w:tc>
        <w:tc>
          <w:tcPr>
            <w:tcW w:w="839" w:type="dxa"/>
            <w:vAlign w:val="top"/>
          </w:tcPr>
          <w:p w14:paraId="5A0D7C5B">
            <w:pPr>
              <w:spacing w:line="272" w:lineRule="auto"/>
              <w:rPr>
                <w:rFonts w:ascii="Arial"/>
                <w:color w:val="auto"/>
                <w:sz w:val="21"/>
                <w:highlight w:val="none"/>
              </w:rPr>
            </w:pPr>
          </w:p>
          <w:p w14:paraId="7DD637A5">
            <w:pPr>
              <w:pStyle w:val="17"/>
              <w:spacing w:before="68"/>
              <w:ind w:left="371"/>
              <w:rPr>
                <w:color w:val="auto"/>
                <w:highlight w:val="none"/>
              </w:rPr>
            </w:pPr>
            <w:r>
              <w:rPr>
                <w:color w:val="auto"/>
                <w:highlight w:val="none"/>
              </w:rPr>
              <w:t>6</w:t>
            </w:r>
          </w:p>
        </w:tc>
        <w:tc>
          <w:tcPr>
            <w:tcW w:w="7621" w:type="dxa"/>
            <w:vAlign w:val="top"/>
          </w:tcPr>
          <w:p w14:paraId="16DFAB17">
            <w:pPr>
              <w:pStyle w:val="17"/>
              <w:spacing w:before="142" w:line="287" w:lineRule="auto"/>
              <w:ind w:left="115" w:right="115" w:hanging="5"/>
              <w:rPr>
                <w:color w:val="auto"/>
                <w:highlight w:val="none"/>
              </w:rPr>
            </w:pPr>
            <w:r>
              <w:rPr>
                <w:color w:val="auto"/>
                <w:spacing w:val="1"/>
                <w:highlight w:val="none"/>
              </w:rPr>
              <w:t>在进行路面施工时，若下承层清扫不彻底或施工便道未洒水造成路面污染的，违</w:t>
            </w:r>
            <w:r>
              <w:rPr>
                <w:color w:val="auto"/>
                <w:spacing w:val="-6"/>
                <w:highlight w:val="none"/>
              </w:rPr>
              <w:t>约金</w:t>
            </w:r>
            <w:r>
              <w:rPr>
                <w:color w:val="auto"/>
                <w:spacing w:val="-37"/>
                <w:highlight w:val="none"/>
              </w:rPr>
              <w:t xml:space="preserve"> </w:t>
            </w:r>
            <w:r>
              <w:rPr>
                <w:color w:val="auto"/>
                <w:spacing w:val="-6"/>
                <w:highlight w:val="none"/>
              </w:rPr>
              <w:t>3000</w:t>
            </w:r>
            <w:r>
              <w:rPr>
                <w:color w:val="auto"/>
                <w:spacing w:val="-41"/>
                <w:highlight w:val="none"/>
              </w:rPr>
              <w:t xml:space="preserve"> </w:t>
            </w:r>
            <w:r>
              <w:rPr>
                <w:color w:val="auto"/>
                <w:spacing w:val="-6"/>
                <w:highlight w:val="none"/>
              </w:rPr>
              <w:t>元/处。</w:t>
            </w:r>
          </w:p>
        </w:tc>
      </w:tr>
      <w:tr w14:paraId="2A725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0D733AB2">
            <w:pPr>
              <w:rPr>
                <w:rFonts w:ascii="Arial"/>
                <w:color w:val="auto"/>
                <w:sz w:val="21"/>
                <w:highlight w:val="none"/>
              </w:rPr>
            </w:pPr>
          </w:p>
        </w:tc>
        <w:tc>
          <w:tcPr>
            <w:tcW w:w="839" w:type="dxa"/>
            <w:vAlign w:val="top"/>
          </w:tcPr>
          <w:p w14:paraId="57D15A0A">
            <w:pPr>
              <w:pStyle w:val="17"/>
              <w:spacing w:before="224"/>
              <w:ind w:left="375"/>
              <w:rPr>
                <w:color w:val="auto"/>
                <w:highlight w:val="none"/>
              </w:rPr>
            </w:pPr>
            <w:r>
              <w:rPr>
                <w:color w:val="auto"/>
                <w:highlight w:val="none"/>
              </w:rPr>
              <w:t>7</w:t>
            </w:r>
          </w:p>
        </w:tc>
        <w:tc>
          <w:tcPr>
            <w:tcW w:w="7621" w:type="dxa"/>
            <w:vAlign w:val="top"/>
          </w:tcPr>
          <w:p w14:paraId="2B4F6ACE">
            <w:pPr>
              <w:pStyle w:val="17"/>
              <w:spacing w:before="224" w:line="219" w:lineRule="auto"/>
              <w:ind w:left="110"/>
              <w:rPr>
                <w:color w:val="auto"/>
                <w:highlight w:val="none"/>
              </w:rPr>
            </w:pPr>
            <w:r>
              <w:rPr>
                <w:color w:val="auto"/>
                <w:spacing w:val="1"/>
                <w:highlight w:val="none"/>
              </w:rPr>
              <w:t>在进行工程质量巡查的同时，若发现施工过程不规范，且承包人拒不采用有效措</w:t>
            </w:r>
          </w:p>
        </w:tc>
      </w:tr>
    </w:tbl>
    <w:p w14:paraId="42417FAF">
      <w:pPr>
        <w:pStyle w:val="3"/>
        <w:rPr>
          <w:color w:val="auto"/>
          <w:highlight w:val="none"/>
        </w:rPr>
      </w:pPr>
    </w:p>
    <w:p w14:paraId="3A626C88">
      <w:pPr>
        <w:rPr>
          <w:color w:val="auto"/>
          <w:highlight w:val="none"/>
        </w:rPr>
        <w:sectPr>
          <w:headerReference r:id="rId98" w:type="default"/>
          <w:footerReference r:id="rId99" w:type="default"/>
          <w:pgSz w:w="11905" w:h="16840"/>
          <w:pgMar w:top="1182" w:right="0" w:bottom="1171" w:left="0" w:header="849" w:footer="937" w:gutter="0"/>
          <w:pgNumType w:fmt="decimal"/>
          <w:cols w:space="720" w:num="1"/>
        </w:sectPr>
      </w:pPr>
    </w:p>
    <w:p w14:paraId="547578BE">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3B50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2CAA3EA5">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3E2F61D8">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7FA043D9">
            <w:pPr>
              <w:pStyle w:val="17"/>
              <w:spacing w:before="226" w:line="220" w:lineRule="auto"/>
              <w:ind w:left="3393"/>
              <w:rPr>
                <w:color w:val="auto"/>
                <w:highlight w:val="none"/>
              </w:rPr>
            </w:pPr>
            <w:r>
              <w:rPr>
                <w:b/>
                <w:bCs/>
                <w:color w:val="auto"/>
                <w:spacing w:val="-4"/>
                <w:highlight w:val="none"/>
              </w:rPr>
              <w:t>违约项目</w:t>
            </w:r>
          </w:p>
        </w:tc>
      </w:tr>
      <w:tr w14:paraId="00ED0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060A1F96">
            <w:pPr>
              <w:rPr>
                <w:rFonts w:ascii="Arial"/>
                <w:color w:val="auto"/>
                <w:sz w:val="21"/>
                <w:highlight w:val="none"/>
              </w:rPr>
            </w:pPr>
          </w:p>
        </w:tc>
        <w:tc>
          <w:tcPr>
            <w:tcW w:w="839" w:type="dxa"/>
            <w:vAlign w:val="top"/>
          </w:tcPr>
          <w:p w14:paraId="61BEF9E4">
            <w:pPr>
              <w:rPr>
                <w:rFonts w:ascii="Arial"/>
                <w:color w:val="auto"/>
                <w:sz w:val="21"/>
                <w:highlight w:val="none"/>
              </w:rPr>
            </w:pPr>
          </w:p>
        </w:tc>
        <w:tc>
          <w:tcPr>
            <w:tcW w:w="7621" w:type="dxa"/>
            <w:vAlign w:val="top"/>
          </w:tcPr>
          <w:p w14:paraId="73DC06BE">
            <w:pPr>
              <w:pStyle w:val="17"/>
              <w:spacing w:before="138" w:line="220" w:lineRule="auto"/>
              <w:ind w:left="110"/>
              <w:rPr>
                <w:color w:val="auto"/>
                <w:highlight w:val="none"/>
              </w:rPr>
            </w:pPr>
            <w:r>
              <w:rPr>
                <w:color w:val="auto"/>
                <w:spacing w:val="-3"/>
                <w:highlight w:val="none"/>
              </w:rPr>
              <w:t>施及时补救或改正的，违约金</w:t>
            </w:r>
            <w:r>
              <w:rPr>
                <w:color w:val="auto"/>
                <w:spacing w:val="-28"/>
                <w:highlight w:val="none"/>
              </w:rPr>
              <w:t xml:space="preserve"> </w:t>
            </w:r>
            <w:r>
              <w:rPr>
                <w:color w:val="auto"/>
                <w:spacing w:val="-3"/>
                <w:highlight w:val="none"/>
              </w:rPr>
              <w:t>5000</w:t>
            </w:r>
            <w:r>
              <w:rPr>
                <w:color w:val="auto"/>
                <w:spacing w:val="-41"/>
                <w:highlight w:val="none"/>
              </w:rPr>
              <w:t xml:space="preserve"> </w:t>
            </w:r>
            <w:r>
              <w:rPr>
                <w:color w:val="auto"/>
                <w:spacing w:val="-3"/>
                <w:highlight w:val="none"/>
              </w:rPr>
              <w:t>元/次。</w:t>
            </w:r>
          </w:p>
        </w:tc>
      </w:tr>
      <w:tr w14:paraId="0E3C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6FE4C35B">
            <w:pPr>
              <w:rPr>
                <w:rFonts w:ascii="Arial"/>
                <w:color w:val="auto"/>
                <w:sz w:val="21"/>
                <w:highlight w:val="none"/>
              </w:rPr>
            </w:pPr>
          </w:p>
        </w:tc>
        <w:tc>
          <w:tcPr>
            <w:tcW w:w="839" w:type="dxa"/>
            <w:vAlign w:val="top"/>
          </w:tcPr>
          <w:p w14:paraId="2C762D40">
            <w:pPr>
              <w:spacing w:line="466" w:lineRule="auto"/>
              <w:rPr>
                <w:rFonts w:ascii="Arial"/>
                <w:color w:val="auto"/>
                <w:sz w:val="21"/>
                <w:highlight w:val="none"/>
              </w:rPr>
            </w:pPr>
          </w:p>
          <w:p w14:paraId="19005287">
            <w:pPr>
              <w:pStyle w:val="17"/>
              <w:spacing w:before="69"/>
              <w:ind w:left="370"/>
              <w:rPr>
                <w:color w:val="auto"/>
                <w:highlight w:val="none"/>
              </w:rPr>
            </w:pPr>
            <w:r>
              <w:rPr>
                <w:color w:val="auto"/>
                <w:highlight w:val="none"/>
              </w:rPr>
              <w:t>8</w:t>
            </w:r>
          </w:p>
        </w:tc>
        <w:tc>
          <w:tcPr>
            <w:tcW w:w="7621" w:type="dxa"/>
            <w:vAlign w:val="top"/>
          </w:tcPr>
          <w:p w14:paraId="1785A2B9">
            <w:pPr>
              <w:pStyle w:val="17"/>
              <w:spacing w:before="139" w:line="309" w:lineRule="auto"/>
              <w:ind w:left="110" w:right="115" w:firstLine="1"/>
              <w:jc w:val="both"/>
              <w:rPr>
                <w:color w:val="auto"/>
                <w:highlight w:val="none"/>
              </w:rPr>
            </w:pPr>
            <w:r>
              <w:rPr>
                <w:color w:val="auto"/>
                <w:spacing w:val="1"/>
                <w:highlight w:val="none"/>
              </w:rPr>
              <w:t>若对原材料或混合料或路面结构层的有关技术指标有怀疑时，对该技术指标进行抽查，抽查不合格的，除对已施工路面进行返工外，沥青、水泥、粗集料、细集</w:t>
            </w:r>
            <w:r>
              <w:rPr>
                <w:color w:val="auto"/>
                <w:spacing w:val="-2"/>
                <w:highlight w:val="none"/>
              </w:rPr>
              <w:t>料、填料不合格违约金</w:t>
            </w:r>
            <w:r>
              <w:rPr>
                <w:color w:val="auto"/>
                <w:spacing w:val="-35"/>
                <w:highlight w:val="none"/>
              </w:rPr>
              <w:t xml:space="preserve"> </w:t>
            </w:r>
            <w:r>
              <w:rPr>
                <w:color w:val="auto"/>
                <w:spacing w:val="-2"/>
                <w:highlight w:val="none"/>
              </w:rPr>
              <w:t>3000</w:t>
            </w:r>
            <w:r>
              <w:rPr>
                <w:color w:val="auto"/>
                <w:spacing w:val="-41"/>
                <w:highlight w:val="none"/>
              </w:rPr>
              <w:t xml:space="preserve"> </w:t>
            </w:r>
            <w:r>
              <w:rPr>
                <w:color w:val="auto"/>
                <w:spacing w:val="-2"/>
                <w:highlight w:val="none"/>
              </w:rPr>
              <w:t>元/次，混合料、结构层不合格违约金</w:t>
            </w:r>
            <w:r>
              <w:rPr>
                <w:color w:val="auto"/>
                <w:spacing w:val="-41"/>
                <w:highlight w:val="none"/>
              </w:rPr>
              <w:t xml:space="preserve"> </w:t>
            </w:r>
            <w:r>
              <w:rPr>
                <w:color w:val="auto"/>
                <w:spacing w:val="-2"/>
                <w:highlight w:val="none"/>
              </w:rPr>
              <w:t>3000</w:t>
            </w:r>
            <w:r>
              <w:rPr>
                <w:color w:val="auto"/>
                <w:spacing w:val="-42"/>
                <w:highlight w:val="none"/>
              </w:rPr>
              <w:t xml:space="preserve"> </w:t>
            </w:r>
            <w:r>
              <w:rPr>
                <w:color w:val="auto"/>
                <w:spacing w:val="-2"/>
                <w:highlight w:val="none"/>
              </w:rPr>
              <w:t>元/次。</w:t>
            </w:r>
          </w:p>
        </w:tc>
      </w:tr>
      <w:tr w14:paraId="2A87E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30CACE2">
            <w:pPr>
              <w:rPr>
                <w:rFonts w:ascii="Arial"/>
                <w:color w:val="auto"/>
                <w:sz w:val="21"/>
                <w:highlight w:val="none"/>
              </w:rPr>
            </w:pPr>
          </w:p>
        </w:tc>
        <w:tc>
          <w:tcPr>
            <w:tcW w:w="839" w:type="dxa"/>
            <w:vAlign w:val="top"/>
          </w:tcPr>
          <w:p w14:paraId="56C4EEE9">
            <w:pPr>
              <w:spacing w:line="269" w:lineRule="auto"/>
              <w:rPr>
                <w:rFonts w:ascii="Arial"/>
                <w:color w:val="auto"/>
                <w:sz w:val="21"/>
                <w:highlight w:val="none"/>
              </w:rPr>
            </w:pPr>
          </w:p>
          <w:p w14:paraId="33FB033F">
            <w:pPr>
              <w:pStyle w:val="17"/>
              <w:spacing w:before="68"/>
              <w:ind w:left="370"/>
              <w:rPr>
                <w:color w:val="auto"/>
                <w:highlight w:val="none"/>
              </w:rPr>
            </w:pPr>
            <w:r>
              <w:rPr>
                <w:color w:val="auto"/>
                <w:highlight w:val="none"/>
              </w:rPr>
              <w:t>9</w:t>
            </w:r>
          </w:p>
        </w:tc>
        <w:tc>
          <w:tcPr>
            <w:tcW w:w="7621" w:type="dxa"/>
            <w:vAlign w:val="top"/>
          </w:tcPr>
          <w:p w14:paraId="3902271E">
            <w:pPr>
              <w:pStyle w:val="17"/>
              <w:spacing w:before="138" w:line="288" w:lineRule="auto"/>
              <w:ind w:left="128" w:right="115" w:hanging="14"/>
              <w:rPr>
                <w:color w:val="auto"/>
                <w:highlight w:val="none"/>
              </w:rPr>
            </w:pPr>
            <w:r>
              <w:rPr>
                <w:color w:val="auto"/>
                <w:spacing w:val="1"/>
                <w:highlight w:val="none"/>
              </w:rPr>
              <w:t>各路面承包人应对高程控制点准确放样，严禁为提高高程的合格率而挪动检测点</w:t>
            </w:r>
            <w:r>
              <w:rPr>
                <w:color w:val="auto"/>
                <w:spacing w:val="-3"/>
                <w:highlight w:val="none"/>
              </w:rPr>
              <w:t>的位置。若发现有此行为的，违约金</w:t>
            </w:r>
            <w:r>
              <w:rPr>
                <w:color w:val="auto"/>
                <w:spacing w:val="-37"/>
                <w:highlight w:val="none"/>
              </w:rPr>
              <w:t xml:space="preserve"> </w:t>
            </w:r>
            <w:r>
              <w:rPr>
                <w:color w:val="auto"/>
                <w:spacing w:val="-3"/>
                <w:highlight w:val="none"/>
              </w:rPr>
              <w:t>3000</w:t>
            </w:r>
            <w:r>
              <w:rPr>
                <w:color w:val="auto"/>
                <w:spacing w:val="-41"/>
                <w:highlight w:val="none"/>
              </w:rPr>
              <w:t xml:space="preserve"> </w:t>
            </w:r>
            <w:r>
              <w:rPr>
                <w:color w:val="auto"/>
                <w:spacing w:val="-3"/>
                <w:highlight w:val="none"/>
              </w:rPr>
              <w:t>元/次。</w:t>
            </w:r>
          </w:p>
        </w:tc>
      </w:tr>
      <w:tr w14:paraId="23871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359E2A76">
            <w:pPr>
              <w:rPr>
                <w:rFonts w:ascii="Arial"/>
                <w:color w:val="auto"/>
                <w:sz w:val="21"/>
                <w:highlight w:val="none"/>
              </w:rPr>
            </w:pPr>
          </w:p>
        </w:tc>
        <w:tc>
          <w:tcPr>
            <w:tcW w:w="839" w:type="dxa"/>
            <w:vAlign w:val="top"/>
          </w:tcPr>
          <w:p w14:paraId="017315C6">
            <w:pPr>
              <w:spacing w:line="270" w:lineRule="auto"/>
              <w:rPr>
                <w:rFonts w:ascii="Arial"/>
                <w:color w:val="auto"/>
                <w:sz w:val="21"/>
                <w:highlight w:val="none"/>
              </w:rPr>
            </w:pPr>
          </w:p>
          <w:p w14:paraId="0B2A9553">
            <w:pPr>
              <w:pStyle w:val="17"/>
              <w:spacing w:before="68"/>
              <w:ind w:left="333"/>
              <w:rPr>
                <w:color w:val="auto"/>
                <w:highlight w:val="none"/>
              </w:rPr>
            </w:pPr>
            <w:r>
              <w:rPr>
                <w:color w:val="auto"/>
                <w:spacing w:val="-6"/>
                <w:highlight w:val="none"/>
              </w:rPr>
              <w:t>10</w:t>
            </w:r>
          </w:p>
        </w:tc>
        <w:tc>
          <w:tcPr>
            <w:tcW w:w="7621" w:type="dxa"/>
            <w:vAlign w:val="top"/>
          </w:tcPr>
          <w:p w14:paraId="00DD977D">
            <w:pPr>
              <w:pStyle w:val="17"/>
              <w:spacing w:before="141" w:line="287" w:lineRule="auto"/>
              <w:ind w:left="113" w:right="115" w:hanging="2"/>
              <w:rPr>
                <w:color w:val="auto"/>
                <w:highlight w:val="none"/>
              </w:rPr>
            </w:pPr>
            <w:r>
              <w:rPr>
                <w:color w:val="auto"/>
                <w:spacing w:val="1"/>
                <w:highlight w:val="none"/>
              </w:rPr>
              <w:t>基层透层、沥青路面下封层和粘层各项技术指标应符合规定，如发现洒布量不足</w:t>
            </w:r>
            <w:r>
              <w:rPr>
                <w:color w:val="auto"/>
                <w:spacing w:val="-3"/>
                <w:highlight w:val="none"/>
              </w:rPr>
              <w:t>或洒布不均匀的,违约金</w:t>
            </w:r>
            <w:r>
              <w:rPr>
                <w:color w:val="auto"/>
                <w:spacing w:val="-36"/>
                <w:highlight w:val="none"/>
              </w:rPr>
              <w:t xml:space="preserve"> </w:t>
            </w:r>
            <w:r>
              <w:rPr>
                <w:color w:val="auto"/>
                <w:spacing w:val="-3"/>
                <w:highlight w:val="none"/>
              </w:rPr>
              <w:t>3000</w:t>
            </w:r>
            <w:r>
              <w:rPr>
                <w:color w:val="auto"/>
                <w:spacing w:val="-42"/>
                <w:highlight w:val="none"/>
              </w:rPr>
              <w:t xml:space="preserve"> </w:t>
            </w:r>
            <w:r>
              <w:rPr>
                <w:color w:val="auto"/>
                <w:spacing w:val="-3"/>
                <w:highlight w:val="none"/>
              </w:rPr>
              <w:t>元/处。</w:t>
            </w:r>
          </w:p>
        </w:tc>
      </w:tr>
      <w:tr w14:paraId="572F3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2CFACBB7">
            <w:pPr>
              <w:rPr>
                <w:rFonts w:ascii="Arial"/>
                <w:color w:val="auto"/>
                <w:sz w:val="21"/>
                <w:highlight w:val="none"/>
              </w:rPr>
            </w:pPr>
          </w:p>
        </w:tc>
        <w:tc>
          <w:tcPr>
            <w:tcW w:w="839" w:type="dxa"/>
            <w:vAlign w:val="top"/>
          </w:tcPr>
          <w:p w14:paraId="4BC7D028">
            <w:pPr>
              <w:spacing w:line="272" w:lineRule="auto"/>
              <w:rPr>
                <w:rFonts w:ascii="Arial"/>
                <w:color w:val="auto"/>
                <w:sz w:val="21"/>
                <w:highlight w:val="none"/>
              </w:rPr>
            </w:pPr>
          </w:p>
          <w:p w14:paraId="35F52F8D">
            <w:pPr>
              <w:pStyle w:val="17"/>
              <w:spacing w:before="68" w:line="241" w:lineRule="auto"/>
              <w:ind w:left="333"/>
              <w:rPr>
                <w:color w:val="auto"/>
                <w:highlight w:val="none"/>
              </w:rPr>
            </w:pPr>
            <w:r>
              <w:rPr>
                <w:color w:val="auto"/>
                <w:spacing w:val="-6"/>
                <w:highlight w:val="none"/>
              </w:rPr>
              <w:t>11</w:t>
            </w:r>
          </w:p>
        </w:tc>
        <w:tc>
          <w:tcPr>
            <w:tcW w:w="7621" w:type="dxa"/>
            <w:vAlign w:val="top"/>
          </w:tcPr>
          <w:p w14:paraId="532F8CC6">
            <w:pPr>
              <w:pStyle w:val="17"/>
              <w:spacing w:before="141" w:line="287" w:lineRule="auto"/>
              <w:ind w:left="112" w:right="112"/>
              <w:rPr>
                <w:color w:val="auto"/>
                <w:highlight w:val="none"/>
              </w:rPr>
            </w:pPr>
            <w:r>
              <w:rPr>
                <w:color w:val="auto"/>
                <w:spacing w:val="1"/>
                <w:highlight w:val="none"/>
              </w:rPr>
              <w:t>拌和楼称量装置没有定期标定的，拌和数据无安装系统远程自动采集监测的，无</w:t>
            </w:r>
            <w:r>
              <w:rPr>
                <w:color w:val="auto"/>
                <w:spacing w:val="-2"/>
                <w:highlight w:val="none"/>
              </w:rPr>
              <w:t>法打印生产清单，或对数据进行人工修改的，违约金</w:t>
            </w:r>
            <w:r>
              <w:rPr>
                <w:color w:val="auto"/>
                <w:spacing w:val="-30"/>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388E5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4DF5AEB6">
            <w:pPr>
              <w:rPr>
                <w:rFonts w:ascii="Arial"/>
                <w:color w:val="auto"/>
                <w:sz w:val="21"/>
                <w:highlight w:val="none"/>
              </w:rPr>
            </w:pPr>
          </w:p>
        </w:tc>
        <w:tc>
          <w:tcPr>
            <w:tcW w:w="839" w:type="dxa"/>
            <w:vAlign w:val="top"/>
          </w:tcPr>
          <w:p w14:paraId="10263BD8">
            <w:pPr>
              <w:spacing w:line="471" w:lineRule="auto"/>
              <w:rPr>
                <w:rFonts w:ascii="Arial"/>
                <w:color w:val="auto"/>
                <w:sz w:val="21"/>
                <w:highlight w:val="none"/>
              </w:rPr>
            </w:pPr>
          </w:p>
          <w:p w14:paraId="1DD157AA">
            <w:pPr>
              <w:pStyle w:val="17"/>
              <w:spacing w:before="68" w:line="241" w:lineRule="auto"/>
              <w:ind w:left="333"/>
              <w:rPr>
                <w:color w:val="auto"/>
                <w:highlight w:val="none"/>
              </w:rPr>
            </w:pPr>
            <w:r>
              <w:rPr>
                <w:color w:val="auto"/>
                <w:spacing w:val="-6"/>
                <w:highlight w:val="none"/>
              </w:rPr>
              <w:t>12</w:t>
            </w:r>
          </w:p>
        </w:tc>
        <w:tc>
          <w:tcPr>
            <w:tcW w:w="7621" w:type="dxa"/>
            <w:vAlign w:val="top"/>
          </w:tcPr>
          <w:p w14:paraId="543C5CA7">
            <w:pPr>
              <w:pStyle w:val="17"/>
              <w:spacing w:before="143" w:line="308" w:lineRule="auto"/>
              <w:ind w:left="112" w:right="109" w:hanging="1"/>
              <w:jc w:val="both"/>
              <w:rPr>
                <w:color w:val="auto"/>
                <w:highlight w:val="none"/>
              </w:rPr>
            </w:pPr>
            <w:r>
              <w:rPr>
                <w:color w:val="auto"/>
                <w:spacing w:val="1"/>
                <w:highlight w:val="none"/>
              </w:rPr>
              <w:t>承包人不得自行采购或挪用甲供材料，沥青实际用量与经批复的生产配合比所计算沥青数量（因重大变更引起的数量差额除外）少于 0.3%或超出 1%，按差价部</w:t>
            </w:r>
            <w:r>
              <w:rPr>
                <w:color w:val="auto"/>
                <w:spacing w:val="-4"/>
                <w:highlight w:val="none"/>
              </w:rPr>
              <w:t>分双倍材料价款罚金。</w:t>
            </w:r>
          </w:p>
        </w:tc>
      </w:tr>
      <w:tr w14:paraId="7FD26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71C0F35">
            <w:pPr>
              <w:rPr>
                <w:rFonts w:ascii="Arial"/>
                <w:color w:val="auto"/>
                <w:sz w:val="21"/>
                <w:highlight w:val="none"/>
              </w:rPr>
            </w:pPr>
          </w:p>
        </w:tc>
        <w:tc>
          <w:tcPr>
            <w:tcW w:w="839" w:type="dxa"/>
            <w:vAlign w:val="top"/>
          </w:tcPr>
          <w:p w14:paraId="04624089">
            <w:pPr>
              <w:spacing w:line="272" w:lineRule="auto"/>
              <w:rPr>
                <w:rFonts w:ascii="Arial"/>
                <w:color w:val="auto"/>
                <w:sz w:val="21"/>
                <w:highlight w:val="none"/>
              </w:rPr>
            </w:pPr>
          </w:p>
          <w:p w14:paraId="6D90BC05">
            <w:pPr>
              <w:pStyle w:val="17"/>
              <w:spacing w:before="68"/>
              <w:ind w:left="333"/>
              <w:rPr>
                <w:color w:val="auto"/>
                <w:highlight w:val="none"/>
              </w:rPr>
            </w:pPr>
            <w:r>
              <w:rPr>
                <w:color w:val="auto"/>
                <w:spacing w:val="-6"/>
                <w:highlight w:val="none"/>
              </w:rPr>
              <w:t>13</w:t>
            </w:r>
          </w:p>
        </w:tc>
        <w:tc>
          <w:tcPr>
            <w:tcW w:w="7621" w:type="dxa"/>
            <w:vAlign w:val="top"/>
          </w:tcPr>
          <w:p w14:paraId="4A8573A9">
            <w:pPr>
              <w:pStyle w:val="17"/>
              <w:spacing w:before="142" w:line="287" w:lineRule="auto"/>
              <w:ind w:left="114" w:right="115" w:hanging="3"/>
              <w:rPr>
                <w:color w:val="auto"/>
                <w:highlight w:val="none"/>
              </w:rPr>
            </w:pPr>
            <w:r>
              <w:rPr>
                <w:color w:val="auto"/>
                <w:spacing w:val="1"/>
                <w:highlight w:val="none"/>
              </w:rPr>
              <w:t>承包人不得随意改变碎石材料来源，未经批准的材料严禁用于本工程，违反规定</w:t>
            </w:r>
            <w:r>
              <w:rPr>
                <w:color w:val="auto"/>
                <w:spacing w:val="-2"/>
                <w:highlight w:val="none"/>
              </w:rPr>
              <w:t>一经发现，要求清退材料并处违约金</w:t>
            </w:r>
            <w:r>
              <w:rPr>
                <w:color w:val="auto"/>
                <w:spacing w:val="-43"/>
                <w:highlight w:val="none"/>
              </w:rPr>
              <w:t xml:space="preserve"> </w:t>
            </w:r>
            <w:r>
              <w:rPr>
                <w:color w:val="auto"/>
                <w:spacing w:val="-2"/>
                <w:highlight w:val="none"/>
              </w:rPr>
              <w:t>200000</w:t>
            </w:r>
            <w:r>
              <w:rPr>
                <w:color w:val="auto"/>
                <w:spacing w:val="-42"/>
                <w:highlight w:val="none"/>
              </w:rPr>
              <w:t xml:space="preserve"> </w:t>
            </w:r>
            <w:r>
              <w:rPr>
                <w:color w:val="auto"/>
                <w:spacing w:val="-2"/>
                <w:highlight w:val="none"/>
              </w:rPr>
              <w:t>元/次。</w:t>
            </w:r>
          </w:p>
        </w:tc>
      </w:tr>
      <w:tr w14:paraId="319EF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6B8EF70A">
            <w:pPr>
              <w:rPr>
                <w:rFonts w:ascii="Arial"/>
                <w:color w:val="auto"/>
                <w:sz w:val="21"/>
                <w:highlight w:val="none"/>
              </w:rPr>
            </w:pPr>
          </w:p>
        </w:tc>
        <w:tc>
          <w:tcPr>
            <w:tcW w:w="839" w:type="dxa"/>
            <w:vAlign w:val="top"/>
          </w:tcPr>
          <w:p w14:paraId="620FFC2A">
            <w:pPr>
              <w:spacing w:line="272" w:lineRule="auto"/>
              <w:rPr>
                <w:rFonts w:ascii="Arial"/>
                <w:color w:val="auto"/>
                <w:sz w:val="21"/>
                <w:highlight w:val="none"/>
              </w:rPr>
            </w:pPr>
          </w:p>
          <w:p w14:paraId="6F8D7D33">
            <w:pPr>
              <w:pStyle w:val="17"/>
              <w:spacing w:before="68" w:line="241" w:lineRule="auto"/>
              <w:ind w:left="333"/>
              <w:rPr>
                <w:color w:val="auto"/>
                <w:highlight w:val="none"/>
              </w:rPr>
            </w:pPr>
            <w:r>
              <w:rPr>
                <w:color w:val="auto"/>
                <w:spacing w:val="-6"/>
                <w:highlight w:val="none"/>
              </w:rPr>
              <w:t>14</w:t>
            </w:r>
          </w:p>
        </w:tc>
        <w:tc>
          <w:tcPr>
            <w:tcW w:w="7621" w:type="dxa"/>
            <w:vAlign w:val="top"/>
          </w:tcPr>
          <w:p w14:paraId="4322AAF0">
            <w:pPr>
              <w:pStyle w:val="17"/>
              <w:spacing w:before="142" w:line="287" w:lineRule="auto"/>
              <w:ind w:left="110" w:right="105"/>
              <w:rPr>
                <w:color w:val="auto"/>
                <w:highlight w:val="none"/>
              </w:rPr>
            </w:pPr>
            <w:r>
              <w:rPr>
                <w:color w:val="auto"/>
                <w:spacing w:val="-3"/>
                <w:highlight w:val="none"/>
              </w:rPr>
              <w:t>施工点无施工员现场管理的，违约金</w:t>
            </w:r>
            <w:r>
              <w:rPr>
                <w:color w:val="auto"/>
                <w:spacing w:val="-31"/>
                <w:highlight w:val="none"/>
              </w:rPr>
              <w:t xml:space="preserve"> </w:t>
            </w:r>
            <w:r>
              <w:rPr>
                <w:color w:val="auto"/>
                <w:spacing w:val="-3"/>
                <w:highlight w:val="none"/>
              </w:rPr>
              <w:t>2000</w:t>
            </w:r>
            <w:r>
              <w:rPr>
                <w:color w:val="auto"/>
                <w:spacing w:val="-41"/>
                <w:highlight w:val="none"/>
              </w:rPr>
              <w:t xml:space="preserve"> </w:t>
            </w:r>
            <w:r>
              <w:rPr>
                <w:color w:val="auto"/>
                <w:spacing w:val="-3"/>
                <w:highlight w:val="none"/>
              </w:rPr>
              <w:t>元/次，超过</w:t>
            </w:r>
            <w:r>
              <w:rPr>
                <w:color w:val="auto"/>
                <w:spacing w:val="-42"/>
                <w:highlight w:val="none"/>
              </w:rPr>
              <w:t xml:space="preserve"> </w:t>
            </w:r>
            <w:r>
              <w:rPr>
                <w:color w:val="auto"/>
                <w:spacing w:val="-3"/>
                <w:highlight w:val="none"/>
              </w:rPr>
              <w:t>24</w:t>
            </w:r>
            <w:r>
              <w:rPr>
                <w:color w:val="auto"/>
                <w:spacing w:val="-39"/>
                <w:highlight w:val="none"/>
              </w:rPr>
              <w:t xml:space="preserve"> </w:t>
            </w:r>
            <w:r>
              <w:rPr>
                <w:color w:val="auto"/>
                <w:spacing w:val="-3"/>
                <w:highlight w:val="none"/>
              </w:rPr>
              <w:t>小时仍未安排施工员在场而继续施工的，违约金</w:t>
            </w:r>
            <w:r>
              <w:rPr>
                <w:color w:val="auto"/>
                <w:spacing w:val="-33"/>
                <w:highlight w:val="none"/>
              </w:rPr>
              <w:t xml:space="preserve"> </w:t>
            </w:r>
            <w:r>
              <w:rPr>
                <w:color w:val="auto"/>
                <w:spacing w:val="-3"/>
                <w:highlight w:val="none"/>
              </w:rPr>
              <w:t>5000</w:t>
            </w:r>
            <w:r>
              <w:rPr>
                <w:color w:val="auto"/>
                <w:spacing w:val="-42"/>
                <w:highlight w:val="none"/>
              </w:rPr>
              <w:t xml:space="preserve"> </w:t>
            </w:r>
            <w:r>
              <w:rPr>
                <w:color w:val="auto"/>
                <w:spacing w:val="-3"/>
                <w:highlight w:val="none"/>
              </w:rPr>
              <w:t>元/次。</w:t>
            </w:r>
          </w:p>
        </w:tc>
      </w:tr>
      <w:tr w14:paraId="05113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366A6634">
            <w:pPr>
              <w:rPr>
                <w:rFonts w:ascii="Arial"/>
                <w:color w:val="auto"/>
                <w:sz w:val="21"/>
                <w:highlight w:val="none"/>
              </w:rPr>
            </w:pPr>
          </w:p>
        </w:tc>
        <w:tc>
          <w:tcPr>
            <w:tcW w:w="839" w:type="dxa"/>
            <w:vAlign w:val="top"/>
          </w:tcPr>
          <w:p w14:paraId="6C4BA8AB">
            <w:pPr>
              <w:pStyle w:val="17"/>
              <w:spacing w:before="224"/>
              <w:ind w:left="333"/>
              <w:rPr>
                <w:color w:val="auto"/>
                <w:highlight w:val="none"/>
              </w:rPr>
            </w:pPr>
            <w:r>
              <w:rPr>
                <w:color w:val="auto"/>
                <w:spacing w:val="-6"/>
                <w:highlight w:val="none"/>
              </w:rPr>
              <w:t>15</w:t>
            </w:r>
          </w:p>
        </w:tc>
        <w:tc>
          <w:tcPr>
            <w:tcW w:w="7621" w:type="dxa"/>
            <w:vAlign w:val="top"/>
          </w:tcPr>
          <w:p w14:paraId="550A3AF7">
            <w:pPr>
              <w:pStyle w:val="17"/>
              <w:spacing w:before="224" w:line="220" w:lineRule="auto"/>
              <w:ind w:left="127"/>
              <w:rPr>
                <w:color w:val="auto"/>
                <w:highlight w:val="none"/>
              </w:rPr>
            </w:pPr>
            <w:r>
              <w:rPr>
                <w:color w:val="auto"/>
                <w:spacing w:val="-2"/>
                <w:highlight w:val="none"/>
              </w:rPr>
              <w:t>因摊铺速度过快或过振、缺振造成质量问题或返工的，违约金</w:t>
            </w:r>
            <w:r>
              <w:rPr>
                <w:color w:val="auto"/>
                <w:spacing w:val="-29"/>
                <w:highlight w:val="none"/>
              </w:rPr>
              <w:t xml:space="preserve"> </w:t>
            </w:r>
            <w:r>
              <w:rPr>
                <w:color w:val="auto"/>
                <w:spacing w:val="-2"/>
                <w:highlight w:val="none"/>
              </w:rPr>
              <w:t>1000</w:t>
            </w:r>
            <w:r>
              <w:rPr>
                <w:color w:val="auto"/>
                <w:spacing w:val="-3"/>
                <w:highlight w:val="none"/>
              </w:rPr>
              <w:t>0</w:t>
            </w:r>
            <w:r>
              <w:rPr>
                <w:color w:val="auto"/>
                <w:spacing w:val="-42"/>
                <w:highlight w:val="none"/>
              </w:rPr>
              <w:t xml:space="preserve"> </w:t>
            </w:r>
            <w:r>
              <w:rPr>
                <w:color w:val="auto"/>
                <w:spacing w:val="-3"/>
                <w:highlight w:val="none"/>
              </w:rPr>
              <w:t>元/次。</w:t>
            </w:r>
          </w:p>
        </w:tc>
      </w:tr>
      <w:tr w14:paraId="7F104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66E8EC83">
            <w:pPr>
              <w:rPr>
                <w:rFonts w:ascii="Arial"/>
                <w:color w:val="auto"/>
                <w:sz w:val="21"/>
                <w:highlight w:val="none"/>
              </w:rPr>
            </w:pPr>
          </w:p>
        </w:tc>
        <w:tc>
          <w:tcPr>
            <w:tcW w:w="839" w:type="dxa"/>
            <w:vAlign w:val="top"/>
          </w:tcPr>
          <w:p w14:paraId="7E2B6D3D">
            <w:pPr>
              <w:spacing w:line="273" w:lineRule="auto"/>
              <w:rPr>
                <w:rFonts w:ascii="Arial"/>
                <w:color w:val="auto"/>
                <w:sz w:val="21"/>
                <w:highlight w:val="none"/>
              </w:rPr>
            </w:pPr>
          </w:p>
          <w:p w14:paraId="6CADA362">
            <w:pPr>
              <w:pStyle w:val="17"/>
              <w:spacing w:before="68"/>
              <w:ind w:left="333"/>
              <w:rPr>
                <w:color w:val="auto"/>
                <w:highlight w:val="none"/>
              </w:rPr>
            </w:pPr>
            <w:r>
              <w:rPr>
                <w:color w:val="auto"/>
                <w:spacing w:val="-6"/>
                <w:highlight w:val="none"/>
              </w:rPr>
              <w:t>16</w:t>
            </w:r>
          </w:p>
        </w:tc>
        <w:tc>
          <w:tcPr>
            <w:tcW w:w="7621" w:type="dxa"/>
            <w:vAlign w:val="top"/>
          </w:tcPr>
          <w:p w14:paraId="23A2035E">
            <w:pPr>
              <w:pStyle w:val="17"/>
              <w:spacing w:before="144" w:line="286" w:lineRule="auto"/>
              <w:ind w:left="115" w:right="115"/>
              <w:rPr>
                <w:color w:val="auto"/>
                <w:highlight w:val="none"/>
              </w:rPr>
            </w:pPr>
            <w:r>
              <w:rPr>
                <w:color w:val="auto"/>
                <w:spacing w:val="1"/>
                <w:highlight w:val="none"/>
              </w:rPr>
              <w:t>不按设计要求设置拉杆、传力杆、胀缝钢筋骨架、板块补强钢筋的，传力杆安装</w:t>
            </w:r>
            <w:r>
              <w:rPr>
                <w:color w:val="auto"/>
                <w:spacing w:val="-2"/>
                <w:highlight w:val="none"/>
              </w:rPr>
              <w:t>不水平偏斜的，胀缝板弯曲、位移、连浆、倾斜的，违约金</w:t>
            </w:r>
            <w:r>
              <w:rPr>
                <w:color w:val="auto"/>
                <w:spacing w:val="-27"/>
                <w:highlight w:val="none"/>
              </w:rPr>
              <w:t xml:space="preserve"> </w:t>
            </w:r>
            <w:r>
              <w:rPr>
                <w:color w:val="auto"/>
                <w:spacing w:val="-2"/>
                <w:highlight w:val="none"/>
              </w:rPr>
              <w:t>5000</w:t>
            </w:r>
            <w:r>
              <w:rPr>
                <w:color w:val="auto"/>
                <w:spacing w:val="-41"/>
                <w:highlight w:val="none"/>
              </w:rPr>
              <w:t xml:space="preserve"> </w:t>
            </w:r>
            <w:r>
              <w:rPr>
                <w:color w:val="auto"/>
                <w:spacing w:val="-2"/>
                <w:highlight w:val="none"/>
              </w:rPr>
              <w:t>元/次。</w:t>
            </w:r>
          </w:p>
        </w:tc>
      </w:tr>
      <w:tr w14:paraId="5B6B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853DA7E">
            <w:pPr>
              <w:rPr>
                <w:rFonts w:ascii="Arial"/>
                <w:color w:val="auto"/>
                <w:sz w:val="21"/>
                <w:highlight w:val="none"/>
              </w:rPr>
            </w:pPr>
          </w:p>
        </w:tc>
        <w:tc>
          <w:tcPr>
            <w:tcW w:w="839" w:type="dxa"/>
            <w:vAlign w:val="top"/>
          </w:tcPr>
          <w:p w14:paraId="57604ACA">
            <w:pPr>
              <w:spacing w:line="273" w:lineRule="auto"/>
              <w:rPr>
                <w:rFonts w:ascii="Arial"/>
                <w:color w:val="auto"/>
                <w:sz w:val="21"/>
                <w:highlight w:val="none"/>
              </w:rPr>
            </w:pPr>
          </w:p>
          <w:p w14:paraId="6C7A0261">
            <w:pPr>
              <w:pStyle w:val="17"/>
              <w:spacing w:before="68"/>
              <w:ind w:left="333"/>
              <w:rPr>
                <w:color w:val="auto"/>
                <w:highlight w:val="none"/>
              </w:rPr>
            </w:pPr>
            <w:r>
              <w:rPr>
                <w:color w:val="auto"/>
                <w:spacing w:val="-6"/>
                <w:highlight w:val="none"/>
              </w:rPr>
              <w:t>17</w:t>
            </w:r>
          </w:p>
        </w:tc>
        <w:tc>
          <w:tcPr>
            <w:tcW w:w="7621" w:type="dxa"/>
            <w:vAlign w:val="top"/>
          </w:tcPr>
          <w:p w14:paraId="03A0CA9C">
            <w:pPr>
              <w:pStyle w:val="17"/>
              <w:spacing w:before="144" w:line="286" w:lineRule="auto"/>
              <w:ind w:left="115" w:right="108" w:hanging="5"/>
              <w:rPr>
                <w:color w:val="auto"/>
                <w:highlight w:val="none"/>
              </w:rPr>
            </w:pPr>
            <w:r>
              <w:rPr>
                <w:color w:val="auto"/>
                <w:spacing w:val="1"/>
                <w:highlight w:val="none"/>
              </w:rPr>
              <w:t>切缝深度不够、不直顺，胀缝灌缝不饱满，胀缝表面缺陷、接缝不顺直；违约金</w:t>
            </w:r>
            <w:r>
              <w:rPr>
                <w:color w:val="auto"/>
                <w:spacing w:val="-3"/>
                <w:highlight w:val="none"/>
              </w:rPr>
              <w:t>5000</w:t>
            </w:r>
            <w:r>
              <w:rPr>
                <w:color w:val="auto"/>
                <w:spacing w:val="-43"/>
                <w:highlight w:val="none"/>
              </w:rPr>
              <w:t xml:space="preserve"> </w:t>
            </w:r>
            <w:r>
              <w:rPr>
                <w:color w:val="auto"/>
                <w:spacing w:val="-3"/>
                <w:highlight w:val="none"/>
              </w:rPr>
              <w:t>元/处。</w:t>
            </w:r>
          </w:p>
        </w:tc>
      </w:tr>
      <w:tr w14:paraId="6682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4EC477A">
            <w:pPr>
              <w:rPr>
                <w:rFonts w:ascii="Arial"/>
                <w:color w:val="auto"/>
                <w:sz w:val="21"/>
                <w:highlight w:val="none"/>
              </w:rPr>
            </w:pPr>
          </w:p>
        </w:tc>
        <w:tc>
          <w:tcPr>
            <w:tcW w:w="839" w:type="dxa"/>
            <w:vAlign w:val="top"/>
          </w:tcPr>
          <w:p w14:paraId="52C8F6DD">
            <w:pPr>
              <w:pStyle w:val="17"/>
              <w:spacing w:before="225"/>
              <w:ind w:left="333"/>
              <w:rPr>
                <w:color w:val="auto"/>
                <w:highlight w:val="none"/>
              </w:rPr>
            </w:pPr>
            <w:r>
              <w:rPr>
                <w:color w:val="auto"/>
                <w:spacing w:val="-6"/>
                <w:highlight w:val="none"/>
              </w:rPr>
              <w:t>18</w:t>
            </w:r>
          </w:p>
        </w:tc>
        <w:tc>
          <w:tcPr>
            <w:tcW w:w="7621" w:type="dxa"/>
            <w:vAlign w:val="top"/>
          </w:tcPr>
          <w:p w14:paraId="70D5157F">
            <w:pPr>
              <w:pStyle w:val="17"/>
              <w:spacing w:before="225" w:line="219" w:lineRule="auto"/>
              <w:ind w:left="111"/>
              <w:rPr>
                <w:color w:val="auto"/>
                <w:highlight w:val="none"/>
              </w:rPr>
            </w:pPr>
            <w:r>
              <w:rPr>
                <w:color w:val="auto"/>
                <w:spacing w:val="-1"/>
                <w:highlight w:val="none"/>
              </w:rPr>
              <w:t>运输过程中应加盖蓬布，洒落混合料污染已成型路</w:t>
            </w:r>
            <w:r>
              <w:rPr>
                <w:color w:val="auto"/>
                <w:spacing w:val="-2"/>
                <w:highlight w:val="none"/>
              </w:rPr>
              <w:t>面，违约金</w:t>
            </w:r>
            <w:r>
              <w:rPr>
                <w:color w:val="auto"/>
                <w:spacing w:val="-43"/>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208F3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5E5E8FF">
            <w:pPr>
              <w:rPr>
                <w:rFonts w:ascii="Arial"/>
                <w:color w:val="auto"/>
                <w:sz w:val="21"/>
                <w:highlight w:val="none"/>
              </w:rPr>
            </w:pPr>
          </w:p>
        </w:tc>
        <w:tc>
          <w:tcPr>
            <w:tcW w:w="839" w:type="dxa"/>
            <w:vAlign w:val="top"/>
          </w:tcPr>
          <w:p w14:paraId="7161BE71">
            <w:pPr>
              <w:spacing w:line="273" w:lineRule="auto"/>
              <w:rPr>
                <w:rFonts w:ascii="Arial"/>
                <w:color w:val="auto"/>
                <w:sz w:val="21"/>
                <w:highlight w:val="none"/>
              </w:rPr>
            </w:pPr>
          </w:p>
          <w:p w14:paraId="7B8DAA70">
            <w:pPr>
              <w:pStyle w:val="17"/>
              <w:spacing w:before="68"/>
              <w:ind w:left="333"/>
              <w:rPr>
                <w:color w:val="auto"/>
                <w:highlight w:val="none"/>
              </w:rPr>
            </w:pPr>
            <w:r>
              <w:rPr>
                <w:color w:val="auto"/>
                <w:spacing w:val="-6"/>
                <w:highlight w:val="none"/>
              </w:rPr>
              <w:t>19</w:t>
            </w:r>
          </w:p>
        </w:tc>
        <w:tc>
          <w:tcPr>
            <w:tcW w:w="7621" w:type="dxa"/>
            <w:vAlign w:val="top"/>
          </w:tcPr>
          <w:p w14:paraId="61FF9883">
            <w:pPr>
              <w:pStyle w:val="17"/>
              <w:spacing w:before="144" w:line="286" w:lineRule="auto"/>
              <w:ind w:left="113" w:right="115" w:hanging="3"/>
              <w:rPr>
                <w:color w:val="auto"/>
                <w:highlight w:val="none"/>
              </w:rPr>
            </w:pPr>
            <w:r>
              <w:rPr>
                <w:color w:val="auto"/>
                <w:spacing w:val="1"/>
                <w:highlight w:val="none"/>
              </w:rPr>
              <w:t>施工时随意将剩料或废料向路基边坡、桥底、涵洞内或路外倾倒，造成环境污染</w:t>
            </w:r>
            <w:r>
              <w:rPr>
                <w:color w:val="auto"/>
                <w:spacing w:val="-2"/>
                <w:highlight w:val="none"/>
              </w:rPr>
              <w:t>或伤害人员、堵塞沟渠、损坏绿化的，违约金</w:t>
            </w:r>
            <w:r>
              <w:rPr>
                <w:color w:val="auto"/>
                <w:spacing w:val="-29"/>
                <w:highlight w:val="none"/>
              </w:rPr>
              <w:t xml:space="preserve"> </w:t>
            </w:r>
            <w:r>
              <w:rPr>
                <w:color w:val="auto"/>
                <w:spacing w:val="-2"/>
                <w:highlight w:val="none"/>
              </w:rPr>
              <w:t>100</w:t>
            </w:r>
            <w:r>
              <w:rPr>
                <w:color w:val="auto"/>
                <w:spacing w:val="-3"/>
                <w:highlight w:val="none"/>
              </w:rPr>
              <w:t>00</w:t>
            </w:r>
            <w:r>
              <w:rPr>
                <w:color w:val="auto"/>
                <w:spacing w:val="-42"/>
                <w:highlight w:val="none"/>
              </w:rPr>
              <w:t xml:space="preserve"> </w:t>
            </w:r>
            <w:r>
              <w:rPr>
                <w:color w:val="auto"/>
                <w:spacing w:val="-3"/>
                <w:highlight w:val="none"/>
              </w:rPr>
              <w:t>元/次。</w:t>
            </w:r>
          </w:p>
        </w:tc>
      </w:tr>
      <w:tr w14:paraId="1B0DA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B35938D">
            <w:pPr>
              <w:rPr>
                <w:rFonts w:ascii="Arial"/>
                <w:color w:val="auto"/>
                <w:sz w:val="21"/>
                <w:highlight w:val="none"/>
              </w:rPr>
            </w:pPr>
          </w:p>
        </w:tc>
        <w:tc>
          <w:tcPr>
            <w:tcW w:w="839" w:type="dxa"/>
            <w:vAlign w:val="top"/>
          </w:tcPr>
          <w:p w14:paraId="6C85D79F">
            <w:pPr>
              <w:spacing w:line="273" w:lineRule="auto"/>
              <w:rPr>
                <w:rFonts w:ascii="Arial"/>
                <w:color w:val="auto"/>
                <w:sz w:val="21"/>
                <w:highlight w:val="none"/>
              </w:rPr>
            </w:pPr>
          </w:p>
          <w:p w14:paraId="3B666796">
            <w:pPr>
              <w:pStyle w:val="17"/>
              <w:spacing w:before="68"/>
              <w:ind w:left="320"/>
              <w:rPr>
                <w:color w:val="auto"/>
                <w:highlight w:val="none"/>
              </w:rPr>
            </w:pPr>
            <w:r>
              <w:rPr>
                <w:color w:val="auto"/>
                <w:spacing w:val="-3"/>
                <w:highlight w:val="none"/>
              </w:rPr>
              <w:t>20</w:t>
            </w:r>
          </w:p>
        </w:tc>
        <w:tc>
          <w:tcPr>
            <w:tcW w:w="7621" w:type="dxa"/>
            <w:vAlign w:val="top"/>
          </w:tcPr>
          <w:p w14:paraId="68F6BF5D">
            <w:pPr>
              <w:pStyle w:val="17"/>
              <w:spacing w:before="144" w:line="286" w:lineRule="auto"/>
              <w:ind w:left="112" w:right="115" w:hanging="1"/>
              <w:rPr>
                <w:color w:val="auto"/>
                <w:highlight w:val="none"/>
              </w:rPr>
            </w:pPr>
            <w:r>
              <w:rPr>
                <w:color w:val="auto"/>
                <w:spacing w:val="1"/>
                <w:highlight w:val="none"/>
              </w:rPr>
              <w:t>沥青面层施工前，承包人应对所有施工进出口设置岗亭，并配置高压水枪、水槽</w:t>
            </w:r>
            <w:r>
              <w:rPr>
                <w:color w:val="auto"/>
                <w:spacing w:val="-2"/>
                <w:highlight w:val="none"/>
              </w:rPr>
              <w:t>等清洗车轮的设备，如发现未按要求设置的，违约金</w:t>
            </w:r>
            <w:r>
              <w:rPr>
                <w:color w:val="auto"/>
                <w:spacing w:val="-28"/>
                <w:highlight w:val="none"/>
              </w:rPr>
              <w:t xml:space="preserve"> </w:t>
            </w:r>
            <w:r>
              <w:rPr>
                <w:color w:val="auto"/>
                <w:spacing w:val="-2"/>
                <w:highlight w:val="none"/>
              </w:rPr>
              <w:t>50000</w:t>
            </w:r>
            <w:r>
              <w:rPr>
                <w:color w:val="auto"/>
                <w:spacing w:val="-42"/>
                <w:highlight w:val="none"/>
              </w:rPr>
              <w:t xml:space="preserve"> </w:t>
            </w:r>
            <w:r>
              <w:rPr>
                <w:color w:val="auto"/>
                <w:spacing w:val="-2"/>
                <w:highlight w:val="none"/>
              </w:rPr>
              <w:t>元/次。</w:t>
            </w:r>
          </w:p>
        </w:tc>
      </w:tr>
      <w:tr w14:paraId="7AF8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16818494">
            <w:pPr>
              <w:rPr>
                <w:rFonts w:ascii="Arial"/>
                <w:color w:val="auto"/>
                <w:sz w:val="21"/>
                <w:highlight w:val="none"/>
              </w:rPr>
            </w:pPr>
          </w:p>
        </w:tc>
        <w:tc>
          <w:tcPr>
            <w:tcW w:w="839" w:type="dxa"/>
            <w:vAlign w:val="top"/>
          </w:tcPr>
          <w:p w14:paraId="2D92658F">
            <w:pPr>
              <w:spacing w:line="335" w:lineRule="auto"/>
              <w:rPr>
                <w:rFonts w:ascii="Arial"/>
                <w:color w:val="auto"/>
                <w:sz w:val="21"/>
                <w:highlight w:val="none"/>
              </w:rPr>
            </w:pPr>
          </w:p>
          <w:p w14:paraId="1C9AEF6C">
            <w:pPr>
              <w:spacing w:line="336" w:lineRule="auto"/>
              <w:rPr>
                <w:rFonts w:ascii="Arial"/>
                <w:color w:val="auto"/>
                <w:sz w:val="21"/>
                <w:highlight w:val="none"/>
              </w:rPr>
            </w:pPr>
          </w:p>
          <w:p w14:paraId="7A611380">
            <w:pPr>
              <w:pStyle w:val="17"/>
              <w:spacing w:before="68" w:line="241" w:lineRule="auto"/>
              <w:ind w:left="320"/>
              <w:rPr>
                <w:color w:val="auto"/>
                <w:highlight w:val="none"/>
              </w:rPr>
            </w:pPr>
            <w:r>
              <w:rPr>
                <w:color w:val="auto"/>
                <w:spacing w:val="-3"/>
                <w:highlight w:val="none"/>
              </w:rPr>
              <w:t>21</w:t>
            </w:r>
          </w:p>
        </w:tc>
        <w:tc>
          <w:tcPr>
            <w:tcW w:w="7621" w:type="dxa"/>
            <w:vAlign w:val="top"/>
          </w:tcPr>
          <w:p w14:paraId="464456F4">
            <w:pPr>
              <w:pStyle w:val="17"/>
              <w:spacing w:before="142" w:line="320" w:lineRule="auto"/>
              <w:ind w:left="110" w:right="103"/>
              <w:jc w:val="both"/>
              <w:rPr>
                <w:color w:val="auto"/>
                <w:highlight w:val="none"/>
              </w:rPr>
            </w:pPr>
            <w:r>
              <w:rPr>
                <w:color w:val="auto"/>
                <w:spacing w:val="-2"/>
                <w:highlight w:val="none"/>
              </w:rPr>
              <w:t>对于各批次沥青混合料的抽查，若实际配合比(按承包人、监理、第三方监控单位</w:t>
            </w:r>
            <w:r>
              <w:rPr>
                <w:color w:val="auto"/>
                <w:spacing w:val="4"/>
                <w:highlight w:val="none"/>
              </w:rPr>
              <w:t>试验的试验结果的平均值计算)小于按照监理人审查批准的正式生产配合比的偏</w:t>
            </w:r>
            <w:r>
              <w:rPr>
                <w:color w:val="auto"/>
                <w:spacing w:val="-2"/>
                <w:highlight w:val="none"/>
              </w:rPr>
              <w:t>差超过 0.2%，违约金</w:t>
            </w:r>
            <w:r>
              <w:rPr>
                <w:color w:val="auto"/>
                <w:spacing w:val="-30"/>
                <w:highlight w:val="none"/>
              </w:rPr>
              <w:t xml:space="preserve"> </w:t>
            </w:r>
            <w:r>
              <w:rPr>
                <w:color w:val="auto"/>
                <w:spacing w:val="-2"/>
                <w:highlight w:val="none"/>
              </w:rPr>
              <w:t>10</w:t>
            </w:r>
            <w:r>
              <w:rPr>
                <w:color w:val="auto"/>
                <w:spacing w:val="-40"/>
                <w:highlight w:val="none"/>
              </w:rPr>
              <w:t xml:space="preserve"> </w:t>
            </w:r>
            <w:r>
              <w:rPr>
                <w:color w:val="auto"/>
                <w:spacing w:val="-2"/>
                <w:highlight w:val="none"/>
              </w:rPr>
              <w:t>万元/次；施工的正</w:t>
            </w:r>
            <w:r>
              <w:rPr>
                <w:color w:val="auto"/>
                <w:spacing w:val="-3"/>
                <w:highlight w:val="none"/>
              </w:rPr>
              <w:t>式生产配比中集料的通过率超过规范</w:t>
            </w:r>
            <w:r>
              <w:rPr>
                <w:color w:val="auto"/>
                <w:spacing w:val="-5"/>
                <w:highlight w:val="none"/>
              </w:rPr>
              <w:t>允许偏差，违约金</w:t>
            </w:r>
            <w:r>
              <w:rPr>
                <w:color w:val="auto"/>
                <w:spacing w:val="-22"/>
                <w:highlight w:val="none"/>
              </w:rPr>
              <w:t xml:space="preserve"> </w:t>
            </w:r>
            <w:r>
              <w:rPr>
                <w:color w:val="auto"/>
                <w:spacing w:val="-5"/>
                <w:highlight w:val="none"/>
              </w:rPr>
              <w:t>10</w:t>
            </w:r>
            <w:r>
              <w:rPr>
                <w:color w:val="auto"/>
                <w:spacing w:val="-38"/>
                <w:highlight w:val="none"/>
              </w:rPr>
              <w:t xml:space="preserve"> </w:t>
            </w:r>
            <w:r>
              <w:rPr>
                <w:color w:val="auto"/>
                <w:spacing w:val="-5"/>
                <w:highlight w:val="none"/>
              </w:rPr>
              <w:t>万元/次。</w:t>
            </w:r>
          </w:p>
        </w:tc>
      </w:tr>
    </w:tbl>
    <w:p w14:paraId="138D03C1">
      <w:pPr>
        <w:pStyle w:val="3"/>
        <w:rPr>
          <w:color w:val="auto"/>
          <w:highlight w:val="none"/>
        </w:rPr>
      </w:pPr>
    </w:p>
    <w:p w14:paraId="662C8DBC">
      <w:pPr>
        <w:rPr>
          <w:color w:val="auto"/>
          <w:highlight w:val="none"/>
        </w:rPr>
        <w:sectPr>
          <w:headerReference r:id="rId100" w:type="default"/>
          <w:footerReference r:id="rId101" w:type="default"/>
          <w:pgSz w:w="11905" w:h="16840"/>
          <w:pgMar w:top="1182" w:right="0" w:bottom="1171" w:left="0" w:header="849" w:footer="937" w:gutter="0"/>
          <w:pgNumType w:fmt="decimal"/>
          <w:cols w:space="720" w:num="1"/>
        </w:sectPr>
      </w:pPr>
    </w:p>
    <w:p w14:paraId="4C9924F2">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6D299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5ABC0ADD">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2E2A861F">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736119EF">
            <w:pPr>
              <w:pStyle w:val="17"/>
              <w:spacing w:before="226" w:line="220" w:lineRule="auto"/>
              <w:ind w:left="3393"/>
              <w:rPr>
                <w:color w:val="auto"/>
                <w:highlight w:val="none"/>
              </w:rPr>
            </w:pPr>
            <w:r>
              <w:rPr>
                <w:b/>
                <w:bCs/>
                <w:color w:val="auto"/>
                <w:spacing w:val="-4"/>
                <w:highlight w:val="none"/>
              </w:rPr>
              <w:t>违约项目</w:t>
            </w:r>
          </w:p>
        </w:tc>
      </w:tr>
      <w:tr w14:paraId="0E64B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Align w:val="top"/>
          </w:tcPr>
          <w:p w14:paraId="3DD7E779">
            <w:pPr>
              <w:rPr>
                <w:rFonts w:ascii="Arial"/>
                <w:color w:val="auto"/>
                <w:sz w:val="21"/>
                <w:highlight w:val="none"/>
              </w:rPr>
            </w:pPr>
          </w:p>
        </w:tc>
        <w:tc>
          <w:tcPr>
            <w:tcW w:w="839" w:type="dxa"/>
            <w:vAlign w:val="top"/>
          </w:tcPr>
          <w:p w14:paraId="780943E2">
            <w:pPr>
              <w:spacing w:line="268" w:lineRule="auto"/>
              <w:rPr>
                <w:rFonts w:ascii="Arial"/>
                <w:color w:val="auto"/>
                <w:sz w:val="21"/>
                <w:highlight w:val="none"/>
              </w:rPr>
            </w:pPr>
          </w:p>
          <w:p w14:paraId="7FC56B2A">
            <w:pPr>
              <w:pStyle w:val="17"/>
              <w:spacing w:before="68" w:line="241" w:lineRule="auto"/>
              <w:ind w:left="320"/>
              <w:rPr>
                <w:color w:val="auto"/>
                <w:highlight w:val="none"/>
              </w:rPr>
            </w:pPr>
            <w:r>
              <w:rPr>
                <w:color w:val="auto"/>
                <w:spacing w:val="-3"/>
                <w:highlight w:val="none"/>
              </w:rPr>
              <w:t>22</w:t>
            </w:r>
          </w:p>
        </w:tc>
        <w:tc>
          <w:tcPr>
            <w:tcW w:w="7621" w:type="dxa"/>
            <w:vAlign w:val="top"/>
          </w:tcPr>
          <w:p w14:paraId="50F6DABE">
            <w:pPr>
              <w:pStyle w:val="17"/>
              <w:spacing w:before="138" w:line="288" w:lineRule="auto"/>
              <w:ind w:left="116" w:right="107" w:hanging="5"/>
              <w:rPr>
                <w:color w:val="auto"/>
                <w:highlight w:val="none"/>
              </w:rPr>
            </w:pPr>
            <w:r>
              <w:rPr>
                <w:color w:val="auto"/>
                <w:highlight w:val="none"/>
              </w:rPr>
              <w:t>沥青面层集料检查发现集料含泥量超标或</w:t>
            </w:r>
            <w:r>
              <w:rPr>
                <w:color w:val="auto"/>
                <w:spacing w:val="-36"/>
                <w:highlight w:val="none"/>
              </w:rPr>
              <w:t xml:space="preserve"> </w:t>
            </w:r>
            <w:r>
              <w:rPr>
                <w:color w:val="auto"/>
                <w:highlight w:val="none"/>
              </w:rPr>
              <w:t>0-3mm</w:t>
            </w:r>
            <w:r>
              <w:rPr>
                <w:color w:val="auto"/>
                <w:spacing w:val="-41"/>
                <w:highlight w:val="none"/>
              </w:rPr>
              <w:t xml:space="preserve"> </w:t>
            </w:r>
            <w:r>
              <w:rPr>
                <w:color w:val="auto"/>
                <w:highlight w:val="none"/>
              </w:rPr>
              <w:t>细集料</w:t>
            </w:r>
            <w:r>
              <w:rPr>
                <w:color w:val="auto"/>
                <w:spacing w:val="-42"/>
                <w:highlight w:val="none"/>
              </w:rPr>
              <w:t xml:space="preserve"> </w:t>
            </w:r>
            <w:r>
              <w:rPr>
                <w:color w:val="auto"/>
                <w:highlight w:val="none"/>
              </w:rPr>
              <w:t>0.075mm</w:t>
            </w:r>
            <w:r>
              <w:rPr>
                <w:color w:val="auto"/>
                <w:spacing w:val="-41"/>
                <w:highlight w:val="none"/>
              </w:rPr>
              <w:t xml:space="preserve"> </w:t>
            </w:r>
            <w:r>
              <w:rPr>
                <w:color w:val="auto"/>
                <w:highlight w:val="none"/>
              </w:rPr>
              <w:t>通过</w:t>
            </w:r>
            <w:r>
              <w:rPr>
                <w:color w:val="auto"/>
                <w:spacing w:val="-1"/>
                <w:highlight w:val="none"/>
              </w:rPr>
              <w:t>率超标，违</w:t>
            </w:r>
            <w:r>
              <w:rPr>
                <w:color w:val="auto"/>
                <w:spacing w:val="-6"/>
                <w:highlight w:val="none"/>
              </w:rPr>
              <w:t>约金</w:t>
            </w:r>
            <w:r>
              <w:rPr>
                <w:color w:val="auto"/>
                <w:spacing w:val="-37"/>
                <w:highlight w:val="none"/>
              </w:rPr>
              <w:t xml:space="preserve"> </w:t>
            </w:r>
            <w:r>
              <w:rPr>
                <w:color w:val="auto"/>
                <w:spacing w:val="-6"/>
                <w:highlight w:val="none"/>
              </w:rPr>
              <w:t>5000</w:t>
            </w:r>
            <w:r>
              <w:rPr>
                <w:color w:val="auto"/>
                <w:spacing w:val="-41"/>
                <w:highlight w:val="none"/>
              </w:rPr>
              <w:t xml:space="preserve"> </w:t>
            </w:r>
            <w:r>
              <w:rPr>
                <w:color w:val="auto"/>
                <w:spacing w:val="-6"/>
                <w:highlight w:val="none"/>
              </w:rPr>
              <w:t>元/次。</w:t>
            </w:r>
          </w:p>
        </w:tc>
      </w:tr>
      <w:tr w14:paraId="583FE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832" w:type="dxa"/>
            <w:vMerge w:val="restart"/>
            <w:tcBorders>
              <w:bottom w:val="nil"/>
            </w:tcBorders>
            <w:vAlign w:val="top"/>
          </w:tcPr>
          <w:p w14:paraId="17783FFE">
            <w:pPr>
              <w:spacing w:line="246" w:lineRule="auto"/>
              <w:rPr>
                <w:rFonts w:ascii="Arial"/>
                <w:strike/>
                <w:dstrike w:val="0"/>
                <w:color w:val="auto"/>
                <w:sz w:val="21"/>
                <w:highlight w:val="none"/>
              </w:rPr>
            </w:pPr>
          </w:p>
          <w:p w14:paraId="1D76899A">
            <w:pPr>
              <w:spacing w:line="246" w:lineRule="auto"/>
              <w:rPr>
                <w:rFonts w:ascii="Arial"/>
                <w:strike/>
                <w:dstrike w:val="0"/>
                <w:color w:val="auto"/>
                <w:sz w:val="21"/>
                <w:highlight w:val="none"/>
              </w:rPr>
            </w:pPr>
          </w:p>
          <w:p w14:paraId="48EA34CD">
            <w:pPr>
              <w:spacing w:line="246" w:lineRule="auto"/>
              <w:rPr>
                <w:rFonts w:ascii="Arial"/>
                <w:strike/>
                <w:dstrike w:val="0"/>
                <w:color w:val="auto"/>
                <w:sz w:val="21"/>
                <w:highlight w:val="none"/>
              </w:rPr>
            </w:pPr>
          </w:p>
          <w:p w14:paraId="1017ED27">
            <w:pPr>
              <w:spacing w:line="246" w:lineRule="auto"/>
              <w:rPr>
                <w:rFonts w:ascii="Arial"/>
                <w:strike/>
                <w:dstrike w:val="0"/>
                <w:color w:val="auto"/>
                <w:sz w:val="21"/>
                <w:highlight w:val="none"/>
              </w:rPr>
            </w:pPr>
          </w:p>
          <w:p w14:paraId="2DEE555B">
            <w:pPr>
              <w:spacing w:line="246" w:lineRule="auto"/>
              <w:rPr>
                <w:rFonts w:ascii="Arial"/>
                <w:strike/>
                <w:dstrike w:val="0"/>
                <w:color w:val="auto"/>
                <w:sz w:val="21"/>
                <w:highlight w:val="none"/>
              </w:rPr>
            </w:pPr>
          </w:p>
          <w:p w14:paraId="6857A762">
            <w:pPr>
              <w:spacing w:line="246" w:lineRule="auto"/>
              <w:rPr>
                <w:rFonts w:ascii="Arial"/>
                <w:strike/>
                <w:dstrike w:val="0"/>
                <w:color w:val="auto"/>
                <w:sz w:val="21"/>
                <w:highlight w:val="none"/>
              </w:rPr>
            </w:pPr>
          </w:p>
          <w:p w14:paraId="3EF59B14">
            <w:pPr>
              <w:spacing w:line="246" w:lineRule="auto"/>
              <w:rPr>
                <w:rFonts w:ascii="Arial"/>
                <w:strike/>
                <w:dstrike w:val="0"/>
                <w:color w:val="auto"/>
                <w:sz w:val="21"/>
                <w:highlight w:val="none"/>
              </w:rPr>
            </w:pPr>
          </w:p>
          <w:p w14:paraId="04805EE1">
            <w:pPr>
              <w:spacing w:line="246" w:lineRule="auto"/>
              <w:rPr>
                <w:rFonts w:ascii="Arial"/>
                <w:strike/>
                <w:dstrike w:val="0"/>
                <w:color w:val="auto"/>
                <w:sz w:val="21"/>
                <w:highlight w:val="none"/>
              </w:rPr>
            </w:pPr>
          </w:p>
          <w:p w14:paraId="760E7069">
            <w:pPr>
              <w:spacing w:line="246" w:lineRule="auto"/>
              <w:rPr>
                <w:rFonts w:ascii="Arial"/>
                <w:strike/>
                <w:dstrike w:val="0"/>
                <w:color w:val="auto"/>
                <w:sz w:val="21"/>
                <w:highlight w:val="none"/>
              </w:rPr>
            </w:pPr>
          </w:p>
          <w:p w14:paraId="3EC4551B">
            <w:pPr>
              <w:spacing w:line="246" w:lineRule="auto"/>
              <w:rPr>
                <w:rFonts w:ascii="Arial"/>
                <w:strike/>
                <w:dstrike w:val="0"/>
                <w:color w:val="auto"/>
                <w:sz w:val="21"/>
                <w:highlight w:val="none"/>
              </w:rPr>
            </w:pPr>
          </w:p>
          <w:p w14:paraId="6448BC95">
            <w:pPr>
              <w:spacing w:line="246" w:lineRule="auto"/>
              <w:rPr>
                <w:rFonts w:ascii="Arial"/>
                <w:strike/>
                <w:dstrike w:val="0"/>
                <w:color w:val="auto"/>
                <w:sz w:val="21"/>
                <w:highlight w:val="none"/>
              </w:rPr>
            </w:pPr>
          </w:p>
          <w:p w14:paraId="4EABFD3E">
            <w:pPr>
              <w:spacing w:line="246" w:lineRule="auto"/>
              <w:rPr>
                <w:rFonts w:ascii="Arial"/>
                <w:strike/>
                <w:dstrike w:val="0"/>
                <w:color w:val="auto"/>
                <w:sz w:val="21"/>
                <w:highlight w:val="none"/>
              </w:rPr>
            </w:pPr>
          </w:p>
          <w:p w14:paraId="6D782481">
            <w:pPr>
              <w:spacing w:line="246" w:lineRule="auto"/>
              <w:rPr>
                <w:rFonts w:ascii="Arial"/>
                <w:strike/>
                <w:dstrike w:val="0"/>
                <w:color w:val="auto"/>
                <w:sz w:val="21"/>
                <w:highlight w:val="none"/>
              </w:rPr>
            </w:pPr>
          </w:p>
          <w:p w14:paraId="03F980F4">
            <w:pPr>
              <w:spacing w:line="246" w:lineRule="auto"/>
              <w:rPr>
                <w:rFonts w:ascii="Arial"/>
                <w:strike/>
                <w:dstrike w:val="0"/>
                <w:color w:val="auto"/>
                <w:sz w:val="21"/>
                <w:highlight w:val="none"/>
              </w:rPr>
            </w:pPr>
          </w:p>
          <w:p w14:paraId="7179D6CC">
            <w:pPr>
              <w:spacing w:line="246" w:lineRule="auto"/>
              <w:rPr>
                <w:rFonts w:ascii="Arial"/>
                <w:strike/>
                <w:dstrike w:val="0"/>
                <w:color w:val="auto"/>
                <w:sz w:val="21"/>
                <w:highlight w:val="none"/>
              </w:rPr>
            </w:pPr>
          </w:p>
          <w:p w14:paraId="20F11D61">
            <w:pPr>
              <w:spacing w:line="246" w:lineRule="auto"/>
              <w:rPr>
                <w:rFonts w:ascii="Arial"/>
                <w:strike/>
                <w:dstrike w:val="0"/>
                <w:color w:val="auto"/>
                <w:sz w:val="21"/>
                <w:highlight w:val="none"/>
              </w:rPr>
            </w:pPr>
          </w:p>
          <w:p w14:paraId="68439F5A">
            <w:pPr>
              <w:spacing w:line="246" w:lineRule="auto"/>
              <w:rPr>
                <w:rFonts w:ascii="Arial"/>
                <w:strike/>
                <w:dstrike w:val="0"/>
                <w:color w:val="auto"/>
                <w:sz w:val="21"/>
                <w:highlight w:val="none"/>
              </w:rPr>
            </w:pPr>
          </w:p>
          <w:p w14:paraId="3F765BEA">
            <w:pPr>
              <w:spacing w:line="246" w:lineRule="auto"/>
              <w:rPr>
                <w:rFonts w:ascii="Arial"/>
                <w:strike/>
                <w:dstrike w:val="0"/>
                <w:color w:val="auto"/>
                <w:sz w:val="21"/>
                <w:highlight w:val="none"/>
              </w:rPr>
            </w:pPr>
          </w:p>
          <w:p w14:paraId="385EC640">
            <w:pPr>
              <w:spacing w:line="246" w:lineRule="auto"/>
              <w:rPr>
                <w:rFonts w:ascii="Arial"/>
                <w:strike/>
                <w:dstrike w:val="0"/>
                <w:color w:val="auto"/>
                <w:sz w:val="21"/>
                <w:highlight w:val="none"/>
              </w:rPr>
            </w:pPr>
          </w:p>
          <w:p w14:paraId="73310301">
            <w:pPr>
              <w:spacing w:line="246" w:lineRule="auto"/>
              <w:rPr>
                <w:rFonts w:ascii="Arial"/>
                <w:strike/>
                <w:dstrike w:val="0"/>
                <w:color w:val="auto"/>
                <w:sz w:val="21"/>
                <w:highlight w:val="none"/>
              </w:rPr>
            </w:pPr>
          </w:p>
          <w:p w14:paraId="4C98E522">
            <w:pPr>
              <w:spacing w:line="247" w:lineRule="auto"/>
              <w:rPr>
                <w:rFonts w:ascii="Arial"/>
                <w:strike/>
                <w:dstrike w:val="0"/>
                <w:color w:val="auto"/>
                <w:sz w:val="21"/>
                <w:highlight w:val="none"/>
              </w:rPr>
            </w:pPr>
          </w:p>
          <w:p w14:paraId="7F2908BE">
            <w:pPr>
              <w:spacing w:line="247" w:lineRule="auto"/>
              <w:rPr>
                <w:rFonts w:ascii="Arial"/>
                <w:strike/>
                <w:dstrike w:val="0"/>
                <w:color w:val="auto"/>
                <w:sz w:val="21"/>
                <w:highlight w:val="none"/>
              </w:rPr>
            </w:pPr>
          </w:p>
          <w:p w14:paraId="45FCC90D">
            <w:pPr>
              <w:spacing w:line="247" w:lineRule="auto"/>
              <w:rPr>
                <w:rFonts w:ascii="Arial"/>
                <w:strike/>
                <w:dstrike w:val="0"/>
                <w:color w:val="auto"/>
                <w:sz w:val="21"/>
                <w:highlight w:val="none"/>
              </w:rPr>
            </w:pPr>
          </w:p>
          <w:p w14:paraId="7144A7B6">
            <w:pPr>
              <w:pStyle w:val="10"/>
              <w:keepNext w:val="0"/>
              <w:keepLines w:val="0"/>
              <w:widowControl w:val="0"/>
              <w:suppressLineNumbers w:val="0"/>
              <w:spacing w:before="65" w:beforeAutospacing="0" w:after="0" w:afterAutospacing="0"/>
              <w:ind w:right="0"/>
              <w:jc w:val="center"/>
              <w:rPr>
                <w:strike/>
                <w:dstrike w:val="0"/>
                <w:color w:val="auto"/>
                <w:highlight w:val="none"/>
              </w:rPr>
            </w:pPr>
            <w:r>
              <w:rPr>
                <w:rFonts w:hint="eastAsia" w:eastAsia="宋体" w:cs="宋体"/>
                <w:strike/>
                <w:dstrike w:val="0"/>
                <w:color w:val="auto"/>
                <w:spacing w:val="3"/>
                <w:kern w:val="2"/>
                <w:position w:val="15"/>
                <w:sz w:val="21"/>
                <w:szCs w:val="21"/>
                <w:highlight w:val="none"/>
                <w:lang w:val="en-US" w:eastAsia="zh-CN" w:bidi="ar"/>
              </w:rPr>
              <w:t>隧道</w:t>
            </w:r>
            <w:r>
              <w:rPr>
                <w:rFonts w:hint="eastAsia" w:ascii="宋体" w:hAnsi="宋体" w:eastAsia="宋体" w:cs="宋体"/>
                <w:strike/>
                <w:dstrike w:val="0"/>
                <w:color w:val="auto"/>
                <w:spacing w:val="3"/>
                <w:kern w:val="2"/>
                <w:position w:val="15"/>
                <w:sz w:val="21"/>
                <w:szCs w:val="21"/>
                <w:highlight w:val="none"/>
                <w:lang w:val="en-US" w:eastAsia="zh-CN" w:bidi="ar"/>
              </w:rPr>
              <w:t>工程</w:t>
            </w:r>
          </w:p>
        </w:tc>
        <w:tc>
          <w:tcPr>
            <w:tcW w:w="839" w:type="dxa"/>
            <w:vAlign w:val="center"/>
          </w:tcPr>
          <w:p w14:paraId="544C473D">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1</w:t>
            </w:r>
          </w:p>
        </w:tc>
        <w:tc>
          <w:tcPr>
            <w:tcW w:w="7621" w:type="dxa"/>
            <w:vAlign w:val="center"/>
          </w:tcPr>
          <w:p w14:paraId="2D9FA77F">
            <w:pPr>
              <w:pStyle w:val="17"/>
              <w:spacing w:before="142" w:line="320" w:lineRule="auto"/>
              <w:ind w:left="110" w:right="103"/>
              <w:jc w:val="both"/>
              <w:rPr>
                <w:strike/>
                <w:dstrike w:val="0"/>
                <w:color w:val="auto"/>
                <w:highlight w:val="none"/>
              </w:rPr>
            </w:pPr>
            <w:r>
              <w:rPr>
                <w:rFonts w:hint="eastAsia"/>
                <w:strike/>
                <w:dstrike w:val="0"/>
                <w:color w:val="auto"/>
                <w:spacing w:val="-2"/>
                <w:highlight w:val="none"/>
                <w:lang w:val="en-US" w:eastAsia="zh-CN"/>
              </w:rPr>
              <w:t>隧道工程应严格控制超欠挖。超挖时必须用同等级强度的砼回填密实，不得用土石或洞渣回填；严禁欠挖，不许有超限突石，欠挖部位必须按设计轮廓线进行清理，违者违约金 10000 元/次。</w:t>
            </w:r>
          </w:p>
        </w:tc>
      </w:tr>
      <w:tr w14:paraId="2BA39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EBAB473">
            <w:pPr>
              <w:rPr>
                <w:rFonts w:ascii="Arial"/>
                <w:strike/>
                <w:dstrike w:val="0"/>
                <w:color w:val="auto"/>
                <w:sz w:val="21"/>
                <w:highlight w:val="none"/>
              </w:rPr>
            </w:pPr>
          </w:p>
        </w:tc>
        <w:tc>
          <w:tcPr>
            <w:tcW w:w="839" w:type="dxa"/>
            <w:vAlign w:val="top"/>
          </w:tcPr>
          <w:p w14:paraId="3D3B2415">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2</w:t>
            </w:r>
          </w:p>
        </w:tc>
        <w:tc>
          <w:tcPr>
            <w:tcW w:w="7621" w:type="dxa"/>
            <w:vAlign w:val="top"/>
          </w:tcPr>
          <w:p w14:paraId="4CC92E64">
            <w:pPr>
              <w:pStyle w:val="17"/>
              <w:spacing w:before="138" w:line="288" w:lineRule="auto"/>
              <w:ind w:left="116" w:right="107" w:hanging="5"/>
              <w:rPr>
                <w:strike/>
                <w:dstrike w:val="0"/>
                <w:color w:val="auto"/>
                <w:highlight w:val="none"/>
              </w:rPr>
            </w:pPr>
            <w:r>
              <w:rPr>
                <w:rFonts w:hint="eastAsia"/>
                <w:strike/>
                <w:dstrike w:val="0"/>
                <w:color w:val="auto"/>
                <w:highlight w:val="none"/>
                <w:lang w:val="en-US" w:eastAsia="zh-CN"/>
              </w:rPr>
              <w:t>隧道仰拱初支施工前，应将围岩表面松散虚渣清理干净，违者违约金 5000 元/次。</w:t>
            </w:r>
          </w:p>
        </w:tc>
      </w:tr>
      <w:tr w14:paraId="59F57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32" w:type="dxa"/>
            <w:vMerge w:val="continue"/>
            <w:tcBorders>
              <w:top w:val="nil"/>
              <w:bottom w:val="nil"/>
            </w:tcBorders>
            <w:vAlign w:val="top"/>
          </w:tcPr>
          <w:p w14:paraId="1DBCEB5B">
            <w:pPr>
              <w:rPr>
                <w:rFonts w:ascii="Arial"/>
                <w:strike/>
                <w:dstrike w:val="0"/>
                <w:color w:val="auto"/>
                <w:sz w:val="21"/>
                <w:highlight w:val="none"/>
              </w:rPr>
            </w:pPr>
          </w:p>
        </w:tc>
        <w:tc>
          <w:tcPr>
            <w:tcW w:w="839" w:type="dxa"/>
            <w:vAlign w:val="top"/>
          </w:tcPr>
          <w:p w14:paraId="5BB1F1CD">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3</w:t>
            </w:r>
          </w:p>
        </w:tc>
        <w:tc>
          <w:tcPr>
            <w:tcW w:w="7621" w:type="dxa"/>
            <w:vAlign w:val="top"/>
          </w:tcPr>
          <w:p w14:paraId="40E7C201">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隧道工程出现以下情况,违约金 1,000 元/处： </w:t>
            </w:r>
          </w:p>
          <w:p w14:paraId="109A74A7">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rFonts w:hint="eastAsia"/>
                <w:strike/>
                <w:dstrike w:val="0"/>
                <w:color w:val="auto"/>
                <w:highlight w:val="none"/>
                <w:lang w:val="en-US" w:eastAsia="zh-CN"/>
              </w:rPr>
            </w:pPr>
            <w:r>
              <w:rPr>
                <w:rFonts w:hint="eastAsia"/>
                <w:strike/>
                <w:dstrike w:val="0"/>
                <w:color w:val="auto"/>
                <w:highlight w:val="none"/>
                <w:lang w:val="en-US" w:eastAsia="zh-CN"/>
              </w:rPr>
              <w:t>（1）防水板破损穿孔、搭接漏焊、脱焊；</w:t>
            </w:r>
          </w:p>
          <w:p w14:paraId="5DC83F35">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（2）锚垫板未按要求施工； </w:t>
            </w:r>
          </w:p>
          <w:p w14:paraId="2EB2C6DB">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（3）未按批复工法要求进行光面爆破； </w:t>
            </w:r>
          </w:p>
          <w:p w14:paraId="6915CEDE">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（4）洞内装修工程未达到设计要求，线形不平顺； </w:t>
            </w:r>
          </w:p>
          <w:p w14:paraId="2E060417">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（5）二衬施工缝接合处理不好，二衬间错台超过 1cm； </w:t>
            </w:r>
          </w:p>
          <w:p w14:paraId="32EB47D8">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（6）通风管破损未处理，照明、防尘措施设置不符合要求； </w:t>
            </w:r>
          </w:p>
          <w:p w14:paraId="22867BB8">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（7）钢架、隔栅钢架间距，二衬钢筋及层间间距不满足设计及规范要求。</w:t>
            </w:r>
          </w:p>
        </w:tc>
      </w:tr>
      <w:tr w14:paraId="585CB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32" w:type="dxa"/>
            <w:vMerge w:val="continue"/>
            <w:tcBorders>
              <w:top w:val="nil"/>
              <w:bottom w:val="nil"/>
            </w:tcBorders>
            <w:vAlign w:val="top"/>
          </w:tcPr>
          <w:p w14:paraId="3B743095">
            <w:pPr>
              <w:rPr>
                <w:rFonts w:ascii="Arial"/>
                <w:strike/>
                <w:dstrike w:val="0"/>
                <w:color w:val="auto"/>
                <w:sz w:val="21"/>
                <w:highlight w:val="none"/>
              </w:rPr>
            </w:pPr>
          </w:p>
        </w:tc>
        <w:tc>
          <w:tcPr>
            <w:tcW w:w="839" w:type="dxa"/>
            <w:vAlign w:val="top"/>
          </w:tcPr>
          <w:p w14:paraId="5EB697EF">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4</w:t>
            </w:r>
          </w:p>
        </w:tc>
        <w:tc>
          <w:tcPr>
            <w:tcW w:w="7621" w:type="dxa"/>
            <w:vAlign w:val="top"/>
          </w:tcPr>
          <w:p w14:paraId="1A997558">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隧道施工中承包人应加强监控量测，达到指导施工、确保安全、为确定支护参数 </w:t>
            </w:r>
          </w:p>
          <w:p w14:paraId="2C4D8612">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服务。 </w:t>
            </w:r>
          </w:p>
          <w:p w14:paraId="51F2C5B1">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 xml:space="preserve">（1）监控量测发现问题应采取紧急措施避免事态发展，若监控量测失职造成不良后果由进行监控的单位自负，并处以 10000 元/次的违约金。 </w:t>
            </w:r>
          </w:p>
          <w:p w14:paraId="35CA65ED">
            <w:pPr>
              <w:pStyle w:val="17"/>
              <w:keepNext w:val="0"/>
              <w:keepLines w:val="0"/>
              <w:pageBreakBefore w:val="0"/>
              <w:widowControl/>
              <w:kinsoku w:val="0"/>
              <w:wordWrap/>
              <w:overflowPunct/>
              <w:topLinePunct w:val="0"/>
              <w:autoSpaceDE w:val="0"/>
              <w:autoSpaceDN w:val="0"/>
              <w:bidi w:val="0"/>
              <w:adjustRightInd w:val="0"/>
              <w:snapToGrid w:val="0"/>
              <w:spacing w:before="138" w:line="240" w:lineRule="auto"/>
              <w:ind w:left="119" w:right="108" w:hanging="6"/>
              <w:textAlignment w:val="baseline"/>
              <w:rPr>
                <w:strike/>
                <w:dstrike w:val="0"/>
                <w:color w:val="auto"/>
                <w:highlight w:val="none"/>
              </w:rPr>
            </w:pPr>
            <w:r>
              <w:rPr>
                <w:rFonts w:hint="eastAsia"/>
                <w:strike/>
                <w:dstrike w:val="0"/>
                <w:color w:val="auto"/>
                <w:highlight w:val="none"/>
                <w:lang w:val="en-US" w:eastAsia="zh-CN"/>
              </w:rPr>
              <w:t>（2）监控量测断面布设间距及量测布点、量测频率不满足方案或规范要求，量测数据处理不及时，违约金 2000 元/次。</w:t>
            </w:r>
          </w:p>
        </w:tc>
      </w:tr>
      <w:tr w14:paraId="40F2C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832" w:type="dxa"/>
            <w:vMerge w:val="continue"/>
            <w:tcBorders>
              <w:top w:val="nil"/>
              <w:bottom w:val="nil"/>
            </w:tcBorders>
            <w:vAlign w:val="top"/>
          </w:tcPr>
          <w:p w14:paraId="7194AE02">
            <w:pPr>
              <w:rPr>
                <w:rFonts w:ascii="Arial"/>
                <w:strike/>
                <w:dstrike w:val="0"/>
                <w:color w:val="auto"/>
                <w:sz w:val="21"/>
                <w:highlight w:val="none"/>
              </w:rPr>
            </w:pPr>
          </w:p>
        </w:tc>
        <w:tc>
          <w:tcPr>
            <w:tcW w:w="839" w:type="dxa"/>
            <w:vAlign w:val="top"/>
          </w:tcPr>
          <w:p w14:paraId="195BA107">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5</w:t>
            </w:r>
          </w:p>
        </w:tc>
        <w:tc>
          <w:tcPr>
            <w:tcW w:w="7621" w:type="dxa"/>
            <w:vAlign w:val="top"/>
          </w:tcPr>
          <w:p w14:paraId="03FF216A">
            <w:pPr>
              <w:pStyle w:val="17"/>
              <w:spacing w:before="138" w:line="288" w:lineRule="auto"/>
              <w:ind w:left="116" w:right="107" w:hanging="5"/>
              <w:rPr>
                <w:strike/>
                <w:dstrike w:val="0"/>
                <w:color w:val="auto"/>
                <w:highlight w:val="none"/>
              </w:rPr>
            </w:pPr>
            <w:r>
              <w:rPr>
                <w:rFonts w:hint="eastAsia"/>
                <w:strike/>
                <w:dstrike w:val="0"/>
                <w:color w:val="auto"/>
                <w:highlight w:val="none"/>
                <w:lang w:val="en-US" w:eastAsia="zh-CN"/>
              </w:rPr>
              <w:t>隧道开挖应采用“短进尺、少扰动、早喷锚、紧封闭”的原则，开挖及支护严格按技术规范规定进行控制，避免造成坍塌。若延误支护或初期支护超过规定的距离，或掌子面与二衬距离超过规范要求，由此带来的后果由承包人自负，并处以10000 元的违约金。</w:t>
            </w:r>
          </w:p>
        </w:tc>
      </w:tr>
      <w:tr w14:paraId="0E1E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1569838F">
            <w:pPr>
              <w:rPr>
                <w:rFonts w:ascii="Arial"/>
                <w:strike/>
                <w:dstrike w:val="0"/>
                <w:color w:val="auto"/>
                <w:sz w:val="21"/>
                <w:highlight w:val="none"/>
              </w:rPr>
            </w:pPr>
          </w:p>
        </w:tc>
        <w:tc>
          <w:tcPr>
            <w:tcW w:w="839" w:type="dxa"/>
            <w:vAlign w:val="top"/>
          </w:tcPr>
          <w:p w14:paraId="1BBB35CB">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6</w:t>
            </w:r>
          </w:p>
        </w:tc>
        <w:tc>
          <w:tcPr>
            <w:tcW w:w="7621" w:type="dxa"/>
            <w:vAlign w:val="top"/>
          </w:tcPr>
          <w:p w14:paraId="78DD1799">
            <w:pPr>
              <w:pStyle w:val="17"/>
              <w:spacing w:before="138" w:line="240" w:lineRule="auto"/>
              <w:ind w:left="116" w:right="107" w:hanging="5"/>
              <w:rPr>
                <w:strike/>
                <w:dstrike w:val="0"/>
                <w:color w:val="auto"/>
                <w:highlight w:val="none"/>
              </w:rPr>
            </w:pPr>
            <w:r>
              <w:rPr>
                <w:rFonts w:hint="eastAsia"/>
                <w:strike/>
                <w:dstrike w:val="0"/>
                <w:color w:val="auto"/>
                <w:highlight w:val="none"/>
                <w:lang w:val="en-US" w:eastAsia="zh-CN"/>
              </w:rPr>
              <w:t>隧道衬砌厚度统计评定不合格或单点出现小于 1/2 设计值时，违约金 10000 元/处，并要求处理合格。</w:t>
            </w:r>
          </w:p>
        </w:tc>
      </w:tr>
      <w:tr w14:paraId="1F0AD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37A7FE6">
            <w:pPr>
              <w:rPr>
                <w:rFonts w:ascii="Arial"/>
                <w:strike/>
                <w:dstrike w:val="0"/>
                <w:color w:val="auto"/>
                <w:sz w:val="21"/>
                <w:highlight w:val="none"/>
              </w:rPr>
            </w:pPr>
          </w:p>
        </w:tc>
        <w:tc>
          <w:tcPr>
            <w:tcW w:w="839" w:type="dxa"/>
            <w:vAlign w:val="top"/>
          </w:tcPr>
          <w:p w14:paraId="35239962">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7</w:t>
            </w:r>
          </w:p>
        </w:tc>
        <w:tc>
          <w:tcPr>
            <w:tcW w:w="7621" w:type="dxa"/>
            <w:vAlign w:val="top"/>
          </w:tcPr>
          <w:p w14:paraId="43F8B321">
            <w:pPr>
              <w:pStyle w:val="17"/>
              <w:spacing w:before="138" w:line="240" w:lineRule="auto"/>
              <w:ind w:left="116" w:right="107" w:hanging="5"/>
              <w:rPr>
                <w:strike/>
                <w:dstrike w:val="0"/>
                <w:color w:val="auto"/>
                <w:highlight w:val="none"/>
              </w:rPr>
            </w:pPr>
            <w:r>
              <w:rPr>
                <w:rFonts w:hint="eastAsia"/>
                <w:strike/>
                <w:dstrike w:val="0"/>
                <w:color w:val="auto"/>
                <w:highlight w:val="none"/>
                <w:lang w:val="en-US" w:eastAsia="zh-CN"/>
              </w:rPr>
              <w:t>衬砌混凝土强度应满足设计及《公路工程质量检验评定标准》要求，否则，除要求及时采取措施处理外，并处以承包人 10000 元的违约金。</w:t>
            </w:r>
          </w:p>
        </w:tc>
      </w:tr>
      <w:tr w14:paraId="35FF1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832" w:type="dxa"/>
            <w:vMerge w:val="continue"/>
            <w:tcBorders>
              <w:top w:val="nil"/>
            </w:tcBorders>
            <w:vAlign w:val="top"/>
          </w:tcPr>
          <w:p w14:paraId="6486074A">
            <w:pPr>
              <w:rPr>
                <w:rFonts w:ascii="Arial"/>
                <w:strike/>
                <w:dstrike w:val="0"/>
                <w:color w:val="auto"/>
                <w:sz w:val="21"/>
                <w:highlight w:val="none"/>
              </w:rPr>
            </w:pPr>
          </w:p>
        </w:tc>
        <w:tc>
          <w:tcPr>
            <w:tcW w:w="839" w:type="dxa"/>
            <w:vAlign w:val="top"/>
          </w:tcPr>
          <w:p w14:paraId="1FE2246B">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r>
              <w:rPr>
                <w:rFonts w:hint="eastAsia" w:ascii="宋体" w:hAnsi="宋体" w:eastAsia="宋体" w:cs="宋体"/>
                <w:strike/>
                <w:dstrike w:val="0"/>
                <w:color w:val="auto"/>
                <w:kern w:val="2"/>
                <w:sz w:val="21"/>
                <w:szCs w:val="21"/>
                <w:highlight w:val="none"/>
                <w:lang w:val="en-US" w:eastAsia="zh-CN" w:bidi="ar"/>
              </w:rPr>
              <w:t>8</w:t>
            </w:r>
          </w:p>
        </w:tc>
        <w:tc>
          <w:tcPr>
            <w:tcW w:w="7621" w:type="dxa"/>
            <w:vAlign w:val="top"/>
          </w:tcPr>
          <w:p w14:paraId="4442C529">
            <w:pPr>
              <w:pStyle w:val="17"/>
              <w:spacing w:before="138" w:line="240" w:lineRule="auto"/>
              <w:ind w:left="116" w:right="107" w:hanging="5"/>
              <w:rPr>
                <w:strike/>
                <w:dstrike w:val="0"/>
                <w:color w:val="auto"/>
                <w:highlight w:val="none"/>
              </w:rPr>
            </w:pPr>
            <w:r>
              <w:rPr>
                <w:rFonts w:hint="eastAsia"/>
                <w:strike/>
                <w:dstrike w:val="0"/>
                <w:color w:val="auto"/>
                <w:highlight w:val="none"/>
                <w:lang w:val="en-US" w:eastAsia="zh-CN"/>
              </w:rPr>
              <w:t xml:space="preserve">不按照施工技术规范、施工图纸进行施工，偷工减料、粗制滥造的，一经查实，按违约处理，并需按要求处理至符合设计和规范要求为止。 </w:t>
            </w:r>
          </w:p>
          <w:p w14:paraId="40662DA3">
            <w:pPr>
              <w:pStyle w:val="17"/>
              <w:spacing w:before="138" w:line="240" w:lineRule="auto"/>
              <w:ind w:left="116" w:right="107" w:hanging="5"/>
              <w:rPr>
                <w:strike/>
                <w:dstrike w:val="0"/>
                <w:color w:val="auto"/>
                <w:highlight w:val="none"/>
              </w:rPr>
            </w:pPr>
            <w:r>
              <w:rPr>
                <w:rFonts w:hint="eastAsia"/>
                <w:strike/>
                <w:dstrike w:val="0"/>
                <w:color w:val="auto"/>
                <w:highlight w:val="none"/>
                <w:lang w:val="en-US" w:eastAsia="zh-CN"/>
              </w:rPr>
              <w:t xml:space="preserve">（1）锚杆少打或锚杆长度不足或中空锚杆未按设计注浆或药卷锚杆未按设计要求安装，违约金 2000 元/点； </w:t>
            </w:r>
          </w:p>
          <w:p w14:paraId="2DA5194E">
            <w:pPr>
              <w:pStyle w:val="17"/>
              <w:spacing w:before="138" w:line="240" w:lineRule="auto"/>
              <w:ind w:left="116" w:right="107" w:hanging="5"/>
              <w:rPr>
                <w:strike/>
                <w:dstrike w:val="0"/>
                <w:color w:val="auto"/>
                <w:highlight w:val="none"/>
              </w:rPr>
            </w:pPr>
            <w:r>
              <w:rPr>
                <w:rFonts w:hint="eastAsia"/>
                <w:strike/>
                <w:dstrike w:val="0"/>
                <w:color w:val="auto"/>
                <w:highlight w:val="none"/>
                <w:lang w:val="en-US" w:eastAsia="zh-CN"/>
              </w:rPr>
              <w:t>（2）格栅钢架或钢架每少安一榀，违约金 10000 元/榀；</w:t>
            </w:r>
          </w:p>
        </w:tc>
      </w:tr>
    </w:tbl>
    <w:p w14:paraId="29E127DC">
      <w:pPr>
        <w:pStyle w:val="3"/>
        <w:rPr>
          <w:color w:val="auto"/>
          <w:highlight w:val="none"/>
        </w:rPr>
      </w:pPr>
    </w:p>
    <w:p w14:paraId="69C934A8">
      <w:pPr>
        <w:rPr>
          <w:color w:val="auto"/>
          <w:highlight w:val="none"/>
        </w:rPr>
        <w:sectPr>
          <w:headerReference r:id="rId102" w:type="default"/>
          <w:footerReference r:id="rId103" w:type="default"/>
          <w:pgSz w:w="11905" w:h="16840"/>
          <w:pgMar w:top="1182" w:right="0" w:bottom="1171" w:left="0" w:header="849" w:footer="937" w:gutter="0"/>
          <w:pgNumType w:fmt="decimal"/>
          <w:cols w:space="720" w:num="1"/>
        </w:sectPr>
      </w:pPr>
    </w:p>
    <w:p w14:paraId="5B1A6245">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18B2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832" w:type="dxa"/>
            <w:vAlign w:val="top"/>
          </w:tcPr>
          <w:p w14:paraId="7BFE674E">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0F851894">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2AB79817">
            <w:pPr>
              <w:pStyle w:val="17"/>
              <w:spacing w:before="226" w:line="220" w:lineRule="auto"/>
              <w:ind w:left="3393"/>
              <w:rPr>
                <w:color w:val="auto"/>
                <w:highlight w:val="none"/>
              </w:rPr>
            </w:pPr>
            <w:r>
              <w:rPr>
                <w:b/>
                <w:bCs/>
                <w:color w:val="auto"/>
                <w:spacing w:val="-4"/>
                <w:highlight w:val="none"/>
              </w:rPr>
              <w:t>违约项目</w:t>
            </w:r>
          </w:p>
        </w:tc>
      </w:tr>
      <w:tr w14:paraId="1B158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top w:val="nil"/>
            </w:tcBorders>
            <w:vAlign w:val="top"/>
          </w:tcPr>
          <w:p w14:paraId="62D4DF67">
            <w:pPr>
              <w:rPr>
                <w:rFonts w:ascii="Arial"/>
                <w:color w:val="auto"/>
                <w:sz w:val="21"/>
                <w:highlight w:val="none"/>
              </w:rPr>
            </w:pPr>
          </w:p>
        </w:tc>
        <w:tc>
          <w:tcPr>
            <w:tcW w:w="839" w:type="dxa"/>
            <w:vAlign w:val="top"/>
          </w:tcPr>
          <w:p w14:paraId="5B359C13">
            <w:pPr>
              <w:pStyle w:val="10"/>
              <w:keepNext w:val="0"/>
              <w:keepLines w:val="0"/>
              <w:widowControl w:val="0"/>
              <w:suppressLineNumbers w:val="0"/>
              <w:spacing w:before="65" w:beforeAutospacing="0" w:after="0" w:afterAutospacing="0"/>
              <w:ind w:left="337" w:leftChars="0" w:right="0" w:rightChars="0"/>
              <w:jc w:val="both"/>
              <w:rPr>
                <w:strike/>
                <w:dstrike w:val="0"/>
                <w:color w:val="auto"/>
                <w:highlight w:val="none"/>
              </w:rPr>
            </w:pPr>
          </w:p>
        </w:tc>
        <w:tc>
          <w:tcPr>
            <w:tcW w:w="7621" w:type="dxa"/>
            <w:vAlign w:val="top"/>
          </w:tcPr>
          <w:p w14:paraId="3AEA58A1">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（3）小导管、钢插管、管棚每少打一根（或长度不足），违约金 5000 元/根；</w:t>
            </w:r>
          </w:p>
          <w:p w14:paraId="69431A64">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 xml:space="preserve">（4）二衬钢架数量不足，违约金 10000 元/处； </w:t>
            </w:r>
          </w:p>
          <w:p w14:paraId="61253684">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其他偷工减料现象可根据具体情况处以 500 元-2000 元违约金。</w:t>
            </w:r>
          </w:p>
        </w:tc>
      </w:tr>
      <w:tr w14:paraId="1D6F5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2749C9A7">
            <w:pPr>
              <w:rPr>
                <w:rFonts w:ascii="Arial"/>
                <w:color w:val="auto"/>
                <w:sz w:val="21"/>
                <w:highlight w:val="none"/>
              </w:rPr>
            </w:pPr>
          </w:p>
        </w:tc>
        <w:tc>
          <w:tcPr>
            <w:tcW w:w="839" w:type="dxa"/>
            <w:vAlign w:val="top"/>
          </w:tcPr>
          <w:p w14:paraId="1CE254DA">
            <w:pPr>
              <w:pStyle w:val="10"/>
              <w:keepNext w:val="0"/>
              <w:keepLines w:val="0"/>
              <w:widowControl w:val="0"/>
              <w:suppressLineNumbers w:val="0"/>
              <w:spacing w:before="65" w:beforeAutospacing="0" w:after="0" w:afterAutospacing="0"/>
              <w:ind w:left="337" w:leftChars="0" w:right="0" w:rightChars="0"/>
              <w:jc w:val="both"/>
              <w:rPr>
                <w:rFonts w:hint="eastAsia" w:ascii="宋体" w:hAnsi="宋体" w:eastAsia="宋体" w:cs="宋体"/>
                <w:strike/>
                <w:dstrike w:val="0"/>
                <w:color w:val="auto"/>
                <w:kern w:val="2"/>
                <w:sz w:val="21"/>
                <w:szCs w:val="21"/>
                <w:highlight w:val="none"/>
                <w:lang w:val="en-US" w:eastAsia="zh-CN" w:bidi="ar"/>
              </w:rPr>
            </w:pPr>
            <w:r>
              <w:rPr>
                <w:rFonts w:hint="eastAsia" w:ascii="宋体" w:hAnsi="宋体" w:eastAsia="宋体" w:cs="宋体"/>
                <w:strike/>
                <w:dstrike w:val="0"/>
                <w:color w:val="auto"/>
                <w:kern w:val="2"/>
                <w:sz w:val="21"/>
                <w:szCs w:val="21"/>
                <w:highlight w:val="none"/>
                <w:lang w:val="en-US" w:eastAsia="zh-CN" w:bidi="ar"/>
              </w:rPr>
              <w:t>10</w:t>
            </w:r>
          </w:p>
        </w:tc>
        <w:tc>
          <w:tcPr>
            <w:tcW w:w="7621" w:type="dxa"/>
            <w:vAlign w:val="top"/>
          </w:tcPr>
          <w:p w14:paraId="52DA94D8">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格栅拱架不垂直或锁脚锚杆施工不规范，违约金 500 元/榀。</w:t>
            </w:r>
          </w:p>
        </w:tc>
      </w:tr>
      <w:tr w14:paraId="2C9B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7336912B">
            <w:pPr>
              <w:rPr>
                <w:rFonts w:ascii="Arial"/>
                <w:color w:val="auto"/>
                <w:sz w:val="21"/>
                <w:highlight w:val="none"/>
              </w:rPr>
            </w:pPr>
          </w:p>
        </w:tc>
        <w:tc>
          <w:tcPr>
            <w:tcW w:w="839" w:type="dxa"/>
            <w:vAlign w:val="top"/>
          </w:tcPr>
          <w:p w14:paraId="5E4F4685">
            <w:pPr>
              <w:pStyle w:val="10"/>
              <w:keepNext w:val="0"/>
              <w:keepLines w:val="0"/>
              <w:widowControl w:val="0"/>
              <w:suppressLineNumbers w:val="0"/>
              <w:spacing w:before="65" w:beforeAutospacing="0" w:after="0" w:afterAutospacing="0"/>
              <w:ind w:left="337" w:leftChars="0" w:right="0" w:rightChars="0"/>
              <w:jc w:val="both"/>
              <w:rPr>
                <w:rFonts w:hint="eastAsia" w:ascii="宋体" w:hAnsi="宋体" w:eastAsia="宋体" w:cs="宋体"/>
                <w:strike/>
                <w:dstrike w:val="0"/>
                <w:color w:val="auto"/>
                <w:kern w:val="2"/>
                <w:sz w:val="21"/>
                <w:szCs w:val="21"/>
                <w:highlight w:val="none"/>
                <w:lang w:val="en-US" w:eastAsia="zh-CN" w:bidi="ar"/>
              </w:rPr>
            </w:pPr>
            <w:r>
              <w:rPr>
                <w:rFonts w:hint="eastAsia" w:ascii="宋体" w:hAnsi="宋体" w:eastAsia="宋体" w:cs="宋体"/>
                <w:strike/>
                <w:dstrike w:val="0"/>
                <w:color w:val="auto"/>
                <w:kern w:val="2"/>
                <w:sz w:val="21"/>
                <w:szCs w:val="21"/>
                <w:highlight w:val="none"/>
                <w:lang w:val="en-US" w:eastAsia="zh-CN" w:bidi="ar"/>
              </w:rPr>
              <w:t>11</w:t>
            </w:r>
          </w:p>
        </w:tc>
        <w:tc>
          <w:tcPr>
            <w:tcW w:w="7621" w:type="dxa"/>
            <w:vAlign w:val="top"/>
          </w:tcPr>
          <w:p w14:paraId="520F2E82">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 xml:space="preserve">隧道洞身施工完毕后，不得出现渗水、漏水现象，如出现以上问题，除要求施工 </w:t>
            </w:r>
          </w:p>
          <w:p w14:paraId="158B745F">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单位予以补救外，处以 5000 元/处的违约金。</w:t>
            </w:r>
          </w:p>
        </w:tc>
      </w:tr>
      <w:tr w14:paraId="5D0A1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773901CD">
            <w:pPr>
              <w:rPr>
                <w:rFonts w:ascii="Arial"/>
                <w:color w:val="auto"/>
                <w:sz w:val="21"/>
                <w:highlight w:val="none"/>
              </w:rPr>
            </w:pPr>
          </w:p>
          <w:p w14:paraId="4FFB0E5E">
            <w:pPr>
              <w:rPr>
                <w:rFonts w:ascii="Arial"/>
                <w:color w:val="auto"/>
                <w:sz w:val="21"/>
                <w:highlight w:val="none"/>
              </w:rPr>
            </w:pPr>
          </w:p>
        </w:tc>
        <w:tc>
          <w:tcPr>
            <w:tcW w:w="839" w:type="dxa"/>
            <w:vAlign w:val="top"/>
          </w:tcPr>
          <w:p w14:paraId="1750002E">
            <w:pPr>
              <w:pStyle w:val="10"/>
              <w:keepNext w:val="0"/>
              <w:keepLines w:val="0"/>
              <w:widowControl w:val="0"/>
              <w:suppressLineNumbers w:val="0"/>
              <w:spacing w:before="65" w:beforeAutospacing="0" w:after="0" w:afterAutospacing="0"/>
              <w:ind w:left="337" w:leftChars="0" w:right="0" w:rightChars="0"/>
              <w:jc w:val="both"/>
              <w:rPr>
                <w:rFonts w:hint="eastAsia" w:ascii="宋体" w:hAnsi="宋体" w:eastAsia="宋体" w:cs="宋体"/>
                <w:strike/>
                <w:dstrike w:val="0"/>
                <w:color w:val="auto"/>
                <w:kern w:val="2"/>
                <w:sz w:val="21"/>
                <w:szCs w:val="21"/>
                <w:highlight w:val="none"/>
                <w:lang w:val="en-US" w:eastAsia="zh-CN" w:bidi="ar"/>
              </w:rPr>
            </w:pPr>
            <w:r>
              <w:rPr>
                <w:rFonts w:hint="eastAsia" w:ascii="宋体" w:hAnsi="宋体" w:eastAsia="宋体" w:cs="宋体"/>
                <w:strike/>
                <w:dstrike w:val="0"/>
                <w:color w:val="auto"/>
                <w:kern w:val="2"/>
                <w:sz w:val="21"/>
                <w:szCs w:val="21"/>
                <w:highlight w:val="none"/>
                <w:lang w:val="en-US" w:eastAsia="zh-CN" w:bidi="ar"/>
              </w:rPr>
              <w:t>12</w:t>
            </w:r>
          </w:p>
        </w:tc>
        <w:tc>
          <w:tcPr>
            <w:tcW w:w="7621" w:type="dxa"/>
            <w:vAlign w:val="top"/>
          </w:tcPr>
          <w:p w14:paraId="189E901E">
            <w:pPr>
              <w:pStyle w:val="17"/>
              <w:spacing w:before="138" w:line="240" w:lineRule="auto"/>
              <w:ind w:left="116" w:right="107" w:hanging="5"/>
              <w:rPr>
                <w:rFonts w:hint="eastAsia"/>
                <w:strike/>
                <w:dstrike w:val="0"/>
                <w:color w:val="auto"/>
                <w:highlight w:val="none"/>
                <w:lang w:val="en-US" w:eastAsia="zh-CN"/>
              </w:rPr>
            </w:pPr>
            <w:r>
              <w:rPr>
                <w:rFonts w:hint="eastAsia"/>
                <w:strike/>
                <w:dstrike w:val="0"/>
                <w:color w:val="auto"/>
                <w:highlight w:val="none"/>
                <w:lang w:val="en-US" w:eastAsia="zh-CN"/>
              </w:rPr>
              <w:t>按照规范，隧道作业未开启通风设备的违约金 10000 元/次。</w:t>
            </w:r>
          </w:p>
        </w:tc>
      </w:tr>
      <w:tr w14:paraId="6E5D8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Align w:val="top"/>
          </w:tcPr>
          <w:p w14:paraId="6913E862">
            <w:pPr>
              <w:spacing w:line="269" w:lineRule="auto"/>
              <w:rPr>
                <w:rFonts w:ascii="Arial"/>
                <w:color w:val="auto"/>
                <w:sz w:val="21"/>
                <w:highlight w:val="none"/>
              </w:rPr>
            </w:pPr>
          </w:p>
          <w:p w14:paraId="5249A312">
            <w:pPr>
              <w:pStyle w:val="17"/>
              <w:spacing w:before="68" w:line="355" w:lineRule="auto"/>
              <w:ind w:left="212" w:right="204"/>
              <w:rPr>
                <w:color w:val="auto"/>
                <w:highlight w:val="none"/>
              </w:rPr>
            </w:pPr>
            <w:r>
              <w:rPr>
                <w:color w:val="auto"/>
                <w:spacing w:val="-5"/>
                <w:highlight w:val="none"/>
              </w:rPr>
              <w:t>绿化</w:t>
            </w:r>
            <w:r>
              <w:rPr>
                <w:color w:val="auto"/>
                <w:spacing w:val="-6"/>
                <w:highlight w:val="none"/>
              </w:rPr>
              <w:t>工程</w:t>
            </w:r>
          </w:p>
        </w:tc>
        <w:tc>
          <w:tcPr>
            <w:tcW w:w="839" w:type="dxa"/>
            <w:vAlign w:val="top"/>
          </w:tcPr>
          <w:p w14:paraId="2FAC34E9">
            <w:pPr>
              <w:spacing w:line="469" w:lineRule="auto"/>
              <w:rPr>
                <w:rFonts w:ascii="Arial"/>
                <w:color w:val="auto"/>
                <w:sz w:val="21"/>
                <w:highlight w:val="none"/>
              </w:rPr>
            </w:pPr>
          </w:p>
          <w:p w14:paraId="3B202CE3">
            <w:pPr>
              <w:pStyle w:val="17"/>
              <w:spacing w:before="68" w:line="241" w:lineRule="auto"/>
              <w:ind w:left="385"/>
              <w:rPr>
                <w:color w:val="auto"/>
                <w:highlight w:val="none"/>
              </w:rPr>
            </w:pPr>
            <w:r>
              <w:rPr>
                <w:color w:val="auto"/>
                <w:highlight w:val="none"/>
              </w:rPr>
              <w:t>1</w:t>
            </w:r>
          </w:p>
        </w:tc>
        <w:tc>
          <w:tcPr>
            <w:tcW w:w="7621" w:type="dxa"/>
            <w:vAlign w:val="top"/>
          </w:tcPr>
          <w:p w14:paraId="0521B261">
            <w:pPr>
              <w:pStyle w:val="17"/>
              <w:spacing w:before="139" w:line="309" w:lineRule="auto"/>
              <w:ind w:left="111" w:right="110" w:firstLine="3"/>
              <w:jc w:val="both"/>
              <w:rPr>
                <w:color w:val="auto"/>
                <w:highlight w:val="none"/>
              </w:rPr>
            </w:pPr>
            <w:r>
              <w:rPr>
                <w:color w:val="auto"/>
                <w:spacing w:val="1"/>
                <w:highlight w:val="none"/>
              </w:rPr>
              <w:t>如果绿化工程与设计要求不符，或质量不合格，或造成质量隐患，以清单单位为</w:t>
            </w:r>
            <w:r>
              <w:rPr>
                <w:color w:val="auto"/>
                <w:spacing w:val="-4"/>
                <w:highlight w:val="none"/>
              </w:rPr>
              <w:t>违约金依据，即违约金</w:t>
            </w:r>
            <w:r>
              <w:rPr>
                <w:color w:val="auto"/>
                <w:spacing w:val="-16"/>
                <w:highlight w:val="none"/>
              </w:rPr>
              <w:t xml:space="preserve"> </w:t>
            </w:r>
            <w:r>
              <w:rPr>
                <w:color w:val="auto"/>
                <w:spacing w:val="-4"/>
                <w:highlight w:val="none"/>
              </w:rPr>
              <w:t>1000</w:t>
            </w:r>
            <w:r>
              <w:rPr>
                <w:color w:val="auto"/>
                <w:spacing w:val="-45"/>
                <w:highlight w:val="none"/>
              </w:rPr>
              <w:t xml:space="preserve"> </w:t>
            </w:r>
            <w:r>
              <w:rPr>
                <w:color w:val="auto"/>
                <w:spacing w:val="-4"/>
                <w:highlight w:val="none"/>
              </w:rPr>
              <w:t>元/丛、1000</w:t>
            </w:r>
            <w:r>
              <w:rPr>
                <w:color w:val="auto"/>
                <w:spacing w:val="-44"/>
                <w:highlight w:val="none"/>
              </w:rPr>
              <w:t xml:space="preserve"> </w:t>
            </w:r>
            <w:r>
              <w:rPr>
                <w:color w:val="auto"/>
                <w:spacing w:val="-4"/>
                <w:highlight w:val="none"/>
              </w:rPr>
              <w:t>元/株、500</w:t>
            </w:r>
            <w:r>
              <w:rPr>
                <w:color w:val="auto"/>
                <w:spacing w:val="-43"/>
                <w:highlight w:val="none"/>
              </w:rPr>
              <w:t xml:space="preserve"> </w:t>
            </w:r>
            <w:r>
              <w:rPr>
                <w:color w:val="auto"/>
                <w:spacing w:val="-4"/>
                <w:highlight w:val="none"/>
              </w:rPr>
              <w:t>元/m</w:t>
            </w:r>
            <w:r>
              <w:rPr>
                <w:color w:val="auto"/>
                <w:spacing w:val="-4"/>
                <w:position w:val="10"/>
                <w:sz w:val="10"/>
                <w:szCs w:val="10"/>
                <w:highlight w:val="none"/>
              </w:rPr>
              <w:t>2</w:t>
            </w:r>
            <w:r>
              <w:rPr>
                <w:color w:val="auto"/>
                <w:spacing w:val="-4"/>
                <w:highlight w:val="none"/>
              </w:rPr>
              <w:t>、500</w:t>
            </w:r>
            <w:r>
              <w:rPr>
                <w:color w:val="auto"/>
                <w:spacing w:val="-42"/>
                <w:highlight w:val="none"/>
              </w:rPr>
              <w:t xml:space="preserve"> </w:t>
            </w:r>
            <w:r>
              <w:rPr>
                <w:color w:val="auto"/>
                <w:spacing w:val="-4"/>
                <w:highlight w:val="none"/>
              </w:rPr>
              <w:t>元/t</w:t>
            </w:r>
            <w:r>
              <w:rPr>
                <w:color w:val="auto"/>
                <w:spacing w:val="-22"/>
                <w:highlight w:val="none"/>
              </w:rPr>
              <w:t xml:space="preserve"> </w:t>
            </w:r>
            <w:r>
              <w:rPr>
                <w:color w:val="auto"/>
                <w:spacing w:val="-4"/>
                <w:highlight w:val="none"/>
              </w:rPr>
              <w:t>以及</w:t>
            </w:r>
            <w:r>
              <w:rPr>
                <w:color w:val="auto"/>
                <w:spacing w:val="-28"/>
                <w:highlight w:val="none"/>
              </w:rPr>
              <w:t xml:space="preserve"> </w:t>
            </w:r>
            <w:r>
              <w:rPr>
                <w:color w:val="auto"/>
                <w:spacing w:val="-4"/>
                <w:highlight w:val="none"/>
              </w:rPr>
              <w:t>10000</w:t>
            </w:r>
            <w:r>
              <w:rPr>
                <w:color w:val="auto"/>
                <w:spacing w:val="-6"/>
                <w:highlight w:val="none"/>
              </w:rPr>
              <w:t>元/个等。</w:t>
            </w:r>
          </w:p>
        </w:tc>
      </w:tr>
      <w:tr w14:paraId="3DE7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5983FD9A">
            <w:pPr>
              <w:spacing w:line="253" w:lineRule="auto"/>
              <w:rPr>
                <w:rFonts w:ascii="Arial"/>
                <w:color w:val="auto"/>
                <w:sz w:val="21"/>
                <w:highlight w:val="none"/>
              </w:rPr>
            </w:pPr>
          </w:p>
          <w:p w14:paraId="7597EAE8">
            <w:pPr>
              <w:spacing w:line="253" w:lineRule="auto"/>
              <w:rPr>
                <w:rFonts w:ascii="Arial"/>
                <w:color w:val="auto"/>
                <w:sz w:val="21"/>
                <w:highlight w:val="none"/>
              </w:rPr>
            </w:pPr>
          </w:p>
          <w:p w14:paraId="7418CBC2">
            <w:pPr>
              <w:spacing w:line="253" w:lineRule="auto"/>
              <w:rPr>
                <w:rFonts w:ascii="Arial"/>
                <w:color w:val="auto"/>
                <w:sz w:val="21"/>
                <w:highlight w:val="none"/>
              </w:rPr>
            </w:pPr>
          </w:p>
          <w:p w14:paraId="1C0B8D05">
            <w:pPr>
              <w:spacing w:line="253" w:lineRule="auto"/>
              <w:rPr>
                <w:rFonts w:ascii="Arial"/>
                <w:color w:val="auto"/>
                <w:sz w:val="21"/>
                <w:highlight w:val="none"/>
              </w:rPr>
            </w:pPr>
          </w:p>
          <w:p w14:paraId="68254BE3">
            <w:pPr>
              <w:spacing w:line="253" w:lineRule="auto"/>
              <w:rPr>
                <w:rFonts w:ascii="Arial"/>
                <w:color w:val="auto"/>
                <w:sz w:val="21"/>
                <w:highlight w:val="none"/>
              </w:rPr>
            </w:pPr>
          </w:p>
          <w:p w14:paraId="0FD7B4D1">
            <w:pPr>
              <w:spacing w:line="253" w:lineRule="auto"/>
              <w:rPr>
                <w:rFonts w:ascii="Arial"/>
                <w:color w:val="auto"/>
                <w:sz w:val="21"/>
                <w:highlight w:val="none"/>
              </w:rPr>
            </w:pPr>
          </w:p>
          <w:p w14:paraId="0AC79D09">
            <w:pPr>
              <w:spacing w:line="253" w:lineRule="auto"/>
              <w:rPr>
                <w:rFonts w:ascii="Arial"/>
                <w:color w:val="auto"/>
                <w:sz w:val="21"/>
                <w:highlight w:val="none"/>
              </w:rPr>
            </w:pPr>
          </w:p>
          <w:p w14:paraId="7E2CFE1A">
            <w:pPr>
              <w:spacing w:line="253" w:lineRule="auto"/>
              <w:rPr>
                <w:rFonts w:ascii="Arial"/>
                <w:color w:val="auto"/>
                <w:sz w:val="21"/>
                <w:highlight w:val="none"/>
              </w:rPr>
            </w:pPr>
          </w:p>
          <w:p w14:paraId="6F15CFC2">
            <w:pPr>
              <w:spacing w:line="253" w:lineRule="auto"/>
              <w:rPr>
                <w:rFonts w:ascii="Arial"/>
                <w:color w:val="auto"/>
                <w:sz w:val="21"/>
                <w:highlight w:val="none"/>
              </w:rPr>
            </w:pPr>
          </w:p>
          <w:p w14:paraId="5D1C25DD">
            <w:pPr>
              <w:spacing w:line="254" w:lineRule="auto"/>
              <w:rPr>
                <w:rFonts w:ascii="Arial"/>
                <w:color w:val="auto"/>
                <w:sz w:val="21"/>
                <w:highlight w:val="none"/>
              </w:rPr>
            </w:pPr>
          </w:p>
          <w:p w14:paraId="5F0F6DC7">
            <w:pPr>
              <w:spacing w:line="254" w:lineRule="auto"/>
              <w:rPr>
                <w:rFonts w:ascii="Arial"/>
                <w:color w:val="auto"/>
                <w:sz w:val="21"/>
                <w:highlight w:val="none"/>
              </w:rPr>
            </w:pPr>
          </w:p>
          <w:p w14:paraId="05FB7671">
            <w:pPr>
              <w:spacing w:line="254" w:lineRule="auto"/>
              <w:rPr>
                <w:rFonts w:ascii="Arial"/>
                <w:color w:val="auto"/>
                <w:sz w:val="21"/>
                <w:highlight w:val="none"/>
              </w:rPr>
            </w:pPr>
          </w:p>
          <w:p w14:paraId="2F97BCD8">
            <w:pPr>
              <w:spacing w:line="254" w:lineRule="auto"/>
              <w:rPr>
                <w:rFonts w:ascii="Arial"/>
                <w:color w:val="auto"/>
                <w:sz w:val="21"/>
                <w:highlight w:val="none"/>
              </w:rPr>
            </w:pPr>
          </w:p>
          <w:p w14:paraId="701358D8">
            <w:pPr>
              <w:spacing w:line="254" w:lineRule="auto"/>
              <w:rPr>
                <w:rFonts w:ascii="Arial"/>
                <w:color w:val="auto"/>
                <w:sz w:val="21"/>
                <w:highlight w:val="none"/>
              </w:rPr>
            </w:pPr>
          </w:p>
          <w:p w14:paraId="0D8CE026">
            <w:pPr>
              <w:spacing w:line="254" w:lineRule="auto"/>
              <w:rPr>
                <w:rFonts w:ascii="Arial"/>
                <w:color w:val="auto"/>
                <w:sz w:val="21"/>
                <w:highlight w:val="none"/>
              </w:rPr>
            </w:pPr>
          </w:p>
          <w:p w14:paraId="6D8A5C08">
            <w:pPr>
              <w:spacing w:line="254" w:lineRule="auto"/>
              <w:rPr>
                <w:rFonts w:ascii="Arial"/>
                <w:color w:val="auto"/>
                <w:sz w:val="21"/>
                <w:highlight w:val="none"/>
              </w:rPr>
            </w:pPr>
          </w:p>
          <w:p w14:paraId="7FA52A13">
            <w:pPr>
              <w:pStyle w:val="17"/>
              <w:spacing w:before="68" w:line="354" w:lineRule="auto"/>
              <w:ind w:left="212" w:right="204" w:firstLine="2"/>
              <w:rPr>
                <w:color w:val="auto"/>
                <w:highlight w:val="none"/>
              </w:rPr>
            </w:pPr>
            <w:r>
              <w:rPr>
                <w:color w:val="auto"/>
                <w:spacing w:val="-7"/>
                <w:highlight w:val="none"/>
              </w:rPr>
              <w:t>安全</w:t>
            </w:r>
            <w:r>
              <w:rPr>
                <w:color w:val="auto"/>
                <w:spacing w:val="-5"/>
                <w:highlight w:val="none"/>
              </w:rPr>
              <w:t>生产</w:t>
            </w:r>
          </w:p>
        </w:tc>
        <w:tc>
          <w:tcPr>
            <w:tcW w:w="839" w:type="dxa"/>
            <w:vAlign w:val="top"/>
          </w:tcPr>
          <w:p w14:paraId="513B2EB2">
            <w:pPr>
              <w:spacing w:line="271" w:lineRule="auto"/>
              <w:rPr>
                <w:rFonts w:ascii="Arial"/>
                <w:color w:val="auto"/>
                <w:sz w:val="21"/>
                <w:highlight w:val="none"/>
              </w:rPr>
            </w:pPr>
          </w:p>
          <w:p w14:paraId="06D5DB8F">
            <w:pPr>
              <w:pStyle w:val="17"/>
              <w:spacing w:before="69" w:line="241" w:lineRule="auto"/>
              <w:ind w:left="385"/>
              <w:rPr>
                <w:color w:val="auto"/>
                <w:highlight w:val="none"/>
              </w:rPr>
            </w:pPr>
            <w:r>
              <w:rPr>
                <w:color w:val="auto"/>
                <w:highlight w:val="none"/>
              </w:rPr>
              <w:t>1</w:t>
            </w:r>
          </w:p>
        </w:tc>
        <w:tc>
          <w:tcPr>
            <w:tcW w:w="7621" w:type="dxa"/>
            <w:vAlign w:val="top"/>
          </w:tcPr>
          <w:p w14:paraId="4E6B80A7">
            <w:pPr>
              <w:pStyle w:val="17"/>
              <w:spacing w:before="141" w:line="287" w:lineRule="auto"/>
              <w:ind w:left="111" w:right="115"/>
              <w:rPr>
                <w:color w:val="auto"/>
                <w:highlight w:val="none"/>
              </w:rPr>
            </w:pPr>
            <w:r>
              <w:rPr>
                <w:color w:val="auto"/>
                <w:spacing w:val="1"/>
                <w:highlight w:val="none"/>
              </w:rPr>
              <w:t>桥梁施工现场及构件预制场、钢筋加工场、搅拌站、爬梯施工驻地须悬挂安全生</w:t>
            </w:r>
            <w:r>
              <w:rPr>
                <w:color w:val="auto"/>
                <w:spacing w:val="-4"/>
                <w:highlight w:val="none"/>
              </w:rPr>
              <w:t>产标牌，违者违约金</w:t>
            </w:r>
            <w:r>
              <w:rPr>
                <w:color w:val="auto"/>
                <w:spacing w:val="-19"/>
                <w:highlight w:val="none"/>
              </w:rPr>
              <w:t xml:space="preserve"> </w:t>
            </w:r>
            <w:r>
              <w:rPr>
                <w:color w:val="auto"/>
                <w:spacing w:val="-4"/>
                <w:highlight w:val="none"/>
              </w:rPr>
              <w:t>1,000</w:t>
            </w:r>
            <w:r>
              <w:rPr>
                <w:color w:val="auto"/>
                <w:spacing w:val="-41"/>
                <w:highlight w:val="none"/>
              </w:rPr>
              <w:t xml:space="preserve"> </w:t>
            </w:r>
            <w:r>
              <w:rPr>
                <w:color w:val="auto"/>
                <w:spacing w:val="-4"/>
                <w:highlight w:val="none"/>
              </w:rPr>
              <w:t>元/处。</w:t>
            </w:r>
          </w:p>
        </w:tc>
      </w:tr>
      <w:tr w14:paraId="3AA71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1932F3C">
            <w:pPr>
              <w:rPr>
                <w:rFonts w:ascii="Arial"/>
                <w:color w:val="auto"/>
                <w:sz w:val="21"/>
                <w:highlight w:val="none"/>
              </w:rPr>
            </w:pPr>
          </w:p>
        </w:tc>
        <w:tc>
          <w:tcPr>
            <w:tcW w:w="839" w:type="dxa"/>
            <w:vAlign w:val="top"/>
          </w:tcPr>
          <w:p w14:paraId="2FDDC84E">
            <w:pPr>
              <w:spacing w:line="272" w:lineRule="auto"/>
              <w:rPr>
                <w:rFonts w:ascii="Arial"/>
                <w:color w:val="auto"/>
                <w:sz w:val="21"/>
                <w:highlight w:val="none"/>
              </w:rPr>
            </w:pPr>
          </w:p>
          <w:p w14:paraId="7FF03FCA">
            <w:pPr>
              <w:pStyle w:val="17"/>
              <w:spacing w:before="69" w:line="241" w:lineRule="auto"/>
              <w:ind w:left="372"/>
              <w:rPr>
                <w:color w:val="auto"/>
                <w:highlight w:val="none"/>
              </w:rPr>
            </w:pPr>
            <w:r>
              <w:rPr>
                <w:color w:val="auto"/>
                <w:highlight w:val="none"/>
              </w:rPr>
              <w:t>2</w:t>
            </w:r>
          </w:p>
        </w:tc>
        <w:tc>
          <w:tcPr>
            <w:tcW w:w="7621" w:type="dxa"/>
            <w:vAlign w:val="top"/>
          </w:tcPr>
          <w:p w14:paraId="13ED08C3">
            <w:pPr>
              <w:pStyle w:val="17"/>
              <w:spacing w:before="142" w:line="287" w:lineRule="auto"/>
              <w:ind w:left="126" w:right="108" w:hanging="15"/>
              <w:rPr>
                <w:color w:val="auto"/>
                <w:highlight w:val="none"/>
              </w:rPr>
            </w:pPr>
            <w:r>
              <w:rPr>
                <w:color w:val="auto"/>
                <w:spacing w:val="1"/>
                <w:highlight w:val="none"/>
              </w:rPr>
              <w:t>基坑开挖未有效围护的，桩孔施工后未加盖的，临边防护不符合要求的，违约金</w:t>
            </w:r>
            <w:r>
              <w:rPr>
                <w:color w:val="auto"/>
                <w:spacing w:val="-4"/>
                <w:highlight w:val="none"/>
              </w:rPr>
              <w:t>1,000</w:t>
            </w:r>
            <w:r>
              <w:rPr>
                <w:color w:val="auto"/>
                <w:spacing w:val="-43"/>
                <w:highlight w:val="none"/>
              </w:rPr>
              <w:t xml:space="preserve"> </w:t>
            </w:r>
            <w:r>
              <w:rPr>
                <w:color w:val="auto"/>
                <w:spacing w:val="-4"/>
                <w:highlight w:val="none"/>
              </w:rPr>
              <w:t>元/处。</w:t>
            </w:r>
          </w:p>
        </w:tc>
      </w:tr>
      <w:tr w14:paraId="4D7C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6F80A89E">
            <w:pPr>
              <w:rPr>
                <w:rFonts w:ascii="Arial"/>
                <w:color w:val="auto"/>
                <w:sz w:val="21"/>
                <w:highlight w:val="none"/>
              </w:rPr>
            </w:pPr>
          </w:p>
        </w:tc>
        <w:tc>
          <w:tcPr>
            <w:tcW w:w="839" w:type="dxa"/>
            <w:vAlign w:val="top"/>
          </w:tcPr>
          <w:p w14:paraId="02432B1F">
            <w:pPr>
              <w:spacing w:line="470" w:lineRule="auto"/>
              <w:rPr>
                <w:rFonts w:ascii="Arial"/>
                <w:color w:val="auto"/>
                <w:sz w:val="21"/>
                <w:highlight w:val="none"/>
              </w:rPr>
            </w:pPr>
          </w:p>
          <w:p w14:paraId="6CED3C30">
            <w:pPr>
              <w:pStyle w:val="17"/>
              <w:spacing w:before="68"/>
              <w:ind w:left="374"/>
              <w:rPr>
                <w:color w:val="auto"/>
                <w:highlight w:val="none"/>
              </w:rPr>
            </w:pPr>
            <w:r>
              <w:rPr>
                <w:color w:val="auto"/>
                <w:highlight w:val="none"/>
              </w:rPr>
              <w:t>3</w:t>
            </w:r>
          </w:p>
        </w:tc>
        <w:tc>
          <w:tcPr>
            <w:tcW w:w="7621" w:type="dxa"/>
            <w:vAlign w:val="top"/>
          </w:tcPr>
          <w:p w14:paraId="61F8833A">
            <w:pPr>
              <w:pStyle w:val="17"/>
              <w:spacing w:before="140" w:line="309" w:lineRule="auto"/>
              <w:ind w:left="111" w:right="115" w:hanging="1"/>
              <w:jc w:val="both"/>
              <w:rPr>
                <w:color w:val="auto"/>
                <w:highlight w:val="none"/>
              </w:rPr>
            </w:pPr>
            <w:r>
              <w:rPr>
                <w:color w:val="auto"/>
                <w:highlight w:val="none"/>
              </w:rPr>
              <w:t>施工用电存在安全问题，</w:t>
            </w:r>
            <w:r>
              <w:rPr>
                <w:color w:val="auto"/>
                <w:spacing w:val="-61"/>
                <w:highlight w:val="none"/>
              </w:rPr>
              <w:t xml:space="preserve"> </w:t>
            </w:r>
            <w:r>
              <w:rPr>
                <w:color w:val="auto"/>
                <w:highlight w:val="none"/>
              </w:rPr>
              <w:t>电力线路架设零乱不牢固；电源线老化、</w:t>
            </w:r>
            <w:r>
              <w:rPr>
                <w:color w:val="auto"/>
                <w:spacing w:val="-1"/>
                <w:highlight w:val="none"/>
              </w:rPr>
              <w:t>绝缘损坏、接</w:t>
            </w:r>
            <w:r>
              <w:rPr>
                <w:color w:val="auto"/>
                <w:spacing w:val="1"/>
                <w:highlight w:val="none"/>
              </w:rPr>
              <w:t>头处无包扎的；使用不合格电线；不设电箱、漏电开关；施工现场未设安全警示</w:t>
            </w:r>
            <w:r>
              <w:rPr>
                <w:color w:val="auto"/>
                <w:spacing w:val="-5"/>
                <w:highlight w:val="none"/>
              </w:rPr>
              <w:t>牌，违约金</w:t>
            </w:r>
            <w:r>
              <w:rPr>
                <w:color w:val="auto"/>
                <w:spacing w:val="-21"/>
                <w:highlight w:val="none"/>
              </w:rPr>
              <w:t xml:space="preserve"> </w:t>
            </w:r>
            <w:r>
              <w:rPr>
                <w:color w:val="auto"/>
                <w:spacing w:val="-5"/>
                <w:highlight w:val="none"/>
              </w:rPr>
              <w:t>1,000</w:t>
            </w:r>
            <w:r>
              <w:rPr>
                <w:color w:val="auto"/>
                <w:spacing w:val="-42"/>
                <w:highlight w:val="none"/>
              </w:rPr>
              <w:t xml:space="preserve"> </w:t>
            </w:r>
            <w:r>
              <w:rPr>
                <w:color w:val="auto"/>
                <w:spacing w:val="-5"/>
                <w:highlight w:val="none"/>
              </w:rPr>
              <w:t>元/处。</w:t>
            </w:r>
          </w:p>
        </w:tc>
      </w:tr>
      <w:tr w14:paraId="13C46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68BCE5C">
            <w:pPr>
              <w:rPr>
                <w:rFonts w:ascii="Arial"/>
                <w:color w:val="auto"/>
                <w:sz w:val="21"/>
                <w:highlight w:val="none"/>
              </w:rPr>
            </w:pPr>
          </w:p>
        </w:tc>
        <w:tc>
          <w:tcPr>
            <w:tcW w:w="839" w:type="dxa"/>
            <w:vAlign w:val="top"/>
          </w:tcPr>
          <w:p w14:paraId="65A22303">
            <w:pPr>
              <w:pStyle w:val="17"/>
              <w:spacing w:before="226" w:line="241" w:lineRule="auto"/>
              <w:ind w:left="369"/>
              <w:rPr>
                <w:color w:val="auto"/>
                <w:highlight w:val="none"/>
              </w:rPr>
            </w:pPr>
            <w:r>
              <w:rPr>
                <w:color w:val="auto"/>
                <w:highlight w:val="none"/>
              </w:rPr>
              <w:t>4</w:t>
            </w:r>
          </w:p>
        </w:tc>
        <w:tc>
          <w:tcPr>
            <w:tcW w:w="7621" w:type="dxa"/>
            <w:vAlign w:val="top"/>
          </w:tcPr>
          <w:p w14:paraId="70FE73A8">
            <w:pPr>
              <w:pStyle w:val="17"/>
              <w:spacing w:before="225" w:line="217" w:lineRule="auto"/>
              <w:ind w:left="117"/>
              <w:rPr>
                <w:color w:val="auto"/>
                <w:highlight w:val="none"/>
              </w:rPr>
            </w:pPr>
            <w:r>
              <w:rPr>
                <w:color w:val="auto"/>
                <w:spacing w:val="-2"/>
                <w:highlight w:val="none"/>
              </w:rPr>
              <w:t>高空作业未设置稳固爬梯；不设围栏、安全网，违约金</w:t>
            </w:r>
            <w:r>
              <w:rPr>
                <w:color w:val="auto"/>
                <w:spacing w:val="-30"/>
                <w:highlight w:val="none"/>
              </w:rPr>
              <w:t xml:space="preserve"> </w:t>
            </w:r>
            <w:r>
              <w:rPr>
                <w:color w:val="auto"/>
                <w:spacing w:val="-2"/>
                <w:highlight w:val="none"/>
              </w:rPr>
              <w:t>1,000</w:t>
            </w:r>
            <w:r>
              <w:rPr>
                <w:color w:val="auto"/>
                <w:spacing w:val="-42"/>
                <w:highlight w:val="none"/>
              </w:rPr>
              <w:t xml:space="preserve"> </w:t>
            </w:r>
            <w:r>
              <w:rPr>
                <w:color w:val="auto"/>
                <w:spacing w:val="-2"/>
                <w:highlight w:val="none"/>
              </w:rPr>
              <w:t>元/处。</w:t>
            </w:r>
          </w:p>
        </w:tc>
      </w:tr>
      <w:tr w14:paraId="7132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FD43959">
            <w:pPr>
              <w:rPr>
                <w:rFonts w:ascii="Arial"/>
                <w:color w:val="auto"/>
                <w:sz w:val="21"/>
                <w:highlight w:val="none"/>
              </w:rPr>
            </w:pPr>
          </w:p>
        </w:tc>
        <w:tc>
          <w:tcPr>
            <w:tcW w:w="839" w:type="dxa"/>
            <w:vAlign w:val="top"/>
          </w:tcPr>
          <w:p w14:paraId="7CC4537A">
            <w:pPr>
              <w:spacing w:line="272" w:lineRule="auto"/>
              <w:rPr>
                <w:rFonts w:ascii="Arial"/>
                <w:color w:val="auto"/>
                <w:sz w:val="21"/>
                <w:highlight w:val="none"/>
              </w:rPr>
            </w:pPr>
          </w:p>
          <w:p w14:paraId="59A02477">
            <w:pPr>
              <w:pStyle w:val="17"/>
              <w:spacing w:before="68"/>
              <w:ind w:left="374"/>
              <w:rPr>
                <w:color w:val="auto"/>
                <w:highlight w:val="none"/>
              </w:rPr>
            </w:pPr>
            <w:r>
              <w:rPr>
                <w:color w:val="auto"/>
                <w:highlight w:val="none"/>
              </w:rPr>
              <w:t>5</w:t>
            </w:r>
          </w:p>
        </w:tc>
        <w:tc>
          <w:tcPr>
            <w:tcW w:w="7621" w:type="dxa"/>
            <w:vAlign w:val="top"/>
          </w:tcPr>
          <w:p w14:paraId="4E8BEC58">
            <w:pPr>
              <w:pStyle w:val="17"/>
              <w:spacing w:before="142" w:line="287" w:lineRule="auto"/>
              <w:ind w:left="111" w:right="115"/>
              <w:rPr>
                <w:color w:val="auto"/>
                <w:highlight w:val="none"/>
              </w:rPr>
            </w:pPr>
            <w:r>
              <w:rPr>
                <w:color w:val="auto"/>
                <w:spacing w:val="1"/>
                <w:highlight w:val="none"/>
              </w:rPr>
              <w:t>爆破作业应按批准的爆破方案及施工安全技术规程的要求进行，并对人身、工程</w:t>
            </w:r>
            <w:r>
              <w:rPr>
                <w:color w:val="auto"/>
                <w:spacing w:val="-2"/>
                <w:highlight w:val="none"/>
              </w:rPr>
              <w:t>本身及所有财产采取保护措施，违者违约金</w:t>
            </w:r>
            <w:r>
              <w:rPr>
                <w:color w:val="auto"/>
                <w:spacing w:val="-36"/>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162E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719E50C3">
            <w:pPr>
              <w:rPr>
                <w:rFonts w:ascii="Arial"/>
                <w:color w:val="auto"/>
                <w:sz w:val="21"/>
                <w:highlight w:val="none"/>
              </w:rPr>
            </w:pPr>
          </w:p>
        </w:tc>
        <w:tc>
          <w:tcPr>
            <w:tcW w:w="839" w:type="dxa"/>
            <w:vAlign w:val="top"/>
          </w:tcPr>
          <w:p w14:paraId="3DA02326">
            <w:pPr>
              <w:pStyle w:val="17"/>
              <w:spacing w:before="224"/>
              <w:ind w:left="371"/>
              <w:rPr>
                <w:color w:val="auto"/>
                <w:highlight w:val="none"/>
              </w:rPr>
            </w:pPr>
            <w:r>
              <w:rPr>
                <w:color w:val="auto"/>
                <w:highlight w:val="none"/>
              </w:rPr>
              <w:t>6</w:t>
            </w:r>
          </w:p>
        </w:tc>
        <w:tc>
          <w:tcPr>
            <w:tcW w:w="7621" w:type="dxa"/>
            <w:vAlign w:val="top"/>
          </w:tcPr>
          <w:p w14:paraId="7005F1FD">
            <w:pPr>
              <w:pStyle w:val="17"/>
              <w:spacing w:before="224" w:line="217" w:lineRule="auto"/>
              <w:ind w:left="111"/>
              <w:rPr>
                <w:color w:val="auto"/>
                <w:highlight w:val="none"/>
              </w:rPr>
            </w:pPr>
            <w:r>
              <w:rPr>
                <w:color w:val="auto"/>
                <w:spacing w:val="-2"/>
                <w:highlight w:val="none"/>
              </w:rPr>
              <w:t>爆破器材设专人保管，严格领用手续，违者违约金</w:t>
            </w:r>
            <w:r>
              <w:rPr>
                <w:color w:val="auto"/>
                <w:spacing w:val="-29"/>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2DEC0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1DD096F">
            <w:pPr>
              <w:rPr>
                <w:rFonts w:ascii="Arial"/>
                <w:color w:val="auto"/>
                <w:sz w:val="21"/>
                <w:highlight w:val="none"/>
              </w:rPr>
            </w:pPr>
          </w:p>
        </w:tc>
        <w:tc>
          <w:tcPr>
            <w:tcW w:w="839" w:type="dxa"/>
            <w:vAlign w:val="top"/>
          </w:tcPr>
          <w:p w14:paraId="0A9A5FC1">
            <w:pPr>
              <w:spacing w:line="273" w:lineRule="auto"/>
              <w:rPr>
                <w:rFonts w:ascii="Arial"/>
                <w:color w:val="auto"/>
                <w:sz w:val="21"/>
                <w:highlight w:val="none"/>
              </w:rPr>
            </w:pPr>
          </w:p>
          <w:p w14:paraId="4B5D2C00">
            <w:pPr>
              <w:pStyle w:val="17"/>
              <w:spacing w:before="68"/>
              <w:ind w:left="375"/>
              <w:rPr>
                <w:color w:val="auto"/>
                <w:highlight w:val="none"/>
              </w:rPr>
            </w:pPr>
            <w:r>
              <w:rPr>
                <w:color w:val="auto"/>
                <w:highlight w:val="none"/>
              </w:rPr>
              <w:t>7</w:t>
            </w:r>
          </w:p>
        </w:tc>
        <w:tc>
          <w:tcPr>
            <w:tcW w:w="7621" w:type="dxa"/>
            <w:vAlign w:val="top"/>
          </w:tcPr>
          <w:p w14:paraId="412E7214">
            <w:pPr>
              <w:pStyle w:val="17"/>
              <w:spacing w:before="144" w:line="286" w:lineRule="auto"/>
              <w:ind w:left="112" w:right="107" w:hanging="2"/>
              <w:rPr>
                <w:color w:val="auto"/>
                <w:highlight w:val="none"/>
              </w:rPr>
            </w:pPr>
            <w:r>
              <w:rPr>
                <w:color w:val="auto"/>
                <w:spacing w:val="3"/>
                <w:highlight w:val="none"/>
              </w:rPr>
              <w:t>对于安全风险大的高空作业、梁板吊装，要</w:t>
            </w:r>
            <w:r>
              <w:rPr>
                <w:color w:val="auto"/>
                <w:spacing w:val="2"/>
                <w:highlight w:val="none"/>
              </w:rPr>
              <w:t>求制订安全预案，违者违约金</w:t>
            </w:r>
            <w:r>
              <w:rPr>
                <w:color w:val="auto"/>
                <w:spacing w:val="-47"/>
                <w:highlight w:val="none"/>
              </w:rPr>
              <w:t xml:space="preserve"> </w:t>
            </w:r>
            <w:r>
              <w:rPr>
                <w:color w:val="auto"/>
                <w:spacing w:val="2"/>
                <w:highlight w:val="none"/>
              </w:rPr>
              <w:t>2,000</w:t>
            </w:r>
            <w:r>
              <w:rPr>
                <w:color w:val="auto"/>
                <w:spacing w:val="-8"/>
                <w:highlight w:val="none"/>
              </w:rPr>
              <w:t>元/次。</w:t>
            </w:r>
          </w:p>
        </w:tc>
      </w:tr>
      <w:tr w14:paraId="4A9A9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32FA0A22">
            <w:pPr>
              <w:rPr>
                <w:rFonts w:ascii="Arial"/>
                <w:color w:val="auto"/>
                <w:sz w:val="21"/>
                <w:highlight w:val="none"/>
              </w:rPr>
            </w:pPr>
          </w:p>
        </w:tc>
        <w:tc>
          <w:tcPr>
            <w:tcW w:w="839" w:type="dxa"/>
            <w:vAlign w:val="top"/>
          </w:tcPr>
          <w:p w14:paraId="09E3A2E4">
            <w:pPr>
              <w:spacing w:line="471" w:lineRule="auto"/>
              <w:rPr>
                <w:rFonts w:ascii="Arial"/>
                <w:color w:val="auto"/>
                <w:sz w:val="21"/>
                <w:highlight w:val="none"/>
              </w:rPr>
            </w:pPr>
          </w:p>
          <w:p w14:paraId="3D6CFE10">
            <w:pPr>
              <w:pStyle w:val="17"/>
              <w:spacing w:before="68"/>
              <w:ind w:left="370"/>
              <w:rPr>
                <w:color w:val="auto"/>
                <w:highlight w:val="none"/>
              </w:rPr>
            </w:pPr>
            <w:r>
              <w:rPr>
                <w:color w:val="auto"/>
                <w:highlight w:val="none"/>
              </w:rPr>
              <w:t>8</w:t>
            </w:r>
          </w:p>
        </w:tc>
        <w:tc>
          <w:tcPr>
            <w:tcW w:w="7621" w:type="dxa"/>
            <w:vAlign w:val="top"/>
          </w:tcPr>
          <w:p w14:paraId="1D99CCB8">
            <w:pPr>
              <w:pStyle w:val="17"/>
              <w:spacing w:before="143" w:line="308" w:lineRule="auto"/>
              <w:ind w:left="111" w:right="110"/>
              <w:jc w:val="both"/>
              <w:rPr>
                <w:color w:val="auto"/>
                <w:highlight w:val="none"/>
              </w:rPr>
            </w:pPr>
            <w:r>
              <w:rPr>
                <w:color w:val="auto"/>
                <w:spacing w:val="1"/>
                <w:highlight w:val="none"/>
              </w:rPr>
              <w:t>梁板吊运安装施工方案应经过监理人审批，吊车、龙门架、架桥机要经过安全生产检测机构检验合格，并在设备上张贴“四证”公示牌才能施工作业，违者违约</w:t>
            </w:r>
            <w:r>
              <w:rPr>
                <w:color w:val="auto"/>
                <w:spacing w:val="-5"/>
                <w:highlight w:val="none"/>
              </w:rPr>
              <w:t>金</w:t>
            </w:r>
            <w:r>
              <w:rPr>
                <w:color w:val="auto"/>
                <w:spacing w:val="-38"/>
                <w:highlight w:val="none"/>
              </w:rPr>
              <w:t xml:space="preserve"> </w:t>
            </w:r>
            <w:r>
              <w:rPr>
                <w:color w:val="auto"/>
                <w:spacing w:val="-5"/>
                <w:highlight w:val="none"/>
              </w:rPr>
              <w:t>5,000</w:t>
            </w:r>
            <w:r>
              <w:rPr>
                <w:color w:val="auto"/>
                <w:spacing w:val="-41"/>
                <w:highlight w:val="none"/>
              </w:rPr>
              <w:t xml:space="preserve"> </w:t>
            </w:r>
            <w:r>
              <w:rPr>
                <w:color w:val="auto"/>
                <w:spacing w:val="-5"/>
                <w:highlight w:val="none"/>
              </w:rPr>
              <w:t>元/次。</w:t>
            </w:r>
          </w:p>
        </w:tc>
      </w:tr>
      <w:tr w14:paraId="32A57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832" w:type="dxa"/>
            <w:vMerge w:val="continue"/>
            <w:tcBorders>
              <w:top w:val="nil"/>
            </w:tcBorders>
            <w:vAlign w:val="top"/>
          </w:tcPr>
          <w:p w14:paraId="25F032BE">
            <w:pPr>
              <w:rPr>
                <w:rFonts w:ascii="Arial"/>
                <w:color w:val="auto"/>
                <w:sz w:val="21"/>
                <w:highlight w:val="none"/>
              </w:rPr>
            </w:pPr>
          </w:p>
        </w:tc>
        <w:tc>
          <w:tcPr>
            <w:tcW w:w="839" w:type="dxa"/>
            <w:vAlign w:val="top"/>
          </w:tcPr>
          <w:p w14:paraId="3F10D632">
            <w:pPr>
              <w:spacing w:line="289" w:lineRule="auto"/>
              <w:rPr>
                <w:rFonts w:ascii="Arial"/>
                <w:color w:val="auto"/>
                <w:sz w:val="21"/>
                <w:highlight w:val="none"/>
              </w:rPr>
            </w:pPr>
          </w:p>
          <w:p w14:paraId="37D51F2C">
            <w:pPr>
              <w:spacing w:line="290" w:lineRule="auto"/>
              <w:rPr>
                <w:rFonts w:ascii="Arial"/>
                <w:color w:val="auto"/>
                <w:sz w:val="21"/>
                <w:highlight w:val="none"/>
              </w:rPr>
            </w:pPr>
          </w:p>
          <w:p w14:paraId="7CF5DE94">
            <w:pPr>
              <w:spacing w:line="290" w:lineRule="auto"/>
              <w:rPr>
                <w:rFonts w:ascii="Arial"/>
                <w:color w:val="auto"/>
                <w:sz w:val="21"/>
                <w:highlight w:val="none"/>
              </w:rPr>
            </w:pPr>
          </w:p>
          <w:p w14:paraId="4054E0C8">
            <w:pPr>
              <w:pStyle w:val="17"/>
              <w:spacing w:before="68"/>
              <w:ind w:left="370"/>
              <w:rPr>
                <w:color w:val="auto"/>
                <w:highlight w:val="none"/>
              </w:rPr>
            </w:pPr>
            <w:r>
              <w:rPr>
                <w:color w:val="auto"/>
                <w:highlight w:val="none"/>
              </w:rPr>
              <w:t>9</w:t>
            </w:r>
          </w:p>
        </w:tc>
        <w:tc>
          <w:tcPr>
            <w:tcW w:w="7621" w:type="dxa"/>
            <w:vAlign w:val="top"/>
          </w:tcPr>
          <w:p w14:paraId="78FD8BD5">
            <w:pPr>
              <w:pStyle w:val="17"/>
              <w:spacing w:before="142" w:line="217" w:lineRule="auto"/>
              <w:ind w:left="129"/>
              <w:rPr>
                <w:color w:val="auto"/>
                <w:highlight w:val="none"/>
              </w:rPr>
            </w:pPr>
            <w:r>
              <w:rPr>
                <w:color w:val="auto"/>
                <w:spacing w:val="-4"/>
                <w:highlight w:val="none"/>
              </w:rPr>
              <w:t>出现以下情况，违约金</w:t>
            </w:r>
            <w:r>
              <w:rPr>
                <w:color w:val="auto"/>
                <w:spacing w:val="-43"/>
                <w:highlight w:val="none"/>
              </w:rPr>
              <w:t xml:space="preserve"> </w:t>
            </w:r>
            <w:r>
              <w:rPr>
                <w:color w:val="auto"/>
                <w:spacing w:val="-4"/>
                <w:highlight w:val="none"/>
              </w:rPr>
              <w:t>2,000</w:t>
            </w:r>
            <w:r>
              <w:rPr>
                <w:color w:val="auto"/>
                <w:spacing w:val="-42"/>
                <w:highlight w:val="none"/>
              </w:rPr>
              <w:t xml:space="preserve"> </w:t>
            </w:r>
            <w:r>
              <w:rPr>
                <w:color w:val="auto"/>
                <w:spacing w:val="-4"/>
                <w:highlight w:val="none"/>
              </w:rPr>
              <w:t>元/次：</w:t>
            </w:r>
          </w:p>
          <w:p w14:paraId="7BF82FF8">
            <w:pPr>
              <w:pStyle w:val="17"/>
              <w:spacing w:before="154" w:line="219" w:lineRule="auto"/>
              <w:ind w:left="117"/>
              <w:rPr>
                <w:color w:val="auto"/>
                <w:highlight w:val="none"/>
              </w:rPr>
            </w:pPr>
            <w:r>
              <w:rPr>
                <w:color w:val="auto"/>
                <w:spacing w:val="-4"/>
                <w:highlight w:val="none"/>
              </w:rPr>
              <w:t>（1）施工车辆和机械设备带故障作业；</w:t>
            </w:r>
          </w:p>
          <w:p w14:paraId="7C197931">
            <w:pPr>
              <w:pStyle w:val="17"/>
              <w:spacing w:before="150" w:line="220" w:lineRule="auto"/>
              <w:ind w:left="117"/>
              <w:rPr>
                <w:color w:val="auto"/>
                <w:highlight w:val="none"/>
              </w:rPr>
            </w:pPr>
            <w:r>
              <w:rPr>
                <w:color w:val="auto"/>
                <w:spacing w:val="-3"/>
                <w:highlight w:val="none"/>
              </w:rPr>
              <w:t>（2）发生各种事故苗头及事故未及时整改和隐瞒不报；</w:t>
            </w:r>
          </w:p>
          <w:p w14:paraId="6BD6FA3C">
            <w:pPr>
              <w:pStyle w:val="17"/>
              <w:spacing w:before="149" w:line="220" w:lineRule="auto"/>
              <w:ind w:left="117"/>
              <w:rPr>
                <w:color w:val="auto"/>
                <w:highlight w:val="none"/>
              </w:rPr>
            </w:pPr>
            <w:r>
              <w:rPr>
                <w:color w:val="auto"/>
                <w:spacing w:val="-3"/>
                <w:highlight w:val="none"/>
              </w:rPr>
              <w:t>（3）每月安全大检查，安全管理人员无故不在位；</w:t>
            </w:r>
          </w:p>
          <w:p w14:paraId="5E4054E1">
            <w:pPr>
              <w:pStyle w:val="17"/>
              <w:spacing w:before="150" w:line="219" w:lineRule="auto"/>
              <w:ind w:left="117"/>
              <w:rPr>
                <w:color w:val="auto"/>
                <w:highlight w:val="none"/>
              </w:rPr>
            </w:pPr>
            <w:r>
              <w:rPr>
                <w:color w:val="auto"/>
                <w:spacing w:val="-4"/>
                <w:highlight w:val="none"/>
              </w:rPr>
              <w:t>（4）主要施工机械设备应悬挂操作规程；</w:t>
            </w:r>
          </w:p>
        </w:tc>
      </w:tr>
    </w:tbl>
    <w:p w14:paraId="371D841C">
      <w:pPr>
        <w:pStyle w:val="3"/>
        <w:rPr>
          <w:color w:val="auto"/>
          <w:highlight w:val="none"/>
        </w:rPr>
      </w:pPr>
    </w:p>
    <w:p w14:paraId="7B9D1F55">
      <w:pPr>
        <w:rPr>
          <w:color w:val="auto"/>
          <w:highlight w:val="none"/>
        </w:rPr>
        <w:sectPr>
          <w:headerReference r:id="rId104" w:type="default"/>
          <w:footerReference r:id="rId105" w:type="default"/>
          <w:pgSz w:w="11905" w:h="16840"/>
          <w:pgMar w:top="1182" w:right="0" w:bottom="1171" w:left="0" w:header="849" w:footer="937" w:gutter="0"/>
          <w:pgNumType w:fmt="decimal"/>
          <w:cols w:space="720" w:num="1"/>
        </w:sectPr>
      </w:pPr>
    </w:p>
    <w:p w14:paraId="77BEA290">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1195C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7B187AC0">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1F594004">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213D5239">
            <w:pPr>
              <w:pStyle w:val="17"/>
              <w:spacing w:before="226" w:line="220" w:lineRule="auto"/>
              <w:ind w:left="3393"/>
              <w:rPr>
                <w:color w:val="auto"/>
                <w:highlight w:val="none"/>
              </w:rPr>
            </w:pPr>
            <w:r>
              <w:rPr>
                <w:b/>
                <w:bCs/>
                <w:color w:val="auto"/>
                <w:spacing w:val="-4"/>
                <w:highlight w:val="none"/>
              </w:rPr>
              <w:t>违约项目</w:t>
            </w:r>
          </w:p>
        </w:tc>
      </w:tr>
      <w:tr w14:paraId="74243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03DFEA2F">
            <w:pPr>
              <w:rPr>
                <w:rFonts w:ascii="Arial"/>
                <w:color w:val="auto"/>
                <w:sz w:val="21"/>
                <w:highlight w:val="none"/>
              </w:rPr>
            </w:pPr>
          </w:p>
        </w:tc>
        <w:tc>
          <w:tcPr>
            <w:tcW w:w="839" w:type="dxa"/>
            <w:vAlign w:val="top"/>
          </w:tcPr>
          <w:p w14:paraId="02A24D7A">
            <w:pPr>
              <w:rPr>
                <w:rFonts w:ascii="Arial"/>
                <w:color w:val="auto"/>
                <w:sz w:val="21"/>
                <w:highlight w:val="none"/>
              </w:rPr>
            </w:pPr>
          </w:p>
        </w:tc>
        <w:tc>
          <w:tcPr>
            <w:tcW w:w="7621" w:type="dxa"/>
            <w:vAlign w:val="top"/>
          </w:tcPr>
          <w:p w14:paraId="373C5455">
            <w:pPr>
              <w:pStyle w:val="17"/>
              <w:spacing w:before="138" w:line="220" w:lineRule="auto"/>
              <w:ind w:left="117"/>
              <w:rPr>
                <w:color w:val="auto"/>
                <w:highlight w:val="none"/>
              </w:rPr>
            </w:pPr>
            <w:r>
              <w:rPr>
                <w:color w:val="auto"/>
                <w:spacing w:val="-3"/>
                <w:highlight w:val="none"/>
              </w:rPr>
              <w:t>（5）作业人员酒后作业、作业人员无证上岗；</w:t>
            </w:r>
          </w:p>
          <w:p w14:paraId="56805E6A">
            <w:pPr>
              <w:pStyle w:val="17"/>
              <w:spacing w:before="149" w:line="220" w:lineRule="auto"/>
              <w:ind w:left="117"/>
              <w:rPr>
                <w:color w:val="auto"/>
                <w:highlight w:val="none"/>
              </w:rPr>
            </w:pPr>
            <w:r>
              <w:rPr>
                <w:color w:val="auto"/>
                <w:spacing w:val="-2"/>
                <w:highlight w:val="none"/>
              </w:rPr>
              <w:t>（6）施工未进行安全交底，安全交底无记录的。</w:t>
            </w:r>
          </w:p>
        </w:tc>
      </w:tr>
      <w:tr w14:paraId="40021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832" w:type="dxa"/>
            <w:vMerge w:val="continue"/>
            <w:tcBorders>
              <w:top w:val="nil"/>
              <w:bottom w:val="nil"/>
            </w:tcBorders>
            <w:vAlign w:val="top"/>
          </w:tcPr>
          <w:p w14:paraId="59576E67">
            <w:pPr>
              <w:rPr>
                <w:rFonts w:ascii="Arial"/>
                <w:color w:val="auto"/>
                <w:sz w:val="21"/>
                <w:highlight w:val="none"/>
              </w:rPr>
            </w:pPr>
          </w:p>
        </w:tc>
        <w:tc>
          <w:tcPr>
            <w:tcW w:w="839" w:type="dxa"/>
            <w:vAlign w:val="top"/>
          </w:tcPr>
          <w:p w14:paraId="6913A361">
            <w:pPr>
              <w:spacing w:line="243" w:lineRule="auto"/>
              <w:rPr>
                <w:rFonts w:ascii="Arial"/>
                <w:color w:val="auto"/>
                <w:sz w:val="21"/>
                <w:highlight w:val="none"/>
              </w:rPr>
            </w:pPr>
          </w:p>
          <w:p w14:paraId="4ED1BE09">
            <w:pPr>
              <w:spacing w:line="243" w:lineRule="auto"/>
              <w:rPr>
                <w:rFonts w:ascii="Arial"/>
                <w:color w:val="auto"/>
                <w:sz w:val="21"/>
                <w:highlight w:val="none"/>
              </w:rPr>
            </w:pPr>
          </w:p>
          <w:p w14:paraId="2310660B">
            <w:pPr>
              <w:spacing w:line="243" w:lineRule="auto"/>
              <w:rPr>
                <w:rFonts w:ascii="Arial"/>
                <w:color w:val="auto"/>
                <w:sz w:val="21"/>
                <w:highlight w:val="none"/>
              </w:rPr>
            </w:pPr>
          </w:p>
          <w:p w14:paraId="55EEC3AE">
            <w:pPr>
              <w:spacing w:line="244" w:lineRule="auto"/>
              <w:rPr>
                <w:rFonts w:ascii="Arial"/>
                <w:color w:val="auto"/>
                <w:sz w:val="21"/>
                <w:highlight w:val="none"/>
              </w:rPr>
            </w:pPr>
          </w:p>
          <w:p w14:paraId="3151A5B7">
            <w:pPr>
              <w:spacing w:line="244" w:lineRule="auto"/>
              <w:rPr>
                <w:rFonts w:ascii="Arial"/>
                <w:color w:val="auto"/>
                <w:sz w:val="21"/>
                <w:highlight w:val="none"/>
              </w:rPr>
            </w:pPr>
          </w:p>
          <w:p w14:paraId="43A649B1">
            <w:pPr>
              <w:spacing w:line="244" w:lineRule="auto"/>
              <w:rPr>
                <w:rFonts w:ascii="Arial"/>
                <w:color w:val="auto"/>
                <w:sz w:val="21"/>
                <w:highlight w:val="none"/>
              </w:rPr>
            </w:pPr>
          </w:p>
          <w:p w14:paraId="44E63819">
            <w:pPr>
              <w:pStyle w:val="17"/>
              <w:spacing w:before="68"/>
              <w:ind w:left="333"/>
              <w:rPr>
                <w:color w:val="auto"/>
                <w:highlight w:val="none"/>
              </w:rPr>
            </w:pPr>
            <w:r>
              <w:rPr>
                <w:color w:val="auto"/>
                <w:spacing w:val="-6"/>
                <w:highlight w:val="none"/>
              </w:rPr>
              <w:t>10</w:t>
            </w:r>
          </w:p>
        </w:tc>
        <w:tc>
          <w:tcPr>
            <w:tcW w:w="7621" w:type="dxa"/>
            <w:vAlign w:val="top"/>
          </w:tcPr>
          <w:p w14:paraId="492B30EB">
            <w:pPr>
              <w:pStyle w:val="17"/>
              <w:spacing w:before="139" w:line="220" w:lineRule="auto"/>
              <w:ind w:left="110"/>
              <w:rPr>
                <w:color w:val="auto"/>
                <w:highlight w:val="none"/>
              </w:rPr>
            </w:pPr>
            <w:r>
              <w:rPr>
                <w:color w:val="auto"/>
                <w:spacing w:val="-3"/>
                <w:highlight w:val="none"/>
              </w:rPr>
              <w:t>施工现场人员出现以下情况，每人违约金</w:t>
            </w:r>
            <w:r>
              <w:rPr>
                <w:color w:val="auto"/>
                <w:spacing w:val="-26"/>
                <w:highlight w:val="none"/>
              </w:rPr>
              <w:t xml:space="preserve"> </w:t>
            </w:r>
            <w:r>
              <w:rPr>
                <w:color w:val="auto"/>
                <w:spacing w:val="-3"/>
                <w:highlight w:val="none"/>
              </w:rPr>
              <w:t>500</w:t>
            </w:r>
            <w:r>
              <w:rPr>
                <w:color w:val="auto"/>
                <w:spacing w:val="-41"/>
                <w:highlight w:val="none"/>
              </w:rPr>
              <w:t xml:space="preserve"> </w:t>
            </w:r>
            <w:r>
              <w:rPr>
                <w:color w:val="auto"/>
                <w:spacing w:val="-3"/>
                <w:highlight w:val="none"/>
              </w:rPr>
              <w:t>元/次：</w:t>
            </w:r>
          </w:p>
          <w:p w14:paraId="42CD5287">
            <w:pPr>
              <w:pStyle w:val="17"/>
              <w:spacing w:before="149" w:line="219" w:lineRule="auto"/>
              <w:ind w:left="117"/>
              <w:rPr>
                <w:color w:val="auto"/>
                <w:highlight w:val="none"/>
              </w:rPr>
            </w:pPr>
            <w:r>
              <w:rPr>
                <w:color w:val="auto"/>
                <w:spacing w:val="-7"/>
                <w:highlight w:val="none"/>
              </w:rPr>
              <w:t>（1）不戴安全帽；</w:t>
            </w:r>
          </w:p>
          <w:p w14:paraId="6076CB7C">
            <w:pPr>
              <w:pStyle w:val="17"/>
              <w:spacing w:before="150" w:line="220" w:lineRule="auto"/>
              <w:ind w:left="117"/>
              <w:rPr>
                <w:color w:val="auto"/>
                <w:highlight w:val="none"/>
              </w:rPr>
            </w:pPr>
            <w:r>
              <w:rPr>
                <w:color w:val="auto"/>
                <w:spacing w:val="-5"/>
                <w:highlight w:val="none"/>
              </w:rPr>
              <w:t>（2）高空作业不系安全带；</w:t>
            </w:r>
          </w:p>
          <w:p w14:paraId="786035CB">
            <w:pPr>
              <w:pStyle w:val="17"/>
              <w:spacing w:before="150" w:line="220" w:lineRule="auto"/>
              <w:ind w:left="117"/>
              <w:rPr>
                <w:color w:val="auto"/>
                <w:highlight w:val="none"/>
              </w:rPr>
            </w:pPr>
            <w:r>
              <w:rPr>
                <w:color w:val="auto"/>
                <w:spacing w:val="-5"/>
                <w:highlight w:val="none"/>
              </w:rPr>
              <w:t>（3）水上作业不穿救生衣；</w:t>
            </w:r>
          </w:p>
          <w:p w14:paraId="111CC07E">
            <w:pPr>
              <w:pStyle w:val="17"/>
              <w:spacing w:before="149" w:line="219" w:lineRule="auto"/>
              <w:ind w:left="117"/>
              <w:rPr>
                <w:color w:val="auto"/>
                <w:highlight w:val="none"/>
              </w:rPr>
            </w:pPr>
            <w:r>
              <w:rPr>
                <w:color w:val="auto"/>
                <w:spacing w:val="-6"/>
                <w:highlight w:val="none"/>
              </w:rPr>
              <w:t>（4）赤脚或穿拖鞋；</w:t>
            </w:r>
          </w:p>
          <w:p w14:paraId="3A3E4B17">
            <w:pPr>
              <w:pStyle w:val="17"/>
              <w:spacing w:before="149" w:line="286" w:lineRule="auto"/>
              <w:ind w:left="112" w:right="87" w:firstLine="4"/>
              <w:rPr>
                <w:color w:val="auto"/>
                <w:highlight w:val="none"/>
              </w:rPr>
            </w:pPr>
            <w:r>
              <w:rPr>
                <w:color w:val="auto"/>
                <w:spacing w:val="-1"/>
                <w:highlight w:val="none"/>
              </w:rPr>
              <w:t>（5）爆破员、安全员、电工、装载机司机、运输车司机、电</w:t>
            </w:r>
            <w:r>
              <w:rPr>
                <w:color w:val="auto"/>
                <w:spacing w:val="-2"/>
                <w:highlight w:val="none"/>
              </w:rPr>
              <w:t>焊工、砼工、吊车、</w:t>
            </w:r>
            <w:r>
              <w:rPr>
                <w:color w:val="auto"/>
                <w:spacing w:val="-3"/>
                <w:highlight w:val="none"/>
              </w:rPr>
              <w:t>架桥机等特殊工种未持证上岗的。</w:t>
            </w:r>
          </w:p>
          <w:p w14:paraId="465E2EC0">
            <w:pPr>
              <w:pStyle w:val="17"/>
              <w:spacing w:before="151" w:line="220" w:lineRule="auto"/>
              <w:ind w:left="117"/>
              <w:rPr>
                <w:color w:val="auto"/>
                <w:highlight w:val="none"/>
              </w:rPr>
            </w:pPr>
            <w:r>
              <w:rPr>
                <w:color w:val="auto"/>
                <w:spacing w:val="-3"/>
                <w:highlight w:val="none"/>
              </w:rPr>
              <w:t>（6）其他违反劳动纪律行为。</w:t>
            </w:r>
          </w:p>
        </w:tc>
      </w:tr>
      <w:tr w14:paraId="7E50E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7EB1CCE6">
            <w:pPr>
              <w:rPr>
                <w:rFonts w:ascii="Arial"/>
                <w:color w:val="auto"/>
                <w:sz w:val="21"/>
                <w:highlight w:val="none"/>
              </w:rPr>
            </w:pPr>
          </w:p>
        </w:tc>
        <w:tc>
          <w:tcPr>
            <w:tcW w:w="839" w:type="dxa"/>
            <w:vAlign w:val="top"/>
          </w:tcPr>
          <w:p w14:paraId="4D76E517">
            <w:pPr>
              <w:pStyle w:val="17"/>
              <w:spacing w:before="223" w:line="241" w:lineRule="auto"/>
              <w:ind w:left="333"/>
              <w:rPr>
                <w:color w:val="auto"/>
                <w:highlight w:val="none"/>
              </w:rPr>
            </w:pPr>
            <w:r>
              <w:rPr>
                <w:color w:val="auto"/>
                <w:spacing w:val="-6"/>
                <w:highlight w:val="none"/>
              </w:rPr>
              <w:t>11</w:t>
            </w:r>
          </w:p>
        </w:tc>
        <w:tc>
          <w:tcPr>
            <w:tcW w:w="7621" w:type="dxa"/>
            <w:vAlign w:val="top"/>
          </w:tcPr>
          <w:p w14:paraId="202C2947">
            <w:pPr>
              <w:pStyle w:val="17"/>
              <w:spacing w:before="223" w:line="219" w:lineRule="auto"/>
              <w:ind w:left="129"/>
              <w:rPr>
                <w:color w:val="auto"/>
                <w:highlight w:val="none"/>
              </w:rPr>
            </w:pPr>
            <w:r>
              <w:rPr>
                <w:color w:val="auto"/>
                <w:spacing w:val="-3"/>
                <w:highlight w:val="none"/>
              </w:rPr>
              <w:t>出现违章指挥、违章操作的，违约金</w:t>
            </w:r>
            <w:r>
              <w:rPr>
                <w:color w:val="auto"/>
                <w:spacing w:val="-30"/>
                <w:highlight w:val="none"/>
              </w:rPr>
              <w:t xml:space="preserve"> </w:t>
            </w:r>
            <w:r>
              <w:rPr>
                <w:color w:val="auto"/>
                <w:spacing w:val="-3"/>
                <w:highlight w:val="none"/>
              </w:rPr>
              <w:t>10000</w:t>
            </w:r>
            <w:r>
              <w:rPr>
                <w:color w:val="auto"/>
                <w:spacing w:val="-41"/>
                <w:highlight w:val="none"/>
              </w:rPr>
              <w:t xml:space="preserve"> </w:t>
            </w:r>
            <w:r>
              <w:rPr>
                <w:color w:val="auto"/>
                <w:spacing w:val="-3"/>
                <w:highlight w:val="none"/>
              </w:rPr>
              <w:t>元</w:t>
            </w:r>
            <w:r>
              <w:rPr>
                <w:color w:val="auto"/>
                <w:spacing w:val="-4"/>
                <w:highlight w:val="none"/>
              </w:rPr>
              <w:t>/次。</w:t>
            </w:r>
          </w:p>
        </w:tc>
      </w:tr>
      <w:tr w14:paraId="3210F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79993A37">
            <w:pPr>
              <w:spacing w:line="254" w:lineRule="auto"/>
              <w:rPr>
                <w:rFonts w:ascii="Arial"/>
                <w:color w:val="auto"/>
                <w:sz w:val="21"/>
                <w:highlight w:val="none"/>
              </w:rPr>
            </w:pPr>
          </w:p>
          <w:p w14:paraId="6247CC5C">
            <w:pPr>
              <w:spacing w:line="255" w:lineRule="auto"/>
              <w:rPr>
                <w:rFonts w:ascii="Arial"/>
                <w:color w:val="auto"/>
                <w:sz w:val="21"/>
                <w:highlight w:val="none"/>
              </w:rPr>
            </w:pPr>
          </w:p>
          <w:p w14:paraId="64E6FA73">
            <w:pPr>
              <w:spacing w:line="255" w:lineRule="auto"/>
              <w:rPr>
                <w:rFonts w:ascii="Arial"/>
                <w:color w:val="auto"/>
                <w:sz w:val="21"/>
                <w:highlight w:val="none"/>
              </w:rPr>
            </w:pPr>
          </w:p>
          <w:p w14:paraId="1087C010">
            <w:pPr>
              <w:spacing w:line="255" w:lineRule="auto"/>
              <w:rPr>
                <w:rFonts w:ascii="Arial"/>
                <w:color w:val="auto"/>
                <w:sz w:val="21"/>
                <w:highlight w:val="none"/>
              </w:rPr>
            </w:pPr>
          </w:p>
          <w:p w14:paraId="2854D5C9">
            <w:pPr>
              <w:spacing w:line="255" w:lineRule="auto"/>
              <w:rPr>
                <w:rFonts w:ascii="Arial"/>
                <w:color w:val="auto"/>
                <w:sz w:val="21"/>
                <w:highlight w:val="none"/>
              </w:rPr>
            </w:pPr>
          </w:p>
          <w:p w14:paraId="2BBFFEA4">
            <w:pPr>
              <w:spacing w:line="255" w:lineRule="auto"/>
              <w:rPr>
                <w:rFonts w:ascii="Arial"/>
                <w:color w:val="auto"/>
                <w:sz w:val="21"/>
                <w:highlight w:val="none"/>
              </w:rPr>
            </w:pPr>
          </w:p>
          <w:p w14:paraId="5147B98E">
            <w:pPr>
              <w:spacing w:line="255" w:lineRule="auto"/>
              <w:rPr>
                <w:rFonts w:ascii="Arial"/>
                <w:color w:val="auto"/>
                <w:sz w:val="21"/>
                <w:highlight w:val="none"/>
              </w:rPr>
            </w:pPr>
          </w:p>
          <w:p w14:paraId="795B8F10">
            <w:pPr>
              <w:spacing w:line="255" w:lineRule="auto"/>
              <w:rPr>
                <w:rFonts w:ascii="Arial"/>
                <w:color w:val="auto"/>
                <w:sz w:val="21"/>
                <w:highlight w:val="none"/>
              </w:rPr>
            </w:pPr>
          </w:p>
          <w:p w14:paraId="16B0F158">
            <w:pPr>
              <w:spacing w:line="255" w:lineRule="auto"/>
              <w:rPr>
                <w:rFonts w:ascii="Arial"/>
                <w:color w:val="auto"/>
                <w:sz w:val="21"/>
                <w:highlight w:val="none"/>
              </w:rPr>
            </w:pPr>
          </w:p>
          <w:p w14:paraId="080F4074">
            <w:pPr>
              <w:spacing w:line="255" w:lineRule="auto"/>
              <w:rPr>
                <w:rFonts w:ascii="Arial"/>
                <w:color w:val="auto"/>
                <w:sz w:val="21"/>
                <w:highlight w:val="none"/>
              </w:rPr>
            </w:pPr>
          </w:p>
          <w:p w14:paraId="4086CAFE">
            <w:pPr>
              <w:spacing w:line="255" w:lineRule="auto"/>
              <w:rPr>
                <w:rFonts w:ascii="Arial"/>
                <w:color w:val="auto"/>
                <w:sz w:val="21"/>
                <w:highlight w:val="none"/>
              </w:rPr>
            </w:pPr>
          </w:p>
          <w:p w14:paraId="4F8C6807">
            <w:pPr>
              <w:spacing w:line="255" w:lineRule="auto"/>
              <w:rPr>
                <w:rFonts w:ascii="Arial"/>
                <w:color w:val="auto"/>
                <w:sz w:val="21"/>
                <w:highlight w:val="none"/>
              </w:rPr>
            </w:pPr>
          </w:p>
          <w:p w14:paraId="224491FD">
            <w:pPr>
              <w:pStyle w:val="17"/>
              <w:spacing w:before="68" w:line="356" w:lineRule="auto"/>
              <w:ind w:left="209" w:right="204" w:firstLine="2"/>
              <w:rPr>
                <w:color w:val="auto"/>
                <w:highlight w:val="none"/>
              </w:rPr>
            </w:pPr>
            <w:r>
              <w:rPr>
                <w:color w:val="auto"/>
                <w:spacing w:val="-5"/>
                <w:highlight w:val="none"/>
              </w:rPr>
              <w:t>文明</w:t>
            </w:r>
            <w:r>
              <w:rPr>
                <w:color w:val="auto"/>
                <w:spacing w:val="-4"/>
                <w:highlight w:val="none"/>
              </w:rPr>
              <w:t>施工</w:t>
            </w:r>
          </w:p>
        </w:tc>
        <w:tc>
          <w:tcPr>
            <w:tcW w:w="839" w:type="dxa"/>
            <w:vAlign w:val="top"/>
          </w:tcPr>
          <w:p w14:paraId="65D04112">
            <w:pPr>
              <w:spacing w:line="270" w:lineRule="auto"/>
              <w:rPr>
                <w:rFonts w:ascii="Arial"/>
                <w:color w:val="auto"/>
                <w:sz w:val="21"/>
                <w:highlight w:val="none"/>
              </w:rPr>
            </w:pPr>
          </w:p>
          <w:p w14:paraId="0474616F">
            <w:pPr>
              <w:pStyle w:val="17"/>
              <w:spacing w:before="68" w:line="241" w:lineRule="auto"/>
              <w:ind w:left="385"/>
              <w:rPr>
                <w:color w:val="auto"/>
                <w:highlight w:val="none"/>
              </w:rPr>
            </w:pPr>
            <w:r>
              <w:rPr>
                <w:color w:val="auto"/>
                <w:highlight w:val="none"/>
              </w:rPr>
              <w:t>1</w:t>
            </w:r>
          </w:p>
        </w:tc>
        <w:tc>
          <w:tcPr>
            <w:tcW w:w="7621" w:type="dxa"/>
            <w:vAlign w:val="top"/>
          </w:tcPr>
          <w:p w14:paraId="1112D124">
            <w:pPr>
              <w:pStyle w:val="17"/>
              <w:spacing w:before="141" w:line="287" w:lineRule="auto"/>
              <w:ind w:left="116" w:right="115" w:hanging="5"/>
              <w:rPr>
                <w:color w:val="auto"/>
                <w:highlight w:val="none"/>
              </w:rPr>
            </w:pPr>
            <w:r>
              <w:rPr>
                <w:color w:val="auto"/>
                <w:spacing w:val="1"/>
                <w:highlight w:val="none"/>
              </w:rPr>
              <w:t>承包人驻地建设应包括防护、围墙、临时便道和安全、卫生、防火设施，违者违</w:t>
            </w:r>
            <w:r>
              <w:rPr>
                <w:color w:val="auto"/>
                <w:spacing w:val="-6"/>
                <w:highlight w:val="none"/>
              </w:rPr>
              <w:t>约金</w:t>
            </w:r>
            <w:r>
              <w:rPr>
                <w:color w:val="auto"/>
                <w:spacing w:val="-37"/>
                <w:highlight w:val="none"/>
              </w:rPr>
              <w:t xml:space="preserve"> </w:t>
            </w:r>
            <w:r>
              <w:rPr>
                <w:color w:val="auto"/>
                <w:spacing w:val="-6"/>
                <w:highlight w:val="none"/>
              </w:rPr>
              <w:t>5000</w:t>
            </w:r>
            <w:r>
              <w:rPr>
                <w:color w:val="auto"/>
                <w:spacing w:val="-41"/>
                <w:highlight w:val="none"/>
              </w:rPr>
              <w:t xml:space="preserve"> </w:t>
            </w:r>
            <w:r>
              <w:rPr>
                <w:color w:val="auto"/>
                <w:spacing w:val="-6"/>
                <w:highlight w:val="none"/>
              </w:rPr>
              <w:t>元/项。</w:t>
            </w:r>
          </w:p>
        </w:tc>
      </w:tr>
      <w:tr w14:paraId="0F485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4CF2B7EE">
            <w:pPr>
              <w:rPr>
                <w:rFonts w:ascii="Arial"/>
                <w:color w:val="auto"/>
                <w:sz w:val="21"/>
                <w:highlight w:val="none"/>
              </w:rPr>
            </w:pPr>
          </w:p>
        </w:tc>
        <w:tc>
          <w:tcPr>
            <w:tcW w:w="839" w:type="dxa"/>
            <w:vAlign w:val="top"/>
          </w:tcPr>
          <w:p w14:paraId="57505832">
            <w:pPr>
              <w:spacing w:line="271" w:lineRule="auto"/>
              <w:rPr>
                <w:rFonts w:ascii="Arial"/>
                <w:color w:val="auto"/>
                <w:sz w:val="21"/>
                <w:highlight w:val="none"/>
              </w:rPr>
            </w:pPr>
          </w:p>
          <w:p w14:paraId="5C35C96D">
            <w:pPr>
              <w:pStyle w:val="17"/>
              <w:spacing w:before="68" w:line="241" w:lineRule="auto"/>
              <w:ind w:left="372"/>
              <w:rPr>
                <w:color w:val="auto"/>
                <w:highlight w:val="none"/>
              </w:rPr>
            </w:pPr>
            <w:r>
              <w:rPr>
                <w:color w:val="auto"/>
                <w:highlight w:val="none"/>
              </w:rPr>
              <w:t>2</w:t>
            </w:r>
          </w:p>
        </w:tc>
        <w:tc>
          <w:tcPr>
            <w:tcW w:w="7621" w:type="dxa"/>
            <w:vAlign w:val="top"/>
          </w:tcPr>
          <w:p w14:paraId="073EB7A9">
            <w:pPr>
              <w:pStyle w:val="17"/>
              <w:spacing w:before="141" w:line="287" w:lineRule="auto"/>
              <w:ind w:left="110" w:right="115" w:firstLine="1"/>
              <w:rPr>
                <w:color w:val="auto"/>
                <w:highlight w:val="none"/>
              </w:rPr>
            </w:pPr>
            <w:r>
              <w:rPr>
                <w:color w:val="auto"/>
                <w:spacing w:val="1"/>
                <w:highlight w:val="none"/>
              </w:rPr>
              <w:t>承包人项目经理部应按发包人统一要求设置组织机构、质量管理、安全生产等宣</w:t>
            </w:r>
            <w:r>
              <w:rPr>
                <w:color w:val="auto"/>
                <w:spacing w:val="-3"/>
                <w:highlight w:val="none"/>
              </w:rPr>
              <w:t>传牌，违者违约金</w:t>
            </w:r>
            <w:r>
              <w:rPr>
                <w:color w:val="auto"/>
                <w:spacing w:val="-42"/>
                <w:highlight w:val="none"/>
              </w:rPr>
              <w:t xml:space="preserve"> </w:t>
            </w:r>
            <w:r>
              <w:rPr>
                <w:color w:val="auto"/>
                <w:spacing w:val="-3"/>
                <w:highlight w:val="none"/>
              </w:rPr>
              <w:t>5000</w:t>
            </w:r>
            <w:r>
              <w:rPr>
                <w:color w:val="auto"/>
                <w:spacing w:val="-41"/>
                <w:highlight w:val="none"/>
              </w:rPr>
              <w:t xml:space="preserve"> </w:t>
            </w:r>
            <w:r>
              <w:rPr>
                <w:color w:val="auto"/>
                <w:spacing w:val="-3"/>
                <w:highlight w:val="none"/>
              </w:rPr>
              <w:t>元/项。</w:t>
            </w:r>
          </w:p>
        </w:tc>
      </w:tr>
      <w:tr w14:paraId="07F5B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25EF1840">
            <w:pPr>
              <w:rPr>
                <w:rFonts w:ascii="Arial"/>
                <w:color w:val="auto"/>
                <w:sz w:val="21"/>
                <w:highlight w:val="none"/>
              </w:rPr>
            </w:pPr>
          </w:p>
        </w:tc>
        <w:tc>
          <w:tcPr>
            <w:tcW w:w="839" w:type="dxa"/>
            <w:vAlign w:val="top"/>
          </w:tcPr>
          <w:p w14:paraId="074296C6">
            <w:pPr>
              <w:spacing w:line="271" w:lineRule="auto"/>
              <w:rPr>
                <w:rFonts w:ascii="Arial"/>
                <w:color w:val="auto"/>
                <w:sz w:val="21"/>
                <w:highlight w:val="none"/>
              </w:rPr>
            </w:pPr>
          </w:p>
          <w:p w14:paraId="2CA8EB40">
            <w:pPr>
              <w:pStyle w:val="17"/>
              <w:spacing w:before="69"/>
              <w:ind w:left="374"/>
              <w:rPr>
                <w:color w:val="auto"/>
                <w:highlight w:val="none"/>
              </w:rPr>
            </w:pPr>
            <w:r>
              <w:rPr>
                <w:color w:val="auto"/>
                <w:highlight w:val="none"/>
              </w:rPr>
              <w:t>3</w:t>
            </w:r>
          </w:p>
        </w:tc>
        <w:tc>
          <w:tcPr>
            <w:tcW w:w="7621" w:type="dxa"/>
            <w:vAlign w:val="top"/>
          </w:tcPr>
          <w:p w14:paraId="7BAC1EF2">
            <w:pPr>
              <w:pStyle w:val="17"/>
              <w:spacing w:before="142" w:line="287" w:lineRule="auto"/>
              <w:ind w:left="115" w:right="106" w:hanging="2"/>
              <w:rPr>
                <w:color w:val="auto"/>
                <w:highlight w:val="none"/>
              </w:rPr>
            </w:pPr>
            <w:r>
              <w:rPr>
                <w:color w:val="auto"/>
                <w:highlight w:val="none"/>
              </w:rPr>
              <w:t>单项工程的施工现场未按要求设立标示牌的，施工点无安全员的,违约金</w:t>
            </w:r>
            <w:r>
              <w:rPr>
                <w:color w:val="auto"/>
                <w:spacing w:val="-20"/>
                <w:highlight w:val="none"/>
              </w:rPr>
              <w:t xml:space="preserve"> </w:t>
            </w:r>
            <w:r>
              <w:rPr>
                <w:color w:val="auto"/>
                <w:highlight w:val="none"/>
              </w:rPr>
              <w:t>500</w:t>
            </w:r>
            <w:r>
              <w:rPr>
                <w:color w:val="auto"/>
                <w:spacing w:val="-41"/>
                <w:highlight w:val="none"/>
              </w:rPr>
              <w:t xml:space="preserve"> </w:t>
            </w:r>
            <w:r>
              <w:rPr>
                <w:color w:val="auto"/>
                <w:highlight w:val="none"/>
              </w:rPr>
              <w:t>元/</w:t>
            </w:r>
            <w:r>
              <w:rPr>
                <w:color w:val="auto"/>
                <w:spacing w:val="-11"/>
                <w:highlight w:val="none"/>
              </w:rPr>
              <w:t>处。</w:t>
            </w:r>
          </w:p>
        </w:tc>
      </w:tr>
      <w:tr w14:paraId="2AB4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1A42B12">
            <w:pPr>
              <w:rPr>
                <w:rFonts w:ascii="Arial"/>
                <w:color w:val="auto"/>
                <w:sz w:val="21"/>
                <w:highlight w:val="none"/>
              </w:rPr>
            </w:pPr>
          </w:p>
        </w:tc>
        <w:tc>
          <w:tcPr>
            <w:tcW w:w="839" w:type="dxa"/>
            <w:vAlign w:val="top"/>
          </w:tcPr>
          <w:p w14:paraId="716AA5B9">
            <w:pPr>
              <w:pStyle w:val="17"/>
              <w:spacing w:before="225" w:line="241" w:lineRule="auto"/>
              <w:ind w:left="369"/>
              <w:rPr>
                <w:color w:val="auto"/>
                <w:highlight w:val="none"/>
              </w:rPr>
            </w:pPr>
            <w:r>
              <w:rPr>
                <w:color w:val="auto"/>
                <w:highlight w:val="none"/>
              </w:rPr>
              <w:t>4</w:t>
            </w:r>
          </w:p>
        </w:tc>
        <w:tc>
          <w:tcPr>
            <w:tcW w:w="7621" w:type="dxa"/>
            <w:vAlign w:val="top"/>
          </w:tcPr>
          <w:p w14:paraId="0033D416">
            <w:pPr>
              <w:pStyle w:val="17"/>
              <w:spacing w:before="225" w:line="217" w:lineRule="auto"/>
              <w:ind w:left="110"/>
              <w:rPr>
                <w:color w:val="auto"/>
                <w:highlight w:val="none"/>
              </w:rPr>
            </w:pPr>
            <w:r>
              <w:rPr>
                <w:color w:val="auto"/>
                <w:spacing w:val="-2"/>
                <w:highlight w:val="none"/>
              </w:rPr>
              <w:t>施工现场管理人员不佩带工作证, 每人违约金</w:t>
            </w:r>
            <w:r>
              <w:rPr>
                <w:color w:val="auto"/>
                <w:spacing w:val="-34"/>
                <w:highlight w:val="none"/>
              </w:rPr>
              <w:t xml:space="preserve"> </w:t>
            </w:r>
            <w:r>
              <w:rPr>
                <w:color w:val="auto"/>
                <w:spacing w:val="-2"/>
                <w:highlight w:val="none"/>
              </w:rPr>
              <w:t>200</w:t>
            </w:r>
            <w:r>
              <w:rPr>
                <w:color w:val="auto"/>
                <w:spacing w:val="-42"/>
                <w:highlight w:val="none"/>
              </w:rPr>
              <w:t xml:space="preserve"> </w:t>
            </w:r>
            <w:r>
              <w:rPr>
                <w:color w:val="auto"/>
                <w:spacing w:val="-2"/>
                <w:highlight w:val="none"/>
              </w:rPr>
              <w:t>元/次。</w:t>
            </w:r>
          </w:p>
        </w:tc>
      </w:tr>
      <w:tr w14:paraId="1B8CA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D858428">
            <w:pPr>
              <w:rPr>
                <w:rFonts w:ascii="Arial"/>
                <w:color w:val="auto"/>
                <w:sz w:val="21"/>
                <w:highlight w:val="none"/>
              </w:rPr>
            </w:pPr>
          </w:p>
        </w:tc>
        <w:tc>
          <w:tcPr>
            <w:tcW w:w="839" w:type="dxa"/>
            <w:vAlign w:val="top"/>
          </w:tcPr>
          <w:p w14:paraId="53B0C8DF">
            <w:pPr>
              <w:pStyle w:val="17"/>
              <w:spacing w:before="225"/>
              <w:ind w:left="374"/>
              <w:rPr>
                <w:color w:val="auto"/>
                <w:highlight w:val="none"/>
              </w:rPr>
            </w:pPr>
            <w:r>
              <w:rPr>
                <w:color w:val="auto"/>
                <w:highlight w:val="none"/>
              </w:rPr>
              <w:t>5</w:t>
            </w:r>
          </w:p>
        </w:tc>
        <w:tc>
          <w:tcPr>
            <w:tcW w:w="7621" w:type="dxa"/>
            <w:vAlign w:val="top"/>
          </w:tcPr>
          <w:p w14:paraId="5A30C4ED">
            <w:pPr>
              <w:pStyle w:val="17"/>
              <w:spacing w:before="225" w:line="217" w:lineRule="auto"/>
              <w:ind w:left="110"/>
              <w:rPr>
                <w:color w:val="auto"/>
                <w:highlight w:val="none"/>
              </w:rPr>
            </w:pPr>
            <w:r>
              <w:rPr>
                <w:color w:val="auto"/>
                <w:spacing w:val="-1"/>
                <w:highlight w:val="none"/>
              </w:rPr>
              <w:t>施工扬尘防治措施未按行业主管部门管理规定落实到位的，违</w:t>
            </w:r>
            <w:r>
              <w:rPr>
                <w:color w:val="auto"/>
                <w:spacing w:val="-2"/>
                <w:highlight w:val="none"/>
              </w:rPr>
              <w:t>约金</w:t>
            </w:r>
            <w:r>
              <w:rPr>
                <w:color w:val="auto"/>
                <w:spacing w:val="-41"/>
                <w:highlight w:val="none"/>
              </w:rPr>
              <w:t xml:space="preserve"> </w:t>
            </w:r>
            <w:r>
              <w:rPr>
                <w:color w:val="auto"/>
                <w:spacing w:val="-2"/>
                <w:highlight w:val="none"/>
              </w:rPr>
              <w:t>3,000</w:t>
            </w:r>
            <w:r>
              <w:rPr>
                <w:color w:val="auto"/>
                <w:spacing w:val="-41"/>
                <w:highlight w:val="none"/>
              </w:rPr>
              <w:t xml:space="preserve"> </w:t>
            </w:r>
            <w:r>
              <w:rPr>
                <w:color w:val="auto"/>
                <w:spacing w:val="-2"/>
                <w:highlight w:val="none"/>
              </w:rPr>
              <w:t>元/次。</w:t>
            </w:r>
          </w:p>
        </w:tc>
      </w:tr>
      <w:tr w14:paraId="020BA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BD140DF">
            <w:pPr>
              <w:rPr>
                <w:rFonts w:ascii="Arial"/>
                <w:color w:val="auto"/>
                <w:sz w:val="21"/>
                <w:highlight w:val="none"/>
              </w:rPr>
            </w:pPr>
          </w:p>
        </w:tc>
        <w:tc>
          <w:tcPr>
            <w:tcW w:w="839" w:type="dxa"/>
            <w:vAlign w:val="top"/>
          </w:tcPr>
          <w:p w14:paraId="13CDE8E2">
            <w:pPr>
              <w:spacing w:line="272" w:lineRule="auto"/>
              <w:rPr>
                <w:rFonts w:ascii="Arial"/>
                <w:color w:val="auto"/>
                <w:sz w:val="21"/>
                <w:highlight w:val="none"/>
              </w:rPr>
            </w:pPr>
          </w:p>
          <w:p w14:paraId="63E12D87">
            <w:pPr>
              <w:pStyle w:val="17"/>
              <w:spacing w:before="68"/>
              <w:ind w:left="371"/>
              <w:rPr>
                <w:color w:val="auto"/>
                <w:highlight w:val="none"/>
              </w:rPr>
            </w:pPr>
            <w:r>
              <w:rPr>
                <w:color w:val="auto"/>
                <w:highlight w:val="none"/>
              </w:rPr>
              <w:t>6</w:t>
            </w:r>
          </w:p>
        </w:tc>
        <w:tc>
          <w:tcPr>
            <w:tcW w:w="7621" w:type="dxa"/>
            <w:vAlign w:val="top"/>
          </w:tcPr>
          <w:p w14:paraId="6A48E866">
            <w:pPr>
              <w:pStyle w:val="17"/>
              <w:spacing w:before="142" w:line="287" w:lineRule="auto"/>
              <w:ind w:left="110" w:right="115"/>
              <w:rPr>
                <w:color w:val="auto"/>
                <w:highlight w:val="none"/>
              </w:rPr>
            </w:pPr>
            <w:r>
              <w:rPr>
                <w:color w:val="auto"/>
                <w:spacing w:val="1"/>
                <w:highlight w:val="none"/>
              </w:rPr>
              <w:t>桥梁施工过程中的泥浆及废弃物等，须在该项工程完工时即时清除干净，符合固</w:t>
            </w:r>
            <w:r>
              <w:rPr>
                <w:color w:val="auto"/>
                <w:spacing w:val="-3"/>
                <w:highlight w:val="none"/>
              </w:rPr>
              <w:t>废处理要求，违者违约金</w:t>
            </w:r>
            <w:r>
              <w:rPr>
                <w:color w:val="auto"/>
                <w:spacing w:val="-24"/>
                <w:highlight w:val="none"/>
              </w:rPr>
              <w:t xml:space="preserve"> </w:t>
            </w:r>
            <w:r>
              <w:rPr>
                <w:color w:val="auto"/>
                <w:spacing w:val="-3"/>
                <w:highlight w:val="none"/>
              </w:rPr>
              <w:t>3,0000</w:t>
            </w:r>
            <w:r>
              <w:rPr>
                <w:color w:val="auto"/>
                <w:spacing w:val="-42"/>
                <w:highlight w:val="none"/>
              </w:rPr>
              <w:t xml:space="preserve"> </w:t>
            </w:r>
            <w:r>
              <w:rPr>
                <w:color w:val="auto"/>
                <w:spacing w:val="-3"/>
                <w:highlight w:val="none"/>
              </w:rPr>
              <w:t>元。</w:t>
            </w:r>
          </w:p>
        </w:tc>
      </w:tr>
      <w:tr w14:paraId="7F30E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9C07C4C">
            <w:pPr>
              <w:rPr>
                <w:rFonts w:ascii="Arial"/>
                <w:color w:val="auto"/>
                <w:sz w:val="21"/>
                <w:highlight w:val="none"/>
              </w:rPr>
            </w:pPr>
          </w:p>
        </w:tc>
        <w:tc>
          <w:tcPr>
            <w:tcW w:w="839" w:type="dxa"/>
            <w:vAlign w:val="top"/>
          </w:tcPr>
          <w:p w14:paraId="5CC972EE">
            <w:pPr>
              <w:spacing w:line="272" w:lineRule="auto"/>
              <w:rPr>
                <w:rFonts w:ascii="Arial"/>
                <w:color w:val="auto"/>
                <w:sz w:val="21"/>
                <w:highlight w:val="none"/>
              </w:rPr>
            </w:pPr>
          </w:p>
          <w:p w14:paraId="45BF0EE3">
            <w:pPr>
              <w:pStyle w:val="17"/>
              <w:spacing w:before="68"/>
              <w:ind w:left="375"/>
              <w:rPr>
                <w:color w:val="auto"/>
                <w:highlight w:val="none"/>
              </w:rPr>
            </w:pPr>
            <w:r>
              <w:rPr>
                <w:color w:val="auto"/>
                <w:highlight w:val="none"/>
              </w:rPr>
              <w:t>7</w:t>
            </w:r>
          </w:p>
        </w:tc>
        <w:tc>
          <w:tcPr>
            <w:tcW w:w="7621" w:type="dxa"/>
            <w:vAlign w:val="top"/>
          </w:tcPr>
          <w:p w14:paraId="397FB486">
            <w:pPr>
              <w:pStyle w:val="17"/>
              <w:spacing w:before="142" w:line="287" w:lineRule="auto"/>
              <w:ind w:left="113" w:right="33" w:hanging="3"/>
              <w:rPr>
                <w:color w:val="auto"/>
                <w:highlight w:val="none"/>
              </w:rPr>
            </w:pPr>
            <w:r>
              <w:rPr>
                <w:color w:val="auto"/>
                <w:spacing w:val="-5"/>
                <w:highlight w:val="none"/>
              </w:rPr>
              <w:t>施工现场未采取有效措施，造成水源污染、空气污染等不良后</w:t>
            </w:r>
            <w:r>
              <w:rPr>
                <w:color w:val="auto"/>
                <w:spacing w:val="-6"/>
                <w:highlight w:val="none"/>
              </w:rPr>
              <w:t>果， 引起群众抗议、</w:t>
            </w:r>
            <w:r>
              <w:rPr>
                <w:color w:val="auto"/>
                <w:spacing w:val="-2"/>
                <w:highlight w:val="none"/>
              </w:rPr>
              <w:t>投诉或有关行政主管部门处理的，违约金</w:t>
            </w:r>
            <w:r>
              <w:rPr>
                <w:color w:val="auto"/>
                <w:spacing w:val="-29"/>
                <w:highlight w:val="none"/>
              </w:rPr>
              <w:t xml:space="preserve"> </w:t>
            </w:r>
            <w:r>
              <w:rPr>
                <w:color w:val="auto"/>
                <w:spacing w:val="-2"/>
                <w:highlight w:val="none"/>
              </w:rPr>
              <w:t>1</w:t>
            </w:r>
            <w:r>
              <w:rPr>
                <w:color w:val="auto"/>
                <w:spacing w:val="-3"/>
                <w:highlight w:val="none"/>
              </w:rPr>
              <w:t>0，000</w:t>
            </w:r>
            <w:r>
              <w:rPr>
                <w:color w:val="auto"/>
                <w:spacing w:val="-42"/>
                <w:highlight w:val="none"/>
              </w:rPr>
              <w:t xml:space="preserve"> </w:t>
            </w:r>
            <w:r>
              <w:rPr>
                <w:color w:val="auto"/>
                <w:spacing w:val="-3"/>
                <w:highlight w:val="none"/>
              </w:rPr>
              <w:t>元/次。</w:t>
            </w:r>
          </w:p>
        </w:tc>
      </w:tr>
      <w:tr w14:paraId="536C2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4EBA2BF">
            <w:pPr>
              <w:rPr>
                <w:rFonts w:ascii="Arial"/>
                <w:color w:val="auto"/>
                <w:sz w:val="21"/>
                <w:highlight w:val="none"/>
              </w:rPr>
            </w:pPr>
          </w:p>
        </w:tc>
        <w:tc>
          <w:tcPr>
            <w:tcW w:w="839" w:type="dxa"/>
            <w:vAlign w:val="top"/>
          </w:tcPr>
          <w:p w14:paraId="10DA27E7">
            <w:pPr>
              <w:spacing w:line="272" w:lineRule="auto"/>
              <w:rPr>
                <w:rFonts w:ascii="Arial"/>
                <w:color w:val="auto"/>
                <w:sz w:val="21"/>
                <w:highlight w:val="none"/>
              </w:rPr>
            </w:pPr>
          </w:p>
          <w:p w14:paraId="78EBCE1C">
            <w:pPr>
              <w:pStyle w:val="17"/>
              <w:spacing w:before="68"/>
              <w:ind w:left="370"/>
              <w:rPr>
                <w:color w:val="auto"/>
                <w:highlight w:val="none"/>
              </w:rPr>
            </w:pPr>
            <w:r>
              <w:rPr>
                <w:color w:val="auto"/>
                <w:highlight w:val="none"/>
              </w:rPr>
              <w:t>8</w:t>
            </w:r>
          </w:p>
        </w:tc>
        <w:tc>
          <w:tcPr>
            <w:tcW w:w="7621" w:type="dxa"/>
            <w:vAlign w:val="top"/>
          </w:tcPr>
          <w:p w14:paraId="7F46AAC2">
            <w:pPr>
              <w:pStyle w:val="17"/>
              <w:spacing w:before="142" w:line="287" w:lineRule="auto"/>
              <w:ind w:left="110" w:right="104" w:firstLine="4"/>
              <w:rPr>
                <w:color w:val="auto"/>
                <w:highlight w:val="none"/>
              </w:rPr>
            </w:pPr>
            <w:r>
              <w:rPr>
                <w:color w:val="auto"/>
                <w:spacing w:val="-2"/>
                <w:highlight w:val="none"/>
              </w:rPr>
              <w:t>弃土、弃渣堆放于陡坡桥梁桥位上，或占农田果园、堵塞水道的，</w:t>
            </w:r>
            <w:r>
              <w:rPr>
                <w:color w:val="auto"/>
                <w:spacing w:val="-3"/>
                <w:highlight w:val="none"/>
              </w:rPr>
              <w:t>违约金</w:t>
            </w:r>
            <w:r>
              <w:rPr>
                <w:color w:val="auto"/>
                <w:spacing w:val="-39"/>
                <w:highlight w:val="none"/>
              </w:rPr>
              <w:t xml:space="preserve"> </w:t>
            </w:r>
            <w:r>
              <w:rPr>
                <w:color w:val="auto"/>
                <w:spacing w:val="-3"/>
                <w:highlight w:val="none"/>
              </w:rPr>
              <w:t>5000</w:t>
            </w:r>
            <w:r>
              <w:rPr>
                <w:color w:val="auto"/>
                <w:spacing w:val="-44"/>
                <w:highlight w:val="none"/>
              </w:rPr>
              <w:t xml:space="preserve"> </w:t>
            </w:r>
            <w:r>
              <w:rPr>
                <w:color w:val="auto"/>
                <w:spacing w:val="-3"/>
                <w:highlight w:val="none"/>
              </w:rPr>
              <w:t>元</w:t>
            </w:r>
            <w:r>
              <w:rPr>
                <w:color w:val="auto"/>
                <w:spacing w:val="-8"/>
                <w:highlight w:val="none"/>
              </w:rPr>
              <w:t>/次。</w:t>
            </w:r>
          </w:p>
        </w:tc>
      </w:tr>
      <w:tr w14:paraId="43629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tcBorders>
            <w:vAlign w:val="top"/>
          </w:tcPr>
          <w:p w14:paraId="24898302">
            <w:pPr>
              <w:rPr>
                <w:rFonts w:ascii="Arial"/>
                <w:color w:val="auto"/>
                <w:sz w:val="21"/>
                <w:highlight w:val="none"/>
              </w:rPr>
            </w:pPr>
          </w:p>
        </w:tc>
        <w:tc>
          <w:tcPr>
            <w:tcW w:w="839" w:type="dxa"/>
            <w:vAlign w:val="top"/>
          </w:tcPr>
          <w:p w14:paraId="370DAF3F">
            <w:pPr>
              <w:spacing w:line="272" w:lineRule="auto"/>
              <w:rPr>
                <w:rFonts w:ascii="Arial"/>
                <w:color w:val="auto"/>
                <w:sz w:val="21"/>
                <w:highlight w:val="none"/>
              </w:rPr>
            </w:pPr>
          </w:p>
          <w:p w14:paraId="54B2703A">
            <w:pPr>
              <w:pStyle w:val="17"/>
              <w:spacing w:before="68"/>
              <w:ind w:left="370"/>
              <w:rPr>
                <w:color w:val="auto"/>
                <w:highlight w:val="none"/>
              </w:rPr>
            </w:pPr>
            <w:r>
              <w:rPr>
                <w:color w:val="auto"/>
                <w:highlight w:val="none"/>
              </w:rPr>
              <w:t>9</w:t>
            </w:r>
          </w:p>
        </w:tc>
        <w:tc>
          <w:tcPr>
            <w:tcW w:w="7621" w:type="dxa"/>
            <w:vAlign w:val="top"/>
          </w:tcPr>
          <w:p w14:paraId="32B884FD">
            <w:pPr>
              <w:pStyle w:val="17"/>
              <w:spacing w:before="142" w:line="287" w:lineRule="auto"/>
              <w:ind w:left="116" w:right="115" w:hanging="2"/>
              <w:rPr>
                <w:color w:val="auto"/>
                <w:highlight w:val="none"/>
              </w:rPr>
            </w:pPr>
            <w:r>
              <w:rPr>
                <w:color w:val="auto"/>
                <w:spacing w:val="1"/>
                <w:highlight w:val="none"/>
              </w:rPr>
              <w:t>水土保持防护措施不完善，造成水土流失，污染当地农田水利或城镇农村的，违</w:t>
            </w:r>
            <w:r>
              <w:rPr>
                <w:color w:val="auto"/>
                <w:spacing w:val="-6"/>
                <w:highlight w:val="none"/>
              </w:rPr>
              <w:t>约金</w:t>
            </w:r>
            <w:r>
              <w:rPr>
                <w:color w:val="auto"/>
                <w:spacing w:val="-37"/>
                <w:highlight w:val="none"/>
              </w:rPr>
              <w:t xml:space="preserve"> </w:t>
            </w:r>
            <w:r>
              <w:rPr>
                <w:color w:val="auto"/>
                <w:spacing w:val="-6"/>
                <w:highlight w:val="none"/>
              </w:rPr>
              <w:t>5000</w:t>
            </w:r>
            <w:r>
              <w:rPr>
                <w:color w:val="auto"/>
                <w:spacing w:val="-41"/>
                <w:highlight w:val="none"/>
              </w:rPr>
              <w:t xml:space="preserve"> </w:t>
            </w:r>
            <w:r>
              <w:rPr>
                <w:color w:val="auto"/>
                <w:spacing w:val="-6"/>
                <w:highlight w:val="none"/>
              </w:rPr>
              <w:t>元/次。</w:t>
            </w:r>
          </w:p>
        </w:tc>
      </w:tr>
      <w:tr w14:paraId="5B326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restart"/>
            <w:tcBorders>
              <w:bottom w:val="nil"/>
            </w:tcBorders>
            <w:vAlign w:val="top"/>
          </w:tcPr>
          <w:p w14:paraId="220F48FD">
            <w:pPr>
              <w:spacing w:line="265" w:lineRule="auto"/>
              <w:rPr>
                <w:rFonts w:ascii="Arial"/>
                <w:color w:val="auto"/>
                <w:sz w:val="21"/>
                <w:highlight w:val="none"/>
              </w:rPr>
            </w:pPr>
          </w:p>
          <w:p w14:paraId="18483B7B">
            <w:pPr>
              <w:spacing w:line="265" w:lineRule="auto"/>
              <w:rPr>
                <w:rFonts w:ascii="Arial"/>
                <w:color w:val="auto"/>
                <w:sz w:val="21"/>
                <w:highlight w:val="none"/>
              </w:rPr>
            </w:pPr>
          </w:p>
          <w:p w14:paraId="37551A98">
            <w:pPr>
              <w:pStyle w:val="17"/>
              <w:spacing w:before="69" w:line="354" w:lineRule="auto"/>
              <w:ind w:left="210" w:right="204"/>
              <w:rPr>
                <w:color w:val="auto"/>
                <w:highlight w:val="none"/>
              </w:rPr>
            </w:pPr>
            <w:r>
              <w:rPr>
                <w:color w:val="auto"/>
                <w:spacing w:val="-5"/>
                <w:highlight w:val="none"/>
              </w:rPr>
              <w:t>环境保护</w:t>
            </w:r>
          </w:p>
        </w:tc>
        <w:tc>
          <w:tcPr>
            <w:tcW w:w="839" w:type="dxa"/>
            <w:vAlign w:val="top"/>
          </w:tcPr>
          <w:p w14:paraId="18C3CF68">
            <w:pPr>
              <w:pStyle w:val="17"/>
              <w:spacing w:before="225" w:line="241" w:lineRule="auto"/>
              <w:ind w:left="385"/>
              <w:rPr>
                <w:color w:val="auto"/>
                <w:highlight w:val="none"/>
              </w:rPr>
            </w:pPr>
            <w:r>
              <w:rPr>
                <w:color w:val="auto"/>
                <w:highlight w:val="none"/>
              </w:rPr>
              <w:t>1</w:t>
            </w:r>
          </w:p>
        </w:tc>
        <w:tc>
          <w:tcPr>
            <w:tcW w:w="7621" w:type="dxa"/>
            <w:vAlign w:val="top"/>
          </w:tcPr>
          <w:p w14:paraId="34659AF4">
            <w:pPr>
              <w:pStyle w:val="17"/>
              <w:spacing w:before="224" w:line="217" w:lineRule="auto"/>
              <w:ind w:left="115"/>
              <w:rPr>
                <w:color w:val="auto"/>
                <w:highlight w:val="none"/>
              </w:rPr>
            </w:pPr>
            <w:r>
              <w:rPr>
                <w:color w:val="auto"/>
                <w:spacing w:val="-2"/>
                <w:highlight w:val="none"/>
              </w:rPr>
              <w:t>未建立健全的环境保护管理机构，违约金</w:t>
            </w:r>
            <w:r>
              <w:rPr>
                <w:color w:val="auto"/>
                <w:spacing w:val="-30"/>
                <w:highlight w:val="none"/>
              </w:rPr>
              <w:t xml:space="preserve"> </w:t>
            </w:r>
            <w:r>
              <w:rPr>
                <w:color w:val="auto"/>
                <w:spacing w:val="-2"/>
                <w:highlight w:val="none"/>
              </w:rPr>
              <w:t>10,000</w:t>
            </w:r>
            <w:r>
              <w:rPr>
                <w:color w:val="auto"/>
                <w:spacing w:val="-41"/>
                <w:highlight w:val="none"/>
              </w:rPr>
              <w:t xml:space="preserve"> </w:t>
            </w:r>
            <w:r>
              <w:rPr>
                <w:color w:val="auto"/>
                <w:spacing w:val="-2"/>
                <w:highlight w:val="none"/>
              </w:rPr>
              <w:t>元</w:t>
            </w:r>
            <w:r>
              <w:rPr>
                <w:color w:val="auto"/>
                <w:spacing w:val="-3"/>
                <w:highlight w:val="none"/>
              </w:rPr>
              <w:t>，并限期纠正。</w:t>
            </w:r>
          </w:p>
        </w:tc>
      </w:tr>
      <w:tr w14:paraId="5CB68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C0AA120">
            <w:pPr>
              <w:rPr>
                <w:rFonts w:ascii="Arial"/>
                <w:color w:val="auto"/>
                <w:sz w:val="21"/>
                <w:highlight w:val="none"/>
              </w:rPr>
            </w:pPr>
          </w:p>
        </w:tc>
        <w:tc>
          <w:tcPr>
            <w:tcW w:w="839" w:type="dxa"/>
            <w:vAlign w:val="top"/>
          </w:tcPr>
          <w:p w14:paraId="3E99BBC7">
            <w:pPr>
              <w:pStyle w:val="17"/>
              <w:spacing w:before="226" w:line="241" w:lineRule="auto"/>
              <w:ind w:left="372"/>
              <w:rPr>
                <w:color w:val="auto"/>
                <w:highlight w:val="none"/>
              </w:rPr>
            </w:pPr>
            <w:r>
              <w:rPr>
                <w:color w:val="auto"/>
                <w:highlight w:val="none"/>
              </w:rPr>
              <w:t>2</w:t>
            </w:r>
          </w:p>
        </w:tc>
        <w:tc>
          <w:tcPr>
            <w:tcW w:w="7621" w:type="dxa"/>
            <w:vAlign w:val="top"/>
          </w:tcPr>
          <w:p w14:paraId="655EDD03">
            <w:pPr>
              <w:pStyle w:val="17"/>
              <w:spacing w:before="225" w:line="217" w:lineRule="auto"/>
              <w:ind w:left="111"/>
              <w:rPr>
                <w:color w:val="auto"/>
                <w:highlight w:val="none"/>
              </w:rPr>
            </w:pPr>
            <w:r>
              <w:rPr>
                <w:color w:val="auto"/>
                <w:spacing w:val="-2"/>
                <w:highlight w:val="none"/>
              </w:rPr>
              <w:t>环境保护规章制度不齐全，违约金</w:t>
            </w:r>
            <w:r>
              <w:rPr>
                <w:color w:val="auto"/>
                <w:spacing w:val="-42"/>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元，并限期纠正。</w:t>
            </w:r>
          </w:p>
        </w:tc>
      </w:tr>
      <w:tr w14:paraId="6C2D0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5D26FAF3">
            <w:pPr>
              <w:rPr>
                <w:rFonts w:ascii="Arial"/>
                <w:color w:val="auto"/>
                <w:sz w:val="21"/>
                <w:highlight w:val="none"/>
              </w:rPr>
            </w:pPr>
          </w:p>
        </w:tc>
        <w:tc>
          <w:tcPr>
            <w:tcW w:w="839" w:type="dxa"/>
            <w:vAlign w:val="top"/>
          </w:tcPr>
          <w:p w14:paraId="3B3C724B">
            <w:pPr>
              <w:pStyle w:val="17"/>
              <w:spacing w:before="226"/>
              <w:ind w:left="374"/>
              <w:rPr>
                <w:color w:val="auto"/>
                <w:highlight w:val="none"/>
              </w:rPr>
            </w:pPr>
            <w:r>
              <w:rPr>
                <w:color w:val="auto"/>
                <w:highlight w:val="none"/>
              </w:rPr>
              <w:t>3</w:t>
            </w:r>
          </w:p>
        </w:tc>
        <w:tc>
          <w:tcPr>
            <w:tcW w:w="7621" w:type="dxa"/>
            <w:vAlign w:val="top"/>
          </w:tcPr>
          <w:p w14:paraId="3EC84B20">
            <w:pPr>
              <w:pStyle w:val="17"/>
              <w:spacing w:before="225" w:line="217" w:lineRule="auto"/>
              <w:ind w:left="110"/>
              <w:rPr>
                <w:color w:val="auto"/>
                <w:highlight w:val="none"/>
              </w:rPr>
            </w:pPr>
            <w:r>
              <w:rPr>
                <w:color w:val="auto"/>
                <w:spacing w:val="-3"/>
                <w:highlight w:val="none"/>
              </w:rPr>
              <w:t>施工方案中没有环保措施，违约金</w:t>
            </w:r>
            <w:r>
              <w:rPr>
                <w:color w:val="auto"/>
                <w:spacing w:val="-14"/>
                <w:highlight w:val="none"/>
              </w:rPr>
              <w:t xml:space="preserve"> </w:t>
            </w:r>
            <w:r>
              <w:rPr>
                <w:color w:val="auto"/>
                <w:spacing w:val="-3"/>
                <w:highlight w:val="none"/>
              </w:rPr>
              <w:t>1,000</w:t>
            </w:r>
            <w:r>
              <w:rPr>
                <w:color w:val="auto"/>
                <w:spacing w:val="-41"/>
                <w:highlight w:val="none"/>
              </w:rPr>
              <w:t xml:space="preserve"> </w:t>
            </w:r>
            <w:r>
              <w:rPr>
                <w:color w:val="auto"/>
                <w:spacing w:val="-3"/>
                <w:highlight w:val="none"/>
              </w:rPr>
              <w:t>元，并限期纠正。</w:t>
            </w:r>
          </w:p>
        </w:tc>
      </w:tr>
    </w:tbl>
    <w:p w14:paraId="2D2FB6B7">
      <w:pPr>
        <w:pStyle w:val="3"/>
        <w:rPr>
          <w:color w:val="auto"/>
          <w:highlight w:val="none"/>
        </w:rPr>
      </w:pPr>
    </w:p>
    <w:p w14:paraId="3561C04D">
      <w:pPr>
        <w:rPr>
          <w:color w:val="auto"/>
          <w:highlight w:val="none"/>
        </w:rPr>
        <w:sectPr>
          <w:headerReference r:id="rId106" w:type="default"/>
          <w:footerReference r:id="rId107" w:type="default"/>
          <w:pgSz w:w="11905" w:h="16840"/>
          <w:pgMar w:top="1182" w:right="0" w:bottom="1171" w:left="0" w:header="849" w:footer="937" w:gutter="0"/>
          <w:pgNumType w:fmt="decimal"/>
          <w:cols w:space="720" w:num="1"/>
        </w:sectPr>
      </w:pPr>
    </w:p>
    <w:p w14:paraId="4FAB7ACD">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2C3F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5D9285AD">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57D05DF9">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2F443E43">
            <w:pPr>
              <w:pStyle w:val="17"/>
              <w:spacing w:before="226" w:line="220" w:lineRule="auto"/>
              <w:ind w:left="3393"/>
              <w:rPr>
                <w:color w:val="auto"/>
                <w:highlight w:val="none"/>
              </w:rPr>
            </w:pPr>
            <w:r>
              <w:rPr>
                <w:b/>
                <w:bCs/>
                <w:color w:val="auto"/>
                <w:spacing w:val="-4"/>
                <w:highlight w:val="none"/>
              </w:rPr>
              <w:t>违约项目</w:t>
            </w:r>
          </w:p>
        </w:tc>
      </w:tr>
      <w:tr w14:paraId="25311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vAlign w:val="top"/>
          </w:tcPr>
          <w:p w14:paraId="152C36E9">
            <w:pPr>
              <w:rPr>
                <w:rFonts w:ascii="Arial"/>
                <w:color w:val="auto"/>
                <w:sz w:val="21"/>
                <w:highlight w:val="none"/>
              </w:rPr>
            </w:pPr>
          </w:p>
        </w:tc>
        <w:tc>
          <w:tcPr>
            <w:tcW w:w="839" w:type="dxa"/>
            <w:vAlign w:val="top"/>
          </w:tcPr>
          <w:p w14:paraId="30614C51">
            <w:pPr>
              <w:pStyle w:val="17"/>
              <w:spacing w:before="221" w:line="241" w:lineRule="auto"/>
              <w:ind w:left="369"/>
              <w:rPr>
                <w:color w:val="auto"/>
                <w:highlight w:val="none"/>
              </w:rPr>
            </w:pPr>
            <w:r>
              <w:rPr>
                <w:color w:val="auto"/>
                <w:highlight w:val="none"/>
              </w:rPr>
              <w:t>4</w:t>
            </w:r>
          </w:p>
        </w:tc>
        <w:tc>
          <w:tcPr>
            <w:tcW w:w="7621" w:type="dxa"/>
            <w:vAlign w:val="top"/>
          </w:tcPr>
          <w:p w14:paraId="2B331C38">
            <w:pPr>
              <w:pStyle w:val="17"/>
              <w:spacing w:before="220" w:line="217" w:lineRule="auto"/>
              <w:ind w:left="115"/>
              <w:rPr>
                <w:color w:val="auto"/>
                <w:highlight w:val="none"/>
              </w:rPr>
            </w:pPr>
            <w:r>
              <w:rPr>
                <w:color w:val="auto"/>
                <w:spacing w:val="-2"/>
                <w:highlight w:val="none"/>
              </w:rPr>
              <w:t>未对可能造成环境污染的项目进行监测，违约金</w:t>
            </w:r>
            <w:r>
              <w:rPr>
                <w:color w:val="auto"/>
                <w:spacing w:val="-30"/>
                <w:highlight w:val="none"/>
              </w:rPr>
              <w:t xml:space="preserve"> </w:t>
            </w:r>
            <w:r>
              <w:rPr>
                <w:color w:val="auto"/>
                <w:spacing w:val="-2"/>
                <w:highlight w:val="none"/>
              </w:rPr>
              <w:t>1,000</w:t>
            </w:r>
            <w:r>
              <w:rPr>
                <w:color w:val="auto"/>
                <w:spacing w:val="-41"/>
                <w:highlight w:val="none"/>
              </w:rPr>
              <w:t xml:space="preserve"> </w:t>
            </w:r>
            <w:r>
              <w:rPr>
                <w:color w:val="auto"/>
                <w:spacing w:val="-2"/>
                <w:highlight w:val="none"/>
              </w:rPr>
              <w:t>元，并限</w:t>
            </w:r>
            <w:r>
              <w:rPr>
                <w:color w:val="auto"/>
                <w:spacing w:val="-3"/>
                <w:highlight w:val="none"/>
              </w:rPr>
              <w:t>期纠正。</w:t>
            </w:r>
          </w:p>
        </w:tc>
      </w:tr>
      <w:tr w14:paraId="54573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344DE9C7">
            <w:pPr>
              <w:rPr>
                <w:rFonts w:ascii="Arial"/>
                <w:color w:val="auto"/>
                <w:sz w:val="21"/>
                <w:highlight w:val="none"/>
              </w:rPr>
            </w:pPr>
          </w:p>
        </w:tc>
        <w:tc>
          <w:tcPr>
            <w:tcW w:w="839" w:type="dxa"/>
            <w:vAlign w:val="top"/>
          </w:tcPr>
          <w:p w14:paraId="4E773210">
            <w:pPr>
              <w:pStyle w:val="17"/>
              <w:spacing w:before="221"/>
              <w:ind w:left="374"/>
              <w:rPr>
                <w:color w:val="auto"/>
                <w:highlight w:val="none"/>
              </w:rPr>
            </w:pPr>
            <w:r>
              <w:rPr>
                <w:color w:val="auto"/>
                <w:highlight w:val="none"/>
              </w:rPr>
              <w:t>5</w:t>
            </w:r>
          </w:p>
        </w:tc>
        <w:tc>
          <w:tcPr>
            <w:tcW w:w="7621" w:type="dxa"/>
            <w:vAlign w:val="top"/>
          </w:tcPr>
          <w:p w14:paraId="5D06288E">
            <w:pPr>
              <w:pStyle w:val="17"/>
              <w:spacing w:before="221" w:line="217" w:lineRule="auto"/>
              <w:ind w:left="115"/>
              <w:rPr>
                <w:color w:val="auto"/>
                <w:highlight w:val="none"/>
              </w:rPr>
            </w:pPr>
            <w:r>
              <w:rPr>
                <w:color w:val="auto"/>
                <w:spacing w:val="-2"/>
                <w:highlight w:val="none"/>
              </w:rPr>
              <w:t>未配备必要的环境保护监测仪器，违约金</w:t>
            </w:r>
            <w:r>
              <w:rPr>
                <w:color w:val="auto"/>
                <w:spacing w:val="-30"/>
                <w:highlight w:val="none"/>
              </w:rPr>
              <w:t xml:space="preserve"> </w:t>
            </w:r>
            <w:r>
              <w:rPr>
                <w:color w:val="auto"/>
                <w:spacing w:val="-2"/>
                <w:highlight w:val="none"/>
              </w:rPr>
              <w:t>1,0</w:t>
            </w:r>
            <w:r>
              <w:rPr>
                <w:color w:val="auto"/>
                <w:spacing w:val="-3"/>
                <w:highlight w:val="none"/>
              </w:rPr>
              <w:t>00</w:t>
            </w:r>
            <w:r>
              <w:rPr>
                <w:color w:val="auto"/>
                <w:spacing w:val="-41"/>
                <w:highlight w:val="none"/>
              </w:rPr>
              <w:t xml:space="preserve"> </w:t>
            </w:r>
            <w:r>
              <w:rPr>
                <w:color w:val="auto"/>
                <w:spacing w:val="-3"/>
                <w:highlight w:val="none"/>
              </w:rPr>
              <w:t>元，并限期纠正。</w:t>
            </w:r>
          </w:p>
        </w:tc>
      </w:tr>
      <w:tr w14:paraId="20CE0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70801AA0">
            <w:pPr>
              <w:rPr>
                <w:rFonts w:ascii="Arial"/>
                <w:color w:val="auto"/>
                <w:sz w:val="21"/>
                <w:highlight w:val="none"/>
              </w:rPr>
            </w:pPr>
          </w:p>
        </w:tc>
        <w:tc>
          <w:tcPr>
            <w:tcW w:w="839" w:type="dxa"/>
            <w:vAlign w:val="top"/>
          </w:tcPr>
          <w:p w14:paraId="669054C8">
            <w:pPr>
              <w:pStyle w:val="17"/>
              <w:spacing w:before="221"/>
              <w:ind w:left="371"/>
              <w:rPr>
                <w:color w:val="auto"/>
                <w:highlight w:val="none"/>
              </w:rPr>
            </w:pPr>
            <w:r>
              <w:rPr>
                <w:color w:val="auto"/>
                <w:highlight w:val="none"/>
              </w:rPr>
              <w:t>6</w:t>
            </w:r>
          </w:p>
        </w:tc>
        <w:tc>
          <w:tcPr>
            <w:tcW w:w="7621" w:type="dxa"/>
            <w:vAlign w:val="top"/>
          </w:tcPr>
          <w:p w14:paraId="38579206">
            <w:pPr>
              <w:pStyle w:val="17"/>
              <w:spacing w:before="221" w:line="217" w:lineRule="auto"/>
              <w:ind w:left="111"/>
              <w:rPr>
                <w:color w:val="auto"/>
                <w:highlight w:val="none"/>
              </w:rPr>
            </w:pPr>
            <w:r>
              <w:rPr>
                <w:color w:val="auto"/>
                <w:spacing w:val="-2"/>
                <w:highlight w:val="none"/>
              </w:rPr>
              <w:t>环境保护学习、宣传、教育、培训不健全，违约金</w:t>
            </w:r>
            <w:r>
              <w:rPr>
                <w:color w:val="auto"/>
                <w:spacing w:val="-28"/>
                <w:highlight w:val="none"/>
              </w:rPr>
              <w:t xml:space="preserve"> </w:t>
            </w:r>
            <w:r>
              <w:rPr>
                <w:color w:val="auto"/>
                <w:spacing w:val="-2"/>
                <w:highlight w:val="none"/>
              </w:rPr>
              <w:t>1,000</w:t>
            </w:r>
            <w:r>
              <w:rPr>
                <w:color w:val="auto"/>
                <w:spacing w:val="-42"/>
                <w:highlight w:val="none"/>
              </w:rPr>
              <w:t xml:space="preserve"> </w:t>
            </w:r>
            <w:r>
              <w:rPr>
                <w:color w:val="auto"/>
                <w:spacing w:val="-2"/>
                <w:highlight w:val="none"/>
              </w:rPr>
              <w:t>元，并限期纠正。</w:t>
            </w:r>
          </w:p>
        </w:tc>
      </w:tr>
      <w:tr w14:paraId="3CF29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vAlign w:val="top"/>
          </w:tcPr>
          <w:p w14:paraId="33050942">
            <w:pPr>
              <w:rPr>
                <w:rFonts w:ascii="Arial"/>
                <w:color w:val="auto"/>
                <w:sz w:val="21"/>
                <w:highlight w:val="none"/>
              </w:rPr>
            </w:pPr>
          </w:p>
        </w:tc>
        <w:tc>
          <w:tcPr>
            <w:tcW w:w="839" w:type="dxa"/>
            <w:vAlign w:val="top"/>
          </w:tcPr>
          <w:p w14:paraId="58222844">
            <w:pPr>
              <w:pStyle w:val="17"/>
              <w:spacing w:before="220"/>
              <w:ind w:left="375"/>
              <w:rPr>
                <w:color w:val="auto"/>
                <w:highlight w:val="none"/>
              </w:rPr>
            </w:pPr>
            <w:r>
              <w:rPr>
                <w:color w:val="auto"/>
                <w:highlight w:val="none"/>
              </w:rPr>
              <w:t>7</w:t>
            </w:r>
          </w:p>
        </w:tc>
        <w:tc>
          <w:tcPr>
            <w:tcW w:w="7621" w:type="dxa"/>
            <w:vAlign w:val="top"/>
          </w:tcPr>
          <w:p w14:paraId="5759F6C2">
            <w:pPr>
              <w:pStyle w:val="17"/>
              <w:spacing w:before="220" w:line="217" w:lineRule="auto"/>
              <w:ind w:left="115"/>
              <w:rPr>
                <w:color w:val="auto"/>
                <w:highlight w:val="none"/>
              </w:rPr>
            </w:pPr>
            <w:r>
              <w:rPr>
                <w:color w:val="auto"/>
                <w:spacing w:val="-2"/>
                <w:highlight w:val="none"/>
              </w:rPr>
              <w:t>未建立环境保护管理台帐，报送资料不及时，违约金</w:t>
            </w:r>
            <w:r>
              <w:rPr>
                <w:color w:val="auto"/>
                <w:spacing w:val="-30"/>
                <w:highlight w:val="none"/>
              </w:rPr>
              <w:t xml:space="preserve"> </w:t>
            </w:r>
            <w:r>
              <w:rPr>
                <w:color w:val="auto"/>
                <w:spacing w:val="-2"/>
                <w:highlight w:val="none"/>
              </w:rPr>
              <w:t>1,000</w:t>
            </w:r>
            <w:r>
              <w:rPr>
                <w:color w:val="auto"/>
                <w:spacing w:val="-41"/>
                <w:highlight w:val="none"/>
              </w:rPr>
              <w:t xml:space="preserve"> </w:t>
            </w:r>
            <w:r>
              <w:rPr>
                <w:color w:val="auto"/>
                <w:spacing w:val="-2"/>
                <w:highlight w:val="none"/>
              </w:rPr>
              <w:t>元，并限期纠正。</w:t>
            </w:r>
          </w:p>
        </w:tc>
      </w:tr>
      <w:tr w14:paraId="422B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vAlign w:val="top"/>
          </w:tcPr>
          <w:p w14:paraId="1516DF3B">
            <w:pPr>
              <w:rPr>
                <w:rFonts w:ascii="Arial"/>
                <w:color w:val="auto"/>
                <w:sz w:val="21"/>
                <w:highlight w:val="none"/>
              </w:rPr>
            </w:pPr>
          </w:p>
        </w:tc>
        <w:tc>
          <w:tcPr>
            <w:tcW w:w="839" w:type="dxa"/>
            <w:vAlign w:val="top"/>
          </w:tcPr>
          <w:p w14:paraId="1A4D0F39">
            <w:pPr>
              <w:spacing w:line="269" w:lineRule="auto"/>
              <w:rPr>
                <w:rFonts w:ascii="Arial"/>
                <w:color w:val="auto"/>
                <w:sz w:val="21"/>
                <w:highlight w:val="none"/>
              </w:rPr>
            </w:pPr>
          </w:p>
          <w:p w14:paraId="47D6E15D">
            <w:pPr>
              <w:pStyle w:val="17"/>
              <w:spacing w:before="68"/>
              <w:ind w:left="370"/>
              <w:rPr>
                <w:color w:val="auto"/>
                <w:highlight w:val="none"/>
              </w:rPr>
            </w:pPr>
            <w:r>
              <w:rPr>
                <w:color w:val="auto"/>
                <w:highlight w:val="none"/>
              </w:rPr>
              <w:t>8</w:t>
            </w:r>
          </w:p>
        </w:tc>
        <w:tc>
          <w:tcPr>
            <w:tcW w:w="7621" w:type="dxa"/>
            <w:vAlign w:val="top"/>
          </w:tcPr>
          <w:p w14:paraId="74A0A81B">
            <w:pPr>
              <w:pStyle w:val="17"/>
              <w:spacing w:before="138" w:line="288" w:lineRule="auto"/>
              <w:ind w:left="126" w:right="108" w:hanging="14"/>
              <w:rPr>
                <w:color w:val="auto"/>
                <w:highlight w:val="none"/>
              </w:rPr>
            </w:pPr>
            <w:r>
              <w:rPr>
                <w:color w:val="auto"/>
                <w:spacing w:val="21"/>
                <w:highlight w:val="none"/>
              </w:rPr>
              <w:t>驻地环保设施不完善或设施缺乏维护而造成环境污染，视严重程度违约金</w:t>
            </w:r>
            <w:r>
              <w:rPr>
                <w:color w:val="auto"/>
                <w:spacing w:val="-3"/>
                <w:highlight w:val="none"/>
              </w:rPr>
              <w:t>1,000~10,000</w:t>
            </w:r>
            <w:r>
              <w:rPr>
                <w:color w:val="auto"/>
                <w:spacing w:val="-44"/>
                <w:highlight w:val="none"/>
              </w:rPr>
              <w:t xml:space="preserve"> </w:t>
            </w:r>
            <w:r>
              <w:rPr>
                <w:color w:val="auto"/>
                <w:spacing w:val="-3"/>
                <w:highlight w:val="none"/>
              </w:rPr>
              <w:t>元，并限期纠正。</w:t>
            </w:r>
          </w:p>
        </w:tc>
      </w:tr>
      <w:tr w14:paraId="5F1D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2EAF8CF6">
            <w:pPr>
              <w:rPr>
                <w:rFonts w:ascii="Arial"/>
                <w:color w:val="auto"/>
                <w:sz w:val="21"/>
                <w:highlight w:val="none"/>
              </w:rPr>
            </w:pPr>
          </w:p>
        </w:tc>
        <w:tc>
          <w:tcPr>
            <w:tcW w:w="839" w:type="dxa"/>
            <w:vAlign w:val="top"/>
          </w:tcPr>
          <w:p w14:paraId="73823294">
            <w:pPr>
              <w:pStyle w:val="17"/>
              <w:spacing w:before="222"/>
              <w:ind w:left="370"/>
              <w:rPr>
                <w:color w:val="auto"/>
                <w:highlight w:val="none"/>
              </w:rPr>
            </w:pPr>
            <w:r>
              <w:rPr>
                <w:color w:val="auto"/>
                <w:highlight w:val="none"/>
              </w:rPr>
              <w:t>9</w:t>
            </w:r>
          </w:p>
        </w:tc>
        <w:tc>
          <w:tcPr>
            <w:tcW w:w="7621" w:type="dxa"/>
            <w:vAlign w:val="top"/>
          </w:tcPr>
          <w:p w14:paraId="63BFC7A8">
            <w:pPr>
              <w:pStyle w:val="17"/>
              <w:spacing w:before="222" w:line="217" w:lineRule="auto"/>
              <w:ind w:left="123"/>
              <w:rPr>
                <w:color w:val="auto"/>
                <w:highlight w:val="none"/>
              </w:rPr>
            </w:pPr>
            <w:r>
              <w:rPr>
                <w:color w:val="auto"/>
                <w:spacing w:val="-3"/>
                <w:highlight w:val="none"/>
              </w:rPr>
              <w:t>临近居民区施工噪声超标，违约金</w:t>
            </w:r>
            <w:r>
              <w:rPr>
                <w:color w:val="auto"/>
                <w:spacing w:val="-26"/>
                <w:highlight w:val="none"/>
              </w:rPr>
              <w:t xml:space="preserve"> </w:t>
            </w:r>
            <w:r>
              <w:rPr>
                <w:color w:val="auto"/>
                <w:spacing w:val="-3"/>
                <w:highlight w:val="none"/>
              </w:rPr>
              <w:t>1,000</w:t>
            </w:r>
            <w:r>
              <w:rPr>
                <w:color w:val="auto"/>
                <w:spacing w:val="-42"/>
                <w:highlight w:val="none"/>
              </w:rPr>
              <w:t xml:space="preserve"> </w:t>
            </w:r>
            <w:r>
              <w:rPr>
                <w:color w:val="auto"/>
                <w:spacing w:val="-3"/>
                <w:highlight w:val="none"/>
              </w:rPr>
              <w:t>元，并限期纠正。</w:t>
            </w:r>
          </w:p>
        </w:tc>
      </w:tr>
      <w:tr w14:paraId="6DE4F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vAlign w:val="top"/>
          </w:tcPr>
          <w:p w14:paraId="4572AF58">
            <w:pPr>
              <w:rPr>
                <w:rFonts w:ascii="Arial"/>
                <w:color w:val="auto"/>
                <w:sz w:val="21"/>
                <w:highlight w:val="none"/>
              </w:rPr>
            </w:pPr>
          </w:p>
        </w:tc>
        <w:tc>
          <w:tcPr>
            <w:tcW w:w="839" w:type="dxa"/>
            <w:vAlign w:val="top"/>
          </w:tcPr>
          <w:p w14:paraId="574FDFBE">
            <w:pPr>
              <w:spacing w:line="270" w:lineRule="auto"/>
              <w:rPr>
                <w:rFonts w:ascii="Arial"/>
                <w:color w:val="auto"/>
                <w:sz w:val="21"/>
                <w:highlight w:val="none"/>
              </w:rPr>
            </w:pPr>
          </w:p>
          <w:p w14:paraId="768326B1">
            <w:pPr>
              <w:pStyle w:val="17"/>
              <w:spacing w:before="68"/>
              <w:ind w:left="333"/>
              <w:rPr>
                <w:color w:val="auto"/>
                <w:highlight w:val="none"/>
              </w:rPr>
            </w:pPr>
            <w:r>
              <w:rPr>
                <w:color w:val="auto"/>
                <w:spacing w:val="-6"/>
                <w:highlight w:val="none"/>
              </w:rPr>
              <w:t>10</w:t>
            </w:r>
          </w:p>
        </w:tc>
        <w:tc>
          <w:tcPr>
            <w:tcW w:w="7621" w:type="dxa"/>
            <w:vAlign w:val="top"/>
          </w:tcPr>
          <w:p w14:paraId="19402051">
            <w:pPr>
              <w:pStyle w:val="17"/>
              <w:spacing w:before="141" w:line="287" w:lineRule="auto"/>
              <w:ind w:left="110" w:right="115"/>
              <w:rPr>
                <w:color w:val="auto"/>
                <w:highlight w:val="none"/>
              </w:rPr>
            </w:pPr>
            <w:r>
              <w:rPr>
                <w:color w:val="auto"/>
                <w:spacing w:val="1"/>
                <w:highlight w:val="none"/>
              </w:rPr>
              <w:t>施工废料、废渣或弃土乱堆乱弃于施工现场而未运至弃土场，固废处理不符合行</w:t>
            </w:r>
            <w:r>
              <w:rPr>
                <w:color w:val="auto"/>
                <w:spacing w:val="-2"/>
                <w:highlight w:val="none"/>
              </w:rPr>
              <w:t>业主管部门相关管理规定的，违约金</w:t>
            </w:r>
            <w:r>
              <w:rPr>
                <w:color w:val="auto"/>
                <w:spacing w:val="-36"/>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元/次，并限期纠正。</w:t>
            </w:r>
          </w:p>
        </w:tc>
      </w:tr>
      <w:tr w14:paraId="3A48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730AF057">
            <w:pPr>
              <w:rPr>
                <w:rFonts w:ascii="Arial"/>
                <w:color w:val="auto"/>
                <w:sz w:val="21"/>
                <w:highlight w:val="none"/>
              </w:rPr>
            </w:pPr>
          </w:p>
        </w:tc>
        <w:tc>
          <w:tcPr>
            <w:tcW w:w="839" w:type="dxa"/>
            <w:vAlign w:val="top"/>
          </w:tcPr>
          <w:p w14:paraId="77F9AF8E">
            <w:pPr>
              <w:pStyle w:val="17"/>
              <w:spacing w:before="224" w:line="241" w:lineRule="auto"/>
              <w:ind w:left="333"/>
              <w:rPr>
                <w:color w:val="auto"/>
                <w:highlight w:val="none"/>
              </w:rPr>
            </w:pPr>
            <w:r>
              <w:rPr>
                <w:color w:val="auto"/>
                <w:spacing w:val="-6"/>
                <w:highlight w:val="none"/>
              </w:rPr>
              <w:t>11</w:t>
            </w:r>
          </w:p>
        </w:tc>
        <w:tc>
          <w:tcPr>
            <w:tcW w:w="7621" w:type="dxa"/>
            <w:vAlign w:val="top"/>
          </w:tcPr>
          <w:p w14:paraId="60DBC5B1">
            <w:pPr>
              <w:pStyle w:val="17"/>
              <w:spacing w:before="223" w:line="217" w:lineRule="auto"/>
              <w:ind w:left="110"/>
              <w:rPr>
                <w:color w:val="auto"/>
                <w:highlight w:val="none"/>
              </w:rPr>
            </w:pPr>
            <w:r>
              <w:rPr>
                <w:color w:val="auto"/>
                <w:spacing w:val="-2"/>
                <w:highlight w:val="none"/>
              </w:rPr>
              <w:t>施工废水排放未经处理而对周边造成污染，违约金</w:t>
            </w:r>
            <w:r>
              <w:rPr>
                <w:color w:val="auto"/>
                <w:spacing w:val="-26"/>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元，并限期纠正。</w:t>
            </w:r>
          </w:p>
        </w:tc>
      </w:tr>
      <w:tr w14:paraId="48A90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0D6D0218">
            <w:pPr>
              <w:rPr>
                <w:rFonts w:ascii="Arial"/>
                <w:color w:val="auto"/>
                <w:sz w:val="21"/>
                <w:highlight w:val="none"/>
              </w:rPr>
            </w:pPr>
          </w:p>
        </w:tc>
        <w:tc>
          <w:tcPr>
            <w:tcW w:w="839" w:type="dxa"/>
            <w:vAlign w:val="top"/>
          </w:tcPr>
          <w:p w14:paraId="76371ECC">
            <w:pPr>
              <w:pStyle w:val="17"/>
              <w:spacing w:before="224" w:line="241" w:lineRule="auto"/>
              <w:ind w:left="333"/>
              <w:rPr>
                <w:color w:val="auto"/>
                <w:highlight w:val="none"/>
              </w:rPr>
            </w:pPr>
            <w:r>
              <w:rPr>
                <w:color w:val="auto"/>
                <w:spacing w:val="-6"/>
                <w:highlight w:val="none"/>
              </w:rPr>
              <w:t>12</w:t>
            </w:r>
          </w:p>
        </w:tc>
        <w:tc>
          <w:tcPr>
            <w:tcW w:w="7621" w:type="dxa"/>
            <w:vAlign w:val="top"/>
          </w:tcPr>
          <w:p w14:paraId="4049A58E">
            <w:pPr>
              <w:pStyle w:val="17"/>
              <w:spacing w:before="224" w:line="217" w:lineRule="auto"/>
              <w:ind w:left="110"/>
              <w:rPr>
                <w:color w:val="auto"/>
                <w:highlight w:val="none"/>
              </w:rPr>
            </w:pPr>
            <w:r>
              <w:rPr>
                <w:color w:val="auto"/>
                <w:spacing w:val="-2"/>
                <w:highlight w:val="none"/>
              </w:rPr>
              <w:t>施工废气排放未经处理而对周边造成污染，违约金</w:t>
            </w:r>
            <w:r>
              <w:rPr>
                <w:color w:val="auto"/>
                <w:spacing w:val="-26"/>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元，并限期纠正。</w:t>
            </w:r>
          </w:p>
        </w:tc>
      </w:tr>
      <w:tr w14:paraId="187E8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5EE1FC40">
            <w:pPr>
              <w:rPr>
                <w:rFonts w:ascii="Arial"/>
                <w:color w:val="auto"/>
                <w:sz w:val="21"/>
                <w:highlight w:val="none"/>
              </w:rPr>
            </w:pPr>
          </w:p>
        </w:tc>
        <w:tc>
          <w:tcPr>
            <w:tcW w:w="839" w:type="dxa"/>
            <w:vAlign w:val="top"/>
          </w:tcPr>
          <w:p w14:paraId="02411D03">
            <w:pPr>
              <w:pStyle w:val="17"/>
              <w:spacing w:before="224"/>
              <w:ind w:left="333"/>
              <w:rPr>
                <w:color w:val="auto"/>
                <w:highlight w:val="none"/>
              </w:rPr>
            </w:pPr>
            <w:r>
              <w:rPr>
                <w:color w:val="auto"/>
                <w:spacing w:val="-6"/>
                <w:highlight w:val="none"/>
              </w:rPr>
              <w:t>13</w:t>
            </w:r>
          </w:p>
        </w:tc>
        <w:tc>
          <w:tcPr>
            <w:tcW w:w="7621" w:type="dxa"/>
            <w:vAlign w:val="top"/>
          </w:tcPr>
          <w:p w14:paraId="5A44D695">
            <w:pPr>
              <w:pStyle w:val="17"/>
              <w:spacing w:before="224" w:line="217" w:lineRule="auto"/>
              <w:ind w:left="110"/>
              <w:rPr>
                <w:color w:val="auto"/>
                <w:highlight w:val="none"/>
              </w:rPr>
            </w:pPr>
            <w:r>
              <w:rPr>
                <w:color w:val="auto"/>
                <w:spacing w:val="-2"/>
                <w:highlight w:val="none"/>
              </w:rPr>
              <w:t>施工粉尘未有效控制而对周边造成污染，违约金</w:t>
            </w:r>
            <w:r>
              <w:rPr>
                <w:color w:val="auto"/>
                <w:spacing w:val="-28"/>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元，并限期纠正。</w:t>
            </w:r>
          </w:p>
        </w:tc>
      </w:tr>
      <w:tr w14:paraId="33F88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12860BF7">
            <w:pPr>
              <w:rPr>
                <w:rFonts w:ascii="Arial"/>
                <w:color w:val="auto"/>
                <w:sz w:val="21"/>
                <w:highlight w:val="none"/>
              </w:rPr>
            </w:pPr>
          </w:p>
        </w:tc>
        <w:tc>
          <w:tcPr>
            <w:tcW w:w="839" w:type="dxa"/>
            <w:vAlign w:val="top"/>
          </w:tcPr>
          <w:p w14:paraId="545D5E51">
            <w:pPr>
              <w:pStyle w:val="17"/>
              <w:spacing w:before="225" w:line="241" w:lineRule="auto"/>
              <w:ind w:left="333"/>
              <w:rPr>
                <w:color w:val="auto"/>
                <w:highlight w:val="none"/>
              </w:rPr>
            </w:pPr>
            <w:r>
              <w:rPr>
                <w:color w:val="auto"/>
                <w:spacing w:val="-6"/>
                <w:highlight w:val="none"/>
              </w:rPr>
              <w:t>14</w:t>
            </w:r>
          </w:p>
        </w:tc>
        <w:tc>
          <w:tcPr>
            <w:tcW w:w="7621" w:type="dxa"/>
            <w:vAlign w:val="top"/>
          </w:tcPr>
          <w:p w14:paraId="3F78E023">
            <w:pPr>
              <w:pStyle w:val="17"/>
              <w:spacing w:before="224" w:line="217" w:lineRule="auto"/>
              <w:ind w:left="112"/>
              <w:rPr>
                <w:color w:val="auto"/>
                <w:highlight w:val="none"/>
              </w:rPr>
            </w:pPr>
            <w:r>
              <w:rPr>
                <w:color w:val="auto"/>
                <w:spacing w:val="-2"/>
                <w:highlight w:val="none"/>
              </w:rPr>
              <w:t>生活污水没有处理直接排放而造成污染，违约金</w:t>
            </w:r>
            <w:r>
              <w:rPr>
                <w:color w:val="auto"/>
                <w:spacing w:val="-30"/>
                <w:highlight w:val="none"/>
              </w:rPr>
              <w:t xml:space="preserve"> </w:t>
            </w:r>
            <w:r>
              <w:rPr>
                <w:color w:val="auto"/>
                <w:spacing w:val="-2"/>
                <w:highlight w:val="none"/>
              </w:rPr>
              <w:t>1,000</w:t>
            </w:r>
            <w:r>
              <w:rPr>
                <w:color w:val="auto"/>
                <w:spacing w:val="-42"/>
                <w:highlight w:val="none"/>
              </w:rPr>
              <w:t xml:space="preserve"> </w:t>
            </w:r>
            <w:r>
              <w:rPr>
                <w:color w:val="auto"/>
                <w:spacing w:val="-2"/>
                <w:highlight w:val="none"/>
              </w:rPr>
              <w:t>元，并限期纠正。</w:t>
            </w:r>
          </w:p>
        </w:tc>
      </w:tr>
      <w:tr w14:paraId="1AB08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vAlign w:val="top"/>
          </w:tcPr>
          <w:p w14:paraId="208F4AA2">
            <w:pPr>
              <w:rPr>
                <w:rFonts w:ascii="Arial"/>
                <w:color w:val="auto"/>
                <w:sz w:val="21"/>
                <w:highlight w:val="none"/>
              </w:rPr>
            </w:pPr>
          </w:p>
        </w:tc>
        <w:tc>
          <w:tcPr>
            <w:tcW w:w="839" w:type="dxa"/>
            <w:vAlign w:val="top"/>
          </w:tcPr>
          <w:p w14:paraId="5B405668">
            <w:pPr>
              <w:pStyle w:val="17"/>
              <w:spacing w:before="223"/>
              <w:ind w:left="333"/>
              <w:rPr>
                <w:color w:val="auto"/>
                <w:highlight w:val="none"/>
              </w:rPr>
            </w:pPr>
            <w:r>
              <w:rPr>
                <w:color w:val="auto"/>
                <w:spacing w:val="-6"/>
                <w:highlight w:val="none"/>
              </w:rPr>
              <w:t>15</w:t>
            </w:r>
          </w:p>
        </w:tc>
        <w:tc>
          <w:tcPr>
            <w:tcW w:w="7621" w:type="dxa"/>
            <w:vAlign w:val="top"/>
          </w:tcPr>
          <w:p w14:paraId="57180E27">
            <w:pPr>
              <w:pStyle w:val="17"/>
              <w:spacing w:before="223" w:line="217" w:lineRule="auto"/>
              <w:ind w:left="112"/>
              <w:rPr>
                <w:color w:val="auto"/>
                <w:highlight w:val="none"/>
              </w:rPr>
            </w:pPr>
            <w:r>
              <w:rPr>
                <w:color w:val="auto"/>
                <w:spacing w:val="-2"/>
                <w:highlight w:val="none"/>
              </w:rPr>
              <w:t>生活垃圾没有集中且定期运走而造成污染，违约金</w:t>
            </w:r>
            <w:r>
              <w:rPr>
                <w:color w:val="auto"/>
                <w:spacing w:val="-29"/>
                <w:highlight w:val="none"/>
              </w:rPr>
              <w:t xml:space="preserve"> </w:t>
            </w:r>
            <w:r>
              <w:rPr>
                <w:color w:val="auto"/>
                <w:spacing w:val="-2"/>
                <w:highlight w:val="none"/>
              </w:rPr>
              <w:t>1,000</w:t>
            </w:r>
            <w:r>
              <w:rPr>
                <w:color w:val="auto"/>
                <w:spacing w:val="-41"/>
                <w:highlight w:val="none"/>
              </w:rPr>
              <w:t xml:space="preserve"> </w:t>
            </w:r>
            <w:r>
              <w:rPr>
                <w:color w:val="auto"/>
                <w:spacing w:val="-2"/>
                <w:highlight w:val="none"/>
              </w:rPr>
              <w:t>元，并限期纠正。</w:t>
            </w:r>
          </w:p>
        </w:tc>
      </w:tr>
      <w:tr w14:paraId="5F732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5E82708C">
            <w:pPr>
              <w:rPr>
                <w:rFonts w:ascii="Arial"/>
                <w:color w:val="auto"/>
                <w:sz w:val="21"/>
                <w:highlight w:val="none"/>
              </w:rPr>
            </w:pPr>
          </w:p>
        </w:tc>
        <w:tc>
          <w:tcPr>
            <w:tcW w:w="839" w:type="dxa"/>
            <w:vAlign w:val="top"/>
          </w:tcPr>
          <w:p w14:paraId="2497BCA6">
            <w:pPr>
              <w:pStyle w:val="17"/>
              <w:spacing w:before="224"/>
              <w:ind w:left="333"/>
              <w:rPr>
                <w:color w:val="auto"/>
                <w:spacing w:val="-6"/>
                <w:highlight w:val="none"/>
              </w:rPr>
            </w:pPr>
            <w:r>
              <w:rPr>
                <w:color w:val="auto"/>
                <w:spacing w:val="-6"/>
                <w:highlight w:val="none"/>
              </w:rPr>
              <w:t>16</w:t>
            </w:r>
          </w:p>
        </w:tc>
        <w:tc>
          <w:tcPr>
            <w:tcW w:w="7621" w:type="dxa"/>
            <w:vAlign w:val="top"/>
          </w:tcPr>
          <w:p w14:paraId="4C72A5CF">
            <w:pPr>
              <w:pStyle w:val="17"/>
              <w:spacing w:before="223" w:line="217" w:lineRule="auto"/>
              <w:ind w:left="112"/>
              <w:rPr>
                <w:color w:val="auto"/>
                <w:spacing w:val="-2"/>
                <w:highlight w:val="none"/>
              </w:rPr>
            </w:pPr>
            <w:r>
              <w:rPr>
                <w:color w:val="auto"/>
                <w:spacing w:val="-2"/>
                <w:highlight w:val="none"/>
              </w:rPr>
              <w:t>施工噪音超过有关的规定，违约金 1,000 元/次，并限期纠正。</w:t>
            </w:r>
          </w:p>
        </w:tc>
      </w:tr>
      <w:tr w14:paraId="0603D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vAlign w:val="top"/>
          </w:tcPr>
          <w:p w14:paraId="4924E578">
            <w:pPr>
              <w:rPr>
                <w:rFonts w:ascii="Arial"/>
                <w:color w:val="auto"/>
                <w:sz w:val="21"/>
                <w:highlight w:val="none"/>
              </w:rPr>
            </w:pPr>
          </w:p>
        </w:tc>
        <w:tc>
          <w:tcPr>
            <w:tcW w:w="839" w:type="dxa"/>
            <w:vAlign w:val="top"/>
          </w:tcPr>
          <w:p w14:paraId="4B9E08A6">
            <w:pPr>
              <w:pStyle w:val="17"/>
              <w:spacing w:before="224"/>
              <w:ind w:left="333"/>
              <w:rPr>
                <w:rFonts w:hint="default"/>
                <w:color w:val="auto"/>
                <w:spacing w:val="-6"/>
                <w:highlight w:val="none"/>
                <w:lang w:val="en-US" w:eastAsia="zh-CN"/>
              </w:rPr>
            </w:pPr>
            <w:r>
              <w:rPr>
                <w:rFonts w:hint="eastAsia"/>
                <w:color w:val="auto"/>
                <w:spacing w:val="-6"/>
                <w:highlight w:val="none"/>
                <w:lang w:val="en-US" w:eastAsia="zh-CN"/>
              </w:rPr>
              <w:t>17</w:t>
            </w:r>
          </w:p>
        </w:tc>
        <w:tc>
          <w:tcPr>
            <w:tcW w:w="7621" w:type="dxa"/>
            <w:vAlign w:val="top"/>
          </w:tcPr>
          <w:p w14:paraId="15FDB6F8">
            <w:pPr>
              <w:pStyle w:val="17"/>
              <w:spacing w:before="142" w:line="287" w:lineRule="auto"/>
              <w:ind w:left="118" w:right="115" w:hanging="6"/>
              <w:rPr>
                <w:color w:val="auto"/>
                <w:spacing w:val="1"/>
                <w:highlight w:val="none"/>
              </w:rPr>
            </w:pPr>
            <w:r>
              <w:rPr>
                <w:rFonts w:hint="eastAsia"/>
                <w:color w:val="auto"/>
                <w:spacing w:val="1"/>
                <w:highlight w:val="none"/>
                <w:lang w:val="en-US" w:eastAsia="zh-CN"/>
              </w:rPr>
              <w:t>环境敏感点未安装颗粒物在线监测设备、施工噪音在线监测设备的，每处违约金5000元。</w:t>
            </w:r>
          </w:p>
        </w:tc>
      </w:tr>
      <w:tr w14:paraId="312E6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bottom w:val="single" w:color="auto" w:sz="4" w:space="0"/>
            </w:tcBorders>
            <w:vAlign w:val="top"/>
          </w:tcPr>
          <w:p w14:paraId="5400621A">
            <w:pPr>
              <w:rPr>
                <w:rFonts w:ascii="Arial"/>
                <w:color w:val="auto"/>
                <w:sz w:val="21"/>
                <w:highlight w:val="none"/>
              </w:rPr>
            </w:pPr>
          </w:p>
        </w:tc>
        <w:tc>
          <w:tcPr>
            <w:tcW w:w="839" w:type="dxa"/>
            <w:tcBorders>
              <w:bottom w:val="single" w:color="auto" w:sz="4" w:space="0"/>
            </w:tcBorders>
            <w:vAlign w:val="top"/>
          </w:tcPr>
          <w:p w14:paraId="7E5DDE42">
            <w:pPr>
              <w:pStyle w:val="17"/>
              <w:spacing w:before="224"/>
              <w:ind w:left="333"/>
              <w:rPr>
                <w:rFonts w:hint="default"/>
                <w:color w:val="auto"/>
                <w:spacing w:val="-6"/>
                <w:highlight w:val="none"/>
                <w:lang w:val="en-US" w:eastAsia="zh-CN"/>
              </w:rPr>
            </w:pPr>
            <w:r>
              <w:rPr>
                <w:rFonts w:hint="eastAsia"/>
                <w:color w:val="auto"/>
                <w:spacing w:val="-6"/>
                <w:highlight w:val="none"/>
                <w:lang w:val="en-US" w:eastAsia="zh-CN"/>
              </w:rPr>
              <w:t>18</w:t>
            </w:r>
          </w:p>
        </w:tc>
        <w:tc>
          <w:tcPr>
            <w:tcW w:w="7621" w:type="dxa"/>
            <w:tcBorders>
              <w:bottom w:val="single" w:color="auto" w:sz="4" w:space="0"/>
            </w:tcBorders>
            <w:vAlign w:val="top"/>
          </w:tcPr>
          <w:p w14:paraId="66B0438A">
            <w:pPr>
              <w:pStyle w:val="17"/>
              <w:spacing w:before="142" w:line="287" w:lineRule="auto"/>
              <w:ind w:left="118" w:right="115" w:hanging="6"/>
              <w:rPr>
                <w:color w:val="auto"/>
                <w:spacing w:val="1"/>
                <w:highlight w:val="none"/>
              </w:rPr>
            </w:pPr>
            <w:r>
              <w:rPr>
                <w:rFonts w:hint="eastAsia"/>
                <w:color w:val="auto"/>
                <w:spacing w:val="1"/>
                <w:highlight w:val="none"/>
                <w:lang w:val="en-US" w:eastAsia="zh-CN"/>
              </w:rPr>
              <w:t>非道路移动机械未按规定办理编码登记、未按规定开展非道路移动机械排气烟度检验、无环保信息牌，违约金 1000 元/台；使用“冒黑烟”工程机械的，或在政府划定的禁用区内使用高排放非道路移动机械的，违约金 5000 元/台，并立即清退。</w:t>
            </w:r>
          </w:p>
        </w:tc>
      </w:tr>
      <w:tr w14:paraId="2706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top w:val="single" w:color="auto" w:sz="4" w:space="0"/>
              <w:left w:val="single" w:color="auto" w:sz="4" w:space="0"/>
              <w:bottom w:val="nil"/>
            </w:tcBorders>
            <w:vAlign w:val="top"/>
          </w:tcPr>
          <w:p w14:paraId="55ADB4E3">
            <w:pPr>
              <w:spacing w:line="291" w:lineRule="auto"/>
              <w:rPr>
                <w:rFonts w:ascii="Arial"/>
                <w:color w:val="auto"/>
                <w:sz w:val="21"/>
                <w:highlight w:val="none"/>
              </w:rPr>
            </w:pPr>
          </w:p>
          <w:p w14:paraId="48F8E61B">
            <w:pPr>
              <w:spacing w:line="291" w:lineRule="auto"/>
              <w:rPr>
                <w:rFonts w:ascii="Arial"/>
                <w:color w:val="auto"/>
                <w:sz w:val="21"/>
                <w:highlight w:val="none"/>
              </w:rPr>
            </w:pPr>
          </w:p>
          <w:p w14:paraId="226AC24C">
            <w:pPr>
              <w:spacing w:line="291" w:lineRule="auto"/>
              <w:rPr>
                <w:rFonts w:ascii="Arial"/>
                <w:color w:val="auto"/>
                <w:sz w:val="21"/>
                <w:highlight w:val="none"/>
              </w:rPr>
            </w:pPr>
          </w:p>
          <w:p w14:paraId="77C4C469">
            <w:pPr>
              <w:spacing w:line="291" w:lineRule="auto"/>
              <w:rPr>
                <w:rFonts w:ascii="Arial"/>
                <w:color w:val="auto"/>
                <w:sz w:val="21"/>
                <w:highlight w:val="none"/>
              </w:rPr>
            </w:pPr>
          </w:p>
          <w:p w14:paraId="4BF22268">
            <w:pPr>
              <w:pStyle w:val="17"/>
              <w:spacing w:before="69" w:line="354" w:lineRule="auto"/>
              <w:ind w:left="219" w:right="204" w:firstLine="16"/>
              <w:rPr>
                <w:color w:val="auto"/>
                <w:highlight w:val="none"/>
              </w:rPr>
            </w:pPr>
            <w:r>
              <w:rPr>
                <w:color w:val="auto"/>
                <w:spacing w:val="-17"/>
                <w:highlight w:val="none"/>
              </w:rPr>
              <w:t>内业</w:t>
            </w:r>
            <w:r>
              <w:rPr>
                <w:color w:val="auto"/>
                <w:spacing w:val="-9"/>
                <w:highlight w:val="none"/>
              </w:rPr>
              <w:t>资料</w:t>
            </w:r>
          </w:p>
        </w:tc>
        <w:tc>
          <w:tcPr>
            <w:tcW w:w="839" w:type="dxa"/>
            <w:tcBorders>
              <w:top w:val="single" w:color="auto" w:sz="4" w:space="0"/>
            </w:tcBorders>
            <w:vAlign w:val="top"/>
          </w:tcPr>
          <w:p w14:paraId="5EF94E73">
            <w:pPr>
              <w:spacing w:line="272" w:lineRule="auto"/>
              <w:rPr>
                <w:rFonts w:ascii="Arial"/>
                <w:color w:val="auto"/>
                <w:sz w:val="21"/>
                <w:highlight w:val="none"/>
              </w:rPr>
            </w:pPr>
          </w:p>
          <w:p w14:paraId="3FFF8874">
            <w:pPr>
              <w:pStyle w:val="17"/>
              <w:spacing w:before="68" w:line="241" w:lineRule="auto"/>
              <w:ind w:left="385"/>
              <w:rPr>
                <w:color w:val="auto"/>
                <w:highlight w:val="none"/>
              </w:rPr>
            </w:pPr>
            <w:r>
              <w:rPr>
                <w:color w:val="auto"/>
                <w:highlight w:val="none"/>
              </w:rPr>
              <w:t>1</w:t>
            </w:r>
          </w:p>
        </w:tc>
        <w:tc>
          <w:tcPr>
            <w:tcW w:w="7621" w:type="dxa"/>
            <w:tcBorders>
              <w:top w:val="single" w:color="auto" w:sz="4" w:space="0"/>
              <w:right w:val="single" w:color="auto" w:sz="4" w:space="0"/>
            </w:tcBorders>
            <w:vAlign w:val="top"/>
          </w:tcPr>
          <w:p w14:paraId="466FF8ED">
            <w:pPr>
              <w:pStyle w:val="17"/>
              <w:spacing w:before="142" w:line="287" w:lineRule="auto"/>
              <w:ind w:left="118" w:right="115" w:hanging="6"/>
              <w:rPr>
                <w:color w:val="auto"/>
                <w:spacing w:val="1"/>
                <w:highlight w:val="none"/>
              </w:rPr>
            </w:pPr>
            <w:r>
              <w:rPr>
                <w:color w:val="auto"/>
                <w:spacing w:val="1"/>
                <w:highlight w:val="none"/>
              </w:rPr>
              <w:t>开工前须结合工程特点进行分项、分部和单位工程划分，现场质量检查、质量验收资料按照划分进行归纳收集，违者违约金 2,000 元/次。</w:t>
            </w:r>
          </w:p>
        </w:tc>
      </w:tr>
      <w:tr w14:paraId="61C9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left w:val="single" w:color="auto" w:sz="4" w:space="0"/>
              <w:bottom w:val="nil"/>
            </w:tcBorders>
            <w:vAlign w:val="top"/>
          </w:tcPr>
          <w:p w14:paraId="329EC0EB">
            <w:pPr>
              <w:rPr>
                <w:rFonts w:ascii="Arial"/>
                <w:color w:val="auto"/>
                <w:sz w:val="21"/>
                <w:highlight w:val="none"/>
              </w:rPr>
            </w:pPr>
          </w:p>
        </w:tc>
        <w:tc>
          <w:tcPr>
            <w:tcW w:w="839" w:type="dxa"/>
            <w:vAlign w:val="top"/>
          </w:tcPr>
          <w:p w14:paraId="765A7FE8">
            <w:pPr>
              <w:spacing w:line="272" w:lineRule="auto"/>
              <w:rPr>
                <w:rFonts w:ascii="Arial"/>
                <w:color w:val="auto"/>
                <w:sz w:val="21"/>
                <w:highlight w:val="none"/>
              </w:rPr>
            </w:pPr>
          </w:p>
          <w:p w14:paraId="0C6A0E13">
            <w:pPr>
              <w:pStyle w:val="17"/>
              <w:spacing w:before="68" w:line="241" w:lineRule="auto"/>
              <w:ind w:left="372"/>
              <w:rPr>
                <w:color w:val="auto"/>
                <w:highlight w:val="none"/>
              </w:rPr>
            </w:pPr>
            <w:r>
              <w:rPr>
                <w:color w:val="auto"/>
                <w:highlight w:val="none"/>
              </w:rPr>
              <w:t>2</w:t>
            </w:r>
          </w:p>
        </w:tc>
        <w:tc>
          <w:tcPr>
            <w:tcW w:w="7621" w:type="dxa"/>
            <w:tcBorders>
              <w:right w:val="single" w:color="auto" w:sz="4" w:space="0"/>
            </w:tcBorders>
            <w:vAlign w:val="top"/>
          </w:tcPr>
          <w:p w14:paraId="328AE11D">
            <w:pPr>
              <w:pStyle w:val="17"/>
              <w:spacing w:before="142" w:line="287" w:lineRule="auto"/>
              <w:ind w:left="129" w:right="105" w:firstLine="8"/>
              <w:rPr>
                <w:color w:val="auto"/>
                <w:highlight w:val="none"/>
              </w:rPr>
            </w:pPr>
            <w:r>
              <w:rPr>
                <w:color w:val="auto"/>
                <w:spacing w:val="-3"/>
                <w:highlight w:val="none"/>
              </w:rPr>
              <w:t>内业原始资料弄虚作假的，违约金</w:t>
            </w:r>
            <w:r>
              <w:rPr>
                <w:color w:val="auto"/>
                <w:spacing w:val="-30"/>
                <w:highlight w:val="none"/>
              </w:rPr>
              <w:t xml:space="preserve"> </w:t>
            </w:r>
            <w:r>
              <w:rPr>
                <w:color w:val="auto"/>
                <w:spacing w:val="-3"/>
                <w:highlight w:val="none"/>
              </w:rPr>
              <w:t>10000</w:t>
            </w:r>
            <w:r>
              <w:rPr>
                <w:color w:val="auto"/>
                <w:spacing w:val="-42"/>
                <w:highlight w:val="none"/>
              </w:rPr>
              <w:t xml:space="preserve"> </w:t>
            </w:r>
            <w:r>
              <w:rPr>
                <w:color w:val="auto"/>
                <w:spacing w:val="-3"/>
                <w:highlight w:val="none"/>
              </w:rPr>
              <w:t>元/次；不及时填写的，填写不完</w:t>
            </w:r>
            <w:r>
              <w:rPr>
                <w:color w:val="auto"/>
                <w:spacing w:val="-4"/>
                <w:highlight w:val="none"/>
              </w:rPr>
              <w:t>整规范</w:t>
            </w:r>
            <w:r>
              <w:rPr>
                <w:color w:val="auto"/>
                <w:spacing w:val="-6"/>
                <w:highlight w:val="none"/>
              </w:rPr>
              <w:t>的，违约金</w:t>
            </w:r>
            <w:r>
              <w:rPr>
                <w:color w:val="auto"/>
                <w:spacing w:val="-24"/>
                <w:highlight w:val="none"/>
              </w:rPr>
              <w:t xml:space="preserve"> </w:t>
            </w:r>
            <w:r>
              <w:rPr>
                <w:color w:val="auto"/>
                <w:spacing w:val="-6"/>
                <w:highlight w:val="none"/>
              </w:rPr>
              <w:t>1,000</w:t>
            </w:r>
            <w:r>
              <w:rPr>
                <w:color w:val="auto"/>
                <w:spacing w:val="-42"/>
                <w:highlight w:val="none"/>
              </w:rPr>
              <w:t xml:space="preserve"> </w:t>
            </w:r>
            <w:r>
              <w:rPr>
                <w:color w:val="auto"/>
                <w:spacing w:val="-6"/>
                <w:highlight w:val="none"/>
              </w:rPr>
              <w:t>元/次。</w:t>
            </w:r>
          </w:p>
        </w:tc>
      </w:tr>
      <w:tr w14:paraId="34DF6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left w:val="single" w:color="auto" w:sz="4" w:space="0"/>
              <w:bottom w:val="nil"/>
            </w:tcBorders>
            <w:vAlign w:val="top"/>
          </w:tcPr>
          <w:p w14:paraId="27756076">
            <w:pPr>
              <w:rPr>
                <w:rFonts w:ascii="Arial"/>
                <w:color w:val="auto"/>
                <w:sz w:val="21"/>
                <w:highlight w:val="none"/>
              </w:rPr>
            </w:pPr>
          </w:p>
        </w:tc>
        <w:tc>
          <w:tcPr>
            <w:tcW w:w="839" w:type="dxa"/>
            <w:vAlign w:val="top"/>
          </w:tcPr>
          <w:p w14:paraId="7AFB46DD">
            <w:pPr>
              <w:pStyle w:val="17"/>
              <w:spacing w:before="225"/>
              <w:ind w:left="374"/>
              <w:rPr>
                <w:color w:val="auto"/>
                <w:highlight w:val="none"/>
              </w:rPr>
            </w:pPr>
            <w:r>
              <w:rPr>
                <w:color w:val="auto"/>
                <w:highlight w:val="none"/>
              </w:rPr>
              <w:t>3</w:t>
            </w:r>
          </w:p>
        </w:tc>
        <w:tc>
          <w:tcPr>
            <w:tcW w:w="7621" w:type="dxa"/>
            <w:tcBorders>
              <w:right w:val="single" w:color="auto" w:sz="4" w:space="0"/>
            </w:tcBorders>
            <w:vAlign w:val="top"/>
          </w:tcPr>
          <w:p w14:paraId="7C5FC122">
            <w:pPr>
              <w:pStyle w:val="17"/>
              <w:spacing w:before="225" w:line="219" w:lineRule="auto"/>
              <w:ind w:left="137"/>
              <w:rPr>
                <w:color w:val="auto"/>
                <w:highlight w:val="none"/>
              </w:rPr>
            </w:pPr>
            <w:r>
              <w:rPr>
                <w:color w:val="auto"/>
                <w:spacing w:val="-2"/>
                <w:highlight w:val="none"/>
              </w:rPr>
              <w:t>内业原始资料和整理资料未按有关要求采用文件盒及时归档，违约金</w:t>
            </w:r>
            <w:r>
              <w:rPr>
                <w:color w:val="auto"/>
                <w:spacing w:val="-42"/>
                <w:highlight w:val="none"/>
              </w:rPr>
              <w:t xml:space="preserve"> </w:t>
            </w:r>
            <w:r>
              <w:rPr>
                <w:color w:val="auto"/>
                <w:spacing w:val="-2"/>
                <w:highlight w:val="none"/>
              </w:rPr>
              <w:t>500</w:t>
            </w:r>
            <w:r>
              <w:rPr>
                <w:color w:val="auto"/>
                <w:spacing w:val="-42"/>
                <w:highlight w:val="none"/>
              </w:rPr>
              <w:t xml:space="preserve"> </w:t>
            </w:r>
            <w:r>
              <w:rPr>
                <w:color w:val="auto"/>
                <w:spacing w:val="-2"/>
                <w:highlight w:val="none"/>
              </w:rPr>
              <w:t>元/次。</w:t>
            </w:r>
          </w:p>
        </w:tc>
      </w:tr>
      <w:tr w14:paraId="3B083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32" w:type="dxa"/>
            <w:vMerge w:val="continue"/>
            <w:tcBorders>
              <w:top w:val="nil"/>
              <w:left w:val="single" w:color="auto" w:sz="4" w:space="0"/>
              <w:bottom w:val="single" w:color="auto" w:sz="4" w:space="0"/>
            </w:tcBorders>
            <w:vAlign w:val="top"/>
          </w:tcPr>
          <w:p w14:paraId="7CEA8E8D">
            <w:pPr>
              <w:rPr>
                <w:rFonts w:ascii="Arial"/>
                <w:color w:val="auto"/>
                <w:sz w:val="21"/>
                <w:highlight w:val="none"/>
              </w:rPr>
            </w:pPr>
          </w:p>
        </w:tc>
        <w:tc>
          <w:tcPr>
            <w:tcW w:w="839" w:type="dxa"/>
            <w:tcBorders>
              <w:bottom w:val="single" w:color="auto" w:sz="4" w:space="0"/>
            </w:tcBorders>
            <w:vAlign w:val="top"/>
          </w:tcPr>
          <w:p w14:paraId="02A55C5B">
            <w:pPr>
              <w:spacing w:line="272" w:lineRule="auto"/>
              <w:rPr>
                <w:rFonts w:ascii="Arial"/>
                <w:color w:val="auto"/>
                <w:sz w:val="21"/>
                <w:highlight w:val="none"/>
              </w:rPr>
            </w:pPr>
          </w:p>
          <w:p w14:paraId="481AC167">
            <w:pPr>
              <w:pStyle w:val="17"/>
              <w:spacing w:before="68" w:line="241" w:lineRule="auto"/>
              <w:ind w:left="369"/>
              <w:rPr>
                <w:color w:val="auto"/>
                <w:highlight w:val="none"/>
              </w:rPr>
            </w:pPr>
            <w:r>
              <w:rPr>
                <w:color w:val="auto"/>
                <w:highlight w:val="none"/>
              </w:rPr>
              <w:t>4</w:t>
            </w:r>
          </w:p>
        </w:tc>
        <w:tc>
          <w:tcPr>
            <w:tcW w:w="7621" w:type="dxa"/>
            <w:tcBorders>
              <w:bottom w:val="single" w:color="auto" w:sz="4" w:space="0"/>
              <w:right w:val="single" w:color="auto" w:sz="4" w:space="0"/>
            </w:tcBorders>
            <w:vAlign w:val="top"/>
          </w:tcPr>
          <w:p w14:paraId="52871F71">
            <w:pPr>
              <w:pStyle w:val="17"/>
              <w:spacing w:before="142" w:line="288" w:lineRule="auto"/>
              <w:ind w:left="111" w:right="115" w:firstLine="2"/>
              <w:rPr>
                <w:color w:val="auto"/>
                <w:highlight w:val="none"/>
              </w:rPr>
            </w:pPr>
            <w:r>
              <w:rPr>
                <w:color w:val="auto"/>
                <w:spacing w:val="1"/>
                <w:highlight w:val="none"/>
              </w:rPr>
              <w:t>分部工程完成时，须将原始资料、施工记录、进度照片等资料整理归纳，装订成</w:t>
            </w:r>
            <w:r>
              <w:rPr>
                <w:color w:val="auto"/>
                <w:spacing w:val="-3"/>
                <w:highlight w:val="none"/>
              </w:rPr>
              <w:t>册，违者违约金</w:t>
            </w:r>
            <w:r>
              <w:rPr>
                <w:color w:val="auto"/>
                <w:spacing w:val="-43"/>
                <w:highlight w:val="none"/>
              </w:rPr>
              <w:t xml:space="preserve"> </w:t>
            </w:r>
            <w:r>
              <w:rPr>
                <w:color w:val="auto"/>
                <w:spacing w:val="-3"/>
                <w:highlight w:val="none"/>
              </w:rPr>
              <w:t>2,000</w:t>
            </w:r>
            <w:r>
              <w:rPr>
                <w:color w:val="auto"/>
                <w:spacing w:val="-41"/>
                <w:highlight w:val="none"/>
              </w:rPr>
              <w:t xml:space="preserve"> </w:t>
            </w:r>
            <w:r>
              <w:rPr>
                <w:color w:val="auto"/>
                <w:spacing w:val="-3"/>
                <w:highlight w:val="none"/>
              </w:rPr>
              <w:t>元/次。</w:t>
            </w:r>
          </w:p>
        </w:tc>
      </w:tr>
    </w:tbl>
    <w:p w14:paraId="59EA16BD">
      <w:pPr>
        <w:pStyle w:val="3"/>
        <w:rPr>
          <w:color w:val="auto"/>
          <w:highlight w:val="none"/>
        </w:rPr>
      </w:pPr>
    </w:p>
    <w:p w14:paraId="72E69B6F">
      <w:pPr>
        <w:rPr>
          <w:color w:val="auto"/>
          <w:highlight w:val="none"/>
        </w:rPr>
        <w:sectPr>
          <w:headerReference r:id="rId108" w:type="default"/>
          <w:footerReference r:id="rId109" w:type="default"/>
          <w:pgSz w:w="11905" w:h="16840"/>
          <w:pgMar w:top="1182" w:right="0" w:bottom="1171" w:left="0" w:header="849" w:footer="937" w:gutter="0"/>
          <w:pgNumType w:fmt="decimal"/>
          <w:cols w:space="720" w:num="1"/>
        </w:sectPr>
      </w:pPr>
    </w:p>
    <w:p w14:paraId="402D6727">
      <w:pPr>
        <w:spacing w:line="234" w:lineRule="exact"/>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0CC76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2" w:type="dxa"/>
            <w:vAlign w:val="top"/>
          </w:tcPr>
          <w:p w14:paraId="04D31E20">
            <w:pPr>
              <w:pStyle w:val="17"/>
              <w:spacing w:before="225" w:line="220" w:lineRule="auto"/>
              <w:ind w:left="210"/>
              <w:rPr>
                <w:color w:val="auto"/>
                <w:highlight w:val="none"/>
              </w:rPr>
            </w:pPr>
            <w:r>
              <w:rPr>
                <w:b/>
                <w:bCs/>
                <w:color w:val="auto"/>
                <w:spacing w:val="-4"/>
                <w:highlight w:val="none"/>
              </w:rPr>
              <w:t>类别</w:t>
            </w:r>
          </w:p>
        </w:tc>
        <w:tc>
          <w:tcPr>
            <w:tcW w:w="839" w:type="dxa"/>
            <w:vAlign w:val="top"/>
          </w:tcPr>
          <w:p w14:paraId="6E5D8868">
            <w:pPr>
              <w:pStyle w:val="17"/>
              <w:spacing w:before="226" w:line="221" w:lineRule="auto"/>
              <w:ind w:left="211"/>
              <w:rPr>
                <w:color w:val="auto"/>
                <w:highlight w:val="none"/>
              </w:rPr>
            </w:pPr>
            <w:r>
              <w:rPr>
                <w:b/>
                <w:bCs/>
                <w:color w:val="auto"/>
                <w:spacing w:val="-4"/>
                <w:highlight w:val="none"/>
              </w:rPr>
              <w:t>序号</w:t>
            </w:r>
          </w:p>
        </w:tc>
        <w:tc>
          <w:tcPr>
            <w:tcW w:w="7621" w:type="dxa"/>
            <w:vAlign w:val="top"/>
          </w:tcPr>
          <w:p w14:paraId="1AC2189B">
            <w:pPr>
              <w:pStyle w:val="17"/>
              <w:spacing w:before="226" w:line="220" w:lineRule="auto"/>
              <w:ind w:left="3393"/>
              <w:rPr>
                <w:color w:val="auto"/>
                <w:highlight w:val="none"/>
              </w:rPr>
            </w:pPr>
            <w:r>
              <w:rPr>
                <w:b/>
                <w:bCs/>
                <w:color w:val="auto"/>
                <w:spacing w:val="-4"/>
                <w:highlight w:val="none"/>
              </w:rPr>
              <w:t>违约项目</w:t>
            </w:r>
          </w:p>
        </w:tc>
      </w:tr>
      <w:tr w14:paraId="2872D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75535505">
            <w:pPr>
              <w:rPr>
                <w:rFonts w:ascii="Arial"/>
                <w:color w:val="auto"/>
                <w:sz w:val="21"/>
                <w:highlight w:val="none"/>
              </w:rPr>
            </w:pPr>
          </w:p>
        </w:tc>
        <w:tc>
          <w:tcPr>
            <w:tcW w:w="839" w:type="dxa"/>
            <w:vAlign w:val="top"/>
          </w:tcPr>
          <w:p w14:paraId="022BA3B9">
            <w:pPr>
              <w:pStyle w:val="17"/>
              <w:spacing w:before="222"/>
              <w:ind w:left="374"/>
              <w:rPr>
                <w:color w:val="auto"/>
                <w:highlight w:val="none"/>
              </w:rPr>
            </w:pPr>
            <w:r>
              <w:rPr>
                <w:color w:val="auto"/>
                <w:highlight w:val="none"/>
              </w:rPr>
              <w:t>5</w:t>
            </w:r>
          </w:p>
        </w:tc>
        <w:tc>
          <w:tcPr>
            <w:tcW w:w="7621" w:type="dxa"/>
            <w:vAlign w:val="top"/>
          </w:tcPr>
          <w:p w14:paraId="6895DE6D">
            <w:pPr>
              <w:pStyle w:val="17"/>
              <w:spacing w:before="221" w:line="217" w:lineRule="auto"/>
              <w:ind w:left="111"/>
              <w:rPr>
                <w:color w:val="auto"/>
                <w:highlight w:val="none"/>
              </w:rPr>
            </w:pPr>
            <w:r>
              <w:rPr>
                <w:color w:val="auto"/>
                <w:spacing w:val="-2"/>
                <w:highlight w:val="none"/>
              </w:rPr>
              <w:t>试验设备不齐全，未建立试验台帐，违约金</w:t>
            </w:r>
            <w:r>
              <w:rPr>
                <w:color w:val="auto"/>
                <w:spacing w:val="-35"/>
                <w:highlight w:val="none"/>
              </w:rPr>
              <w:t xml:space="preserve"> </w:t>
            </w:r>
            <w:r>
              <w:rPr>
                <w:color w:val="auto"/>
                <w:spacing w:val="-2"/>
                <w:highlight w:val="none"/>
              </w:rPr>
              <w:t>5,000</w:t>
            </w:r>
            <w:r>
              <w:rPr>
                <w:color w:val="auto"/>
                <w:spacing w:val="-41"/>
                <w:highlight w:val="none"/>
              </w:rPr>
              <w:t xml:space="preserve"> </w:t>
            </w:r>
            <w:r>
              <w:rPr>
                <w:color w:val="auto"/>
                <w:spacing w:val="-2"/>
                <w:highlight w:val="none"/>
              </w:rPr>
              <w:t>元/次。</w:t>
            </w:r>
          </w:p>
        </w:tc>
      </w:tr>
      <w:tr w14:paraId="583EC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3F584B9A">
            <w:pPr>
              <w:rPr>
                <w:rFonts w:ascii="Arial"/>
                <w:color w:val="auto"/>
                <w:sz w:val="21"/>
                <w:highlight w:val="none"/>
              </w:rPr>
            </w:pPr>
          </w:p>
        </w:tc>
        <w:tc>
          <w:tcPr>
            <w:tcW w:w="839" w:type="dxa"/>
            <w:vAlign w:val="top"/>
          </w:tcPr>
          <w:p w14:paraId="6BA2F470">
            <w:pPr>
              <w:pStyle w:val="17"/>
              <w:spacing w:before="222"/>
              <w:ind w:left="371"/>
              <w:rPr>
                <w:color w:val="auto"/>
                <w:highlight w:val="none"/>
              </w:rPr>
            </w:pPr>
            <w:r>
              <w:rPr>
                <w:color w:val="auto"/>
                <w:highlight w:val="none"/>
              </w:rPr>
              <w:t>6</w:t>
            </w:r>
          </w:p>
        </w:tc>
        <w:tc>
          <w:tcPr>
            <w:tcW w:w="7621" w:type="dxa"/>
            <w:vAlign w:val="top"/>
          </w:tcPr>
          <w:p w14:paraId="24E6DF61">
            <w:pPr>
              <w:pStyle w:val="17"/>
              <w:spacing w:before="222" w:line="220" w:lineRule="auto"/>
              <w:ind w:left="125"/>
              <w:rPr>
                <w:color w:val="auto"/>
                <w:highlight w:val="none"/>
              </w:rPr>
            </w:pPr>
            <w:r>
              <w:rPr>
                <w:color w:val="auto"/>
                <w:spacing w:val="-2"/>
                <w:highlight w:val="none"/>
              </w:rPr>
              <w:t>隐蔽工程的施工过程和工序验收影像资料未留存的，违约金</w:t>
            </w:r>
            <w:r>
              <w:rPr>
                <w:color w:val="auto"/>
                <w:spacing w:val="-29"/>
                <w:highlight w:val="none"/>
              </w:rPr>
              <w:t xml:space="preserve"> </w:t>
            </w:r>
            <w:r>
              <w:rPr>
                <w:color w:val="auto"/>
                <w:spacing w:val="-2"/>
                <w:highlight w:val="none"/>
              </w:rPr>
              <w:t>1</w:t>
            </w:r>
            <w:r>
              <w:rPr>
                <w:color w:val="auto"/>
                <w:spacing w:val="-3"/>
                <w:highlight w:val="none"/>
              </w:rPr>
              <w:t>000</w:t>
            </w:r>
            <w:r>
              <w:rPr>
                <w:color w:val="auto"/>
                <w:spacing w:val="-42"/>
                <w:highlight w:val="none"/>
              </w:rPr>
              <w:t xml:space="preserve"> </w:t>
            </w:r>
            <w:r>
              <w:rPr>
                <w:color w:val="auto"/>
                <w:spacing w:val="-3"/>
                <w:highlight w:val="none"/>
              </w:rPr>
              <w:t>元/次。</w:t>
            </w:r>
          </w:p>
        </w:tc>
      </w:tr>
      <w:tr w14:paraId="54BD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2C373372">
            <w:pPr>
              <w:spacing w:line="245" w:lineRule="auto"/>
              <w:rPr>
                <w:rFonts w:ascii="Arial"/>
                <w:color w:val="auto"/>
                <w:sz w:val="21"/>
                <w:highlight w:val="none"/>
              </w:rPr>
            </w:pPr>
          </w:p>
          <w:p w14:paraId="4E0E5C6F">
            <w:pPr>
              <w:spacing w:line="245" w:lineRule="auto"/>
              <w:rPr>
                <w:rFonts w:ascii="Arial"/>
                <w:color w:val="auto"/>
                <w:sz w:val="21"/>
                <w:highlight w:val="none"/>
              </w:rPr>
            </w:pPr>
          </w:p>
          <w:p w14:paraId="34D2238C">
            <w:pPr>
              <w:spacing w:line="245" w:lineRule="auto"/>
              <w:rPr>
                <w:rFonts w:ascii="Arial"/>
                <w:color w:val="auto"/>
                <w:sz w:val="21"/>
                <w:highlight w:val="none"/>
              </w:rPr>
            </w:pPr>
          </w:p>
          <w:p w14:paraId="314C189F">
            <w:pPr>
              <w:spacing w:line="245" w:lineRule="auto"/>
              <w:rPr>
                <w:rFonts w:ascii="Arial"/>
                <w:color w:val="auto"/>
                <w:sz w:val="21"/>
                <w:highlight w:val="none"/>
              </w:rPr>
            </w:pPr>
          </w:p>
          <w:p w14:paraId="16E59663">
            <w:pPr>
              <w:spacing w:line="245" w:lineRule="auto"/>
              <w:rPr>
                <w:rFonts w:ascii="Arial"/>
                <w:color w:val="auto"/>
                <w:sz w:val="21"/>
                <w:highlight w:val="none"/>
              </w:rPr>
            </w:pPr>
          </w:p>
          <w:p w14:paraId="651E0E6E">
            <w:pPr>
              <w:spacing w:line="245" w:lineRule="auto"/>
              <w:rPr>
                <w:rFonts w:ascii="Arial"/>
                <w:color w:val="auto"/>
                <w:sz w:val="21"/>
                <w:highlight w:val="none"/>
              </w:rPr>
            </w:pPr>
          </w:p>
          <w:p w14:paraId="195E5B92">
            <w:pPr>
              <w:spacing w:line="246" w:lineRule="auto"/>
              <w:rPr>
                <w:rFonts w:ascii="Arial"/>
                <w:color w:val="auto"/>
                <w:sz w:val="21"/>
                <w:highlight w:val="none"/>
              </w:rPr>
            </w:pPr>
          </w:p>
          <w:p w14:paraId="4F337852">
            <w:pPr>
              <w:spacing w:line="246" w:lineRule="auto"/>
              <w:rPr>
                <w:rFonts w:ascii="Arial"/>
                <w:color w:val="auto"/>
                <w:sz w:val="21"/>
                <w:highlight w:val="none"/>
              </w:rPr>
            </w:pPr>
          </w:p>
          <w:p w14:paraId="1B50197F">
            <w:pPr>
              <w:spacing w:line="246" w:lineRule="auto"/>
              <w:rPr>
                <w:rFonts w:ascii="Arial"/>
                <w:color w:val="auto"/>
                <w:sz w:val="21"/>
                <w:highlight w:val="none"/>
              </w:rPr>
            </w:pPr>
          </w:p>
          <w:p w14:paraId="7D26137B">
            <w:pPr>
              <w:spacing w:line="246" w:lineRule="auto"/>
              <w:rPr>
                <w:rFonts w:ascii="Arial"/>
                <w:color w:val="auto"/>
                <w:sz w:val="21"/>
                <w:highlight w:val="none"/>
              </w:rPr>
            </w:pPr>
          </w:p>
          <w:p w14:paraId="2C1F006E">
            <w:pPr>
              <w:spacing w:line="246" w:lineRule="auto"/>
              <w:rPr>
                <w:rFonts w:ascii="Arial"/>
                <w:color w:val="auto"/>
                <w:sz w:val="21"/>
                <w:highlight w:val="none"/>
              </w:rPr>
            </w:pPr>
          </w:p>
          <w:p w14:paraId="2378FB9A">
            <w:pPr>
              <w:spacing w:line="246" w:lineRule="auto"/>
              <w:rPr>
                <w:rFonts w:ascii="Arial"/>
                <w:color w:val="auto"/>
                <w:sz w:val="21"/>
                <w:highlight w:val="none"/>
              </w:rPr>
            </w:pPr>
          </w:p>
          <w:p w14:paraId="325AA894">
            <w:pPr>
              <w:spacing w:line="246" w:lineRule="auto"/>
              <w:rPr>
                <w:rFonts w:ascii="Arial"/>
                <w:color w:val="auto"/>
                <w:sz w:val="21"/>
                <w:highlight w:val="none"/>
              </w:rPr>
            </w:pPr>
          </w:p>
          <w:p w14:paraId="3F8AA44E">
            <w:pPr>
              <w:pStyle w:val="17"/>
              <w:spacing w:before="69" w:line="220" w:lineRule="auto"/>
              <w:ind w:left="211"/>
              <w:rPr>
                <w:color w:val="auto"/>
                <w:highlight w:val="none"/>
              </w:rPr>
            </w:pPr>
            <w:r>
              <w:rPr>
                <w:color w:val="auto"/>
                <w:spacing w:val="-3"/>
                <w:highlight w:val="none"/>
              </w:rPr>
              <w:t>其他</w:t>
            </w:r>
          </w:p>
        </w:tc>
        <w:tc>
          <w:tcPr>
            <w:tcW w:w="839" w:type="dxa"/>
            <w:vAlign w:val="top"/>
          </w:tcPr>
          <w:p w14:paraId="28284216">
            <w:pPr>
              <w:pStyle w:val="17"/>
              <w:spacing w:before="223" w:line="241" w:lineRule="auto"/>
              <w:ind w:left="385"/>
              <w:rPr>
                <w:color w:val="auto"/>
                <w:highlight w:val="none"/>
              </w:rPr>
            </w:pPr>
            <w:r>
              <w:rPr>
                <w:color w:val="auto"/>
                <w:highlight w:val="none"/>
              </w:rPr>
              <w:t>1</w:t>
            </w:r>
          </w:p>
        </w:tc>
        <w:tc>
          <w:tcPr>
            <w:tcW w:w="7621" w:type="dxa"/>
            <w:vAlign w:val="top"/>
          </w:tcPr>
          <w:p w14:paraId="13B34A52">
            <w:pPr>
              <w:pStyle w:val="17"/>
              <w:spacing w:before="222" w:line="217" w:lineRule="auto"/>
              <w:ind w:left="115"/>
              <w:rPr>
                <w:color w:val="auto"/>
                <w:highlight w:val="none"/>
              </w:rPr>
            </w:pPr>
            <w:r>
              <w:rPr>
                <w:color w:val="auto"/>
                <w:spacing w:val="-2"/>
                <w:highlight w:val="none"/>
              </w:rPr>
              <w:t>不按照有关规定进行技术交底就进行施工作业的，违约金</w:t>
            </w:r>
            <w:r>
              <w:rPr>
                <w:color w:val="auto"/>
                <w:spacing w:val="-26"/>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4B49C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32" w:type="dxa"/>
            <w:vMerge w:val="continue"/>
            <w:tcBorders>
              <w:top w:val="nil"/>
              <w:bottom w:val="nil"/>
            </w:tcBorders>
            <w:vAlign w:val="top"/>
          </w:tcPr>
          <w:p w14:paraId="1BF827F7">
            <w:pPr>
              <w:rPr>
                <w:rFonts w:ascii="Arial"/>
                <w:color w:val="auto"/>
                <w:sz w:val="21"/>
                <w:highlight w:val="none"/>
              </w:rPr>
            </w:pPr>
          </w:p>
        </w:tc>
        <w:tc>
          <w:tcPr>
            <w:tcW w:w="839" w:type="dxa"/>
            <w:vAlign w:val="top"/>
          </w:tcPr>
          <w:p w14:paraId="547451E3">
            <w:pPr>
              <w:pStyle w:val="17"/>
              <w:spacing w:before="222" w:line="241" w:lineRule="auto"/>
              <w:ind w:left="372"/>
              <w:rPr>
                <w:color w:val="auto"/>
                <w:highlight w:val="none"/>
              </w:rPr>
            </w:pPr>
            <w:r>
              <w:rPr>
                <w:color w:val="auto"/>
                <w:highlight w:val="none"/>
              </w:rPr>
              <w:t>2</w:t>
            </w:r>
          </w:p>
        </w:tc>
        <w:tc>
          <w:tcPr>
            <w:tcW w:w="7621" w:type="dxa"/>
            <w:vAlign w:val="top"/>
          </w:tcPr>
          <w:p w14:paraId="7E89127E">
            <w:pPr>
              <w:pStyle w:val="17"/>
              <w:spacing w:before="221" w:line="217" w:lineRule="auto"/>
              <w:ind w:left="113"/>
              <w:rPr>
                <w:color w:val="auto"/>
                <w:highlight w:val="none"/>
              </w:rPr>
            </w:pPr>
            <w:r>
              <w:rPr>
                <w:color w:val="auto"/>
                <w:spacing w:val="-1"/>
                <w:highlight w:val="none"/>
              </w:rPr>
              <w:t>上一道工序未经监理人签认就进行下一道工序施</w:t>
            </w:r>
            <w:r>
              <w:rPr>
                <w:color w:val="auto"/>
                <w:spacing w:val="-2"/>
                <w:highlight w:val="none"/>
              </w:rPr>
              <w:t>工的，违约金</w:t>
            </w:r>
            <w:r>
              <w:rPr>
                <w:color w:val="auto"/>
                <w:spacing w:val="-41"/>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3FD07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295DB720">
            <w:pPr>
              <w:rPr>
                <w:rFonts w:ascii="Arial"/>
                <w:color w:val="auto"/>
                <w:sz w:val="21"/>
                <w:highlight w:val="none"/>
              </w:rPr>
            </w:pPr>
          </w:p>
        </w:tc>
        <w:tc>
          <w:tcPr>
            <w:tcW w:w="839" w:type="dxa"/>
            <w:vAlign w:val="top"/>
          </w:tcPr>
          <w:p w14:paraId="48502AFA">
            <w:pPr>
              <w:spacing w:line="271" w:lineRule="auto"/>
              <w:rPr>
                <w:rFonts w:ascii="Arial"/>
                <w:color w:val="auto"/>
                <w:sz w:val="21"/>
                <w:highlight w:val="none"/>
              </w:rPr>
            </w:pPr>
          </w:p>
          <w:p w14:paraId="35474430">
            <w:pPr>
              <w:pStyle w:val="17"/>
              <w:spacing w:before="68"/>
              <w:ind w:left="374"/>
              <w:rPr>
                <w:color w:val="auto"/>
                <w:highlight w:val="none"/>
              </w:rPr>
            </w:pPr>
            <w:r>
              <w:rPr>
                <w:color w:val="auto"/>
                <w:highlight w:val="none"/>
              </w:rPr>
              <w:t>3</w:t>
            </w:r>
          </w:p>
        </w:tc>
        <w:tc>
          <w:tcPr>
            <w:tcW w:w="7621" w:type="dxa"/>
            <w:vAlign w:val="top"/>
          </w:tcPr>
          <w:p w14:paraId="3B26203B">
            <w:pPr>
              <w:pStyle w:val="17"/>
              <w:spacing w:before="141" w:line="287" w:lineRule="auto"/>
              <w:ind w:left="128" w:right="115" w:hanging="16"/>
              <w:rPr>
                <w:color w:val="auto"/>
                <w:highlight w:val="none"/>
              </w:rPr>
            </w:pPr>
            <w:r>
              <w:rPr>
                <w:color w:val="auto"/>
                <w:spacing w:val="1"/>
                <w:highlight w:val="none"/>
              </w:rPr>
              <w:t>要求返工的工程未在规定的时间内进行返工或要求清除出施工现场材料未在规定</w:t>
            </w:r>
            <w:r>
              <w:rPr>
                <w:color w:val="auto"/>
                <w:spacing w:val="-3"/>
                <w:highlight w:val="none"/>
              </w:rPr>
              <w:t>的时间内清除出场的，每延误一天违约金</w:t>
            </w:r>
            <w:r>
              <w:rPr>
                <w:color w:val="auto"/>
                <w:spacing w:val="-28"/>
                <w:highlight w:val="none"/>
              </w:rPr>
              <w:t xml:space="preserve"> </w:t>
            </w:r>
            <w:r>
              <w:rPr>
                <w:color w:val="auto"/>
                <w:spacing w:val="-3"/>
                <w:highlight w:val="none"/>
              </w:rPr>
              <w:t>1000</w:t>
            </w:r>
            <w:r>
              <w:rPr>
                <w:color w:val="auto"/>
                <w:spacing w:val="-41"/>
                <w:highlight w:val="none"/>
              </w:rPr>
              <w:t xml:space="preserve"> </w:t>
            </w:r>
            <w:r>
              <w:rPr>
                <w:color w:val="auto"/>
                <w:spacing w:val="-3"/>
                <w:highlight w:val="none"/>
              </w:rPr>
              <w:t>元。</w:t>
            </w:r>
          </w:p>
        </w:tc>
      </w:tr>
      <w:tr w14:paraId="3F90F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CFA5CB6">
            <w:pPr>
              <w:rPr>
                <w:rFonts w:ascii="Arial"/>
                <w:color w:val="auto"/>
                <w:sz w:val="21"/>
                <w:highlight w:val="none"/>
              </w:rPr>
            </w:pPr>
          </w:p>
        </w:tc>
        <w:tc>
          <w:tcPr>
            <w:tcW w:w="839" w:type="dxa"/>
            <w:vAlign w:val="top"/>
          </w:tcPr>
          <w:p w14:paraId="5645C8AF">
            <w:pPr>
              <w:pStyle w:val="17"/>
              <w:spacing w:before="225" w:line="241" w:lineRule="auto"/>
              <w:ind w:left="369"/>
              <w:rPr>
                <w:color w:val="auto"/>
                <w:highlight w:val="none"/>
              </w:rPr>
            </w:pPr>
            <w:r>
              <w:rPr>
                <w:color w:val="auto"/>
                <w:highlight w:val="none"/>
              </w:rPr>
              <w:t>4</w:t>
            </w:r>
          </w:p>
        </w:tc>
        <w:tc>
          <w:tcPr>
            <w:tcW w:w="7621" w:type="dxa"/>
            <w:vAlign w:val="top"/>
          </w:tcPr>
          <w:p w14:paraId="3C98F0DF">
            <w:pPr>
              <w:pStyle w:val="17"/>
              <w:spacing w:before="224" w:line="217" w:lineRule="auto"/>
              <w:ind w:left="114"/>
              <w:rPr>
                <w:color w:val="auto"/>
                <w:highlight w:val="none"/>
              </w:rPr>
            </w:pPr>
            <w:r>
              <w:rPr>
                <w:color w:val="auto"/>
                <w:spacing w:val="-2"/>
                <w:highlight w:val="none"/>
              </w:rPr>
              <w:t>水泥、钢筋、钢筋笼等存放不满足要求的，违约金</w:t>
            </w:r>
            <w:r>
              <w:rPr>
                <w:color w:val="auto"/>
                <w:spacing w:val="-31"/>
                <w:highlight w:val="none"/>
              </w:rPr>
              <w:t xml:space="preserve"> </w:t>
            </w:r>
            <w:r>
              <w:rPr>
                <w:color w:val="auto"/>
                <w:spacing w:val="-2"/>
                <w:highlight w:val="none"/>
              </w:rPr>
              <w:t>2,000</w:t>
            </w:r>
            <w:r>
              <w:rPr>
                <w:color w:val="auto"/>
                <w:spacing w:val="-42"/>
                <w:highlight w:val="none"/>
              </w:rPr>
              <w:t xml:space="preserve"> </w:t>
            </w:r>
            <w:r>
              <w:rPr>
                <w:color w:val="auto"/>
                <w:spacing w:val="-2"/>
                <w:highlight w:val="none"/>
              </w:rPr>
              <w:t>元/次。</w:t>
            </w:r>
          </w:p>
        </w:tc>
      </w:tr>
      <w:tr w14:paraId="4EBEE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2F8C4FFC">
            <w:pPr>
              <w:rPr>
                <w:rFonts w:ascii="Arial"/>
                <w:color w:val="auto"/>
                <w:sz w:val="21"/>
                <w:highlight w:val="none"/>
              </w:rPr>
            </w:pPr>
          </w:p>
        </w:tc>
        <w:tc>
          <w:tcPr>
            <w:tcW w:w="839" w:type="dxa"/>
            <w:vAlign w:val="top"/>
          </w:tcPr>
          <w:p w14:paraId="431FB5A8">
            <w:pPr>
              <w:pStyle w:val="17"/>
              <w:spacing w:before="224"/>
              <w:ind w:left="374"/>
              <w:rPr>
                <w:color w:val="auto"/>
                <w:highlight w:val="none"/>
              </w:rPr>
            </w:pPr>
            <w:r>
              <w:rPr>
                <w:color w:val="auto"/>
                <w:highlight w:val="none"/>
              </w:rPr>
              <w:t>5</w:t>
            </w:r>
          </w:p>
        </w:tc>
        <w:tc>
          <w:tcPr>
            <w:tcW w:w="7621" w:type="dxa"/>
            <w:vAlign w:val="top"/>
          </w:tcPr>
          <w:p w14:paraId="268083F4">
            <w:pPr>
              <w:pStyle w:val="17"/>
              <w:spacing w:before="224" w:line="217" w:lineRule="auto"/>
              <w:ind w:left="111"/>
              <w:rPr>
                <w:color w:val="auto"/>
                <w:highlight w:val="none"/>
              </w:rPr>
            </w:pPr>
            <w:r>
              <w:rPr>
                <w:color w:val="auto"/>
                <w:spacing w:val="-1"/>
                <w:highlight w:val="none"/>
              </w:rPr>
              <w:t>所有桩标须加固保护，树立易于识别得标志，</w:t>
            </w:r>
            <w:r>
              <w:rPr>
                <w:color w:val="auto"/>
                <w:spacing w:val="-2"/>
                <w:highlight w:val="none"/>
              </w:rPr>
              <w:t>违者违约金</w:t>
            </w:r>
            <w:r>
              <w:rPr>
                <w:color w:val="auto"/>
                <w:spacing w:val="-43"/>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元/处。</w:t>
            </w:r>
          </w:p>
        </w:tc>
      </w:tr>
      <w:tr w14:paraId="49729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7A5771E">
            <w:pPr>
              <w:rPr>
                <w:rFonts w:ascii="Arial"/>
                <w:color w:val="auto"/>
                <w:sz w:val="21"/>
                <w:highlight w:val="none"/>
              </w:rPr>
            </w:pPr>
          </w:p>
        </w:tc>
        <w:tc>
          <w:tcPr>
            <w:tcW w:w="839" w:type="dxa"/>
            <w:vAlign w:val="top"/>
          </w:tcPr>
          <w:p w14:paraId="7E4D1F2F">
            <w:pPr>
              <w:pStyle w:val="17"/>
              <w:spacing w:before="225"/>
              <w:ind w:left="371"/>
              <w:rPr>
                <w:color w:val="auto"/>
                <w:highlight w:val="none"/>
              </w:rPr>
            </w:pPr>
            <w:r>
              <w:rPr>
                <w:color w:val="auto"/>
                <w:highlight w:val="none"/>
              </w:rPr>
              <w:t>6</w:t>
            </w:r>
          </w:p>
        </w:tc>
        <w:tc>
          <w:tcPr>
            <w:tcW w:w="7621" w:type="dxa"/>
            <w:vAlign w:val="top"/>
          </w:tcPr>
          <w:p w14:paraId="2AA053EB">
            <w:pPr>
              <w:pStyle w:val="17"/>
              <w:spacing w:before="225" w:line="217" w:lineRule="auto"/>
              <w:ind w:left="111"/>
              <w:rPr>
                <w:color w:val="auto"/>
                <w:highlight w:val="none"/>
              </w:rPr>
            </w:pPr>
            <w:r>
              <w:rPr>
                <w:color w:val="auto"/>
                <w:spacing w:val="-2"/>
                <w:highlight w:val="none"/>
              </w:rPr>
              <w:t>试验及检测仪器未标定或标定不合格仍使用的，违约金</w:t>
            </w:r>
            <w:r>
              <w:rPr>
                <w:color w:val="auto"/>
                <w:spacing w:val="-25"/>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元/次。</w:t>
            </w:r>
          </w:p>
        </w:tc>
      </w:tr>
      <w:tr w14:paraId="0F0FB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4A720A66">
            <w:pPr>
              <w:rPr>
                <w:rFonts w:ascii="Arial"/>
                <w:color w:val="auto"/>
                <w:sz w:val="21"/>
                <w:highlight w:val="none"/>
              </w:rPr>
            </w:pPr>
          </w:p>
        </w:tc>
        <w:tc>
          <w:tcPr>
            <w:tcW w:w="839" w:type="dxa"/>
            <w:vAlign w:val="top"/>
          </w:tcPr>
          <w:p w14:paraId="68C8F45B">
            <w:pPr>
              <w:spacing w:line="470" w:lineRule="auto"/>
              <w:rPr>
                <w:rFonts w:ascii="Arial"/>
                <w:color w:val="auto"/>
                <w:sz w:val="21"/>
                <w:highlight w:val="none"/>
              </w:rPr>
            </w:pPr>
          </w:p>
          <w:p w14:paraId="5391BE46">
            <w:pPr>
              <w:pStyle w:val="17"/>
              <w:spacing w:before="69"/>
              <w:ind w:left="375"/>
              <w:rPr>
                <w:color w:val="auto"/>
                <w:highlight w:val="none"/>
              </w:rPr>
            </w:pPr>
            <w:r>
              <w:rPr>
                <w:color w:val="auto"/>
                <w:highlight w:val="none"/>
              </w:rPr>
              <w:t>7</w:t>
            </w:r>
          </w:p>
        </w:tc>
        <w:tc>
          <w:tcPr>
            <w:tcW w:w="7621" w:type="dxa"/>
            <w:vAlign w:val="top"/>
          </w:tcPr>
          <w:p w14:paraId="0C652F31">
            <w:pPr>
              <w:pStyle w:val="17"/>
              <w:spacing w:before="142" w:line="308" w:lineRule="auto"/>
              <w:ind w:left="112" w:right="115" w:hanging="1"/>
              <w:jc w:val="both"/>
              <w:rPr>
                <w:color w:val="auto"/>
                <w:highlight w:val="none"/>
              </w:rPr>
            </w:pPr>
            <w:r>
              <w:rPr>
                <w:color w:val="auto"/>
                <w:spacing w:val="-4"/>
                <w:highlight w:val="none"/>
              </w:rPr>
              <w:t>检验项目、方法、频率，</w:t>
            </w:r>
            <w:r>
              <w:rPr>
                <w:color w:val="auto"/>
                <w:spacing w:val="72"/>
                <w:highlight w:val="none"/>
              </w:rPr>
              <w:t xml:space="preserve"> </w:t>
            </w:r>
            <w:r>
              <w:rPr>
                <w:color w:val="auto"/>
                <w:spacing w:val="-4"/>
                <w:highlight w:val="none"/>
              </w:rPr>
              <w:t>没有按设计或规范要求执行；原材料送检和其他自检项</w:t>
            </w:r>
            <w:r>
              <w:rPr>
                <w:color w:val="auto"/>
                <w:highlight w:val="none"/>
              </w:rPr>
              <w:t>目的试验（如钢筋焊接，</w:t>
            </w:r>
            <w:r>
              <w:rPr>
                <w:color w:val="auto"/>
                <w:spacing w:val="-55"/>
                <w:highlight w:val="none"/>
              </w:rPr>
              <w:t xml:space="preserve"> </w:t>
            </w:r>
            <w:r>
              <w:rPr>
                <w:color w:val="auto"/>
                <w:highlight w:val="none"/>
              </w:rPr>
              <w:t>土的重击实试验）不</w:t>
            </w:r>
            <w:r>
              <w:rPr>
                <w:color w:val="auto"/>
                <w:spacing w:val="-1"/>
                <w:highlight w:val="none"/>
              </w:rPr>
              <w:t>及时，频率未达到规定要求，违约</w:t>
            </w:r>
            <w:r>
              <w:rPr>
                <w:color w:val="auto"/>
                <w:spacing w:val="-5"/>
                <w:highlight w:val="none"/>
              </w:rPr>
              <w:t>金</w:t>
            </w:r>
            <w:r>
              <w:rPr>
                <w:color w:val="auto"/>
                <w:spacing w:val="-39"/>
                <w:highlight w:val="none"/>
              </w:rPr>
              <w:t xml:space="preserve"> </w:t>
            </w:r>
            <w:r>
              <w:rPr>
                <w:color w:val="auto"/>
                <w:spacing w:val="-5"/>
                <w:highlight w:val="none"/>
              </w:rPr>
              <w:t>2,000</w:t>
            </w:r>
            <w:r>
              <w:rPr>
                <w:color w:val="auto"/>
                <w:spacing w:val="-42"/>
                <w:highlight w:val="none"/>
              </w:rPr>
              <w:t xml:space="preserve"> </w:t>
            </w:r>
            <w:r>
              <w:rPr>
                <w:color w:val="auto"/>
                <w:spacing w:val="-5"/>
                <w:highlight w:val="none"/>
              </w:rPr>
              <w:t>元/次。</w:t>
            </w:r>
          </w:p>
        </w:tc>
      </w:tr>
      <w:tr w14:paraId="22FEC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DCD743D">
            <w:pPr>
              <w:rPr>
                <w:rFonts w:ascii="Arial"/>
                <w:color w:val="auto"/>
                <w:sz w:val="21"/>
                <w:highlight w:val="none"/>
              </w:rPr>
            </w:pPr>
          </w:p>
        </w:tc>
        <w:tc>
          <w:tcPr>
            <w:tcW w:w="839" w:type="dxa"/>
            <w:vAlign w:val="top"/>
          </w:tcPr>
          <w:p w14:paraId="7EA65AFC">
            <w:pPr>
              <w:pStyle w:val="17"/>
              <w:spacing w:before="225"/>
              <w:ind w:left="370"/>
              <w:rPr>
                <w:color w:val="auto"/>
                <w:highlight w:val="none"/>
              </w:rPr>
            </w:pPr>
            <w:r>
              <w:rPr>
                <w:color w:val="auto"/>
                <w:highlight w:val="none"/>
              </w:rPr>
              <w:t>8</w:t>
            </w:r>
          </w:p>
        </w:tc>
        <w:tc>
          <w:tcPr>
            <w:tcW w:w="7621" w:type="dxa"/>
            <w:vAlign w:val="top"/>
          </w:tcPr>
          <w:p w14:paraId="0960238E">
            <w:pPr>
              <w:pStyle w:val="17"/>
              <w:spacing w:before="225" w:line="217" w:lineRule="auto"/>
              <w:ind w:left="115"/>
              <w:rPr>
                <w:color w:val="auto"/>
                <w:highlight w:val="none"/>
              </w:rPr>
            </w:pPr>
            <w:r>
              <w:rPr>
                <w:color w:val="auto"/>
                <w:spacing w:val="-2"/>
                <w:highlight w:val="none"/>
              </w:rPr>
              <w:t>未经检验合格的材料用于施工的，违约金</w:t>
            </w:r>
            <w:r>
              <w:rPr>
                <w:color w:val="auto"/>
                <w:spacing w:val="-40"/>
                <w:highlight w:val="none"/>
              </w:rPr>
              <w:t xml:space="preserve"> </w:t>
            </w:r>
            <w:r>
              <w:rPr>
                <w:color w:val="auto"/>
                <w:spacing w:val="-2"/>
                <w:highlight w:val="none"/>
              </w:rPr>
              <w:t>5,000</w:t>
            </w:r>
            <w:r>
              <w:rPr>
                <w:color w:val="auto"/>
                <w:spacing w:val="-42"/>
                <w:highlight w:val="none"/>
              </w:rPr>
              <w:t xml:space="preserve"> </w:t>
            </w:r>
            <w:r>
              <w:rPr>
                <w:color w:val="auto"/>
                <w:spacing w:val="-2"/>
                <w:highlight w:val="none"/>
              </w:rPr>
              <w:t>元/次。</w:t>
            </w:r>
          </w:p>
        </w:tc>
      </w:tr>
      <w:tr w14:paraId="7560F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32" w:type="dxa"/>
            <w:vMerge w:val="continue"/>
            <w:tcBorders>
              <w:top w:val="nil"/>
            </w:tcBorders>
            <w:vAlign w:val="top"/>
          </w:tcPr>
          <w:p w14:paraId="02C82E7A">
            <w:pPr>
              <w:rPr>
                <w:rFonts w:ascii="Arial"/>
                <w:color w:val="auto"/>
                <w:sz w:val="21"/>
                <w:highlight w:val="none"/>
              </w:rPr>
            </w:pPr>
          </w:p>
        </w:tc>
        <w:tc>
          <w:tcPr>
            <w:tcW w:w="839" w:type="dxa"/>
            <w:vAlign w:val="top"/>
          </w:tcPr>
          <w:p w14:paraId="391FFCB2">
            <w:pPr>
              <w:spacing w:line="471" w:lineRule="auto"/>
              <w:rPr>
                <w:rFonts w:ascii="Arial"/>
                <w:color w:val="auto"/>
                <w:sz w:val="21"/>
                <w:highlight w:val="none"/>
              </w:rPr>
            </w:pPr>
          </w:p>
          <w:p w14:paraId="1AD74846">
            <w:pPr>
              <w:pStyle w:val="17"/>
              <w:spacing w:before="69"/>
              <w:ind w:left="370"/>
              <w:rPr>
                <w:color w:val="auto"/>
                <w:highlight w:val="none"/>
              </w:rPr>
            </w:pPr>
            <w:r>
              <w:rPr>
                <w:color w:val="auto"/>
                <w:highlight w:val="none"/>
              </w:rPr>
              <w:t>9</w:t>
            </w:r>
          </w:p>
        </w:tc>
        <w:tc>
          <w:tcPr>
            <w:tcW w:w="7621" w:type="dxa"/>
            <w:vAlign w:val="top"/>
          </w:tcPr>
          <w:p w14:paraId="3961F9C3">
            <w:pPr>
              <w:pStyle w:val="17"/>
              <w:spacing w:before="144" w:line="309" w:lineRule="auto"/>
              <w:ind w:left="111" w:right="108"/>
              <w:jc w:val="both"/>
              <w:rPr>
                <w:color w:val="auto"/>
                <w:highlight w:val="none"/>
              </w:rPr>
            </w:pPr>
            <w:r>
              <w:rPr>
                <w:color w:val="auto"/>
                <w:spacing w:val="1"/>
                <w:highlight w:val="none"/>
              </w:rPr>
              <w:t>其他不按照《广东省公路施工标准化指南》</w:t>
            </w:r>
            <w:r>
              <w:rPr>
                <w:color w:val="auto"/>
                <w:spacing w:val="19"/>
                <w:highlight w:val="none"/>
              </w:rPr>
              <w:t>有关规定进行管理或施工作业的，</w:t>
            </w:r>
            <w:r>
              <w:rPr>
                <w:color w:val="auto"/>
                <w:spacing w:val="-38"/>
                <w:highlight w:val="none"/>
              </w:rPr>
              <w:t xml:space="preserve"> </w:t>
            </w:r>
            <w:r>
              <w:rPr>
                <w:color w:val="auto"/>
                <w:spacing w:val="19"/>
                <w:highlight w:val="none"/>
              </w:rPr>
              <w:t>违约金</w:t>
            </w:r>
            <w:r>
              <w:rPr>
                <w:color w:val="auto"/>
                <w:spacing w:val="-2"/>
                <w:highlight w:val="none"/>
              </w:rPr>
              <w:t>1,000--50,000</w:t>
            </w:r>
            <w:r>
              <w:rPr>
                <w:color w:val="auto"/>
                <w:spacing w:val="-43"/>
                <w:highlight w:val="none"/>
              </w:rPr>
              <w:t xml:space="preserve"> </w:t>
            </w:r>
            <w:r>
              <w:rPr>
                <w:color w:val="auto"/>
                <w:spacing w:val="-2"/>
                <w:highlight w:val="none"/>
              </w:rPr>
              <w:t>元/次，并限期纠正。</w:t>
            </w:r>
          </w:p>
        </w:tc>
      </w:tr>
    </w:tbl>
    <w:p w14:paraId="57405E67">
      <w:pPr>
        <w:pStyle w:val="3"/>
        <w:rPr>
          <w:color w:val="auto"/>
          <w:highlight w:val="none"/>
        </w:rPr>
      </w:pPr>
    </w:p>
    <w:p w14:paraId="1EA0CF11">
      <w:pPr>
        <w:rPr>
          <w:color w:val="auto"/>
          <w:highlight w:val="none"/>
        </w:rPr>
        <w:sectPr>
          <w:headerReference r:id="rId110" w:type="default"/>
          <w:footerReference r:id="rId111" w:type="default"/>
          <w:pgSz w:w="11905" w:h="16840"/>
          <w:pgMar w:top="1182" w:right="0" w:bottom="1171" w:left="0" w:header="849" w:footer="937" w:gutter="0"/>
          <w:pgNumType w:fmt="decimal"/>
          <w:cols w:space="720" w:num="1"/>
        </w:sectPr>
      </w:pPr>
    </w:p>
    <w:p w14:paraId="64EFFC4E">
      <w:pPr>
        <w:pStyle w:val="3"/>
        <w:spacing w:line="258" w:lineRule="auto"/>
        <w:rPr>
          <w:color w:val="auto"/>
          <w:highlight w:val="none"/>
        </w:rPr>
      </w:pPr>
    </w:p>
    <w:p w14:paraId="7F155D46">
      <w:pPr>
        <w:pStyle w:val="3"/>
        <w:spacing w:line="267" w:lineRule="auto"/>
        <w:rPr>
          <w:color w:val="auto"/>
          <w:highlight w:val="none"/>
        </w:rPr>
      </w:pPr>
    </w:p>
    <w:p w14:paraId="63FFE766">
      <w:pPr>
        <w:spacing w:before="78" w:line="219" w:lineRule="auto"/>
        <w:ind w:left="1444"/>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附件十四：</w:t>
      </w:r>
    </w:p>
    <w:p w14:paraId="4BF390B0">
      <w:pPr>
        <w:spacing w:before="222" w:line="225" w:lineRule="auto"/>
        <w:ind w:left="372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建设工程农民工工资支付保证书</w:t>
      </w:r>
    </w:p>
    <w:p w14:paraId="19C408BD">
      <w:pPr>
        <w:pStyle w:val="3"/>
        <w:spacing w:line="438" w:lineRule="auto"/>
        <w:rPr>
          <w:color w:val="auto"/>
          <w:highlight w:val="none"/>
        </w:rPr>
      </w:pPr>
    </w:p>
    <w:p w14:paraId="34EB2A8B">
      <w:pPr>
        <w:spacing w:before="78" w:line="220" w:lineRule="auto"/>
        <w:ind w:left="142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致：</w:t>
      </w:r>
      <w:r>
        <w:rPr>
          <w:rFonts w:ascii="宋体" w:hAnsi="宋体" w:eastAsia="宋体" w:cs="宋体"/>
          <w:color w:val="auto"/>
          <w:sz w:val="24"/>
          <w:szCs w:val="24"/>
          <w:highlight w:val="none"/>
          <w:u w:val="single" w:color="auto"/>
        </w:rPr>
        <w:t xml:space="preserve">                        </w:t>
      </w:r>
    </w:p>
    <w:p w14:paraId="62B53036">
      <w:pPr>
        <w:pStyle w:val="3"/>
        <w:spacing w:line="258" w:lineRule="auto"/>
        <w:rPr>
          <w:color w:val="auto"/>
          <w:highlight w:val="none"/>
        </w:rPr>
      </w:pPr>
    </w:p>
    <w:p w14:paraId="77AC6B02">
      <w:pPr>
        <w:spacing w:before="78" w:line="360" w:lineRule="auto"/>
        <w:ind w:left="1424" w:right="1416" w:firstLine="483"/>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鉴于</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3"/>
          <w:sz w:val="24"/>
          <w:szCs w:val="24"/>
          <w:highlight w:val="none"/>
        </w:rPr>
        <w:t>(以下简称“承包人”)拟与</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4"/>
          <w:sz w:val="24"/>
          <w:szCs w:val="24"/>
          <w:highlight w:val="none"/>
        </w:rPr>
        <w:t>(以下简称“发包人”)签订</w:t>
      </w:r>
      <w:r>
        <w:rPr>
          <w:rFonts w:ascii="宋体" w:hAnsi="宋体" w:eastAsia="宋体" w:cs="宋体"/>
          <w:color w:val="auto"/>
          <w:spacing w:val="-4"/>
          <w:sz w:val="24"/>
          <w:szCs w:val="24"/>
          <w:highlight w:val="none"/>
          <w:u w:val="single" w:color="auto"/>
        </w:rPr>
        <w:t xml:space="preserve">      项</w:t>
      </w:r>
      <w:r>
        <w:rPr>
          <w:rFonts w:ascii="宋体" w:hAnsi="宋体" w:eastAsia="宋体" w:cs="宋体"/>
          <w:color w:val="auto"/>
          <w:spacing w:val="-1"/>
          <w:sz w:val="24"/>
          <w:szCs w:val="24"/>
          <w:highlight w:val="none"/>
          <w:u w:val="single" w:color="auto"/>
        </w:rPr>
        <w:t>目名称   （标类或标段）</w:t>
      </w:r>
      <w:r>
        <w:rPr>
          <w:rFonts w:ascii="宋体" w:hAnsi="宋体" w:eastAsia="宋体" w:cs="宋体"/>
          <w:color w:val="auto"/>
          <w:spacing w:val="-28"/>
          <w:sz w:val="24"/>
          <w:szCs w:val="24"/>
          <w:highlight w:val="none"/>
          <w:u w:val="single" w:color="auto"/>
        </w:rPr>
        <w:t xml:space="preserve"> </w:t>
      </w:r>
      <w:r>
        <w:rPr>
          <w:rFonts w:ascii="宋体" w:hAnsi="宋体" w:eastAsia="宋体" w:cs="宋体"/>
          <w:color w:val="auto"/>
          <w:spacing w:val="-1"/>
          <w:sz w:val="24"/>
          <w:szCs w:val="24"/>
          <w:highlight w:val="none"/>
        </w:rPr>
        <w:t>的施工承包合同，为规范本项目农民工工资的支付行为，预</w:t>
      </w:r>
      <w:r>
        <w:rPr>
          <w:rFonts w:ascii="宋体" w:hAnsi="宋体" w:eastAsia="宋体" w:cs="宋体"/>
          <w:color w:val="auto"/>
          <w:spacing w:val="-2"/>
          <w:sz w:val="24"/>
          <w:szCs w:val="24"/>
          <w:highlight w:val="none"/>
        </w:rPr>
        <w:t>防和解决施工承包人拖欠或克扣农民工工资问题，切实保障农民工的合法利益，维护社会稳定，根据《中华人民共和国劳动合同法》《中华人民共和国建筑法》《保障农民工工资支付条例》《广东省建设工程领域工人工资支付专用账户管理办法》《广东省建设工程领域用工实名制管理暂行办法》《广东省交通运输厅关于加强交通建设工程从业人员实名制管理和作业工人工资支付管理的通知》、广东省交通运输厅转发人力资源社会</w:t>
      </w:r>
      <w:r>
        <w:rPr>
          <w:rFonts w:ascii="宋体" w:hAnsi="宋体" w:eastAsia="宋体" w:cs="宋体"/>
          <w:color w:val="auto"/>
          <w:spacing w:val="-6"/>
          <w:sz w:val="24"/>
          <w:szCs w:val="24"/>
          <w:highlight w:val="none"/>
        </w:rPr>
        <w:t>保障部等部门《工程建设领域农民工工资保证金规定》的通知等有关法</w:t>
      </w:r>
      <w:r>
        <w:rPr>
          <w:rFonts w:ascii="宋体" w:hAnsi="宋体" w:eastAsia="宋体" w:cs="宋体"/>
          <w:color w:val="auto"/>
          <w:spacing w:val="-7"/>
          <w:sz w:val="24"/>
          <w:szCs w:val="24"/>
          <w:highlight w:val="none"/>
        </w:rPr>
        <w:t>律、法规，</w:t>
      </w:r>
      <w:r>
        <w:rPr>
          <w:rFonts w:ascii="宋体" w:hAnsi="宋体" w:eastAsia="宋体" w:cs="宋体"/>
          <w:color w:val="auto"/>
          <w:spacing w:val="57"/>
          <w:sz w:val="24"/>
          <w:szCs w:val="24"/>
          <w:highlight w:val="none"/>
        </w:rPr>
        <w:t xml:space="preserve"> </w:t>
      </w:r>
      <w:r>
        <w:rPr>
          <w:rFonts w:ascii="宋体" w:hAnsi="宋体" w:eastAsia="宋体" w:cs="宋体"/>
          <w:color w:val="auto"/>
          <w:spacing w:val="-7"/>
          <w:sz w:val="24"/>
          <w:szCs w:val="24"/>
          <w:highlight w:val="none"/>
        </w:rPr>
        <w:t>结合</w:t>
      </w:r>
      <w:r>
        <w:rPr>
          <w:rFonts w:ascii="宋体" w:hAnsi="宋体" w:eastAsia="宋体" w:cs="宋体"/>
          <w:color w:val="auto"/>
          <w:spacing w:val="-3"/>
          <w:sz w:val="24"/>
          <w:szCs w:val="24"/>
          <w:highlight w:val="none"/>
        </w:rPr>
        <w:t>本项目建设管理的具体情况，承包人在此承诺：</w:t>
      </w:r>
    </w:p>
    <w:p w14:paraId="035BB851">
      <w:pPr>
        <w:spacing w:before="6" w:line="331" w:lineRule="auto"/>
        <w:ind w:left="1425" w:right="1416"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w:t>
      </w:r>
      <w:r>
        <w:rPr>
          <w:rFonts w:ascii="宋体" w:hAnsi="宋体" w:eastAsia="宋体" w:cs="宋体"/>
          <w:color w:val="auto"/>
          <w:spacing w:val="-3"/>
          <w:sz w:val="24"/>
          <w:szCs w:val="24"/>
          <w:highlight w:val="none"/>
        </w:rPr>
        <w:t>承包人承担所有的民事及刑事法律责任。</w:t>
      </w:r>
    </w:p>
    <w:p w14:paraId="6BEC3096">
      <w:pPr>
        <w:spacing w:before="182" w:line="290" w:lineRule="auto"/>
        <w:ind w:left="1431" w:right="1403"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二、决不违反有关规定，将工程转包、分包给不具备</w:t>
      </w:r>
      <w:r>
        <w:rPr>
          <w:rFonts w:ascii="宋体" w:hAnsi="宋体" w:eastAsia="宋体" w:cs="宋体"/>
          <w:color w:val="auto"/>
          <w:spacing w:val="-2"/>
          <w:sz w:val="24"/>
          <w:szCs w:val="24"/>
          <w:highlight w:val="none"/>
        </w:rPr>
        <w:t>用工主体资格的组织或个人，</w:t>
      </w:r>
      <w:r>
        <w:rPr>
          <w:rFonts w:ascii="宋体" w:hAnsi="宋体" w:eastAsia="宋体" w:cs="宋体"/>
          <w:color w:val="auto"/>
          <w:spacing w:val="-1"/>
          <w:sz w:val="24"/>
          <w:szCs w:val="24"/>
          <w:highlight w:val="none"/>
        </w:rPr>
        <w:t>并独自承担因违反上述规定而引发的民工工资纠纷等所有</w:t>
      </w:r>
      <w:r>
        <w:rPr>
          <w:rFonts w:ascii="宋体" w:hAnsi="宋体" w:eastAsia="宋体" w:cs="宋体"/>
          <w:color w:val="auto"/>
          <w:spacing w:val="-2"/>
          <w:sz w:val="24"/>
          <w:szCs w:val="24"/>
          <w:highlight w:val="none"/>
        </w:rPr>
        <w:t>民事及刑事的法律连带责任。</w:t>
      </w:r>
    </w:p>
    <w:p w14:paraId="16C2D7DB">
      <w:pPr>
        <w:spacing w:before="182" w:line="325" w:lineRule="auto"/>
        <w:ind w:left="1424" w:right="1416"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三、承诺开展劳动法、建筑法等普法学习教育活动，</w:t>
      </w:r>
      <w:r>
        <w:rPr>
          <w:rFonts w:ascii="宋体" w:hAnsi="宋体" w:eastAsia="宋体" w:cs="宋体"/>
          <w:color w:val="auto"/>
          <w:spacing w:val="50"/>
          <w:sz w:val="24"/>
          <w:szCs w:val="24"/>
          <w:highlight w:val="none"/>
        </w:rPr>
        <w:t xml:space="preserve"> </w:t>
      </w:r>
      <w:r>
        <w:rPr>
          <w:rFonts w:ascii="宋体" w:hAnsi="宋体" w:eastAsia="宋体" w:cs="宋体"/>
          <w:color w:val="auto"/>
          <w:spacing w:val="-7"/>
          <w:sz w:val="24"/>
          <w:szCs w:val="24"/>
          <w:highlight w:val="none"/>
        </w:rPr>
        <w:t>建立健全承包人农民工用工制</w:t>
      </w:r>
      <w:r>
        <w:rPr>
          <w:rFonts w:ascii="宋体" w:hAnsi="宋体" w:eastAsia="宋体" w:cs="宋体"/>
          <w:color w:val="auto"/>
          <w:spacing w:val="-2"/>
          <w:sz w:val="24"/>
          <w:szCs w:val="24"/>
          <w:highlight w:val="none"/>
        </w:rPr>
        <w:t>度，制定农民工劳动保护措施，实施劳动工资支付监控机制，建立劳动用工的举报投诉制度，设立专门的举报投诉电话，受理相关单位和个人的举报及投诉，监督并认真查处合同范围内的侵害农民工按劳取酬合法权益的行为。</w:t>
      </w:r>
    </w:p>
    <w:p w14:paraId="7093ADBF">
      <w:pPr>
        <w:spacing w:before="183" w:line="290" w:lineRule="auto"/>
        <w:ind w:left="1424" w:right="1416" w:firstLine="5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四、承诺在工地现场宣传栏中公布发包人关于农民工工资管理</w:t>
      </w:r>
      <w:r>
        <w:rPr>
          <w:rFonts w:ascii="宋体" w:hAnsi="宋体" w:eastAsia="宋体" w:cs="宋体"/>
          <w:color w:val="auto"/>
          <w:spacing w:val="-3"/>
          <w:sz w:val="24"/>
          <w:szCs w:val="24"/>
          <w:highlight w:val="none"/>
        </w:rPr>
        <w:t>的有关法律法规、制</w:t>
      </w:r>
      <w:r>
        <w:rPr>
          <w:rFonts w:ascii="宋体" w:hAnsi="宋体" w:eastAsia="宋体" w:cs="宋体"/>
          <w:color w:val="auto"/>
          <w:spacing w:val="-4"/>
          <w:sz w:val="24"/>
          <w:szCs w:val="24"/>
          <w:highlight w:val="none"/>
        </w:rPr>
        <w:t>度，公开发包人的投诉电话。</w:t>
      </w:r>
    </w:p>
    <w:p w14:paraId="0315EAC4">
      <w:pPr>
        <w:spacing w:before="182" w:line="313" w:lineRule="auto"/>
        <w:ind w:left="1430" w:right="1331" w:firstLine="479"/>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五、承诺在本项目工程开工前承包人制定内部工资支付办法，</w:t>
      </w:r>
      <w:r>
        <w:rPr>
          <w:rFonts w:ascii="宋体" w:hAnsi="宋体" w:eastAsia="宋体" w:cs="宋体"/>
          <w:color w:val="auto"/>
          <w:spacing w:val="-60"/>
          <w:sz w:val="24"/>
          <w:szCs w:val="24"/>
          <w:highlight w:val="none"/>
        </w:rPr>
        <w:t xml:space="preserve"> </w:t>
      </w:r>
      <w:r>
        <w:rPr>
          <w:rFonts w:ascii="宋体" w:hAnsi="宋体" w:eastAsia="宋体" w:cs="宋体"/>
          <w:color w:val="auto"/>
          <w:spacing w:val="-8"/>
          <w:sz w:val="24"/>
          <w:szCs w:val="24"/>
          <w:highlight w:val="none"/>
        </w:rPr>
        <w:t>并抄报监理、发包人，</w:t>
      </w:r>
      <w:r>
        <w:rPr>
          <w:rFonts w:ascii="宋体" w:hAnsi="宋体" w:eastAsia="宋体" w:cs="宋体"/>
          <w:color w:val="auto"/>
          <w:spacing w:val="-6"/>
          <w:sz w:val="24"/>
          <w:szCs w:val="24"/>
          <w:highlight w:val="none"/>
        </w:rPr>
        <w:t>同时告知全体农民工。内部工资支付办法包括以下内容：</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支付项目</w:t>
      </w:r>
      <w:r>
        <w:rPr>
          <w:rFonts w:ascii="宋体" w:hAnsi="宋体" w:eastAsia="宋体" w:cs="宋体"/>
          <w:color w:val="auto"/>
          <w:spacing w:val="-7"/>
          <w:sz w:val="24"/>
          <w:szCs w:val="24"/>
          <w:highlight w:val="none"/>
        </w:rPr>
        <w:t>、支付标准、支付方</w:t>
      </w:r>
      <w:r>
        <w:rPr>
          <w:rFonts w:ascii="宋体" w:hAnsi="宋体" w:eastAsia="宋体" w:cs="宋体"/>
          <w:color w:val="auto"/>
          <w:spacing w:val="-6"/>
          <w:sz w:val="24"/>
          <w:szCs w:val="24"/>
          <w:highlight w:val="none"/>
        </w:rPr>
        <w:t>式、支付周期和日期、加班工资计算基数、特殊情况下的工资支付以及其他工资支付等。</w:t>
      </w:r>
    </w:p>
    <w:p w14:paraId="0986047A">
      <w:pPr>
        <w:spacing w:line="313" w:lineRule="auto"/>
        <w:rPr>
          <w:rFonts w:ascii="宋体" w:hAnsi="宋体" w:eastAsia="宋体" w:cs="宋体"/>
          <w:color w:val="auto"/>
          <w:sz w:val="24"/>
          <w:szCs w:val="24"/>
          <w:highlight w:val="none"/>
        </w:rPr>
        <w:sectPr>
          <w:headerReference r:id="rId112" w:type="default"/>
          <w:footerReference r:id="rId113" w:type="default"/>
          <w:pgSz w:w="11905" w:h="16840"/>
          <w:pgMar w:top="1182" w:right="0" w:bottom="1171" w:left="0" w:header="849" w:footer="937" w:gutter="0"/>
          <w:pgNumType w:fmt="decimal"/>
          <w:cols w:space="720" w:num="1"/>
        </w:sectPr>
      </w:pPr>
    </w:p>
    <w:p w14:paraId="426E4860">
      <w:pPr>
        <w:pStyle w:val="3"/>
        <w:spacing w:line="268" w:lineRule="auto"/>
        <w:rPr>
          <w:color w:val="auto"/>
          <w:highlight w:val="none"/>
        </w:rPr>
      </w:pPr>
    </w:p>
    <w:p w14:paraId="5A7BBB3A">
      <w:pPr>
        <w:spacing w:before="78" w:line="360" w:lineRule="auto"/>
        <w:ind w:left="1426" w:right="141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支付程序也将明文规定，且严格按章办事。工资支付管理接受监理、发包人及上级主管</w:t>
      </w:r>
      <w:r>
        <w:rPr>
          <w:rFonts w:ascii="宋体" w:hAnsi="宋体" w:eastAsia="宋体" w:cs="宋体"/>
          <w:color w:val="auto"/>
          <w:spacing w:val="-5"/>
          <w:sz w:val="24"/>
          <w:szCs w:val="24"/>
          <w:highlight w:val="none"/>
        </w:rPr>
        <w:t>单位的监督和检查。</w:t>
      </w:r>
    </w:p>
    <w:p w14:paraId="71D5C72C">
      <w:pPr>
        <w:spacing w:before="1" w:line="289" w:lineRule="auto"/>
        <w:ind w:left="1431" w:right="1416" w:firstLine="47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六、承诺指定专人负责对农民工工资进行发</w:t>
      </w:r>
      <w:r>
        <w:rPr>
          <w:rFonts w:ascii="宋体" w:hAnsi="宋体" w:eastAsia="宋体" w:cs="宋体"/>
          <w:color w:val="auto"/>
          <w:spacing w:val="-7"/>
          <w:sz w:val="24"/>
          <w:szCs w:val="24"/>
          <w:highlight w:val="none"/>
        </w:rPr>
        <w:t>放，</w:t>
      </w:r>
      <w:r>
        <w:rPr>
          <w:rFonts w:ascii="宋体" w:hAnsi="宋体" w:eastAsia="宋体" w:cs="宋体"/>
          <w:color w:val="auto"/>
          <w:spacing w:val="52"/>
          <w:sz w:val="24"/>
          <w:szCs w:val="24"/>
          <w:highlight w:val="none"/>
        </w:rPr>
        <w:t xml:space="preserve"> </w:t>
      </w:r>
      <w:r>
        <w:rPr>
          <w:rFonts w:ascii="宋体" w:hAnsi="宋体" w:eastAsia="宋体" w:cs="宋体"/>
          <w:color w:val="auto"/>
          <w:spacing w:val="-7"/>
          <w:sz w:val="24"/>
          <w:szCs w:val="24"/>
          <w:highlight w:val="none"/>
        </w:rPr>
        <w:t>实行专户管理，以银行转账方式按</w:t>
      </w:r>
      <w:r>
        <w:rPr>
          <w:rFonts w:ascii="宋体" w:hAnsi="宋体" w:eastAsia="宋体" w:cs="宋体"/>
          <w:color w:val="auto"/>
          <w:spacing w:val="-2"/>
          <w:sz w:val="24"/>
          <w:szCs w:val="24"/>
          <w:highlight w:val="none"/>
        </w:rPr>
        <w:t>月直接支付工资（原则上是当月支付，最多不超过拖欠两个月）。</w:t>
      </w:r>
    </w:p>
    <w:p w14:paraId="11F8AFBC">
      <w:pPr>
        <w:spacing w:before="181" w:line="325" w:lineRule="auto"/>
        <w:ind w:left="1424" w:right="1331"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七、在合同工程范围内，</w:t>
      </w:r>
      <w:r>
        <w:rPr>
          <w:rFonts w:ascii="宋体" w:hAnsi="宋体" w:eastAsia="宋体" w:cs="宋体"/>
          <w:color w:val="auto"/>
          <w:spacing w:val="55"/>
          <w:sz w:val="24"/>
          <w:szCs w:val="24"/>
          <w:highlight w:val="none"/>
        </w:rPr>
        <w:t xml:space="preserve"> </w:t>
      </w:r>
      <w:r>
        <w:rPr>
          <w:rFonts w:ascii="宋体" w:hAnsi="宋体" w:eastAsia="宋体" w:cs="宋体"/>
          <w:color w:val="auto"/>
          <w:spacing w:val="-6"/>
          <w:sz w:val="24"/>
          <w:szCs w:val="24"/>
          <w:highlight w:val="none"/>
        </w:rPr>
        <w:t>一旦承包人发现任</w:t>
      </w:r>
      <w:r>
        <w:rPr>
          <w:rFonts w:ascii="宋体" w:hAnsi="宋体" w:eastAsia="宋体" w:cs="宋体"/>
          <w:color w:val="auto"/>
          <w:spacing w:val="-7"/>
          <w:sz w:val="24"/>
          <w:szCs w:val="24"/>
          <w:highlight w:val="none"/>
        </w:rPr>
        <w:t>何下属单位、分包单位、施工班组等在</w:t>
      </w:r>
      <w:r>
        <w:rPr>
          <w:rFonts w:ascii="宋体" w:hAnsi="宋体" w:eastAsia="宋体" w:cs="宋体"/>
          <w:color w:val="auto"/>
          <w:spacing w:val="-2"/>
          <w:sz w:val="24"/>
          <w:szCs w:val="24"/>
          <w:highlight w:val="none"/>
        </w:rPr>
        <w:t>劳动用工与工资结算支付活动中存在有违反法律法规规定的行为，承包人将以最快的速</w:t>
      </w:r>
      <w:r>
        <w:rPr>
          <w:rFonts w:ascii="宋体" w:hAnsi="宋体" w:eastAsia="宋体" w:cs="宋体"/>
          <w:color w:val="auto"/>
          <w:spacing w:val="-7"/>
          <w:sz w:val="24"/>
          <w:szCs w:val="24"/>
          <w:highlight w:val="none"/>
        </w:rPr>
        <w:t>度、采取最得力的措施就地予以纠正，</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24"/>
          <w:szCs w:val="24"/>
          <w:highlight w:val="none"/>
        </w:rPr>
        <w:t>同时将有关问</w:t>
      </w:r>
      <w:r>
        <w:rPr>
          <w:rFonts w:ascii="宋体" w:hAnsi="宋体" w:eastAsia="宋体" w:cs="宋体"/>
          <w:color w:val="auto"/>
          <w:spacing w:val="-8"/>
          <w:sz w:val="24"/>
          <w:szCs w:val="24"/>
          <w:highlight w:val="none"/>
        </w:rPr>
        <w:t>题抄报监理人及发包人，在监理人、</w:t>
      </w:r>
      <w:r>
        <w:rPr>
          <w:rFonts w:ascii="宋体" w:hAnsi="宋体" w:eastAsia="宋体" w:cs="宋体"/>
          <w:color w:val="auto"/>
          <w:spacing w:val="-2"/>
          <w:sz w:val="24"/>
          <w:szCs w:val="24"/>
          <w:highlight w:val="none"/>
        </w:rPr>
        <w:t>发包人或劳动监察部门有要求或规定时，将处理结果上报备案。</w:t>
      </w:r>
    </w:p>
    <w:p w14:paraId="048CB633">
      <w:pPr>
        <w:spacing w:before="179" w:line="337" w:lineRule="auto"/>
        <w:ind w:left="1424" w:right="1416"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八、承诺自工程取得施工许可证（开工报告批复）之日起</w:t>
      </w:r>
      <w:r>
        <w:rPr>
          <w:rFonts w:ascii="宋体" w:hAnsi="宋体" w:eastAsia="宋体" w:cs="宋体"/>
          <w:color w:val="auto"/>
          <w:spacing w:val="-20"/>
          <w:sz w:val="24"/>
          <w:szCs w:val="24"/>
          <w:highlight w:val="none"/>
        </w:rPr>
        <w:t xml:space="preserve"> </w:t>
      </w:r>
      <w:r>
        <w:rPr>
          <w:rFonts w:ascii="宋体" w:hAnsi="宋体" w:eastAsia="宋体" w:cs="宋体"/>
          <w:color w:val="auto"/>
          <w:sz w:val="24"/>
          <w:szCs w:val="24"/>
          <w:highlight w:val="none"/>
        </w:rPr>
        <w:t>20</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个工作日内（依法不</w:t>
      </w:r>
      <w:r>
        <w:rPr>
          <w:rFonts w:ascii="宋体" w:hAnsi="宋体" w:eastAsia="宋体" w:cs="宋体"/>
          <w:color w:val="auto"/>
          <w:spacing w:val="-1"/>
          <w:sz w:val="24"/>
          <w:szCs w:val="24"/>
          <w:highlight w:val="none"/>
        </w:rPr>
        <w:t>需要办理施工许可证或批准开工报告的工程自签订施工合同之日起</w:t>
      </w:r>
      <w:r>
        <w:rPr>
          <w:rFonts w:ascii="宋体" w:hAnsi="宋体" w:eastAsia="宋体" w:cs="宋体"/>
          <w:color w:val="auto"/>
          <w:spacing w:val="-41"/>
          <w:sz w:val="24"/>
          <w:szCs w:val="24"/>
          <w:highlight w:val="none"/>
        </w:rPr>
        <w:t xml:space="preserve"> </w:t>
      </w:r>
      <w:r>
        <w:rPr>
          <w:rFonts w:ascii="宋体" w:hAnsi="宋体" w:eastAsia="宋体" w:cs="宋体"/>
          <w:color w:val="auto"/>
          <w:spacing w:val="-1"/>
          <w:sz w:val="24"/>
          <w:szCs w:val="24"/>
          <w:highlight w:val="none"/>
        </w:rPr>
        <w:t>20</w:t>
      </w:r>
      <w:r>
        <w:rPr>
          <w:rFonts w:ascii="宋体" w:hAnsi="宋体" w:eastAsia="宋体" w:cs="宋体"/>
          <w:color w:val="auto"/>
          <w:spacing w:val="-51"/>
          <w:sz w:val="24"/>
          <w:szCs w:val="24"/>
          <w:highlight w:val="none"/>
        </w:rPr>
        <w:t xml:space="preserve"> </w:t>
      </w:r>
      <w:r>
        <w:rPr>
          <w:rFonts w:ascii="宋体" w:hAnsi="宋体" w:eastAsia="宋体" w:cs="宋体"/>
          <w:color w:val="auto"/>
          <w:spacing w:val="-1"/>
          <w:sz w:val="24"/>
          <w:szCs w:val="24"/>
          <w:highlight w:val="none"/>
        </w:rPr>
        <w:t>个工作日之内)在工程所在地的银行存储工资保证金或申请开立银行保函，</w:t>
      </w:r>
      <w:r>
        <w:rPr>
          <w:rFonts w:ascii="宋体" w:hAnsi="宋体" w:eastAsia="宋体" w:cs="宋体"/>
          <w:b/>
          <w:bCs/>
          <w:color w:val="auto"/>
          <w:spacing w:val="-1"/>
          <w:sz w:val="24"/>
          <w:szCs w:val="24"/>
          <w:highlight w:val="none"/>
          <w:u w:val="single" w:color="auto"/>
        </w:rPr>
        <w:t>金额为</w:t>
      </w:r>
      <w:r>
        <w:rPr>
          <w:rFonts w:ascii="宋体" w:hAnsi="宋体" w:eastAsia="宋体" w:cs="宋体"/>
          <w:color w:val="auto"/>
          <w:spacing w:val="-1"/>
          <w:sz w:val="24"/>
          <w:szCs w:val="24"/>
          <w:highlight w:val="none"/>
          <w:u w:val="single" w:color="auto"/>
        </w:rPr>
        <w:t xml:space="preserve">      </w:t>
      </w:r>
      <w:r>
        <w:rPr>
          <w:rFonts w:ascii="宋体" w:hAnsi="宋体" w:eastAsia="宋体" w:cs="宋体"/>
          <w:b/>
          <w:bCs/>
          <w:color w:val="auto"/>
          <w:spacing w:val="-1"/>
          <w:sz w:val="24"/>
          <w:szCs w:val="24"/>
          <w:highlight w:val="none"/>
          <w:u w:val="single" w:color="auto"/>
        </w:rPr>
        <w:t>元人民币</w:t>
      </w:r>
      <w:r>
        <w:rPr>
          <w:rFonts w:ascii="宋体" w:hAnsi="宋体" w:eastAsia="宋体" w:cs="宋体"/>
          <w:color w:val="auto"/>
          <w:spacing w:val="-20"/>
          <w:position w:val="12"/>
          <w:sz w:val="12"/>
          <w:szCs w:val="12"/>
          <w:highlight w:val="none"/>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用于支付拖欠的农民工工资，如工资保障金不足，发包人有权利在应支付给承包人的工</w:t>
      </w:r>
      <w:r>
        <w:rPr>
          <w:rFonts w:ascii="宋体" w:hAnsi="宋体" w:eastAsia="宋体" w:cs="宋体"/>
          <w:color w:val="auto"/>
          <w:spacing w:val="-5"/>
          <w:sz w:val="24"/>
          <w:szCs w:val="24"/>
          <w:highlight w:val="none"/>
        </w:rPr>
        <w:t>程款或是履约保证金中划扣支付。该保障金余额发包人将于本项目施工完毕， 并交工验</w:t>
      </w:r>
      <w:r>
        <w:rPr>
          <w:rFonts w:ascii="宋体" w:hAnsi="宋体" w:eastAsia="宋体" w:cs="宋体"/>
          <w:color w:val="auto"/>
          <w:spacing w:val="-6"/>
          <w:sz w:val="24"/>
          <w:szCs w:val="24"/>
          <w:highlight w:val="none"/>
        </w:rPr>
        <w:t>收合格后退还。</w:t>
      </w:r>
    </w:p>
    <w:p w14:paraId="31071115">
      <w:pPr>
        <w:spacing w:before="179" w:line="337" w:lineRule="auto"/>
        <w:ind w:left="1427" w:right="1412" w:firstLine="483"/>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九、承诺建立农民工工资支付台帐，</w:t>
      </w:r>
      <w:r>
        <w:rPr>
          <w:rFonts w:ascii="宋体" w:hAnsi="宋体" w:eastAsia="宋体" w:cs="宋体"/>
          <w:color w:val="auto"/>
          <w:spacing w:val="67"/>
          <w:sz w:val="24"/>
          <w:szCs w:val="24"/>
          <w:highlight w:val="none"/>
        </w:rPr>
        <w:t xml:space="preserve"> </w:t>
      </w:r>
      <w:r>
        <w:rPr>
          <w:rFonts w:ascii="宋体" w:hAnsi="宋体" w:eastAsia="宋体" w:cs="宋体"/>
          <w:color w:val="auto"/>
          <w:spacing w:val="-7"/>
          <w:sz w:val="24"/>
          <w:szCs w:val="24"/>
          <w:highlight w:val="none"/>
        </w:rPr>
        <w:t>如实记录支付时间、支付对象、支付数额等工</w:t>
      </w:r>
      <w:r>
        <w:rPr>
          <w:rFonts w:ascii="宋体" w:hAnsi="宋体" w:eastAsia="宋体" w:cs="宋体"/>
          <w:color w:val="auto"/>
          <w:spacing w:val="-2"/>
          <w:sz w:val="24"/>
          <w:szCs w:val="24"/>
          <w:highlight w:val="none"/>
        </w:rPr>
        <w:t>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w:t>
      </w:r>
      <w:r>
        <w:rPr>
          <w:rFonts w:ascii="宋体" w:hAnsi="宋体" w:eastAsia="宋体" w:cs="宋体"/>
          <w:color w:val="auto"/>
          <w:spacing w:val="5"/>
          <w:sz w:val="24"/>
          <w:szCs w:val="24"/>
          <w:highlight w:val="none"/>
        </w:rPr>
        <w:t>按规定缴纳的工资保障金或应支付给承包人的工程款</w:t>
      </w:r>
      <w:r>
        <w:rPr>
          <w:rFonts w:ascii="宋体" w:hAnsi="宋体" w:eastAsia="宋体" w:cs="宋体"/>
          <w:strike/>
          <w:dstrike w:val="0"/>
          <w:color w:val="auto"/>
          <w:spacing w:val="5"/>
          <w:sz w:val="24"/>
          <w:szCs w:val="24"/>
          <w:highlight w:val="none"/>
        </w:rPr>
        <w:t>或是履约保证金</w:t>
      </w:r>
      <w:r>
        <w:rPr>
          <w:rFonts w:ascii="宋体" w:hAnsi="宋体" w:eastAsia="宋体" w:cs="宋体"/>
          <w:color w:val="auto"/>
          <w:spacing w:val="5"/>
          <w:sz w:val="24"/>
          <w:szCs w:val="24"/>
          <w:highlight w:val="none"/>
        </w:rPr>
        <w:t>中直接扣除</w:t>
      </w:r>
      <w:r>
        <w:rPr>
          <w:rFonts w:ascii="宋体" w:hAnsi="宋体" w:eastAsia="宋体" w:cs="宋体"/>
          <w:color w:val="auto"/>
          <w:spacing w:val="4"/>
          <w:sz w:val="24"/>
          <w:szCs w:val="24"/>
          <w:highlight w:val="none"/>
        </w:rPr>
        <w:t>相应</w:t>
      </w:r>
      <w:r>
        <w:rPr>
          <w:rFonts w:ascii="宋体" w:hAnsi="宋体" w:eastAsia="宋体" w:cs="宋体"/>
          <w:color w:val="auto"/>
          <w:spacing w:val="-3"/>
          <w:sz w:val="24"/>
          <w:szCs w:val="24"/>
          <w:highlight w:val="none"/>
        </w:rPr>
        <w:t>费用后向民工进行支付，承包人均无异议。</w:t>
      </w:r>
    </w:p>
    <w:p w14:paraId="4E714D2F">
      <w:pPr>
        <w:spacing w:before="183" w:line="220" w:lineRule="auto"/>
        <w:ind w:left="190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十、在合同工程实施过程中如有发生</w:t>
      </w:r>
    </w:p>
    <w:p w14:paraId="1F2C9267">
      <w:pPr>
        <w:spacing w:before="181" w:line="220" w:lineRule="auto"/>
        <w:ind w:left="194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(1)不按规定签订劳动合同或签订劳动合同不规范情况；或</w:t>
      </w:r>
    </w:p>
    <w:p w14:paraId="5C337913">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(2)拖欠农民工工资、侵害农民工合法权益、农</w:t>
      </w:r>
      <w:r>
        <w:rPr>
          <w:rFonts w:ascii="宋体" w:hAnsi="宋体" w:eastAsia="宋体" w:cs="宋体"/>
          <w:color w:val="auto"/>
          <w:spacing w:val="-2"/>
          <w:sz w:val="24"/>
          <w:szCs w:val="24"/>
          <w:highlight w:val="none"/>
        </w:rPr>
        <w:t>民工劳动安全保护欠缺的情况；或</w:t>
      </w:r>
    </w:p>
    <w:p w14:paraId="4AEF5667">
      <w:pPr>
        <w:spacing w:before="182" w:line="220" w:lineRule="auto"/>
        <w:ind w:left="194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(3)因欠薪导致的闹事、打斗、死伤、上访事件，</w:t>
      </w:r>
    </w:p>
    <w:p w14:paraId="6786C2B9">
      <w:pPr>
        <w:spacing w:before="183" w:line="361" w:lineRule="auto"/>
        <w:ind w:left="1427" w:right="1416" w:firstLine="478"/>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承包人愿接受监理人和/或发包人按合同或下发的管理办法规定的违约金。如果发</w:t>
      </w:r>
      <w:r>
        <w:rPr>
          <w:rFonts w:ascii="宋体" w:hAnsi="宋体" w:eastAsia="宋体" w:cs="宋体"/>
          <w:color w:val="auto"/>
          <w:spacing w:val="-6"/>
          <w:sz w:val="24"/>
          <w:szCs w:val="24"/>
          <w:highlight w:val="none"/>
        </w:rPr>
        <w:t>生上述情况是因为我方违法分包、转包或出让资质、挂靠投标造成的，</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承包人对发包人</w:t>
      </w:r>
      <w:r>
        <w:rPr>
          <w:rFonts w:ascii="宋体" w:hAnsi="宋体" w:eastAsia="宋体" w:cs="宋体"/>
          <w:color w:val="auto"/>
          <w:spacing w:val="-2"/>
          <w:sz w:val="24"/>
          <w:szCs w:val="24"/>
          <w:highlight w:val="none"/>
        </w:rPr>
        <w:t>或发包人的上级主管部门、政府机构提出的取消中标资格、终止合同、行政处罚等违约</w:t>
      </w:r>
      <w:r>
        <w:rPr>
          <w:rFonts w:ascii="宋体" w:hAnsi="宋体" w:eastAsia="宋体" w:cs="宋体"/>
          <w:color w:val="auto"/>
          <w:spacing w:val="-4"/>
          <w:sz w:val="24"/>
          <w:szCs w:val="24"/>
          <w:highlight w:val="none"/>
        </w:rPr>
        <w:t>金表示理解并无条件接受。</w:t>
      </w:r>
    </w:p>
    <w:p w14:paraId="42C635F5">
      <w:pPr>
        <w:pStyle w:val="3"/>
        <w:spacing w:line="280" w:lineRule="auto"/>
        <w:rPr>
          <w:color w:val="auto"/>
          <w:highlight w:val="none"/>
        </w:rPr>
      </w:pPr>
    </w:p>
    <w:p w14:paraId="77FDA48E">
      <w:pPr>
        <w:spacing w:line="242" w:lineRule="auto"/>
        <w:rPr>
          <w:rFonts w:ascii="宋体" w:hAnsi="宋体" w:eastAsia="宋体" w:cs="宋体"/>
          <w:color w:val="auto"/>
          <w:sz w:val="18"/>
          <w:szCs w:val="18"/>
          <w:highlight w:val="none"/>
        </w:rPr>
        <w:sectPr>
          <w:headerReference r:id="rId114" w:type="default"/>
          <w:footerReference r:id="rId115" w:type="default"/>
          <w:pgSz w:w="11905" w:h="16840"/>
          <w:pgMar w:top="1182" w:right="0" w:bottom="1171" w:left="0" w:header="849" w:footer="937" w:gutter="0"/>
          <w:pgNumType w:fmt="decimal"/>
          <w:cols w:space="720" w:num="1"/>
        </w:sectPr>
      </w:pPr>
    </w:p>
    <w:p w14:paraId="1483D58A">
      <w:pPr>
        <w:pStyle w:val="3"/>
        <w:spacing w:line="269" w:lineRule="auto"/>
        <w:rPr>
          <w:color w:val="auto"/>
          <w:highlight w:val="none"/>
        </w:rPr>
      </w:pPr>
    </w:p>
    <w:p w14:paraId="41C786AE">
      <w:pPr>
        <w:spacing w:before="78" w:line="361" w:lineRule="auto"/>
        <w:ind w:left="1425" w:right="1416" w:firstLine="480"/>
        <w:jc w:val="both"/>
        <w:rPr>
          <w:rFonts w:ascii="宋体" w:hAnsi="宋体" w:eastAsia="宋体" w:cs="宋体"/>
          <w:color w:val="auto"/>
          <w:sz w:val="24"/>
          <w:szCs w:val="24"/>
          <w:highlight w:val="none"/>
        </w:rPr>
      </w:pPr>
      <w:bookmarkStart w:id="24" w:name="bookmark27"/>
      <w:bookmarkEnd w:id="24"/>
      <w:r>
        <w:rPr>
          <w:rFonts w:ascii="宋体" w:hAnsi="宋体" w:eastAsia="宋体" w:cs="宋体"/>
          <w:color w:val="auto"/>
          <w:spacing w:val="-6"/>
          <w:sz w:val="24"/>
          <w:szCs w:val="24"/>
          <w:highlight w:val="none"/>
        </w:rPr>
        <w:t>十一、本保证书作为本项目施工承包合同的有效组成部</w:t>
      </w:r>
      <w:r>
        <w:rPr>
          <w:rFonts w:ascii="宋体" w:hAnsi="宋体" w:eastAsia="宋体" w:cs="宋体"/>
          <w:color w:val="auto"/>
          <w:spacing w:val="-7"/>
          <w:sz w:val="24"/>
          <w:szCs w:val="24"/>
          <w:highlight w:val="none"/>
        </w:rPr>
        <w:t>分，</w:t>
      </w:r>
      <w:r>
        <w:rPr>
          <w:rFonts w:ascii="宋体" w:hAnsi="宋体" w:eastAsia="宋体" w:cs="宋体"/>
          <w:color w:val="auto"/>
          <w:spacing w:val="48"/>
          <w:sz w:val="24"/>
          <w:szCs w:val="24"/>
          <w:highlight w:val="none"/>
        </w:rPr>
        <w:t xml:space="preserve"> </w:t>
      </w:r>
      <w:r>
        <w:rPr>
          <w:rFonts w:ascii="宋体" w:hAnsi="宋体" w:eastAsia="宋体" w:cs="宋体"/>
          <w:color w:val="auto"/>
          <w:spacing w:val="-7"/>
          <w:sz w:val="24"/>
          <w:szCs w:val="24"/>
          <w:highlight w:val="none"/>
        </w:rPr>
        <w:t>纳入合同一并签署，在</w:t>
      </w:r>
      <w:r>
        <w:rPr>
          <w:rFonts w:ascii="宋体" w:hAnsi="宋体" w:eastAsia="宋体" w:cs="宋体"/>
          <w:color w:val="auto"/>
          <w:spacing w:val="-2"/>
          <w:sz w:val="24"/>
          <w:szCs w:val="24"/>
          <w:highlight w:val="none"/>
        </w:rPr>
        <w:t>承包人法定代表人或委托代理人签署并加盖公章后生效，并保证在施工承包合同有效期</w:t>
      </w:r>
      <w:r>
        <w:rPr>
          <w:rFonts w:ascii="宋体" w:hAnsi="宋体" w:eastAsia="宋体" w:cs="宋体"/>
          <w:color w:val="auto"/>
          <w:spacing w:val="-5"/>
          <w:sz w:val="24"/>
          <w:szCs w:val="24"/>
          <w:highlight w:val="none"/>
        </w:rPr>
        <w:t>内一直保持有效。</w:t>
      </w:r>
    </w:p>
    <w:p w14:paraId="724C8CC9">
      <w:pPr>
        <w:pStyle w:val="3"/>
        <w:spacing w:line="382" w:lineRule="auto"/>
        <w:rPr>
          <w:color w:val="auto"/>
          <w:highlight w:val="none"/>
        </w:rPr>
      </w:pPr>
    </w:p>
    <w:p w14:paraId="35F02F49">
      <w:pPr>
        <w:spacing w:before="78" w:line="219" w:lineRule="auto"/>
        <w:ind w:left="454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 包</w:t>
      </w:r>
      <w:r>
        <w:rPr>
          <w:rFonts w:ascii="宋体" w:hAnsi="宋体" w:eastAsia="宋体" w:cs="宋体"/>
          <w:color w:val="auto"/>
          <w:spacing w:val="12"/>
          <w:sz w:val="24"/>
          <w:szCs w:val="24"/>
          <w:highlight w:val="none"/>
        </w:rPr>
        <w:t xml:space="preserve"> </w:t>
      </w:r>
      <w:r>
        <w:rPr>
          <w:rFonts w:ascii="宋体" w:hAnsi="宋体" w:eastAsia="宋体" w:cs="宋体"/>
          <w:color w:val="auto"/>
          <w:spacing w:val="-3"/>
          <w:sz w:val="24"/>
          <w:szCs w:val="24"/>
          <w:highlight w:val="none"/>
        </w:rPr>
        <w:t>人（盖章</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p>
    <w:p w14:paraId="214F8C25">
      <w:pPr>
        <w:tabs>
          <w:tab w:val="left" w:pos="8015"/>
        </w:tabs>
        <w:spacing w:before="183" w:line="362" w:lineRule="auto"/>
        <w:ind w:left="7415" w:right="1968" w:hanging="286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法定代表人或其委托代理人</w:t>
      </w:r>
      <w:r>
        <w:rPr>
          <w:rFonts w:ascii="宋体" w:hAnsi="宋体" w:eastAsia="宋体" w:cs="宋体"/>
          <w:color w:val="auto"/>
          <w:spacing w:val="7"/>
          <w:sz w:val="24"/>
          <w:szCs w:val="24"/>
          <w:highlight w:val="none"/>
        </w:rPr>
        <w:t>：（</w:t>
      </w:r>
      <w:r>
        <w:rPr>
          <w:rFonts w:ascii="宋体" w:hAnsi="宋体" w:eastAsia="宋体" w:cs="宋体"/>
          <w:color w:val="auto"/>
          <w:spacing w:val="-1"/>
          <w:sz w:val="24"/>
          <w:szCs w:val="24"/>
          <w:highlight w:val="none"/>
        </w:rPr>
        <w:t>签字）</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8"/>
          <w:sz w:val="24"/>
          <w:szCs w:val="24"/>
          <w:highlight w:val="none"/>
        </w:rPr>
        <w:t xml:space="preserve"> </w:t>
      </w:r>
      <w:r>
        <w:rPr>
          <w:rFonts w:ascii="宋体" w:hAnsi="宋体" w:eastAsia="宋体" w:cs="宋体"/>
          <w:color w:val="auto"/>
          <w:spacing w:val="-26"/>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70"/>
          <w:sz w:val="24"/>
          <w:szCs w:val="24"/>
          <w:highlight w:val="none"/>
        </w:rPr>
        <w:t xml:space="preserve"> </w:t>
      </w:r>
      <w:r>
        <w:rPr>
          <w:rFonts w:ascii="宋体" w:hAnsi="宋体" w:eastAsia="宋体" w:cs="宋体"/>
          <w:color w:val="auto"/>
          <w:spacing w:val="-26"/>
          <w:sz w:val="24"/>
          <w:szCs w:val="24"/>
          <w:highlight w:val="none"/>
        </w:rPr>
        <w:t>日</w:t>
      </w:r>
    </w:p>
    <w:p w14:paraId="4B8264FA">
      <w:pPr>
        <w:spacing w:line="362" w:lineRule="auto"/>
        <w:rPr>
          <w:rFonts w:ascii="宋体" w:hAnsi="宋体" w:eastAsia="宋体" w:cs="宋体"/>
          <w:color w:val="auto"/>
          <w:sz w:val="24"/>
          <w:szCs w:val="24"/>
          <w:highlight w:val="none"/>
        </w:rPr>
        <w:sectPr>
          <w:headerReference r:id="rId116" w:type="default"/>
          <w:footerReference r:id="rId117" w:type="default"/>
          <w:pgSz w:w="11905" w:h="16840"/>
          <w:pgMar w:top="1182" w:right="0" w:bottom="1171" w:left="0" w:header="849" w:footer="937" w:gutter="0"/>
          <w:pgNumType w:fmt="decimal"/>
          <w:cols w:space="720" w:num="1"/>
        </w:sectPr>
      </w:pPr>
    </w:p>
    <w:p w14:paraId="66EE2B7A">
      <w:pPr>
        <w:pStyle w:val="3"/>
        <w:spacing w:line="267" w:lineRule="auto"/>
        <w:rPr>
          <w:color w:val="auto"/>
          <w:highlight w:val="none"/>
        </w:rPr>
      </w:pPr>
    </w:p>
    <w:p w14:paraId="6882BBC0">
      <w:pPr>
        <w:spacing w:before="78" w:line="219" w:lineRule="auto"/>
        <w:ind w:left="1444"/>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16"/>
          <w:sz w:val="24"/>
          <w:szCs w:val="24"/>
          <w:highlight w:val="none"/>
        </w:rPr>
        <w:t>附件十五：</w:t>
      </w:r>
    </w:p>
    <w:p w14:paraId="735AA419">
      <w:pPr>
        <w:spacing w:before="222" w:line="225" w:lineRule="auto"/>
        <w:ind w:left="4199"/>
        <w:rPr>
          <w:rFonts w:ascii="宋体" w:hAnsi="宋体" w:eastAsia="宋体" w:cs="宋体"/>
          <w:strike/>
          <w:dstrike w:val="0"/>
          <w:color w:val="auto"/>
          <w:sz w:val="31"/>
          <w:szCs w:val="31"/>
          <w:highlight w:val="none"/>
        </w:rPr>
      </w:pPr>
      <w:r>
        <w:rPr>
          <w:rFonts w:ascii="宋体" w:hAnsi="宋体" w:eastAsia="宋体" w:cs="宋体"/>
          <w:b/>
          <w:bCs/>
          <w:strike/>
          <w:dstrike w:val="0"/>
          <w:color w:val="auto"/>
          <w:spacing w:val="6"/>
          <w:sz w:val="31"/>
          <w:szCs w:val="31"/>
          <w:highlight w:val="none"/>
        </w:rPr>
        <w:t>房屋建筑工程质量保修书</w:t>
      </w:r>
    </w:p>
    <w:p w14:paraId="53620589">
      <w:pPr>
        <w:spacing w:before="246" w:line="225" w:lineRule="auto"/>
        <w:ind w:left="3891"/>
        <w:rPr>
          <w:rFonts w:ascii="宋体" w:hAnsi="宋体" w:eastAsia="宋体" w:cs="宋体"/>
          <w:strike/>
          <w:dstrike w:val="0"/>
          <w:color w:val="auto"/>
          <w:sz w:val="31"/>
          <w:szCs w:val="31"/>
          <w:highlight w:val="none"/>
        </w:rPr>
      </w:pPr>
      <w:r>
        <w:rPr>
          <w:rFonts w:ascii="宋体" w:hAnsi="宋体" w:eastAsia="宋体" w:cs="宋体"/>
          <w:b/>
          <w:bCs/>
          <w:strike/>
          <w:dstrike w:val="0"/>
          <w:color w:val="auto"/>
          <w:spacing w:val="4"/>
          <w:sz w:val="31"/>
          <w:szCs w:val="31"/>
          <w:highlight w:val="none"/>
        </w:rPr>
        <w:t>（仅适用于附属区房建工程）</w:t>
      </w:r>
    </w:p>
    <w:p w14:paraId="282C61A2">
      <w:pPr>
        <w:pStyle w:val="3"/>
        <w:spacing w:line="438" w:lineRule="auto"/>
        <w:rPr>
          <w:strike/>
          <w:dstrike w:val="0"/>
          <w:color w:val="auto"/>
          <w:highlight w:val="none"/>
        </w:rPr>
      </w:pPr>
    </w:p>
    <w:p w14:paraId="7281483D">
      <w:pPr>
        <w:spacing w:before="78" w:line="213" w:lineRule="auto"/>
        <w:ind w:left="1429"/>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发包人（全称</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z w:val="24"/>
          <w:szCs w:val="24"/>
          <w:highlight w:val="none"/>
        </w:rPr>
        <w:t>_________________</w:t>
      </w:r>
      <w:r>
        <w:rPr>
          <w:rFonts w:ascii="宋体" w:hAnsi="宋体" w:eastAsia="宋体" w:cs="宋体"/>
          <w:strike/>
          <w:dstrike w:val="0"/>
          <w:color w:val="auto"/>
          <w:spacing w:val="-1"/>
          <w:sz w:val="24"/>
          <w:szCs w:val="24"/>
          <w:highlight w:val="none"/>
        </w:rPr>
        <w:t>___________</w:t>
      </w:r>
    </w:p>
    <w:p w14:paraId="115AA9AA">
      <w:pPr>
        <w:spacing w:before="191" w:line="213" w:lineRule="auto"/>
        <w:ind w:left="142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承包人（全称</w:t>
      </w:r>
      <w:r>
        <w:rPr>
          <w:rFonts w:ascii="宋体" w:hAnsi="宋体" w:eastAsia="宋体" w:cs="宋体"/>
          <w:strike/>
          <w:dstrike w:val="0"/>
          <w:color w:val="auto"/>
          <w:spacing w:val="-1"/>
          <w:sz w:val="24"/>
          <w:szCs w:val="24"/>
          <w:highlight w:val="none"/>
        </w:rPr>
        <w:t>）：</w:t>
      </w:r>
      <w:r>
        <w:rPr>
          <w:rFonts w:ascii="宋体" w:hAnsi="宋体" w:eastAsia="宋体" w:cs="宋体"/>
          <w:strike/>
          <w:dstrike w:val="0"/>
          <w:color w:val="auto"/>
          <w:sz w:val="24"/>
          <w:szCs w:val="24"/>
          <w:highlight w:val="none"/>
        </w:rPr>
        <w:t>___________________</w:t>
      </w:r>
      <w:r>
        <w:rPr>
          <w:rFonts w:ascii="宋体" w:hAnsi="宋体" w:eastAsia="宋体" w:cs="宋体"/>
          <w:strike/>
          <w:dstrike w:val="0"/>
          <w:color w:val="auto"/>
          <w:spacing w:val="-1"/>
          <w:sz w:val="24"/>
          <w:szCs w:val="24"/>
          <w:highlight w:val="none"/>
        </w:rPr>
        <w:t>_________</w:t>
      </w:r>
    </w:p>
    <w:p w14:paraId="3ABF1688">
      <w:pPr>
        <w:spacing w:before="191" w:line="360" w:lineRule="auto"/>
        <w:ind w:left="1426" w:right="1416" w:firstLine="482"/>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发包人、承包人根据《中华人民共和国建筑法》《建设工程质量管理条例》和《房</w:t>
      </w:r>
      <w:r>
        <w:rPr>
          <w:rFonts w:ascii="宋体" w:hAnsi="宋体" w:eastAsia="宋体" w:cs="宋体"/>
          <w:strike/>
          <w:dstrike w:val="0"/>
          <w:color w:val="auto"/>
          <w:spacing w:val="-1"/>
          <w:sz w:val="24"/>
          <w:szCs w:val="24"/>
          <w:highlight w:val="none"/>
        </w:rPr>
        <w:t>屋建筑工程质量保修办法》， 经协商一致，对_______</w:t>
      </w:r>
      <w:r>
        <w:rPr>
          <w:rFonts w:ascii="宋体" w:hAnsi="宋体" w:eastAsia="宋体" w:cs="宋体"/>
          <w:strike/>
          <w:dstrike w:val="0"/>
          <w:color w:val="auto"/>
          <w:spacing w:val="-2"/>
          <w:sz w:val="24"/>
          <w:szCs w:val="24"/>
          <w:highlight w:val="none"/>
        </w:rPr>
        <w:t>________（工程全称）签定工程</w:t>
      </w:r>
      <w:r>
        <w:rPr>
          <w:rFonts w:ascii="宋体" w:hAnsi="宋体" w:eastAsia="宋体" w:cs="宋体"/>
          <w:strike/>
          <w:dstrike w:val="0"/>
          <w:color w:val="auto"/>
          <w:spacing w:val="-7"/>
          <w:sz w:val="24"/>
          <w:szCs w:val="24"/>
          <w:highlight w:val="none"/>
        </w:rPr>
        <w:t>质量保修书。</w:t>
      </w:r>
    </w:p>
    <w:p w14:paraId="3C0613D3">
      <w:pPr>
        <w:spacing w:line="219"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第一条  工程质量保修范围和内容</w:t>
      </w:r>
    </w:p>
    <w:p w14:paraId="391ABC4F">
      <w:pPr>
        <w:spacing w:before="183" w:line="360" w:lineRule="auto"/>
        <w:ind w:left="1426" w:right="1416"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承包人在质量保修期内，按照有关法律、法规、规</w:t>
      </w:r>
      <w:r>
        <w:rPr>
          <w:rFonts w:ascii="宋体" w:hAnsi="宋体" w:eastAsia="宋体" w:cs="宋体"/>
          <w:strike/>
          <w:dstrike w:val="0"/>
          <w:color w:val="auto"/>
          <w:spacing w:val="-7"/>
          <w:sz w:val="24"/>
          <w:szCs w:val="24"/>
          <w:highlight w:val="none"/>
        </w:rPr>
        <w:t>章的管理规定和双方约定，</w:t>
      </w:r>
      <w:r>
        <w:rPr>
          <w:rFonts w:ascii="宋体" w:hAnsi="宋体" w:eastAsia="宋体" w:cs="宋体"/>
          <w:strike/>
          <w:dstrike w:val="0"/>
          <w:color w:val="auto"/>
          <w:spacing w:val="51"/>
          <w:sz w:val="24"/>
          <w:szCs w:val="24"/>
          <w:highlight w:val="none"/>
        </w:rPr>
        <w:t xml:space="preserve"> </w:t>
      </w:r>
      <w:r>
        <w:rPr>
          <w:rFonts w:ascii="宋体" w:hAnsi="宋体" w:eastAsia="宋体" w:cs="宋体"/>
          <w:strike/>
          <w:dstrike w:val="0"/>
          <w:color w:val="auto"/>
          <w:spacing w:val="-7"/>
          <w:sz w:val="24"/>
          <w:szCs w:val="24"/>
          <w:highlight w:val="none"/>
        </w:rPr>
        <w:t>承担</w:t>
      </w:r>
      <w:r>
        <w:rPr>
          <w:rFonts w:ascii="宋体" w:hAnsi="宋体" w:eastAsia="宋体" w:cs="宋体"/>
          <w:strike/>
          <w:dstrike w:val="0"/>
          <w:color w:val="auto"/>
          <w:spacing w:val="-5"/>
          <w:sz w:val="24"/>
          <w:szCs w:val="24"/>
          <w:highlight w:val="none"/>
        </w:rPr>
        <w:t>本工程质量保修责任。</w:t>
      </w:r>
    </w:p>
    <w:p w14:paraId="75EEE896">
      <w:pPr>
        <w:spacing w:before="2" w:line="361" w:lineRule="auto"/>
        <w:ind w:left="1425" w:right="1415"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质量保修范围包括地基基础工程、主体结构工程，</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pacing w:val="-6"/>
          <w:sz w:val="24"/>
          <w:szCs w:val="24"/>
          <w:highlight w:val="none"/>
        </w:rPr>
        <w:t>屋面</w:t>
      </w:r>
      <w:r>
        <w:rPr>
          <w:rFonts w:ascii="宋体" w:hAnsi="宋体" w:eastAsia="宋体" w:cs="宋体"/>
          <w:strike/>
          <w:dstrike w:val="0"/>
          <w:color w:val="auto"/>
          <w:spacing w:val="-7"/>
          <w:sz w:val="24"/>
          <w:szCs w:val="24"/>
          <w:highlight w:val="none"/>
        </w:rPr>
        <w:t>防水工程、有防水要求的卫</w:t>
      </w:r>
      <w:r>
        <w:rPr>
          <w:rFonts w:ascii="宋体" w:hAnsi="宋体" w:eastAsia="宋体" w:cs="宋体"/>
          <w:strike/>
          <w:dstrike w:val="0"/>
          <w:color w:val="auto"/>
          <w:spacing w:val="-6"/>
          <w:sz w:val="24"/>
          <w:szCs w:val="24"/>
          <w:highlight w:val="none"/>
        </w:rPr>
        <w:t>生间、房间和外墙面的防渗漏，</w:t>
      </w:r>
      <w:r>
        <w:rPr>
          <w:rFonts w:ascii="宋体" w:hAnsi="宋体" w:eastAsia="宋体" w:cs="宋体"/>
          <w:strike/>
          <w:dstrike w:val="0"/>
          <w:color w:val="auto"/>
          <w:spacing w:val="53"/>
          <w:sz w:val="24"/>
          <w:szCs w:val="24"/>
          <w:highlight w:val="none"/>
        </w:rPr>
        <w:t xml:space="preserve"> </w:t>
      </w:r>
      <w:r>
        <w:rPr>
          <w:rFonts w:ascii="宋体" w:hAnsi="宋体" w:eastAsia="宋体" w:cs="宋体"/>
          <w:strike/>
          <w:dstrike w:val="0"/>
          <w:color w:val="auto"/>
          <w:spacing w:val="-6"/>
          <w:sz w:val="24"/>
          <w:szCs w:val="24"/>
          <w:highlight w:val="none"/>
        </w:rPr>
        <w:t>供热与供冷系统，电气管线、给排水管道、设备</w:t>
      </w:r>
      <w:r>
        <w:rPr>
          <w:rFonts w:ascii="宋体" w:hAnsi="宋体" w:eastAsia="宋体" w:cs="宋体"/>
          <w:strike/>
          <w:dstrike w:val="0"/>
          <w:color w:val="auto"/>
          <w:spacing w:val="-7"/>
          <w:sz w:val="24"/>
          <w:szCs w:val="24"/>
          <w:highlight w:val="none"/>
        </w:rPr>
        <w:t>安装和</w:t>
      </w:r>
      <w:r>
        <w:rPr>
          <w:rFonts w:ascii="宋体" w:hAnsi="宋体" w:eastAsia="宋体" w:cs="宋体"/>
          <w:strike/>
          <w:dstrike w:val="0"/>
          <w:color w:val="auto"/>
          <w:spacing w:val="-2"/>
          <w:sz w:val="24"/>
          <w:szCs w:val="24"/>
          <w:highlight w:val="none"/>
        </w:rPr>
        <w:t>装修工程，以及双方约定的其他项目。具体保修的内容，双方约定如下：</w:t>
      </w:r>
    </w:p>
    <w:p w14:paraId="0B9CBF08">
      <w:pPr>
        <w:spacing w:before="149" w:line="121" w:lineRule="exact"/>
        <w:ind w:left="1896"/>
        <w:rPr>
          <w:rFonts w:ascii="宋体" w:hAnsi="宋体" w:eastAsia="宋体" w:cs="宋体"/>
          <w:strike/>
          <w:dstrike w:val="0"/>
          <w:color w:val="auto"/>
          <w:sz w:val="8"/>
          <w:szCs w:val="8"/>
          <w:highlight w:val="none"/>
        </w:rPr>
      </w:pPr>
      <w:r>
        <w:rPr>
          <w:rFonts w:ascii="宋体" w:hAnsi="宋体" w:eastAsia="宋体" w:cs="宋体"/>
          <w:strike/>
          <w:dstrike w:val="0"/>
          <w:color w:val="auto"/>
          <w:spacing w:val="1"/>
          <w:position w:val="4"/>
          <w:sz w:val="24"/>
          <w:szCs w:val="24"/>
          <w:highlight w:val="none"/>
        </w:rPr>
        <w:t>____________________________________________</w:t>
      </w:r>
      <w:r>
        <w:rPr>
          <w:rFonts w:ascii="宋体" w:hAnsi="宋体" w:eastAsia="宋体" w:cs="宋体"/>
          <w:strike/>
          <w:dstrike w:val="0"/>
          <w:color w:val="auto"/>
          <w:position w:val="4"/>
          <w:sz w:val="24"/>
          <w:szCs w:val="24"/>
          <w:highlight w:val="none"/>
        </w:rPr>
        <w:t>______________________</w:t>
      </w:r>
      <w:r>
        <w:rPr>
          <w:rFonts w:ascii="宋体" w:hAnsi="宋体" w:eastAsia="宋体" w:cs="宋体"/>
          <w:strike/>
          <w:dstrike w:val="0"/>
          <w:color w:val="auto"/>
          <w:position w:val="4"/>
          <w:sz w:val="8"/>
          <w:szCs w:val="8"/>
          <w:highlight w:val="none"/>
        </w:rPr>
        <w:t>。</w:t>
      </w:r>
    </w:p>
    <w:p w14:paraId="34CB26FC">
      <w:pPr>
        <w:spacing w:before="192" w:line="220"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第二条  质量保修期</w:t>
      </w:r>
    </w:p>
    <w:p w14:paraId="1C7A021E">
      <w:pPr>
        <w:spacing w:before="182" w:line="219"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双方根据《建设工程质量管理条例》及有关规定，约定本工程的质量保修期如下：</w:t>
      </w:r>
    </w:p>
    <w:p w14:paraId="3B62612B">
      <w:pPr>
        <w:spacing w:before="183" w:line="220" w:lineRule="auto"/>
        <w:ind w:left="19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⒈ 地基基础工程和主体结构工程为设计文</w:t>
      </w:r>
      <w:r>
        <w:rPr>
          <w:rFonts w:ascii="宋体" w:hAnsi="宋体" w:eastAsia="宋体" w:cs="宋体"/>
          <w:strike/>
          <w:dstrike w:val="0"/>
          <w:color w:val="auto"/>
          <w:spacing w:val="-5"/>
          <w:sz w:val="24"/>
          <w:szCs w:val="24"/>
          <w:highlight w:val="none"/>
        </w:rPr>
        <w:t>件规定的该工程合理使用年限；</w:t>
      </w:r>
    </w:p>
    <w:p w14:paraId="6477D44B">
      <w:pPr>
        <w:spacing w:before="182" w:line="220" w:lineRule="auto"/>
        <w:ind w:left="197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⒉ 屋面防水工程、有防水要求的卫生间、房间和外墙面的防渗漏为</w:t>
      </w:r>
      <w:r>
        <w:rPr>
          <w:rFonts w:ascii="宋体" w:hAnsi="宋体" w:eastAsia="宋体" w:cs="宋体"/>
          <w:strike/>
          <w:dstrike w:val="0"/>
          <w:color w:val="auto"/>
          <w:spacing w:val="-3"/>
          <w:sz w:val="24"/>
          <w:szCs w:val="24"/>
          <w:highlight w:val="none"/>
          <w:u w:val="single" w:color="auto"/>
        </w:rPr>
        <w:t xml:space="preserve">  5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3"/>
          <w:sz w:val="24"/>
          <w:szCs w:val="24"/>
          <w:highlight w:val="none"/>
        </w:rPr>
        <w:t>年；</w:t>
      </w:r>
    </w:p>
    <w:p w14:paraId="28ADE6EF">
      <w:pPr>
        <w:spacing w:before="182" w:line="220" w:lineRule="auto"/>
        <w:ind w:left="197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3"/>
          <w:sz w:val="24"/>
          <w:szCs w:val="24"/>
          <w:highlight w:val="none"/>
        </w:rPr>
        <w:t>⒊ 装修工程为</w:t>
      </w:r>
      <w:r>
        <w:rPr>
          <w:rFonts w:ascii="宋体" w:hAnsi="宋体" w:eastAsia="宋体" w:cs="宋体"/>
          <w:strike/>
          <w:dstrike w:val="0"/>
          <w:color w:val="auto"/>
          <w:spacing w:val="8"/>
          <w:sz w:val="24"/>
          <w:szCs w:val="24"/>
          <w:highlight w:val="none"/>
          <w:u w:val="single" w:color="auto"/>
        </w:rPr>
        <w:t xml:space="preserve">  </w:t>
      </w:r>
      <w:r>
        <w:rPr>
          <w:rFonts w:ascii="宋体" w:hAnsi="宋体" w:eastAsia="宋体" w:cs="宋体"/>
          <w:strike/>
          <w:dstrike w:val="0"/>
          <w:color w:val="auto"/>
          <w:spacing w:val="-13"/>
          <w:sz w:val="24"/>
          <w:szCs w:val="24"/>
          <w:highlight w:val="none"/>
          <w:u w:val="single" w:color="auto"/>
        </w:rPr>
        <w:t>2</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13"/>
          <w:sz w:val="24"/>
          <w:szCs w:val="24"/>
          <w:highlight w:val="none"/>
        </w:rPr>
        <w:t>年；</w:t>
      </w:r>
    </w:p>
    <w:p w14:paraId="2E6B6117">
      <w:pPr>
        <w:spacing w:before="182" w:line="220" w:lineRule="auto"/>
        <w:ind w:left="196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⒋</w:t>
      </w:r>
      <w:r>
        <w:rPr>
          <w:rFonts w:ascii="宋体" w:hAnsi="宋体" w:eastAsia="宋体" w:cs="宋体"/>
          <w:strike/>
          <w:dstrike w:val="0"/>
          <w:color w:val="auto"/>
          <w:spacing w:val="52"/>
          <w:sz w:val="24"/>
          <w:szCs w:val="24"/>
          <w:highlight w:val="none"/>
        </w:rPr>
        <w:t xml:space="preserve"> </w:t>
      </w:r>
      <w:r>
        <w:rPr>
          <w:rFonts w:ascii="宋体" w:hAnsi="宋体" w:eastAsia="宋体" w:cs="宋体"/>
          <w:strike/>
          <w:dstrike w:val="0"/>
          <w:color w:val="auto"/>
          <w:spacing w:val="-6"/>
          <w:sz w:val="24"/>
          <w:szCs w:val="24"/>
          <w:highlight w:val="none"/>
        </w:rPr>
        <w:t>电气管线、给排水管道、设备安装工程为</w:t>
      </w:r>
      <w:r>
        <w:rPr>
          <w:rFonts w:ascii="宋体" w:hAnsi="宋体" w:eastAsia="宋体" w:cs="宋体"/>
          <w:strike/>
          <w:dstrike w:val="0"/>
          <w:color w:val="auto"/>
          <w:spacing w:val="-6"/>
          <w:sz w:val="24"/>
          <w:szCs w:val="24"/>
          <w:highlight w:val="none"/>
          <w:u w:val="single" w:color="auto"/>
        </w:rPr>
        <w:t xml:space="preserve">  2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6"/>
          <w:sz w:val="24"/>
          <w:szCs w:val="24"/>
          <w:highlight w:val="none"/>
        </w:rPr>
        <w:t>年；</w:t>
      </w:r>
    </w:p>
    <w:p w14:paraId="23E60338">
      <w:pPr>
        <w:spacing w:before="182" w:line="219" w:lineRule="auto"/>
        <w:ind w:left="197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⒌ 供热与供冷系统为</w:t>
      </w:r>
      <w:r>
        <w:rPr>
          <w:rFonts w:ascii="宋体" w:hAnsi="宋体" w:eastAsia="宋体" w:cs="宋体"/>
          <w:strike/>
          <w:dstrike w:val="0"/>
          <w:color w:val="auto"/>
          <w:spacing w:val="-6"/>
          <w:sz w:val="24"/>
          <w:szCs w:val="24"/>
          <w:highlight w:val="none"/>
          <w:u w:val="single" w:color="auto"/>
        </w:rPr>
        <w:t xml:space="preserve">  2  </w:t>
      </w:r>
      <w:r>
        <w:rPr>
          <w:rFonts w:ascii="宋体" w:hAnsi="宋体" w:eastAsia="宋体" w:cs="宋体"/>
          <w:strike/>
          <w:dstrike w:val="0"/>
          <w:color w:val="auto"/>
          <w:spacing w:val="-102"/>
          <w:sz w:val="24"/>
          <w:szCs w:val="24"/>
          <w:highlight w:val="none"/>
        </w:rPr>
        <w:t xml:space="preserve"> </w:t>
      </w:r>
      <w:r>
        <w:rPr>
          <w:rFonts w:ascii="宋体" w:hAnsi="宋体" w:eastAsia="宋体" w:cs="宋体"/>
          <w:strike/>
          <w:dstrike w:val="0"/>
          <w:color w:val="auto"/>
          <w:spacing w:val="-6"/>
          <w:sz w:val="24"/>
          <w:szCs w:val="24"/>
          <w:highlight w:val="none"/>
        </w:rPr>
        <w:t>个采暖期、供冷期；</w:t>
      </w:r>
    </w:p>
    <w:p w14:paraId="23FD5234">
      <w:pPr>
        <w:spacing w:before="183" w:line="220" w:lineRule="auto"/>
        <w:ind w:left="197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⒍ 住宅小区内的给排水设施、道路、电力等配套工程为</w:t>
      </w:r>
      <w:r>
        <w:rPr>
          <w:rFonts w:ascii="宋体" w:hAnsi="宋体" w:eastAsia="宋体" w:cs="宋体"/>
          <w:strike/>
          <w:dstrike w:val="0"/>
          <w:color w:val="auto"/>
          <w:spacing w:val="-4"/>
          <w:sz w:val="24"/>
          <w:szCs w:val="24"/>
          <w:highlight w:val="none"/>
          <w:u w:val="single" w:color="auto"/>
        </w:rPr>
        <w:t xml:space="preserve">  2  </w:t>
      </w:r>
      <w:r>
        <w:rPr>
          <w:rFonts w:ascii="宋体" w:hAnsi="宋体" w:eastAsia="宋体" w:cs="宋体"/>
          <w:strike/>
          <w:dstrike w:val="0"/>
          <w:color w:val="auto"/>
          <w:spacing w:val="-95"/>
          <w:sz w:val="24"/>
          <w:szCs w:val="24"/>
          <w:highlight w:val="none"/>
        </w:rPr>
        <w:t xml:space="preserve"> </w:t>
      </w:r>
      <w:r>
        <w:rPr>
          <w:rFonts w:ascii="宋体" w:hAnsi="宋体" w:eastAsia="宋体" w:cs="宋体"/>
          <w:strike/>
          <w:dstrike w:val="0"/>
          <w:color w:val="auto"/>
          <w:spacing w:val="-4"/>
          <w:sz w:val="24"/>
          <w:szCs w:val="24"/>
          <w:highlight w:val="none"/>
        </w:rPr>
        <w:t>年；</w:t>
      </w:r>
    </w:p>
    <w:p w14:paraId="07A2FAC6">
      <w:pPr>
        <w:spacing w:before="182" w:line="220" w:lineRule="auto"/>
        <w:ind w:left="196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9"/>
          <w:sz w:val="24"/>
          <w:szCs w:val="24"/>
          <w:highlight w:val="none"/>
        </w:rPr>
        <w:t>⒎ 其他项目保修期限约定如下：</w:t>
      </w:r>
    </w:p>
    <w:p w14:paraId="7632E7FF">
      <w:pPr>
        <w:pStyle w:val="3"/>
        <w:spacing w:line="257" w:lineRule="auto"/>
        <w:rPr>
          <w:strike/>
          <w:dstrike w:val="0"/>
          <w:color w:val="auto"/>
          <w:highlight w:val="none"/>
        </w:rPr>
      </w:pPr>
    </w:p>
    <w:p w14:paraId="68E11B8C">
      <w:pPr>
        <w:spacing w:before="79" w:line="121" w:lineRule="exact"/>
        <w:ind w:left="1895"/>
        <w:rPr>
          <w:rFonts w:ascii="宋体" w:hAnsi="宋体" w:eastAsia="宋体" w:cs="宋体"/>
          <w:strike/>
          <w:dstrike w:val="0"/>
          <w:color w:val="auto"/>
          <w:sz w:val="8"/>
          <w:szCs w:val="8"/>
          <w:highlight w:val="none"/>
        </w:rPr>
      </w:pPr>
      <w:r>
        <w:rPr>
          <w:rFonts w:ascii="宋体" w:hAnsi="宋体" w:eastAsia="宋体" w:cs="宋体"/>
          <w:strike/>
          <w:dstrike w:val="0"/>
          <w:color w:val="auto"/>
          <w:spacing w:val="1"/>
          <w:position w:val="4"/>
          <w:sz w:val="24"/>
          <w:szCs w:val="24"/>
          <w:highlight w:val="none"/>
        </w:rPr>
        <w:t>____________________________________________</w:t>
      </w:r>
      <w:r>
        <w:rPr>
          <w:rFonts w:ascii="宋体" w:hAnsi="宋体" w:eastAsia="宋体" w:cs="宋体"/>
          <w:strike/>
          <w:dstrike w:val="0"/>
          <w:color w:val="auto"/>
          <w:position w:val="4"/>
          <w:sz w:val="24"/>
          <w:szCs w:val="24"/>
          <w:highlight w:val="none"/>
        </w:rPr>
        <w:t>______________</w:t>
      </w:r>
      <w:r>
        <w:rPr>
          <w:rFonts w:ascii="宋体" w:hAnsi="宋体" w:eastAsia="宋体" w:cs="宋体"/>
          <w:strike/>
          <w:dstrike w:val="0"/>
          <w:color w:val="auto"/>
          <w:position w:val="4"/>
          <w:sz w:val="8"/>
          <w:szCs w:val="8"/>
          <w:highlight w:val="none"/>
        </w:rPr>
        <w:t>。</w:t>
      </w:r>
    </w:p>
    <w:p w14:paraId="62825890">
      <w:pPr>
        <w:spacing w:before="192" w:line="220"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质量保修期自工程竣工验收合格之日起计算。</w:t>
      </w:r>
    </w:p>
    <w:p w14:paraId="0C8368B3">
      <w:pPr>
        <w:spacing w:before="182" w:line="220"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第三条  质量保修责任</w:t>
      </w:r>
    </w:p>
    <w:p w14:paraId="43A329BD">
      <w:pPr>
        <w:spacing w:before="182" w:line="220" w:lineRule="auto"/>
        <w:ind w:left="19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⒈ 属于保修范围、内容的项目，承包人应当在接到保修通知之日起</w:t>
      </w:r>
      <w:r>
        <w:rPr>
          <w:rFonts w:ascii="宋体" w:hAnsi="宋体" w:eastAsia="宋体" w:cs="宋体"/>
          <w:strike/>
          <w:dstrike w:val="0"/>
          <w:color w:val="auto"/>
          <w:spacing w:val="-24"/>
          <w:sz w:val="24"/>
          <w:szCs w:val="24"/>
          <w:highlight w:val="none"/>
        </w:rPr>
        <w:t xml:space="preserve"> </w:t>
      </w:r>
      <w:r>
        <w:rPr>
          <w:rFonts w:ascii="宋体" w:hAnsi="宋体" w:eastAsia="宋体" w:cs="宋体"/>
          <w:strike/>
          <w:dstrike w:val="0"/>
          <w:color w:val="auto"/>
          <w:spacing w:val="-2"/>
          <w:sz w:val="24"/>
          <w:szCs w:val="24"/>
          <w:highlight w:val="none"/>
        </w:rPr>
        <w:t>7</w:t>
      </w:r>
      <w:r>
        <w:rPr>
          <w:rFonts w:ascii="宋体" w:hAnsi="宋体" w:eastAsia="宋体" w:cs="宋体"/>
          <w:strike/>
          <w:dstrike w:val="0"/>
          <w:color w:val="auto"/>
          <w:spacing w:val="-44"/>
          <w:sz w:val="24"/>
          <w:szCs w:val="24"/>
          <w:highlight w:val="none"/>
        </w:rPr>
        <w:t xml:space="preserve"> </w:t>
      </w:r>
      <w:r>
        <w:rPr>
          <w:rFonts w:ascii="宋体" w:hAnsi="宋体" w:eastAsia="宋体" w:cs="宋体"/>
          <w:strike/>
          <w:dstrike w:val="0"/>
          <w:color w:val="auto"/>
          <w:spacing w:val="-2"/>
          <w:sz w:val="24"/>
          <w:szCs w:val="24"/>
          <w:highlight w:val="none"/>
        </w:rPr>
        <w:t>天内派人保</w:t>
      </w:r>
    </w:p>
    <w:p w14:paraId="06115997">
      <w:pPr>
        <w:spacing w:line="220" w:lineRule="auto"/>
        <w:rPr>
          <w:rFonts w:ascii="宋体" w:hAnsi="宋体" w:eastAsia="宋体" w:cs="宋体"/>
          <w:strike/>
          <w:dstrike w:val="0"/>
          <w:color w:val="auto"/>
          <w:sz w:val="24"/>
          <w:szCs w:val="24"/>
          <w:highlight w:val="none"/>
        </w:rPr>
        <w:sectPr>
          <w:headerReference r:id="rId118" w:type="default"/>
          <w:footerReference r:id="rId119" w:type="default"/>
          <w:pgSz w:w="11905" w:h="16840"/>
          <w:pgMar w:top="1182" w:right="0" w:bottom="1171" w:left="0" w:header="849" w:footer="937" w:gutter="0"/>
          <w:pgNumType w:fmt="decimal"/>
          <w:cols w:space="720" w:num="1"/>
        </w:sectPr>
      </w:pPr>
    </w:p>
    <w:p w14:paraId="3C123216">
      <w:pPr>
        <w:pStyle w:val="3"/>
        <w:spacing w:line="267" w:lineRule="auto"/>
        <w:rPr>
          <w:strike/>
          <w:dstrike w:val="0"/>
          <w:color w:val="auto"/>
          <w:highlight w:val="none"/>
        </w:rPr>
      </w:pPr>
    </w:p>
    <w:p w14:paraId="6529986A">
      <w:pPr>
        <w:spacing w:before="78" w:line="220" w:lineRule="auto"/>
        <w:ind w:left="142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修。承包人不在约定期限内派人保修的，发包人可以委托他人修理。</w:t>
      </w:r>
    </w:p>
    <w:p w14:paraId="3099E8F2">
      <w:pPr>
        <w:spacing w:before="182" w:line="220" w:lineRule="auto"/>
        <w:ind w:left="197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⒉ 发生紧急抢修事故的，承包人在接到事故通知后，应当立</w:t>
      </w:r>
      <w:r>
        <w:rPr>
          <w:rFonts w:ascii="宋体" w:hAnsi="宋体" w:eastAsia="宋体" w:cs="宋体"/>
          <w:strike/>
          <w:dstrike w:val="0"/>
          <w:color w:val="auto"/>
          <w:spacing w:val="-5"/>
          <w:sz w:val="24"/>
          <w:szCs w:val="24"/>
          <w:highlight w:val="none"/>
        </w:rPr>
        <w:t>即到达事故现场抢修。</w:t>
      </w:r>
    </w:p>
    <w:p w14:paraId="342DFA9A">
      <w:pPr>
        <w:spacing w:before="183" w:line="313" w:lineRule="auto"/>
        <w:ind w:left="1425" w:right="1416" w:firstLine="54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⒊ 对于涉及结构安全的质量问题，应当按照《房屋建筑工程质量保修办法》的规</w:t>
      </w:r>
      <w:r>
        <w:rPr>
          <w:rFonts w:ascii="宋体" w:hAnsi="宋体" w:eastAsia="宋体" w:cs="宋体"/>
          <w:strike/>
          <w:dstrike w:val="0"/>
          <w:color w:val="auto"/>
          <w:spacing w:val="-2"/>
          <w:sz w:val="24"/>
          <w:szCs w:val="24"/>
          <w:highlight w:val="none"/>
        </w:rPr>
        <w:t>定，立即向当地建设行政主管部门报告，采取安全防范措施；由原设计单位或者具有相应资质等级的设计单位提出保修方案，承包人实施保修。</w:t>
      </w:r>
    </w:p>
    <w:p w14:paraId="6E8B7B24">
      <w:pPr>
        <w:spacing w:before="182" w:line="220" w:lineRule="auto"/>
        <w:ind w:left="196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⒋ 质量保修完成后，由发包人组织验收。</w:t>
      </w:r>
    </w:p>
    <w:p w14:paraId="14B8389C">
      <w:pPr>
        <w:spacing w:before="182" w:line="220"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第四条  保修费用</w:t>
      </w:r>
    </w:p>
    <w:p w14:paraId="74390E1C">
      <w:pPr>
        <w:spacing w:before="181" w:line="220"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保修费用由造成质量缺陷的责任方承担。</w:t>
      </w:r>
    </w:p>
    <w:p w14:paraId="45426E42">
      <w:pPr>
        <w:spacing w:before="182" w:line="220"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第五条</w:t>
      </w:r>
      <w:r>
        <w:rPr>
          <w:rFonts w:ascii="宋体" w:hAnsi="宋体" w:eastAsia="宋体" w:cs="宋体"/>
          <w:strike/>
          <w:dstrike w:val="0"/>
          <w:color w:val="auto"/>
          <w:spacing w:val="5"/>
          <w:sz w:val="24"/>
          <w:szCs w:val="24"/>
          <w:highlight w:val="none"/>
        </w:rPr>
        <w:t xml:space="preserve">  </w:t>
      </w:r>
      <w:r>
        <w:rPr>
          <w:rFonts w:ascii="宋体" w:hAnsi="宋体" w:eastAsia="宋体" w:cs="宋体"/>
          <w:strike/>
          <w:dstrike w:val="0"/>
          <w:color w:val="auto"/>
          <w:spacing w:val="-3"/>
          <w:sz w:val="24"/>
          <w:szCs w:val="24"/>
          <w:highlight w:val="none"/>
        </w:rPr>
        <w:t>其他</w:t>
      </w:r>
    </w:p>
    <w:p w14:paraId="12823C7B">
      <w:pPr>
        <w:spacing w:before="182" w:line="213"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双方约定的其他工程质量保修事项：_____________________</w:t>
      </w:r>
      <w:r>
        <w:rPr>
          <w:rFonts w:ascii="宋体" w:hAnsi="宋体" w:eastAsia="宋体" w:cs="宋体"/>
          <w:strike/>
          <w:dstrike w:val="0"/>
          <w:color w:val="auto"/>
          <w:spacing w:val="-1"/>
          <w:sz w:val="24"/>
          <w:szCs w:val="24"/>
          <w:highlight w:val="none"/>
        </w:rPr>
        <w:t>__________。</w:t>
      </w:r>
    </w:p>
    <w:p w14:paraId="081C94AA">
      <w:pPr>
        <w:spacing w:before="190" w:line="362" w:lineRule="auto"/>
        <w:ind w:left="1424" w:right="1416" w:firstLine="48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本工程质量保修书，由施工合同发包人、承包人双方在</w:t>
      </w:r>
      <w:r>
        <w:rPr>
          <w:rFonts w:ascii="宋体" w:hAnsi="宋体" w:eastAsia="宋体" w:cs="宋体"/>
          <w:strike/>
          <w:dstrike w:val="0"/>
          <w:color w:val="auto"/>
          <w:spacing w:val="-7"/>
          <w:sz w:val="24"/>
          <w:szCs w:val="24"/>
          <w:highlight w:val="none"/>
        </w:rPr>
        <w:t>竣工验收前共同签署，</w:t>
      </w:r>
      <w:r>
        <w:rPr>
          <w:rFonts w:ascii="宋体" w:hAnsi="宋体" w:eastAsia="宋体" w:cs="宋体"/>
          <w:strike/>
          <w:dstrike w:val="0"/>
          <w:color w:val="auto"/>
          <w:spacing w:val="48"/>
          <w:sz w:val="24"/>
          <w:szCs w:val="24"/>
          <w:highlight w:val="none"/>
        </w:rPr>
        <w:t xml:space="preserve"> </w:t>
      </w:r>
      <w:r>
        <w:rPr>
          <w:rFonts w:ascii="宋体" w:hAnsi="宋体" w:eastAsia="宋体" w:cs="宋体"/>
          <w:strike/>
          <w:dstrike w:val="0"/>
          <w:color w:val="auto"/>
          <w:spacing w:val="-7"/>
          <w:sz w:val="24"/>
          <w:szCs w:val="24"/>
          <w:highlight w:val="none"/>
        </w:rPr>
        <w:t>作为</w:t>
      </w:r>
      <w:r>
        <w:rPr>
          <w:rFonts w:ascii="宋体" w:hAnsi="宋体" w:eastAsia="宋体" w:cs="宋体"/>
          <w:strike/>
          <w:dstrike w:val="0"/>
          <w:color w:val="auto"/>
          <w:spacing w:val="-3"/>
          <w:sz w:val="24"/>
          <w:szCs w:val="24"/>
          <w:highlight w:val="none"/>
        </w:rPr>
        <w:t>施工合同附件，其有效期限至保修期满。</w:t>
      </w:r>
    </w:p>
    <w:p w14:paraId="7C64A413">
      <w:pPr>
        <w:spacing w:before="174"/>
        <w:rPr>
          <w:strike/>
          <w:dstrike w:val="0"/>
          <w:color w:val="auto"/>
          <w:highlight w:val="none"/>
        </w:rPr>
      </w:pPr>
    </w:p>
    <w:p w14:paraId="2DF029A6">
      <w:pPr>
        <w:rPr>
          <w:strike/>
          <w:dstrike w:val="0"/>
          <w:color w:val="auto"/>
          <w:highlight w:val="none"/>
        </w:rPr>
        <w:sectPr>
          <w:headerReference r:id="rId120" w:type="default"/>
          <w:footerReference r:id="rId121" w:type="default"/>
          <w:pgSz w:w="11905" w:h="16840"/>
          <w:pgMar w:top="1182" w:right="0" w:bottom="1171" w:left="0" w:header="849" w:footer="937" w:gutter="0"/>
          <w:pgNumType w:fmt="decimal"/>
          <w:cols w:equalWidth="0" w:num="1">
            <w:col w:w="11905"/>
          </w:cols>
        </w:sectPr>
      </w:pPr>
    </w:p>
    <w:p w14:paraId="54B94246">
      <w:pPr>
        <w:spacing w:before="48" w:line="219" w:lineRule="auto"/>
        <w:ind w:left="142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2"/>
          <w:sz w:val="24"/>
          <w:szCs w:val="24"/>
          <w:highlight w:val="none"/>
        </w:rPr>
        <w:t>发</w:t>
      </w:r>
      <w:r>
        <w:rPr>
          <w:rFonts w:ascii="宋体" w:hAnsi="宋体" w:eastAsia="宋体" w:cs="宋体"/>
          <w:strike/>
          <w:dstrike w:val="0"/>
          <w:color w:val="auto"/>
          <w:spacing w:val="10"/>
          <w:sz w:val="24"/>
          <w:szCs w:val="24"/>
          <w:highlight w:val="none"/>
        </w:rPr>
        <w:t xml:space="preserve"> </w:t>
      </w:r>
      <w:r>
        <w:rPr>
          <w:rFonts w:ascii="宋体" w:hAnsi="宋体" w:eastAsia="宋体" w:cs="宋体"/>
          <w:strike/>
          <w:dstrike w:val="0"/>
          <w:color w:val="auto"/>
          <w:spacing w:val="-12"/>
          <w:sz w:val="24"/>
          <w:szCs w:val="24"/>
          <w:highlight w:val="none"/>
        </w:rPr>
        <w:t>包</w:t>
      </w:r>
      <w:r>
        <w:rPr>
          <w:rFonts w:ascii="宋体" w:hAnsi="宋体" w:eastAsia="宋体" w:cs="宋体"/>
          <w:strike/>
          <w:dstrike w:val="0"/>
          <w:color w:val="auto"/>
          <w:spacing w:val="11"/>
          <w:sz w:val="24"/>
          <w:szCs w:val="24"/>
          <w:highlight w:val="none"/>
        </w:rPr>
        <w:t xml:space="preserve"> </w:t>
      </w:r>
      <w:r>
        <w:rPr>
          <w:rFonts w:ascii="宋体" w:hAnsi="宋体" w:eastAsia="宋体" w:cs="宋体"/>
          <w:strike/>
          <w:dstrike w:val="0"/>
          <w:color w:val="auto"/>
          <w:spacing w:val="-12"/>
          <w:sz w:val="24"/>
          <w:szCs w:val="24"/>
          <w:highlight w:val="none"/>
        </w:rPr>
        <w:t>人（公章</w:t>
      </w:r>
      <w:r>
        <w:rPr>
          <w:rFonts w:ascii="宋体" w:hAnsi="宋体" w:eastAsia="宋体" w:cs="宋体"/>
          <w:strike/>
          <w:dstrike w:val="0"/>
          <w:color w:val="auto"/>
          <w:spacing w:val="-4"/>
          <w:sz w:val="24"/>
          <w:szCs w:val="24"/>
          <w:highlight w:val="none"/>
        </w:rPr>
        <w:t>）：</w:t>
      </w:r>
    </w:p>
    <w:p w14:paraId="52EBE367">
      <w:pPr>
        <w:spacing w:before="183" w:line="220" w:lineRule="auto"/>
        <w:ind w:left="142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w:t>
      </w:r>
    </w:p>
    <w:p w14:paraId="29D8941E">
      <w:pPr>
        <w:spacing w:before="183" w:line="223" w:lineRule="auto"/>
        <w:ind w:left="1428"/>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或</w:t>
      </w:r>
    </w:p>
    <w:p w14:paraId="3F449DCC">
      <w:pPr>
        <w:spacing w:before="177" w:line="220" w:lineRule="auto"/>
        <w:ind w:left="142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其委托代理人：</w:t>
      </w:r>
      <w:r>
        <w:rPr>
          <w:rFonts w:ascii="宋体" w:hAnsi="宋体" w:eastAsia="宋体" w:cs="宋体"/>
          <w:strike/>
          <w:dstrike w:val="0"/>
          <w:color w:val="auto"/>
          <w:sz w:val="24"/>
          <w:szCs w:val="24"/>
          <w:highlight w:val="none"/>
          <w:u w:val="single" w:color="auto"/>
        </w:rPr>
        <w:t xml:space="preserve">              </w:t>
      </w:r>
    </w:p>
    <w:p w14:paraId="1E128F34">
      <w:pPr>
        <w:spacing w:before="182" w:line="185" w:lineRule="auto"/>
        <w:ind w:left="146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3"/>
          <w:sz w:val="24"/>
          <w:szCs w:val="24"/>
          <w:highlight w:val="none"/>
        </w:rPr>
        <w:t>日期：</w:t>
      </w:r>
      <w:r>
        <w:rPr>
          <w:rFonts w:ascii="宋体" w:hAnsi="宋体" w:eastAsia="宋体" w:cs="宋体"/>
          <w:strike/>
          <w:dstrike w:val="0"/>
          <w:color w:val="auto"/>
          <w:spacing w:val="5"/>
          <w:sz w:val="24"/>
          <w:szCs w:val="24"/>
          <w:highlight w:val="none"/>
        </w:rPr>
        <w:t xml:space="preserve">  </w:t>
      </w:r>
      <w:r>
        <w:rPr>
          <w:rFonts w:ascii="宋体" w:hAnsi="宋体" w:eastAsia="宋体" w:cs="宋体"/>
          <w:strike/>
          <w:dstrike w:val="0"/>
          <w:color w:val="auto"/>
          <w:spacing w:val="-13"/>
          <w:sz w:val="24"/>
          <w:szCs w:val="24"/>
          <w:highlight w:val="none"/>
        </w:rPr>
        <w:t>年</w:t>
      </w:r>
      <w:r>
        <w:rPr>
          <w:rFonts w:ascii="宋体" w:hAnsi="宋体" w:eastAsia="宋体" w:cs="宋体"/>
          <w:strike/>
          <w:dstrike w:val="0"/>
          <w:color w:val="auto"/>
          <w:spacing w:val="8"/>
          <w:sz w:val="24"/>
          <w:szCs w:val="24"/>
          <w:highlight w:val="none"/>
        </w:rPr>
        <w:t xml:space="preserve">  </w:t>
      </w:r>
      <w:r>
        <w:rPr>
          <w:rFonts w:ascii="宋体" w:hAnsi="宋体" w:eastAsia="宋体" w:cs="宋体"/>
          <w:strike/>
          <w:dstrike w:val="0"/>
          <w:color w:val="auto"/>
          <w:spacing w:val="-13"/>
          <w:sz w:val="24"/>
          <w:szCs w:val="24"/>
          <w:highlight w:val="none"/>
        </w:rPr>
        <w:t>月</w:t>
      </w:r>
      <w:r>
        <w:rPr>
          <w:rFonts w:ascii="宋体" w:hAnsi="宋体" w:eastAsia="宋体" w:cs="宋体"/>
          <w:strike/>
          <w:dstrike w:val="0"/>
          <w:color w:val="auto"/>
          <w:spacing w:val="25"/>
          <w:sz w:val="24"/>
          <w:szCs w:val="24"/>
          <w:highlight w:val="none"/>
        </w:rPr>
        <w:t xml:space="preserve">  </w:t>
      </w:r>
      <w:r>
        <w:rPr>
          <w:rFonts w:ascii="宋体" w:hAnsi="宋体" w:eastAsia="宋体" w:cs="宋体"/>
          <w:strike/>
          <w:dstrike w:val="0"/>
          <w:color w:val="auto"/>
          <w:spacing w:val="-13"/>
          <w:sz w:val="24"/>
          <w:szCs w:val="24"/>
          <w:highlight w:val="none"/>
        </w:rPr>
        <w:t>日</w:t>
      </w:r>
    </w:p>
    <w:p w14:paraId="4A988C57">
      <w:pPr>
        <w:pStyle w:val="3"/>
        <w:spacing w:line="14" w:lineRule="auto"/>
        <w:rPr>
          <w:strike/>
          <w:dstrike w:val="0"/>
          <w:color w:val="auto"/>
          <w:sz w:val="2"/>
          <w:highlight w:val="none"/>
        </w:rPr>
      </w:pPr>
      <w:r>
        <w:rPr>
          <w:strike/>
          <w:dstrike w:val="0"/>
          <w:color w:val="auto"/>
          <w:sz w:val="2"/>
          <w:szCs w:val="2"/>
          <w:highlight w:val="none"/>
        </w:rPr>
        <w:br w:type="column"/>
      </w:r>
    </w:p>
    <w:p w14:paraId="314010ED">
      <w:pPr>
        <w:spacing w:before="47" w:line="219" w:lineRule="auto"/>
        <w:ind w:left="11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1"/>
          <w:sz w:val="24"/>
          <w:szCs w:val="24"/>
          <w:highlight w:val="none"/>
        </w:rPr>
        <w:t>承</w:t>
      </w:r>
      <w:r>
        <w:rPr>
          <w:rFonts w:ascii="宋体" w:hAnsi="宋体" w:eastAsia="宋体" w:cs="宋体"/>
          <w:strike/>
          <w:dstrike w:val="0"/>
          <w:color w:val="auto"/>
          <w:spacing w:val="10"/>
          <w:sz w:val="24"/>
          <w:szCs w:val="24"/>
          <w:highlight w:val="none"/>
        </w:rPr>
        <w:t xml:space="preserve"> </w:t>
      </w:r>
      <w:r>
        <w:rPr>
          <w:rFonts w:ascii="宋体" w:hAnsi="宋体" w:eastAsia="宋体" w:cs="宋体"/>
          <w:strike/>
          <w:dstrike w:val="0"/>
          <w:color w:val="auto"/>
          <w:spacing w:val="-11"/>
          <w:sz w:val="24"/>
          <w:szCs w:val="24"/>
          <w:highlight w:val="none"/>
        </w:rPr>
        <w:t>包</w:t>
      </w:r>
      <w:r>
        <w:rPr>
          <w:rFonts w:ascii="宋体" w:hAnsi="宋体" w:eastAsia="宋体" w:cs="宋体"/>
          <w:strike/>
          <w:dstrike w:val="0"/>
          <w:color w:val="auto"/>
          <w:spacing w:val="11"/>
          <w:sz w:val="24"/>
          <w:szCs w:val="24"/>
          <w:highlight w:val="none"/>
        </w:rPr>
        <w:t xml:space="preserve"> </w:t>
      </w:r>
      <w:r>
        <w:rPr>
          <w:rFonts w:ascii="宋体" w:hAnsi="宋体" w:eastAsia="宋体" w:cs="宋体"/>
          <w:strike/>
          <w:dstrike w:val="0"/>
          <w:color w:val="auto"/>
          <w:spacing w:val="-11"/>
          <w:sz w:val="24"/>
          <w:szCs w:val="24"/>
          <w:highlight w:val="none"/>
        </w:rPr>
        <w:t>人（公章</w:t>
      </w:r>
      <w:r>
        <w:rPr>
          <w:rFonts w:ascii="宋体" w:hAnsi="宋体" w:eastAsia="宋体" w:cs="宋体"/>
          <w:strike/>
          <w:dstrike w:val="0"/>
          <w:color w:val="auto"/>
          <w:spacing w:val="-5"/>
          <w:sz w:val="24"/>
          <w:szCs w:val="24"/>
          <w:highlight w:val="none"/>
        </w:rPr>
        <w:t>）：</w:t>
      </w:r>
    </w:p>
    <w:p w14:paraId="206293C9">
      <w:pPr>
        <w:spacing w:before="183" w:line="220" w:lineRule="auto"/>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w:t>
      </w:r>
    </w:p>
    <w:p w14:paraId="04C445F6">
      <w:pPr>
        <w:spacing w:before="182" w:line="223" w:lineRule="auto"/>
        <w:ind w:left="1"/>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或</w:t>
      </w:r>
    </w:p>
    <w:p w14:paraId="483F481E">
      <w:pPr>
        <w:spacing w:before="178" w:line="220" w:lineRule="auto"/>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其委托代理人：</w:t>
      </w:r>
      <w:r>
        <w:rPr>
          <w:rFonts w:ascii="宋体" w:hAnsi="宋体" w:eastAsia="宋体" w:cs="宋体"/>
          <w:strike/>
          <w:dstrike w:val="0"/>
          <w:color w:val="auto"/>
          <w:sz w:val="24"/>
          <w:szCs w:val="24"/>
          <w:highlight w:val="none"/>
          <w:u w:val="single" w:color="auto"/>
        </w:rPr>
        <w:t xml:space="preserve">             </w:t>
      </w:r>
    </w:p>
    <w:p w14:paraId="01B1D475">
      <w:pPr>
        <w:spacing w:before="182" w:line="185" w:lineRule="auto"/>
        <w:ind w:left="4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3"/>
          <w:sz w:val="24"/>
          <w:szCs w:val="24"/>
          <w:highlight w:val="none"/>
        </w:rPr>
        <w:t>日期：</w:t>
      </w:r>
      <w:r>
        <w:rPr>
          <w:rFonts w:ascii="宋体" w:hAnsi="宋体" w:eastAsia="宋体" w:cs="宋体"/>
          <w:strike/>
          <w:dstrike w:val="0"/>
          <w:color w:val="auto"/>
          <w:spacing w:val="5"/>
          <w:sz w:val="24"/>
          <w:szCs w:val="24"/>
          <w:highlight w:val="none"/>
        </w:rPr>
        <w:t xml:space="preserve">  </w:t>
      </w:r>
      <w:r>
        <w:rPr>
          <w:rFonts w:ascii="宋体" w:hAnsi="宋体" w:eastAsia="宋体" w:cs="宋体"/>
          <w:strike/>
          <w:dstrike w:val="0"/>
          <w:color w:val="auto"/>
          <w:spacing w:val="-13"/>
          <w:sz w:val="24"/>
          <w:szCs w:val="24"/>
          <w:highlight w:val="none"/>
        </w:rPr>
        <w:t>年</w:t>
      </w:r>
      <w:r>
        <w:rPr>
          <w:rFonts w:ascii="宋体" w:hAnsi="宋体" w:eastAsia="宋体" w:cs="宋体"/>
          <w:strike/>
          <w:dstrike w:val="0"/>
          <w:color w:val="auto"/>
          <w:spacing w:val="8"/>
          <w:sz w:val="24"/>
          <w:szCs w:val="24"/>
          <w:highlight w:val="none"/>
        </w:rPr>
        <w:t xml:space="preserve">  </w:t>
      </w:r>
      <w:r>
        <w:rPr>
          <w:rFonts w:ascii="宋体" w:hAnsi="宋体" w:eastAsia="宋体" w:cs="宋体"/>
          <w:strike/>
          <w:dstrike w:val="0"/>
          <w:color w:val="auto"/>
          <w:spacing w:val="-13"/>
          <w:sz w:val="24"/>
          <w:szCs w:val="24"/>
          <w:highlight w:val="none"/>
        </w:rPr>
        <w:t>月</w:t>
      </w:r>
      <w:r>
        <w:rPr>
          <w:rFonts w:ascii="宋体" w:hAnsi="宋体" w:eastAsia="宋体" w:cs="宋体"/>
          <w:strike/>
          <w:dstrike w:val="0"/>
          <w:color w:val="auto"/>
          <w:spacing w:val="25"/>
          <w:sz w:val="24"/>
          <w:szCs w:val="24"/>
          <w:highlight w:val="none"/>
        </w:rPr>
        <w:t xml:space="preserve">  </w:t>
      </w:r>
      <w:r>
        <w:rPr>
          <w:rFonts w:ascii="宋体" w:hAnsi="宋体" w:eastAsia="宋体" w:cs="宋体"/>
          <w:strike/>
          <w:dstrike w:val="0"/>
          <w:color w:val="auto"/>
          <w:spacing w:val="-13"/>
          <w:sz w:val="24"/>
          <w:szCs w:val="24"/>
          <w:highlight w:val="none"/>
        </w:rPr>
        <w:t>日</w:t>
      </w:r>
    </w:p>
    <w:p w14:paraId="31418C08">
      <w:pPr>
        <w:spacing w:line="185" w:lineRule="auto"/>
        <w:rPr>
          <w:rFonts w:ascii="宋体" w:hAnsi="宋体" w:eastAsia="宋体" w:cs="宋体"/>
          <w:strike/>
          <w:dstrike w:val="0"/>
          <w:color w:val="auto"/>
          <w:sz w:val="24"/>
          <w:szCs w:val="24"/>
          <w:highlight w:val="none"/>
        </w:rPr>
        <w:sectPr>
          <w:type w:val="continuous"/>
          <w:pgSz w:w="11905" w:h="16840"/>
          <w:pgMar w:top="1182" w:right="0" w:bottom="1171" w:left="0" w:header="849" w:footer="937" w:gutter="0"/>
          <w:pgNumType w:fmt="decimal"/>
          <w:cols w:equalWidth="0" w:num="2">
            <w:col w:w="6127" w:space="100"/>
            <w:col w:w="5679"/>
          </w:cols>
        </w:sectPr>
      </w:pPr>
    </w:p>
    <w:p w14:paraId="6D4C1637">
      <w:pPr>
        <w:pStyle w:val="3"/>
        <w:spacing w:line="267" w:lineRule="auto"/>
        <w:rPr>
          <w:color w:val="auto"/>
          <w:highlight w:val="none"/>
        </w:rPr>
      </w:pPr>
    </w:p>
    <w:p w14:paraId="77E5F765">
      <w:pPr>
        <w:spacing w:before="78" w:line="219" w:lineRule="auto"/>
        <w:ind w:left="1444"/>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附件十六：</w:t>
      </w:r>
    </w:p>
    <w:p w14:paraId="299DF25C">
      <w:pPr>
        <w:spacing w:before="196" w:line="241" w:lineRule="auto"/>
        <w:ind w:left="4925"/>
        <w:rPr>
          <w:rFonts w:ascii="宋体" w:hAnsi="宋体" w:eastAsia="宋体" w:cs="宋体"/>
          <w:color w:val="auto"/>
          <w:sz w:val="15"/>
          <w:szCs w:val="15"/>
          <w:highlight w:val="none"/>
        </w:rPr>
      </w:pPr>
      <w:bookmarkStart w:id="25" w:name="bookmark28"/>
      <w:bookmarkEnd w:id="25"/>
      <w:r>
        <w:rPr>
          <w:rFonts w:ascii="宋体" w:hAnsi="宋体" w:eastAsia="宋体" w:cs="宋体"/>
          <w:b/>
          <w:bCs/>
          <w:color w:val="auto"/>
          <w:spacing w:val="5"/>
          <w:sz w:val="31"/>
          <w:szCs w:val="31"/>
          <w:highlight w:val="none"/>
        </w:rPr>
        <w:t>工程结算协议</w:t>
      </w:r>
    </w:p>
    <w:p w14:paraId="23B8706D">
      <w:pPr>
        <w:pStyle w:val="3"/>
        <w:spacing w:line="437" w:lineRule="auto"/>
        <w:rPr>
          <w:color w:val="auto"/>
          <w:highlight w:val="none"/>
        </w:rPr>
      </w:pPr>
    </w:p>
    <w:p w14:paraId="46EAE932">
      <w:pPr>
        <w:spacing w:before="78" w:line="220" w:lineRule="auto"/>
        <w:ind w:left="145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甲方（发包人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p>
    <w:p w14:paraId="3B0616C1">
      <w:pPr>
        <w:spacing w:before="181" w:line="220" w:lineRule="auto"/>
        <w:ind w:left="14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 xml:space="preserve">                法定代表人：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2BECC61C">
      <w:pPr>
        <w:spacing w:before="182" w:line="220" w:lineRule="auto"/>
        <w:ind w:left="144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乙方（承包人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p>
    <w:p w14:paraId="15F0B30E">
      <w:pPr>
        <w:spacing w:before="182" w:line="220" w:lineRule="auto"/>
        <w:ind w:left="14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 xml:space="preserve">                法定代表人：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25CED51E">
      <w:pPr>
        <w:spacing w:before="183" w:line="223" w:lineRule="auto"/>
        <w:ind w:left="1428"/>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鉴于：</w:t>
      </w:r>
    </w:p>
    <w:p w14:paraId="689A5F9B">
      <w:pPr>
        <w:spacing w:before="177" w:line="290" w:lineRule="auto"/>
        <w:ind w:left="1427" w:right="1346" w:firstLine="495"/>
        <w:rPr>
          <w:rFonts w:ascii="宋体" w:hAnsi="宋体" w:eastAsia="宋体" w:cs="宋体"/>
          <w:color w:val="auto"/>
          <w:sz w:val="24"/>
          <w:szCs w:val="24"/>
          <w:highlight w:val="none"/>
        </w:rPr>
      </w:pPr>
      <w:r>
        <w:rPr>
          <w:rFonts w:ascii="宋体" w:hAnsi="宋体" w:eastAsia="宋体" w:cs="宋体"/>
          <w:color w:val="auto"/>
          <w:spacing w:val="-23"/>
          <w:sz w:val="24"/>
          <w:szCs w:val="24"/>
          <w:highlight w:val="none"/>
        </w:rPr>
        <w:t>1、</w:t>
      </w:r>
      <w:r>
        <w:rPr>
          <w:rFonts w:ascii="宋体" w:hAnsi="宋体" w:eastAsia="宋体" w:cs="宋体"/>
          <w:color w:val="auto"/>
          <w:spacing w:val="-23"/>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2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3"/>
          <w:sz w:val="24"/>
          <w:szCs w:val="24"/>
          <w:highlight w:val="none"/>
        </w:rPr>
        <w:t>日，甲方与乙方签订了《</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23"/>
          <w:sz w:val="24"/>
          <w:szCs w:val="24"/>
          <w:highlight w:val="none"/>
        </w:rPr>
        <w:t>合同</w:t>
      </w:r>
      <w:r>
        <w:rPr>
          <w:rFonts w:ascii="宋体" w:hAnsi="宋体" w:eastAsia="宋体" w:cs="宋体"/>
          <w:color w:val="auto"/>
          <w:spacing w:val="-24"/>
          <w:sz w:val="24"/>
          <w:szCs w:val="24"/>
          <w:highlight w:val="none"/>
        </w:rPr>
        <w:t>》（下简称“合同”</w:t>
      </w:r>
      <w:r>
        <w:rPr>
          <w:rFonts w:ascii="宋体" w:hAnsi="宋体" w:eastAsia="宋体" w:cs="宋体"/>
          <w:color w:val="auto"/>
          <w:spacing w:val="-39"/>
          <w:w w:val="62"/>
          <w:sz w:val="24"/>
          <w:szCs w:val="24"/>
          <w:highlight w:val="none"/>
        </w:rPr>
        <w:t>），</w:t>
      </w:r>
      <w:r>
        <w:rPr>
          <w:rFonts w:ascii="宋体" w:hAnsi="宋体" w:eastAsia="宋体" w:cs="宋体"/>
          <w:color w:val="auto"/>
          <w:spacing w:val="-24"/>
          <w:sz w:val="24"/>
          <w:szCs w:val="24"/>
          <w:highlight w:val="none"/>
        </w:rPr>
        <w:t>约定</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4"/>
          <w:sz w:val="24"/>
          <w:szCs w:val="24"/>
          <w:highlight w:val="none"/>
        </w:rPr>
        <w:t>（注：</w:t>
      </w:r>
      <w:r>
        <w:rPr>
          <w:rFonts w:ascii="宋体" w:hAnsi="宋体" w:eastAsia="宋体" w:cs="宋体"/>
          <w:color w:val="auto"/>
          <w:spacing w:val="-3"/>
          <w:sz w:val="24"/>
          <w:szCs w:val="24"/>
          <w:highlight w:val="none"/>
        </w:rPr>
        <w:t>填写乙方负责承包的工程内容）。</w:t>
      </w:r>
    </w:p>
    <w:p w14:paraId="13FAFD97">
      <w:pPr>
        <w:spacing w:before="184" w:line="289" w:lineRule="auto"/>
        <w:ind w:left="1424" w:right="1422"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1"/>
          <w:sz w:val="24"/>
          <w:szCs w:val="24"/>
          <w:highlight w:val="none"/>
        </w:rPr>
        <w:t xml:space="preserve"> </w:t>
      </w:r>
      <w:r>
        <w:rPr>
          <w:rFonts w:ascii="宋体" w:hAnsi="宋体" w:eastAsia="宋体" w:cs="宋体"/>
          <w:color w:val="auto"/>
          <w:spacing w:val="-2"/>
          <w:sz w:val="24"/>
          <w:szCs w:val="24"/>
          <w:highlight w:val="none"/>
        </w:rPr>
        <w:t>年</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3"/>
          <w:sz w:val="24"/>
          <w:szCs w:val="24"/>
          <w:highlight w:val="none"/>
        </w:rPr>
        <w:t xml:space="preserve"> </w:t>
      </w:r>
      <w:r>
        <w:rPr>
          <w:rFonts w:ascii="宋体" w:hAnsi="宋体" w:eastAsia="宋体" w:cs="宋体"/>
          <w:color w:val="auto"/>
          <w:spacing w:val="-2"/>
          <w:sz w:val="24"/>
          <w:szCs w:val="24"/>
          <w:highlight w:val="none"/>
        </w:rPr>
        <w:t>月</w:t>
      </w:r>
      <w:r>
        <w:rPr>
          <w:rFonts w:ascii="宋体" w:hAnsi="宋体" w:eastAsia="宋体" w:cs="宋体"/>
          <w:color w:val="auto"/>
          <w:spacing w:val="-118"/>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67"/>
          <w:sz w:val="24"/>
          <w:szCs w:val="24"/>
          <w:highlight w:val="none"/>
        </w:rPr>
        <w:t xml:space="preserve"> </w:t>
      </w:r>
      <w:r>
        <w:rPr>
          <w:rFonts w:ascii="宋体" w:hAnsi="宋体" w:eastAsia="宋体" w:cs="宋体"/>
          <w:color w:val="auto"/>
          <w:spacing w:val="-2"/>
          <w:sz w:val="24"/>
          <w:szCs w:val="24"/>
          <w:highlight w:val="none"/>
        </w:rPr>
        <w:t>日，乙方承包的</w:t>
      </w:r>
      <w:r>
        <w:rPr>
          <w:rFonts w:ascii="宋体" w:hAnsi="宋体" w:eastAsia="宋体" w:cs="宋体"/>
          <w:color w:val="auto"/>
          <w:spacing w:val="-117"/>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2"/>
          <w:sz w:val="24"/>
          <w:szCs w:val="24"/>
          <w:highlight w:val="none"/>
        </w:rPr>
        <w:t>工程已完成交工验收，且乙方已取得上述工</w:t>
      </w:r>
      <w:r>
        <w:rPr>
          <w:rFonts w:ascii="宋体" w:hAnsi="宋体" w:eastAsia="宋体" w:cs="宋体"/>
          <w:color w:val="auto"/>
          <w:spacing w:val="-6"/>
          <w:sz w:val="24"/>
          <w:szCs w:val="24"/>
          <w:highlight w:val="none"/>
        </w:rPr>
        <w:t>程交工证书。</w:t>
      </w:r>
    </w:p>
    <w:p w14:paraId="5A2AC53D">
      <w:pPr>
        <w:spacing w:before="183" w:line="360" w:lineRule="auto"/>
        <w:ind w:left="1427" w:right="1418"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基于上述，甲、乙双方经协商一致，特就乙方承包的</w:t>
      </w:r>
      <w:r>
        <w:rPr>
          <w:rFonts w:ascii="宋体" w:hAnsi="宋体" w:eastAsia="宋体" w:cs="宋体"/>
          <w:color w:val="auto"/>
          <w:spacing w:val="-113"/>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1"/>
          <w:sz w:val="24"/>
          <w:szCs w:val="24"/>
          <w:highlight w:val="none"/>
        </w:rPr>
        <w:t>工程的结算事宜订立本协</w:t>
      </w:r>
      <w:r>
        <w:rPr>
          <w:rFonts w:ascii="宋体" w:hAnsi="宋体" w:eastAsia="宋体" w:cs="宋体"/>
          <w:color w:val="auto"/>
          <w:spacing w:val="-6"/>
          <w:sz w:val="24"/>
          <w:szCs w:val="24"/>
          <w:highlight w:val="none"/>
        </w:rPr>
        <w:t>议，以共同遵守。</w:t>
      </w:r>
    </w:p>
    <w:p w14:paraId="6B25E365">
      <w:pPr>
        <w:spacing w:line="218" w:lineRule="auto"/>
        <w:ind w:left="1909"/>
        <w:rPr>
          <w:rFonts w:ascii="宋体" w:hAnsi="宋体" w:eastAsia="宋体" w:cs="宋体"/>
          <w:color w:val="auto"/>
          <w:sz w:val="24"/>
          <w:szCs w:val="24"/>
          <w:highlight w:val="none"/>
        </w:rPr>
      </w:pPr>
      <w:r>
        <w:rPr>
          <w:rFonts w:ascii="宋体" w:hAnsi="宋体" w:eastAsia="宋体" w:cs="宋体"/>
          <w:color w:val="auto"/>
          <w:spacing w:val="-20"/>
          <w:sz w:val="24"/>
          <w:szCs w:val="24"/>
          <w:highlight w:val="none"/>
        </w:rPr>
        <w:t>一、乙方承包的</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20"/>
          <w:sz w:val="24"/>
          <w:szCs w:val="24"/>
          <w:highlight w:val="none"/>
        </w:rPr>
        <w:t>工程（以下简称“本工程”）结算价暂定为人民</w:t>
      </w:r>
      <w:r>
        <w:rPr>
          <w:rFonts w:ascii="宋体" w:hAnsi="宋体" w:eastAsia="宋体" w:cs="宋体"/>
          <w:color w:val="auto"/>
          <w:spacing w:val="-21"/>
          <w:sz w:val="24"/>
          <w:szCs w:val="24"/>
          <w:highlight w:val="none"/>
        </w:rPr>
        <w:t>币</w:t>
      </w:r>
      <w:r>
        <w:rPr>
          <w:rFonts w:ascii="宋体" w:hAnsi="宋体" w:eastAsia="宋体" w:cs="宋体"/>
          <w:color w:val="auto"/>
          <w:spacing w:val="-2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21"/>
          <w:sz w:val="24"/>
          <w:szCs w:val="24"/>
          <w:highlight w:val="none"/>
        </w:rPr>
        <w:t>元（大写</w:t>
      </w:r>
      <w:r>
        <w:rPr>
          <w:rFonts w:ascii="宋体" w:hAnsi="宋体" w:eastAsia="宋体" w:cs="宋体"/>
          <w:color w:val="auto"/>
          <w:spacing w:val="-60"/>
          <w:w w:val="9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0"/>
          <w:w w:val="95"/>
          <w:sz w:val="24"/>
          <w:szCs w:val="24"/>
          <w:highlight w:val="none"/>
        </w:rPr>
        <w:t>）</w:t>
      </w:r>
      <w:r>
        <w:rPr>
          <w:rFonts w:ascii="宋体" w:hAnsi="宋体" w:eastAsia="宋体" w:cs="宋体"/>
          <w:color w:val="auto"/>
          <w:spacing w:val="-21"/>
          <w:sz w:val="24"/>
          <w:szCs w:val="24"/>
          <w:highlight w:val="none"/>
        </w:rPr>
        <w:t>。</w:t>
      </w:r>
    </w:p>
    <w:p w14:paraId="2FAA28F3">
      <w:pPr>
        <w:spacing w:before="185" w:line="360" w:lineRule="auto"/>
        <w:ind w:left="1429"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若政府审计部门之后进行审计，且作出的审计决定和行业主管部门造价审查结果不</w:t>
      </w:r>
      <w:r>
        <w:rPr>
          <w:rFonts w:ascii="宋体" w:hAnsi="宋体" w:eastAsia="宋体" w:cs="宋体"/>
          <w:color w:val="auto"/>
          <w:spacing w:val="-5"/>
          <w:sz w:val="24"/>
          <w:szCs w:val="24"/>
          <w:highlight w:val="none"/>
        </w:rPr>
        <w:t>一致，双方同意按以下原则处理：</w:t>
      </w:r>
    </w:p>
    <w:p w14:paraId="6E5699D2">
      <w:pPr>
        <w:spacing w:before="2" w:line="359" w:lineRule="auto"/>
        <w:ind w:left="1431" w:right="1416" w:firstLine="47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行业主管部门和审计部门对不同内容进行核减的，综合行业主管部门和审计部门的</w:t>
      </w:r>
      <w:r>
        <w:rPr>
          <w:rFonts w:ascii="宋体" w:hAnsi="宋体" w:eastAsia="宋体" w:cs="宋体"/>
          <w:color w:val="auto"/>
          <w:spacing w:val="-7"/>
          <w:sz w:val="24"/>
          <w:szCs w:val="24"/>
          <w:highlight w:val="none"/>
        </w:rPr>
        <w:t>意见进行调整。</w:t>
      </w:r>
    </w:p>
    <w:p w14:paraId="04FB9757">
      <w:pPr>
        <w:spacing w:before="1" w:line="353" w:lineRule="auto"/>
        <w:ind w:left="1425" w:right="1421"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二、甲、乙双方确认，截至</w:t>
      </w:r>
      <w:r>
        <w:rPr>
          <w:rFonts w:ascii="宋体" w:hAnsi="宋体" w:eastAsia="宋体" w:cs="宋体"/>
          <w:color w:val="auto"/>
          <w:spacing w:val="-102"/>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2"/>
          <w:sz w:val="24"/>
          <w:szCs w:val="24"/>
          <w:highlight w:val="none"/>
        </w:rPr>
        <w:t>年</w:t>
      </w:r>
      <w:r>
        <w:rPr>
          <w:rFonts w:ascii="宋体" w:hAnsi="宋体" w:eastAsia="宋体" w:cs="宋体"/>
          <w:color w:val="auto"/>
          <w:spacing w:val="-117"/>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
          <w:sz w:val="24"/>
          <w:szCs w:val="24"/>
          <w:highlight w:val="none"/>
        </w:rPr>
        <w:t>月</w:t>
      </w:r>
      <w:r>
        <w:rPr>
          <w:rFonts w:ascii="宋体" w:hAnsi="宋体" w:eastAsia="宋体" w:cs="宋体"/>
          <w:color w:val="auto"/>
          <w:spacing w:val="-119"/>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
          <w:sz w:val="24"/>
          <w:szCs w:val="24"/>
          <w:highlight w:val="none"/>
        </w:rPr>
        <w:t>日，甲方就本工程已向乙方支付款项累</w:t>
      </w:r>
      <w:r>
        <w:rPr>
          <w:rFonts w:ascii="宋体" w:hAnsi="宋体" w:eastAsia="宋体" w:cs="宋体"/>
          <w:color w:val="auto"/>
          <w:spacing w:val="-4"/>
          <w:sz w:val="24"/>
          <w:szCs w:val="24"/>
          <w:highlight w:val="none"/>
        </w:rPr>
        <w:t>计人民币</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4"/>
          <w:sz w:val="24"/>
          <w:szCs w:val="24"/>
          <w:highlight w:val="none"/>
        </w:rPr>
        <w:t>元。</w:t>
      </w:r>
    </w:p>
    <w:p w14:paraId="523BDF6B">
      <w:pPr>
        <w:spacing w:before="2" w:line="363" w:lineRule="auto"/>
        <w:ind w:left="1427" w:right="1417" w:firstLine="509"/>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甲方将在本结算书生效后</w:t>
      </w:r>
      <w:r>
        <w:rPr>
          <w:rFonts w:ascii="宋体" w:hAnsi="宋体" w:eastAsia="宋体" w:cs="宋体"/>
          <w:color w:val="auto"/>
          <w:spacing w:val="-20"/>
          <w:sz w:val="24"/>
          <w:szCs w:val="24"/>
          <w:highlight w:val="none"/>
        </w:rPr>
        <w:t xml:space="preserve"> </w:t>
      </w:r>
      <w:r>
        <w:rPr>
          <w:rFonts w:ascii="宋体" w:hAnsi="宋体" w:eastAsia="宋体" w:cs="宋体"/>
          <w:color w:val="auto"/>
          <w:sz w:val="24"/>
          <w:szCs w:val="24"/>
          <w:highlight w:val="none"/>
        </w:rPr>
        <w:t>15 个工作日内向乙方支付至结算金额的</w:t>
      </w:r>
      <w:r>
        <w:rPr>
          <w:rFonts w:ascii="宋体" w:hAnsi="宋体" w:eastAsia="宋体" w:cs="宋体"/>
          <w:color w:val="auto"/>
          <w:spacing w:val="-118"/>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6"/>
          <w:sz w:val="24"/>
          <w:szCs w:val="24"/>
          <w:highlight w:val="none"/>
        </w:rPr>
        <w:t xml:space="preserve"> </w:t>
      </w:r>
      <w:r>
        <w:rPr>
          <w:rFonts w:ascii="宋体" w:hAnsi="宋体" w:eastAsia="宋体" w:cs="宋体"/>
          <w:color w:val="auto"/>
          <w:sz w:val="24"/>
          <w:szCs w:val="24"/>
          <w:highlight w:val="none"/>
        </w:rPr>
        <w:t>%,即人民</w:t>
      </w:r>
      <w:r>
        <w:rPr>
          <w:rFonts w:ascii="宋体" w:hAnsi="宋体" w:eastAsia="宋体" w:cs="宋体"/>
          <w:color w:val="auto"/>
          <w:spacing w:val="1"/>
          <w:sz w:val="24"/>
          <w:szCs w:val="24"/>
          <w:highlight w:val="none"/>
        </w:rPr>
        <w:t>币</w:t>
      </w:r>
      <w:r>
        <w:rPr>
          <w:rFonts w:ascii="宋体" w:hAnsi="宋体" w:eastAsia="宋体" w:cs="宋体"/>
          <w:color w:val="auto"/>
          <w:spacing w:val="-119"/>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1"/>
          <w:sz w:val="24"/>
          <w:szCs w:val="24"/>
          <w:highlight w:val="none"/>
        </w:rPr>
        <w:t>元。项目完成竣工决算审查备案和竣工决算审计，且发包人和承包</w:t>
      </w:r>
      <w:r>
        <w:rPr>
          <w:rFonts w:ascii="宋体" w:hAnsi="宋体" w:eastAsia="宋体" w:cs="宋体"/>
          <w:color w:val="auto"/>
          <w:sz w:val="24"/>
          <w:szCs w:val="24"/>
          <w:highlight w:val="none"/>
        </w:rPr>
        <w:t>人最终确定结</w:t>
      </w:r>
      <w:r>
        <w:rPr>
          <w:rFonts w:ascii="宋体" w:hAnsi="宋体" w:eastAsia="宋体" w:cs="宋体"/>
          <w:color w:val="auto"/>
          <w:spacing w:val="-2"/>
          <w:sz w:val="24"/>
          <w:szCs w:val="24"/>
          <w:highlight w:val="none"/>
        </w:rPr>
        <w:t>算金额后</w:t>
      </w:r>
      <w:r>
        <w:rPr>
          <w:rFonts w:ascii="宋体" w:hAnsi="宋体" w:eastAsia="宋体" w:cs="宋体"/>
          <w:color w:val="auto"/>
          <w:spacing w:val="-39"/>
          <w:sz w:val="24"/>
          <w:szCs w:val="24"/>
          <w:highlight w:val="none"/>
        </w:rPr>
        <w:t xml:space="preserve"> </w:t>
      </w:r>
      <w:r>
        <w:rPr>
          <w:rFonts w:ascii="宋体" w:hAnsi="宋体" w:eastAsia="宋体" w:cs="宋体"/>
          <w:color w:val="auto"/>
          <w:spacing w:val="-2"/>
          <w:sz w:val="24"/>
          <w:szCs w:val="24"/>
          <w:highlight w:val="none"/>
        </w:rPr>
        <w:t>30</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天内，发包人退还剩余质量保证金的</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80%给承包人。通过竣工验收后</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30</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天内，发包人将质量保证金的余额一次性退还给承包人。</w:t>
      </w:r>
    </w:p>
    <w:p w14:paraId="7177464E">
      <w:pPr>
        <w:spacing w:before="1" w:line="219" w:lineRule="auto"/>
        <w:ind w:left="190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三、甲方向乙方退还全部质量保证金需同时满足以下条件：</w:t>
      </w:r>
    </w:p>
    <w:p w14:paraId="2B0C3C96">
      <w:pPr>
        <w:spacing w:before="183" w:line="362" w:lineRule="auto"/>
        <w:ind w:left="1429" w:right="1416" w:firstLine="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1、乙方承包的</w:t>
      </w:r>
      <w:r>
        <w:rPr>
          <w:rFonts w:ascii="宋体" w:hAnsi="宋体" w:eastAsia="宋体" w:cs="宋体"/>
          <w:color w:val="auto"/>
          <w:spacing w:val="-104"/>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3"/>
          <w:sz w:val="24"/>
          <w:szCs w:val="24"/>
          <w:highlight w:val="none"/>
        </w:rPr>
        <w:t>工程的缺陷责任期已届满，并由监理人出具了该工程缺陷责任期</w:t>
      </w:r>
      <w:r>
        <w:rPr>
          <w:rFonts w:ascii="宋体" w:hAnsi="宋体" w:eastAsia="宋体" w:cs="宋体"/>
          <w:color w:val="auto"/>
          <w:spacing w:val="-10"/>
          <w:sz w:val="24"/>
          <w:szCs w:val="24"/>
          <w:highlight w:val="none"/>
        </w:rPr>
        <w:t>届满的证明；</w:t>
      </w:r>
    </w:p>
    <w:p w14:paraId="44306ECF">
      <w:pPr>
        <w:pStyle w:val="3"/>
        <w:spacing w:line="279" w:lineRule="auto"/>
        <w:rPr>
          <w:color w:val="auto"/>
          <w:highlight w:val="none"/>
        </w:rPr>
      </w:pPr>
    </w:p>
    <w:p w14:paraId="66E30C7E">
      <w:pPr>
        <w:spacing w:line="217" w:lineRule="auto"/>
        <w:rPr>
          <w:rFonts w:ascii="宋体" w:hAnsi="宋体" w:eastAsia="宋体" w:cs="宋体"/>
          <w:color w:val="auto"/>
          <w:sz w:val="18"/>
          <w:szCs w:val="18"/>
          <w:highlight w:val="none"/>
        </w:rPr>
        <w:sectPr>
          <w:headerReference r:id="rId122" w:type="default"/>
          <w:footerReference r:id="rId123" w:type="default"/>
          <w:pgSz w:w="11905" w:h="16840"/>
          <w:pgMar w:top="1182" w:right="0" w:bottom="1171" w:left="0" w:header="849" w:footer="937" w:gutter="0"/>
          <w:pgNumType w:fmt="decimal"/>
          <w:cols w:space="720" w:num="1"/>
        </w:sectPr>
      </w:pPr>
    </w:p>
    <w:p w14:paraId="5BCBB8D8">
      <w:pPr>
        <w:pStyle w:val="3"/>
        <w:spacing w:line="267" w:lineRule="auto"/>
        <w:rPr>
          <w:color w:val="auto"/>
          <w:highlight w:val="none"/>
        </w:rPr>
      </w:pPr>
    </w:p>
    <w:p w14:paraId="071050EF">
      <w:pPr>
        <w:spacing w:before="78" w:line="220" w:lineRule="auto"/>
        <w:ind w:left="19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2、在缺陷责任期内按合同约定进行了缺陷工程</w:t>
      </w:r>
      <w:r>
        <w:rPr>
          <w:rFonts w:ascii="宋体" w:hAnsi="宋体" w:eastAsia="宋体" w:cs="宋体"/>
          <w:color w:val="auto"/>
          <w:spacing w:val="-2"/>
          <w:sz w:val="24"/>
          <w:szCs w:val="24"/>
          <w:highlight w:val="none"/>
        </w:rPr>
        <w:t>的修复且项目完成竣工验收。</w:t>
      </w:r>
    </w:p>
    <w:p w14:paraId="366517B3">
      <w:pPr>
        <w:spacing w:before="182" w:line="360" w:lineRule="auto"/>
        <w:ind w:left="1427" w:right="1416"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如甲方已付款项少于本协议第一条的核准的金额，则甲方应在乙方满足了质量保证金退还的全部条件后</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7"/>
          <w:sz w:val="24"/>
          <w:szCs w:val="24"/>
          <w:highlight w:val="none"/>
        </w:rPr>
        <w:t xml:space="preserve"> </w:t>
      </w:r>
      <w:r>
        <w:rPr>
          <w:rFonts w:ascii="宋体" w:hAnsi="宋体" w:eastAsia="宋体" w:cs="宋体"/>
          <w:color w:val="auto"/>
          <w:spacing w:val="-2"/>
          <w:sz w:val="24"/>
          <w:szCs w:val="24"/>
          <w:highlight w:val="none"/>
        </w:rPr>
        <w:t>天内将少付工程款（含质量保证金）支付予乙方。</w:t>
      </w:r>
    </w:p>
    <w:p w14:paraId="5FEAE957">
      <w:pPr>
        <w:spacing w:before="3" w:line="359" w:lineRule="auto"/>
        <w:ind w:left="1425" w:right="1416"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如甲方已付款项超过本协议第一条的核准的金额，则乙方应在收到甲方发出的还款</w:t>
      </w:r>
      <w:r>
        <w:rPr>
          <w:rFonts w:ascii="宋体" w:hAnsi="宋体" w:eastAsia="宋体" w:cs="宋体"/>
          <w:color w:val="auto"/>
          <w:spacing w:val="1"/>
          <w:sz w:val="24"/>
          <w:szCs w:val="24"/>
          <w:highlight w:val="none"/>
        </w:rPr>
        <w:t>通知后</w:t>
      </w:r>
      <w:r>
        <w:rPr>
          <w:rFonts w:ascii="宋体" w:hAnsi="宋体" w:eastAsia="宋体" w:cs="宋体"/>
          <w:color w:val="auto"/>
          <w:spacing w:val="-119"/>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
          <w:sz w:val="24"/>
          <w:szCs w:val="24"/>
          <w:highlight w:val="none"/>
        </w:rPr>
        <w:t>天内将超出核准金额的工程款返还给甲方，且甲方无需将质量保</w:t>
      </w:r>
      <w:r>
        <w:rPr>
          <w:rFonts w:ascii="宋体" w:hAnsi="宋体" w:eastAsia="宋体" w:cs="宋体"/>
          <w:color w:val="auto"/>
          <w:sz w:val="24"/>
          <w:szCs w:val="24"/>
          <w:highlight w:val="none"/>
        </w:rPr>
        <w:t>证金退还给</w:t>
      </w:r>
      <w:r>
        <w:rPr>
          <w:rFonts w:ascii="宋体" w:hAnsi="宋体" w:eastAsia="宋体" w:cs="宋体"/>
          <w:color w:val="auto"/>
          <w:spacing w:val="-10"/>
          <w:sz w:val="24"/>
          <w:szCs w:val="24"/>
          <w:highlight w:val="none"/>
        </w:rPr>
        <w:t>乙方。</w:t>
      </w:r>
    </w:p>
    <w:p w14:paraId="2C7FF4D1">
      <w:pPr>
        <w:spacing w:before="2" w:line="289" w:lineRule="auto"/>
        <w:ind w:left="1426" w:right="1416" w:firstLine="50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四、如甲方或乙方未按本协议约定履行付款义务，则每延迟一天，违约方需向对方</w:t>
      </w:r>
      <w:r>
        <w:rPr>
          <w:rFonts w:ascii="宋体" w:hAnsi="宋体" w:eastAsia="宋体" w:cs="宋体"/>
          <w:color w:val="auto"/>
          <w:spacing w:val="-3"/>
          <w:sz w:val="24"/>
          <w:szCs w:val="24"/>
          <w:highlight w:val="none"/>
        </w:rPr>
        <w:t>支付相当于未付款项的</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1"/>
          <w:sz w:val="24"/>
          <w:szCs w:val="24"/>
          <w:highlight w:val="none"/>
        </w:rPr>
        <w:t xml:space="preserve"> </w:t>
      </w:r>
      <w:r>
        <w:rPr>
          <w:rFonts w:ascii="宋体" w:hAnsi="宋体" w:eastAsia="宋体" w:cs="宋体"/>
          <w:color w:val="auto"/>
          <w:spacing w:val="-3"/>
          <w:sz w:val="24"/>
          <w:szCs w:val="24"/>
          <w:highlight w:val="none"/>
        </w:rPr>
        <w:t>%作为违约金。</w:t>
      </w:r>
    </w:p>
    <w:p w14:paraId="39662AD4">
      <w:pPr>
        <w:spacing w:before="182" w:line="219" w:lineRule="auto"/>
        <w:ind w:left="19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五、本协议条款与合同如有冲突，以本协议</w:t>
      </w:r>
      <w:r>
        <w:rPr>
          <w:rFonts w:ascii="宋体" w:hAnsi="宋体" w:eastAsia="宋体" w:cs="宋体"/>
          <w:color w:val="auto"/>
          <w:spacing w:val="-3"/>
          <w:sz w:val="24"/>
          <w:szCs w:val="24"/>
          <w:highlight w:val="none"/>
        </w:rPr>
        <w:t>为准。</w:t>
      </w:r>
    </w:p>
    <w:p w14:paraId="0C67891B">
      <w:pPr>
        <w:spacing w:before="183" w:line="219" w:lineRule="auto"/>
        <w:ind w:left="190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六、本协议经双方法定代表人（负责人）或授权代</w:t>
      </w:r>
      <w:r>
        <w:rPr>
          <w:rFonts w:ascii="宋体" w:hAnsi="宋体" w:eastAsia="宋体" w:cs="宋体"/>
          <w:color w:val="auto"/>
          <w:spacing w:val="-2"/>
          <w:sz w:val="24"/>
          <w:szCs w:val="24"/>
          <w:highlight w:val="none"/>
        </w:rPr>
        <w:t>表签字并加盖公章后生效。</w:t>
      </w:r>
    </w:p>
    <w:p w14:paraId="7DE2DE2C">
      <w:pPr>
        <w:spacing w:before="183" w:line="219"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七、本协议一式</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2"/>
          <w:sz w:val="24"/>
          <w:szCs w:val="24"/>
          <w:highlight w:val="none"/>
        </w:rPr>
        <w:t>份，甲、乙双方各执</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份。</w:t>
      </w:r>
    </w:p>
    <w:p w14:paraId="14C01579">
      <w:pPr>
        <w:pStyle w:val="3"/>
        <w:spacing w:line="284" w:lineRule="auto"/>
        <w:rPr>
          <w:color w:val="auto"/>
          <w:highlight w:val="none"/>
        </w:rPr>
      </w:pPr>
    </w:p>
    <w:p w14:paraId="04AA4D8C">
      <w:pPr>
        <w:pStyle w:val="3"/>
        <w:spacing w:line="285" w:lineRule="auto"/>
        <w:rPr>
          <w:color w:val="auto"/>
          <w:highlight w:val="none"/>
        </w:rPr>
      </w:pPr>
    </w:p>
    <w:p w14:paraId="6A75B22F">
      <w:pPr>
        <w:spacing w:before="79" w:line="219" w:lineRule="auto"/>
        <w:ind w:left="1456"/>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甲 方</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r>
        <w:rPr>
          <w:rFonts w:ascii="宋体" w:hAnsi="宋体" w:eastAsia="宋体" w:cs="宋体"/>
          <w:color w:val="auto"/>
          <w:spacing w:val="-9"/>
          <w:sz w:val="24"/>
          <w:szCs w:val="24"/>
          <w:highlight w:val="none"/>
        </w:rPr>
        <w:t>盖章）</w:t>
      </w:r>
      <w:r>
        <w:rPr>
          <w:rFonts w:ascii="宋体" w:hAnsi="宋体" w:eastAsia="宋体" w:cs="宋体"/>
          <w:color w:val="auto"/>
          <w:spacing w:val="7"/>
          <w:sz w:val="24"/>
          <w:szCs w:val="24"/>
          <w:highlight w:val="none"/>
        </w:rPr>
        <w:t xml:space="preserve">     </w:t>
      </w:r>
      <w:r>
        <w:rPr>
          <w:rFonts w:ascii="宋体" w:hAnsi="宋体" w:eastAsia="宋体" w:cs="宋体"/>
          <w:color w:val="auto"/>
          <w:spacing w:val="-9"/>
          <w:sz w:val="24"/>
          <w:szCs w:val="24"/>
          <w:highlight w:val="none"/>
        </w:rPr>
        <w:t>乙</w:t>
      </w:r>
      <w:r>
        <w:rPr>
          <w:rFonts w:ascii="宋体" w:hAnsi="宋体" w:eastAsia="宋体" w:cs="宋体"/>
          <w:color w:val="auto"/>
          <w:spacing w:val="10"/>
          <w:sz w:val="24"/>
          <w:szCs w:val="24"/>
          <w:highlight w:val="none"/>
        </w:rPr>
        <w:t xml:space="preserve"> </w:t>
      </w:r>
      <w:r>
        <w:rPr>
          <w:rFonts w:ascii="宋体" w:hAnsi="宋体" w:eastAsia="宋体" w:cs="宋体"/>
          <w:color w:val="auto"/>
          <w:spacing w:val="-9"/>
          <w:sz w:val="24"/>
          <w:szCs w:val="24"/>
          <w:highlight w:val="none"/>
        </w:rPr>
        <w:t>方</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r>
        <w:rPr>
          <w:rFonts w:ascii="宋体" w:hAnsi="宋体" w:eastAsia="宋体" w:cs="宋体"/>
          <w:color w:val="auto"/>
          <w:spacing w:val="-9"/>
          <w:sz w:val="24"/>
          <w:szCs w:val="24"/>
          <w:highlight w:val="none"/>
        </w:rPr>
        <w:t>盖章）</w:t>
      </w:r>
    </w:p>
    <w:p w14:paraId="5F8EA89D">
      <w:pPr>
        <w:spacing w:before="183" w:line="220" w:lineRule="auto"/>
        <w:ind w:left="14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签署代表：</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 xml:space="preserve">         签署代表：</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69082E4E">
      <w:pPr>
        <w:spacing w:before="183" w:line="220" w:lineRule="auto"/>
        <w:ind w:left="14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签署日期：</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 xml:space="preserve">         签署日期：</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20479610">
      <w:pPr>
        <w:spacing w:line="220" w:lineRule="auto"/>
        <w:rPr>
          <w:rFonts w:ascii="宋体" w:hAnsi="宋体" w:eastAsia="宋体" w:cs="宋体"/>
          <w:color w:val="auto"/>
          <w:sz w:val="24"/>
          <w:szCs w:val="24"/>
          <w:highlight w:val="none"/>
        </w:rPr>
        <w:sectPr>
          <w:headerReference r:id="rId124" w:type="default"/>
          <w:footerReference r:id="rId125" w:type="default"/>
          <w:pgSz w:w="11905" w:h="16840"/>
          <w:pgMar w:top="1182" w:right="0" w:bottom="1171" w:left="0" w:header="849" w:footer="937" w:gutter="0"/>
          <w:pgNumType w:fmt="decimal"/>
          <w:cols w:space="720" w:num="1"/>
        </w:sectPr>
      </w:pPr>
    </w:p>
    <w:p w14:paraId="452ABBB8">
      <w:pPr>
        <w:pStyle w:val="3"/>
        <w:rPr>
          <w:color w:val="auto"/>
          <w:highlight w:val="none"/>
        </w:rPr>
      </w:pPr>
    </w:p>
    <w:p w14:paraId="1C577E5E">
      <w:pPr>
        <w:pStyle w:val="3"/>
        <w:rPr>
          <w:color w:val="auto"/>
          <w:highlight w:val="none"/>
        </w:rPr>
      </w:pPr>
    </w:p>
    <w:p w14:paraId="3EA8CDFF">
      <w:pPr>
        <w:pStyle w:val="3"/>
        <w:rPr>
          <w:color w:val="auto"/>
          <w:highlight w:val="none"/>
        </w:rPr>
      </w:pPr>
    </w:p>
    <w:p w14:paraId="16705272">
      <w:pPr>
        <w:pStyle w:val="3"/>
        <w:rPr>
          <w:color w:val="auto"/>
          <w:highlight w:val="none"/>
        </w:rPr>
      </w:pPr>
    </w:p>
    <w:p w14:paraId="0B4E4D23">
      <w:pPr>
        <w:pStyle w:val="3"/>
        <w:rPr>
          <w:color w:val="auto"/>
          <w:highlight w:val="none"/>
        </w:rPr>
      </w:pPr>
    </w:p>
    <w:p w14:paraId="5D3767A8">
      <w:pPr>
        <w:pStyle w:val="3"/>
        <w:rPr>
          <w:color w:val="auto"/>
          <w:highlight w:val="none"/>
        </w:rPr>
      </w:pPr>
    </w:p>
    <w:p w14:paraId="78C62C50">
      <w:pPr>
        <w:pStyle w:val="3"/>
        <w:rPr>
          <w:color w:val="auto"/>
          <w:highlight w:val="none"/>
        </w:rPr>
      </w:pPr>
    </w:p>
    <w:p w14:paraId="7C1BADE9">
      <w:pPr>
        <w:pStyle w:val="3"/>
        <w:rPr>
          <w:color w:val="auto"/>
          <w:highlight w:val="none"/>
        </w:rPr>
      </w:pPr>
    </w:p>
    <w:p w14:paraId="2AEF52EC">
      <w:pPr>
        <w:pStyle w:val="3"/>
        <w:rPr>
          <w:color w:val="auto"/>
          <w:highlight w:val="none"/>
        </w:rPr>
      </w:pPr>
    </w:p>
    <w:p w14:paraId="4266D494">
      <w:pPr>
        <w:pStyle w:val="3"/>
        <w:rPr>
          <w:color w:val="auto"/>
          <w:highlight w:val="none"/>
        </w:rPr>
      </w:pPr>
    </w:p>
    <w:p w14:paraId="6FD344C1">
      <w:pPr>
        <w:pStyle w:val="3"/>
        <w:rPr>
          <w:color w:val="auto"/>
          <w:highlight w:val="none"/>
        </w:rPr>
      </w:pPr>
    </w:p>
    <w:p w14:paraId="6FA1C389">
      <w:pPr>
        <w:pStyle w:val="3"/>
        <w:rPr>
          <w:color w:val="auto"/>
          <w:highlight w:val="none"/>
        </w:rPr>
      </w:pPr>
    </w:p>
    <w:p w14:paraId="13900CFF">
      <w:pPr>
        <w:pStyle w:val="3"/>
        <w:rPr>
          <w:color w:val="auto"/>
          <w:highlight w:val="none"/>
        </w:rPr>
      </w:pPr>
    </w:p>
    <w:p w14:paraId="34A53E95">
      <w:pPr>
        <w:pStyle w:val="3"/>
        <w:rPr>
          <w:color w:val="auto"/>
          <w:highlight w:val="none"/>
        </w:rPr>
      </w:pPr>
    </w:p>
    <w:p w14:paraId="320AF3AB">
      <w:pPr>
        <w:pStyle w:val="3"/>
        <w:rPr>
          <w:color w:val="auto"/>
          <w:highlight w:val="none"/>
        </w:rPr>
      </w:pPr>
    </w:p>
    <w:p w14:paraId="4DDE821B">
      <w:pPr>
        <w:pStyle w:val="3"/>
        <w:rPr>
          <w:color w:val="auto"/>
          <w:highlight w:val="none"/>
        </w:rPr>
      </w:pPr>
    </w:p>
    <w:p w14:paraId="3344AD32">
      <w:pPr>
        <w:pStyle w:val="3"/>
        <w:rPr>
          <w:color w:val="auto"/>
          <w:highlight w:val="none"/>
        </w:rPr>
      </w:pPr>
    </w:p>
    <w:p w14:paraId="44F7C34B">
      <w:pPr>
        <w:pStyle w:val="3"/>
        <w:rPr>
          <w:color w:val="auto"/>
          <w:highlight w:val="none"/>
        </w:rPr>
      </w:pPr>
    </w:p>
    <w:p w14:paraId="080AA9F5">
      <w:pPr>
        <w:pStyle w:val="3"/>
        <w:spacing w:line="241" w:lineRule="auto"/>
        <w:rPr>
          <w:color w:val="auto"/>
          <w:highlight w:val="none"/>
        </w:rPr>
      </w:pPr>
    </w:p>
    <w:p w14:paraId="67E323BE">
      <w:pPr>
        <w:pStyle w:val="3"/>
        <w:spacing w:line="241" w:lineRule="auto"/>
        <w:rPr>
          <w:color w:val="auto"/>
          <w:highlight w:val="none"/>
        </w:rPr>
      </w:pPr>
    </w:p>
    <w:p w14:paraId="0106A428">
      <w:pPr>
        <w:pStyle w:val="3"/>
        <w:spacing w:line="241" w:lineRule="auto"/>
        <w:rPr>
          <w:color w:val="auto"/>
          <w:highlight w:val="none"/>
        </w:rPr>
      </w:pPr>
    </w:p>
    <w:p w14:paraId="05CFFE52">
      <w:pPr>
        <w:pStyle w:val="3"/>
        <w:spacing w:line="241" w:lineRule="auto"/>
        <w:rPr>
          <w:color w:val="auto"/>
          <w:highlight w:val="none"/>
        </w:rPr>
      </w:pPr>
    </w:p>
    <w:p w14:paraId="4FC9612D">
      <w:pPr>
        <w:pStyle w:val="3"/>
        <w:spacing w:line="241" w:lineRule="auto"/>
        <w:rPr>
          <w:color w:val="auto"/>
          <w:highlight w:val="none"/>
        </w:rPr>
      </w:pPr>
    </w:p>
    <w:p w14:paraId="4E40F3BA">
      <w:pPr>
        <w:pStyle w:val="3"/>
        <w:spacing w:line="241" w:lineRule="auto"/>
        <w:rPr>
          <w:color w:val="auto"/>
          <w:highlight w:val="none"/>
        </w:rPr>
      </w:pPr>
    </w:p>
    <w:p w14:paraId="7CFD611C">
      <w:pPr>
        <w:spacing w:before="140" w:line="223" w:lineRule="auto"/>
        <w:ind w:left="4094"/>
        <w:outlineLvl w:val="0"/>
        <w:rPr>
          <w:rFonts w:ascii="宋体" w:hAnsi="宋体" w:eastAsia="宋体" w:cs="宋体"/>
          <w:color w:val="auto"/>
          <w:sz w:val="43"/>
          <w:szCs w:val="43"/>
          <w:highlight w:val="none"/>
        </w:rPr>
      </w:pPr>
      <w:bookmarkStart w:id="26" w:name="bookmark29"/>
      <w:bookmarkEnd w:id="26"/>
      <w:bookmarkStart w:id="27" w:name="_Toc24031"/>
      <w:r>
        <w:rPr>
          <w:rFonts w:ascii="宋体" w:hAnsi="宋体" w:eastAsia="宋体" w:cs="宋体"/>
          <w:b/>
          <w:bCs/>
          <w:color w:val="auto"/>
          <w:spacing w:val="5"/>
          <w:sz w:val="43"/>
          <w:szCs w:val="43"/>
          <w:highlight w:val="none"/>
        </w:rPr>
        <w:t>第五章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工程量清单</w:t>
      </w:r>
      <w:bookmarkEnd w:id="27"/>
    </w:p>
    <w:p w14:paraId="6D7E779D">
      <w:pPr>
        <w:spacing w:line="223" w:lineRule="auto"/>
        <w:rPr>
          <w:rFonts w:ascii="宋体" w:hAnsi="宋体" w:eastAsia="宋体" w:cs="宋体"/>
          <w:color w:val="auto"/>
          <w:sz w:val="43"/>
          <w:szCs w:val="43"/>
          <w:highlight w:val="none"/>
        </w:rPr>
        <w:sectPr>
          <w:headerReference r:id="rId126" w:type="default"/>
          <w:footerReference r:id="rId127" w:type="default"/>
          <w:pgSz w:w="11905" w:h="16840"/>
          <w:pgMar w:top="1182" w:right="0" w:bottom="1171" w:left="0" w:header="849" w:footer="937" w:gutter="0"/>
          <w:pgNumType w:fmt="decimal"/>
          <w:cols w:space="720" w:num="1"/>
        </w:sectPr>
      </w:pPr>
    </w:p>
    <w:p w14:paraId="27B57DC0">
      <w:pPr>
        <w:pStyle w:val="3"/>
        <w:spacing w:line="284" w:lineRule="auto"/>
        <w:rPr>
          <w:color w:val="auto"/>
          <w:highlight w:val="none"/>
        </w:rPr>
      </w:pPr>
    </w:p>
    <w:p w14:paraId="511E7A47">
      <w:pPr>
        <w:spacing w:before="100" w:line="225" w:lineRule="auto"/>
        <w:ind w:left="4600"/>
        <w:outlineLvl w:val="1"/>
        <w:rPr>
          <w:rFonts w:ascii="宋体" w:hAnsi="宋体" w:eastAsia="宋体" w:cs="宋体"/>
          <w:color w:val="auto"/>
          <w:sz w:val="31"/>
          <w:szCs w:val="31"/>
          <w:highlight w:val="none"/>
        </w:rPr>
      </w:pPr>
      <w:bookmarkStart w:id="28" w:name="bookmark30"/>
      <w:bookmarkEnd w:id="28"/>
      <w:bookmarkStart w:id="29" w:name="bookmark12"/>
      <w:bookmarkEnd w:id="29"/>
      <w:bookmarkStart w:id="30" w:name="_Toc6913"/>
      <w:r>
        <w:rPr>
          <w:rFonts w:ascii="宋体" w:hAnsi="宋体" w:eastAsia="宋体" w:cs="宋体"/>
          <w:b/>
          <w:bCs/>
          <w:color w:val="auto"/>
          <w:spacing w:val="6"/>
          <w:sz w:val="31"/>
          <w:szCs w:val="31"/>
          <w:highlight w:val="none"/>
        </w:rPr>
        <w:t>第五章</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工程量清单</w:t>
      </w:r>
      <w:bookmarkEnd w:id="30"/>
    </w:p>
    <w:p w14:paraId="5E91AA43">
      <w:pPr>
        <w:pStyle w:val="3"/>
        <w:spacing w:line="254" w:lineRule="auto"/>
        <w:rPr>
          <w:color w:val="auto"/>
          <w:highlight w:val="none"/>
        </w:rPr>
      </w:pPr>
    </w:p>
    <w:p w14:paraId="009816BF">
      <w:pPr>
        <w:pStyle w:val="3"/>
        <w:spacing w:line="254" w:lineRule="auto"/>
        <w:rPr>
          <w:color w:val="auto"/>
          <w:highlight w:val="none"/>
        </w:rPr>
      </w:pPr>
    </w:p>
    <w:p w14:paraId="47BEAFF9">
      <w:pPr>
        <w:pStyle w:val="3"/>
        <w:spacing w:line="255" w:lineRule="auto"/>
        <w:rPr>
          <w:color w:val="auto"/>
          <w:highlight w:val="none"/>
        </w:rPr>
      </w:pPr>
    </w:p>
    <w:p w14:paraId="15C7A105">
      <w:pPr>
        <w:pStyle w:val="3"/>
        <w:spacing w:line="255" w:lineRule="auto"/>
        <w:rPr>
          <w:color w:val="auto"/>
          <w:highlight w:val="none"/>
        </w:rPr>
      </w:pPr>
    </w:p>
    <w:p w14:paraId="65249EE8">
      <w:pPr>
        <w:pStyle w:val="3"/>
        <w:spacing w:line="255" w:lineRule="auto"/>
        <w:rPr>
          <w:color w:val="auto"/>
          <w:highlight w:val="none"/>
        </w:rPr>
      </w:pPr>
    </w:p>
    <w:p w14:paraId="4746FD9C">
      <w:pPr>
        <w:pStyle w:val="3"/>
        <w:spacing w:line="255" w:lineRule="auto"/>
        <w:rPr>
          <w:color w:val="auto"/>
          <w:highlight w:val="none"/>
        </w:rPr>
      </w:pPr>
    </w:p>
    <w:p w14:paraId="35E5416C">
      <w:pPr>
        <w:pStyle w:val="3"/>
        <w:spacing w:line="255" w:lineRule="auto"/>
        <w:rPr>
          <w:color w:val="auto"/>
          <w:highlight w:val="none"/>
        </w:rPr>
      </w:pPr>
    </w:p>
    <w:p w14:paraId="580A99A6">
      <w:pPr>
        <w:pStyle w:val="3"/>
        <w:spacing w:line="255" w:lineRule="auto"/>
        <w:rPr>
          <w:color w:val="auto"/>
          <w:highlight w:val="none"/>
        </w:rPr>
      </w:pPr>
    </w:p>
    <w:p w14:paraId="781E9AD3">
      <w:pPr>
        <w:spacing w:before="88" w:line="427" w:lineRule="auto"/>
        <w:ind w:left="1436" w:right="1425" w:firstLine="553"/>
        <w:rPr>
          <w:rFonts w:ascii="宋体" w:hAnsi="宋体" w:eastAsia="宋体" w:cs="宋体"/>
          <w:color w:val="auto"/>
          <w:sz w:val="27"/>
          <w:szCs w:val="27"/>
          <w:highlight w:val="none"/>
        </w:rPr>
      </w:pPr>
      <w:r>
        <w:rPr>
          <w:rFonts w:ascii="宋体" w:hAnsi="宋体" w:eastAsia="宋体" w:cs="宋体"/>
          <w:b/>
          <w:bCs/>
          <w:color w:val="auto"/>
          <w:spacing w:val="10"/>
          <w:sz w:val="27"/>
          <w:szCs w:val="27"/>
          <w:highlight w:val="none"/>
        </w:rPr>
        <w:t>工程量清单具体应执行《广东省公路工程造价标准化管理指南》、广</w:t>
      </w:r>
      <w:r>
        <w:rPr>
          <w:rFonts w:ascii="宋体" w:hAnsi="宋体" w:eastAsia="宋体" w:cs="宋体"/>
          <w:b/>
          <w:bCs/>
          <w:color w:val="auto"/>
          <w:spacing w:val="5"/>
          <w:sz w:val="27"/>
          <w:szCs w:val="27"/>
          <w:highlight w:val="none"/>
        </w:rPr>
        <w:t>东省《公路工程造价管理指南》及现行的相关补充规定。</w:t>
      </w:r>
    </w:p>
    <w:p w14:paraId="1B23DC8C">
      <w:pPr>
        <w:spacing w:line="427" w:lineRule="auto"/>
        <w:rPr>
          <w:rFonts w:ascii="宋体" w:hAnsi="宋体" w:eastAsia="宋体" w:cs="宋体"/>
          <w:color w:val="auto"/>
          <w:sz w:val="27"/>
          <w:szCs w:val="27"/>
          <w:highlight w:val="none"/>
        </w:rPr>
        <w:sectPr>
          <w:headerReference r:id="rId128" w:type="default"/>
          <w:footerReference r:id="rId129" w:type="default"/>
          <w:pgSz w:w="11905" w:h="16840"/>
          <w:pgMar w:top="1182" w:right="0" w:bottom="1171" w:left="0" w:header="849" w:footer="937" w:gutter="0"/>
          <w:pgNumType w:fmt="decimal"/>
          <w:cols w:space="720" w:num="1"/>
        </w:sectPr>
      </w:pPr>
    </w:p>
    <w:p w14:paraId="60739899">
      <w:pPr>
        <w:pStyle w:val="3"/>
        <w:spacing w:line="252" w:lineRule="auto"/>
        <w:rPr>
          <w:color w:val="auto"/>
          <w:highlight w:val="none"/>
        </w:rPr>
      </w:pPr>
    </w:p>
    <w:p w14:paraId="6BED4299">
      <w:pPr>
        <w:pStyle w:val="3"/>
        <w:spacing w:line="252" w:lineRule="auto"/>
        <w:rPr>
          <w:color w:val="auto"/>
          <w:highlight w:val="none"/>
        </w:rPr>
      </w:pPr>
    </w:p>
    <w:p w14:paraId="2121CF28">
      <w:pPr>
        <w:pStyle w:val="3"/>
        <w:spacing w:line="252" w:lineRule="auto"/>
        <w:rPr>
          <w:color w:val="auto"/>
          <w:highlight w:val="none"/>
        </w:rPr>
      </w:pPr>
    </w:p>
    <w:p w14:paraId="2FC64DBF">
      <w:pPr>
        <w:pStyle w:val="3"/>
        <w:spacing w:line="252" w:lineRule="auto"/>
        <w:rPr>
          <w:color w:val="auto"/>
          <w:highlight w:val="none"/>
        </w:rPr>
      </w:pPr>
    </w:p>
    <w:p w14:paraId="1833A444">
      <w:pPr>
        <w:pStyle w:val="3"/>
        <w:spacing w:line="252" w:lineRule="auto"/>
        <w:rPr>
          <w:color w:val="auto"/>
          <w:highlight w:val="none"/>
        </w:rPr>
      </w:pPr>
    </w:p>
    <w:p w14:paraId="3159F943">
      <w:pPr>
        <w:pStyle w:val="3"/>
        <w:spacing w:line="252" w:lineRule="auto"/>
        <w:rPr>
          <w:color w:val="auto"/>
          <w:highlight w:val="none"/>
        </w:rPr>
      </w:pPr>
    </w:p>
    <w:p w14:paraId="20BBF563">
      <w:pPr>
        <w:pStyle w:val="3"/>
        <w:spacing w:line="252" w:lineRule="auto"/>
        <w:rPr>
          <w:color w:val="auto"/>
          <w:highlight w:val="none"/>
        </w:rPr>
      </w:pPr>
    </w:p>
    <w:p w14:paraId="2A3151E0">
      <w:pPr>
        <w:pStyle w:val="3"/>
        <w:spacing w:line="252" w:lineRule="auto"/>
        <w:rPr>
          <w:color w:val="auto"/>
          <w:highlight w:val="none"/>
        </w:rPr>
      </w:pPr>
    </w:p>
    <w:p w14:paraId="3098F7FF">
      <w:pPr>
        <w:pStyle w:val="3"/>
        <w:spacing w:line="252" w:lineRule="auto"/>
        <w:rPr>
          <w:color w:val="auto"/>
          <w:highlight w:val="none"/>
        </w:rPr>
      </w:pPr>
    </w:p>
    <w:p w14:paraId="53F2A7B2">
      <w:pPr>
        <w:pStyle w:val="3"/>
        <w:spacing w:line="253" w:lineRule="auto"/>
        <w:rPr>
          <w:color w:val="auto"/>
          <w:highlight w:val="none"/>
        </w:rPr>
      </w:pPr>
    </w:p>
    <w:p w14:paraId="668BC1E2">
      <w:pPr>
        <w:pStyle w:val="3"/>
        <w:spacing w:line="253" w:lineRule="auto"/>
        <w:rPr>
          <w:color w:val="auto"/>
          <w:highlight w:val="none"/>
        </w:rPr>
      </w:pPr>
    </w:p>
    <w:p w14:paraId="69997A40">
      <w:pPr>
        <w:pStyle w:val="3"/>
        <w:spacing w:line="253" w:lineRule="auto"/>
        <w:rPr>
          <w:color w:val="auto"/>
          <w:highlight w:val="none"/>
        </w:rPr>
      </w:pPr>
    </w:p>
    <w:p w14:paraId="357B0632">
      <w:pPr>
        <w:pStyle w:val="3"/>
        <w:spacing w:line="253" w:lineRule="auto"/>
        <w:rPr>
          <w:color w:val="auto"/>
          <w:highlight w:val="none"/>
        </w:rPr>
      </w:pPr>
    </w:p>
    <w:p w14:paraId="5D2793B8">
      <w:pPr>
        <w:pStyle w:val="3"/>
        <w:spacing w:line="253" w:lineRule="auto"/>
        <w:rPr>
          <w:color w:val="auto"/>
          <w:highlight w:val="none"/>
        </w:rPr>
      </w:pPr>
    </w:p>
    <w:p w14:paraId="0761BB78">
      <w:pPr>
        <w:pStyle w:val="3"/>
        <w:spacing w:line="253" w:lineRule="auto"/>
        <w:rPr>
          <w:color w:val="auto"/>
          <w:highlight w:val="none"/>
        </w:rPr>
      </w:pPr>
    </w:p>
    <w:p w14:paraId="7B175EE8">
      <w:pPr>
        <w:pStyle w:val="3"/>
        <w:spacing w:line="253" w:lineRule="auto"/>
        <w:rPr>
          <w:color w:val="auto"/>
          <w:highlight w:val="none"/>
        </w:rPr>
      </w:pPr>
    </w:p>
    <w:p w14:paraId="72C89EF4">
      <w:pPr>
        <w:pStyle w:val="3"/>
        <w:spacing w:line="253" w:lineRule="auto"/>
        <w:rPr>
          <w:color w:val="auto"/>
          <w:highlight w:val="none"/>
        </w:rPr>
      </w:pPr>
    </w:p>
    <w:p w14:paraId="584A03F0">
      <w:pPr>
        <w:spacing w:before="234" w:line="222" w:lineRule="auto"/>
        <w:ind w:left="4540"/>
        <w:outlineLvl w:val="1"/>
        <w:rPr>
          <w:rFonts w:ascii="黑体" w:hAnsi="黑体" w:eastAsia="黑体" w:cs="黑体"/>
          <w:color w:val="auto"/>
          <w:sz w:val="72"/>
          <w:szCs w:val="72"/>
          <w:highlight w:val="none"/>
        </w:rPr>
      </w:pPr>
      <w:bookmarkStart w:id="31" w:name="bookmark12"/>
      <w:bookmarkEnd w:id="31"/>
      <w:bookmarkStart w:id="32" w:name="_Toc1497"/>
      <w:r>
        <w:rPr>
          <w:rFonts w:ascii="黑体" w:hAnsi="黑体" w:eastAsia="黑体" w:cs="黑体"/>
          <w:color w:val="auto"/>
          <w:spacing w:val="-23"/>
          <w:sz w:val="72"/>
          <w:szCs w:val="72"/>
          <w:highlight w:val="none"/>
        </w:rPr>
        <w:t>第</w:t>
      </w:r>
      <w:r>
        <w:rPr>
          <w:rFonts w:ascii="黑体" w:hAnsi="黑体" w:eastAsia="黑体" w:cs="黑体"/>
          <w:color w:val="auto"/>
          <w:spacing w:val="39"/>
          <w:sz w:val="72"/>
          <w:szCs w:val="72"/>
          <w:highlight w:val="none"/>
        </w:rPr>
        <w:t xml:space="preserve"> </w:t>
      </w:r>
      <w:r>
        <w:rPr>
          <w:rFonts w:ascii="黑体" w:hAnsi="黑体" w:eastAsia="黑体" w:cs="黑体"/>
          <w:color w:val="auto"/>
          <w:spacing w:val="-23"/>
          <w:sz w:val="72"/>
          <w:szCs w:val="72"/>
          <w:highlight w:val="none"/>
        </w:rPr>
        <w:t>二</w:t>
      </w:r>
      <w:r>
        <w:rPr>
          <w:rFonts w:ascii="黑体" w:hAnsi="黑体" w:eastAsia="黑体" w:cs="黑体"/>
          <w:color w:val="auto"/>
          <w:spacing w:val="40"/>
          <w:sz w:val="72"/>
          <w:szCs w:val="72"/>
          <w:highlight w:val="none"/>
        </w:rPr>
        <w:t xml:space="preserve"> </w:t>
      </w:r>
      <w:r>
        <w:rPr>
          <w:rFonts w:ascii="黑体" w:hAnsi="黑体" w:eastAsia="黑体" w:cs="黑体"/>
          <w:color w:val="auto"/>
          <w:spacing w:val="-23"/>
          <w:sz w:val="72"/>
          <w:szCs w:val="72"/>
          <w:highlight w:val="none"/>
        </w:rPr>
        <w:t>卷</w:t>
      </w:r>
      <w:bookmarkEnd w:id="32"/>
    </w:p>
    <w:p w14:paraId="7FBF6395">
      <w:pPr>
        <w:spacing w:line="222" w:lineRule="auto"/>
        <w:rPr>
          <w:rFonts w:ascii="黑体" w:hAnsi="黑体" w:eastAsia="黑体" w:cs="黑体"/>
          <w:color w:val="auto"/>
          <w:sz w:val="72"/>
          <w:szCs w:val="72"/>
          <w:highlight w:val="none"/>
        </w:rPr>
        <w:sectPr>
          <w:headerReference r:id="rId130" w:type="default"/>
          <w:footerReference r:id="rId131" w:type="default"/>
          <w:pgSz w:w="11905" w:h="16840"/>
          <w:pgMar w:top="1182" w:right="0" w:bottom="1171" w:left="0" w:header="849" w:footer="937" w:gutter="0"/>
          <w:pgNumType w:fmt="decimal"/>
          <w:cols w:space="720" w:num="1"/>
        </w:sectPr>
      </w:pPr>
    </w:p>
    <w:p w14:paraId="63A89165">
      <w:pPr>
        <w:pStyle w:val="3"/>
        <w:rPr>
          <w:color w:val="auto"/>
          <w:highlight w:val="none"/>
        </w:rPr>
      </w:pPr>
    </w:p>
    <w:p w14:paraId="1B81CBC8">
      <w:pPr>
        <w:pStyle w:val="3"/>
        <w:spacing w:line="241" w:lineRule="auto"/>
        <w:rPr>
          <w:color w:val="auto"/>
          <w:highlight w:val="none"/>
        </w:rPr>
      </w:pPr>
    </w:p>
    <w:p w14:paraId="5F22BCD1">
      <w:pPr>
        <w:pStyle w:val="3"/>
        <w:spacing w:line="241" w:lineRule="auto"/>
        <w:rPr>
          <w:color w:val="auto"/>
          <w:highlight w:val="none"/>
        </w:rPr>
      </w:pPr>
    </w:p>
    <w:p w14:paraId="0D559A86">
      <w:pPr>
        <w:pStyle w:val="3"/>
        <w:spacing w:line="241" w:lineRule="auto"/>
        <w:rPr>
          <w:color w:val="auto"/>
          <w:highlight w:val="none"/>
        </w:rPr>
      </w:pPr>
    </w:p>
    <w:p w14:paraId="56FCB069">
      <w:pPr>
        <w:pStyle w:val="3"/>
        <w:spacing w:line="241" w:lineRule="auto"/>
        <w:rPr>
          <w:color w:val="auto"/>
          <w:highlight w:val="none"/>
        </w:rPr>
      </w:pPr>
    </w:p>
    <w:p w14:paraId="013AEC58">
      <w:pPr>
        <w:pStyle w:val="3"/>
        <w:spacing w:line="241" w:lineRule="auto"/>
        <w:rPr>
          <w:color w:val="auto"/>
          <w:highlight w:val="none"/>
        </w:rPr>
      </w:pPr>
    </w:p>
    <w:p w14:paraId="115C3CFD">
      <w:pPr>
        <w:pStyle w:val="3"/>
        <w:spacing w:line="241" w:lineRule="auto"/>
        <w:rPr>
          <w:color w:val="auto"/>
          <w:highlight w:val="none"/>
        </w:rPr>
      </w:pPr>
    </w:p>
    <w:p w14:paraId="5D3EF1B5">
      <w:pPr>
        <w:pStyle w:val="3"/>
        <w:spacing w:line="241" w:lineRule="auto"/>
        <w:rPr>
          <w:color w:val="auto"/>
          <w:highlight w:val="none"/>
        </w:rPr>
      </w:pPr>
    </w:p>
    <w:p w14:paraId="1CE9BC01">
      <w:pPr>
        <w:pStyle w:val="3"/>
        <w:spacing w:line="241" w:lineRule="auto"/>
        <w:rPr>
          <w:color w:val="auto"/>
          <w:highlight w:val="none"/>
        </w:rPr>
      </w:pPr>
    </w:p>
    <w:p w14:paraId="0FB6546D">
      <w:pPr>
        <w:pStyle w:val="3"/>
        <w:spacing w:line="241" w:lineRule="auto"/>
        <w:rPr>
          <w:color w:val="auto"/>
          <w:highlight w:val="none"/>
        </w:rPr>
      </w:pPr>
    </w:p>
    <w:p w14:paraId="103FBF83">
      <w:pPr>
        <w:pStyle w:val="3"/>
        <w:spacing w:line="241" w:lineRule="auto"/>
        <w:rPr>
          <w:color w:val="auto"/>
          <w:highlight w:val="none"/>
        </w:rPr>
      </w:pPr>
    </w:p>
    <w:p w14:paraId="0C823794">
      <w:pPr>
        <w:pStyle w:val="3"/>
        <w:spacing w:line="241" w:lineRule="auto"/>
        <w:rPr>
          <w:color w:val="auto"/>
          <w:highlight w:val="none"/>
        </w:rPr>
      </w:pPr>
    </w:p>
    <w:p w14:paraId="376373FF">
      <w:pPr>
        <w:pStyle w:val="3"/>
        <w:spacing w:line="241" w:lineRule="auto"/>
        <w:rPr>
          <w:color w:val="auto"/>
          <w:highlight w:val="none"/>
        </w:rPr>
      </w:pPr>
    </w:p>
    <w:p w14:paraId="0F365098">
      <w:pPr>
        <w:pStyle w:val="3"/>
        <w:spacing w:line="241" w:lineRule="auto"/>
        <w:rPr>
          <w:color w:val="auto"/>
          <w:highlight w:val="none"/>
        </w:rPr>
      </w:pPr>
    </w:p>
    <w:p w14:paraId="4C5211E6">
      <w:pPr>
        <w:pStyle w:val="3"/>
        <w:spacing w:line="241" w:lineRule="auto"/>
        <w:rPr>
          <w:color w:val="auto"/>
          <w:highlight w:val="none"/>
        </w:rPr>
      </w:pPr>
    </w:p>
    <w:p w14:paraId="6F78B79B">
      <w:pPr>
        <w:pStyle w:val="3"/>
        <w:spacing w:line="241" w:lineRule="auto"/>
        <w:rPr>
          <w:color w:val="auto"/>
          <w:highlight w:val="none"/>
        </w:rPr>
      </w:pPr>
    </w:p>
    <w:p w14:paraId="471D4BA7">
      <w:pPr>
        <w:pStyle w:val="3"/>
        <w:spacing w:line="241" w:lineRule="auto"/>
        <w:rPr>
          <w:color w:val="auto"/>
          <w:highlight w:val="none"/>
        </w:rPr>
      </w:pPr>
    </w:p>
    <w:p w14:paraId="1B6CF8DE">
      <w:pPr>
        <w:pStyle w:val="3"/>
        <w:spacing w:line="241" w:lineRule="auto"/>
        <w:rPr>
          <w:color w:val="auto"/>
          <w:highlight w:val="none"/>
        </w:rPr>
      </w:pPr>
    </w:p>
    <w:p w14:paraId="090DB3B3">
      <w:pPr>
        <w:pStyle w:val="3"/>
        <w:spacing w:line="241" w:lineRule="auto"/>
        <w:rPr>
          <w:color w:val="auto"/>
          <w:highlight w:val="none"/>
        </w:rPr>
      </w:pPr>
    </w:p>
    <w:p w14:paraId="18F8095E">
      <w:pPr>
        <w:pStyle w:val="3"/>
        <w:spacing w:line="241" w:lineRule="auto"/>
        <w:rPr>
          <w:color w:val="auto"/>
          <w:highlight w:val="none"/>
        </w:rPr>
      </w:pPr>
    </w:p>
    <w:p w14:paraId="5E4820B0">
      <w:pPr>
        <w:pStyle w:val="3"/>
        <w:spacing w:line="241" w:lineRule="auto"/>
        <w:rPr>
          <w:color w:val="auto"/>
          <w:highlight w:val="none"/>
        </w:rPr>
      </w:pPr>
    </w:p>
    <w:p w14:paraId="36FF9255">
      <w:pPr>
        <w:pStyle w:val="3"/>
        <w:spacing w:line="241" w:lineRule="auto"/>
        <w:rPr>
          <w:color w:val="auto"/>
          <w:highlight w:val="none"/>
        </w:rPr>
      </w:pPr>
    </w:p>
    <w:p w14:paraId="69F2592D">
      <w:pPr>
        <w:spacing w:before="140" w:line="223" w:lineRule="auto"/>
        <w:ind w:left="3984"/>
        <w:outlineLvl w:val="0"/>
        <w:rPr>
          <w:rFonts w:ascii="宋体" w:hAnsi="宋体" w:eastAsia="宋体" w:cs="宋体"/>
          <w:color w:val="auto"/>
          <w:sz w:val="43"/>
          <w:szCs w:val="43"/>
          <w:highlight w:val="none"/>
        </w:rPr>
      </w:pPr>
      <w:bookmarkStart w:id="33" w:name="bookmark12"/>
      <w:bookmarkEnd w:id="33"/>
      <w:bookmarkStart w:id="34" w:name="bookmark31"/>
      <w:bookmarkEnd w:id="34"/>
      <w:bookmarkStart w:id="35" w:name="_Toc12806"/>
      <w:r>
        <w:rPr>
          <w:rFonts w:ascii="宋体" w:hAnsi="宋体" w:eastAsia="宋体" w:cs="宋体"/>
          <w:b/>
          <w:bCs/>
          <w:color w:val="auto"/>
          <w:spacing w:val="-3"/>
          <w:sz w:val="43"/>
          <w:szCs w:val="43"/>
          <w:highlight w:val="none"/>
        </w:rPr>
        <w:t>第六章</w:t>
      </w:r>
      <w:r>
        <w:rPr>
          <w:rFonts w:ascii="宋体" w:hAnsi="宋体" w:eastAsia="宋体" w:cs="宋体"/>
          <w:color w:val="auto"/>
          <w:spacing w:val="71"/>
          <w:sz w:val="43"/>
          <w:szCs w:val="43"/>
          <w:highlight w:val="none"/>
        </w:rPr>
        <w:t xml:space="preserve"> </w:t>
      </w:r>
      <w:r>
        <w:rPr>
          <w:rFonts w:ascii="宋体" w:hAnsi="宋体" w:eastAsia="宋体" w:cs="宋体"/>
          <w:b/>
          <w:bCs/>
          <w:color w:val="auto"/>
          <w:spacing w:val="-3"/>
          <w:sz w:val="43"/>
          <w:szCs w:val="43"/>
          <w:highlight w:val="none"/>
        </w:rPr>
        <w:t>图纸（另册)</w:t>
      </w:r>
      <w:bookmarkEnd w:id="35"/>
    </w:p>
    <w:p w14:paraId="1BE339A0">
      <w:pPr>
        <w:spacing w:line="223" w:lineRule="auto"/>
        <w:rPr>
          <w:rFonts w:ascii="宋体" w:hAnsi="宋体" w:eastAsia="宋体" w:cs="宋体"/>
          <w:color w:val="auto"/>
          <w:sz w:val="43"/>
          <w:szCs w:val="43"/>
          <w:highlight w:val="none"/>
        </w:rPr>
        <w:sectPr>
          <w:headerReference r:id="rId132" w:type="default"/>
          <w:footerReference r:id="rId133" w:type="default"/>
          <w:pgSz w:w="11905" w:h="16840"/>
          <w:pgMar w:top="1182" w:right="0" w:bottom="1171" w:left="0" w:header="849" w:footer="937" w:gutter="0"/>
          <w:pgNumType w:fmt="decimal"/>
          <w:cols w:space="720" w:num="1"/>
        </w:sectPr>
      </w:pPr>
    </w:p>
    <w:p w14:paraId="4E31F0AF">
      <w:pPr>
        <w:pStyle w:val="3"/>
        <w:spacing w:line="250" w:lineRule="auto"/>
        <w:rPr>
          <w:color w:val="auto"/>
          <w:highlight w:val="none"/>
        </w:rPr>
      </w:pPr>
    </w:p>
    <w:p w14:paraId="2A3A6809">
      <w:pPr>
        <w:pStyle w:val="3"/>
        <w:spacing w:line="250" w:lineRule="auto"/>
        <w:rPr>
          <w:color w:val="auto"/>
          <w:highlight w:val="none"/>
        </w:rPr>
      </w:pPr>
    </w:p>
    <w:p w14:paraId="11F60270">
      <w:pPr>
        <w:pStyle w:val="3"/>
        <w:spacing w:line="250" w:lineRule="auto"/>
        <w:rPr>
          <w:color w:val="auto"/>
          <w:highlight w:val="none"/>
        </w:rPr>
      </w:pPr>
    </w:p>
    <w:p w14:paraId="084B4AE2">
      <w:pPr>
        <w:pStyle w:val="3"/>
        <w:spacing w:line="250" w:lineRule="auto"/>
        <w:rPr>
          <w:color w:val="auto"/>
          <w:highlight w:val="none"/>
        </w:rPr>
      </w:pPr>
    </w:p>
    <w:p w14:paraId="42BB59BE">
      <w:pPr>
        <w:pStyle w:val="3"/>
        <w:spacing w:line="250" w:lineRule="auto"/>
        <w:rPr>
          <w:color w:val="auto"/>
          <w:highlight w:val="none"/>
        </w:rPr>
      </w:pPr>
    </w:p>
    <w:p w14:paraId="64EA7C9A">
      <w:pPr>
        <w:pStyle w:val="3"/>
        <w:spacing w:line="250" w:lineRule="auto"/>
        <w:rPr>
          <w:color w:val="auto"/>
          <w:highlight w:val="none"/>
        </w:rPr>
      </w:pPr>
    </w:p>
    <w:p w14:paraId="2D7227E6">
      <w:pPr>
        <w:pStyle w:val="3"/>
        <w:spacing w:line="250" w:lineRule="auto"/>
        <w:rPr>
          <w:color w:val="auto"/>
          <w:highlight w:val="none"/>
        </w:rPr>
      </w:pPr>
    </w:p>
    <w:p w14:paraId="45D4508F">
      <w:pPr>
        <w:pStyle w:val="3"/>
        <w:spacing w:line="250" w:lineRule="auto"/>
        <w:rPr>
          <w:color w:val="auto"/>
          <w:highlight w:val="none"/>
        </w:rPr>
      </w:pPr>
    </w:p>
    <w:p w14:paraId="5D86E639">
      <w:pPr>
        <w:pStyle w:val="3"/>
        <w:spacing w:line="250" w:lineRule="auto"/>
        <w:rPr>
          <w:color w:val="auto"/>
          <w:highlight w:val="none"/>
        </w:rPr>
      </w:pPr>
    </w:p>
    <w:p w14:paraId="4A9B8889">
      <w:pPr>
        <w:pStyle w:val="3"/>
        <w:spacing w:line="250" w:lineRule="auto"/>
        <w:rPr>
          <w:color w:val="auto"/>
          <w:highlight w:val="none"/>
        </w:rPr>
      </w:pPr>
    </w:p>
    <w:p w14:paraId="6C9BCC1F">
      <w:pPr>
        <w:pStyle w:val="3"/>
        <w:spacing w:line="250" w:lineRule="auto"/>
        <w:rPr>
          <w:color w:val="auto"/>
          <w:highlight w:val="none"/>
        </w:rPr>
      </w:pPr>
    </w:p>
    <w:p w14:paraId="586C13E0">
      <w:pPr>
        <w:pStyle w:val="3"/>
        <w:spacing w:line="250" w:lineRule="auto"/>
        <w:rPr>
          <w:color w:val="auto"/>
          <w:highlight w:val="none"/>
        </w:rPr>
      </w:pPr>
    </w:p>
    <w:p w14:paraId="300371D5">
      <w:pPr>
        <w:pStyle w:val="3"/>
        <w:spacing w:line="251" w:lineRule="auto"/>
        <w:rPr>
          <w:color w:val="auto"/>
          <w:highlight w:val="none"/>
        </w:rPr>
      </w:pPr>
    </w:p>
    <w:p w14:paraId="2D2617C3">
      <w:pPr>
        <w:pStyle w:val="3"/>
        <w:spacing w:line="251" w:lineRule="auto"/>
        <w:rPr>
          <w:color w:val="auto"/>
          <w:highlight w:val="none"/>
        </w:rPr>
      </w:pPr>
    </w:p>
    <w:p w14:paraId="737CF53C">
      <w:pPr>
        <w:pStyle w:val="3"/>
        <w:spacing w:line="251" w:lineRule="auto"/>
        <w:rPr>
          <w:color w:val="auto"/>
          <w:highlight w:val="none"/>
        </w:rPr>
      </w:pPr>
    </w:p>
    <w:p w14:paraId="63379ED9">
      <w:pPr>
        <w:pStyle w:val="3"/>
        <w:spacing w:line="251" w:lineRule="auto"/>
        <w:rPr>
          <w:color w:val="auto"/>
          <w:highlight w:val="none"/>
        </w:rPr>
      </w:pPr>
    </w:p>
    <w:p w14:paraId="6C397C71">
      <w:pPr>
        <w:pStyle w:val="3"/>
        <w:spacing w:line="251" w:lineRule="auto"/>
        <w:rPr>
          <w:color w:val="auto"/>
          <w:highlight w:val="none"/>
        </w:rPr>
      </w:pPr>
    </w:p>
    <w:p w14:paraId="4EA13F2C">
      <w:pPr>
        <w:pStyle w:val="3"/>
        <w:spacing w:line="251" w:lineRule="auto"/>
        <w:rPr>
          <w:color w:val="auto"/>
          <w:highlight w:val="none"/>
        </w:rPr>
      </w:pPr>
    </w:p>
    <w:p w14:paraId="7444125F">
      <w:pPr>
        <w:pStyle w:val="3"/>
        <w:spacing w:line="251" w:lineRule="auto"/>
        <w:rPr>
          <w:color w:val="auto"/>
          <w:highlight w:val="none"/>
        </w:rPr>
      </w:pPr>
    </w:p>
    <w:p w14:paraId="016B320F">
      <w:pPr>
        <w:spacing w:before="234" w:line="222" w:lineRule="auto"/>
        <w:ind w:left="4540"/>
        <w:outlineLvl w:val="1"/>
        <w:rPr>
          <w:rFonts w:ascii="黑体" w:hAnsi="黑体" w:eastAsia="黑体" w:cs="黑体"/>
          <w:color w:val="auto"/>
          <w:sz w:val="72"/>
          <w:szCs w:val="72"/>
          <w:highlight w:val="none"/>
        </w:rPr>
      </w:pPr>
      <w:bookmarkStart w:id="36" w:name="bookmark14"/>
      <w:bookmarkEnd w:id="36"/>
      <w:bookmarkStart w:id="37" w:name="_Toc11536"/>
      <w:r>
        <w:rPr>
          <w:rFonts w:ascii="黑体" w:hAnsi="黑体" w:eastAsia="黑体" w:cs="黑体"/>
          <w:color w:val="auto"/>
          <w:spacing w:val="-24"/>
          <w:sz w:val="72"/>
          <w:szCs w:val="72"/>
          <w:highlight w:val="none"/>
        </w:rPr>
        <w:t>第</w:t>
      </w:r>
      <w:r>
        <w:rPr>
          <w:rFonts w:ascii="黑体" w:hAnsi="黑体" w:eastAsia="黑体" w:cs="黑体"/>
          <w:color w:val="auto"/>
          <w:spacing w:val="42"/>
          <w:sz w:val="72"/>
          <w:szCs w:val="72"/>
          <w:highlight w:val="none"/>
        </w:rPr>
        <w:t xml:space="preserve"> </w:t>
      </w:r>
      <w:r>
        <w:rPr>
          <w:rFonts w:ascii="黑体" w:hAnsi="黑体" w:eastAsia="黑体" w:cs="黑体"/>
          <w:color w:val="auto"/>
          <w:spacing w:val="-24"/>
          <w:sz w:val="72"/>
          <w:szCs w:val="72"/>
          <w:highlight w:val="none"/>
        </w:rPr>
        <w:t>三</w:t>
      </w:r>
      <w:r>
        <w:rPr>
          <w:rFonts w:ascii="黑体" w:hAnsi="黑体" w:eastAsia="黑体" w:cs="黑体"/>
          <w:color w:val="auto"/>
          <w:spacing w:val="40"/>
          <w:sz w:val="72"/>
          <w:szCs w:val="72"/>
          <w:highlight w:val="none"/>
        </w:rPr>
        <w:t xml:space="preserve"> </w:t>
      </w:r>
      <w:r>
        <w:rPr>
          <w:rFonts w:ascii="黑体" w:hAnsi="黑体" w:eastAsia="黑体" w:cs="黑体"/>
          <w:color w:val="auto"/>
          <w:spacing w:val="-24"/>
          <w:sz w:val="72"/>
          <w:szCs w:val="72"/>
          <w:highlight w:val="none"/>
        </w:rPr>
        <w:t>卷</w:t>
      </w:r>
      <w:bookmarkEnd w:id="37"/>
    </w:p>
    <w:p w14:paraId="1C4A93E4">
      <w:pPr>
        <w:spacing w:line="222" w:lineRule="auto"/>
        <w:rPr>
          <w:rFonts w:ascii="黑体" w:hAnsi="黑体" w:eastAsia="黑体" w:cs="黑体"/>
          <w:color w:val="auto"/>
          <w:sz w:val="72"/>
          <w:szCs w:val="72"/>
          <w:highlight w:val="none"/>
        </w:rPr>
        <w:sectPr>
          <w:headerReference r:id="rId134" w:type="default"/>
          <w:footerReference r:id="rId135" w:type="default"/>
          <w:pgSz w:w="11905" w:h="16840"/>
          <w:pgMar w:top="1182" w:right="0" w:bottom="1171" w:left="0" w:header="849" w:footer="937" w:gutter="0"/>
          <w:pgNumType w:fmt="decimal"/>
          <w:cols w:space="720" w:num="1"/>
        </w:sectPr>
      </w:pPr>
    </w:p>
    <w:p w14:paraId="2DB503CD">
      <w:pPr>
        <w:pStyle w:val="3"/>
        <w:spacing w:line="242" w:lineRule="auto"/>
        <w:rPr>
          <w:color w:val="auto"/>
          <w:highlight w:val="none"/>
        </w:rPr>
      </w:pPr>
    </w:p>
    <w:p w14:paraId="6A9F093E">
      <w:pPr>
        <w:spacing w:before="140" w:line="223" w:lineRule="auto"/>
        <w:ind w:left="221" w:leftChars="0" w:hanging="221" w:hangingChars="50"/>
        <w:jc w:val="center"/>
        <w:outlineLvl w:val="0"/>
        <w:rPr>
          <w:rFonts w:ascii="宋体" w:hAnsi="宋体" w:eastAsia="宋体" w:cs="宋体"/>
          <w:b/>
          <w:bCs/>
          <w:color w:val="auto"/>
          <w:spacing w:val="5"/>
          <w:sz w:val="43"/>
          <w:szCs w:val="43"/>
          <w:highlight w:val="none"/>
        </w:rPr>
      </w:pPr>
      <w:bookmarkStart w:id="38" w:name="bookmark14"/>
      <w:bookmarkEnd w:id="38"/>
      <w:bookmarkStart w:id="39" w:name="_Toc11316"/>
      <w:r>
        <w:rPr>
          <w:rFonts w:ascii="宋体" w:hAnsi="宋体" w:eastAsia="宋体" w:cs="宋体"/>
          <w:b/>
          <w:bCs/>
          <w:color w:val="auto"/>
          <w:spacing w:val="5"/>
          <w:sz w:val="43"/>
          <w:szCs w:val="43"/>
          <w:highlight w:val="none"/>
        </w:rPr>
        <w:t>第七章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技术规范</w:t>
      </w:r>
      <w:bookmarkEnd w:id="39"/>
    </w:p>
    <w:p w14:paraId="070E21CC">
      <w:pPr>
        <w:spacing w:before="140" w:line="223" w:lineRule="auto"/>
        <w:ind w:left="3542"/>
        <w:outlineLvl w:val="0"/>
        <w:rPr>
          <w:rFonts w:ascii="宋体" w:hAnsi="宋体" w:eastAsia="宋体" w:cs="宋体"/>
          <w:b/>
          <w:bCs/>
          <w:color w:val="auto"/>
          <w:spacing w:val="5"/>
          <w:sz w:val="43"/>
          <w:szCs w:val="43"/>
          <w:highlight w:val="none"/>
        </w:rPr>
      </w:pPr>
    </w:p>
    <w:p w14:paraId="42FFF069">
      <w:pPr>
        <w:spacing w:before="88" w:line="427" w:lineRule="auto"/>
        <w:ind w:left="1680" w:leftChars="800" w:right="1425" w:firstLine="0" w:firstLineChars="0"/>
        <w:jc w:val="center"/>
        <w:rPr>
          <w:rFonts w:hint="eastAsia" w:ascii="宋体" w:hAnsi="宋体" w:eastAsia="宋体" w:cs="宋体"/>
          <w:b/>
          <w:bCs/>
          <w:color w:val="auto"/>
          <w:spacing w:val="5"/>
          <w:sz w:val="27"/>
          <w:szCs w:val="27"/>
          <w:highlight w:val="none"/>
        </w:rPr>
      </w:pPr>
      <w:r>
        <w:rPr>
          <w:rFonts w:hint="eastAsia" w:ascii="宋体" w:hAnsi="宋体" w:eastAsia="宋体" w:cs="宋体"/>
          <w:b/>
          <w:bCs/>
          <w:color w:val="auto"/>
          <w:spacing w:val="5"/>
          <w:sz w:val="27"/>
          <w:szCs w:val="27"/>
          <w:highlight w:val="none"/>
        </w:rPr>
        <w:t>详见交通运输部《公路工程标准施工招标文件（2018年版）》</w:t>
      </w:r>
    </w:p>
    <w:p w14:paraId="41081C6C">
      <w:pPr>
        <w:spacing w:before="88" w:line="427" w:lineRule="auto"/>
        <w:ind w:left="1680" w:leftChars="800" w:right="1425" w:firstLine="0" w:firstLineChars="0"/>
        <w:jc w:val="center"/>
        <w:rPr>
          <w:rFonts w:hint="eastAsia" w:ascii="宋体" w:hAnsi="宋体" w:eastAsia="宋体" w:cs="宋体"/>
          <w:b/>
          <w:bCs/>
          <w:color w:val="auto"/>
          <w:spacing w:val="5"/>
          <w:sz w:val="27"/>
          <w:szCs w:val="27"/>
          <w:highlight w:val="none"/>
        </w:rPr>
      </w:pPr>
      <w:r>
        <w:rPr>
          <w:rFonts w:hint="eastAsia" w:ascii="宋体" w:hAnsi="宋体" w:eastAsia="宋体" w:cs="宋体"/>
          <w:b/>
          <w:bCs/>
          <w:color w:val="auto"/>
          <w:spacing w:val="5"/>
          <w:sz w:val="27"/>
          <w:szCs w:val="27"/>
          <w:highlight w:val="none"/>
        </w:rPr>
        <w:t>（交通运输部公告2017年第51号）</w:t>
      </w:r>
    </w:p>
    <w:p w14:paraId="479CF59C">
      <w:pPr>
        <w:spacing w:before="140" w:line="223" w:lineRule="auto"/>
        <w:ind w:left="3542"/>
        <w:outlineLvl w:val="0"/>
        <w:rPr>
          <w:rFonts w:ascii="宋体" w:hAnsi="宋体" w:eastAsia="宋体" w:cs="宋体"/>
          <w:b/>
          <w:bCs/>
          <w:color w:val="auto"/>
          <w:spacing w:val="5"/>
          <w:sz w:val="43"/>
          <w:szCs w:val="43"/>
          <w:highlight w:val="none"/>
        </w:rPr>
      </w:pPr>
    </w:p>
    <w:p w14:paraId="4E74AB6F">
      <w:pPr>
        <w:spacing w:line="223" w:lineRule="auto"/>
        <w:rPr>
          <w:rFonts w:ascii="宋体" w:hAnsi="宋体" w:eastAsia="宋体" w:cs="宋体"/>
          <w:color w:val="auto"/>
          <w:sz w:val="43"/>
          <w:szCs w:val="43"/>
          <w:highlight w:val="none"/>
        </w:rPr>
        <w:sectPr>
          <w:headerReference r:id="rId136" w:type="default"/>
          <w:footerReference r:id="rId137" w:type="default"/>
          <w:pgSz w:w="11905" w:h="16840"/>
          <w:pgMar w:top="1182" w:right="0" w:bottom="1171" w:left="0" w:header="849" w:footer="937" w:gutter="0"/>
          <w:pgNumType w:fmt="decimal"/>
          <w:cols w:space="720" w:num="1"/>
        </w:sectPr>
      </w:pPr>
    </w:p>
    <w:p w14:paraId="5F75B995">
      <w:pPr>
        <w:spacing w:before="140" w:line="223" w:lineRule="auto"/>
        <w:ind w:left="3212"/>
        <w:outlineLvl w:val="0"/>
        <w:rPr>
          <w:rFonts w:ascii="宋体" w:hAnsi="宋体" w:eastAsia="宋体" w:cs="宋体"/>
          <w:b/>
          <w:bCs/>
          <w:color w:val="auto"/>
          <w:spacing w:val="5"/>
          <w:sz w:val="43"/>
          <w:szCs w:val="43"/>
          <w:highlight w:val="none"/>
        </w:rPr>
      </w:pPr>
    </w:p>
    <w:p w14:paraId="7D3C4015">
      <w:pPr>
        <w:spacing w:before="140" w:line="223" w:lineRule="auto"/>
        <w:ind w:left="1680" w:leftChars="0" w:firstLine="0" w:firstLineChars="0"/>
        <w:jc w:val="both"/>
        <w:outlineLvl w:val="0"/>
        <w:rPr>
          <w:rFonts w:ascii="宋体" w:hAnsi="宋体" w:eastAsia="宋体" w:cs="宋体"/>
          <w:color w:val="auto"/>
          <w:sz w:val="43"/>
          <w:szCs w:val="43"/>
          <w:highlight w:val="none"/>
        </w:rPr>
      </w:pPr>
      <w:bookmarkStart w:id="40" w:name="_Toc20782"/>
      <w:r>
        <w:rPr>
          <w:rFonts w:ascii="宋体" w:hAnsi="宋体" w:eastAsia="宋体" w:cs="宋体"/>
          <w:b/>
          <w:bCs/>
          <w:color w:val="auto"/>
          <w:spacing w:val="5"/>
          <w:sz w:val="43"/>
          <w:szCs w:val="43"/>
          <w:highlight w:val="none"/>
        </w:rPr>
        <w:t>第八章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工程量清单计量规则</w:t>
      </w:r>
      <w:bookmarkEnd w:id="40"/>
    </w:p>
    <w:p w14:paraId="54FD37B5">
      <w:pPr>
        <w:pStyle w:val="3"/>
        <w:spacing w:line="280" w:lineRule="auto"/>
        <w:rPr>
          <w:color w:val="auto"/>
          <w:highlight w:val="none"/>
        </w:rPr>
      </w:pPr>
    </w:p>
    <w:p w14:paraId="1C84902F">
      <w:pPr>
        <w:pStyle w:val="3"/>
        <w:spacing w:line="280" w:lineRule="auto"/>
        <w:rPr>
          <w:color w:val="auto"/>
          <w:highlight w:val="none"/>
        </w:rPr>
      </w:pPr>
    </w:p>
    <w:p w14:paraId="349B9AD4">
      <w:pPr>
        <w:ind w:firstLine="558" w:firstLineChars="200"/>
        <w:rPr>
          <w:rFonts w:hint="eastAsia" w:ascii="宋体" w:hAnsi="宋体" w:eastAsia="宋体" w:cs="宋体"/>
          <w:b/>
          <w:bCs/>
          <w:color w:val="auto"/>
          <w:spacing w:val="4"/>
          <w:sz w:val="27"/>
          <w:szCs w:val="27"/>
          <w:highlight w:val="none"/>
        </w:rPr>
      </w:pPr>
      <w:r>
        <w:rPr>
          <w:rFonts w:hint="eastAsia" w:ascii="宋体" w:hAnsi="宋体" w:eastAsia="宋体" w:cs="宋体"/>
          <w:b/>
          <w:bCs/>
          <w:color w:val="auto"/>
          <w:spacing w:val="4"/>
          <w:sz w:val="27"/>
          <w:szCs w:val="27"/>
          <w:highlight w:val="none"/>
        </w:rPr>
        <w:t>本“工程量清单计量规则”是根据交通运输部《公路工程标准施工招标文件（2018年版）》（交通运输部公告2017年第51号），以下简称“范本”）、《关于发布《广东省执行交通运输部〈公路工程标准施工招标文件〉（2009年版）的补充规定》中清单标准修订内容的通知》（粤交造价函【2011】45号）文件规定，结合本项目的施工图设计文件和项目的实际情况编制。工程量清单具体应执行《广东省公路工程造价标准化管理指南》（粤交基〔2022〕483号）及现行的相关补充规定</w:t>
      </w:r>
    </w:p>
    <w:p w14:paraId="5529AA2E">
      <w:pPr>
        <w:ind w:firstLine="558" w:firstLineChars="200"/>
        <w:rPr>
          <w:rFonts w:hint="eastAsia" w:ascii="宋体" w:hAnsi="宋体" w:eastAsia="宋体" w:cs="宋体"/>
          <w:b/>
          <w:bCs/>
          <w:color w:val="auto"/>
          <w:spacing w:val="4"/>
          <w:sz w:val="27"/>
          <w:szCs w:val="27"/>
          <w:highlight w:val="none"/>
        </w:rPr>
      </w:pPr>
    </w:p>
    <w:p w14:paraId="4CB07192">
      <w:pPr>
        <w:ind w:firstLine="558" w:firstLineChars="200"/>
        <w:rPr>
          <w:rFonts w:ascii="宋体" w:hAnsi="宋体" w:eastAsia="宋体" w:cs="宋体"/>
          <w:color w:val="auto"/>
          <w:sz w:val="27"/>
          <w:szCs w:val="27"/>
          <w:highlight w:val="none"/>
        </w:rPr>
      </w:pPr>
      <w:r>
        <w:rPr>
          <w:rFonts w:hint="eastAsia" w:ascii="宋体" w:hAnsi="宋体" w:eastAsia="宋体" w:cs="宋体"/>
          <w:b/>
          <w:bCs/>
          <w:color w:val="auto"/>
          <w:spacing w:val="4"/>
          <w:sz w:val="27"/>
          <w:szCs w:val="27"/>
          <w:highlight w:val="none"/>
        </w:rPr>
        <w:t>将第八章“工程量清单计量规则”的内容删除，以本《工程量清单计量规则》内容代替。</w:t>
      </w:r>
      <w:r>
        <w:rPr>
          <w:rFonts w:ascii="宋体" w:hAnsi="宋体" w:eastAsia="宋体" w:cs="宋体"/>
          <w:color w:val="auto"/>
          <w:sz w:val="27"/>
          <w:szCs w:val="27"/>
          <w:highlight w:val="none"/>
        </w:rPr>
        <w:br w:type="page"/>
      </w:r>
    </w:p>
    <w:p w14:paraId="6F82A656">
      <w:pPr>
        <w:spacing w:line="360" w:lineRule="auto"/>
        <w:ind w:left="-4" w:leftChars="-200" w:hanging="416" w:hangingChars="139"/>
        <w:jc w:val="center"/>
        <w:rPr>
          <w:rFonts w:ascii="黑体" w:hAnsi="黑体" w:eastAsia="黑体" w:cs="Arial Unicode MS"/>
          <w:color w:val="auto"/>
          <w:sz w:val="30"/>
          <w:szCs w:val="30"/>
          <w:highlight w:val="none"/>
        </w:rPr>
      </w:pPr>
      <w:r>
        <w:rPr>
          <w:rFonts w:hint="eastAsia" w:ascii="黑体" w:hAnsi="黑体" w:eastAsia="黑体" w:cs="Arial Unicode MS"/>
          <w:color w:val="auto"/>
          <w:sz w:val="30"/>
          <w:szCs w:val="30"/>
          <w:highlight w:val="none"/>
        </w:rPr>
        <w:t>一、说明</w:t>
      </w:r>
    </w:p>
    <w:p w14:paraId="2C59DB5D">
      <w:pPr>
        <w:pStyle w:val="18"/>
        <w:spacing w:line="360" w:lineRule="auto"/>
        <w:ind w:firstLine="480" w:firstLineChars="200"/>
        <w:rPr>
          <w:rFonts w:hint="eastAsia" w:hAnsi="宋体" w:cs="Times New Roman"/>
          <w:color w:val="auto"/>
          <w:kern w:val="2"/>
          <w:highlight w:val="none"/>
        </w:rPr>
      </w:pPr>
    </w:p>
    <w:p w14:paraId="5750672C">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1、一般要求</w:t>
      </w:r>
    </w:p>
    <w:p w14:paraId="0F666C23">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(1)本计量规则各章节是按第七章“技术规范”的相应章节编号的，因此，各章节工程子目的工程量计量规则应与“技术规范”相应章节的施工规范结合起来理解、解释和应用。</w:t>
      </w:r>
    </w:p>
    <w:p w14:paraId="1B28021D">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(2)本规则所有工程项目，除个别注明者外，均采用中国法定的计量单位，即国际单位及国际单位制导出的辅助单位进行计量。</w:t>
      </w:r>
    </w:p>
    <w:p w14:paraId="3EEA60D8">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(3)本规则的计量与支付，应与合同条款、工程量清单以及图纸同时阅读，工程量清单中的支付项目号和本规则的章节编号是一致的。</w:t>
      </w:r>
    </w:p>
    <w:p w14:paraId="665C0148">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(4)任何工程项目的计量，均应按本规则规定或监理人书面指示进行。</w:t>
      </w:r>
    </w:p>
    <w:p w14:paraId="658274DC">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(5)按合同提供的材料数量和完成的工程数量所采用的测量与计算方法，应符合本规则的规定。所有这些方法，应经监理人批准或指示。承包人应提供一切计量设备和条件，并保证其设备精度符合要求。</w:t>
      </w:r>
    </w:p>
    <w:p w14:paraId="4B1152F4">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(6)除非监理人另有准许，一切计量工作都应在监理人在场的情况下，由承包人测量、记录。有承包人签名的计量记录原本，应提交给监理人审查和保存。</w:t>
      </w:r>
    </w:p>
    <w:p w14:paraId="67F45648">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(7)工程量应由承包人计算，由监理人审核。工程量计算的副本应提交给监理人并由监理人保存。</w:t>
      </w:r>
    </w:p>
    <w:p w14:paraId="7666BDD0">
      <w:pPr>
        <w:spacing w:line="360" w:lineRule="auto"/>
        <w:ind w:firstLine="42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(8)</w:t>
      </w:r>
      <w:r>
        <w:rPr>
          <w:rFonts w:hint="eastAsia" w:asciiTheme="minorEastAsia" w:hAnsiTheme="minorEastAsia" w:eastAsiaTheme="minorEastAsia" w:cstheme="minorEastAsia"/>
          <w:color w:val="auto"/>
          <w:sz w:val="24"/>
          <w:highlight w:val="none"/>
        </w:rPr>
        <w:t>除合同特殊约定单独计量之外，全部必需的模板、脚手架、装备、机具、螺栓、垫圈和钢制件等其他材料，应包括在工程量清单中所列的有关支付项目中，均不单独计量。</w:t>
      </w:r>
    </w:p>
    <w:p w14:paraId="326CAFE1">
      <w:pPr>
        <w:spacing w:line="360" w:lineRule="auto"/>
        <w:ind w:firstLine="42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sz w:val="24"/>
          <w:highlight w:val="none"/>
        </w:rPr>
        <w:t>除监理人另有批准外，凡超过图纸所示的面积或体积，都不予计量与支付。</w:t>
      </w:r>
    </w:p>
    <w:p w14:paraId="0255A662">
      <w:pPr>
        <w:spacing w:line="360" w:lineRule="auto"/>
        <w:ind w:firstLine="42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(10)</w:t>
      </w:r>
      <w:r>
        <w:rPr>
          <w:rFonts w:hint="eastAsia" w:asciiTheme="minorEastAsia" w:hAnsiTheme="minorEastAsia" w:eastAsiaTheme="minorEastAsia" w:cstheme="minorEastAsia"/>
          <w:color w:val="auto"/>
          <w:sz w:val="24"/>
          <w:highlight w:val="none"/>
        </w:rPr>
        <w:t>承包人应严格标准计量基础工作和材料采购检验工作。沥青混凝土、沥青碎石、水泥混凝土、高标号水泥砂浆的施工现场必须使用电子计量设备称重。因不符合计量规定引发的质量问题，所发生的费用由承包人承担。</w:t>
      </w:r>
    </w:p>
    <w:p w14:paraId="1DD718F8">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(11)第104节承包人驻地建设与第105节施工标准化属选择性工程子目，由发包人根据工程项目管理实际情况选择使用或同时使用。</w:t>
      </w:r>
    </w:p>
    <w:p w14:paraId="52691053">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(12)施工期间和施工完工后的必要的环境保护、因承包人责任导致的地方道路及排灌系统的修复、临时用地的清理和复耕、航道的清理及因此而产生的地方要求的补偿等费用应含在相关项目单价或总价内，不另单独计量与支付。</w:t>
      </w:r>
    </w:p>
    <w:p w14:paraId="6BB7F090">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2、重量</w:t>
      </w:r>
    </w:p>
    <w:p w14:paraId="441F51A0">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⑴凡以重量计量或以重量作为配合比设计的材料，都应在精确与批准的磅秤上，由称职合格的人员在监理人指定或批准的地点进行称重。</w:t>
      </w:r>
    </w:p>
    <w:p w14:paraId="5C4662E9">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⑵称重计量时应满足以下条件：监理人在场；称重记录；载有包装材料、支撑装置、垫块、捆束物等质量的说明书在称重前提交给监理人作为依据。</w:t>
      </w:r>
    </w:p>
    <w:p w14:paraId="3B159C92">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⑶钢筋、钢板或型钢计量时，应按图纸或其他资料标示的尺寸和净长计算。搭接、接头套筒、焊接材料、下脚料和固定、定位架立钢筋等，则不予另行计量。钢筋、钢板或型钢应以千克计量，四舍五入，不计小数。钢筋、钢板或型钢由于理论单位质量与实际单位质量的差异而引起材料质量与数量不相匹配的情况，计量时不予考虑。</w:t>
      </w:r>
    </w:p>
    <w:p w14:paraId="0AA2C8F3">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⑷金属材料的质量不得包括施工需要加放或使用的灰浆、楔块、填缝料、垫衬物、油料、接缝料、焊条、涂敷料等的重量。</w:t>
      </w:r>
    </w:p>
    <w:p w14:paraId="21D23699">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⑸承运按质量计量的材料的货车，应每天在监理人指定的时间和地点称出空车质量，每辆货车还应标示清晰易辨的标记。</w:t>
      </w:r>
    </w:p>
    <w:p w14:paraId="0F4081A6">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⑹对有规定标准的项目，例如钢筋、金属线、钢板、型钢、管材等，均有规定的规格、重量、截面尺寸等指标，这类指标应视为通常的重量或尺寸。除非引用规范中的允许偏差值加以控制，否则可用制造商所示的允许偏差。</w:t>
      </w:r>
    </w:p>
    <w:p w14:paraId="2736C3AA">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3、面积</w:t>
      </w:r>
    </w:p>
    <w:p w14:paraId="3D2CF8EE">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除非另有规定，计算面积时，其长、宽应按图纸所示尺寸线或按监理人指示计量。对于面积在1m2以下的固定物（如检查井等）不予扣除。</w:t>
      </w:r>
    </w:p>
    <w:p w14:paraId="38ECEE10">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4、结构物</w:t>
      </w:r>
    </w:p>
    <w:p w14:paraId="518F2659">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⑴结构物应按图纸所示净尺寸线，或根据监理人指示修改的尺寸线计量。</w:t>
      </w:r>
    </w:p>
    <w:p w14:paraId="649A5321">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⑵水泥混凝土的计量应按监理人认可的并已完工工程的净尺寸计算，钢筋的体积不扣除，倒角不超过0.15m×0.15m时不扣除，体积不超过0.03m3的开孔及开口不扣除，面积不超过0.15m×0.15m的填角部分也不增加。</w:t>
      </w:r>
    </w:p>
    <w:p w14:paraId="2B9761FB">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⑶所有以米计量的结构物，除非图纸另有标示，应按平行于该结构物位置的基面或基础的中心方向计量。</w:t>
      </w:r>
    </w:p>
    <w:p w14:paraId="59272F0F">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5、土方</w:t>
      </w:r>
    </w:p>
    <w:p w14:paraId="64D5571D">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⑴土方体积可采用平均断面积法计算，但与似棱体公式（Prismoidal formula）计算结果比较，如果误差超过±5%时，监理人可指示采用似棱体公式。</w:t>
      </w:r>
    </w:p>
    <w:p w14:paraId="4ACC6DF4">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⑵各种不同类别的挖方与填方计量，应以图纸所示界线为限，而且应在批准的横断面图上标明。</w:t>
      </w:r>
    </w:p>
    <w:p w14:paraId="57273DF5">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⑶用于填方的土方量，应按压实后的纵断面高程和路床面为准来计量。承包人报价时，应考虑在挖方或运输过程中引起的体积差。</w:t>
      </w:r>
    </w:p>
    <w:p w14:paraId="4988FA6C">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⑷在现场钉桩后56d内，承包人应将设计和进场复测的土方横断面图连同土方的面积与体积计算表一并提交监理人批准。所有横断面图都应标有图题框，其大小由监理人指定。一旦横断面图得到最后批准，承包人应交给监理人原版图及三份复制图。</w:t>
      </w:r>
    </w:p>
    <w:p w14:paraId="1000EEF3">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6、运输车辆体积</w:t>
      </w:r>
    </w:p>
    <w:p w14:paraId="0839012D">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⑴用体积计量的材料，应以经监理人批准的车辆装运，并在运到地点进行计量。</w:t>
      </w:r>
    </w:p>
    <w:p w14:paraId="7B44E5B0">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⑵用于体积运输的车辆，其车厢的形状和尺寸应使其容量能够容易而准确地测定并应保证精确度。每辆车都应有明显标记。每车所运材料的体积应于事前由监理人与承包人相互达成书面协议。</w:t>
      </w:r>
    </w:p>
    <w:p w14:paraId="09E43EAC">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⑶所有车辆都应装载成水平容积高度，车辆到达送货点时，监理人可以要求将其装载物重新整平，对超过定量运送的材料将不予支付。运量达不到定量的车辆，应被拒绝或按监理人确定减少的体积接收。根据监理人的指示，承包人应在货物交付点，随机将一车材料刮平，在刮平后如发现货车运送的材料少于定量时，从前一车起所有运到的材料的计量都按同样比率减为目前的车载量。</w:t>
      </w:r>
    </w:p>
    <w:p w14:paraId="46F6E498">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7、质量与体积换算</w:t>
      </w:r>
    </w:p>
    <w:p w14:paraId="41D7F1CD">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⑴如承包人提出要求并得到监理人的书面批准，已规定要用立方米计量的材料可以称重，并将此质量换算为立方米计量。</w:t>
      </w:r>
    </w:p>
    <w:p w14:paraId="7BB30C45">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⑵将质量计量换算为体积计量的换算系数应由监理人确定，并应在此种计量方法使用之前征得承包人的同意。</w:t>
      </w:r>
    </w:p>
    <w:p w14:paraId="0885CBA6">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8、沥青和水泥</w:t>
      </w:r>
    </w:p>
    <w:p w14:paraId="1D156FF8">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⑴沥青和水泥应以千克（kg）计量。</w:t>
      </w:r>
    </w:p>
    <w:p w14:paraId="281052AF">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⑵如用货车或其他运输工具装运沥青材料，可以按经过检定的重量或体积计算沥青材料的数量，但要对漏失量或泡沫进行校正。</w:t>
      </w:r>
    </w:p>
    <w:p w14:paraId="3DE41061">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⑶水泥可以以袋作为计量的依据，但一袋的标准应为50kg。散装水泥应称重计量。</w:t>
      </w:r>
    </w:p>
    <w:p w14:paraId="56A5C364">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9、成套的结构单元</w:t>
      </w:r>
    </w:p>
    <w:p w14:paraId="56044C5E">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如规定的计量单位是一成套的结构物或结构单元（实际上就是按“总额”或称“一次支付”计的工程子目），该单元应包括了所有必需的设备、配件和附属物及相关作业。</w:t>
      </w:r>
    </w:p>
    <w:p w14:paraId="789E8BD1">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10、标准制品项目</w:t>
      </w:r>
    </w:p>
    <w:p w14:paraId="6ECA262B">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⑴如规定采用标准制品（如护栏、钢丝、钢板、轧制型材、管子等），而这类项目又是以标准规格（单位重、截面尺寸等）标识的，则这种标识可以作为计量的标准。</w:t>
      </w:r>
    </w:p>
    <w:p w14:paraId="5CAA7794">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⑵除非采用标准制品的允许误差比规范要求的允许误差要求更严格，否则，生产厂确立的制造允许误差将不予认可。</w:t>
      </w:r>
    </w:p>
    <w:p w14:paraId="5A29279A">
      <w:pPr>
        <w:pStyle w:val="18"/>
        <w:spacing w:line="360" w:lineRule="auto"/>
        <w:ind w:firstLine="480" w:firstLineChars="200"/>
        <w:jc w:val="left"/>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color w:val="auto"/>
          <w:kern w:val="2"/>
          <w:highlight w:val="none"/>
        </w:rPr>
        <w:t>11、支付通则</w:t>
      </w:r>
    </w:p>
    <w:p w14:paraId="66528AB3">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(1)承包人应得到并接受按合同规定的报酬，作为实施各工程项目（不论是临时的或永久性的）与缺陷修复中需提供的一切劳务（包括劳务的管理）、材料、施工机械、必须的检（试）验及其他事务的充分支付。</w:t>
      </w:r>
    </w:p>
    <w:p w14:paraId="2553676F">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除非另有规定，工程量清单中各支付子目所报的单价或总额，都应认为是该支付子目全部作业的全部报酬。包括所有施工工艺与措施的劳务、材料和设备的提供、运输、安装和维修、按规定要求的常规检（试）验、临时工程的修建、维护与拆除、责任和义务等费用，均应认为已计入工程量清单标价的各工程子目中。</w:t>
      </w:r>
    </w:p>
    <w:p w14:paraId="01F7A204">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)除非合同另有规定，在工程量清单中凡未被单独列项的工程量均不予计量,其费用均视为已包含在与其相关的工程项目的单价或总额价之中，不再另予计量与支付。</w:t>
      </w:r>
    </w:p>
    <w:p w14:paraId="2587869F">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一般地，工程项目都必须在发包人和监理人按技术规范要求检验验收合格后才予以计量支付。如果发包人或监理人根据规范、标准和有关要求等确定某项工程项目或子目在工程质量上（或外观质量上）存在着缺陷或质量问题，将不予以计量支付。发包人或经发包人同意后监理人有权要求承包人将不符合要求的工程项目进行返工或推倒重做，待质量达到要求后才予以计量支付，由此造成的整改、返工或重做等发生的费用和工期全部由承包人负责。</w:t>
      </w:r>
    </w:p>
    <w:p w14:paraId="18A8738E">
      <w:pPr>
        <w:spacing w:line="360" w:lineRule="auto"/>
        <w:ind w:firstLine="480" w:firstLineChars="200"/>
        <w:jc w:val="left"/>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如果承包人在退场后未能缴足与（包括但不限于）口岸、边防、海洋、海事、环保、水利、地铁、铁路（含轻轨）和地方等有关单位所签合同规定的或（包括但不限于）口岸、边防、海洋、海事、环保、水利、地铁、铁路（含轻轨）和地方等有关单位要求缴交的各项费用，如：维持通航（车）费及租地管理费等；或者未按要求进行场地清理、道路修复、复耕、恢复和疏浚与完善排灌系统等工作，则发包人有权代缴上述费用或另行安排队伍进行上述未完工作。上述原因所发生的所有费用发包人将在承包人应得价款里全部扣回，承包人必须接受。</w:t>
      </w:r>
    </w:p>
    <w:p w14:paraId="566A850D">
      <w:pPr>
        <w:spacing w:line="360" w:lineRule="auto"/>
        <w:ind w:firstLine="480" w:firstLineChars="200"/>
        <w:jc w:val="left"/>
        <w:textAlignment w:val="baseline"/>
        <w:rPr>
          <w:rFonts w:hint="eastAsia" w:ascii="宋体" w:hAnsi="宋体" w:eastAsia="宋体" w:cs="Times New Roman"/>
          <w:color w:val="auto"/>
          <w:sz w:val="24"/>
          <w:highlight w:val="none"/>
        </w:rPr>
        <w:sectPr>
          <w:pgSz w:w="11906" w:h="16838"/>
          <w:pgMar w:top="1418" w:right="1418" w:bottom="1134" w:left="1701" w:header="851" w:footer="992" w:gutter="0"/>
          <w:pgNumType w:fmt="decimal"/>
          <w:cols w:space="720" w:num="1"/>
          <w:docGrid w:linePitch="312" w:charSpace="0"/>
        </w:sectPr>
      </w:pPr>
      <w:r>
        <w:rPr>
          <w:rFonts w:hint="eastAsia" w:asciiTheme="minorEastAsia" w:hAnsiTheme="minorEastAsia" w:eastAsiaTheme="minorEastAsia" w:cstheme="minorEastAsia"/>
          <w:color w:val="auto"/>
          <w:sz w:val="24"/>
          <w:highlight w:val="none"/>
        </w:rPr>
        <w:t>（6）施工过程中或在缺陷责任期内，如发生属承包人责任的工程质量缺陷问题.如滑坡、地基沉陷和桩基、构造物缺陷等，发包人有权对上述工程质量缺陷委托专业队伍进行处理，费用由发包人代付并在承包人的应得价款中相应扣回，承包人必须接受。</w:t>
      </w:r>
    </w:p>
    <w:p w14:paraId="2899825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第</w:t>
      </w:r>
      <w:r>
        <w:rPr>
          <w:rFonts w:ascii="宋体" w:hAnsi="宋体"/>
          <w:b/>
          <w:bCs/>
          <w:color w:val="auto"/>
          <w:sz w:val="32"/>
          <w:szCs w:val="32"/>
          <w:highlight w:val="none"/>
        </w:rPr>
        <w:t>100</w:t>
      </w:r>
      <w:r>
        <w:rPr>
          <w:rFonts w:hint="eastAsia" w:ascii="宋体" w:hAnsi="宋体"/>
          <w:b/>
          <w:bCs/>
          <w:color w:val="auto"/>
          <w:sz w:val="32"/>
          <w:szCs w:val="32"/>
          <w:highlight w:val="none"/>
        </w:rPr>
        <w:t>章</w:t>
      </w:r>
      <w:r>
        <w:rPr>
          <w:rFonts w:ascii="宋体" w:hAnsi="宋体"/>
          <w:b/>
          <w:bCs/>
          <w:color w:val="auto"/>
          <w:sz w:val="32"/>
          <w:szCs w:val="32"/>
          <w:highlight w:val="none"/>
        </w:rPr>
        <w:t xml:space="preserve">  </w:t>
      </w:r>
      <w:r>
        <w:rPr>
          <w:rFonts w:hint="eastAsia" w:ascii="宋体" w:hAnsi="宋体"/>
          <w:b/>
          <w:bCs/>
          <w:color w:val="auto"/>
          <w:sz w:val="32"/>
          <w:szCs w:val="32"/>
          <w:highlight w:val="none"/>
        </w:rPr>
        <w:t>总则</w:t>
      </w:r>
    </w:p>
    <w:p w14:paraId="5A25FE12">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第</w:t>
      </w:r>
      <w:r>
        <w:rPr>
          <w:rFonts w:ascii="宋体" w:hAnsi="宋体"/>
          <w:b/>
          <w:color w:val="auto"/>
          <w:sz w:val="28"/>
          <w:szCs w:val="28"/>
          <w:highlight w:val="none"/>
        </w:rPr>
        <w:t>101</w:t>
      </w:r>
      <w:r>
        <w:rPr>
          <w:rFonts w:hint="eastAsia" w:ascii="宋体" w:hAnsi="宋体"/>
          <w:b/>
          <w:color w:val="auto"/>
          <w:sz w:val="28"/>
          <w:szCs w:val="28"/>
          <w:highlight w:val="none"/>
        </w:rPr>
        <w:t>节</w:t>
      </w:r>
      <w:r>
        <w:rPr>
          <w:rFonts w:ascii="宋体" w:hAnsi="宋体"/>
          <w:b/>
          <w:color w:val="auto"/>
          <w:sz w:val="28"/>
          <w:szCs w:val="28"/>
          <w:highlight w:val="none"/>
        </w:rPr>
        <w:t xml:space="preserve">   </w:t>
      </w:r>
      <w:r>
        <w:rPr>
          <w:rFonts w:hint="eastAsia" w:ascii="宋体" w:hAnsi="宋体"/>
          <w:b/>
          <w:color w:val="auto"/>
          <w:sz w:val="28"/>
          <w:szCs w:val="28"/>
          <w:highlight w:val="none"/>
        </w:rPr>
        <w:t>通则</w:t>
      </w:r>
    </w:p>
    <w:p w14:paraId="3C89B63C">
      <w:pPr>
        <w:spacing w:line="360" w:lineRule="auto"/>
        <w:ind w:right="18" w:firstLine="434"/>
        <w:jc w:val="left"/>
        <w:rPr>
          <w:rFonts w:hint="eastAsia" w:ascii="宋体" w:hAnsi="宋体"/>
          <w:color w:val="auto"/>
          <w:sz w:val="24"/>
          <w:highlight w:val="none"/>
        </w:rPr>
      </w:pPr>
      <w:r>
        <w:rPr>
          <w:rFonts w:hint="eastAsia" w:ascii="宋体" w:hAnsi="宋体"/>
          <w:color w:val="auto"/>
          <w:sz w:val="24"/>
          <w:highlight w:val="none"/>
        </w:rPr>
        <w:t>1.计量</w:t>
      </w:r>
    </w:p>
    <w:p w14:paraId="7BB19326">
      <w:pPr>
        <w:spacing w:line="360" w:lineRule="auto"/>
        <w:ind w:right="18" w:firstLine="448"/>
        <w:jc w:val="left"/>
        <w:rPr>
          <w:rFonts w:hint="eastAsia" w:ascii="宋体" w:hAnsi="宋体"/>
          <w:color w:val="auto"/>
          <w:sz w:val="24"/>
          <w:highlight w:val="none"/>
        </w:rPr>
      </w:pPr>
      <w:r>
        <w:rPr>
          <w:rFonts w:hint="eastAsia" w:ascii="宋体" w:hAnsi="宋体"/>
          <w:color w:val="auto"/>
          <w:sz w:val="24"/>
          <w:highlight w:val="none"/>
        </w:rPr>
        <w:t>(1)承包人按合同条款办理的建筑工程一切险和第三方责任保险的保险费率按4‰计取，投保金额为工程量清单第100章（</w:t>
      </w:r>
      <w:r>
        <w:rPr>
          <w:rFonts w:hint="eastAsia" w:ascii="宋体" w:hAnsi="宋体" w:eastAsia="Arial" w:cs="Arial"/>
          <w:snapToGrid w:val="0"/>
          <w:color w:val="auto"/>
          <w:spacing w:val="0"/>
          <w:kern w:val="0"/>
          <w:sz w:val="24"/>
          <w:szCs w:val="21"/>
          <w:highlight w:val="none"/>
          <w:lang w:val="en-US" w:eastAsia="zh-CN" w:bidi="ar"/>
        </w:rPr>
        <w:t>扣除建筑工程一切险及第三者责任险的保险费、安全生产费、</w:t>
      </w:r>
      <w:r>
        <w:rPr>
          <w:rFonts w:hint="eastAsia" w:ascii="宋体" w:hAnsi="宋体" w:cs="Arial"/>
          <w:snapToGrid w:val="0"/>
          <w:color w:val="auto"/>
          <w:spacing w:val="0"/>
          <w:kern w:val="0"/>
          <w:sz w:val="24"/>
          <w:szCs w:val="21"/>
          <w:highlight w:val="none"/>
          <w:lang w:val="en-US" w:eastAsia="zh-CN" w:bidi="ar"/>
        </w:rPr>
        <w:t>暂列金额、</w:t>
      </w:r>
      <w:r>
        <w:rPr>
          <w:rFonts w:hint="eastAsia" w:ascii="宋体" w:hAnsi="宋体" w:eastAsia="Arial" w:cs="Arial"/>
          <w:snapToGrid w:val="0"/>
          <w:color w:val="auto"/>
          <w:spacing w:val="0"/>
          <w:kern w:val="0"/>
          <w:sz w:val="24"/>
          <w:szCs w:val="21"/>
          <w:highlight w:val="none"/>
          <w:lang w:val="en-US" w:eastAsia="zh-CN" w:bidi="ar"/>
        </w:rPr>
        <w:t>机电工程设备购置费以及临时用地费</w:t>
      </w:r>
      <w:r>
        <w:rPr>
          <w:rFonts w:hint="eastAsia" w:ascii="宋体" w:hAnsi="宋体"/>
          <w:color w:val="auto"/>
          <w:sz w:val="24"/>
          <w:highlight w:val="none"/>
        </w:rPr>
        <w:t>）至第900章的合计金额，投保范围为本工程在建设期间涉及的一切险种（安全生产责任保险除外）。</w:t>
      </w:r>
    </w:p>
    <w:p w14:paraId="53F565CE">
      <w:pPr>
        <w:spacing w:line="360" w:lineRule="auto"/>
        <w:ind w:right="18" w:firstLine="448"/>
        <w:jc w:val="left"/>
        <w:rPr>
          <w:rFonts w:hint="eastAsia" w:ascii="宋体" w:hAnsi="宋体"/>
          <w:color w:val="auto"/>
          <w:sz w:val="24"/>
          <w:highlight w:val="none"/>
        </w:rPr>
      </w:pPr>
      <w:r>
        <w:rPr>
          <w:rFonts w:hint="eastAsia" w:ascii="宋体" w:hAnsi="宋体"/>
          <w:color w:val="auto"/>
          <w:sz w:val="24"/>
          <w:highlight w:val="none"/>
        </w:rPr>
        <w:t>2.支付</w:t>
      </w:r>
    </w:p>
    <w:p w14:paraId="0D5B9DF1">
      <w:pPr>
        <w:spacing w:line="360" w:lineRule="auto"/>
        <w:ind w:right="17" w:firstLine="420"/>
        <w:jc w:val="left"/>
        <w:rPr>
          <w:rFonts w:hint="eastAsia" w:ascii="宋体" w:hAnsi="宋体"/>
          <w:color w:val="auto"/>
          <w:sz w:val="24"/>
          <w:highlight w:val="none"/>
        </w:rPr>
      </w:pPr>
      <w:r>
        <w:rPr>
          <w:rFonts w:hint="eastAsia" w:ascii="宋体" w:hAnsi="宋体"/>
          <w:color w:val="auto"/>
          <w:sz w:val="24"/>
          <w:highlight w:val="none"/>
        </w:rPr>
        <w:t>（1）合同条款中规定的“建筑工程一切险”和第三方责任险的保险费，将根据保险公司的保单经监理人签证后支付。如果由发包人统一与保险公司办理上述保险，则由发包人扣回。</w:t>
      </w:r>
    </w:p>
    <w:p w14:paraId="5042ABAC">
      <w:pPr>
        <w:spacing w:line="360" w:lineRule="auto"/>
        <w:ind w:right="17" w:firstLine="420"/>
        <w:jc w:val="left"/>
        <w:rPr>
          <w:rFonts w:hint="eastAsia" w:ascii="宋体" w:hAnsi="宋体"/>
          <w:color w:val="auto"/>
          <w:sz w:val="24"/>
          <w:highlight w:val="none"/>
        </w:rPr>
      </w:pPr>
      <w:r>
        <w:rPr>
          <w:rFonts w:hint="eastAsia" w:ascii="宋体" w:hAnsi="宋体"/>
          <w:color w:val="auto"/>
          <w:sz w:val="24"/>
          <w:highlight w:val="none"/>
        </w:rPr>
        <w:t>（2）承包人应根据工程进度情况，按中华人民共和国税法有关规定及时缴纳税金，如</w:t>
      </w:r>
      <w:r>
        <w:rPr>
          <w:rFonts w:hint="eastAsia" w:ascii="宋体" w:hAnsi="宋体"/>
          <w:bCs/>
          <w:color w:val="auto"/>
          <w:sz w:val="24"/>
          <w:highlight w:val="none"/>
        </w:rPr>
        <w:t>增值税、城市建设维护税、教育附加税、地方教育附加税等</w:t>
      </w:r>
      <w:r>
        <w:rPr>
          <w:rFonts w:hint="eastAsia" w:ascii="宋体" w:hAnsi="宋体"/>
          <w:color w:val="auto"/>
          <w:sz w:val="24"/>
          <w:highlight w:val="none"/>
        </w:rPr>
        <w:t>由发包人代扣代缴，则应根据合同约定的费率和计算方法计算税金，及时扣回。]</w:t>
      </w:r>
    </w:p>
    <w:p w14:paraId="69AB84CA">
      <w:pPr>
        <w:spacing w:line="360" w:lineRule="auto"/>
        <w:ind w:right="18" w:firstLine="406"/>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7CA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3FBF30F">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C83635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88A4A44">
            <w:pPr>
              <w:jc w:val="left"/>
              <w:rPr>
                <w:rFonts w:hint="eastAsia" w:ascii="宋体" w:hAnsi="宋体"/>
                <w:color w:val="auto"/>
                <w:sz w:val="24"/>
                <w:highlight w:val="none"/>
              </w:rPr>
            </w:pPr>
            <w:r>
              <w:rPr>
                <w:rFonts w:hint="eastAsia" w:ascii="宋体" w:hAnsi="宋体"/>
                <w:color w:val="auto"/>
                <w:sz w:val="24"/>
                <w:highlight w:val="none"/>
              </w:rPr>
              <w:t>单位</w:t>
            </w:r>
          </w:p>
        </w:tc>
      </w:tr>
      <w:tr w14:paraId="556F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C24D02E">
            <w:pPr>
              <w:ind w:right="18"/>
              <w:jc w:val="left"/>
              <w:rPr>
                <w:rFonts w:hint="eastAsia" w:ascii="宋体" w:hAnsi="宋体"/>
                <w:color w:val="auto"/>
                <w:sz w:val="24"/>
                <w:highlight w:val="none"/>
              </w:rPr>
            </w:pPr>
            <w:r>
              <w:rPr>
                <w:rFonts w:hint="eastAsia" w:ascii="宋体" w:hAnsi="宋体"/>
                <w:color w:val="auto"/>
                <w:sz w:val="24"/>
                <w:highlight w:val="none"/>
              </w:rPr>
              <w:t>101-1</w:t>
            </w:r>
          </w:p>
        </w:tc>
        <w:tc>
          <w:tcPr>
            <w:tcW w:w="5400" w:type="dxa"/>
            <w:noWrap w:val="0"/>
            <w:vAlign w:val="center"/>
          </w:tcPr>
          <w:p w14:paraId="607A624D">
            <w:pPr>
              <w:ind w:right="18"/>
              <w:jc w:val="left"/>
              <w:rPr>
                <w:rFonts w:hint="eastAsia" w:ascii="宋体" w:hAnsi="宋体"/>
                <w:color w:val="auto"/>
                <w:sz w:val="24"/>
                <w:highlight w:val="none"/>
              </w:rPr>
            </w:pPr>
            <w:r>
              <w:rPr>
                <w:rFonts w:hint="eastAsia" w:ascii="宋体" w:hAnsi="宋体"/>
                <w:color w:val="auto"/>
                <w:sz w:val="24"/>
                <w:highlight w:val="none"/>
              </w:rPr>
              <w:t>保险费</w:t>
            </w:r>
          </w:p>
        </w:tc>
        <w:tc>
          <w:tcPr>
            <w:tcW w:w="1260" w:type="dxa"/>
            <w:noWrap w:val="0"/>
            <w:vAlign w:val="center"/>
          </w:tcPr>
          <w:p w14:paraId="1E13E3B7">
            <w:pPr>
              <w:ind w:right="18"/>
              <w:jc w:val="left"/>
              <w:rPr>
                <w:rFonts w:hint="eastAsia" w:ascii="宋体" w:hAnsi="宋体"/>
                <w:color w:val="auto"/>
                <w:sz w:val="24"/>
                <w:highlight w:val="none"/>
              </w:rPr>
            </w:pPr>
            <w:r>
              <w:rPr>
                <w:rFonts w:hint="eastAsia" w:ascii="宋体" w:hAnsi="宋体"/>
                <w:color w:val="auto"/>
                <w:sz w:val="24"/>
                <w:highlight w:val="none"/>
              </w:rPr>
              <w:t>总 额</w:t>
            </w:r>
          </w:p>
        </w:tc>
      </w:tr>
    </w:tbl>
    <w:p w14:paraId="01C5003A">
      <w:pPr>
        <w:spacing w:line="360" w:lineRule="auto"/>
        <w:ind w:right="18" w:firstLine="406"/>
        <w:jc w:val="left"/>
        <w:rPr>
          <w:rFonts w:hint="eastAsia" w:ascii="宋体" w:hAnsi="宋体"/>
          <w:color w:val="auto"/>
          <w:sz w:val="24"/>
          <w:highlight w:val="none"/>
        </w:rPr>
      </w:pPr>
    </w:p>
    <w:p w14:paraId="2B3EEEC8">
      <w:pPr>
        <w:spacing w:line="360" w:lineRule="auto"/>
        <w:jc w:val="left"/>
        <w:rPr>
          <w:rFonts w:hint="eastAsia" w:ascii="宋体" w:hAnsi="宋体"/>
          <w:b/>
          <w:color w:val="auto"/>
          <w:sz w:val="28"/>
          <w:szCs w:val="28"/>
          <w:highlight w:val="none"/>
        </w:rPr>
      </w:pPr>
      <w:r>
        <w:rPr>
          <w:rFonts w:hint="eastAsia" w:ascii="宋体" w:hAnsi="宋体"/>
          <w:b/>
          <w:color w:val="auto"/>
          <w:sz w:val="28"/>
          <w:szCs w:val="28"/>
          <w:highlight w:val="none"/>
        </w:rPr>
        <w:t>第</w:t>
      </w:r>
      <w:r>
        <w:rPr>
          <w:rFonts w:ascii="宋体" w:hAnsi="宋体"/>
          <w:b/>
          <w:color w:val="auto"/>
          <w:sz w:val="28"/>
          <w:szCs w:val="28"/>
          <w:highlight w:val="none"/>
        </w:rPr>
        <w:t>102</w:t>
      </w:r>
      <w:r>
        <w:rPr>
          <w:rFonts w:hint="eastAsia" w:ascii="宋体" w:hAnsi="宋体"/>
          <w:b/>
          <w:color w:val="auto"/>
          <w:sz w:val="28"/>
          <w:szCs w:val="28"/>
          <w:highlight w:val="none"/>
        </w:rPr>
        <w:t>节  工程管理</w:t>
      </w:r>
    </w:p>
    <w:p w14:paraId="00BCD766">
      <w:pPr>
        <w:numPr>
          <w:ilvl w:val="0"/>
          <w:numId w:val="1"/>
        </w:numPr>
        <w:tabs>
          <w:tab w:val="left" w:pos="900"/>
          <w:tab w:val="clear" w:pos="840"/>
        </w:tabs>
        <w:adjustRightInd w:val="0"/>
        <w:snapToGrid w:val="0"/>
        <w:spacing w:line="360" w:lineRule="auto"/>
        <w:ind w:left="900"/>
        <w:jc w:val="left"/>
        <w:rPr>
          <w:rFonts w:hint="eastAsia" w:ascii="宋体" w:hAnsi="宋体"/>
          <w:color w:val="auto"/>
          <w:sz w:val="24"/>
          <w:highlight w:val="none"/>
        </w:rPr>
      </w:pPr>
      <w:r>
        <w:rPr>
          <w:rFonts w:hint="eastAsia" w:ascii="宋体" w:hAnsi="宋体"/>
          <w:color w:val="auto"/>
          <w:sz w:val="24"/>
          <w:highlight w:val="none"/>
        </w:rPr>
        <w:t>计量</w:t>
      </w:r>
    </w:p>
    <w:p w14:paraId="178D7F85">
      <w:pPr>
        <w:spacing w:line="360" w:lineRule="auto"/>
        <w:ind w:right="18" w:firstLine="420"/>
        <w:jc w:val="left"/>
        <w:rPr>
          <w:rFonts w:hint="eastAsia" w:ascii="宋体" w:hAnsi="宋体"/>
          <w:color w:val="auto"/>
          <w:sz w:val="24"/>
          <w:highlight w:val="none"/>
          <w:lang w:eastAsia="zh-CN"/>
        </w:rPr>
      </w:pPr>
      <w:r>
        <w:rPr>
          <w:rFonts w:ascii="宋体" w:hAnsi="宋体"/>
          <w:color w:val="auto"/>
          <w:sz w:val="24"/>
          <w:highlight w:val="none"/>
        </w:rPr>
        <w:t>(1)</w:t>
      </w:r>
      <w:r>
        <w:rPr>
          <w:rFonts w:hint="eastAsia" w:ascii="宋体" w:hAnsi="宋体" w:eastAsia="宋体" w:cs="宋体"/>
          <w:color w:val="auto"/>
          <w:sz w:val="24"/>
          <w:highlight w:val="none"/>
        </w:rPr>
        <w:t>竣工文</w:t>
      </w:r>
      <w:r>
        <w:rPr>
          <w:rFonts w:hint="eastAsia" w:ascii="宋体" w:hAnsi="宋体" w:eastAsia="宋体" w:cs="宋体"/>
          <w:color w:val="auto"/>
          <w:sz w:val="24"/>
          <w:highlight w:val="none"/>
          <w:lang w:eastAsia="zh-CN"/>
        </w:rPr>
        <w:t>件</w:t>
      </w:r>
      <w:r>
        <w:rPr>
          <w:rFonts w:hint="eastAsia" w:ascii="宋体" w:hAnsi="宋体" w:eastAsia="宋体" w:cs="宋体"/>
          <w:color w:val="auto"/>
          <w:sz w:val="24"/>
          <w:highlight w:val="none"/>
        </w:rPr>
        <w:t>工作内容包括在工程实施过程中及在项目完工后,承包人应按照广东省交通运输厅关于公路建设项目档案的管理办法》和发包人制定的竣工文件资料管理办法的规定开展竣工文件材料的编制、收集、整理、立卷、归档及信息化平台上传等工作。承包人向发包人提交的合格的竣工文件中必须包括有整套竣工图的电子档案。承包人在完成施工图表等竣工文件的同时,还应按《广东省交通运输厅关于印发广东省公路工程竣工决算文件编制指南的通知》、《交通运输部基本建设项目竣工财务决算编审规定》的规定，编制由承包人实施的工程结算文件，报监理人审核，作为竣工文件的一部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该费用包含在相关子目单价中，不另行计价。</w:t>
      </w:r>
    </w:p>
    <w:p w14:paraId="451050E3">
      <w:pPr>
        <w:spacing w:line="360" w:lineRule="auto"/>
        <w:ind w:right="18" w:firstLine="420"/>
        <w:jc w:val="left"/>
        <w:rPr>
          <w:rFonts w:hint="eastAsia" w:ascii="宋体" w:hAnsi="宋体" w:eastAsia="宋体" w:cs="宋体"/>
          <w:color w:val="auto"/>
          <w:sz w:val="24"/>
          <w:highlight w:val="none"/>
          <w:lang w:eastAsia="zh-CN"/>
        </w:rPr>
      </w:pPr>
    </w:p>
    <w:p w14:paraId="1DD956C1">
      <w:pPr>
        <w:spacing w:line="360" w:lineRule="auto"/>
        <w:ind w:right="18" w:firstLine="420"/>
        <w:jc w:val="left"/>
        <w:rPr>
          <w:rFonts w:hint="eastAsia" w:ascii="宋体" w:hAnsi="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2</w:t>
      </w:r>
      <w:r>
        <w:rPr>
          <w:rFonts w:hint="eastAsia" w:ascii="宋体" w:hAnsi="宋体"/>
          <w:color w:val="auto"/>
          <w:sz w:val="24"/>
          <w:highlight w:val="none"/>
          <w:lang w:eastAsia="zh-CN"/>
        </w:rPr>
        <w:t>）</w:t>
      </w:r>
      <w:r>
        <w:rPr>
          <w:rFonts w:hint="eastAsia" w:ascii="宋体" w:hAnsi="宋体" w:eastAsia="宋体" w:cs="宋体"/>
          <w:color w:val="auto"/>
          <w:sz w:val="24"/>
          <w:highlight w:val="none"/>
        </w:rPr>
        <w:t>施工环保费（含文明施工）其工作内容包括：施工现场整洁文明（如要求各承包人现场驻地统一采用活动板房或发包人认可的租用场所、料场整齐分区明确、消防安全设施齐备等），施工场地沙石化、控制扬尘、降低噪声、合理排污等一切与此有关的作业，该费用包含在相关子目单价中，不另行计价。</w:t>
      </w:r>
    </w:p>
    <w:p w14:paraId="1C4ED93F">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w:t>
      </w:r>
      <w:r>
        <w:rPr>
          <w:rFonts w:hint="eastAsia" w:ascii="宋体" w:hAnsi="宋体"/>
          <w:color w:val="auto"/>
          <w:sz w:val="24"/>
          <w:highlight w:val="none"/>
        </w:rPr>
        <w:t>清单子目“102-3安全生产经费”为发包人公布的固定金额。其下内容包括：应用于设置、完善、改造和维护安全防护设施设备支出；配备、维护、保养应急救援器材、设备支出和应急演练支出；重大风险源和安全事故隐患评估、监控和整改支出；安全生产检查、评价、咨询和标准化建设支出；配备和更新现场作业人员安全防护用品支出；安全生产宣传、教育、培训支出；安全生产试用的新技术、新标准、新工艺、新装备的推广应用支出；安全设施及特种设备检测检验支出；其他安全生产费用支出，不得挪作他用。施工安全设施费及与此有关的一切作业经监理人，对工程安全生产情况审查批准后，以总额计量。安全生产费用实行专款专用、专户核算，任何单位或个人不行挤占或挪用。</w:t>
      </w:r>
    </w:p>
    <w:p w14:paraId="3E712D31">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根据《广州市安全生产委员会办公室关于印发《广州市2019年度安全生产责任保险工作方案》的通知》（穗安办（2019）21号）要求，在全市建筑施工领域强制推行安全生产责任保险制度，承包人应按文件要求办理安全生产责任保险。办理该保险的一切费用均由承包人承担，并已包括在安全生产经费总额中。</w:t>
      </w:r>
    </w:p>
    <w:p w14:paraId="5AAC26EE">
      <w:pPr>
        <w:spacing w:line="360" w:lineRule="auto"/>
        <w:ind w:firstLine="480" w:firstLineChars="200"/>
        <w:jc w:val="left"/>
        <w:textAlignment w:val="baseline"/>
        <w:rPr>
          <w:rFonts w:hint="eastAsia" w:ascii="宋体" w:hAnsi="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工程管理软件主要包括工程结算决算计量一体化软件、操作人员的培训、劳务和计算机配置、维护、备份管理及网络构筑等一切与此相关的费用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该费用包含在相关子目单价中，不另行计价。</w:t>
      </w:r>
    </w:p>
    <w:p w14:paraId="66199854">
      <w:pPr>
        <w:spacing w:line="360" w:lineRule="auto"/>
        <w:ind w:right="18" w:firstLine="420"/>
        <w:jc w:val="left"/>
        <w:rPr>
          <w:rFonts w:hint="eastAsia" w:ascii="宋体" w:hAnsi="宋体" w:eastAsia="宋体" w:cs="宋体"/>
          <w:color w:val="auto"/>
          <w:sz w:val="24"/>
          <w:highlight w:val="none"/>
        </w:rPr>
      </w:pPr>
      <w:r>
        <w:rPr>
          <w:rFonts w:hint="eastAsia" w:ascii="宋体" w:hAnsi="宋体"/>
          <w:color w:val="auto"/>
          <w:sz w:val="24"/>
          <w:highlight w:val="none"/>
        </w:rPr>
        <w:t>(5)</w:t>
      </w:r>
      <w:r>
        <w:rPr>
          <w:rFonts w:hint="eastAsia" w:ascii="宋体" w:hAnsi="宋体" w:eastAsia="宋体" w:cs="宋体"/>
          <w:color w:val="auto"/>
          <w:sz w:val="24"/>
          <w:highlight w:val="none"/>
        </w:rPr>
        <w:t>交通管制经费，以总额计量，其费用包括为保证工程施工而需要占用交通设施或影响交通设施正常使用、暂时维持或封闭交通、缴纳地方收取的占用设施费、施工围蔽（结合图纸参照《广州市建设工程绿色施工围蔽指导图集（V2.0版）》实施，施工单位应根据实际情况及相关法规编制施工组织方案，报监理审批后落实围蔽实施方案）、施工警示灯等费用，包括但不限于</w:t>
      </w:r>
      <w:r>
        <w:rPr>
          <w:rFonts w:hint="eastAsia" w:ascii="宋体" w:hAnsi="宋体" w:eastAsia="宋体" w:cs="宋体"/>
          <w:color w:val="auto"/>
          <w:sz w:val="24"/>
          <w:highlight w:val="none"/>
          <w:lang w:eastAsia="zh-CN"/>
        </w:rPr>
        <w:t>交通疏解、</w:t>
      </w:r>
      <w:r>
        <w:rPr>
          <w:rFonts w:hint="eastAsia" w:ascii="宋体" w:hAnsi="宋体" w:eastAsia="宋体" w:cs="宋体"/>
          <w:color w:val="auto"/>
          <w:sz w:val="24"/>
          <w:highlight w:val="none"/>
        </w:rPr>
        <w:t>指示灯、标示牌、交通协管员</w:t>
      </w:r>
      <w:r>
        <w:rPr>
          <w:rFonts w:hint="eastAsia" w:ascii="宋体" w:hAnsi="宋体" w:eastAsia="宋体" w:cs="宋体"/>
          <w:color w:val="auto"/>
          <w:sz w:val="24"/>
          <w:highlight w:val="none"/>
          <w:lang w:eastAsia="zh-CN"/>
        </w:rPr>
        <w:t>、临时标线、</w:t>
      </w:r>
      <w:r>
        <w:rPr>
          <w:rFonts w:hint="eastAsia" w:ascii="宋体" w:hAnsi="宋体" w:eastAsia="宋体" w:cs="宋体"/>
          <w:color w:val="auto"/>
          <w:sz w:val="24"/>
          <w:highlight w:val="none"/>
        </w:rPr>
        <w:t>防护措施、公路及地方道路的维护、恢复交通必要的清理和修复、交通组织方案的编制、评审和实施费用以及按主管部门如水利、交警、边防、公路管理等部门要求需缴纳的各种费用等。交通管制经费应专项使用，不得挪作他用。并执行以下规定：</w:t>
      </w:r>
    </w:p>
    <w:p w14:paraId="49425DDE">
      <w:pPr>
        <w:spacing w:line="360" w:lineRule="auto"/>
        <w:ind w:right="18" w:firstLine="42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公路（道路）交通安全措施及协调费</w:t>
      </w:r>
    </w:p>
    <w:p w14:paraId="0EE31499">
      <w:pPr>
        <w:spacing w:line="360" w:lineRule="auto"/>
        <w:ind w:right="18" w:firstLine="42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凡与其他公路（道路）、地铁交叉或共线的，承包人须按规定做好施工和疏导交通所需安全标志的摆设和相应的交通组织方案，所有作业和摆设须符合《公路养护技术规范》、《公路养护安全作业规程》、《公路工程施工安全技术规程》和《中华人民共和国公共安全行业标准道路作业交通安全标志》以及交通组织设计的要求，确保与作业路段交叉或共线公路（道路）的通车运营需要和交通安全维护，其他交通安全措施及协调费是指承包人在施工期间所需的交通安全维护费用（包括清障机械设备的日常使用，交通协管员的招收、培训及使用，以及临时交通安全设施的布设、保有、维护、与其他公路（道路）主管部门协调和按发包人有关交通组织安全维护管理的要求应完成的事项）。该费用主要用于加强承包人施工期的交通组织实施、安全维护和应急处理，保障原有道路的交通安全。交通安全措施方案必须报监理人审核、发包人批准后才能实施。</w:t>
      </w:r>
    </w:p>
    <w:p w14:paraId="30F327DD">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79985749">
      <w:pPr>
        <w:spacing w:line="360" w:lineRule="auto"/>
        <w:ind w:right="18" w:firstLine="420"/>
        <w:jc w:val="left"/>
        <w:rPr>
          <w:rFonts w:hint="eastAsia" w:ascii="宋体" w:hAnsi="宋体" w:eastAsia="宋体" w:cs="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eastAsia="宋体" w:cs="宋体"/>
          <w:color w:val="auto"/>
          <w:sz w:val="24"/>
          <w:highlight w:val="none"/>
        </w:rPr>
        <w:t>102-1子目在监理人验收合格后一次支付。</w:t>
      </w:r>
    </w:p>
    <w:p w14:paraId="11CD2118">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lang w:val="en-US" w:eastAsia="zh-CN"/>
        </w:rPr>
        <w:t>2</w:t>
      </w:r>
      <w:r>
        <w:rPr>
          <w:rFonts w:ascii="宋体" w:hAnsi="宋体"/>
          <w:color w:val="auto"/>
          <w:sz w:val="24"/>
          <w:highlight w:val="none"/>
        </w:rPr>
        <w:t>)</w:t>
      </w:r>
      <w:r>
        <w:rPr>
          <w:rFonts w:hint="eastAsia" w:ascii="宋体" w:hAnsi="宋体"/>
          <w:color w:val="auto"/>
          <w:sz w:val="24"/>
          <w:highlight w:val="none"/>
        </w:rPr>
        <w:t>102-3安全生产费用</w:t>
      </w:r>
    </w:p>
    <w:p w14:paraId="6DDE8101">
      <w:pPr>
        <w:adjustRightInd w:val="0"/>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a、经审查符合开工条件支付该项价款的60%；中间安全评价合格后支付30%；工程竣工安全评价合格后支付10%。</w:t>
      </w:r>
    </w:p>
    <w:p w14:paraId="4F121C27">
      <w:pPr>
        <w:adjustRightInd w:val="0"/>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b、因重大设计变更原因造成施工单位实际投入安全生产费用总额与合同约定不一致的，差额部分的安全生产费用由建设单位按批复变更金额和规定提取比例同时调整。</w:t>
      </w:r>
    </w:p>
    <w:p w14:paraId="70601865">
      <w:pPr>
        <w:adjustRightInd w:val="0"/>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(2)102-5项费用将根据承包人工程的实施情况及工程进度，经监理人确认后按进度拨付。无论何时，上述实际支付的合价不应超过合同确认的总额，否则即停止相应支付项目的支付。</w:t>
      </w:r>
    </w:p>
    <w:p w14:paraId="2A451087">
      <w:pPr>
        <w:adjustRightInd w:val="0"/>
        <w:snapToGrid w:val="0"/>
        <w:spacing w:line="360" w:lineRule="auto"/>
        <w:ind w:firstLine="480" w:firstLineChars="200"/>
        <w:jc w:val="left"/>
        <w:rPr>
          <w:rFonts w:hint="eastAsia" w:ascii="宋体" w:hAnsi="宋体"/>
          <w:bCs/>
          <w:color w:val="auto"/>
          <w:sz w:val="24"/>
          <w:highlight w:val="none"/>
        </w:rPr>
      </w:pPr>
      <w:r>
        <w:rPr>
          <w:rFonts w:ascii="宋体" w:hAnsi="宋体"/>
          <w:color w:val="auto"/>
          <w:sz w:val="24"/>
          <w:highlight w:val="none"/>
        </w:rPr>
        <w:t>(</w:t>
      </w:r>
      <w:r>
        <w:rPr>
          <w:rFonts w:hint="eastAsia" w:ascii="宋体" w:hAnsi="宋体"/>
          <w:color w:val="auto"/>
          <w:sz w:val="24"/>
          <w:highlight w:val="none"/>
          <w:lang w:val="en-US" w:eastAsia="zh-CN"/>
        </w:rPr>
        <w:t>3</w:t>
      </w:r>
      <w:r>
        <w:rPr>
          <w:rFonts w:ascii="宋体" w:hAnsi="宋体"/>
          <w:color w:val="auto"/>
          <w:sz w:val="24"/>
          <w:highlight w:val="none"/>
        </w:rPr>
        <w:t>)</w:t>
      </w:r>
      <w:r>
        <w:rPr>
          <w:rFonts w:hint="eastAsia" w:ascii="宋体" w:hAnsi="宋体"/>
          <w:color w:val="auto"/>
          <w:sz w:val="24"/>
          <w:highlight w:val="none"/>
        </w:rPr>
        <w:t>102-5项费用将根据承包人工程的实施情况及工程进度，经监理人确认后按进度拨付。</w:t>
      </w:r>
      <w:r>
        <w:rPr>
          <w:rFonts w:hint="eastAsia" w:ascii="宋体" w:hAnsi="宋体"/>
          <w:bCs/>
          <w:color w:val="auto"/>
          <w:sz w:val="24"/>
          <w:highlight w:val="none"/>
        </w:rPr>
        <w:t>无论何时，上述实际支付的合价不应超过合同确认的总额，否则即停止相应支付项目的支付。</w:t>
      </w:r>
    </w:p>
    <w:p w14:paraId="5E5CAEA5">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91C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15DFF19">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B7C9C2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AD8D821">
            <w:pPr>
              <w:jc w:val="left"/>
              <w:rPr>
                <w:rFonts w:hint="eastAsia" w:ascii="宋体" w:hAnsi="宋体"/>
                <w:color w:val="auto"/>
                <w:sz w:val="24"/>
                <w:highlight w:val="none"/>
              </w:rPr>
            </w:pPr>
            <w:r>
              <w:rPr>
                <w:rFonts w:hint="eastAsia" w:ascii="宋体" w:hAnsi="宋体"/>
                <w:color w:val="auto"/>
                <w:sz w:val="24"/>
                <w:highlight w:val="none"/>
              </w:rPr>
              <w:t>单位</w:t>
            </w:r>
          </w:p>
        </w:tc>
      </w:tr>
      <w:tr w14:paraId="2C57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3A7C1B4">
            <w:pPr>
              <w:widowControl/>
              <w:jc w:val="left"/>
              <w:rPr>
                <w:rFonts w:ascii="宋体" w:hAnsi="宋体"/>
                <w:color w:val="auto"/>
                <w:sz w:val="24"/>
                <w:highlight w:val="none"/>
              </w:rPr>
            </w:pPr>
            <w:r>
              <w:rPr>
                <w:rFonts w:hint="eastAsia" w:ascii="宋体" w:hAnsi="宋体"/>
                <w:color w:val="auto"/>
                <w:sz w:val="24"/>
                <w:highlight w:val="none"/>
              </w:rPr>
              <w:t>102-3</w:t>
            </w:r>
          </w:p>
        </w:tc>
        <w:tc>
          <w:tcPr>
            <w:tcW w:w="5400" w:type="dxa"/>
            <w:noWrap w:val="0"/>
            <w:vAlign w:val="center"/>
          </w:tcPr>
          <w:p w14:paraId="6BB098EC">
            <w:pPr>
              <w:widowControl/>
              <w:jc w:val="left"/>
              <w:rPr>
                <w:rFonts w:ascii="宋体" w:hAnsi="宋体"/>
                <w:color w:val="auto"/>
                <w:sz w:val="24"/>
                <w:highlight w:val="none"/>
              </w:rPr>
            </w:pPr>
            <w:r>
              <w:rPr>
                <w:rFonts w:hint="eastAsia" w:ascii="宋体" w:hAnsi="宋体"/>
                <w:color w:val="auto"/>
                <w:sz w:val="24"/>
                <w:highlight w:val="none"/>
              </w:rPr>
              <w:t>安全生产费</w:t>
            </w:r>
          </w:p>
        </w:tc>
        <w:tc>
          <w:tcPr>
            <w:tcW w:w="1260" w:type="dxa"/>
            <w:noWrap w:val="0"/>
            <w:vAlign w:val="center"/>
          </w:tcPr>
          <w:p w14:paraId="0ECAC809">
            <w:pPr>
              <w:widowControl/>
              <w:jc w:val="left"/>
              <w:rPr>
                <w:rFonts w:ascii="宋体" w:hAnsi="宋体"/>
                <w:color w:val="auto"/>
                <w:sz w:val="24"/>
                <w:highlight w:val="none"/>
              </w:rPr>
            </w:pPr>
            <w:r>
              <w:rPr>
                <w:rFonts w:hint="eastAsia" w:ascii="宋体" w:hAnsi="宋体"/>
                <w:color w:val="auto"/>
                <w:sz w:val="24"/>
                <w:highlight w:val="none"/>
              </w:rPr>
              <w:t>总额</w:t>
            </w:r>
          </w:p>
        </w:tc>
      </w:tr>
      <w:tr w14:paraId="04CA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0F37381">
            <w:pPr>
              <w:widowControl/>
              <w:jc w:val="left"/>
              <w:rPr>
                <w:rFonts w:ascii="宋体" w:hAnsi="宋体"/>
                <w:color w:val="auto"/>
                <w:sz w:val="24"/>
                <w:highlight w:val="none"/>
              </w:rPr>
            </w:pPr>
            <w:r>
              <w:rPr>
                <w:rFonts w:hint="eastAsia" w:ascii="宋体" w:hAnsi="宋体"/>
                <w:color w:val="auto"/>
                <w:sz w:val="24"/>
                <w:highlight w:val="none"/>
              </w:rPr>
              <w:t>102-5</w:t>
            </w:r>
          </w:p>
        </w:tc>
        <w:tc>
          <w:tcPr>
            <w:tcW w:w="5400" w:type="dxa"/>
            <w:noWrap w:val="0"/>
            <w:vAlign w:val="center"/>
          </w:tcPr>
          <w:p w14:paraId="4CF9B94C">
            <w:pPr>
              <w:widowControl/>
              <w:jc w:val="left"/>
              <w:rPr>
                <w:rFonts w:ascii="宋体" w:hAnsi="宋体"/>
                <w:color w:val="auto"/>
                <w:sz w:val="24"/>
                <w:highlight w:val="none"/>
              </w:rPr>
            </w:pPr>
            <w:r>
              <w:rPr>
                <w:rFonts w:hint="eastAsia" w:ascii="宋体" w:hAnsi="宋体"/>
                <w:color w:val="auto"/>
                <w:sz w:val="24"/>
                <w:highlight w:val="none"/>
              </w:rPr>
              <w:t>交通管制经费</w:t>
            </w:r>
          </w:p>
        </w:tc>
        <w:tc>
          <w:tcPr>
            <w:tcW w:w="1260" w:type="dxa"/>
            <w:noWrap w:val="0"/>
            <w:vAlign w:val="center"/>
          </w:tcPr>
          <w:p w14:paraId="3DCB748F">
            <w:pPr>
              <w:widowControl/>
              <w:jc w:val="left"/>
              <w:rPr>
                <w:rFonts w:ascii="宋体" w:hAnsi="宋体"/>
                <w:color w:val="auto"/>
                <w:sz w:val="24"/>
                <w:highlight w:val="none"/>
              </w:rPr>
            </w:pPr>
            <w:r>
              <w:rPr>
                <w:rFonts w:hint="eastAsia" w:ascii="宋体" w:hAnsi="宋体"/>
                <w:color w:val="auto"/>
                <w:sz w:val="24"/>
                <w:highlight w:val="none"/>
              </w:rPr>
              <w:t>总额</w:t>
            </w:r>
          </w:p>
        </w:tc>
      </w:tr>
    </w:tbl>
    <w:p w14:paraId="5FDBC401">
      <w:pPr>
        <w:adjustRightInd w:val="0"/>
        <w:snapToGrid w:val="0"/>
        <w:spacing w:line="360" w:lineRule="auto"/>
        <w:ind w:firstLine="480" w:firstLineChars="200"/>
        <w:jc w:val="left"/>
        <w:rPr>
          <w:rFonts w:hint="eastAsia" w:ascii="宋体" w:hAnsi="宋体" w:cs="宋体"/>
          <w:color w:val="auto"/>
          <w:sz w:val="24"/>
          <w:highlight w:val="none"/>
        </w:rPr>
      </w:pPr>
    </w:p>
    <w:p w14:paraId="2279A8CD">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w:t>
      </w:r>
      <w:r>
        <w:rPr>
          <w:rFonts w:ascii="宋体" w:hAnsi="宋体"/>
          <w:b/>
          <w:color w:val="auto"/>
          <w:sz w:val="28"/>
          <w:szCs w:val="28"/>
          <w:highlight w:val="none"/>
        </w:rPr>
        <w:t>10</w:t>
      </w:r>
      <w:r>
        <w:rPr>
          <w:rFonts w:hint="eastAsia" w:ascii="宋体" w:hAnsi="宋体"/>
          <w:b/>
          <w:color w:val="auto"/>
          <w:sz w:val="28"/>
          <w:szCs w:val="28"/>
          <w:highlight w:val="none"/>
        </w:rPr>
        <w:t>3节</w:t>
      </w:r>
      <w:r>
        <w:rPr>
          <w:rFonts w:ascii="宋体" w:hAnsi="宋体"/>
          <w:b/>
          <w:color w:val="auto"/>
          <w:sz w:val="28"/>
          <w:szCs w:val="28"/>
          <w:highlight w:val="none"/>
        </w:rPr>
        <w:t xml:space="preserve">    </w:t>
      </w:r>
      <w:r>
        <w:rPr>
          <w:rFonts w:hint="eastAsia" w:ascii="宋体" w:hAnsi="宋体"/>
          <w:b/>
          <w:color w:val="auto"/>
          <w:sz w:val="28"/>
          <w:szCs w:val="28"/>
          <w:highlight w:val="none"/>
        </w:rPr>
        <w:t>临时工程与设施</w:t>
      </w:r>
    </w:p>
    <w:p w14:paraId="01509C89">
      <w:pPr>
        <w:spacing w:line="360" w:lineRule="auto"/>
        <w:ind w:firstLine="480" w:firstLineChars="200"/>
        <w:jc w:val="left"/>
        <w:rPr>
          <w:rFonts w:hint="eastAsia" w:ascii="宋体" w:hAnsi="宋体"/>
          <w:bCs/>
          <w:color w:val="auto"/>
          <w:sz w:val="24"/>
          <w:highlight w:val="none"/>
        </w:rPr>
      </w:pPr>
      <w:r>
        <w:rPr>
          <w:rFonts w:hint="eastAsia" w:ascii="宋体" w:hAnsi="宋体"/>
          <w:bCs/>
          <w:color w:val="auto"/>
          <w:sz w:val="24"/>
          <w:highlight w:val="none"/>
        </w:rPr>
        <w:t>1. 计量</w:t>
      </w:r>
    </w:p>
    <w:p w14:paraId="6F5AE82C">
      <w:pPr>
        <w:spacing w:line="360" w:lineRule="auto"/>
        <w:ind w:right="18" w:firstLine="420"/>
        <w:jc w:val="left"/>
        <w:rPr>
          <w:rFonts w:hint="eastAsia" w:ascii="宋体" w:hAnsi="宋体"/>
          <w:color w:val="auto"/>
          <w:sz w:val="24"/>
          <w:highlight w:val="none"/>
          <w:lang w:eastAsia="zh-CN"/>
        </w:rPr>
      </w:pPr>
      <w:r>
        <w:rPr>
          <w:rFonts w:ascii="宋体" w:hAnsi="宋体"/>
          <w:color w:val="auto"/>
          <w:sz w:val="24"/>
          <w:highlight w:val="none"/>
        </w:rPr>
        <w:t>(1)</w:t>
      </w:r>
      <w:r>
        <w:rPr>
          <w:rFonts w:hint="eastAsia" w:ascii="宋体" w:hAnsi="宋体"/>
          <w:color w:val="auto"/>
          <w:sz w:val="24"/>
          <w:highlight w:val="none"/>
        </w:rPr>
        <w:t>临时便桥修建、养护与拆除（包括原桥梁的养护费）</w:t>
      </w:r>
      <w:r>
        <w:rPr>
          <w:rFonts w:hint="eastAsia" w:ascii="宋体" w:hAnsi="宋体"/>
          <w:color w:val="auto"/>
          <w:sz w:val="24"/>
          <w:highlight w:val="none"/>
          <w:lang w:eastAsia="zh-CN"/>
        </w:rPr>
        <w:t>包括钢栈桥搭建、养护</w:t>
      </w:r>
    </w:p>
    <w:p w14:paraId="2ACBA851">
      <w:pPr>
        <w:spacing w:line="360" w:lineRule="auto"/>
        <w:ind w:right="18"/>
        <w:jc w:val="left"/>
        <w:rPr>
          <w:rFonts w:hint="eastAsia" w:ascii="宋体" w:hAnsi="宋体"/>
          <w:color w:val="auto"/>
          <w:sz w:val="24"/>
          <w:highlight w:val="none"/>
        </w:rPr>
      </w:pPr>
      <w:r>
        <w:rPr>
          <w:rFonts w:hint="eastAsia" w:ascii="宋体" w:hAnsi="宋体"/>
          <w:color w:val="auto"/>
          <w:sz w:val="24"/>
          <w:highlight w:val="none"/>
          <w:lang w:eastAsia="zh-CN"/>
        </w:rPr>
        <w:t>、拆除的所有工作内容</w:t>
      </w:r>
      <w:r>
        <w:rPr>
          <w:rFonts w:hint="eastAsia" w:ascii="宋体" w:hAnsi="宋体"/>
          <w:color w:val="auto"/>
          <w:sz w:val="24"/>
          <w:highlight w:val="none"/>
        </w:rPr>
        <w:t>，</w:t>
      </w:r>
      <w:r>
        <w:rPr>
          <w:rFonts w:hint="eastAsia" w:ascii="宋体" w:hAnsi="宋体"/>
          <w:color w:val="auto"/>
          <w:sz w:val="24"/>
          <w:highlight w:val="none"/>
          <w:lang w:eastAsia="zh-CN"/>
        </w:rPr>
        <w:t>在</w:t>
      </w:r>
      <w:r>
        <w:rPr>
          <w:rFonts w:hint="eastAsia" w:ascii="宋体" w:hAnsi="宋体"/>
          <w:color w:val="auto"/>
          <w:sz w:val="24"/>
          <w:highlight w:val="none"/>
        </w:rPr>
        <w:t>监理人现场验收合格分别以总额计量。</w:t>
      </w:r>
    </w:p>
    <w:p w14:paraId="3252412C">
      <w:pPr>
        <w:spacing w:line="360" w:lineRule="auto"/>
        <w:ind w:right="18" w:firstLine="462"/>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临时占地经监理人批准，以总额计量。</w:t>
      </w:r>
    </w:p>
    <w:p w14:paraId="2FA36E13">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eastAsia="宋体" w:cs="宋体"/>
          <w:color w:val="auto"/>
          <w:sz w:val="24"/>
          <w:highlight w:val="none"/>
        </w:rPr>
        <w:t>为完成上述各项设施所需的红线范围内贯通便道、进出场的临时道路、保通便道、临时外水外电接驳费、临时给水管开口费、临时管道冲洗费、临时水电报装费、一切材料、机械设备、人员及与此有关的一切作业费用均含入相关子目单价或总额价之中，不另行计量。</w:t>
      </w:r>
    </w:p>
    <w:p w14:paraId="11A2B8C5">
      <w:pPr>
        <w:spacing w:line="360" w:lineRule="auto"/>
        <w:ind w:firstLine="480" w:firstLineChars="200"/>
        <w:jc w:val="left"/>
        <w:rPr>
          <w:rFonts w:hint="eastAsia" w:ascii="宋体" w:hAnsi="宋体"/>
          <w:bCs/>
          <w:color w:val="auto"/>
          <w:sz w:val="24"/>
          <w:highlight w:val="none"/>
        </w:rPr>
      </w:pPr>
      <w:r>
        <w:rPr>
          <w:rFonts w:hint="eastAsia" w:ascii="宋体" w:hAnsi="宋体"/>
          <w:bCs/>
          <w:color w:val="auto"/>
          <w:sz w:val="24"/>
          <w:highlight w:val="none"/>
        </w:rPr>
        <w:t>2.支付</w:t>
      </w:r>
    </w:p>
    <w:p w14:paraId="1FC638CC">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临时工程完工后，由监理人验收合格后分期支付，所报总额的8</w:t>
      </w:r>
      <w:r>
        <w:rPr>
          <w:rFonts w:ascii="宋体" w:hAnsi="宋体"/>
          <w:color w:val="auto"/>
          <w:sz w:val="24"/>
          <w:highlight w:val="none"/>
        </w:rPr>
        <w:t>0</w:t>
      </w:r>
      <w:r>
        <w:rPr>
          <w:rFonts w:hint="eastAsia" w:ascii="宋体" w:hAnsi="宋体"/>
          <w:color w:val="auto"/>
          <w:sz w:val="24"/>
          <w:highlight w:val="none"/>
        </w:rPr>
        <w:t>％，在第1次至第4次进度付款证书中，以4次等额予以支付；所报总价中余下的20%，待交工验收证书颁发后支付。无论何时，上述实际支付的合价不应超过该项总额，否则即停止相应支付项目的支付。</w:t>
      </w:r>
    </w:p>
    <w:p w14:paraId="1C8BD08A">
      <w:pPr>
        <w:pStyle w:val="5"/>
        <w:spacing w:line="360" w:lineRule="auto"/>
        <w:ind w:firstLine="480" w:firstLineChars="200"/>
        <w:jc w:val="left"/>
        <w:rPr>
          <w:rFonts w:hint="eastAsia" w:hAnsi="宋体"/>
          <w:color w:val="auto"/>
          <w:sz w:val="24"/>
          <w:highlight w:val="none"/>
        </w:rPr>
      </w:pPr>
      <w:r>
        <w:rPr>
          <w:rFonts w:hint="eastAsia" w:hAnsi="宋体"/>
          <w:bCs/>
          <w:color w:val="auto"/>
          <w:sz w:val="24"/>
          <w:highlight w:val="none"/>
        </w:rPr>
        <w:t>3.支</w:t>
      </w:r>
      <w:r>
        <w:rPr>
          <w:rFonts w:hint="eastAsia" w:hAnsi="宋体"/>
          <w:color w:val="auto"/>
          <w:sz w:val="24"/>
          <w:highlight w:val="none"/>
        </w:rPr>
        <w:t>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580"/>
        <w:gridCol w:w="1080"/>
      </w:tblGrid>
      <w:tr w14:paraId="45C8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2ADDE65">
            <w:pPr>
              <w:jc w:val="left"/>
              <w:rPr>
                <w:rFonts w:hint="eastAsia" w:ascii="宋体" w:hAnsi="宋体"/>
                <w:color w:val="auto"/>
                <w:sz w:val="24"/>
                <w:highlight w:val="none"/>
              </w:rPr>
            </w:pPr>
            <w:r>
              <w:rPr>
                <w:rFonts w:hint="eastAsia" w:ascii="宋体" w:hAnsi="宋体"/>
                <w:color w:val="auto"/>
                <w:sz w:val="24"/>
                <w:highlight w:val="none"/>
              </w:rPr>
              <w:t>子目号</w:t>
            </w:r>
          </w:p>
        </w:tc>
        <w:tc>
          <w:tcPr>
            <w:tcW w:w="5580" w:type="dxa"/>
            <w:noWrap w:val="0"/>
            <w:vAlign w:val="center"/>
          </w:tcPr>
          <w:p w14:paraId="73894BEF">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080" w:type="dxa"/>
            <w:noWrap w:val="0"/>
            <w:vAlign w:val="center"/>
          </w:tcPr>
          <w:p w14:paraId="34E3FD76">
            <w:pPr>
              <w:jc w:val="left"/>
              <w:rPr>
                <w:rFonts w:hint="eastAsia" w:ascii="宋体" w:hAnsi="宋体"/>
                <w:color w:val="auto"/>
                <w:sz w:val="24"/>
                <w:highlight w:val="none"/>
              </w:rPr>
            </w:pPr>
            <w:r>
              <w:rPr>
                <w:rFonts w:hint="eastAsia" w:ascii="宋体" w:hAnsi="宋体"/>
                <w:color w:val="auto"/>
                <w:sz w:val="24"/>
                <w:highlight w:val="none"/>
              </w:rPr>
              <w:t>单位</w:t>
            </w:r>
          </w:p>
        </w:tc>
      </w:tr>
      <w:tr w14:paraId="5EC2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B40959A">
            <w:pPr>
              <w:widowControl/>
              <w:jc w:val="left"/>
              <w:rPr>
                <w:rFonts w:ascii="宋体" w:hAnsi="宋体"/>
                <w:color w:val="auto"/>
                <w:sz w:val="24"/>
                <w:highlight w:val="none"/>
              </w:rPr>
            </w:pPr>
            <w:r>
              <w:rPr>
                <w:rFonts w:hint="eastAsia" w:ascii="宋体" w:hAnsi="宋体"/>
                <w:color w:val="auto"/>
                <w:sz w:val="24"/>
                <w:highlight w:val="none"/>
              </w:rPr>
              <w:t>103-1</w:t>
            </w:r>
          </w:p>
        </w:tc>
        <w:tc>
          <w:tcPr>
            <w:tcW w:w="5580" w:type="dxa"/>
            <w:noWrap w:val="0"/>
            <w:vAlign w:val="center"/>
          </w:tcPr>
          <w:p w14:paraId="1D6B2CEF">
            <w:pPr>
              <w:widowControl/>
              <w:jc w:val="left"/>
              <w:rPr>
                <w:rFonts w:ascii="宋体" w:hAnsi="宋体"/>
                <w:color w:val="auto"/>
                <w:sz w:val="24"/>
                <w:highlight w:val="none"/>
              </w:rPr>
            </w:pPr>
            <w:r>
              <w:rPr>
                <w:rFonts w:hint="eastAsia" w:ascii="宋体" w:hAnsi="宋体"/>
                <w:color w:val="auto"/>
                <w:sz w:val="24"/>
                <w:highlight w:val="none"/>
              </w:rPr>
              <w:t>临时道路、便桥工程</w:t>
            </w:r>
          </w:p>
        </w:tc>
        <w:tc>
          <w:tcPr>
            <w:tcW w:w="1080" w:type="dxa"/>
            <w:noWrap w:val="0"/>
            <w:vAlign w:val="center"/>
          </w:tcPr>
          <w:p w14:paraId="3C4082DF">
            <w:pPr>
              <w:widowControl/>
              <w:jc w:val="left"/>
              <w:rPr>
                <w:rFonts w:ascii="宋体" w:hAnsi="宋体"/>
                <w:color w:val="auto"/>
                <w:sz w:val="24"/>
                <w:highlight w:val="none"/>
              </w:rPr>
            </w:pPr>
          </w:p>
        </w:tc>
      </w:tr>
      <w:tr w14:paraId="1077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A5586B9">
            <w:pPr>
              <w:widowControl/>
              <w:jc w:val="left"/>
              <w:rPr>
                <w:rFonts w:ascii="宋体" w:hAnsi="宋体"/>
                <w:color w:val="auto"/>
                <w:sz w:val="24"/>
                <w:highlight w:val="none"/>
              </w:rPr>
            </w:pPr>
            <w:r>
              <w:rPr>
                <w:rFonts w:hint="eastAsia" w:ascii="宋体" w:hAnsi="宋体"/>
                <w:color w:val="auto"/>
                <w:sz w:val="24"/>
                <w:highlight w:val="none"/>
              </w:rPr>
              <w:t>103-1-2</w:t>
            </w:r>
          </w:p>
        </w:tc>
        <w:tc>
          <w:tcPr>
            <w:tcW w:w="5580" w:type="dxa"/>
            <w:noWrap w:val="0"/>
            <w:vAlign w:val="center"/>
          </w:tcPr>
          <w:p w14:paraId="23BB8513">
            <w:pPr>
              <w:widowControl/>
              <w:jc w:val="left"/>
              <w:rPr>
                <w:rFonts w:ascii="宋体" w:hAnsi="宋体"/>
                <w:color w:val="auto"/>
                <w:sz w:val="24"/>
                <w:highlight w:val="none"/>
              </w:rPr>
            </w:pPr>
            <w:r>
              <w:rPr>
                <w:rFonts w:hint="eastAsia" w:ascii="宋体" w:hAnsi="宋体"/>
                <w:color w:val="auto"/>
                <w:sz w:val="24"/>
                <w:highlight w:val="none"/>
              </w:rPr>
              <w:t>临时便桥修建、养护与拆除</w:t>
            </w:r>
            <w:r>
              <w:rPr>
                <w:rFonts w:ascii="宋体" w:hAnsi="宋体"/>
                <w:color w:val="auto"/>
                <w:sz w:val="24"/>
                <w:highlight w:val="none"/>
              </w:rPr>
              <w:t xml:space="preserve"> (</w:t>
            </w:r>
            <w:r>
              <w:rPr>
                <w:rFonts w:hint="eastAsia" w:ascii="宋体" w:hAnsi="宋体"/>
                <w:color w:val="auto"/>
                <w:sz w:val="24"/>
                <w:highlight w:val="none"/>
              </w:rPr>
              <w:t>包括原桥梁的养护费</w:t>
            </w:r>
            <w:r>
              <w:rPr>
                <w:rFonts w:ascii="宋体" w:hAnsi="宋体"/>
                <w:color w:val="auto"/>
                <w:sz w:val="24"/>
                <w:highlight w:val="none"/>
              </w:rPr>
              <w:t>)</w:t>
            </w:r>
          </w:p>
        </w:tc>
        <w:tc>
          <w:tcPr>
            <w:tcW w:w="1080" w:type="dxa"/>
            <w:noWrap w:val="0"/>
            <w:vAlign w:val="center"/>
          </w:tcPr>
          <w:p w14:paraId="511CED67">
            <w:pPr>
              <w:widowControl/>
              <w:jc w:val="left"/>
              <w:rPr>
                <w:rFonts w:ascii="宋体" w:hAnsi="宋体"/>
                <w:color w:val="auto"/>
                <w:sz w:val="24"/>
                <w:highlight w:val="none"/>
              </w:rPr>
            </w:pPr>
            <w:r>
              <w:rPr>
                <w:rFonts w:hint="eastAsia" w:ascii="宋体" w:hAnsi="宋体"/>
                <w:color w:val="auto"/>
                <w:sz w:val="24"/>
                <w:highlight w:val="none"/>
              </w:rPr>
              <w:t>总额</w:t>
            </w:r>
          </w:p>
        </w:tc>
      </w:tr>
      <w:tr w14:paraId="2C5A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C8EB4C4">
            <w:pPr>
              <w:widowControl/>
              <w:jc w:val="left"/>
              <w:rPr>
                <w:rFonts w:ascii="宋体" w:hAnsi="宋体"/>
                <w:color w:val="auto"/>
                <w:sz w:val="24"/>
                <w:highlight w:val="none"/>
              </w:rPr>
            </w:pPr>
            <w:r>
              <w:rPr>
                <w:rFonts w:hint="eastAsia" w:ascii="宋体" w:hAnsi="宋体"/>
                <w:color w:val="auto"/>
                <w:sz w:val="24"/>
                <w:highlight w:val="none"/>
              </w:rPr>
              <w:t>103-2</w:t>
            </w:r>
          </w:p>
        </w:tc>
        <w:tc>
          <w:tcPr>
            <w:tcW w:w="5580" w:type="dxa"/>
            <w:noWrap w:val="0"/>
            <w:vAlign w:val="center"/>
          </w:tcPr>
          <w:p w14:paraId="45913EF0">
            <w:pPr>
              <w:widowControl/>
              <w:jc w:val="left"/>
              <w:rPr>
                <w:rFonts w:ascii="宋体" w:hAnsi="宋体"/>
                <w:color w:val="auto"/>
                <w:sz w:val="24"/>
                <w:highlight w:val="none"/>
              </w:rPr>
            </w:pPr>
            <w:r>
              <w:rPr>
                <w:rFonts w:hint="eastAsia" w:ascii="宋体" w:hAnsi="宋体"/>
                <w:color w:val="auto"/>
                <w:sz w:val="24"/>
                <w:highlight w:val="none"/>
              </w:rPr>
              <w:t>临时占地</w:t>
            </w:r>
          </w:p>
        </w:tc>
        <w:tc>
          <w:tcPr>
            <w:tcW w:w="1080" w:type="dxa"/>
            <w:noWrap w:val="0"/>
            <w:vAlign w:val="center"/>
          </w:tcPr>
          <w:p w14:paraId="38ECE594">
            <w:pPr>
              <w:widowControl/>
              <w:jc w:val="left"/>
              <w:rPr>
                <w:rFonts w:ascii="宋体" w:hAnsi="宋体"/>
                <w:color w:val="auto"/>
                <w:sz w:val="24"/>
                <w:highlight w:val="none"/>
              </w:rPr>
            </w:pPr>
            <w:r>
              <w:rPr>
                <w:rFonts w:hint="eastAsia" w:ascii="宋体" w:hAnsi="宋体"/>
                <w:color w:val="auto"/>
                <w:sz w:val="24"/>
                <w:highlight w:val="none"/>
              </w:rPr>
              <w:t>总额</w:t>
            </w:r>
          </w:p>
        </w:tc>
      </w:tr>
    </w:tbl>
    <w:p w14:paraId="2EE60A6F">
      <w:pPr>
        <w:spacing w:line="360" w:lineRule="auto"/>
        <w:jc w:val="left"/>
        <w:rPr>
          <w:rFonts w:hint="eastAsia" w:ascii="宋体" w:hAnsi="宋体"/>
          <w:b/>
          <w:color w:val="auto"/>
          <w:sz w:val="28"/>
          <w:szCs w:val="28"/>
          <w:highlight w:val="none"/>
        </w:rPr>
      </w:pPr>
    </w:p>
    <w:p w14:paraId="7B15956E">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第104节  承包人驻地建设</w:t>
      </w:r>
    </w:p>
    <w:p w14:paraId="435F8326">
      <w:pPr>
        <w:spacing w:line="360" w:lineRule="auto"/>
        <w:ind w:firstLine="480" w:firstLineChars="200"/>
        <w:jc w:val="left"/>
        <w:rPr>
          <w:rFonts w:hint="eastAsia" w:ascii="宋体" w:hAnsi="宋体"/>
          <w:bCs/>
          <w:color w:val="auto"/>
          <w:sz w:val="24"/>
          <w:highlight w:val="none"/>
        </w:rPr>
      </w:pPr>
      <w:r>
        <w:rPr>
          <w:rFonts w:hint="eastAsia" w:ascii="宋体" w:hAnsi="宋体"/>
          <w:bCs/>
          <w:color w:val="auto"/>
          <w:sz w:val="24"/>
          <w:highlight w:val="none"/>
        </w:rPr>
        <w:t>1．计量</w:t>
      </w:r>
    </w:p>
    <w:p w14:paraId="5B45E79B">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104-1-1子目以总额计量，承包人必须按照《广东省公路工程施工安全标准化指南》《公路工程施工安全防护设施技术指南》《广东省公路工程施工标准化指南》相关要求以及发包人制定的项目建设管理手册、标准化管理实施细则等规定做好承包人驻地建设。如涉及占用非建设用地的，承包人还必须严格按《土地管理法》《土地复垦条例》《土地复垦条例实施办法》等有关规定，依法依规办理临时用地手续(涉及占用林地的要按规定办理占用林地相关手续)，按规定预存土地复垦(保证)金和缴纳耕地占用税。标准化管理已经包含在第100章的清单单价或其他相关清单综合单价中，不再另行支付。主要包括:办公生活区、公用房屋(文体活动室、医疗室等)、生产用房屋(仓库、加工厂、加工棚、值班室等)</w:t>
      </w:r>
      <w:r>
        <w:rPr>
          <w:rFonts w:hint="eastAsia" w:ascii="宋体" w:hAnsi="宋体" w:eastAsia="宋体" w:cs="宋体"/>
          <w:color w:val="auto"/>
          <w:sz w:val="24"/>
          <w:highlight w:val="none"/>
          <w:lang w:eastAsia="zh-CN"/>
        </w:rPr>
        <w:t>、钢筋加工厂</w:t>
      </w:r>
      <w:r>
        <w:rPr>
          <w:rFonts w:hint="eastAsia" w:ascii="宋体" w:hAnsi="宋体" w:eastAsia="宋体" w:cs="宋体"/>
          <w:color w:val="auto"/>
          <w:sz w:val="24"/>
          <w:highlight w:val="none"/>
        </w:rPr>
        <w:t>等建设与拆除，包括办公区、生活区、公用房屋、生产用房屋及相关设施(含污水及垃圾处理)等场地建设与拆除、恢复。</w:t>
      </w:r>
    </w:p>
    <w:p w14:paraId="3753EA8B">
      <w:pPr>
        <w:spacing w:line="360" w:lineRule="auto"/>
        <w:ind w:right="18"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(2)场区平整、场地硬化、排水、绿化、标志、污水处理设施、围墙隔离设施等费用均含入相关子目单价或总额价之中，不另行计量。包括以上红线范围内的各种临时工作便道、人行便道、</w:t>
      </w:r>
      <w:r>
        <w:rPr>
          <w:rFonts w:hint="eastAsia" w:ascii="宋体" w:hAnsi="宋体"/>
          <w:color w:val="auto"/>
          <w:sz w:val="24"/>
          <w:highlight w:val="none"/>
        </w:rPr>
        <w:t>各场(厂)区、作业区连接道路及施工主便道</w:t>
      </w:r>
      <w:r>
        <w:rPr>
          <w:rFonts w:hint="eastAsia" w:ascii="宋体" w:hAnsi="宋体"/>
          <w:color w:val="auto"/>
          <w:sz w:val="24"/>
          <w:highlight w:val="none"/>
          <w:lang w:eastAsia="zh-CN"/>
        </w:rPr>
        <w:t>、</w:t>
      </w:r>
      <w:r>
        <w:rPr>
          <w:rFonts w:hint="eastAsia" w:ascii="宋体" w:hAnsi="宋体" w:eastAsia="宋体" w:cs="宋体"/>
          <w:color w:val="auto"/>
          <w:sz w:val="24"/>
          <w:highlight w:val="none"/>
        </w:rPr>
        <w:t>工地临时用水和用电、临时构筑物和其他小型临时设施等的搭设、租赁、维修、拆除、清理等费用，均含入相关子目单价或总额价之中，不另行计量。</w:t>
      </w:r>
    </w:p>
    <w:p w14:paraId="28270FF5">
      <w:pPr>
        <w:spacing w:line="360" w:lineRule="auto"/>
        <w:ind w:right="18" w:firstLine="480" w:firstLineChars="200"/>
        <w:jc w:val="left"/>
        <w:rPr>
          <w:rFonts w:hint="eastAsia" w:ascii="宋体" w:hAnsi="宋体"/>
          <w:color w:val="auto"/>
          <w:sz w:val="24"/>
          <w:highlight w:val="none"/>
        </w:rPr>
      </w:pPr>
      <w:r>
        <w:rPr>
          <w:rFonts w:hint="eastAsia" w:ascii="宋体" w:hAnsi="宋体" w:eastAsia="宋体" w:cs="宋体"/>
          <w:color w:val="auto"/>
          <w:sz w:val="24"/>
          <w:highlight w:val="none"/>
        </w:rPr>
        <w:t>各临时工程在拆除前，承包人应将临时工程的施工方案、预算、图纸等以签证的形式经发包人、监理人确认。</w:t>
      </w:r>
    </w:p>
    <w:p w14:paraId="6D5DEF3F">
      <w:pPr>
        <w:spacing w:line="360" w:lineRule="auto"/>
        <w:ind w:firstLine="480" w:firstLineChars="200"/>
        <w:jc w:val="left"/>
        <w:rPr>
          <w:rFonts w:hint="eastAsia" w:ascii="宋体" w:hAnsi="宋体"/>
          <w:bCs/>
          <w:color w:val="auto"/>
          <w:sz w:val="24"/>
          <w:highlight w:val="none"/>
        </w:rPr>
      </w:pPr>
      <w:r>
        <w:rPr>
          <w:rFonts w:ascii="宋体" w:hAnsi="宋体"/>
          <w:bCs/>
          <w:color w:val="auto"/>
          <w:sz w:val="24"/>
          <w:highlight w:val="none"/>
        </w:rPr>
        <w:t>2</w:t>
      </w:r>
      <w:r>
        <w:rPr>
          <w:rFonts w:hint="eastAsia" w:ascii="宋体" w:hAnsi="宋体"/>
          <w:bCs/>
          <w:color w:val="auto"/>
          <w:sz w:val="24"/>
          <w:highlight w:val="none"/>
        </w:rPr>
        <w:t>．支付</w:t>
      </w:r>
    </w:p>
    <w:p w14:paraId="38027EE4">
      <w:pPr>
        <w:spacing w:line="360" w:lineRule="auto"/>
        <w:jc w:val="left"/>
        <w:rPr>
          <w:rFonts w:hint="eastAsia" w:ascii="宋体" w:hAnsi="宋体"/>
          <w:color w:val="auto"/>
          <w:sz w:val="24"/>
          <w:highlight w:val="none"/>
        </w:rPr>
      </w:pPr>
      <w:r>
        <w:rPr>
          <w:rFonts w:ascii="宋体" w:hAnsi="宋体"/>
          <w:color w:val="auto"/>
          <w:sz w:val="24"/>
          <w:highlight w:val="none"/>
        </w:rPr>
        <w:t>10</w:t>
      </w:r>
      <w:r>
        <w:rPr>
          <w:rFonts w:hint="eastAsia" w:ascii="宋体" w:hAnsi="宋体"/>
          <w:color w:val="auto"/>
          <w:sz w:val="24"/>
          <w:highlight w:val="none"/>
        </w:rPr>
        <w:t>4</w:t>
      </w:r>
      <w:r>
        <w:rPr>
          <w:rFonts w:ascii="宋体" w:hAnsi="宋体"/>
          <w:color w:val="auto"/>
          <w:sz w:val="24"/>
          <w:highlight w:val="none"/>
        </w:rPr>
        <w:t>-1</w:t>
      </w:r>
      <w:r>
        <w:rPr>
          <w:rFonts w:hint="eastAsia" w:ascii="宋体" w:hAnsi="宋体"/>
          <w:color w:val="auto"/>
          <w:sz w:val="24"/>
          <w:highlight w:val="none"/>
        </w:rPr>
        <w:t>子目所报总价的90％，在第1次至第3次进度付款证书中，以3次等额分期支付；所报总额中余下的</w:t>
      </w:r>
      <w:r>
        <w:rPr>
          <w:rFonts w:ascii="宋体" w:hAnsi="宋体"/>
          <w:color w:val="auto"/>
          <w:sz w:val="24"/>
          <w:highlight w:val="none"/>
        </w:rPr>
        <w:t>10</w:t>
      </w:r>
      <w:r>
        <w:rPr>
          <w:rFonts w:hint="eastAsia" w:ascii="宋体" w:hAnsi="宋体"/>
          <w:color w:val="auto"/>
          <w:sz w:val="24"/>
          <w:highlight w:val="none"/>
        </w:rPr>
        <w:t>％，应在承包人驻地建设已经移走和清除，达到监理人、发包人和有关部门满意时予以支付。</w:t>
      </w:r>
    </w:p>
    <w:p w14:paraId="25DD1ADD">
      <w:pPr>
        <w:spacing w:line="360" w:lineRule="auto"/>
        <w:ind w:left="480"/>
        <w:jc w:val="left"/>
        <w:rPr>
          <w:rFonts w:hint="eastAsia" w:ascii="宋体" w:hAnsi="宋体"/>
          <w:bCs/>
          <w:color w:val="auto"/>
          <w:sz w:val="24"/>
          <w:highlight w:val="none"/>
        </w:rPr>
      </w:pPr>
      <w:r>
        <w:rPr>
          <w:rFonts w:hint="eastAsia" w:ascii="宋体" w:hAnsi="宋体"/>
          <w:bCs/>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3416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D110E92">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DE8C47E">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5A9D3C75">
            <w:pPr>
              <w:jc w:val="left"/>
              <w:rPr>
                <w:rFonts w:hint="eastAsia" w:ascii="宋体" w:hAnsi="宋体"/>
                <w:color w:val="auto"/>
                <w:sz w:val="24"/>
                <w:highlight w:val="none"/>
              </w:rPr>
            </w:pPr>
            <w:r>
              <w:rPr>
                <w:rFonts w:hint="eastAsia" w:ascii="宋体" w:hAnsi="宋体"/>
                <w:color w:val="auto"/>
                <w:sz w:val="24"/>
                <w:highlight w:val="none"/>
              </w:rPr>
              <w:t>单位</w:t>
            </w:r>
          </w:p>
        </w:tc>
      </w:tr>
      <w:tr w14:paraId="0050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B2E907C">
            <w:pPr>
              <w:widowControl/>
              <w:jc w:val="left"/>
              <w:rPr>
                <w:rFonts w:hint="eastAsia" w:ascii="宋体" w:hAnsi="宋体"/>
                <w:color w:val="auto"/>
                <w:sz w:val="24"/>
                <w:highlight w:val="none"/>
              </w:rPr>
            </w:pPr>
            <w:r>
              <w:rPr>
                <w:rFonts w:hint="eastAsia" w:ascii="宋体" w:hAnsi="宋体" w:eastAsia="宋体" w:cs="宋体"/>
                <w:color w:val="auto"/>
                <w:sz w:val="24"/>
                <w:highlight w:val="none"/>
              </w:rPr>
              <w:t>104-1</w:t>
            </w:r>
          </w:p>
        </w:tc>
        <w:tc>
          <w:tcPr>
            <w:tcW w:w="5400" w:type="dxa"/>
            <w:noWrap w:val="0"/>
            <w:vAlign w:val="center"/>
          </w:tcPr>
          <w:p w14:paraId="0A0D4D4D">
            <w:pPr>
              <w:widowControl/>
              <w:jc w:val="left"/>
              <w:rPr>
                <w:rFonts w:ascii="宋体" w:hAnsi="宋体"/>
                <w:color w:val="auto"/>
                <w:sz w:val="24"/>
                <w:highlight w:val="none"/>
              </w:rPr>
            </w:pPr>
            <w:r>
              <w:rPr>
                <w:rFonts w:hint="eastAsia" w:ascii="宋体" w:hAnsi="宋体" w:eastAsia="宋体" w:cs="宋体"/>
                <w:color w:val="auto"/>
                <w:sz w:val="24"/>
                <w:highlight w:val="none"/>
              </w:rPr>
              <w:t>承包人驻地建设</w:t>
            </w:r>
          </w:p>
        </w:tc>
        <w:tc>
          <w:tcPr>
            <w:tcW w:w="1260" w:type="dxa"/>
            <w:noWrap w:val="0"/>
            <w:vAlign w:val="center"/>
          </w:tcPr>
          <w:p w14:paraId="0C1E3C2C">
            <w:pPr>
              <w:widowControl/>
              <w:jc w:val="left"/>
              <w:rPr>
                <w:rFonts w:hint="eastAsia" w:ascii="宋体" w:hAnsi="宋体"/>
                <w:color w:val="auto"/>
                <w:sz w:val="24"/>
                <w:highlight w:val="none"/>
              </w:rPr>
            </w:pPr>
          </w:p>
        </w:tc>
      </w:tr>
      <w:tr w14:paraId="7AE1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40F1E63">
            <w:pPr>
              <w:widowControl/>
              <w:jc w:val="left"/>
              <w:rPr>
                <w:rFonts w:hint="eastAsia" w:ascii="宋体" w:hAnsi="宋体"/>
                <w:color w:val="auto"/>
                <w:sz w:val="24"/>
                <w:highlight w:val="none"/>
              </w:rPr>
            </w:pPr>
            <w:r>
              <w:rPr>
                <w:rFonts w:hint="eastAsia" w:ascii="宋体" w:hAnsi="宋体" w:eastAsia="宋体" w:cs="宋体"/>
                <w:color w:val="auto"/>
                <w:sz w:val="24"/>
                <w:highlight w:val="none"/>
              </w:rPr>
              <w:t>104-1-1</w:t>
            </w:r>
          </w:p>
        </w:tc>
        <w:tc>
          <w:tcPr>
            <w:tcW w:w="5400" w:type="dxa"/>
            <w:noWrap w:val="0"/>
            <w:vAlign w:val="center"/>
          </w:tcPr>
          <w:p w14:paraId="11EC259B">
            <w:pPr>
              <w:widowControl/>
              <w:jc w:val="left"/>
              <w:rPr>
                <w:rFonts w:hint="eastAsia" w:ascii="宋体" w:hAnsi="宋体"/>
                <w:color w:val="auto"/>
                <w:sz w:val="24"/>
                <w:highlight w:val="none"/>
              </w:rPr>
            </w:pPr>
            <w:r>
              <w:rPr>
                <w:rFonts w:hint="eastAsia" w:ascii="宋体" w:hAnsi="宋体" w:eastAsia="宋体" w:cs="宋体"/>
                <w:color w:val="auto"/>
                <w:sz w:val="24"/>
                <w:highlight w:val="none"/>
              </w:rPr>
              <w:t>承包人驻地建设</w:t>
            </w:r>
          </w:p>
        </w:tc>
        <w:tc>
          <w:tcPr>
            <w:tcW w:w="1260" w:type="dxa"/>
            <w:noWrap w:val="0"/>
            <w:vAlign w:val="center"/>
          </w:tcPr>
          <w:p w14:paraId="0F152E0D">
            <w:pPr>
              <w:widowControl/>
              <w:jc w:val="left"/>
              <w:rPr>
                <w:rFonts w:hint="eastAsia" w:ascii="宋体" w:hAnsi="宋体"/>
                <w:color w:val="auto"/>
                <w:sz w:val="24"/>
                <w:highlight w:val="none"/>
              </w:rPr>
            </w:pPr>
            <w:r>
              <w:rPr>
                <w:rFonts w:hint="eastAsia" w:ascii="宋体" w:hAnsi="宋体" w:eastAsia="宋体" w:cs="宋体"/>
                <w:color w:val="auto"/>
                <w:sz w:val="24"/>
                <w:highlight w:val="none"/>
              </w:rPr>
              <w:t>总额</w:t>
            </w:r>
          </w:p>
        </w:tc>
      </w:tr>
    </w:tbl>
    <w:p w14:paraId="18BCCF2D">
      <w:pPr>
        <w:spacing w:line="360" w:lineRule="auto"/>
        <w:ind w:left="480"/>
        <w:jc w:val="left"/>
        <w:rPr>
          <w:rFonts w:hint="eastAsia" w:ascii="宋体" w:hAnsi="宋体"/>
          <w:bCs/>
          <w:color w:val="auto"/>
          <w:sz w:val="24"/>
          <w:highlight w:val="none"/>
        </w:rPr>
      </w:pPr>
    </w:p>
    <w:p w14:paraId="1E418689">
      <w:pPr>
        <w:spacing w:line="360" w:lineRule="auto"/>
        <w:ind w:left="480"/>
        <w:jc w:val="left"/>
        <w:rPr>
          <w:rFonts w:hint="eastAsia" w:ascii="宋体" w:hAnsi="宋体"/>
          <w:bCs/>
          <w:color w:val="auto"/>
          <w:sz w:val="24"/>
          <w:highlight w:val="none"/>
        </w:rPr>
      </w:pPr>
    </w:p>
    <w:p w14:paraId="371EECF5">
      <w:pPr>
        <w:spacing w:line="360" w:lineRule="auto"/>
        <w:ind w:left="480"/>
        <w:jc w:val="left"/>
        <w:rPr>
          <w:rFonts w:hint="eastAsia" w:ascii="宋体" w:hAnsi="宋体"/>
          <w:bCs/>
          <w:color w:val="auto"/>
          <w:sz w:val="24"/>
          <w:highlight w:val="none"/>
        </w:rPr>
      </w:pPr>
    </w:p>
    <w:p w14:paraId="2C01774A">
      <w:pPr>
        <w:spacing w:line="360" w:lineRule="auto"/>
        <w:jc w:val="left"/>
        <w:rPr>
          <w:rFonts w:hint="eastAsia" w:ascii="宋体" w:hAnsi="宋体"/>
          <w:color w:val="auto"/>
          <w:sz w:val="36"/>
          <w:szCs w:val="36"/>
          <w:highlight w:val="none"/>
        </w:rPr>
        <w:sectPr>
          <w:pgSz w:w="11906" w:h="16838"/>
          <w:pgMar w:top="1418" w:right="1418" w:bottom="1134" w:left="1701" w:header="851" w:footer="992" w:gutter="0"/>
          <w:pgNumType w:fmt="decimal"/>
          <w:cols w:space="720" w:num="1"/>
          <w:docGrid w:linePitch="312" w:charSpace="0"/>
        </w:sectPr>
      </w:pPr>
    </w:p>
    <w:p w14:paraId="5044D55A">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第200章  路基</w:t>
      </w:r>
      <w:bookmarkStart w:id="41" w:name="第201节"/>
      <w:bookmarkEnd w:id="41"/>
    </w:p>
    <w:p w14:paraId="46DF1087">
      <w:pPr>
        <w:spacing w:line="360" w:lineRule="auto"/>
        <w:jc w:val="center"/>
        <w:rPr>
          <w:rFonts w:ascii="宋体" w:hAnsi="宋体"/>
          <w:b/>
          <w:bCs/>
          <w:color w:val="auto"/>
          <w:sz w:val="28"/>
          <w:szCs w:val="28"/>
          <w:highlight w:val="none"/>
        </w:rPr>
      </w:pPr>
      <w:bookmarkStart w:id="42" w:name="第204节"/>
      <w:bookmarkEnd w:id="42"/>
      <w:bookmarkStart w:id="43" w:name="第205节"/>
      <w:bookmarkEnd w:id="43"/>
      <w:bookmarkStart w:id="44" w:name="第202节"/>
      <w:bookmarkEnd w:id="44"/>
      <w:r>
        <w:rPr>
          <w:rFonts w:hint="eastAsia" w:ascii="宋体" w:hAnsi="宋体"/>
          <w:b/>
          <w:bCs/>
          <w:color w:val="auto"/>
          <w:sz w:val="28"/>
          <w:szCs w:val="28"/>
          <w:highlight w:val="none"/>
        </w:rPr>
        <w:t>第</w:t>
      </w:r>
      <w:r>
        <w:rPr>
          <w:rFonts w:ascii="宋体" w:hAnsi="宋体"/>
          <w:b/>
          <w:bCs/>
          <w:color w:val="auto"/>
          <w:sz w:val="28"/>
          <w:szCs w:val="28"/>
          <w:highlight w:val="none"/>
        </w:rPr>
        <w:t>202</w:t>
      </w:r>
      <w:r>
        <w:rPr>
          <w:rFonts w:hint="eastAsia" w:ascii="宋体" w:hAnsi="宋体"/>
          <w:b/>
          <w:bCs/>
          <w:color w:val="auto"/>
          <w:sz w:val="28"/>
          <w:szCs w:val="28"/>
          <w:highlight w:val="none"/>
        </w:rPr>
        <w:t>节  场地清理</w:t>
      </w:r>
    </w:p>
    <w:p w14:paraId="64262FC7">
      <w:pPr>
        <w:spacing w:line="360" w:lineRule="auto"/>
        <w:ind w:right="18"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计量</w:t>
      </w:r>
    </w:p>
    <w:p w14:paraId="6A49FBE5">
      <w:pPr>
        <w:spacing w:line="360" w:lineRule="auto"/>
        <w:ind w:right="18"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施工场地清理的计量应按监理人书面指定的范围</w:t>
      </w:r>
      <w:r>
        <w:rPr>
          <w:rFonts w:ascii="宋体" w:hAnsi="宋体"/>
          <w:color w:val="auto"/>
          <w:sz w:val="24"/>
          <w:highlight w:val="none"/>
        </w:rPr>
        <w:t>(</w:t>
      </w:r>
      <w:r>
        <w:rPr>
          <w:rFonts w:hint="eastAsia" w:ascii="宋体" w:hAnsi="宋体"/>
          <w:color w:val="auto"/>
          <w:sz w:val="24"/>
          <w:highlight w:val="none"/>
        </w:rPr>
        <w:t>路基范围以外临时工程用地清场等除外</w:t>
      </w:r>
      <w:r>
        <w:rPr>
          <w:rFonts w:ascii="宋体" w:hAnsi="宋体"/>
          <w:color w:val="auto"/>
          <w:sz w:val="24"/>
          <w:highlight w:val="none"/>
        </w:rPr>
        <w:t>)</w:t>
      </w:r>
      <w:r>
        <w:rPr>
          <w:rFonts w:hint="eastAsia" w:ascii="宋体" w:hAnsi="宋体"/>
          <w:color w:val="auto"/>
          <w:sz w:val="24"/>
          <w:highlight w:val="none"/>
        </w:rPr>
        <w:t>，进行验收后以总额计量。现场清理路基范围内的所有垃圾、灌木、竹林</w:t>
      </w:r>
      <w:r>
        <w:rPr>
          <w:rFonts w:hint="eastAsia" w:ascii="宋体" w:hAnsi="宋体"/>
          <w:color w:val="auto"/>
          <w:sz w:val="24"/>
          <w:highlight w:val="none"/>
          <w:lang w:eastAsia="zh-CN"/>
        </w:rPr>
        <w:t>、</w:t>
      </w:r>
      <w:r>
        <w:rPr>
          <w:rFonts w:hint="eastAsia" w:ascii="宋体" w:hAnsi="宋体"/>
          <w:color w:val="auto"/>
          <w:sz w:val="24"/>
          <w:highlight w:val="none"/>
        </w:rPr>
        <w:t>树木、石头、废料、表土</w:t>
      </w:r>
      <w:r>
        <w:rPr>
          <w:rFonts w:ascii="宋体" w:hAnsi="宋体"/>
          <w:color w:val="auto"/>
          <w:sz w:val="24"/>
          <w:highlight w:val="none"/>
        </w:rPr>
        <w:t>(</w:t>
      </w:r>
      <w:r>
        <w:rPr>
          <w:rFonts w:hint="eastAsia" w:ascii="宋体" w:hAnsi="宋体"/>
          <w:color w:val="auto"/>
          <w:sz w:val="24"/>
          <w:highlight w:val="none"/>
        </w:rPr>
        <w:t>腐殖土</w:t>
      </w:r>
      <w:r>
        <w:rPr>
          <w:rFonts w:ascii="宋体" w:hAnsi="宋体"/>
          <w:color w:val="auto"/>
          <w:sz w:val="24"/>
          <w:highlight w:val="none"/>
        </w:rPr>
        <w:t>)</w:t>
      </w:r>
      <w:r>
        <w:rPr>
          <w:rFonts w:hint="eastAsia" w:ascii="宋体" w:hAnsi="宋体"/>
          <w:color w:val="auto"/>
          <w:sz w:val="24"/>
          <w:highlight w:val="none"/>
        </w:rPr>
        <w:t>、草皮的铲除与开挖，场地填前夯（压）实作为附属工作，不另行计量。施工场地清理和掘除使地面标高降低，而引起的土石方多填（填方段）少挖（挖方段）量包含在相关子目单价中，不另计量，仅作为附属工程。取、借土场的场地清理与拆除</w:t>
      </w:r>
      <w:r>
        <w:rPr>
          <w:rFonts w:ascii="宋体" w:hAnsi="宋体"/>
          <w:color w:val="auto"/>
          <w:sz w:val="24"/>
          <w:highlight w:val="none"/>
        </w:rPr>
        <w:t>(</w:t>
      </w:r>
      <w:r>
        <w:rPr>
          <w:rFonts w:hint="eastAsia" w:ascii="宋体" w:hAnsi="宋体"/>
          <w:color w:val="auto"/>
          <w:sz w:val="24"/>
          <w:highlight w:val="none"/>
        </w:rPr>
        <w:t>包括临时工程</w:t>
      </w:r>
      <w:r>
        <w:rPr>
          <w:rFonts w:ascii="宋体" w:hAnsi="宋体"/>
          <w:color w:val="auto"/>
          <w:sz w:val="24"/>
          <w:highlight w:val="none"/>
        </w:rPr>
        <w:t>)</w:t>
      </w:r>
      <w:r>
        <w:rPr>
          <w:rFonts w:hint="eastAsia" w:ascii="宋体" w:hAnsi="宋体"/>
          <w:color w:val="auto"/>
          <w:sz w:val="24"/>
          <w:highlight w:val="none"/>
        </w:rPr>
        <w:t>均应列入土石方工程的综合单价之内，不另行计量。</w:t>
      </w:r>
    </w:p>
    <w:p w14:paraId="67BD9F19">
      <w:pPr>
        <w:spacing w:line="360" w:lineRule="auto"/>
        <w:ind w:right="18" w:firstLine="420"/>
        <w:jc w:val="left"/>
        <w:rPr>
          <w:rFonts w:hint="eastAsia" w:ascii="宋体" w:hAnsi="宋体" w:eastAsia="宋体"/>
          <w:color w:val="auto"/>
          <w:sz w:val="24"/>
          <w:highlight w:val="none"/>
          <w:lang w:eastAsia="zh-CN"/>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挖除旧路面（包括路面底基层、基层）应按不同结构类型以平方米计量（或者按各结构类型折合的挖除体积以立方米计量）。拆除原有公路结构物应分别按结构物的类型，依据监理人现场指示的范围和量测方法量测，钢筋混凝土、混凝土结构、砖石及其他砌体以立方米计量；迁移乔木，以棵</w:t>
      </w:r>
      <w:r>
        <w:rPr>
          <w:rFonts w:ascii="宋体" w:hAnsi="宋体"/>
          <w:color w:val="auto"/>
          <w:sz w:val="24"/>
          <w:highlight w:val="none"/>
        </w:rPr>
        <w:t>计</w:t>
      </w:r>
      <w:r>
        <w:rPr>
          <w:rFonts w:hint="eastAsia" w:ascii="宋体" w:hAnsi="宋体"/>
          <w:color w:val="auto"/>
          <w:sz w:val="24"/>
          <w:highlight w:val="none"/>
        </w:rPr>
        <w:t>量。</w:t>
      </w:r>
      <w:r>
        <w:rPr>
          <w:rFonts w:hint="eastAsia" w:ascii="宋体" w:hAnsi="宋体"/>
          <w:color w:val="auto"/>
          <w:sz w:val="24"/>
          <w:highlight w:val="none"/>
          <w:lang w:eastAsia="zh-CN"/>
        </w:rPr>
        <w:t>迁移运输、树木养护、乔木支撑的</w:t>
      </w:r>
      <w:r>
        <w:rPr>
          <w:rFonts w:hint="eastAsia" w:ascii="宋体" w:hAnsi="宋体"/>
          <w:color w:val="auto"/>
          <w:sz w:val="24"/>
          <w:highlight w:val="none"/>
        </w:rPr>
        <w:t>作业费用均含入相关子目单价之中，不另行计量。</w:t>
      </w:r>
    </w:p>
    <w:p w14:paraId="72E8AC34">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所有场地清理、拆除与挖掘工作的一切挖方、坑穴的回填、整平、压实，以及适用材料的移运、堆放和废料的移运处理、回填土方的采运等作业费用均含入相关子目单价之中，不另行计量。</w:t>
      </w:r>
    </w:p>
    <w:p w14:paraId="58257FA0">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7438430D">
      <w:pPr>
        <w:spacing w:line="360" w:lineRule="auto"/>
        <w:ind w:right="18" w:firstLine="420"/>
        <w:jc w:val="left"/>
        <w:rPr>
          <w:rFonts w:ascii="宋体" w:hAnsi="宋体"/>
          <w:color w:val="auto"/>
          <w:sz w:val="24"/>
          <w:highlight w:val="none"/>
        </w:rPr>
      </w:pPr>
      <w:r>
        <w:rPr>
          <w:rFonts w:hint="eastAsia" w:ascii="宋体" w:hAnsi="宋体"/>
          <w:color w:val="auto"/>
          <w:sz w:val="24"/>
          <w:highlight w:val="none"/>
        </w:rPr>
        <w:t>按上述规定计量，以监理人验收并列入工程量清单的以下支付子目的工程量，其每一计量单位，将以合同单价支付。此项支付包括材料、劳力、设备、运输等及其为完成此项工程所必需的全部费用。</w:t>
      </w:r>
    </w:p>
    <w:p w14:paraId="24712DB3">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C6E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D42DA42">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035BB0A">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01838CDC">
            <w:pPr>
              <w:jc w:val="left"/>
              <w:rPr>
                <w:rFonts w:hint="eastAsia" w:ascii="宋体" w:hAnsi="宋体"/>
                <w:color w:val="auto"/>
                <w:sz w:val="24"/>
                <w:highlight w:val="none"/>
              </w:rPr>
            </w:pPr>
            <w:r>
              <w:rPr>
                <w:rFonts w:hint="eastAsia" w:ascii="宋体" w:hAnsi="宋体"/>
                <w:color w:val="auto"/>
                <w:sz w:val="24"/>
                <w:highlight w:val="none"/>
              </w:rPr>
              <w:t>单位</w:t>
            </w:r>
          </w:p>
        </w:tc>
      </w:tr>
      <w:tr w14:paraId="53BC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0658A5C">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202</w:t>
            </w:r>
          </w:p>
        </w:tc>
        <w:tc>
          <w:tcPr>
            <w:tcW w:w="5400" w:type="dxa"/>
            <w:noWrap w:val="0"/>
            <w:vAlign w:val="center"/>
          </w:tcPr>
          <w:p w14:paraId="0280C84E">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场地清理</w:t>
            </w:r>
          </w:p>
        </w:tc>
        <w:tc>
          <w:tcPr>
            <w:tcW w:w="1260" w:type="dxa"/>
            <w:noWrap w:val="0"/>
            <w:vAlign w:val="center"/>
          </w:tcPr>
          <w:p w14:paraId="3F088990">
            <w:pPr>
              <w:widowControl/>
              <w:jc w:val="left"/>
              <w:rPr>
                <w:rFonts w:ascii="宋体" w:hAnsi="宋体" w:cs="宋体"/>
                <w:b/>
                <w:bCs/>
                <w:color w:val="auto"/>
                <w:kern w:val="0"/>
                <w:sz w:val="24"/>
                <w:highlight w:val="none"/>
              </w:rPr>
            </w:pPr>
          </w:p>
        </w:tc>
      </w:tr>
      <w:tr w14:paraId="345D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854963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1CF26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清理与掘除</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0733E0">
            <w:pPr>
              <w:widowControl/>
              <w:jc w:val="left"/>
              <w:rPr>
                <w:rFonts w:hint="eastAsia" w:ascii="宋体" w:hAnsi="宋体" w:cs="宋体"/>
                <w:color w:val="auto"/>
                <w:kern w:val="0"/>
                <w:sz w:val="24"/>
                <w:highlight w:val="none"/>
              </w:rPr>
            </w:pPr>
          </w:p>
        </w:tc>
      </w:tr>
      <w:tr w14:paraId="3AA7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844269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75CF35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清理现场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20E7E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总额</w:t>
            </w:r>
          </w:p>
        </w:tc>
      </w:tr>
      <w:tr w14:paraId="48FA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BF950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489CA5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迁出乔木,胸径20-79cm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7A3472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棵</w:t>
            </w:r>
          </w:p>
        </w:tc>
      </w:tr>
      <w:tr w14:paraId="2B5A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8234A1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33668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回迁乔木,胸径20-79cm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1589F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棵</w:t>
            </w:r>
          </w:p>
        </w:tc>
      </w:tr>
      <w:tr w14:paraId="3BC1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AA563C7">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202-1-</w:t>
            </w:r>
            <w:r>
              <w:rPr>
                <w:rFonts w:hint="eastAsia" w:ascii="宋体" w:hAnsi="宋体" w:cs="宋体"/>
                <w:color w:val="auto"/>
                <w:kern w:val="0"/>
                <w:sz w:val="24"/>
                <w:highlight w:val="none"/>
                <w:lang w:val="en-US" w:eastAsia="zh-CN"/>
              </w:rPr>
              <w:t>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149D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迁出乔木,胸径5-20cm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FCE56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棵</w:t>
            </w:r>
          </w:p>
        </w:tc>
      </w:tr>
      <w:tr w14:paraId="7853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297E4B4">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202-1-</w:t>
            </w:r>
            <w:r>
              <w:rPr>
                <w:rFonts w:hint="eastAsia" w:ascii="宋体" w:hAnsi="宋体" w:cs="宋体"/>
                <w:color w:val="auto"/>
                <w:kern w:val="0"/>
                <w:sz w:val="24"/>
                <w:highlight w:val="none"/>
                <w:lang w:val="en-US" w:eastAsia="zh-CN"/>
              </w:rPr>
              <w:t>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E8B719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回迁乔木,胸径5-20cm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92053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棵</w:t>
            </w:r>
          </w:p>
        </w:tc>
      </w:tr>
      <w:tr w14:paraId="17DE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E57426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A84D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挖除旧路面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28D91C">
            <w:pPr>
              <w:widowControl/>
              <w:jc w:val="left"/>
              <w:rPr>
                <w:rFonts w:hint="eastAsia" w:ascii="宋体" w:hAnsi="宋体" w:cs="宋体"/>
                <w:color w:val="auto"/>
                <w:kern w:val="0"/>
                <w:sz w:val="24"/>
                <w:highlight w:val="none"/>
              </w:rPr>
            </w:pPr>
          </w:p>
        </w:tc>
      </w:tr>
      <w:tr w14:paraId="0613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3BE80C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D1E2E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挖除水泥混凝土路面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150AD8">
            <w:pPr>
              <w:widowControl/>
              <w:jc w:val="left"/>
              <w:rPr>
                <w:rFonts w:hint="eastAsia" w:ascii="宋体" w:hAnsi="宋体" w:cs="宋体"/>
                <w:color w:val="auto"/>
                <w:kern w:val="0"/>
                <w:sz w:val="24"/>
                <w:highlight w:val="none"/>
              </w:rPr>
            </w:pPr>
          </w:p>
        </w:tc>
      </w:tr>
      <w:tr w14:paraId="378A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F350F3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5DE192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挖除不等厚的水泥混凝土路面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6C4341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3FDF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41F38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02407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挖除沥青混凝土路面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96AE68">
            <w:pPr>
              <w:widowControl/>
              <w:jc w:val="left"/>
              <w:rPr>
                <w:rFonts w:hint="eastAsia" w:ascii="宋体" w:hAnsi="宋体" w:cs="宋体"/>
                <w:color w:val="auto"/>
                <w:kern w:val="0"/>
                <w:sz w:val="24"/>
                <w:highlight w:val="none"/>
              </w:rPr>
            </w:pPr>
          </w:p>
        </w:tc>
      </w:tr>
      <w:tr w14:paraId="018D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7980ED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202-2-2-1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22B641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挖除不等厚的沥青混凝土路面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605A3A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0F82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3DE476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2EC5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拆除结构物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147330">
            <w:pPr>
              <w:widowControl/>
              <w:jc w:val="left"/>
              <w:rPr>
                <w:rFonts w:hint="eastAsia" w:ascii="宋体" w:hAnsi="宋体" w:cs="宋体"/>
                <w:color w:val="auto"/>
                <w:kern w:val="0"/>
                <w:sz w:val="24"/>
                <w:highlight w:val="none"/>
              </w:rPr>
            </w:pPr>
          </w:p>
        </w:tc>
      </w:tr>
      <w:tr w14:paraId="78F9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B6B0F4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0BC36D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拆除钢筋混凝土结构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DA0AAA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1B26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48F006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202-3-3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52438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拆除砖、石及其他砌体结构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A66FFC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4E05C54A">
      <w:pPr>
        <w:spacing w:line="360" w:lineRule="auto"/>
        <w:ind w:right="18" w:firstLine="420"/>
        <w:jc w:val="left"/>
        <w:rPr>
          <w:rFonts w:hint="eastAsia" w:ascii="宋体" w:hAnsi="宋体"/>
          <w:color w:val="auto"/>
          <w:sz w:val="24"/>
          <w:highlight w:val="none"/>
        </w:rPr>
      </w:pPr>
    </w:p>
    <w:p w14:paraId="408F51C6">
      <w:pPr>
        <w:spacing w:line="360" w:lineRule="auto"/>
        <w:ind w:right="18"/>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203</w:t>
      </w:r>
      <w:r>
        <w:rPr>
          <w:rFonts w:hint="eastAsia" w:ascii="宋体" w:hAnsi="宋体"/>
          <w:b/>
          <w:bCs/>
          <w:color w:val="auto"/>
          <w:sz w:val="28"/>
          <w:szCs w:val="28"/>
          <w:highlight w:val="none"/>
        </w:rPr>
        <w:t>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挖方路基</w:t>
      </w:r>
    </w:p>
    <w:p w14:paraId="11FA0B35">
      <w:pPr>
        <w:spacing w:line="360" w:lineRule="auto"/>
        <w:ind w:right="17"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计量</w:t>
      </w:r>
    </w:p>
    <w:p w14:paraId="3A297F07">
      <w:pPr>
        <w:spacing w:line="360" w:lineRule="auto"/>
        <w:ind w:right="18"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路基土石方开挖数量包括边沟、排水沟、截水沟，应以经监理人校核批准的横断面地面线和土石分界的补充测量为基础，按路线中线长度乘以经监理人核准的横断面面积进行计算，以立方米计量。计价中包含开挖、运输、堆放及弃土的碾压整理所需费用，还包括弃土场场地清理、地貌恢复、施工便道、便桥的修建与养护、临时排水与防护等工作内容及一切与此有关的费用作业。</w:t>
      </w:r>
    </w:p>
    <w:p w14:paraId="776C2E52">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挖除路基范围内非适用材料及淤泥(不包括借土场)的数量，应以承包人测量，并经监理人审核批准的断面或实际范围为依据的计算数量，以立方米计量。其单价费用应包括排水、围堰、开挖、装卸、运输、堆放、和剩余材料的处理，以及其它有关的全部施工费用。</w:t>
      </w:r>
    </w:p>
    <w:p w14:paraId="027B8453">
      <w:pPr>
        <w:spacing w:line="360" w:lineRule="auto"/>
        <w:ind w:right="18" w:firstLine="420"/>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除非监理人另有指示，凡超过图纸或监理人规定尺寸的开挖，均不予计量。</w:t>
      </w:r>
    </w:p>
    <w:p w14:paraId="3F2CD16B">
      <w:pPr>
        <w:spacing w:line="360" w:lineRule="auto"/>
        <w:ind w:right="18" w:firstLine="420"/>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石方爆破安全措施、弃方的运输和堆放、质量检验、临时道路和临时排水等均作为承包人的附属工作含入相关子目的单价或费率之中，不另行计量。</w:t>
      </w:r>
    </w:p>
    <w:p w14:paraId="60B8A8B1">
      <w:pPr>
        <w:spacing w:line="360" w:lineRule="auto"/>
        <w:ind w:right="18"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改河、改渠、改路的开挖工程按合同图纸施工，计量方法可按上述</w:t>
      </w:r>
      <w:r>
        <w:rPr>
          <w:rFonts w:ascii="宋体" w:hAnsi="宋体"/>
          <w:color w:val="auto"/>
          <w:sz w:val="24"/>
          <w:highlight w:val="none"/>
        </w:rPr>
        <w:t>(1)</w:t>
      </w:r>
      <w:r>
        <w:rPr>
          <w:rFonts w:hint="eastAsia" w:ascii="宋体" w:hAnsi="宋体"/>
          <w:color w:val="auto"/>
          <w:sz w:val="24"/>
          <w:highlight w:val="none"/>
        </w:rPr>
        <w:t>款进行。改路挖方线外工程的工作量计入</w:t>
      </w:r>
      <w:r>
        <w:rPr>
          <w:rFonts w:ascii="宋体" w:hAnsi="宋体"/>
          <w:color w:val="auto"/>
          <w:sz w:val="24"/>
          <w:highlight w:val="none"/>
        </w:rPr>
        <w:t>203-</w:t>
      </w:r>
      <w:r>
        <w:rPr>
          <w:rFonts w:hint="eastAsia" w:ascii="宋体" w:hAnsi="宋体"/>
          <w:color w:val="auto"/>
          <w:sz w:val="24"/>
          <w:highlight w:val="none"/>
        </w:rPr>
        <w:t>2项内。</w:t>
      </w:r>
    </w:p>
    <w:p w14:paraId="41E92D4D">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3A24771C">
      <w:pPr>
        <w:spacing w:line="360" w:lineRule="auto"/>
        <w:ind w:right="18"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按上述规定计量，经监理人验收并列入工程量清单的以下支付子目的工程量，每一计量单位，将以合同单价支付。此项支付包括材料、劳力、设备、运输等及其为完成此项工程所必需的全部费用。</w:t>
      </w:r>
    </w:p>
    <w:p w14:paraId="5B82694B">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土方和石方的挖方单价费用，包括开挖、解小、装卸、运输、堆放、分理填料、弃方和剩余材料的处理，以及其他有关的全部施工费用。</w:t>
      </w:r>
    </w:p>
    <w:p w14:paraId="639ADB66">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挖除淤泥的单价费用，包括排水、围堰、开挖、基坑支撑、装卸、运输、堆放和剩余材料的处理，以及其他有关的全部施工费用。</w:t>
      </w:r>
    </w:p>
    <w:p w14:paraId="53B7B097">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4EA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B95B942">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2BE8FB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751F894">
            <w:pPr>
              <w:jc w:val="left"/>
              <w:rPr>
                <w:rFonts w:hint="eastAsia" w:ascii="宋体" w:hAnsi="宋体"/>
                <w:color w:val="auto"/>
                <w:sz w:val="24"/>
                <w:highlight w:val="none"/>
              </w:rPr>
            </w:pPr>
            <w:r>
              <w:rPr>
                <w:rFonts w:hint="eastAsia" w:ascii="宋体" w:hAnsi="宋体"/>
                <w:color w:val="auto"/>
                <w:sz w:val="24"/>
                <w:highlight w:val="none"/>
              </w:rPr>
              <w:t>单位</w:t>
            </w:r>
          </w:p>
        </w:tc>
      </w:tr>
      <w:tr w14:paraId="19AE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9100BB7">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203</w:t>
            </w:r>
          </w:p>
        </w:tc>
        <w:tc>
          <w:tcPr>
            <w:tcW w:w="5400" w:type="dxa"/>
            <w:noWrap w:val="0"/>
            <w:vAlign w:val="center"/>
          </w:tcPr>
          <w:p w14:paraId="0D49D6F1">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挖方路基</w:t>
            </w:r>
          </w:p>
        </w:tc>
        <w:tc>
          <w:tcPr>
            <w:tcW w:w="1260" w:type="dxa"/>
            <w:noWrap w:val="0"/>
            <w:vAlign w:val="center"/>
          </w:tcPr>
          <w:p w14:paraId="1B389E1F">
            <w:pPr>
              <w:widowControl/>
              <w:jc w:val="left"/>
              <w:rPr>
                <w:rFonts w:ascii="宋体" w:hAnsi="宋体" w:cs="宋体"/>
                <w:b/>
                <w:bCs/>
                <w:color w:val="auto"/>
                <w:kern w:val="0"/>
                <w:sz w:val="24"/>
                <w:highlight w:val="none"/>
              </w:rPr>
            </w:pPr>
          </w:p>
        </w:tc>
      </w:tr>
      <w:tr w14:paraId="7565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99EA37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67824C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路基挖方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F4DF12">
            <w:pPr>
              <w:widowControl/>
              <w:jc w:val="left"/>
              <w:rPr>
                <w:rFonts w:hint="eastAsia" w:ascii="宋体" w:hAnsi="宋体" w:cs="宋体"/>
                <w:color w:val="auto"/>
                <w:kern w:val="0"/>
                <w:sz w:val="24"/>
                <w:highlight w:val="none"/>
              </w:rPr>
            </w:pPr>
          </w:p>
        </w:tc>
      </w:tr>
      <w:tr w14:paraId="2CC9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17E7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E6629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挖利用方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B641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5B5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708401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A377C0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挖弃方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0EBF7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2F2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AF94DB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99A5CD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挖石方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56035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738E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7B8EE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0349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挖除非适用材料（不含淤泥）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BE118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98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948A52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2B9D0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挖淤泥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5ED8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D4F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B6F6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1130AD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改河、改渠、改路挖方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8D19470">
            <w:pPr>
              <w:widowControl/>
              <w:jc w:val="left"/>
              <w:rPr>
                <w:rFonts w:hint="eastAsia" w:ascii="宋体" w:hAnsi="宋体" w:cs="宋体"/>
                <w:color w:val="auto"/>
                <w:kern w:val="0"/>
                <w:sz w:val="24"/>
                <w:highlight w:val="none"/>
              </w:rPr>
            </w:pPr>
          </w:p>
        </w:tc>
      </w:tr>
      <w:tr w14:paraId="15CB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027BB2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203-2-1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17BA22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挖土方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FC74E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1D57BDEA">
      <w:pPr>
        <w:spacing w:line="360" w:lineRule="auto"/>
        <w:ind w:right="18" w:firstLine="420"/>
        <w:jc w:val="left"/>
        <w:rPr>
          <w:rFonts w:hint="eastAsia" w:ascii="宋体" w:hAnsi="宋体"/>
          <w:color w:val="auto"/>
          <w:sz w:val="24"/>
          <w:highlight w:val="none"/>
        </w:rPr>
      </w:pPr>
    </w:p>
    <w:p w14:paraId="59BF7899">
      <w:pPr>
        <w:spacing w:line="360" w:lineRule="auto"/>
        <w:ind w:right="18"/>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204</w:t>
      </w:r>
      <w:r>
        <w:rPr>
          <w:rFonts w:hint="eastAsia" w:ascii="宋体" w:hAnsi="宋体"/>
          <w:b/>
          <w:bCs/>
          <w:color w:val="auto"/>
          <w:sz w:val="28"/>
          <w:szCs w:val="28"/>
          <w:highlight w:val="none"/>
        </w:rPr>
        <w:t>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填方路基</w:t>
      </w:r>
    </w:p>
    <w:p w14:paraId="7AF8079B">
      <w:pPr>
        <w:spacing w:line="360" w:lineRule="auto"/>
        <w:ind w:right="18"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计量</w:t>
      </w:r>
    </w:p>
    <w:p w14:paraId="3CD1752C">
      <w:pPr>
        <w:spacing w:line="360" w:lineRule="auto"/>
        <w:ind w:right="18" w:firstLine="420"/>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填筑路堤的土石方数量，应以承包人的施工测量和补充测量经监理人校核批准的横断面地面线为基础</w:t>
      </w:r>
      <w:r>
        <w:rPr>
          <w:rFonts w:ascii="宋体" w:hAnsi="宋体"/>
          <w:color w:val="auto"/>
          <w:sz w:val="24"/>
          <w:highlight w:val="none"/>
        </w:rPr>
        <w:t>,</w:t>
      </w:r>
      <w:r>
        <w:rPr>
          <w:rFonts w:hint="eastAsia" w:ascii="宋体" w:hAnsi="宋体"/>
          <w:color w:val="auto"/>
          <w:sz w:val="24"/>
          <w:highlight w:val="none"/>
        </w:rPr>
        <w:t>以监理人批准的横断面图为依据</w:t>
      </w:r>
      <w:r>
        <w:rPr>
          <w:rFonts w:ascii="宋体" w:hAnsi="宋体"/>
          <w:color w:val="auto"/>
          <w:sz w:val="24"/>
          <w:highlight w:val="none"/>
        </w:rPr>
        <w:t>,</w:t>
      </w:r>
      <w:r>
        <w:rPr>
          <w:rFonts w:hint="eastAsia" w:ascii="宋体" w:hAnsi="宋体"/>
          <w:color w:val="auto"/>
          <w:sz w:val="24"/>
          <w:highlight w:val="none"/>
        </w:rPr>
        <w:t>由承包人按不同来源</w:t>
      </w:r>
      <w:r>
        <w:rPr>
          <w:rFonts w:ascii="宋体" w:hAnsi="宋体"/>
          <w:color w:val="auto"/>
          <w:sz w:val="24"/>
          <w:highlight w:val="none"/>
        </w:rPr>
        <w:t>(</w:t>
      </w:r>
      <w:r>
        <w:rPr>
          <w:rFonts w:hint="eastAsia" w:ascii="宋体" w:hAnsi="宋体"/>
          <w:color w:val="auto"/>
          <w:sz w:val="24"/>
          <w:highlight w:val="none"/>
        </w:rPr>
        <w:t>包括利用土方、利用石方和借方等</w:t>
      </w:r>
      <w:r>
        <w:rPr>
          <w:rFonts w:ascii="宋体" w:hAnsi="宋体"/>
          <w:color w:val="auto"/>
          <w:sz w:val="24"/>
          <w:highlight w:val="none"/>
        </w:rPr>
        <w:t>)</w:t>
      </w:r>
      <w:r>
        <w:rPr>
          <w:rFonts w:hint="eastAsia" w:ascii="宋体" w:hAnsi="宋体"/>
          <w:color w:val="auto"/>
          <w:sz w:val="24"/>
          <w:highlight w:val="none"/>
        </w:rPr>
        <w:t>分别计算，经监理人校核认可的工程数量作为计量的工程数量。因特殊路基处理的路基填筑改为砂垫层或砂砾垫层、结构物台背回填数量等，不应重计相应填方工程量；填方的计量中，应扣除所有结构物（圆管涵、盖板暗涵除外）占路基体积。因保证路基边侧压实度等技术标准需要而采取的加宽而增加的土石方属施工措施，不另行单独计量。</w:t>
      </w:r>
    </w:p>
    <w:p w14:paraId="16096EC3">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零填挖路段的翻松、压实含入报价之中，不另计量。</w:t>
      </w:r>
    </w:p>
    <w:p w14:paraId="0E8C6DC3">
      <w:pPr>
        <w:spacing w:line="360" w:lineRule="auto"/>
        <w:ind w:right="18" w:firstLine="420"/>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零填挖路段的挖换填土、按压实的体积，以立方米计量。计价中包括表面不良土的翻挖、运弃</w:t>
      </w:r>
      <w:r>
        <w:rPr>
          <w:rFonts w:ascii="宋体" w:hAnsi="宋体"/>
          <w:color w:val="auto"/>
          <w:sz w:val="24"/>
          <w:highlight w:val="none"/>
        </w:rPr>
        <w:t>(</w:t>
      </w:r>
      <w:r>
        <w:rPr>
          <w:rFonts w:hint="eastAsia" w:ascii="宋体" w:hAnsi="宋体"/>
          <w:color w:val="auto"/>
          <w:sz w:val="24"/>
          <w:highlight w:val="none"/>
        </w:rPr>
        <w:t>不计运距</w:t>
      </w:r>
      <w:r>
        <w:rPr>
          <w:rFonts w:ascii="宋体" w:hAnsi="宋体"/>
          <w:color w:val="auto"/>
          <w:sz w:val="24"/>
          <w:highlight w:val="none"/>
        </w:rPr>
        <w:t>)</w:t>
      </w:r>
      <w:r>
        <w:rPr>
          <w:rFonts w:hint="eastAsia" w:ascii="宋体" w:hAnsi="宋体"/>
          <w:color w:val="auto"/>
          <w:sz w:val="24"/>
          <w:highlight w:val="none"/>
        </w:rPr>
        <w:t>，换填好土的挖运、摊平、压实等一切与此有关作业的费用。</w:t>
      </w:r>
    </w:p>
    <w:p w14:paraId="7EFFAC04">
      <w:pPr>
        <w:spacing w:line="360" w:lineRule="auto"/>
        <w:ind w:right="18" w:firstLine="480" w:firstLineChars="200"/>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利用土、石填方及土石混合填料的填方，按压实的体积，以立方米计量。计价中包括挖台阶、摊平、压实、整型等一切与此有关作业的费用。其开挖作业在第</w:t>
      </w:r>
      <w:r>
        <w:rPr>
          <w:rFonts w:ascii="宋体" w:hAnsi="宋体"/>
          <w:color w:val="auto"/>
          <w:sz w:val="24"/>
          <w:highlight w:val="none"/>
        </w:rPr>
        <w:t>203</w:t>
      </w:r>
      <w:r>
        <w:rPr>
          <w:rFonts w:hint="eastAsia" w:ascii="宋体" w:hAnsi="宋体"/>
          <w:color w:val="auto"/>
          <w:sz w:val="24"/>
          <w:highlight w:val="none"/>
        </w:rPr>
        <w:t>节路基挖方中计量。承包人不得因为土石混填的工艺、压实标准及检测方法的变化而要求增加额外的费用。</w:t>
      </w:r>
    </w:p>
    <w:p w14:paraId="51F9B1B9">
      <w:pPr>
        <w:spacing w:line="360" w:lineRule="auto"/>
        <w:ind w:right="18" w:firstLine="480" w:firstLineChars="200"/>
        <w:jc w:val="left"/>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借土填方，按压实的体积，以立方米计量。计价中包括借土场</w:t>
      </w:r>
      <w:r>
        <w:rPr>
          <w:rFonts w:ascii="宋体" w:hAnsi="宋体"/>
          <w:color w:val="auto"/>
          <w:sz w:val="24"/>
          <w:highlight w:val="none"/>
        </w:rPr>
        <w:t>(</w:t>
      </w:r>
      <w:r>
        <w:rPr>
          <w:rFonts w:hint="eastAsia" w:ascii="宋体" w:hAnsi="宋体"/>
          <w:color w:val="auto"/>
          <w:sz w:val="24"/>
          <w:highlight w:val="none"/>
        </w:rPr>
        <w:t>取土坑</w:t>
      </w:r>
      <w:r>
        <w:rPr>
          <w:rFonts w:ascii="宋体" w:hAnsi="宋体"/>
          <w:color w:val="auto"/>
          <w:sz w:val="24"/>
          <w:highlight w:val="none"/>
        </w:rPr>
        <w:t>)</w:t>
      </w:r>
      <w:r>
        <w:rPr>
          <w:rFonts w:hint="eastAsia" w:ascii="宋体" w:hAnsi="宋体"/>
          <w:color w:val="auto"/>
          <w:sz w:val="24"/>
          <w:highlight w:val="none"/>
        </w:rPr>
        <w:t>中非适用材料的挖除、弃运及借土场的资源使用费、场地清理、地貌恢复、施工便道、便桥的修建与养护、临时排水与防护等和填方材料的开挖、运输、挖台阶、摊平、压实、整型等一切与此有关作业的费用。</w:t>
      </w:r>
    </w:p>
    <w:p w14:paraId="1B6CF41F">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结构物台背回填按压实体积，分不同材料以立方米计量，计价中包括挖运、摊平、压实、整型等一切与此有关的作业费用。</w:t>
      </w:r>
    </w:p>
    <w:p w14:paraId="5F6176D7">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锥坡及台前溜坡填土，按图纸要求施工，经监理人验收的压实体积，以立方米计量。</w:t>
      </w:r>
    </w:p>
    <w:p w14:paraId="33AE390F">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换填土、换填砂砾或碎石按压实体积，经监理人验收合格以立方米计量，计价中包括填料购置、运输、拌和、摊平、压实、整型等一切与此有关的作业费用。</w:t>
      </w:r>
    </w:p>
    <w:p w14:paraId="1C14744C">
      <w:pPr>
        <w:spacing w:line="360" w:lineRule="auto"/>
        <w:ind w:right="18"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9</w:t>
      </w:r>
      <w:r>
        <w:rPr>
          <w:rFonts w:ascii="宋体" w:hAnsi="宋体"/>
          <w:color w:val="auto"/>
          <w:sz w:val="24"/>
          <w:highlight w:val="none"/>
        </w:rPr>
        <w:t>)</w:t>
      </w:r>
      <w:r>
        <w:rPr>
          <w:rFonts w:hint="eastAsia" w:ascii="宋体" w:hAnsi="宋体"/>
          <w:color w:val="auto"/>
          <w:sz w:val="24"/>
          <w:highlight w:val="none"/>
        </w:rPr>
        <w:t>临时排水以及超出图纸要求以外的超填，均不计量。</w:t>
      </w:r>
    </w:p>
    <w:p w14:paraId="29A35976">
      <w:pPr>
        <w:spacing w:line="360" w:lineRule="auto"/>
        <w:ind w:right="18"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10</w:t>
      </w:r>
      <w:r>
        <w:rPr>
          <w:rFonts w:ascii="宋体" w:hAnsi="宋体"/>
          <w:color w:val="auto"/>
          <w:sz w:val="24"/>
          <w:highlight w:val="none"/>
        </w:rPr>
        <w:t>)</w:t>
      </w:r>
      <w:r>
        <w:rPr>
          <w:rFonts w:hint="eastAsia" w:ascii="宋体" w:hAnsi="宋体"/>
          <w:color w:val="auto"/>
          <w:sz w:val="24"/>
          <w:highlight w:val="none"/>
        </w:rPr>
        <w:t>改造其他公路的路基土方填筑的计量方法同本条</w:t>
      </w:r>
      <w:r>
        <w:rPr>
          <w:rFonts w:ascii="宋体" w:hAnsi="宋体"/>
          <w:color w:val="auto"/>
          <w:sz w:val="24"/>
          <w:highlight w:val="none"/>
        </w:rPr>
        <w:t>(1)</w:t>
      </w:r>
      <w:r>
        <w:rPr>
          <w:rFonts w:hint="eastAsia" w:ascii="宋体" w:hAnsi="宋体"/>
          <w:color w:val="auto"/>
          <w:sz w:val="24"/>
          <w:highlight w:val="none"/>
        </w:rPr>
        <w:t>款。</w:t>
      </w:r>
    </w:p>
    <w:p w14:paraId="03F67D83">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04D9F267">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按上述规定计量，经监理人验收并列入工程量清单以下支付子目的工程量，其每一计量单位，将以合同单价支付。此项支付包括以下内容：</w:t>
      </w:r>
    </w:p>
    <w:p w14:paraId="1EBA1B2E">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(1)承包人提供工程所需的材料、机具、设备和劳力等。</w:t>
      </w:r>
    </w:p>
    <w:p w14:paraId="0680E050">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(2)原材料的检验、混合料设计与试验，以及经监理人批准的按照规范所要求的试验路段的全部作业。</w:t>
      </w:r>
    </w:p>
    <w:p w14:paraId="1A963922">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(3)质量检验所要求的检测、取样和试验等工作。</w:t>
      </w:r>
    </w:p>
    <w:p w14:paraId="4B60ABE8">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B81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A2FF2B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F2F617E">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F898B0D">
            <w:pPr>
              <w:jc w:val="left"/>
              <w:rPr>
                <w:rFonts w:hint="eastAsia" w:ascii="宋体" w:hAnsi="宋体"/>
                <w:color w:val="auto"/>
                <w:sz w:val="24"/>
                <w:highlight w:val="none"/>
              </w:rPr>
            </w:pPr>
            <w:r>
              <w:rPr>
                <w:rFonts w:hint="eastAsia" w:ascii="宋体" w:hAnsi="宋体"/>
                <w:color w:val="auto"/>
                <w:sz w:val="24"/>
                <w:highlight w:val="none"/>
              </w:rPr>
              <w:t>单位</w:t>
            </w:r>
          </w:p>
        </w:tc>
      </w:tr>
      <w:tr w14:paraId="0A3F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294B1A34">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204</w:t>
            </w:r>
          </w:p>
        </w:tc>
        <w:tc>
          <w:tcPr>
            <w:tcW w:w="5400" w:type="dxa"/>
            <w:noWrap w:val="0"/>
            <w:vAlign w:val="center"/>
          </w:tcPr>
          <w:p w14:paraId="4E273E4E">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填方路基</w:t>
            </w:r>
          </w:p>
        </w:tc>
        <w:tc>
          <w:tcPr>
            <w:tcW w:w="1260" w:type="dxa"/>
            <w:noWrap w:val="0"/>
            <w:vAlign w:val="center"/>
          </w:tcPr>
          <w:p w14:paraId="075FDC56">
            <w:pPr>
              <w:widowControl/>
              <w:jc w:val="left"/>
              <w:rPr>
                <w:rFonts w:ascii="宋体" w:hAnsi="宋体" w:cs="宋体"/>
                <w:b/>
                <w:bCs/>
                <w:color w:val="auto"/>
                <w:kern w:val="0"/>
                <w:sz w:val="24"/>
                <w:highlight w:val="none"/>
              </w:rPr>
            </w:pPr>
          </w:p>
        </w:tc>
      </w:tr>
      <w:tr w14:paraId="037E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D53039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1765D7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路基填筑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A453BC4">
            <w:pPr>
              <w:widowControl/>
              <w:jc w:val="left"/>
              <w:rPr>
                <w:rFonts w:hint="eastAsia" w:ascii="宋体" w:hAnsi="宋体" w:cs="宋体"/>
                <w:color w:val="auto"/>
                <w:kern w:val="0"/>
                <w:sz w:val="24"/>
                <w:highlight w:val="none"/>
              </w:rPr>
            </w:pPr>
          </w:p>
        </w:tc>
      </w:tr>
      <w:tr w14:paraId="0981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8CEDCC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7BD743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利用土方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F892AB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588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DFF2A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F4397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结构物台背回填</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C055A2">
            <w:pPr>
              <w:widowControl/>
              <w:jc w:val="left"/>
              <w:rPr>
                <w:rFonts w:hint="eastAsia" w:ascii="宋体" w:hAnsi="宋体" w:cs="宋体"/>
                <w:color w:val="auto"/>
                <w:kern w:val="0"/>
                <w:sz w:val="24"/>
                <w:highlight w:val="none"/>
              </w:rPr>
            </w:pPr>
          </w:p>
        </w:tc>
      </w:tr>
      <w:tr w14:paraId="37D9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8D6A0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204-1-7-1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EE2540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回填石屑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CB67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2D6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70EE37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204-1-8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2ABC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锥坡及台前溜坡填土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7122B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8BC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B35B17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72BF8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换填碎石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825B1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B0C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483A0B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C1A3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改河、改渠、改路填筑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F4EB3D">
            <w:pPr>
              <w:widowControl/>
              <w:jc w:val="left"/>
              <w:rPr>
                <w:rFonts w:hint="eastAsia" w:ascii="宋体" w:hAnsi="宋体" w:cs="宋体"/>
                <w:color w:val="auto"/>
                <w:kern w:val="0"/>
                <w:sz w:val="24"/>
                <w:highlight w:val="none"/>
              </w:rPr>
            </w:pPr>
          </w:p>
        </w:tc>
      </w:tr>
      <w:tr w14:paraId="196E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E36AE4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204-2-1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2AEEC2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利用土方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B4D23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2E82E889">
      <w:pPr>
        <w:spacing w:line="360" w:lineRule="auto"/>
        <w:ind w:right="18" w:firstLine="420"/>
        <w:jc w:val="left"/>
        <w:rPr>
          <w:rFonts w:hint="eastAsia" w:ascii="宋体" w:hAnsi="宋体"/>
          <w:color w:val="auto"/>
          <w:sz w:val="24"/>
          <w:highlight w:val="none"/>
        </w:rPr>
      </w:pPr>
    </w:p>
    <w:p w14:paraId="3D7EC9CE">
      <w:pPr>
        <w:spacing w:line="360" w:lineRule="auto"/>
        <w:ind w:right="17"/>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205</w:t>
      </w:r>
      <w:r>
        <w:rPr>
          <w:rFonts w:hint="eastAsia" w:ascii="宋体" w:hAnsi="宋体"/>
          <w:b/>
          <w:bCs/>
          <w:color w:val="auto"/>
          <w:sz w:val="28"/>
          <w:szCs w:val="28"/>
          <w:highlight w:val="none"/>
        </w:rPr>
        <w:t>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特殊地区路基处理</w:t>
      </w:r>
    </w:p>
    <w:p w14:paraId="46C85EBB">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4E96176C">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本节所完成的工程，经验收后，由承包人计算经监理人校核的数量作为计量的工程数量。</w:t>
      </w:r>
    </w:p>
    <w:p w14:paraId="0BD12320">
      <w:pPr>
        <w:tabs>
          <w:tab w:val="left" w:pos="6330"/>
        </w:tabs>
        <w:spacing w:line="360" w:lineRule="auto"/>
        <w:ind w:firstLine="480" w:firstLineChars="200"/>
        <w:jc w:val="left"/>
        <w:rPr>
          <w:rFonts w:ascii="宋体" w:hAnsi="宋体"/>
          <w:color w:val="auto"/>
          <w:sz w:val="24"/>
          <w:highlight w:val="none"/>
        </w:rPr>
      </w:pPr>
      <w:r>
        <w:rPr>
          <w:rFonts w:ascii="宋体" w:hAnsi="宋体"/>
          <w:color w:val="auto"/>
          <w:sz w:val="24"/>
          <w:highlight w:val="none"/>
        </w:rPr>
        <w:t>(1)挖除换填</w:t>
      </w:r>
    </w:p>
    <w:p w14:paraId="10F94406">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挖除原路基一定深度及范围内淤泥以立方米计量，列入本规范第203节相应的支付子目中。换填的填方，包括由于施工过程中地面下沉而增加的填方量以立方米计量，列入本规范第204节相应的支付子目中。</w:t>
      </w:r>
    </w:p>
    <w:p w14:paraId="5FE3C981">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(2)抛石挤淤</w:t>
      </w:r>
    </w:p>
    <w:p w14:paraId="2A03C5F2">
      <w:pPr>
        <w:spacing w:line="360" w:lineRule="auto"/>
        <w:ind w:right="18" w:firstLine="420"/>
        <w:jc w:val="left"/>
        <w:rPr>
          <w:rFonts w:ascii="宋体" w:hAnsi="宋体"/>
          <w:color w:val="auto"/>
          <w:sz w:val="24"/>
          <w:highlight w:val="none"/>
        </w:rPr>
      </w:pPr>
      <w:r>
        <w:rPr>
          <w:rFonts w:ascii="宋体" w:hAnsi="宋体"/>
          <w:color w:val="auto"/>
          <w:sz w:val="24"/>
          <w:highlight w:val="none"/>
        </w:rPr>
        <w:t>按图纸或验收的尺寸计算抛石体积的片石数量，以立方米计量，</w:t>
      </w:r>
      <w:r>
        <w:rPr>
          <w:rFonts w:hint="eastAsia" w:ascii="宋体" w:hAnsi="宋体" w:eastAsia="宋体" w:cs="宋体"/>
          <w:color w:val="auto"/>
          <w:sz w:val="24"/>
          <w:highlight w:val="none"/>
        </w:rPr>
        <w:t>计价中</w:t>
      </w:r>
      <w:r>
        <w:rPr>
          <w:rFonts w:hint="eastAsia" w:ascii="宋体" w:hAnsi="宋体" w:eastAsia="宋体" w:cs="宋体"/>
          <w:color w:val="auto"/>
          <w:sz w:val="24"/>
          <w:highlight w:val="none"/>
          <w:lang w:eastAsia="zh-CN"/>
        </w:rPr>
        <w:t>利用石方的</w:t>
      </w:r>
      <w:r>
        <w:rPr>
          <w:rFonts w:hint="eastAsia" w:ascii="宋体" w:hAnsi="宋体" w:eastAsia="宋体" w:cs="宋体"/>
          <w:color w:val="auto"/>
          <w:sz w:val="24"/>
          <w:highlight w:val="none"/>
          <w:lang w:val="en-US" w:eastAsia="zh-CN"/>
        </w:rPr>
        <w:t>石方由本项目开挖、拆除的石方经过</w:t>
      </w:r>
      <w:r>
        <w:rPr>
          <w:rFonts w:hint="eastAsia" w:ascii="宋体" w:hAnsi="宋体" w:eastAsia="宋体" w:cs="宋体"/>
          <w:color w:val="auto"/>
          <w:sz w:val="24"/>
          <w:highlight w:val="none"/>
          <w:lang w:eastAsia="zh-CN"/>
        </w:rPr>
        <w:t>加工（加工达到换填设计要求）</w:t>
      </w:r>
      <w:r>
        <w:rPr>
          <w:rFonts w:hint="eastAsia" w:ascii="宋体" w:hAnsi="宋体" w:eastAsia="宋体" w:cs="宋体"/>
          <w:color w:val="auto"/>
          <w:sz w:val="24"/>
          <w:highlight w:val="none"/>
          <w:lang w:val="en-US" w:eastAsia="zh-CN"/>
        </w:rPr>
        <w:t>而来</w:t>
      </w:r>
      <w:r>
        <w:rPr>
          <w:rFonts w:hint="eastAsia" w:ascii="宋体" w:hAnsi="宋体" w:eastAsia="宋体" w:cs="宋体"/>
          <w:color w:val="auto"/>
          <w:sz w:val="24"/>
          <w:highlight w:val="none"/>
          <w:lang w:eastAsia="zh-CN"/>
        </w:rPr>
        <w:t>，项目调配运输、</w:t>
      </w:r>
      <w:r>
        <w:rPr>
          <w:rFonts w:hint="eastAsia" w:ascii="宋体" w:hAnsi="宋体" w:eastAsia="宋体" w:cs="宋体"/>
          <w:color w:val="auto"/>
          <w:sz w:val="24"/>
          <w:highlight w:val="none"/>
        </w:rPr>
        <w:t>填料购置、运输、拌和、摊平、压实、整型</w:t>
      </w:r>
      <w:r>
        <w:rPr>
          <w:rFonts w:hint="eastAsia" w:ascii="宋体" w:hAnsi="宋体" w:eastAsia="宋体" w:cs="宋体"/>
          <w:color w:val="auto"/>
          <w:sz w:val="24"/>
          <w:highlight w:val="none"/>
          <w:lang w:eastAsia="zh-CN"/>
        </w:rPr>
        <w:t>、加工</w:t>
      </w:r>
      <w:r>
        <w:rPr>
          <w:rFonts w:hint="eastAsia" w:ascii="宋体" w:hAnsi="宋体" w:eastAsia="宋体" w:cs="宋体"/>
          <w:color w:val="auto"/>
          <w:sz w:val="24"/>
          <w:highlight w:val="none"/>
        </w:rPr>
        <w:t>等一切与此有关的作业费用</w:t>
      </w:r>
      <w:r>
        <w:rPr>
          <w:rFonts w:hint="eastAsia" w:ascii="宋体" w:hAnsi="宋体"/>
          <w:color w:val="auto"/>
          <w:sz w:val="24"/>
          <w:highlight w:val="none"/>
        </w:rPr>
        <w:t>含入报价之中，不另计量</w:t>
      </w:r>
      <w:r>
        <w:rPr>
          <w:rFonts w:hint="eastAsia" w:ascii="宋体" w:hAnsi="宋体" w:eastAsia="宋体" w:cs="宋体"/>
          <w:color w:val="auto"/>
          <w:sz w:val="24"/>
          <w:highlight w:val="none"/>
          <w:lang w:eastAsia="zh-CN"/>
        </w:rPr>
        <w:t>。</w:t>
      </w:r>
    </w:p>
    <w:p w14:paraId="798EEC8E">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(3)砂垫层、砂砾垫层</w:t>
      </w:r>
      <w:r>
        <w:rPr>
          <w:rFonts w:hint="eastAsia" w:ascii="宋体" w:hAnsi="宋体"/>
          <w:color w:val="auto"/>
          <w:sz w:val="24"/>
          <w:highlight w:val="none"/>
        </w:rPr>
        <w:t>、灰土垫层、碎石垫层</w:t>
      </w:r>
    </w:p>
    <w:p w14:paraId="758D09B1">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按垫层类型分别以立方米计量，包括材料、机械及有关的一切作业。</w:t>
      </w:r>
    </w:p>
    <w:p w14:paraId="25E1C851">
      <w:pPr>
        <w:spacing w:line="360" w:lineRule="auto"/>
        <w:ind w:firstLine="480" w:firstLineChars="200"/>
        <w:jc w:val="left"/>
        <w:rPr>
          <w:rFonts w:hint="eastAsia" w:ascii="宋体" w:hAnsi="宋体" w:eastAsia="宋体" w:cs="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s="宋体"/>
          <w:color w:val="auto"/>
          <w:kern w:val="0"/>
          <w:sz w:val="24"/>
          <w:highlight w:val="none"/>
        </w:rPr>
        <w:t>素混凝土桩</w:t>
      </w:r>
      <w:r>
        <w:rPr>
          <w:rFonts w:hint="eastAsia" w:ascii="宋体" w:hAnsi="宋体"/>
          <w:color w:val="auto"/>
          <w:sz w:val="24"/>
          <w:highlight w:val="none"/>
          <w:lang w:eastAsia="zh-CN"/>
        </w:rPr>
        <w:t>、水泥搅拌桩</w:t>
      </w:r>
      <w:r>
        <w:rPr>
          <w:rFonts w:ascii="宋体" w:hAnsi="宋体"/>
          <w:color w:val="auto"/>
          <w:sz w:val="24"/>
          <w:highlight w:val="none"/>
        </w:rPr>
        <w:t>按不同</w:t>
      </w:r>
      <w:r>
        <w:rPr>
          <w:rFonts w:hint="eastAsia" w:ascii="宋体" w:hAnsi="宋体"/>
          <w:color w:val="auto"/>
          <w:sz w:val="24"/>
          <w:highlight w:val="none"/>
        </w:rPr>
        <w:t>桩</w:t>
      </w:r>
      <w:r>
        <w:rPr>
          <w:rFonts w:ascii="宋体" w:hAnsi="宋体"/>
          <w:color w:val="auto"/>
          <w:sz w:val="24"/>
          <w:highlight w:val="none"/>
        </w:rPr>
        <w:t>径及</w:t>
      </w:r>
      <w:r>
        <w:rPr>
          <w:rFonts w:hint="eastAsia" w:ascii="宋体" w:hAnsi="宋体"/>
          <w:color w:val="auto"/>
          <w:sz w:val="24"/>
          <w:highlight w:val="none"/>
        </w:rPr>
        <w:t>桩</w:t>
      </w:r>
      <w:r>
        <w:rPr>
          <w:rFonts w:ascii="宋体" w:hAnsi="宋体"/>
          <w:color w:val="auto"/>
          <w:sz w:val="24"/>
          <w:highlight w:val="none"/>
        </w:rPr>
        <w:t>深(长)度以</w:t>
      </w:r>
      <w:r>
        <w:rPr>
          <w:rFonts w:hint="eastAsia" w:ascii="宋体" w:hAnsi="宋体"/>
          <w:color w:val="auto"/>
          <w:sz w:val="24"/>
          <w:highlight w:val="none"/>
        </w:rPr>
        <w:t>图纸为依据经监理人验收合格，按</w:t>
      </w:r>
      <w:r>
        <w:rPr>
          <w:rFonts w:ascii="宋体" w:hAnsi="宋体"/>
          <w:color w:val="auto"/>
          <w:sz w:val="24"/>
          <w:highlight w:val="none"/>
        </w:rPr>
        <w:t>米</w:t>
      </w:r>
      <w:r>
        <w:rPr>
          <w:rFonts w:hint="eastAsia" w:ascii="宋体" w:hAnsi="宋体"/>
          <w:color w:val="auto"/>
          <w:sz w:val="24"/>
          <w:highlight w:val="none"/>
        </w:rPr>
        <w:t>为单位</w:t>
      </w:r>
      <w:r>
        <w:rPr>
          <w:rFonts w:ascii="宋体" w:hAnsi="宋体"/>
          <w:color w:val="auto"/>
          <w:sz w:val="24"/>
          <w:highlight w:val="none"/>
        </w:rPr>
        <w:t>计量，</w:t>
      </w:r>
      <w:r>
        <w:rPr>
          <w:rFonts w:hint="eastAsia" w:ascii="宋体" w:hAnsi="宋体" w:eastAsia="宋体" w:cs="宋体"/>
          <w:color w:val="auto"/>
          <w:sz w:val="24"/>
          <w:highlight w:val="none"/>
        </w:rPr>
        <w:t>包括材料、机械及试桩、空桩、试验检测及成桩检测有关的一切作业，</w:t>
      </w:r>
      <w:r>
        <w:rPr>
          <w:rFonts w:hint="eastAsia" w:ascii="宋体" w:hAnsi="宋体" w:eastAsia="宋体" w:cs="宋体"/>
          <w:color w:val="auto"/>
          <w:sz w:val="24"/>
          <w:highlight w:val="none"/>
          <w:lang w:eastAsia="zh-CN"/>
        </w:rPr>
        <w:t>托板、钢筋、</w:t>
      </w:r>
      <w:r>
        <w:rPr>
          <w:rFonts w:hint="eastAsia" w:ascii="宋体" w:hAnsi="宋体" w:eastAsia="宋体" w:cs="宋体"/>
          <w:color w:val="auto"/>
          <w:sz w:val="24"/>
          <w:highlight w:val="none"/>
        </w:rPr>
        <w:t>桩帽、顶板等作为附属工程不单独计量。水泥搅拌桩桩长按照设计图纸、监理等各方现场确认及抽芯检测反应的最小桩长值认定。</w:t>
      </w:r>
    </w:p>
    <w:p w14:paraId="449CA0EF">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5</w:t>
      </w:r>
      <w:r>
        <w:rPr>
          <w:rFonts w:ascii="宋体" w:hAnsi="宋体"/>
          <w:color w:val="auto"/>
          <w:sz w:val="24"/>
          <w:highlight w:val="none"/>
        </w:rPr>
        <w:t>)土工织物</w:t>
      </w:r>
    </w:p>
    <w:p w14:paraId="0E529065">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土工织物</w:t>
      </w:r>
      <w:r>
        <w:rPr>
          <w:rFonts w:hint="eastAsia" w:ascii="宋体" w:hAnsi="宋体"/>
          <w:color w:val="auto"/>
          <w:sz w:val="24"/>
          <w:highlight w:val="none"/>
        </w:rPr>
        <w:t>分土工布、土工格栅、土工格室等，</w:t>
      </w:r>
      <w:r>
        <w:rPr>
          <w:rFonts w:ascii="宋体" w:hAnsi="宋体"/>
          <w:color w:val="auto"/>
          <w:sz w:val="24"/>
          <w:highlight w:val="none"/>
        </w:rPr>
        <w:t>铺设土工织物</w:t>
      </w:r>
      <w:r>
        <w:rPr>
          <w:rFonts w:hint="eastAsia" w:ascii="宋体" w:hAnsi="宋体"/>
          <w:color w:val="auto"/>
          <w:sz w:val="24"/>
          <w:highlight w:val="none"/>
        </w:rPr>
        <w:t>以图纸为依据，经监理人验收合格按其净面积</w:t>
      </w:r>
      <w:r>
        <w:rPr>
          <w:rFonts w:ascii="宋体" w:hAnsi="宋体"/>
          <w:color w:val="auto"/>
          <w:sz w:val="24"/>
          <w:highlight w:val="none"/>
        </w:rPr>
        <w:t>以平方米计量，</w:t>
      </w:r>
      <w:r>
        <w:rPr>
          <w:rFonts w:hint="eastAsia" w:ascii="宋体" w:hAnsi="宋体"/>
          <w:color w:val="auto"/>
          <w:sz w:val="24"/>
          <w:highlight w:val="none"/>
          <w:lang w:eastAsia="zh-CN"/>
        </w:rPr>
        <w:t>钢筋锚钉、</w:t>
      </w:r>
      <w:r>
        <w:rPr>
          <w:rFonts w:hint="eastAsia" w:ascii="宋体" w:hAnsi="宋体"/>
          <w:color w:val="auto"/>
          <w:sz w:val="24"/>
          <w:highlight w:val="none"/>
          <w:lang w:val="en-US" w:eastAsia="zh-CN"/>
        </w:rPr>
        <w:t>角钢、压板、膨胀螺栓及螺栓</w:t>
      </w:r>
      <w:r>
        <w:rPr>
          <w:rFonts w:hint="eastAsia" w:ascii="宋体" w:hAnsi="宋体"/>
          <w:color w:val="auto"/>
          <w:sz w:val="24"/>
          <w:highlight w:val="none"/>
        </w:rPr>
        <w:t>作为其对应的附属工作，不另计量</w:t>
      </w:r>
      <w:r>
        <w:rPr>
          <w:rFonts w:hint="eastAsia" w:ascii="宋体" w:hAnsi="宋体"/>
          <w:color w:val="auto"/>
          <w:sz w:val="24"/>
          <w:highlight w:val="none"/>
          <w:lang w:eastAsia="zh-CN"/>
        </w:rPr>
        <w:t>，</w:t>
      </w:r>
      <w:r>
        <w:rPr>
          <w:rFonts w:ascii="宋体" w:hAnsi="宋体"/>
          <w:color w:val="auto"/>
          <w:sz w:val="24"/>
          <w:highlight w:val="none"/>
        </w:rPr>
        <w:t>包括材料、机械及与此有关的一切作业。</w:t>
      </w:r>
    </w:p>
    <w:p w14:paraId="36D1D967">
      <w:pPr>
        <w:spacing w:line="360" w:lineRule="auto"/>
        <w:ind w:right="18" w:firstLine="35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气泡混合轻质土按图纸及监理人指示进行铺筑，经监理人验收合格，按改良路基土方体积以立方米计量</w:t>
      </w:r>
      <w:r>
        <w:rPr>
          <w:rFonts w:hint="eastAsia" w:ascii="宋体" w:hAnsi="宋体"/>
          <w:color w:val="auto"/>
          <w:sz w:val="24"/>
          <w:highlight w:val="none"/>
          <w:lang w:eastAsia="zh-CN"/>
        </w:rPr>
        <w:t>，钢筋网、</w:t>
      </w:r>
      <w:r>
        <w:rPr>
          <w:rFonts w:hint="eastAsia" w:ascii="宋体" w:hAnsi="宋体"/>
          <w:color w:val="auto"/>
          <w:sz w:val="24"/>
          <w:highlight w:val="none"/>
          <w:lang w:val="en-US" w:eastAsia="zh-CN"/>
        </w:rPr>
        <w:t>土工材料、PVC管</w:t>
      </w:r>
      <w:r>
        <w:rPr>
          <w:rFonts w:hint="eastAsia" w:ascii="宋体" w:hAnsi="宋体"/>
          <w:color w:val="auto"/>
          <w:sz w:val="24"/>
          <w:highlight w:val="none"/>
        </w:rPr>
        <w:t>作为其对应的附属工作，不另计量；面板以立方米计量，包含面板钢筋的制安工作；面板基础的浇筑以立方米为单位计量，基础的开挖作为其对应的附属工作，不另计量；角钢、钢筋网均以千克为单位计量。垫层按其材质以立方米为单位计量。</w:t>
      </w:r>
    </w:p>
    <w:p w14:paraId="115C96ED">
      <w:pPr>
        <w:spacing w:line="360" w:lineRule="auto"/>
        <w:ind w:right="18"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工地沉降观测作为承包人应做的工作，不予计量与支付。</w:t>
      </w:r>
    </w:p>
    <w:p w14:paraId="3CB4A448">
      <w:pPr>
        <w:spacing w:line="360" w:lineRule="auto"/>
        <w:ind w:right="18" w:firstLine="42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临时排水与防护设施不予单独计量与支付，作为承包人应做的附属工作。</w:t>
      </w:r>
    </w:p>
    <w:p w14:paraId="51CFFAF5">
      <w:pPr>
        <w:spacing w:line="360" w:lineRule="auto"/>
        <w:ind w:right="18" w:firstLine="42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054F7488">
      <w:pPr>
        <w:spacing w:line="360" w:lineRule="auto"/>
        <w:ind w:right="18" w:firstLine="420"/>
        <w:jc w:val="left"/>
        <w:rPr>
          <w:rFonts w:ascii="宋体" w:hAnsi="宋体"/>
          <w:color w:val="auto"/>
          <w:sz w:val="24"/>
          <w:highlight w:val="none"/>
        </w:rPr>
      </w:pPr>
      <w:r>
        <w:rPr>
          <w:rFonts w:hint="eastAsia" w:ascii="宋体" w:hAnsi="宋体"/>
          <w:color w:val="auto"/>
          <w:sz w:val="24"/>
          <w:highlight w:val="none"/>
        </w:rPr>
        <w:t>按上述规定计量，经监理人验收的项目，第一次支付按完成工程数量的</w:t>
      </w:r>
      <w:r>
        <w:rPr>
          <w:rFonts w:ascii="宋体" w:hAnsi="宋体"/>
          <w:color w:val="auto"/>
          <w:sz w:val="24"/>
          <w:highlight w:val="none"/>
        </w:rPr>
        <w:t>85%</w:t>
      </w:r>
      <w:r>
        <w:rPr>
          <w:rFonts w:hint="eastAsia" w:ascii="宋体" w:hAnsi="宋体"/>
          <w:color w:val="auto"/>
          <w:sz w:val="24"/>
          <w:highlight w:val="none"/>
        </w:rPr>
        <w:t>支付，其余部分经监理人核准承包人递交的沉降监测报告后再支付</w:t>
      </w:r>
      <w:r>
        <w:rPr>
          <w:rFonts w:ascii="宋体" w:hAnsi="宋体"/>
          <w:color w:val="auto"/>
          <w:sz w:val="24"/>
          <w:highlight w:val="none"/>
        </w:rPr>
        <w:t>15%</w:t>
      </w:r>
      <w:r>
        <w:rPr>
          <w:rFonts w:hint="eastAsia" w:ascii="宋体" w:hAnsi="宋体"/>
          <w:color w:val="auto"/>
          <w:sz w:val="24"/>
          <w:highlight w:val="none"/>
        </w:rPr>
        <w:t>。此项支付包括材料、劳力、设备、运输等及其他为完成安装工程所必需的全部费用。</w:t>
      </w:r>
    </w:p>
    <w:p w14:paraId="26B66C57">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9C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89E5ABC">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99381F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5DD863D">
            <w:pPr>
              <w:jc w:val="left"/>
              <w:rPr>
                <w:rFonts w:hint="eastAsia" w:ascii="宋体" w:hAnsi="宋体"/>
                <w:color w:val="auto"/>
                <w:sz w:val="24"/>
                <w:highlight w:val="none"/>
              </w:rPr>
            </w:pPr>
            <w:r>
              <w:rPr>
                <w:rFonts w:hint="eastAsia" w:ascii="宋体" w:hAnsi="宋体"/>
                <w:color w:val="auto"/>
                <w:sz w:val="24"/>
                <w:highlight w:val="none"/>
              </w:rPr>
              <w:t>单位</w:t>
            </w:r>
          </w:p>
        </w:tc>
      </w:tr>
      <w:tr w14:paraId="4191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DE1E5A8">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205</w:t>
            </w:r>
          </w:p>
        </w:tc>
        <w:tc>
          <w:tcPr>
            <w:tcW w:w="5400" w:type="dxa"/>
            <w:noWrap w:val="0"/>
            <w:vAlign w:val="center"/>
          </w:tcPr>
          <w:p w14:paraId="33AD9C49">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特殊地区路基处理</w:t>
            </w:r>
          </w:p>
        </w:tc>
        <w:tc>
          <w:tcPr>
            <w:tcW w:w="1260" w:type="dxa"/>
            <w:noWrap w:val="0"/>
            <w:vAlign w:val="center"/>
          </w:tcPr>
          <w:p w14:paraId="43862387">
            <w:pPr>
              <w:widowControl/>
              <w:jc w:val="left"/>
              <w:rPr>
                <w:rFonts w:ascii="宋体" w:hAnsi="宋体" w:cs="宋体"/>
                <w:b/>
                <w:bCs/>
                <w:color w:val="auto"/>
                <w:kern w:val="0"/>
                <w:sz w:val="24"/>
                <w:highlight w:val="none"/>
              </w:rPr>
            </w:pPr>
          </w:p>
        </w:tc>
      </w:tr>
      <w:tr w14:paraId="7412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90AABA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4FDED7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软土地基处理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A0F7ED7">
            <w:pPr>
              <w:widowControl/>
              <w:jc w:val="left"/>
              <w:rPr>
                <w:rFonts w:hint="eastAsia" w:ascii="宋体" w:hAnsi="宋体" w:cs="宋体"/>
                <w:color w:val="auto"/>
                <w:kern w:val="0"/>
                <w:sz w:val="24"/>
                <w:highlight w:val="none"/>
              </w:rPr>
            </w:pPr>
          </w:p>
        </w:tc>
      </w:tr>
      <w:tr w14:paraId="79AB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045E0C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5604B4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抛石挤淤</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7F12D4">
            <w:pPr>
              <w:widowControl/>
              <w:jc w:val="left"/>
              <w:rPr>
                <w:rFonts w:hint="eastAsia" w:ascii="宋体" w:hAnsi="宋体" w:cs="宋体"/>
                <w:color w:val="auto"/>
                <w:kern w:val="0"/>
                <w:sz w:val="24"/>
                <w:highlight w:val="none"/>
              </w:rPr>
            </w:pPr>
          </w:p>
        </w:tc>
      </w:tr>
      <w:tr w14:paraId="126A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56012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0053D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利用石方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DA864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6F1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B91D21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68AD5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外购石方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CDE9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0054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DB44A0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B96C40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软基垫层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2A7564">
            <w:pPr>
              <w:widowControl/>
              <w:jc w:val="left"/>
              <w:rPr>
                <w:rFonts w:hint="eastAsia" w:ascii="宋体" w:hAnsi="宋体" w:cs="宋体"/>
                <w:color w:val="auto"/>
                <w:kern w:val="0"/>
                <w:sz w:val="24"/>
                <w:highlight w:val="none"/>
              </w:rPr>
            </w:pPr>
          </w:p>
        </w:tc>
      </w:tr>
      <w:tr w14:paraId="7076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9AD9E0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2F855A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碎石垫层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6479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1045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0FAFB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CF1CF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土工布（膜）</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D17B33">
            <w:pPr>
              <w:widowControl/>
              <w:jc w:val="left"/>
              <w:rPr>
                <w:rFonts w:hint="eastAsia" w:ascii="宋体" w:hAnsi="宋体" w:cs="宋体"/>
                <w:color w:val="auto"/>
                <w:kern w:val="0"/>
                <w:sz w:val="24"/>
                <w:highlight w:val="none"/>
              </w:rPr>
            </w:pPr>
          </w:p>
        </w:tc>
      </w:tr>
      <w:tr w14:paraId="29A9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8A4712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FCB70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反滤土工布</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8E1F4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m2</w:t>
            </w:r>
          </w:p>
        </w:tc>
      </w:tr>
      <w:tr w14:paraId="2E8D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E0CF49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A92731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土工格栅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4C0EA70">
            <w:pPr>
              <w:widowControl/>
              <w:jc w:val="left"/>
              <w:rPr>
                <w:rFonts w:hint="eastAsia" w:ascii="宋体" w:hAnsi="宋体" w:cs="宋体"/>
                <w:color w:val="auto"/>
                <w:kern w:val="0"/>
                <w:sz w:val="24"/>
                <w:highlight w:val="none"/>
              </w:rPr>
            </w:pPr>
          </w:p>
        </w:tc>
      </w:tr>
      <w:tr w14:paraId="0C96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8701C8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205-1-15-2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31E6E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双向格栅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73381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m2</w:t>
            </w:r>
          </w:p>
        </w:tc>
      </w:tr>
      <w:tr w14:paraId="3B58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41D9E1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3FF2EC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素混凝土桩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2D32BC">
            <w:pPr>
              <w:widowControl/>
              <w:jc w:val="left"/>
              <w:rPr>
                <w:rFonts w:hint="eastAsia" w:ascii="宋体" w:hAnsi="宋体" w:cs="宋体"/>
                <w:color w:val="auto"/>
                <w:kern w:val="0"/>
                <w:sz w:val="24"/>
                <w:highlight w:val="none"/>
              </w:rPr>
            </w:pPr>
          </w:p>
        </w:tc>
      </w:tr>
      <w:tr w14:paraId="2ACD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3B3A68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16065C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φ400mm素混凝土桩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074D4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3296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DBF876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205-1-20-3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59B1FB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φ500mm水泥搅拌桩（含虚桩0.5m）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4878F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2CEE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99FDF7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205-1-22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2CA15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气泡混合轻质土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9C51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73595EF0">
      <w:pPr>
        <w:spacing w:line="360" w:lineRule="auto"/>
        <w:ind w:right="18" w:firstLine="420"/>
        <w:jc w:val="left"/>
        <w:rPr>
          <w:rFonts w:hint="eastAsia" w:ascii="宋体" w:hAnsi="宋体"/>
          <w:color w:val="auto"/>
          <w:sz w:val="24"/>
          <w:highlight w:val="none"/>
        </w:rPr>
      </w:pPr>
    </w:p>
    <w:p w14:paraId="5763272F">
      <w:pPr>
        <w:spacing w:line="360" w:lineRule="auto"/>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w:t>
      </w:r>
      <w:r>
        <w:rPr>
          <w:rFonts w:hint="eastAsia" w:ascii="宋体" w:hAnsi="宋体"/>
          <w:b/>
          <w:bCs/>
          <w:color w:val="auto"/>
          <w:sz w:val="28"/>
          <w:szCs w:val="28"/>
          <w:highlight w:val="none"/>
        </w:rPr>
        <w:t>6节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路基整修</w:t>
      </w:r>
    </w:p>
    <w:p w14:paraId="3CD8C914">
      <w:pPr>
        <w:spacing w:line="360" w:lineRule="auto"/>
        <w:ind w:right="18"/>
        <w:jc w:val="left"/>
        <w:rPr>
          <w:rFonts w:hint="eastAsia" w:ascii="宋体" w:hAnsi="宋体"/>
          <w:color w:val="auto"/>
          <w:sz w:val="24"/>
          <w:highlight w:val="none"/>
        </w:rPr>
      </w:pPr>
      <w:r>
        <w:rPr>
          <w:rFonts w:hint="eastAsia" w:ascii="宋体" w:hAnsi="宋体"/>
          <w:color w:val="auto"/>
          <w:sz w:val="24"/>
          <w:highlight w:val="none"/>
        </w:rPr>
        <w:t>本节工作内容均不作计量与支付，其所涉及的费用应包括在与其相关的工程子目的单价或费率之中。</w:t>
      </w:r>
    </w:p>
    <w:p w14:paraId="59B97E4B">
      <w:pPr>
        <w:spacing w:line="360" w:lineRule="auto"/>
        <w:jc w:val="left"/>
        <w:rPr>
          <w:rFonts w:hint="eastAsia" w:ascii="宋体" w:hAnsi="宋体"/>
          <w:b/>
          <w:bCs/>
          <w:color w:val="auto"/>
          <w:sz w:val="28"/>
          <w:szCs w:val="28"/>
          <w:highlight w:val="none"/>
        </w:rPr>
      </w:pPr>
    </w:p>
    <w:p w14:paraId="5C19A14B">
      <w:pPr>
        <w:spacing w:line="360" w:lineRule="auto"/>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w:t>
      </w:r>
      <w:r>
        <w:rPr>
          <w:rFonts w:hint="eastAsia" w:ascii="宋体" w:hAnsi="宋体"/>
          <w:b/>
          <w:bCs/>
          <w:color w:val="auto"/>
          <w:sz w:val="28"/>
          <w:szCs w:val="28"/>
          <w:highlight w:val="none"/>
        </w:rPr>
        <w:t>7节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坡面排水</w:t>
      </w:r>
    </w:p>
    <w:p w14:paraId="4B531265">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1E367117">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边沟、排水沟、截水沟的加固铺砌，按设计图纸施工经监理人经验收合格的实际长度，按不同铺砌材料分类以砌体体积按立方米计量，混凝土结构按钢筋（按重量以kg）和混凝土（按体积以立方米）分别计量。由于边沟、排水沟、截水沟加固铺砌而需扩挖部分的开挖，均作为承包人应做的附属工作，不另计量与支付。所用砂砾垫层或基础材料、土工材料、填缝材料、砂浆抹面以及地基平整夯实及回填等土方工程均含入相关子目单价之中，不另行计量与支付。浅碟形边沟按沟面植草面积以平方米计量，植草、填土夯实及挖基土方等均含入子目单价之中，不另行计量与支付。边沟、排水沟等水沟的盖板在本节支付子目207-9中计量。</w:t>
      </w:r>
    </w:p>
    <w:p w14:paraId="210ED0E5">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 xml:space="preserve"> 急流槽按图纸施工，经监理人验收合格的断面尺寸，按不同铺砌材料分类按砌体体积以立方米计量，混凝土结构所用钢筋按重量以kg计量。包括消力池、消力槛、抗滑台等附属设施属于附属设施，不单独计量。挖基、砂垫层、回填土、土工布等作为附属工程，不单独计量。</w:t>
      </w:r>
    </w:p>
    <w:p w14:paraId="4603C271">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路基盲（渗）沟按图纸施工，经监理人验收合格的断面尺寸及所用材料，按不同填料材料分类按体积以立方米计量。所用砂砾垫层或基础材料</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包封</w:t>
      </w:r>
      <w:r>
        <w:rPr>
          <w:rFonts w:hint="eastAsia" w:ascii="宋体" w:hAnsi="宋体"/>
          <w:color w:val="auto"/>
          <w:sz w:val="24"/>
          <w:highlight w:val="none"/>
          <w:lang w:eastAsia="zh-CN"/>
        </w:rPr>
        <w:t>）</w:t>
      </w:r>
      <w:r>
        <w:rPr>
          <w:rFonts w:hint="eastAsia" w:ascii="宋体" w:hAnsi="宋体"/>
          <w:color w:val="auto"/>
          <w:sz w:val="24"/>
          <w:highlight w:val="none"/>
        </w:rPr>
        <w:t>、填缝材料、土工材料、透水管</w:t>
      </w:r>
      <w:r>
        <w:rPr>
          <w:rFonts w:hint="eastAsia" w:ascii="宋体" w:hAnsi="宋体"/>
          <w:color w:val="auto"/>
          <w:sz w:val="24"/>
          <w:highlight w:val="none"/>
          <w:lang w:eastAsia="zh-CN"/>
        </w:rPr>
        <w:t>、</w:t>
      </w:r>
      <w:r>
        <w:rPr>
          <w:rFonts w:hint="eastAsia" w:ascii="宋体" w:hAnsi="宋体"/>
          <w:color w:val="auto"/>
          <w:sz w:val="24"/>
          <w:highlight w:val="none"/>
        </w:rPr>
        <w:t>以及土石方开挖、地基平整夯实、回填</w:t>
      </w:r>
      <w:r>
        <w:rPr>
          <w:rFonts w:hint="eastAsia" w:ascii="宋体" w:hAnsi="宋体"/>
          <w:color w:val="auto"/>
          <w:sz w:val="24"/>
          <w:highlight w:val="none"/>
          <w:lang w:eastAsia="zh-CN"/>
        </w:rPr>
        <w:t>方</w:t>
      </w:r>
      <w:r>
        <w:rPr>
          <w:rFonts w:hint="eastAsia" w:ascii="宋体" w:hAnsi="宋体"/>
          <w:color w:val="auto"/>
          <w:sz w:val="24"/>
          <w:highlight w:val="none"/>
        </w:rPr>
        <w:t>等工程均含入相关子目单价之中，不另行计量与支付。内设的PVC排水管或软式透水管在本节支付子目207-10中单独计量。</w:t>
      </w:r>
    </w:p>
    <w:p w14:paraId="564E18EF">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涵洞上下游改沟、改渠护坡铺砌按图纸施工，经监理人验收合格的不同圬工体积，以立方米计量。挖基、砂垫层、回填土等作为附属工程，不另行计量。</w:t>
      </w:r>
    </w:p>
    <w:p w14:paraId="4FDB5F35">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现浇或预制混凝土坡面排水结构物按图纸施工，经监理人验收合格的断面尺寸计算砌体实体体积，混凝土以立方米计量，混凝土钢筋以kg计量，挖基、砂垫层、回填土等作为附属工程，不另行计量。</w:t>
      </w:r>
    </w:p>
    <w:p w14:paraId="08C5F459">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lang w:eastAsia="zh-CN"/>
        </w:rPr>
        <w:t>给</w:t>
      </w:r>
      <w:r>
        <w:rPr>
          <w:rFonts w:hint="eastAsia" w:ascii="宋体" w:hAnsi="宋体"/>
          <w:color w:val="auto"/>
          <w:sz w:val="24"/>
          <w:highlight w:val="none"/>
        </w:rPr>
        <w:t>排水管（含盲沟内设的PVC排水管）按建筑材料分类，按图纸施工，经监理人验收合格的断面尺寸及所有材料，按长度以米计量。</w:t>
      </w:r>
      <w:r>
        <w:rPr>
          <w:rFonts w:hint="eastAsia" w:ascii="宋体" w:hAnsi="宋体"/>
          <w:color w:val="auto"/>
          <w:sz w:val="24"/>
          <w:highlight w:val="none"/>
          <w:lang w:eastAsia="zh-CN"/>
        </w:rPr>
        <w:t>给水管的警示带、</w:t>
      </w:r>
      <w:r>
        <w:rPr>
          <w:rFonts w:hint="eastAsia" w:ascii="宋体" w:hAnsi="宋体"/>
          <w:color w:val="auto"/>
          <w:sz w:val="24"/>
          <w:highlight w:val="none"/>
        </w:rPr>
        <w:t>排水管的混凝土包封及砂砾垫层等作为附属工程，不单独计量。</w:t>
      </w:r>
    </w:p>
    <w:p w14:paraId="0AAE8CCE">
      <w:pPr>
        <w:tabs>
          <w:tab w:val="left" w:pos="900"/>
        </w:tabs>
        <w:spacing w:line="360" w:lineRule="auto"/>
        <w:ind w:firstLine="480" w:firstLineChars="200"/>
        <w:jc w:val="left"/>
        <w:rPr>
          <w:rFonts w:hint="default" w:ascii="宋体" w:hAnsi="宋体"/>
          <w:color w:val="auto"/>
          <w:sz w:val="24"/>
          <w:highlight w:val="none"/>
          <w:lang w:val="en-US"/>
        </w:rPr>
      </w:pPr>
      <w:r>
        <w:rPr>
          <w:rFonts w:hint="eastAsia" w:ascii="宋体" w:hAnsi="宋体"/>
          <w:color w:val="auto"/>
          <w:sz w:val="24"/>
          <w:highlight w:val="none"/>
          <w:lang w:val="en-US" w:eastAsia="zh-CN"/>
        </w:rPr>
        <w:t>(7)</w:t>
      </w:r>
      <w:r>
        <w:rPr>
          <w:rFonts w:hint="eastAsia" w:ascii="宋体" w:hAnsi="宋体"/>
          <w:color w:val="auto"/>
          <w:sz w:val="24"/>
          <w:highlight w:val="none"/>
          <w:lang w:eastAsia="zh-CN"/>
        </w:rPr>
        <w:t>给</w:t>
      </w:r>
      <w:r>
        <w:rPr>
          <w:rFonts w:hint="eastAsia" w:ascii="宋体" w:hAnsi="宋体"/>
          <w:color w:val="auto"/>
          <w:sz w:val="24"/>
          <w:highlight w:val="none"/>
        </w:rPr>
        <w:t>排水管</w:t>
      </w:r>
      <w:r>
        <w:rPr>
          <w:rFonts w:hint="eastAsia" w:ascii="宋体" w:hAnsi="宋体"/>
          <w:color w:val="auto"/>
          <w:sz w:val="24"/>
          <w:highlight w:val="none"/>
          <w:lang w:eastAsia="zh-CN"/>
        </w:rPr>
        <w:t>沟</w:t>
      </w:r>
      <w:r>
        <w:rPr>
          <w:rFonts w:hint="eastAsia" w:ascii="宋体" w:hAnsi="宋体"/>
          <w:color w:val="auto"/>
          <w:sz w:val="24"/>
          <w:highlight w:val="none"/>
        </w:rPr>
        <w:t>按建筑材料分类，按图纸施工，经监理人验收合格的断面尺寸及所有材料，按长度以米计量。挖基、砂垫层、回填土、</w:t>
      </w:r>
      <w:r>
        <w:rPr>
          <w:rFonts w:hint="eastAsia" w:ascii="宋体" w:hAnsi="宋体"/>
          <w:color w:val="auto"/>
          <w:sz w:val="24"/>
          <w:highlight w:val="none"/>
          <w:lang w:eastAsia="zh-CN"/>
        </w:rPr>
        <w:t>回填石屑、混凝土基础、混凝土垫层、混凝土支墩等以立方米计量。</w:t>
      </w:r>
    </w:p>
    <w:p w14:paraId="5F570A4B">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lang w:val="en-US" w:eastAsia="zh-CN"/>
        </w:rPr>
        <w:t>8</w:t>
      </w:r>
      <w:r>
        <w:rPr>
          <w:rFonts w:ascii="宋体" w:hAnsi="宋体"/>
          <w:color w:val="auto"/>
          <w:sz w:val="24"/>
          <w:highlight w:val="none"/>
        </w:rPr>
        <w:t>)</w:t>
      </w:r>
      <w:r>
        <w:rPr>
          <w:rFonts w:hint="eastAsia" w:ascii="宋体" w:hAnsi="宋体"/>
          <w:color w:val="auto"/>
          <w:sz w:val="24"/>
          <w:highlight w:val="none"/>
        </w:rPr>
        <w:t>集水井、跌水井、检查井、蒸发池、油水分离池等排水结构物以座计量，泄水槽以个计量。</w:t>
      </w:r>
    </w:p>
    <w:p w14:paraId="73705239">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lang w:val="en-US" w:eastAsia="zh-CN"/>
        </w:rPr>
        <w:t>9</w:t>
      </w:r>
      <w:r>
        <w:rPr>
          <w:rFonts w:ascii="宋体" w:hAnsi="宋体"/>
          <w:color w:val="auto"/>
          <w:sz w:val="24"/>
          <w:highlight w:val="none"/>
        </w:rPr>
        <w:t>)</w:t>
      </w:r>
      <w:r>
        <w:rPr>
          <w:rFonts w:hint="eastAsia" w:ascii="宋体" w:hAnsi="宋体"/>
          <w:color w:val="auto"/>
          <w:sz w:val="24"/>
          <w:highlight w:val="none"/>
          <w:lang w:eastAsia="zh-CN"/>
        </w:rPr>
        <w:t>阀门井、</w:t>
      </w:r>
      <w:r>
        <w:rPr>
          <w:rFonts w:hint="eastAsia" w:ascii="宋体" w:hAnsi="宋体" w:cs="宋体"/>
          <w:color w:val="auto"/>
          <w:kern w:val="0"/>
          <w:sz w:val="24"/>
          <w:highlight w:val="none"/>
        </w:rPr>
        <w:t>预制装配式混凝土井</w:t>
      </w:r>
      <w:r>
        <w:rPr>
          <w:rFonts w:hint="eastAsia" w:ascii="宋体" w:hAnsi="宋体" w:cs="宋体"/>
          <w:color w:val="auto"/>
          <w:kern w:val="0"/>
          <w:sz w:val="24"/>
          <w:highlight w:val="none"/>
          <w:lang w:eastAsia="zh-CN"/>
        </w:rPr>
        <w:t>、现浇混凝土井、</w:t>
      </w:r>
      <w:r>
        <w:rPr>
          <w:rFonts w:hint="eastAsia" w:ascii="宋体" w:hAnsi="宋体" w:cs="宋体"/>
          <w:color w:val="auto"/>
          <w:kern w:val="0"/>
          <w:sz w:val="24"/>
          <w:highlight w:val="none"/>
        </w:rPr>
        <w:t>边沟导流井</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排出口</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预制装配式双篦平篦式雨水口</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集水井</w:t>
      </w:r>
      <w:r>
        <w:rPr>
          <w:rFonts w:hint="eastAsia" w:ascii="宋体" w:hAnsi="宋体"/>
          <w:color w:val="auto"/>
          <w:sz w:val="24"/>
          <w:highlight w:val="none"/>
        </w:rPr>
        <w:t>等</w:t>
      </w:r>
      <w:r>
        <w:rPr>
          <w:rFonts w:hint="eastAsia" w:ascii="宋体" w:hAnsi="宋体"/>
          <w:color w:val="auto"/>
          <w:sz w:val="24"/>
          <w:highlight w:val="none"/>
          <w:lang w:eastAsia="zh-CN"/>
        </w:rPr>
        <w:t>给</w:t>
      </w:r>
      <w:r>
        <w:rPr>
          <w:rFonts w:hint="eastAsia" w:ascii="宋体" w:hAnsi="宋体"/>
          <w:color w:val="auto"/>
          <w:sz w:val="24"/>
          <w:highlight w:val="none"/>
        </w:rPr>
        <w:t>排水结构物以座计量。</w:t>
      </w:r>
    </w:p>
    <w:p w14:paraId="708E51D3">
      <w:pPr>
        <w:tabs>
          <w:tab w:val="left" w:pos="900"/>
        </w:tabs>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10</w:t>
      </w:r>
      <w:r>
        <w:rPr>
          <w:rFonts w:hint="eastAsia" w:ascii="宋体" w:hAnsi="宋体"/>
          <w:color w:val="auto"/>
          <w:sz w:val="24"/>
          <w:highlight w:val="none"/>
          <w:lang w:eastAsia="zh-CN"/>
        </w:rPr>
        <w:t>）给水管件</w:t>
      </w:r>
      <w:r>
        <w:rPr>
          <w:rFonts w:hint="eastAsia" w:ascii="宋体" w:hAnsi="宋体"/>
          <w:color w:val="auto"/>
          <w:sz w:val="24"/>
          <w:highlight w:val="none"/>
        </w:rPr>
        <w:t>按建筑材料分类，按图纸施工，经监理人验收合格的</w:t>
      </w:r>
      <w:r>
        <w:rPr>
          <w:rFonts w:hint="eastAsia" w:ascii="宋体" w:hAnsi="宋体"/>
          <w:color w:val="auto"/>
          <w:sz w:val="24"/>
          <w:highlight w:val="none"/>
          <w:lang w:eastAsia="zh-CN"/>
        </w:rPr>
        <w:t>规格</w:t>
      </w:r>
      <w:r>
        <w:rPr>
          <w:rFonts w:hint="eastAsia" w:ascii="宋体" w:hAnsi="宋体"/>
          <w:color w:val="auto"/>
          <w:sz w:val="24"/>
          <w:highlight w:val="none"/>
        </w:rPr>
        <w:t>尺寸及所有材料，按</w:t>
      </w:r>
      <w:r>
        <w:rPr>
          <w:rFonts w:hint="eastAsia" w:ascii="宋体" w:hAnsi="宋体"/>
          <w:color w:val="auto"/>
          <w:sz w:val="24"/>
          <w:highlight w:val="none"/>
          <w:lang w:eastAsia="zh-CN"/>
        </w:rPr>
        <w:t>个</w:t>
      </w:r>
      <w:r>
        <w:rPr>
          <w:rFonts w:hint="eastAsia" w:ascii="宋体" w:hAnsi="宋体"/>
          <w:color w:val="auto"/>
          <w:sz w:val="24"/>
          <w:highlight w:val="none"/>
        </w:rPr>
        <w:t>计量。</w:t>
      </w:r>
      <w:r>
        <w:rPr>
          <w:rFonts w:hint="eastAsia" w:ascii="宋体" w:hAnsi="宋体" w:cs="宋体"/>
          <w:color w:val="auto"/>
          <w:kern w:val="0"/>
          <w:sz w:val="24"/>
          <w:highlight w:val="none"/>
        </w:rPr>
        <w:t>室外消火栓</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铸铁篦子</w:t>
      </w:r>
      <w:r>
        <w:rPr>
          <w:rFonts w:hint="eastAsia" w:ascii="宋体" w:hAnsi="宋体" w:cs="宋体"/>
          <w:color w:val="auto"/>
          <w:kern w:val="0"/>
          <w:sz w:val="24"/>
          <w:highlight w:val="none"/>
          <w:lang w:eastAsia="zh-CN"/>
        </w:rPr>
        <w:t>等按套计量。</w:t>
      </w:r>
    </w:p>
    <w:p w14:paraId="26EC68E7">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3C2AF460">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的列入工程量清单以下的工程子目的工程量，其每一计量单位将以合同单价支付，此项支付包括材料、劳力、设备、运输等及其他为完成地面排水工程所必需的所有费用，是对完成工程的全部偿付。</w:t>
      </w:r>
    </w:p>
    <w:p w14:paraId="5DE13894">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A6B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F8FDFB5">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794A66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03E26E9B">
            <w:pPr>
              <w:jc w:val="left"/>
              <w:rPr>
                <w:rFonts w:hint="eastAsia" w:ascii="宋体" w:hAnsi="宋体"/>
                <w:color w:val="auto"/>
                <w:sz w:val="24"/>
                <w:highlight w:val="none"/>
              </w:rPr>
            </w:pPr>
            <w:r>
              <w:rPr>
                <w:rFonts w:hint="eastAsia" w:ascii="宋体" w:hAnsi="宋体"/>
                <w:color w:val="auto"/>
                <w:sz w:val="24"/>
                <w:highlight w:val="none"/>
              </w:rPr>
              <w:t>单位</w:t>
            </w:r>
          </w:p>
        </w:tc>
      </w:tr>
      <w:tr w14:paraId="6D4F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E49B813">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207</w:t>
            </w:r>
          </w:p>
        </w:tc>
        <w:tc>
          <w:tcPr>
            <w:tcW w:w="5400" w:type="dxa"/>
            <w:noWrap w:val="0"/>
            <w:vAlign w:val="center"/>
          </w:tcPr>
          <w:p w14:paraId="3E7DE070">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坡面排水</w:t>
            </w:r>
          </w:p>
        </w:tc>
        <w:tc>
          <w:tcPr>
            <w:tcW w:w="1260" w:type="dxa"/>
            <w:noWrap w:val="0"/>
            <w:vAlign w:val="center"/>
          </w:tcPr>
          <w:p w14:paraId="7655660F">
            <w:pPr>
              <w:widowControl/>
              <w:jc w:val="left"/>
              <w:rPr>
                <w:rFonts w:ascii="宋体" w:hAnsi="宋体" w:cs="宋体"/>
                <w:b/>
                <w:bCs/>
                <w:color w:val="auto"/>
                <w:kern w:val="0"/>
                <w:sz w:val="24"/>
                <w:highlight w:val="none"/>
              </w:rPr>
            </w:pPr>
          </w:p>
        </w:tc>
      </w:tr>
      <w:tr w14:paraId="6F6A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E8AA71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207-1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222E80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边沟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3F2B8F">
            <w:pPr>
              <w:widowControl/>
              <w:jc w:val="left"/>
              <w:rPr>
                <w:rFonts w:hint="eastAsia" w:ascii="宋体" w:hAnsi="宋体" w:cs="宋体"/>
                <w:color w:val="auto"/>
                <w:kern w:val="0"/>
                <w:sz w:val="24"/>
                <w:highlight w:val="none"/>
              </w:rPr>
            </w:pPr>
          </w:p>
        </w:tc>
      </w:tr>
      <w:tr w14:paraId="2D5C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F3DFB5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B287F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现浇混凝土边沟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E555BD">
            <w:pPr>
              <w:widowControl/>
              <w:jc w:val="left"/>
              <w:rPr>
                <w:rFonts w:hint="eastAsia" w:ascii="宋体" w:hAnsi="宋体" w:cs="宋体"/>
                <w:color w:val="auto"/>
                <w:kern w:val="0"/>
                <w:sz w:val="24"/>
                <w:highlight w:val="none"/>
              </w:rPr>
            </w:pPr>
          </w:p>
        </w:tc>
      </w:tr>
      <w:tr w14:paraId="604F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671FE1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207-1-5-4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B9A472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C20现浇混凝土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0D2F3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325A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4C6A91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207-1-5-5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B52DF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C5F75C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0C8C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2C51F0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207-2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DE120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排水沟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276056">
            <w:pPr>
              <w:widowControl/>
              <w:jc w:val="left"/>
              <w:rPr>
                <w:rFonts w:hint="eastAsia" w:ascii="宋体" w:hAnsi="宋体" w:cs="宋体"/>
                <w:color w:val="auto"/>
                <w:kern w:val="0"/>
                <w:sz w:val="24"/>
                <w:highlight w:val="none"/>
              </w:rPr>
            </w:pPr>
          </w:p>
        </w:tc>
      </w:tr>
      <w:tr w14:paraId="7C84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65A3C8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207-2-4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8C6767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现浇混凝土排水沟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7F4E42E">
            <w:pPr>
              <w:widowControl/>
              <w:jc w:val="left"/>
              <w:rPr>
                <w:rFonts w:hint="eastAsia" w:ascii="宋体" w:hAnsi="宋体" w:cs="宋体"/>
                <w:color w:val="auto"/>
                <w:kern w:val="0"/>
                <w:sz w:val="24"/>
                <w:highlight w:val="none"/>
              </w:rPr>
            </w:pPr>
          </w:p>
        </w:tc>
      </w:tr>
      <w:tr w14:paraId="777D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B01D35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207-2-4-4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48026A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C20现浇混凝土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FA5BD6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63ED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FAF95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207-2-4-5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B7979D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F675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6065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E1CE4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FE855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截水沟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092C04A">
            <w:pPr>
              <w:widowControl/>
              <w:jc w:val="left"/>
              <w:rPr>
                <w:rFonts w:hint="eastAsia" w:ascii="宋体" w:hAnsi="宋体" w:cs="宋体"/>
                <w:color w:val="auto"/>
                <w:kern w:val="0"/>
                <w:sz w:val="24"/>
                <w:highlight w:val="none"/>
              </w:rPr>
            </w:pPr>
          </w:p>
        </w:tc>
      </w:tr>
      <w:tr w14:paraId="15AF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ABC11A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8A47E8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现浇混凝土截水沟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3F4B01">
            <w:pPr>
              <w:widowControl/>
              <w:jc w:val="left"/>
              <w:rPr>
                <w:rFonts w:hint="eastAsia" w:ascii="宋体" w:hAnsi="宋体" w:cs="宋体"/>
                <w:color w:val="auto"/>
                <w:kern w:val="0"/>
                <w:sz w:val="24"/>
                <w:highlight w:val="none"/>
              </w:rPr>
            </w:pPr>
          </w:p>
        </w:tc>
      </w:tr>
      <w:tr w14:paraId="2DD8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3CC72C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207-3-4-5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B23F3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968B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72D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A746AB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0CD5E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急流槽或跌水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9FDCE3">
            <w:pPr>
              <w:widowControl/>
              <w:jc w:val="left"/>
              <w:rPr>
                <w:rFonts w:hint="eastAsia" w:ascii="宋体" w:hAnsi="宋体" w:cs="宋体"/>
                <w:color w:val="auto"/>
                <w:kern w:val="0"/>
                <w:sz w:val="24"/>
                <w:highlight w:val="none"/>
              </w:rPr>
            </w:pPr>
          </w:p>
        </w:tc>
      </w:tr>
      <w:tr w14:paraId="3F11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16CFA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7A5CF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浆砌片石急流槽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96145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5CB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75ABEC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207-4-4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45C44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现浇混凝土急流槽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D8B0AE">
            <w:pPr>
              <w:widowControl/>
              <w:jc w:val="left"/>
              <w:rPr>
                <w:rFonts w:hint="eastAsia" w:ascii="宋体" w:hAnsi="宋体" w:cs="宋体"/>
                <w:color w:val="auto"/>
                <w:kern w:val="0"/>
                <w:sz w:val="24"/>
                <w:highlight w:val="none"/>
              </w:rPr>
            </w:pPr>
          </w:p>
        </w:tc>
      </w:tr>
      <w:tr w14:paraId="1D7E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DA082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207-4-4-5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18EC3C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44DA2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C05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BC3716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E3A1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路基盲（渗）沟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B7D9B0">
            <w:pPr>
              <w:widowControl/>
              <w:jc w:val="left"/>
              <w:rPr>
                <w:rFonts w:hint="eastAsia" w:ascii="宋体" w:hAnsi="宋体" w:cs="宋体"/>
                <w:color w:val="auto"/>
                <w:kern w:val="0"/>
                <w:sz w:val="24"/>
                <w:highlight w:val="none"/>
              </w:rPr>
            </w:pPr>
          </w:p>
        </w:tc>
      </w:tr>
      <w:tr w14:paraId="0CE2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E2E801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FE827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碎石料盲（渗）沟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58BA8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547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AF2E4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43097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边沟、排水沟盖板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6C20BE">
            <w:pPr>
              <w:widowControl/>
              <w:jc w:val="left"/>
              <w:rPr>
                <w:rFonts w:hint="eastAsia" w:ascii="宋体" w:hAnsi="宋体" w:cs="宋体"/>
                <w:color w:val="auto"/>
                <w:kern w:val="0"/>
                <w:sz w:val="24"/>
                <w:highlight w:val="none"/>
              </w:rPr>
            </w:pPr>
          </w:p>
        </w:tc>
      </w:tr>
      <w:tr w14:paraId="0BDC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D5C36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207-9-1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0927BC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盖板钢筋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111E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kg</w:t>
            </w:r>
          </w:p>
        </w:tc>
      </w:tr>
      <w:tr w14:paraId="4CBE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0E74A3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207-9-7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73F6FE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盖板C35混凝土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49C77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1966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541FC3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77C118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路基排水管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BB84A8">
            <w:pPr>
              <w:widowControl/>
              <w:jc w:val="left"/>
              <w:rPr>
                <w:rFonts w:hint="eastAsia" w:ascii="宋体" w:hAnsi="宋体" w:cs="宋体"/>
                <w:color w:val="auto"/>
                <w:kern w:val="0"/>
                <w:sz w:val="24"/>
                <w:highlight w:val="none"/>
              </w:rPr>
            </w:pPr>
          </w:p>
        </w:tc>
      </w:tr>
      <w:tr w14:paraId="1DF3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C7DAB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4B2C4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PVC排水管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2DEC0BB">
            <w:pPr>
              <w:widowControl/>
              <w:jc w:val="left"/>
              <w:rPr>
                <w:rFonts w:hint="eastAsia" w:ascii="宋体" w:hAnsi="宋体" w:cs="宋体"/>
                <w:color w:val="auto"/>
                <w:kern w:val="0"/>
                <w:sz w:val="24"/>
                <w:highlight w:val="none"/>
              </w:rPr>
            </w:pPr>
          </w:p>
        </w:tc>
      </w:tr>
      <w:tr w14:paraId="07A8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3AD700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79063B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φ150mmPVC排水管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1074C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690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864368C">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207-10-</w:t>
            </w:r>
            <w:r>
              <w:rPr>
                <w:rFonts w:hint="eastAsia" w:ascii="宋体" w:hAnsi="宋体" w:cs="宋体"/>
                <w:color w:val="auto"/>
                <w:kern w:val="0"/>
                <w:sz w:val="24"/>
                <w:highlight w:val="none"/>
                <w:lang w:val="en-US" w:eastAsia="zh-CN"/>
              </w:rPr>
              <w:t>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FD9B48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挖沟槽土方（弃方）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C36B2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22F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7F6875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EA9013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塑料硬式透水管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125026C">
            <w:pPr>
              <w:widowControl/>
              <w:jc w:val="left"/>
              <w:rPr>
                <w:rFonts w:hint="eastAsia" w:ascii="宋体" w:hAnsi="宋体" w:cs="宋体"/>
                <w:color w:val="auto"/>
                <w:kern w:val="0"/>
                <w:sz w:val="24"/>
                <w:highlight w:val="none"/>
              </w:rPr>
            </w:pPr>
          </w:p>
        </w:tc>
      </w:tr>
      <w:tr w14:paraId="6EF3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AE784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B77A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φ150mm硬式透水管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84CA5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71DC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EB7027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B595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挖沟槽土方（利用方）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5D3E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1201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C0ECCD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05A85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回填石屑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B99329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A99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4E0625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E09F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回填土方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43002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F79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B0B5D8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9169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回填中粗砂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26DE7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0133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97E1BF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AB778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DN38X3涂塑复合钢管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28E44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28B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01BDDD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BA35F8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DN57x4涂塑复合钢管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100BD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47EB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D006D0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5B647C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DN108x5涂塑复合钢管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DD00C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32EE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E9E8C0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0BEB40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DN219x10焊接钢管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A6C0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66F8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3D8A0D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12EC64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DN325x10焊接钢管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93EA1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1940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F31F36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0B5FDA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DN300球墨铸铁管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578A5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0CED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C7C701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0B00A1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DN200球墨铸铁管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1963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155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29D616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E12FBE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SSF150/65-1.0室外消火栓(含闸阀)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E77F78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套</w:t>
            </w:r>
          </w:p>
        </w:tc>
      </w:tr>
      <w:tr w14:paraId="068B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4F542D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0B52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φ1200排气阀井 井室深1.50m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31F9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59F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D2FD28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82554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DN80铸铁排气阀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D9DB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3C0F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DA1D4A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207-10-19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5E338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DN50铸铁排气阀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3BD48B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25E1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5579A7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FD906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DN65铸铁排气阀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13E23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7826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F1A5B6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C6C4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铸铁DN300x80全盘排气三通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EA183D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3D62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94A541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6C196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铸铁DN100x50全盘排气三通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E24672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1862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2D1A3E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E371C6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铸铁DN200x65全盘排气三通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4C0C4B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094A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A6C6C9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4D12E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φ1000排泥阀井 井深1.5m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9DFB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02C6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8ADBAA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C61C80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DN75铸铁排泥阀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16D19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2024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736EA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77449C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铸铁DN300x75全盘排泥三通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E2F99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54FE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270329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4F4076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φ1200砖砌井 井室深1.80m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209CB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6075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7FC4B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207-10-28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29F8CA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φ1200砖砌井 井室深1.20m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AF2B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0E69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30275B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207-10-29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254AF2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DN200铸铁闸阀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5AE80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27D9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82BA8B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7039D6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DN100铸铁闸阀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EC0A0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260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9698BF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ADE87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φ1400砖砌井 井室深2.00m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33E58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6400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5A867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4FFF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DN300铸铁闸阀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F3011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3F4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AEDEF1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F638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1100X1100混凝土井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3FFD3B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2ABA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3B3520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E10C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DN50铸铁闸阀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20854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34F1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1EFCF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C668EB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钢制DN100xDN30全焊三通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11CF2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54DD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2E04F1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7D74D5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铸铁DN300xDN50全盘三通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0A747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A6D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9E5352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9E0380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钢制DN200xDN50全焊三通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23572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0FD2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0C25E5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F9A8DF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DN50钢制90度螺纹弯头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B1E26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4732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A3641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207-10-39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BD7E5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DN300铸铁45度双盘弯头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8B28B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1FA4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7D8F49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93E68F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DN50钢制45度螺纹弯头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937F1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0FD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9ADFBD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D1E3CF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DN300铸铁22.5度双盘弯头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34E8F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B67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B16C44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A804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DN200钢制22.5度焊接弯头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67AE17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35AA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30B0C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9944F1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DN50钢制22.5度螺纹弯头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6ACD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0A2A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B0BF7B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FE7AF7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DN300铸铁11.25度双盘弯头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6895AF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D2B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E5393E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D0BE44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DN200钢制11.25度焊接弯头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E452A8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0870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B2FF41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077DC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DN50钢制90度双盘弯头</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76FE6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个</w:t>
            </w:r>
          </w:p>
        </w:tc>
      </w:tr>
      <w:tr w14:paraId="6237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D84F2B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C59477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C20混凝土支墩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06D0E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28BA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DAEF9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1789EE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C25砼基础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B5150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0FB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D69E0F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207-10-49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04CB2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C20素砼垫层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8F11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F61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24E29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392D0E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DN300II级钢筋混凝土管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A2BC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41F2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9189D1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036815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DN400II级钢筋混凝土管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27DDA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6A33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9BFD84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768A1C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DN600II级钢筋混凝土管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628B3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6381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CC55E7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5DB789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DN800II级钢筋混凝土管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C0063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738A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C66E70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0B607F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DN1000II级钢筋混凝土管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5014B2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6272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68A54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8DE857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460X240横向混凝土方沟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AFCB0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10A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3D2CF0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221E13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重型铸铁篦子520*300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CC4AE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套</w:t>
            </w:r>
          </w:p>
        </w:tc>
      </w:tr>
      <w:tr w14:paraId="4E94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E2B88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CA51BA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φ1200预制装配式混凝土沉泥井 平均井深:2.59m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B8834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41A0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98ADD1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49621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φ1600预制装配式混凝土沉泥井 平均井深:3.17m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841A35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1D06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F9D3B3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207-10-59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124FA8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φ1200预制装配式混凝土检查井 平均井深:1.95m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A6B440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0C65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D66039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9C84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φ1600预制装配式混凝土检查井 平均井深:1.81m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80FB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2932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50F26A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6C6C37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2200X2200检查井 平均井深:3.76m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1D695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6173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DA6259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8A827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1000X600X1200边沟导流井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B2C4DD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4B60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181C2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BAABB8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D800排出口</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60443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2F6B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A61DEC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FFE6A4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预制装配式双篦平篦式雨水口</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E663E8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5ADE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7C65D1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207-10-65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76B98A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1000X1800集水井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E689A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3F38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0C797E6">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207-10-6</w:t>
            </w:r>
            <w:r>
              <w:rPr>
                <w:rFonts w:hint="eastAsia" w:ascii="宋体" w:hAnsi="宋体" w:cs="宋体"/>
                <w:color w:val="auto"/>
                <w:kern w:val="0"/>
                <w:sz w:val="24"/>
                <w:highlight w:val="none"/>
                <w:lang w:val="en-US" w:eastAsia="zh-CN"/>
              </w:rPr>
              <w:t>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F099D9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φ1000预制装配式混凝土检查井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219F7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bl>
    <w:p w14:paraId="125CB91C">
      <w:pPr>
        <w:spacing w:line="360" w:lineRule="auto"/>
        <w:ind w:firstLine="480" w:firstLineChars="200"/>
        <w:jc w:val="left"/>
        <w:rPr>
          <w:rFonts w:hint="eastAsia" w:ascii="宋体" w:hAnsi="宋体"/>
          <w:color w:val="auto"/>
          <w:sz w:val="24"/>
          <w:highlight w:val="none"/>
        </w:rPr>
      </w:pPr>
    </w:p>
    <w:p w14:paraId="3962DF32">
      <w:pPr>
        <w:spacing w:line="360" w:lineRule="auto"/>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208</w:t>
      </w:r>
      <w:r>
        <w:rPr>
          <w:rFonts w:hint="eastAsia" w:ascii="宋体" w:hAnsi="宋体"/>
          <w:b/>
          <w:bCs/>
          <w:color w:val="auto"/>
          <w:sz w:val="28"/>
          <w:szCs w:val="28"/>
          <w:highlight w:val="none"/>
        </w:rPr>
        <w:t>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护坡、护面墙</w:t>
      </w:r>
    </w:p>
    <w:p w14:paraId="3392AB0C">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计量</w:t>
      </w:r>
    </w:p>
    <w:p w14:paraId="1E88466B">
      <w:pPr>
        <w:tabs>
          <w:tab w:val="left" w:pos="900"/>
        </w:tabs>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(1)干砌片石、浆砌片石护坡、护面墙</w:t>
      </w:r>
      <w:r>
        <w:rPr>
          <w:rFonts w:hint="eastAsia" w:ascii="宋体" w:hAnsi="宋体"/>
          <w:color w:val="auto"/>
          <w:sz w:val="24"/>
          <w:highlight w:val="none"/>
          <w:lang w:eastAsia="zh-CN"/>
        </w:rPr>
        <w:t>、混凝土护坡</w:t>
      </w:r>
      <w:r>
        <w:rPr>
          <w:rFonts w:hint="eastAsia" w:ascii="宋体" w:hAnsi="宋体"/>
          <w:color w:val="auto"/>
          <w:sz w:val="24"/>
          <w:highlight w:val="none"/>
        </w:rPr>
        <w:t>等工程，应以图纸所示和监理人的指示为依据，按实际完成并经验收的实体数量按不同的工程子目分别以立方米计量。所有</w:t>
      </w:r>
      <w:r>
        <w:rPr>
          <w:rFonts w:hint="eastAsia" w:ascii="宋体" w:hAnsi="宋体"/>
          <w:color w:val="auto"/>
          <w:sz w:val="24"/>
          <w:highlight w:val="none"/>
          <w:lang w:eastAsia="zh-CN"/>
        </w:rPr>
        <w:t>开挖、踏步扶手、</w:t>
      </w:r>
      <w:r>
        <w:rPr>
          <w:rFonts w:hint="eastAsia" w:ascii="宋体" w:hAnsi="宋体"/>
          <w:color w:val="auto"/>
          <w:sz w:val="24"/>
          <w:highlight w:val="none"/>
        </w:rPr>
        <w:t>垫层、嵌缝材料、砂浆勾缝、泄水孔、滤水层、钢筋、回填种植土以及基础的开挖和回填等有关作业，均作为承包人应做的附属工作，不另行计量与支付。</w:t>
      </w:r>
    </w:p>
    <w:p w14:paraId="556B5179">
      <w:pPr>
        <w:tabs>
          <w:tab w:val="left" w:pos="900"/>
        </w:tabs>
        <w:spacing w:line="360" w:lineRule="auto"/>
        <w:jc w:val="left"/>
        <w:rPr>
          <w:rFonts w:hint="eastAsia" w:ascii="宋体" w:hAnsi="宋体"/>
          <w:color w:val="auto"/>
          <w:sz w:val="24"/>
          <w:highlight w:val="none"/>
        </w:rPr>
      </w:pPr>
      <w:r>
        <w:rPr>
          <w:rFonts w:hint="eastAsia" w:ascii="宋体" w:hAnsi="宋体"/>
          <w:color w:val="auto"/>
          <w:sz w:val="24"/>
          <w:highlight w:val="none"/>
        </w:rPr>
        <w:t>(2)喷播草灌、铺草皮、三维植被网、客土喷播、喷混植生等应以图纸要求和所示面积为依据实施，经监理人验收的实际面积以平方米计量。整修坡面、铺设表土、三维土工网、锚钉、钢筋、客土、草种（灌木籽）、草皮、苗木、混合料、水、肥料、土壤稳定剂等（含运输）及其作业均作为承包人应做的附属工作，不另行计量。</w:t>
      </w:r>
    </w:p>
    <w:p w14:paraId="3ADDBDB6">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32AB7665">
      <w:pPr>
        <w:tabs>
          <w:tab w:val="left" w:pos="900"/>
        </w:tabs>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位支付。此项支付包括材料、劳力、设备、运输等及其为完成防护工程所必需的费用，是对完成工程的全部偿付。</w:t>
      </w:r>
    </w:p>
    <w:p w14:paraId="5FDA9956">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B5D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54ACF9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779F433">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5181BB2">
            <w:pPr>
              <w:jc w:val="left"/>
              <w:rPr>
                <w:rFonts w:hint="eastAsia" w:ascii="宋体" w:hAnsi="宋体"/>
                <w:color w:val="auto"/>
                <w:sz w:val="24"/>
                <w:highlight w:val="none"/>
              </w:rPr>
            </w:pPr>
            <w:r>
              <w:rPr>
                <w:rFonts w:hint="eastAsia" w:ascii="宋体" w:hAnsi="宋体"/>
                <w:color w:val="auto"/>
                <w:sz w:val="24"/>
                <w:highlight w:val="none"/>
              </w:rPr>
              <w:t>单位</w:t>
            </w:r>
          </w:p>
        </w:tc>
      </w:tr>
      <w:tr w14:paraId="193B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399A499">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208</w:t>
            </w:r>
          </w:p>
        </w:tc>
        <w:tc>
          <w:tcPr>
            <w:tcW w:w="5400" w:type="dxa"/>
            <w:noWrap w:val="0"/>
            <w:vAlign w:val="center"/>
          </w:tcPr>
          <w:p w14:paraId="13E8DE1D">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护坡、护面墙</w:t>
            </w:r>
          </w:p>
        </w:tc>
        <w:tc>
          <w:tcPr>
            <w:tcW w:w="1260" w:type="dxa"/>
            <w:noWrap w:val="0"/>
            <w:vAlign w:val="center"/>
          </w:tcPr>
          <w:p w14:paraId="1E1C0DD3">
            <w:pPr>
              <w:widowControl/>
              <w:jc w:val="left"/>
              <w:rPr>
                <w:rFonts w:ascii="宋体" w:hAnsi="宋体" w:cs="宋体"/>
                <w:b/>
                <w:bCs/>
                <w:color w:val="auto"/>
                <w:kern w:val="0"/>
                <w:sz w:val="24"/>
                <w:highlight w:val="none"/>
              </w:rPr>
            </w:pPr>
          </w:p>
        </w:tc>
      </w:tr>
      <w:tr w14:paraId="495A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5309C0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B0E3E0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植物护坡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522E0C">
            <w:pPr>
              <w:widowControl/>
              <w:jc w:val="left"/>
              <w:rPr>
                <w:rFonts w:hint="eastAsia" w:ascii="宋体" w:hAnsi="宋体" w:cs="宋体"/>
                <w:color w:val="auto"/>
                <w:kern w:val="0"/>
                <w:sz w:val="24"/>
                <w:highlight w:val="none"/>
              </w:rPr>
            </w:pPr>
          </w:p>
        </w:tc>
      </w:tr>
      <w:tr w14:paraId="1C62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7ED75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108907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喷播草灌护坡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8FAA6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m2</w:t>
            </w:r>
          </w:p>
        </w:tc>
      </w:tr>
      <w:tr w14:paraId="2734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B14A09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C3140F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三维植被网护坡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C362D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m2</w:t>
            </w:r>
          </w:p>
        </w:tc>
      </w:tr>
      <w:tr w14:paraId="7F38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C66CD5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23E561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混凝土护坡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DB9ADF">
            <w:pPr>
              <w:widowControl/>
              <w:jc w:val="left"/>
              <w:rPr>
                <w:rFonts w:hint="eastAsia" w:ascii="宋体" w:hAnsi="宋体" w:cs="宋体"/>
                <w:color w:val="auto"/>
                <w:kern w:val="0"/>
                <w:sz w:val="24"/>
                <w:highlight w:val="none"/>
              </w:rPr>
            </w:pPr>
          </w:p>
        </w:tc>
      </w:tr>
      <w:tr w14:paraId="2891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F7651E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208-4-4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3F6BB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C25混凝土护坡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115303">
            <w:pPr>
              <w:widowControl/>
              <w:jc w:val="left"/>
              <w:rPr>
                <w:rFonts w:hint="eastAsia" w:ascii="宋体" w:hAnsi="宋体" w:cs="宋体"/>
                <w:color w:val="auto"/>
                <w:kern w:val="0"/>
                <w:sz w:val="24"/>
                <w:highlight w:val="none"/>
              </w:rPr>
            </w:pPr>
          </w:p>
        </w:tc>
      </w:tr>
      <w:tr w14:paraId="1EAD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5E49A5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208-4-4-2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73C72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C25砼平台硬化</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CC06B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34E5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0338C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208-4-4-3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C5E4A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拱形骨架护坡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EAA2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7CDC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2548EF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208-4-4-6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701CB6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检查踏步（含扶手）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E0234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2B28CC8B">
      <w:pPr>
        <w:spacing w:line="360" w:lineRule="auto"/>
        <w:ind w:firstLine="480" w:firstLineChars="200"/>
        <w:jc w:val="left"/>
        <w:rPr>
          <w:rFonts w:hint="eastAsia" w:ascii="宋体" w:hAnsi="宋体"/>
          <w:color w:val="auto"/>
          <w:sz w:val="24"/>
          <w:highlight w:val="none"/>
        </w:rPr>
      </w:pPr>
    </w:p>
    <w:p w14:paraId="52ACF658">
      <w:pPr>
        <w:spacing w:line="360" w:lineRule="auto"/>
        <w:jc w:val="center"/>
        <w:rPr>
          <w:rFonts w:ascii="宋体" w:hAnsi="宋体"/>
          <w:b/>
          <w:bCs/>
          <w:color w:val="auto"/>
          <w:sz w:val="28"/>
          <w:szCs w:val="28"/>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209</w:t>
      </w:r>
      <w:r>
        <w:rPr>
          <w:rFonts w:hint="eastAsia" w:ascii="宋体" w:hAnsi="宋体"/>
          <w:b/>
          <w:bCs/>
          <w:color w:val="auto"/>
          <w:sz w:val="28"/>
          <w:szCs w:val="28"/>
          <w:highlight w:val="none"/>
        </w:rPr>
        <w:t>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挡　土　墙</w:t>
      </w:r>
    </w:p>
    <w:p w14:paraId="594DEFA2">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计量</w:t>
      </w:r>
    </w:p>
    <w:p w14:paraId="5CEBE26D">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砌体挡土墙、干砌挡土墙和混凝土挡土墙工程以图纸所示，按监理人的指示，按实际完成并经验收的数量，按混凝土强度等级分别以立方米计量。砂砾或碎石基础垫层按完成数量以立方米计量。混凝土钢筋（钢铰线）按完成数量以千克（㎏）计量。</w:t>
      </w:r>
    </w:p>
    <w:p w14:paraId="3067B6C7">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eastAsia="宋体" w:cs="宋体"/>
          <w:color w:val="auto"/>
          <w:sz w:val="24"/>
          <w:highlight w:val="none"/>
        </w:rPr>
        <w:t>嵌缝材料、砂浆勾缝、泄水孔及其滤水层</w:t>
      </w:r>
      <w:r>
        <w:rPr>
          <w:rFonts w:hint="eastAsia" w:ascii="宋体" w:hAnsi="宋体" w:eastAsia="宋体"/>
          <w:color w:val="auto"/>
          <w:sz w:val="24"/>
          <w:highlight w:val="none"/>
          <w:lang w:eastAsia="zh-CN"/>
        </w:rPr>
        <w:t>、塑料管、碎石反滤包、</w:t>
      </w:r>
      <w:r>
        <w:rPr>
          <w:rFonts w:hint="eastAsia" w:ascii="宋体" w:hAnsi="宋体"/>
          <w:color w:val="auto"/>
          <w:sz w:val="24"/>
          <w:highlight w:val="none"/>
        </w:rPr>
        <w:t>混凝土工程的脚手架、模板、浇筑和养生、表面修整，</w:t>
      </w:r>
      <w:r>
        <w:rPr>
          <w:rFonts w:hint="eastAsia" w:ascii="宋体" w:hAnsi="宋体"/>
          <w:color w:val="auto"/>
          <w:sz w:val="24"/>
          <w:highlight w:val="none"/>
          <w:lang w:eastAsia="zh-CN"/>
        </w:rPr>
        <w:t>挡土墙的</w:t>
      </w:r>
      <w:r>
        <w:rPr>
          <w:rFonts w:hint="eastAsia" w:ascii="宋体" w:hAnsi="宋体"/>
          <w:color w:val="auto"/>
          <w:sz w:val="24"/>
          <w:highlight w:val="none"/>
        </w:rPr>
        <w:t>基础开挖、</w:t>
      </w:r>
      <w:r>
        <w:rPr>
          <w:rFonts w:hint="eastAsia" w:ascii="宋体" w:hAnsi="宋体"/>
          <w:color w:val="auto"/>
          <w:sz w:val="24"/>
          <w:highlight w:val="none"/>
          <w:lang w:eastAsia="zh-CN"/>
        </w:rPr>
        <w:t>回填、</w:t>
      </w:r>
      <w:r>
        <w:rPr>
          <w:rFonts w:hint="eastAsia" w:ascii="宋体" w:hAnsi="宋体"/>
          <w:color w:val="auto"/>
          <w:sz w:val="24"/>
          <w:highlight w:val="none"/>
        </w:rPr>
        <w:t>运输、基坑开挖时的支护（挡）</w:t>
      </w:r>
      <w:r>
        <w:rPr>
          <w:rFonts w:ascii="宋体" w:hAnsi="宋体"/>
          <w:color w:val="auto"/>
          <w:sz w:val="24"/>
          <w:highlight w:val="none"/>
        </w:rPr>
        <w:t>与回填</w:t>
      </w:r>
      <w:r>
        <w:rPr>
          <w:rFonts w:hint="eastAsia" w:ascii="宋体" w:hAnsi="宋体"/>
          <w:color w:val="auto"/>
          <w:sz w:val="24"/>
          <w:highlight w:val="none"/>
        </w:rPr>
        <w:t>等有关作业，均作为承包人应做的附属工作，不另行计量与支付。</w:t>
      </w:r>
    </w:p>
    <w:p w14:paraId="1911D7E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(3)挡土墙的基底开挖按20</w:t>
      </w:r>
      <w:r>
        <w:rPr>
          <w:rFonts w:hint="eastAsia" w:ascii="宋体" w:hAnsi="宋体"/>
          <w:color w:val="auto"/>
          <w:sz w:val="24"/>
          <w:highlight w:val="none"/>
          <w:lang w:val="en-US" w:eastAsia="zh-CN"/>
        </w:rPr>
        <w:t>3</w:t>
      </w:r>
      <w:r>
        <w:rPr>
          <w:rFonts w:hint="eastAsia" w:ascii="宋体" w:hAnsi="宋体"/>
          <w:color w:val="auto"/>
          <w:sz w:val="24"/>
          <w:highlight w:val="none"/>
        </w:rPr>
        <w:t>节相关子目计量</w:t>
      </w:r>
      <w:r>
        <w:rPr>
          <w:rFonts w:hint="eastAsia" w:ascii="宋体" w:hAnsi="宋体"/>
          <w:color w:val="auto"/>
          <w:sz w:val="24"/>
          <w:highlight w:val="none"/>
          <w:lang w:eastAsia="zh-CN"/>
        </w:rPr>
        <w:t>，</w:t>
      </w:r>
      <w:r>
        <w:rPr>
          <w:rFonts w:hint="eastAsia" w:ascii="宋体" w:hAnsi="宋体"/>
          <w:color w:val="auto"/>
          <w:sz w:val="24"/>
          <w:highlight w:val="none"/>
        </w:rPr>
        <w:t>墙背回填按204节相关子目计量。</w:t>
      </w:r>
    </w:p>
    <w:p w14:paraId="347CE928">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支付</w:t>
      </w:r>
    </w:p>
    <w:p w14:paraId="3D8E8FBA">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等及其为完成防护工程所必需的费用，是对完成工程的全部偿付。</w:t>
      </w:r>
    </w:p>
    <w:p w14:paraId="64D45C33">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6548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A13968F">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34EF6EBC">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0870377">
            <w:pPr>
              <w:jc w:val="left"/>
              <w:rPr>
                <w:rFonts w:hint="eastAsia" w:ascii="宋体" w:hAnsi="宋体"/>
                <w:color w:val="auto"/>
                <w:sz w:val="24"/>
                <w:highlight w:val="none"/>
              </w:rPr>
            </w:pPr>
            <w:r>
              <w:rPr>
                <w:rFonts w:hint="eastAsia" w:ascii="宋体" w:hAnsi="宋体"/>
                <w:color w:val="auto"/>
                <w:sz w:val="24"/>
                <w:highlight w:val="none"/>
              </w:rPr>
              <w:t>单位</w:t>
            </w:r>
          </w:p>
        </w:tc>
      </w:tr>
      <w:tr w14:paraId="33FE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BDB8BAA">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209</w:t>
            </w:r>
          </w:p>
        </w:tc>
        <w:tc>
          <w:tcPr>
            <w:tcW w:w="5400" w:type="dxa"/>
            <w:noWrap w:val="0"/>
            <w:vAlign w:val="center"/>
          </w:tcPr>
          <w:p w14:paraId="6CD82C62">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挡土墙</w:t>
            </w:r>
          </w:p>
        </w:tc>
        <w:tc>
          <w:tcPr>
            <w:tcW w:w="1260" w:type="dxa"/>
            <w:noWrap w:val="0"/>
            <w:vAlign w:val="center"/>
          </w:tcPr>
          <w:p w14:paraId="22B39F4C">
            <w:pPr>
              <w:widowControl/>
              <w:jc w:val="left"/>
              <w:rPr>
                <w:rFonts w:ascii="宋体" w:hAnsi="宋体" w:cs="宋体"/>
                <w:color w:val="auto"/>
                <w:kern w:val="0"/>
                <w:sz w:val="24"/>
                <w:highlight w:val="none"/>
              </w:rPr>
            </w:pPr>
          </w:p>
        </w:tc>
      </w:tr>
      <w:tr w14:paraId="2164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7B4B6F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A35A94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混凝土挡土墙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C57C659">
            <w:pPr>
              <w:widowControl/>
              <w:jc w:val="left"/>
              <w:rPr>
                <w:rFonts w:hint="eastAsia" w:ascii="宋体" w:hAnsi="宋体" w:cs="宋体"/>
                <w:color w:val="auto"/>
                <w:kern w:val="0"/>
                <w:sz w:val="24"/>
                <w:highlight w:val="none"/>
              </w:rPr>
            </w:pPr>
          </w:p>
        </w:tc>
      </w:tr>
      <w:tr w14:paraId="0171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39E450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209-3-1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7E0587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挡墙混凝土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F3E792">
            <w:pPr>
              <w:widowControl/>
              <w:jc w:val="left"/>
              <w:rPr>
                <w:rFonts w:hint="eastAsia" w:ascii="宋体" w:hAnsi="宋体" w:cs="宋体"/>
                <w:color w:val="auto"/>
                <w:kern w:val="0"/>
                <w:sz w:val="24"/>
                <w:highlight w:val="none"/>
              </w:rPr>
            </w:pPr>
          </w:p>
        </w:tc>
      </w:tr>
      <w:tr w14:paraId="01AC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685CC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1A65E1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C20片石混凝土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CF853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4784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DA424B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D0E30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C25混凝土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35DD2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39CB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968D05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209-3-1-9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77892A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7B634F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39A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C5278E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25DC16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挡墙钢筋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9C90FE">
            <w:pPr>
              <w:widowControl/>
              <w:jc w:val="left"/>
              <w:rPr>
                <w:rFonts w:hint="eastAsia" w:ascii="宋体" w:hAnsi="宋体" w:cs="宋体"/>
                <w:color w:val="auto"/>
                <w:kern w:val="0"/>
                <w:sz w:val="24"/>
                <w:highlight w:val="none"/>
              </w:rPr>
            </w:pPr>
          </w:p>
        </w:tc>
      </w:tr>
      <w:tr w14:paraId="2079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10F6F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209-3-2-1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1B19C5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普通钢筋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91106F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kg</w:t>
            </w:r>
          </w:p>
        </w:tc>
      </w:tr>
      <w:tr w14:paraId="3D93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75F43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034A2B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挡土墙基础垫层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3F090C2">
            <w:pPr>
              <w:widowControl/>
              <w:jc w:val="left"/>
              <w:rPr>
                <w:rFonts w:hint="eastAsia" w:ascii="宋体" w:hAnsi="宋体" w:cs="宋体"/>
                <w:color w:val="auto"/>
                <w:kern w:val="0"/>
                <w:sz w:val="24"/>
                <w:highlight w:val="none"/>
              </w:rPr>
            </w:pPr>
          </w:p>
        </w:tc>
      </w:tr>
      <w:tr w14:paraId="0503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B2DE7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209-4-2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2A8F2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挡土墙基础碎石垫层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0E1D8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1DAA351A">
      <w:pPr>
        <w:spacing w:line="360" w:lineRule="auto"/>
        <w:ind w:firstLine="480" w:firstLineChars="200"/>
        <w:jc w:val="left"/>
        <w:rPr>
          <w:rFonts w:hint="eastAsia" w:ascii="宋体" w:hAnsi="宋体"/>
          <w:color w:val="auto"/>
          <w:sz w:val="24"/>
          <w:highlight w:val="none"/>
        </w:rPr>
      </w:pPr>
    </w:p>
    <w:p w14:paraId="5F3D937D">
      <w:pPr>
        <w:spacing w:line="360" w:lineRule="auto"/>
        <w:jc w:val="center"/>
        <w:rPr>
          <w:rFonts w:hint="eastAsia" w:ascii="宋体" w:hAnsi="宋体"/>
          <w:color w:val="auto"/>
          <w:sz w:val="24"/>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w:t>
      </w:r>
      <w:r>
        <w:rPr>
          <w:rFonts w:hint="eastAsia" w:ascii="宋体" w:hAnsi="宋体"/>
          <w:b/>
          <w:bCs/>
          <w:color w:val="auto"/>
          <w:sz w:val="28"/>
          <w:szCs w:val="28"/>
          <w:highlight w:val="none"/>
        </w:rPr>
        <w:t>12节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喷射混凝土和喷浆边坡防护</w:t>
      </w:r>
    </w:p>
    <w:p w14:paraId="30014462">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5B73EA75">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)锚杆按图纸或监理人指示为依据，经验收合格的实际数量，以</w:t>
      </w:r>
      <w:r>
        <w:rPr>
          <w:rFonts w:hint="eastAsia" w:ascii="宋体" w:hAnsi="宋体"/>
          <w:color w:val="auto"/>
          <w:sz w:val="24"/>
          <w:highlight w:val="none"/>
        </w:rPr>
        <w:t>米</w:t>
      </w:r>
      <w:r>
        <w:rPr>
          <w:rFonts w:ascii="宋体" w:hAnsi="宋体"/>
          <w:color w:val="auto"/>
          <w:sz w:val="24"/>
          <w:highlight w:val="none"/>
        </w:rPr>
        <w:t>为单位计量。</w:t>
      </w:r>
    </w:p>
    <w:p w14:paraId="7396CD46">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)喷射混凝土和喷射水泥砂浆边坡防护的计量，应以图纸所示和监理人的指示为依据，按实际完成并经验收的数量，</w:t>
      </w:r>
      <w:r>
        <w:rPr>
          <w:rFonts w:hint="eastAsia" w:ascii="宋体" w:hAnsi="宋体"/>
          <w:color w:val="auto"/>
          <w:sz w:val="24"/>
          <w:highlight w:val="none"/>
        </w:rPr>
        <w:t>分不同厚度</w:t>
      </w:r>
      <w:r>
        <w:rPr>
          <w:rFonts w:ascii="宋体" w:hAnsi="宋体"/>
          <w:color w:val="auto"/>
          <w:sz w:val="24"/>
          <w:highlight w:val="none"/>
        </w:rPr>
        <w:t>以平方米计量；钢筋网、铁丝网以千克（㎏）计量；土工格栅以平方米计量。</w:t>
      </w:r>
    </w:p>
    <w:p w14:paraId="1F7AAF56">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)喷射前的岩面清量，锚孔钻孔，锚杆制作以及钢筋网和铁丝网编织及挂网土工格栅的安装铺设等工作，均为承包人为完成锚杆喷射混凝土和喷射砂浆边坡防护工程应做的附属工作，不另行计量与支付。</w:t>
      </w:r>
    </w:p>
    <w:p w14:paraId="033309DD">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土钉支护施工以图纸为依据，经监理人验收合格，分不同类型组合的工程项目按下列内容分别计量：</w:t>
      </w:r>
    </w:p>
    <w:p w14:paraId="43EE50F3">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w:t>
      </w:r>
      <w:r>
        <w:rPr>
          <w:rFonts w:hint="eastAsia" w:ascii="宋体" w:hAnsi="宋体"/>
          <w:color w:val="auto"/>
          <w:sz w:val="24"/>
          <w:highlight w:val="none"/>
        </w:rPr>
        <w:t>土钉钻孔桩，击入桩分别按不同直径，以长度按米为单位计量；</w:t>
      </w:r>
    </w:p>
    <w:p w14:paraId="67D7896B">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b</w:t>
      </w:r>
      <w:r>
        <w:rPr>
          <w:rFonts w:ascii="宋体" w:hAnsi="宋体"/>
          <w:color w:val="auto"/>
          <w:sz w:val="24"/>
          <w:highlight w:val="none"/>
        </w:rPr>
        <w:t>.</w:t>
      </w:r>
      <w:r>
        <w:rPr>
          <w:rFonts w:hint="eastAsia" w:ascii="宋体" w:hAnsi="宋体"/>
          <w:color w:val="auto"/>
          <w:sz w:val="24"/>
          <w:highlight w:val="none"/>
        </w:rPr>
        <w:t>含钢筋网或土工格栅的喷射混凝土面层区分不同厚度按平方米为单位计量；</w:t>
      </w:r>
    </w:p>
    <w:p w14:paraId="5D4D3411">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w:t>
      </w:r>
      <w:r>
        <w:rPr>
          <w:rFonts w:hint="eastAsia" w:ascii="宋体" w:hAnsi="宋体"/>
          <w:color w:val="auto"/>
          <w:sz w:val="24"/>
          <w:highlight w:val="none"/>
        </w:rPr>
        <w:t>钢筋、钢筋网以千克（kg）为单位计量；</w:t>
      </w:r>
    </w:p>
    <w:p w14:paraId="7AB05126">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d</w:t>
      </w:r>
      <w:r>
        <w:rPr>
          <w:rFonts w:ascii="宋体" w:hAnsi="宋体"/>
          <w:color w:val="auto"/>
          <w:sz w:val="24"/>
          <w:highlight w:val="none"/>
        </w:rPr>
        <w:t>.</w:t>
      </w:r>
      <w:r>
        <w:rPr>
          <w:rFonts w:hint="eastAsia" w:ascii="宋体" w:hAnsi="宋体"/>
          <w:color w:val="auto"/>
          <w:sz w:val="24"/>
          <w:highlight w:val="none"/>
        </w:rPr>
        <w:t>土工格栅以净面积为单位计量；</w:t>
      </w:r>
    </w:p>
    <w:p w14:paraId="20A34FE0">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e</w:t>
      </w:r>
      <w:r>
        <w:rPr>
          <w:rFonts w:ascii="宋体" w:hAnsi="宋体"/>
          <w:color w:val="auto"/>
          <w:sz w:val="24"/>
          <w:highlight w:val="none"/>
        </w:rPr>
        <w:t>.</w:t>
      </w:r>
      <w:r>
        <w:rPr>
          <w:rFonts w:hint="eastAsia" w:ascii="宋体" w:hAnsi="宋体"/>
          <w:color w:val="auto"/>
          <w:sz w:val="24"/>
          <w:highlight w:val="none"/>
        </w:rPr>
        <w:t>网格梁、立柱、挡土板以立方米为单位计量；</w:t>
      </w:r>
    </w:p>
    <w:p w14:paraId="509D815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f</w:t>
      </w:r>
      <w:r>
        <w:rPr>
          <w:rFonts w:ascii="宋体" w:hAnsi="宋体"/>
          <w:color w:val="auto"/>
          <w:sz w:val="24"/>
          <w:highlight w:val="none"/>
        </w:rPr>
        <w:t>.</w:t>
      </w:r>
      <w:r>
        <w:rPr>
          <w:rFonts w:hint="eastAsia" w:ascii="宋体" w:hAnsi="宋体"/>
          <w:color w:val="auto"/>
          <w:sz w:val="24"/>
          <w:highlight w:val="none"/>
        </w:rPr>
        <w:t>永久排水系统依结构形式参照第207节规定计量；</w:t>
      </w:r>
    </w:p>
    <w:p w14:paraId="70DF14F7">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g</w:t>
      </w:r>
      <w:r>
        <w:rPr>
          <w:rFonts w:ascii="宋体" w:hAnsi="宋体"/>
          <w:color w:val="auto"/>
          <w:sz w:val="24"/>
          <w:highlight w:val="none"/>
        </w:rPr>
        <w:t>.</w:t>
      </w:r>
      <w:r>
        <w:rPr>
          <w:rFonts w:hint="eastAsia" w:ascii="宋体" w:hAnsi="宋体"/>
          <w:color w:val="auto"/>
          <w:sz w:val="24"/>
          <w:highlight w:val="none"/>
        </w:rPr>
        <w:t>土钉支护施工中的土方工程、临时排水工程以及未提及的其他工程均作为土钉支付施工的附属工作，不予单独计量，其费用含入相关工程子目单价之中。</w:t>
      </w:r>
    </w:p>
    <w:p w14:paraId="7F4924F7">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36CC9ADC">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等及其为完成防护工程所必需的费用，是对完成工程的全部偿付。</w:t>
      </w:r>
    </w:p>
    <w:p w14:paraId="44913C10">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08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2EA70767">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47CF19B1">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25EA63F3">
            <w:pPr>
              <w:jc w:val="left"/>
              <w:rPr>
                <w:rFonts w:hint="eastAsia" w:ascii="宋体" w:hAnsi="宋体"/>
                <w:color w:val="auto"/>
                <w:sz w:val="24"/>
                <w:highlight w:val="none"/>
              </w:rPr>
            </w:pPr>
            <w:r>
              <w:rPr>
                <w:rFonts w:hint="eastAsia" w:ascii="宋体" w:hAnsi="宋体"/>
                <w:color w:val="auto"/>
                <w:sz w:val="24"/>
                <w:highlight w:val="none"/>
              </w:rPr>
              <w:t>单位</w:t>
            </w:r>
          </w:p>
        </w:tc>
      </w:tr>
      <w:tr w14:paraId="3206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7492F1F">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212</w:t>
            </w:r>
          </w:p>
        </w:tc>
        <w:tc>
          <w:tcPr>
            <w:tcW w:w="5400" w:type="dxa"/>
            <w:noWrap w:val="0"/>
            <w:vAlign w:val="center"/>
          </w:tcPr>
          <w:p w14:paraId="2755C5F3">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喷射混凝土和喷浆边坡防护</w:t>
            </w:r>
          </w:p>
        </w:tc>
        <w:tc>
          <w:tcPr>
            <w:tcW w:w="1260" w:type="dxa"/>
            <w:noWrap w:val="0"/>
            <w:vAlign w:val="center"/>
          </w:tcPr>
          <w:p w14:paraId="7C20B53C">
            <w:pPr>
              <w:widowControl/>
              <w:jc w:val="left"/>
              <w:rPr>
                <w:rFonts w:ascii="宋体" w:hAnsi="宋体" w:cs="宋体"/>
                <w:b/>
                <w:bCs/>
                <w:color w:val="auto"/>
                <w:kern w:val="0"/>
                <w:sz w:val="24"/>
                <w:highlight w:val="none"/>
              </w:rPr>
            </w:pPr>
          </w:p>
        </w:tc>
      </w:tr>
      <w:tr w14:paraId="4CB9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D1123A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57570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挂网锚喷混凝土防护边坡（全坡面）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7300DC">
            <w:pPr>
              <w:widowControl/>
              <w:jc w:val="left"/>
              <w:rPr>
                <w:rFonts w:hint="eastAsia" w:ascii="宋体" w:hAnsi="宋体" w:cs="宋体"/>
                <w:color w:val="auto"/>
                <w:kern w:val="0"/>
                <w:sz w:val="24"/>
                <w:highlight w:val="none"/>
              </w:rPr>
            </w:pPr>
          </w:p>
        </w:tc>
      </w:tr>
      <w:tr w14:paraId="2063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26A33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212-2-1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6625B5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喷混凝土防护边坡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1411AB4">
            <w:pPr>
              <w:widowControl/>
              <w:jc w:val="left"/>
              <w:rPr>
                <w:rFonts w:hint="eastAsia" w:ascii="宋体" w:hAnsi="宋体" w:cs="宋体"/>
                <w:color w:val="auto"/>
                <w:kern w:val="0"/>
                <w:sz w:val="24"/>
                <w:highlight w:val="none"/>
              </w:rPr>
            </w:pPr>
          </w:p>
        </w:tc>
      </w:tr>
      <w:tr w14:paraId="325D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0534A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212-2-1-5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F2B56E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厚100mm喷混凝土防护边坡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B6026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m2</w:t>
            </w:r>
          </w:p>
        </w:tc>
      </w:tr>
      <w:tr w14:paraId="2B77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AA499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212-2-2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E1DA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钢筋网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AB7896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kg</w:t>
            </w:r>
          </w:p>
        </w:tc>
      </w:tr>
    </w:tbl>
    <w:p w14:paraId="6F212AD8">
      <w:pPr>
        <w:spacing w:line="360" w:lineRule="auto"/>
        <w:ind w:firstLine="480" w:firstLineChars="200"/>
        <w:jc w:val="left"/>
        <w:rPr>
          <w:rFonts w:hint="eastAsia" w:ascii="宋体" w:hAnsi="宋体"/>
          <w:color w:val="auto"/>
          <w:sz w:val="24"/>
          <w:highlight w:val="none"/>
        </w:rPr>
      </w:pPr>
    </w:p>
    <w:p w14:paraId="5651684C">
      <w:pPr>
        <w:spacing w:line="360" w:lineRule="auto"/>
        <w:jc w:val="center"/>
        <w:rPr>
          <w:rFonts w:hint="eastAsia" w:ascii="宋体" w:hAnsi="宋体"/>
          <w:color w:val="auto"/>
          <w:sz w:val="24"/>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w:t>
      </w:r>
      <w:r>
        <w:rPr>
          <w:rFonts w:hint="eastAsia" w:ascii="宋体" w:hAnsi="宋体"/>
          <w:b/>
          <w:bCs/>
          <w:color w:val="auto"/>
          <w:sz w:val="28"/>
          <w:szCs w:val="28"/>
          <w:highlight w:val="none"/>
        </w:rPr>
        <w:t>13节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预应力锚索、锚杆和钢花管边坡加固</w:t>
      </w:r>
    </w:p>
    <w:p w14:paraId="79AD68F1">
      <w:pPr>
        <w:pStyle w:val="11"/>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706C8D32">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需钻孔设置的锚杆按锚杆钻孔直径不同按图纸要求，经监理人验收合格以长度米为单位计量。钢花管按钢管直径以长度米为单位计量，注浆等所有工、料、机包含在延米单价中不另行计量。</w:t>
      </w:r>
    </w:p>
    <w:p w14:paraId="2A81F480">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混凝土锚固板、锚墩、框架梁混凝土按图纸要求，经监理人验收合格按混凝土标号不同以立方米为单位计量。锚固板、锚墩、框架梁钢筋按重量以千克（kg）为单位计量。</w:t>
      </w:r>
    </w:p>
    <w:p w14:paraId="08615E6E">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钻孔、清孔、锚索安装、注浆、张拉、锚头、锚索护套、场地清理</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土工材料、透水管、排水斜孔</w:t>
      </w:r>
      <w:r>
        <w:rPr>
          <w:rFonts w:hint="eastAsia" w:ascii="宋体" w:hAnsi="宋体"/>
          <w:color w:val="auto"/>
          <w:sz w:val="24"/>
          <w:highlight w:val="none"/>
        </w:rPr>
        <w:t>以及抗拔力试验等均为锚索、锚杆、钢花管等主体的附属工作，不另行计量。</w:t>
      </w:r>
    </w:p>
    <w:p w14:paraId="37A4BF7E">
      <w:pPr>
        <w:tabs>
          <w:tab w:val="left" w:pos="900"/>
        </w:tabs>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混凝土的立模、浇筑、养生，支架的搭设、拆除等为锚固板的附属工作，不另行计量。</w:t>
      </w:r>
    </w:p>
    <w:p w14:paraId="1744D431">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109E49EF">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并列入工程量清单的以下支付子目的工程量，其每一计量单位将以合同单价支付，此项支付包括材料、劳力、设备、运输、试验等及其他为完成锚索工程所必须的费用，是对完成工程的全部偿付。</w:t>
      </w:r>
    </w:p>
    <w:p w14:paraId="3E447ADA">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3.支付项目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43E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F931502">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01019441">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35F88D9D">
            <w:pPr>
              <w:jc w:val="left"/>
              <w:rPr>
                <w:rFonts w:hint="eastAsia" w:ascii="宋体" w:hAnsi="宋体"/>
                <w:color w:val="auto"/>
                <w:sz w:val="24"/>
                <w:highlight w:val="none"/>
              </w:rPr>
            </w:pPr>
            <w:r>
              <w:rPr>
                <w:rFonts w:hint="eastAsia" w:ascii="宋体" w:hAnsi="宋体"/>
                <w:color w:val="auto"/>
                <w:sz w:val="24"/>
                <w:highlight w:val="none"/>
              </w:rPr>
              <w:t>单位</w:t>
            </w:r>
          </w:p>
        </w:tc>
      </w:tr>
      <w:tr w14:paraId="7F19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AE8FF88">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213</w:t>
            </w:r>
          </w:p>
        </w:tc>
        <w:tc>
          <w:tcPr>
            <w:tcW w:w="5400" w:type="dxa"/>
            <w:noWrap w:val="0"/>
            <w:vAlign w:val="center"/>
          </w:tcPr>
          <w:p w14:paraId="5514745C">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预应力锚索、锚杆和钢花管边坡加固</w:t>
            </w:r>
          </w:p>
        </w:tc>
        <w:tc>
          <w:tcPr>
            <w:tcW w:w="1260" w:type="dxa"/>
            <w:noWrap w:val="0"/>
            <w:vAlign w:val="center"/>
          </w:tcPr>
          <w:p w14:paraId="15A08500">
            <w:pPr>
              <w:widowControl/>
              <w:jc w:val="left"/>
              <w:rPr>
                <w:rFonts w:ascii="宋体" w:hAnsi="宋体" w:cs="宋体"/>
                <w:b/>
                <w:bCs/>
                <w:color w:val="auto"/>
                <w:kern w:val="0"/>
                <w:sz w:val="24"/>
                <w:highlight w:val="none"/>
              </w:rPr>
            </w:pPr>
          </w:p>
        </w:tc>
      </w:tr>
      <w:tr w14:paraId="125A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0EEAA4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213-3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F6D878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锚杆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F5F65F9">
            <w:pPr>
              <w:widowControl/>
              <w:jc w:val="left"/>
              <w:rPr>
                <w:rFonts w:hint="eastAsia" w:ascii="宋体" w:hAnsi="宋体" w:cs="宋体"/>
                <w:color w:val="auto"/>
                <w:kern w:val="0"/>
                <w:sz w:val="24"/>
                <w:highlight w:val="none"/>
              </w:rPr>
            </w:pPr>
          </w:p>
        </w:tc>
      </w:tr>
      <w:tr w14:paraId="10D9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9A58FD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1523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普通钢筋锚杆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8ACDE1">
            <w:pPr>
              <w:widowControl/>
              <w:jc w:val="left"/>
              <w:rPr>
                <w:rFonts w:hint="eastAsia" w:ascii="宋体" w:hAnsi="宋体" w:cs="宋体"/>
                <w:color w:val="auto"/>
                <w:kern w:val="0"/>
                <w:sz w:val="24"/>
                <w:highlight w:val="none"/>
              </w:rPr>
            </w:pPr>
          </w:p>
        </w:tc>
      </w:tr>
      <w:tr w14:paraId="6FA2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185325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213-3-1-1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841CC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φ70mm以内普通钢筋锚杆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84D9D3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328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775832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A889DA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框架梁、地梁、锚墩混凝土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0AAECC">
            <w:pPr>
              <w:widowControl/>
              <w:jc w:val="left"/>
              <w:rPr>
                <w:rFonts w:hint="eastAsia" w:ascii="宋体" w:hAnsi="宋体" w:cs="宋体"/>
                <w:color w:val="auto"/>
                <w:kern w:val="0"/>
                <w:sz w:val="24"/>
                <w:highlight w:val="none"/>
              </w:rPr>
            </w:pPr>
          </w:p>
        </w:tc>
      </w:tr>
      <w:tr w14:paraId="375F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B5B2F0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213-5-5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B09CC1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F1610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0C59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1498FD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A447A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混凝土钢筋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55340A">
            <w:pPr>
              <w:widowControl/>
              <w:jc w:val="left"/>
              <w:rPr>
                <w:rFonts w:hint="eastAsia" w:ascii="宋体" w:hAnsi="宋体" w:cs="宋体"/>
                <w:color w:val="auto"/>
                <w:kern w:val="0"/>
                <w:sz w:val="24"/>
                <w:highlight w:val="none"/>
              </w:rPr>
            </w:pPr>
          </w:p>
        </w:tc>
      </w:tr>
      <w:tr w14:paraId="5D1C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2B6ABD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213-6-1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158757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普通钢筋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F29BD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kg</w:t>
            </w:r>
          </w:p>
        </w:tc>
      </w:tr>
    </w:tbl>
    <w:p w14:paraId="743583FE">
      <w:pPr>
        <w:spacing w:line="360" w:lineRule="auto"/>
        <w:ind w:firstLine="480" w:firstLineChars="200"/>
        <w:jc w:val="left"/>
        <w:rPr>
          <w:rFonts w:hint="eastAsia" w:ascii="宋体" w:hAnsi="宋体"/>
          <w:color w:val="auto"/>
          <w:sz w:val="24"/>
          <w:highlight w:val="none"/>
        </w:rPr>
      </w:pPr>
    </w:p>
    <w:p w14:paraId="65E43A39">
      <w:pPr>
        <w:spacing w:line="360" w:lineRule="auto"/>
        <w:jc w:val="center"/>
        <w:rPr>
          <w:rFonts w:hint="eastAsia" w:ascii="宋体" w:hAnsi="宋体"/>
          <w:color w:val="auto"/>
          <w:sz w:val="24"/>
          <w:highlight w:val="none"/>
        </w:rPr>
      </w:pPr>
      <w:r>
        <w:rPr>
          <w:rFonts w:hint="eastAsia" w:ascii="宋体" w:hAnsi="宋体"/>
          <w:b/>
          <w:bCs/>
          <w:color w:val="auto"/>
          <w:sz w:val="28"/>
          <w:szCs w:val="28"/>
          <w:highlight w:val="none"/>
        </w:rPr>
        <w:t>第</w:t>
      </w:r>
      <w:r>
        <w:rPr>
          <w:rFonts w:ascii="宋体" w:hAnsi="宋体"/>
          <w:b/>
          <w:bCs/>
          <w:color w:val="auto"/>
          <w:sz w:val="28"/>
          <w:szCs w:val="28"/>
          <w:highlight w:val="none"/>
        </w:rPr>
        <w:t>2</w:t>
      </w:r>
      <w:r>
        <w:rPr>
          <w:rFonts w:hint="eastAsia" w:ascii="宋体" w:hAnsi="宋体"/>
          <w:b/>
          <w:bCs/>
          <w:color w:val="auto"/>
          <w:sz w:val="28"/>
          <w:szCs w:val="28"/>
          <w:highlight w:val="none"/>
        </w:rPr>
        <w:t>15节</w:t>
      </w:r>
      <w:r>
        <w:rPr>
          <w:rFonts w:ascii="宋体" w:hAnsi="宋体"/>
          <w:b/>
          <w:bCs/>
          <w:color w:val="auto"/>
          <w:sz w:val="28"/>
          <w:szCs w:val="28"/>
          <w:highlight w:val="none"/>
        </w:rPr>
        <w:t xml:space="preserve">    </w:t>
      </w:r>
      <w:r>
        <w:rPr>
          <w:rFonts w:hint="eastAsia" w:ascii="宋体" w:hAnsi="宋体"/>
          <w:b/>
          <w:bCs/>
          <w:color w:val="auto"/>
          <w:sz w:val="28"/>
          <w:szCs w:val="28"/>
          <w:highlight w:val="none"/>
        </w:rPr>
        <w:t>河道防护</w:t>
      </w:r>
    </w:p>
    <w:p w14:paraId="542137FC">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1847BCD2">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格宾石笼</w:t>
      </w:r>
      <w:r>
        <w:rPr>
          <w:rFonts w:ascii="宋体" w:hAnsi="宋体"/>
          <w:color w:val="auto"/>
          <w:sz w:val="24"/>
          <w:highlight w:val="none"/>
        </w:rPr>
        <w:t>，应分别按图纸尺寸和监理人的指示，按实际完成并经验收的数量，</w:t>
      </w:r>
      <w:r>
        <w:rPr>
          <w:rFonts w:hint="eastAsia" w:ascii="宋体" w:hAnsi="宋体"/>
          <w:color w:val="auto"/>
          <w:sz w:val="24"/>
          <w:highlight w:val="none"/>
        </w:rPr>
        <w:t>按实体积以</w:t>
      </w:r>
      <w:r>
        <w:rPr>
          <w:rFonts w:ascii="宋体" w:hAnsi="宋体"/>
          <w:color w:val="auto"/>
          <w:sz w:val="24"/>
          <w:highlight w:val="none"/>
        </w:rPr>
        <w:t>立方米计量。</w:t>
      </w:r>
    </w:p>
    <w:p w14:paraId="41516F6E">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河道防护结构</w:t>
      </w:r>
      <w:r>
        <w:rPr>
          <w:rFonts w:ascii="宋体" w:hAnsi="宋体"/>
          <w:color w:val="auto"/>
          <w:sz w:val="24"/>
          <w:highlight w:val="none"/>
        </w:rPr>
        <w:t>的基础开挖、回填、夯实、砌体勾缝等工作，均作为承包人应做的附属工作，不另行计量与支付。</w:t>
      </w:r>
    </w:p>
    <w:p w14:paraId="5D0938DE">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49317DEE">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并列入了工程量清单的以下支付子目的工程量，其每一计量单位，将以合同单价支付。此项支付包括材料、劳力、设备、运输等及其为完成防护工程所必需的费用，是对完成工程的全部偿付。</w:t>
      </w:r>
    </w:p>
    <w:p w14:paraId="11EA72E6">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10B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634A57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7CEDD4F">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3AB82136">
            <w:pPr>
              <w:jc w:val="left"/>
              <w:rPr>
                <w:rFonts w:hint="eastAsia" w:ascii="宋体" w:hAnsi="宋体"/>
                <w:color w:val="auto"/>
                <w:sz w:val="24"/>
                <w:highlight w:val="none"/>
              </w:rPr>
            </w:pPr>
            <w:r>
              <w:rPr>
                <w:rFonts w:hint="eastAsia" w:ascii="宋体" w:hAnsi="宋体"/>
                <w:color w:val="auto"/>
                <w:sz w:val="24"/>
                <w:highlight w:val="none"/>
              </w:rPr>
              <w:t>单位</w:t>
            </w:r>
          </w:p>
        </w:tc>
      </w:tr>
      <w:tr w14:paraId="3D63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F86D564">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215</w:t>
            </w:r>
          </w:p>
        </w:tc>
        <w:tc>
          <w:tcPr>
            <w:tcW w:w="5400" w:type="dxa"/>
            <w:noWrap w:val="0"/>
            <w:vAlign w:val="center"/>
          </w:tcPr>
          <w:p w14:paraId="64509E03">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河道防护</w:t>
            </w:r>
          </w:p>
        </w:tc>
        <w:tc>
          <w:tcPr>
            <w:tcW w:w="1260" w:type="dxa"/>
            <w:noWrap w:val="0"/>
            <w:vAlign w:val="center"/>
          </w:tcPr>
          <w:p w14:paraId="5B19379C">
            <w:pPr>
              <w:widowControl/>
              <w:jc w:val="left"/>
              <w:rPr>
                <w:rFonts w:ascii="宋体" w:hAnsi="宋体" w:cs="宋体"/>
                <w:b/>
                <w:bCs/>
                <w:color w:val="auto"/>
                <w:kern w:val="0"/>
                <w:sz w:val="24"/>
                <w:highlight w:val="none"/>
              </w:rPr>
            </w:pPr>
          </w:p>
        </w:tc>
      </w:tr>
      <w:tr w14:paraId="0FEE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D091C9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215-8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DF029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格宾石笼</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7C0F5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bl>
    <w:p w14:paraId="37657785">
      <w:pPr>
        <w:spacing w:line="360" w:lineRule="auto"/>
        <w:jc w:val="left"/>
        <w:rPr>
          <w:rFonts w:hint="eastAsia" w:ascii="宋体" w:hAnsi="宋体"/>
          <w:color w:val="auto"/>
          <w:sz w:val="24"/>
          <w:highlight w:val="none"/>
        </w:rPr>
      </w:pPr>
    </w:p>
    <w:p w14:paraId="1F1FD597">
      <w:pPr>
        <w:spacing w:line="360" w:lineRule="auto"/>
        <w:jc w:val="left"/>
        <w:rPr>
          <w:rFonts w:hint="eastAsia" w:ascii="宋体" w:hAnsi="宋体"/>
          <w:color w:val="auto"/>
          <w:sz w:val="24"/>
          <w:highlight w:val="none"/>
        </w:rPr>
        <w:sectPr>
          <w:pgSz w:w="11906" w:h="16838"/>
          <w:pgMar w:top="1418" w:right="1418" w:bottom="1134" w:left="1701" w:header="851" w:footer="992" w:gutter="0"/>
          <w:pgNumType w:fmt="decimal"/>
          <w:cols w:space="720" w:num="1"/>
          <w:docGrid w:linePitch="312" w:charSpace="0"/>
        </w:sectPr>
      </w:pPr>
    </w:p>
    <w:p w14:paraId="14E724F6">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第300章  路 面</w:t>
      </w:r>
    </w:p>
    <w:p w14:paraId="62D5D684">
      <w:pPr>
        <w:spacing w:line="360" w:lineRule="auto"/>
        <w:ind w:right="18"/>
        <w:jc w:val="center"/>
        <w:rPr>
          <w:rFonts w:hint="eastAsia" w:ascii="宋体" w:hAnsi="宋体"/>
          <w:b/>
          <w:bCs/>
          <w:color w:val="auto"/>
          <w:sz w:val="28"/>
          <w:szCs w:val="28"/>
          <w:highlight w:val="none"/>
        </w:rPr>
      </w:pPr>
      <w:bookmarkStart w:id="45" w:name="第302节"/>
      <w:bookmarkEnd w:id="45"/>
      <w:r>
        <w:rPr>
          <w:rFonts w:hint="eastAsia" w:ascii="宋体" w:hAnsi="宋体"/>
          <w:b/>
          <w:bCs/>
          <w:color w:val="auto"/>
          <w:sz w:val="28"/>
          <w:szCs w:val="28"/>
          <w:highlight w:val="none"/>
        </w:rPr>
        <w:t>第302节   垫层</w:t>
      </w:r>
    </w:p>
    <w:p w14:paraId="59424D79">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1.计量</w:t>
      </w:r>
    </w:p>
    <w:p w14:paraId="4E29CA4C">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碎石垫层应按图纸和监理人指示铺筑、经监理人验收合格的该层顶面面积，按不同厚度以平方米计量。</w:t>
      </w:r>
    </w:p>
    <w:p w14:paraId="662B35FF">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对个别特殊形状的面积，应采用适当计量方法计量，并经监理人批准以平方米或立方米计量。除监理人另有指示外，超过图纸所规定的面积，均不予计量。</w:t>
      </w:r>
    </w:p>
    <w:p w14:paraId="7494208D">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2.支付</w:t>
      </w:r>
    </w:p>
    <w:p w14:paraId="531B1257">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费用的支付，主要包括：</w:t>
      </w:r>
    </w:p>
    <w:p w14:paraId="5B40CC24">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承包人提供工程所需的材料、机具、设备和劳力等；</w:t>
      </w:r>
    </w:p>
    <w:p w14:paraId="05DE5DA6">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 xml:space="preserve"> 原材料的检验、级配颗粒组成与塑性指数的试验或混合料设计与试验，以及经监理人批准的按照规范所要求的试验路段的全部作业；</w:t>
      </w:r>
    </w:p>
    <w:p w14:paraId="15B2AAAD">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铺筑前对下承层的检查和清扫、材料的运输、拌和、摊铺、整型、压实、养护等；</w:t>
      </w:r>
    </w:p>
    <w:p w14:paraId="4199EC13">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d.</w:t>
      </w:r>
      <w:r>
        <w:rPr>
          <w:rFonts w:hint="eastAsia" w:ascii="宋体" w:hAnsi="宋体"/>
          <w:color w:val="auto"/>
          <w:sz w:val="24"/>
          <w:highlight w:val="none"/>
        </w:rPr>
        <w:t>质量检验所要求的检测、取样和试验等工作。</w:t>
      </w:r>
    </w:p>
    <w:p w14:paraId="1D69194A">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按上述规定计量，经监理人验收并列入工程量清单的以下支付项目的工程量，其每一计量单位，将以合同单价支付。此项支付包括一切为完成本项工程所必需的全部费用。</w:t>
      </w:r>
    </w:p>
    <w:p w14:paraId="07BCBFC2">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27E6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11AE543">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68BAE5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A4A69D1">
            <w:pPr>
              <w:jc w:val="left"/>
              <w:rPr>
                <w:rFonts w:hint="eastAsia" w:ascii="宋体" w:hAnsi="宋体"/>
                <w:color w:val="auto"/>
                <w:sz w:val="24"/>
                <w:highlight w:val="none"/>
              </w:rPr>
            </w:pPr>
            <w:r>
              <w:rPr>
                <w:rFonts w:hint="eastAsia" w:ascii="宋体" w:hAnsi="宋体"/>
                <w:color w:val="auto"/>
                <w:sz w:val="24"/>
                <w:highlight w:val="none"/>
              </w:rPr>
              <w:t>单位</w:t>
            </w:r>
          </w:p>
        </w:tc>
      </w:tr>
      <w:tr w14:paraId="2B7A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151D41D">
            <w:pPr>
              <w:widowControl/>
              <w:jc w:val="left"/>
              <w:rPr>
                <w:rFonts w:ascii="宋体" w:hAnsi="宋体"/>
                <w:color w:val="auto"/>
                <w:sz w:val="24"/>
                <w:highlight w:val="none"/>
              </w:rPr>
            </w:pPr>
            <w:r>
              <w:rPr>
                <w:rFonts w:hint="eastAsia" w:ascii="宋体" w:hAnsi="宋体"/>
                <w:color w:val="auto"/>
                <w:sz w:val="24"/>
                <w:highlight w:val="none"/>
              </w:rPr>
              <w:t>302</w:t>
            </w:r>
          </w:p>
        </w:tc>
        <w:tc>
          <w:tcPr>
            <w:tcW w:w="5400" w:type="dxa"/>
            <w:noWrap w:val="0"/>
            <w:vAlign w:val="center"/>
          </w:tcPr>
          <w:p w14:paraId="392F2144">
            <w:pPr>
              <w:widowControl/>
              <w:jc w:val="left"/>
              <w:rPr>
                <w:rFonts w:ascii="宋体" w:hAnsi="宋体"/>
                <w:color w:val="auto"/>
                <w:sz w:val="24"/>
                <w:highlight w:val="none"/>
              </w:rPr>
            </w:pPr>
            <w:r>
              <w:rPr>
                <w:rFonts w:hint="eastAsia" w:ascii="宋体" w:hAnsi="宋体"/>
                <w:color w:val="auto"/>
                <w:sz w:val="24"/>
                <w:highlight w:val="none"/>
              </w:rPr>
              <w:t>垫层</w:t>
            </w:r>
          </w:p>
        </w:tc>
        <w:tc>
          <w:tcPr>
            <w:tcW w:w="1260" w:type="dxa"/>
            <w:noWrap w:val="0"/>
            <w:vAlign w:val="center"/>
          </w:tcPr>
          <w:p w14:paraId="26E03F93">
            <w:pPr>
              <w:widowControl/>
              <w:jc w:val="left"/>
              <w:rPr>
                <w:rFonts w:ascii="宋体" w:hAnsi="宋体"/>
                <w:color w:val="auto"/>
                <w:sz w:val="24"/>
                <w:highlight w:val="none"/>
              </w:rPr>
            </w:pPr>
          </w:p>
        </w:tc>
      </w:tr>
      <w:tr w14:paraId="54FF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5C461DF">
            <w:pPr>
              <w:widowControl/>
              <w:jc w:val="left"/>
              <w:rPr>
                <w:rFonts w:ascii="宋体" w:hAnsi="宋体"/>
                <w:color w:val="auto"/>
                <w:sz w:val="24"/>
                <w:highlight w:val="none"/>
              </w:rPr>
            </w:pPr>
            <w:r>
              <w:rPr>
                <w:rFonts w:hint="eastAsia" w:ascii="宋体" w:hAnsi="宋体"/>
                <w:color w:val="auto"/>
                <w:sz w:val="24"/>
                <w:highlight w:val="none"/>
              </w:rPr>
              <w:t>302-1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97A96B">
            <w:pPr>
              <w:widowControl/>
              <w:jc w:val="left"/>
              <w:rPr>
                <w:rFonts w:hint="eastAsia" w:ascii="宋体" w:hAnsi="宋体"/>
                <w:color w:val="auto"/>
                <w:sz w:val="24"/>
                <w:highlight w:val="none"/>
              </w:rPr>
            </w:pPr>
            <w:r>
              <w:rPr>
                <w:rFonts w:hint="eastAsia" w:ascii="宋体" w:hAnsi="宋体"/>
                <w:color w:val="auto"/>
                <w:sz w:val="24"/>
                <w:highlight w:val="none"/>
              </w:rPr>
              <w:t>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6F21E4">
            <w:pPr>
              <w:widowControl/>
              <w:jc w:val="left"/>
              <w:rPr>
                <w:rFonts w:hint="eastAsia" w:ascii="宋体" w:hAnsi="宋体"/>
                <w:color w:val="auto"/>
                <w:sz w:val="24"/>
                <w:highlight w:val="none"/>
              </w:rPr>
            </w:pPr>
          </w:p>
        </w:tc>
      </w:tr>
      <w:tr w14:paraId="3C51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673E733">
            <w:pPr>
              <w:widowControl/>
              <w:jc w:val="left"/>
              <w:rPr>
                <w:rFonts w:hint="eastAsia" w:ascii="宋体" w:hAnsi="宋体"/>
                <w:color w:val="auto"/>
                <w:sz w:val="24"/>
                <w:highlight w:val="none"/>
              </w:rPr>
            </w:pPr>
            <w:r>
              <w:rPr>
                <w:rFonts w:hint="eastAsia" w:ascii="宋体" w:hAnsi="宋体"/>
                <w:color w:val="auto"/>
                <w:sz w:val="24"/>
                <w:highlight w:val="none"/>
              </w:rPr>
              <w:t>302-1-1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2BF9068">
            <w:pPr>
              <w:widowControl/>
              <w:jc w:val="left"/>
              <w:rPr>
                <w:rFonts w:hint="eastAsia" w:ascii="宋体" w:hAnsi="宋体"/>
                <w:color w:val="auto"/>
                <w:sz w:val="24"/>
                <w:highlight w:val="none"/>
              </w:rPr>
            </w:pPr>
            <w:r>
              <w:rPr>
                <w:rFonts w:hint="eastAsia" w:ascii="宋体" w:hAnsi="宋体"/>
                <w:color w:val="auto"/>
                <w:sz w:val="24"/>
                <w:highlight w:val="none"/>
              </w:rPr>
              <w:t>碎石垫层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F237E2">
            <w:pPr>
              <w:widowControl/>
              <w:jc w:val="left"/>
              <w:rPr>
                <w:rFonts w:hint="eastAsia" w:ascii="宋体" w:hAnsi="宋体"/>
                <w:color w:val="auto"/>
                <w:sz w:val="24"/>
                <w:highlight w:val="none"/>
              </w:rPr>
            </w:pPr>
          </w:p>
        </w:tc>
      </w:tr>
      <w:tr w14:paraId="5CE2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6280073">
            <w:pPr>
              <w:widowControl/>
              <w:jc w:val="left"/>
              <w:rPr>
                <w:rFonts w:hint="eastAsia" w:ascii="宋体" w:hAnsi="宋体"/>
                <w:color w:val="auto"/>
                <w:sz w:val="24"/>
                <w:highlight w:val="none"/>
              </w:rPr>
            </w:pPr>
            <w:r>
              <w:rPr>
                <w:rFonts w:hint="eastAsia" w:ascii="宋体" w:hAnsi="宋体"/>
                <w:color w:val="auto"/>
                <w:sz w:val="24"/>
                <w:highlight w:val="none"/>
              </w:rPr>
              <w:t>302-1-1-2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29EDB1E">
            <w:pPr>
              <w:widowControl/>
              <w:jc w:val="left"/>
              <w:rPr>
                <w:rFonts w:hint="eastAsia" w:ascii="宋体" w:hAnsi="宋体"/>
                <w:color w:val="auto"/>
                <w:sz w:val="24"/>
                <w:highlight w:val="none"/>
              </w:rPr>
            </w:pPr>
            <w:r>
              <w:rPr>
                <w:rFonts w:hint="eastAsia" w:ascii="宋体" w:hAnsi="宋体"/>
                <w:color w:val="auto"/>
                <w:sz w:val="24"/>
                <w:highlight w:val="none"/>
              </w:rPr>
              <w:t>厚200mm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CCC48A">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725B538D">
      <w:pPr>
        <w:spacing w:line="360" w:lineRule="auto"/>
        <w:ind w:right="18" w:firstLine="480"/>
        <w:jc w:val="left"/>
        <w:rPr>
          <w:rFonts w:hint="eastAsia" w:ascii="宋体" w:hAnsi="宋体"/>
          <w:color w:val="auto"/>
          <w:sz w:val="24"/>
          <w:highlight w:val="none"/>
        </w:rPr>
      </w:pPr>
    </w:p>
    <w:p w14:paraId="6A221395">
      <w:pPr>
        <w:spacing w:line="360" w:lineRule="auto"/>
        <w:ind w:right="18"/>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第304节  水泥稳定土底基层、基层</w:t>
      </w:r>
    </w:p>
    <w:p w14:paraId="375DFDF4">
      <w:pPr>
        <w:spacing w:line="360" w:lineRule="auto"/>
        <w:ind w:right="18" w:firstLine="525"/>
        <w:jc w:val="left"/>
        <w:rPr>
          <w:rFonts w:hint="eastAsia" w:ascii="宋体" w:hAnsi="宋体"/>
          <w:color w:val="auto"/>
          <w:sz w:val="24"/>
          <w:highlight w:val="none"/>
        </w:rPr>
      </w:pPr>
      <w:r>
        <w:rPr>
          <w:rFonts w:hint="eastAsia" w:ascii="宋体" w:hAnsi="宋体"/>
          <w:color w:val="auto"/>
          <w:sz w:val="24"/>
          <w:highlight w:val="none"/>
        </w:rPr>
        <w:t>1.计量</w:t>
      </w:r>
    </w:p>
    <w:p w14:paraId="6E7F67F6">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水泥稳定土底基层、基层按图纸所示和监理人指示铺筑，经监理人验收合格的该层顶面面积，按不同水泥含量含量类型分不同厚度以平方米计量，局部不等厚路面段可按铺筑压实体积以立方米计量（按铺筑长度与平均厚度截面积之积）。</w:t>
      </w:r>
    </w:p>
    <w:p w14:paraId="10B726DB">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对个别特殊形状的面积，应采用监理人认可的计算方法计量。除监理人另有指示外，超过图纸所规定的计算面积或体积均不予计量。</w:t>
      </w:r>
    </w:p>
    <w:p w14:paraId="2F3E210B">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桥梁和明涵处的搭板、埋板下变截面水泥稳定土底基层按图纸所示和监理人的指示铺筑，以监理人验收合格后，以立方米计量。</w:t>
      </w:r>
    </w:p>
    <w:p w14:paraId="4D2BD99E">
      <w:pPr>
        <w:spacing w:line="360" w:lineRule="auto"/>
        <w:ind w:right="18" w:firstLine="525"/>
        <w:jc w:val="left"/>
        <w:rPr>
          <w:rFonts w:hint="eastAsia" w:ascii="宋体" w:hAnsi="宋体"/>
          <w:color w:val="auto"/>
          <w:sz w:val="24"/>
          <w:highlight w:val="none"/>
        </w:rPr>
      </w:pPr>
      <w:r>
        <w:rPr>
          <w:rFonts w:hint="eastAsia" w:ascii="宋体" w:hAnsi="宋体"/>
          <w:color w:val="auto"/>
          <w:sz w:val="24"/>
          <w:highlight w:val="none"/>
        </w:rPr>
        <w:t>2.支付</w:t>
      </w:r>
    </w:p>
    <w:p w14:paraId="0960799A">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费用的支付，主要包括以下内容：</w:t>
      </w:r>
    </w:p>
    <w:p w14:paraId="730CDFDD">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承包人提供工程所需的材料、机具、设备和劳力等。</w:t>
      </w:r>
    </w:p>
    <w:p w14:paraId="6D31F58C">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原材料的检验、混合料设计与试验，以及经监理人批准的按照规范所要求的试验路段的全部作业。</w:t>
      </w:r>
    </w:p>
    <w:p w14:paraId="4BFD0516">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铺筑前对下承层的检查和清扫、混合料的拌和、运输、摊铺、压实、整型、养护等。</w:t>
      </w:r>
    </w:p>
    <w:p w14:paraId="095622EC">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d.</w:t>
      </w:r>
      <w:r>
        <w:rPr>
          <w:rFonts w:hint="eastAsia" w:ascii="宋体" w:hAnsi="宋体"/>
          <w:color w:val="auto"/>
          <w:sz w:val="24"/>
          <w:highlight w:val="none"/>
        </w:rPr>
        <w:t>质量检验所要求的检测、取样和试验等工作。</w:t>
      </w:r>
    </w:p>
    <w:p w14:paraId="7FBEDB74">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按上述规定计量，经监理人验收，并列入工程量清单的以下支付子目的工程量，其每一计量单位，将以合同单价支付。此项支付包括一切为完成本项工程所必需的全部费用。</w:t>
      </w:r>
    </w:p>
    <w:p w14:paraId="7E6E2C94">
      <w:pPr>
        <w:spacing w:line="360" w:lineRule="auto"/>
        <w:ind w:right="18" w:firstLine="525"/>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0CE7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DD367C0">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0E26D3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19488F2">
            <w:pPr>
              <w:jc w:val="left"/>
              <w:rPr>
                <w:rFonts w:hint="eastAsia" w:ascii="宋体" w:hAnsi="宋体"/>
                <w:color w:val="auto"/>
                <w:sz w:val="24"/>
                <w:highlight w:val="none"/>
              </w:rPr>
            </w:pPr>
            <w:r>
              <w:rPr>
                <w:rFonts w:hint="eastAsia" w:ascii="宋体" w:hAnsi="宋体"/>
                <w:color w:val="auto"/>
                <w:sz w:val="24"/>
                <w:highlight w:val="none"/>
              </w:rPr>
              <w:t>单位</w:t>
            </w:r>
          </w:p>
        </w:tc>
      </w:tr>
      <w:tr w14:paraId="0A24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69EB6D1">
            <w:pPr>
              <w:widowControl/>
              <w:jc w:val="left"/>
              <w:rPr>
                <w:rFonts w:ascii="宋体" w:hAnsi="宋体"/>
                <w:color w:val="auto"/>
                <w:sz w:val="24"/>
                <w:highlight w:val="none"/>
              </w:rPr>
            </w:pPr>
            <w:r>
              <w:rPr>
                <w:rFonts w:hint="eastAsia" w:ascii="宋体" w:hAnsi="宋体"/>
                <w:color w:val="auto"/>
                <w:sz w:val="24"/>
                <w:highlight w:val="none"/>
              </w:rPr>
              <w:t>304</w:t>
            </w:r>
          </w:p>
        </w:tc>
        <w:tc>
          <w:tcPr>
            <w:tcW w:w="5400" w:type="dxa"/>
            <w:noWrap w:val="0"/>
            <w:vAlign w:val="center"/>
          </w:tcPr>
          <w:p w14:paraId="5C26D36F">
            <w:pPr>
              <w:widowControl/>
              <w:jc w:val="left"/>
              <w:rPr>
                <w:rFonts w:ascii="宋体" w:hAnsi="宋体"/>
                <w:color w:val="auto"/>
                <w:sz w:val="24"/>
                <w:highlight w:val="none"/>
              </w:rPr>
            </w:pPr>
            <w:r>
              <w:rPr>
                <w:rFonts w:hint="eastAsia" w:ascii="宋体" w:hAnsi="宋体"/>
                <w:color w:val="auto"/>
                <w:sz w:val="24"/>
                <w:highlight w:val="none"/>
              </w:rPr>
              <w:t>水泥稳定土底基层、基层</w:t>
            </w:r>
          </w:p>
        </w:tc>
        <w:tc>
          <w:tcPr>
            <w:tcW w:w="1260" w:type="dxa"/>
            <w:noWrap w:val="0"/>
            <w:vAlign w:val="center"/>
          </w:tcPr>
          <w:p w14:paraId="6FEB76E3">
            <w:pPr>
              <w:widowControl/>
              <w:jc w:val="left"/>
              <w:rPr>
                <w:rFonts w:ascii="宋体" w:hAnsi="宋体"/>
                <w:color w:val="auto"/>
                <w:sz w:val="24"/>
                <w:highlight w:val="none"/>
              </w:rPr>
            </w:pPr>
          </w:p>
        </w:tc>
      </w:tr>
      <w:tr w14:paraId="0DD5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721E706">
            <w:pPr>
              <w:widowControl/>
              <w:jc w:val="left"/>
              <w:rPr>
                <w:rFonts w:hint="eastAsia" w:ascii="宋体" w:hAnsi="宋体"/>
                <w:color w:val="auto"/>
                <w:sz w:val="24"/>
                <w:highlight w:val="none"/>
              </w:rPr>
            </w:pPr>
            <w:r>
              <w:rPr>
                <w:rFonts w:hint="eastAsia" w:ascii="宋体" w:hAnsi="宋体"/>
                <w:color w:val="auto"/>
                <w:sz w:val="24"/>
                <w:highlight w:val="none"/>
              </w:rPr>
              <w:t>304-1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4CB4D6">
            <w:pPr>
              <w:widowControl/>
              <w:jc w:val="left"/>
              <w:rPr>
                <w:rFonts w:hint="eastAsia" w:ascii="宋体" w:hAnsi="宋体"/>
                <w:color w:val="auto"/>
                <w:sz w:val="24"/>
                <w:highlight w:val="none"/>
              </w:rPr>
            </w:pPr>
            <w:r>
              <w:rPr>
                <w:rFonts w:hint="eastAsia" w:ascii="宋体" w:hAnsi="宋体"/>
                <w:color w:val="auto"/>
                <w:sz w:val="24"/>
                <w:highlight w:val="none"/>
              </w:rPr>
              <w:t>水泥稳定土底基层、基层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070A65">
            <w:pPr>
              <w:widowControl/>
              <w:jc w:val="left"/>
              <w:rPr>
                <w:rFonts w:hint="eastAsia" w:ascii="宋体" w:hAnsi="宋体"/>
                <w:color w:val="auto"/>
                <w:sz w:val="24"/>
                <w:highlight w:val="none"/>
              </w:rPr>
            </w:pPr>
          </w:p>
        </w:tc>
      </w:tr>
      <w:tr w14:paraId="191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8EA8897">
            <w:pPr>
              <w:widowControl/>
              <w:jc w:val="left"/>
              <w:rPr>
                <w:rFonts w:hint="eastAsia" w:ascii="宋体" w:hAnsi="宋体"/>
                <w:color w:val="auto"/>
                <w:sz w:val="24"/>
                <w:highlight w:val="none"/>
              </w:rPr>
            </w:pPr>
            <w:r>
              <w:rPr>
                <w:rFonts w:hint="eastAsia" w:ascii="宋体" w:hAnsi="宋体"/>
                <w:color w:val="auto"/>
                <w:sz w:val="24"/>
                <w:highlight w:val="none"/>
              </w:rPr>
              <w:t>304-1-2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D25A68F">
            <w:pPr>
              <w:widowControl/>
              <w:jc w:val="left"/>
              <w:rPr>
                <w:rFonts w:hint="eastAsia" w:ascii="宋体" w:hAnsi="宋体"/>
                <w:color w:val="auto"/>
                <w:sz w:val="24"/>
                <w:highlight w:val="none"/>
              </w:rPr>
            </w:pPr>
            <w:r>
              <w:rPr>
                <w:rFonts w:hint="eastAsia" w:ascii="宋体" w:hAnsi="宋体"/>
                <w:color w:val="auto"/>
                <w:sz w:val="24"/>
                <w:highlight w:val="none"/>
              </w:rPr>
              <w:t>4%水泥含量稳定土底基层、基层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6F8C80E">
            <w:pPr>
              <w:widowControl/>
              <w:jc w:val="left"/>
              <w:rPr>
                <w:rFonts w:hint="eastAsia" w:ascii="宋体" w:hAnsi="宋体"/>
                <w:color w:val="auto"/>
                <w:sz w:val="24"/>
                <w:highlight w:val="none"/>
              </w:rPr>
            </w:pPr>
          </w:p>
        </w:tc>
      </w:tr>
      <w:tr w14:paraId="2222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D1CABB9">
            <w:pPr>
              <w:widowControl/>
              <w:jc w:val="left"/>
              <w:rPr>
                <w:rFonts w:hint="eastAsia" w:ascii="宋体" w:hAnsi="宋体"/>
                <w:color w:val="auto"/>
                <w:sz w:val="24"/>
                <w:highlight w:val="none"/>
              </w:rPr>
            </w:pPr>
            <w:r>
              <w:rPr>
                <w:rFonts w:hint="eastAsia" w:ascii="宋体" w:hAnsi="宋体"/>
                <w:color w:val="auto"/>
                <w:sz w:val="24"/>
                <w:highlight w:val="none"/>
              </w:rPr>
              <w:t>304-1-2-2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DEF338">
            <w:pPr>
              <w:widowControl/>
              <w:jc w:val="left"/>
              <w:rPr>
                <w:rFonts w:hint="eastAsia" w:ascii="宋体" w:hAnsi="宋体"/>
                <w:color w:val="auto"/>
                <w:sz w:val="24"/>
                <w:highlight w:val="none"/>
              </w:rPr>
            </w:pPr>
            <w:r>
              <w:rPr>
                <w:rFonts w:hint="eastAsia" w:ascii="宋体" w:hAnsi="宋体"/>
                <w:color w:val="auto"/>
                <w:sz w:val="24"/>
                <w:highlight w:val="none"/>
              </w:rPr>
              <w:t>厚200mm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6F4CCEA">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4C3E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47E4E44">
            <w:pPr>
              <w:widowControl/>
              <w:jc w:val="left"/>
              <w:rPr>
                <w:rFonts w:hint="eastAsia" w:ascii="宋体" w:hAnsi="宋体"/>
                <w:color w:val="auto"/>
                <w:sz w:val="24"/>
                <w:highlight w:val="none"/>
              </w:rPr>
            </w:pPr>
            <w:r>
              <w:rPr>
                <w:rFonts w:hint="eastAsia" w:ascii="宋体" w:hAnsi="宋体"/>
                <w:color w:val="auto"/>
                <w:sz w:val="24"/>
                <w:highlight w:val="none"/>
              </w:rPr>
              <w:t>304-1-2-3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3F943E">
            <w:pPr>
              <w:widowControl/>
              <w:jc w:val="left"/>
              <w:rPr>
                <w:rFonts w:hint="eastAsia" w:ascii="宋体" w:hAnsi="宋体"/>
                <w:color w:val="auto"/>
                <w:sz w:val="24"/>
                <w:highlight w:val="none"/>
              </w:rPr>
            </w:pPr>
            <w:r>
              <w:rPr>
                <w:rFonts w:hint="eastAsia" w:ascii="宋体" w:hAnsi="宋体"/>
                <w:color w:val="auto"/>
                <w:sz w:val="24"/>
                <w:highlight w:val="none"/>
              </w:rPr>
              <w:t>厚300mm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7E2A16C">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057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DD6A45D">
            <w:pPr>
              <w:widowControl/>
              <w:jc w:val="left"/>
              <w:rPr>
                <w:rFonts w:hint="eastAsia" w:ascii="宋体" w:hAnsi="宋体"/>
                <w:color w:val="auto"/>
                <w:sz w:val="24"/>
                <w:highlight w:val="none"/>
              </w:rPr>
            </w:pPr>
            <w:r>
              <w:rPr>
                <w:rFonts w:hint="eastAsia" w:ascii="宋体" w:hAnsi="宋体"/>
                <w:color w:val="auto"/>
                <w:sz w:val="24"/>
                <w:highlight w:val="none"/>
              </w:rPr>
              <w:t>304-1-4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6F2D113">
            <w:pPr>
              <w:widowControl/>
              <w:jc w:val="left"/>
              <w:rPr>
                <w:rFonts w:hint="eastAsia" w:ascii="宋体" w:hAnsi="宋体"/>
                <w:color w:val="auto"/>
                <w:sz w:val="24"/>
                <w:highlight w:val="none"/>
              </w:rPr>
            </w:pPr>
            <w:r>
              <w:rPr>
                <w:rFonts w:hint="eastAsia" w:ascii="宋体" w:hAnsi="宋体"/>
                <w:color w:val="auto"/>
                <w:sz w:val="24"/>
                <w:highlight w:val="none"/>
              </w:rPr>
              <w:t>5.5%水泥含量稳定土底基层、基层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AAB4600">
            <w:pPr>
              <w:widowControl/>
              <w:jc w:val="left"/>
              <w:rPr>
                <w:rFonts w:hint="eastAsia" w:ascii="宋体" w:hAnsi="宋体"/>
                <w:color w:val="auto"/>
                <w:sz w:val="24"/>
                <w:highlight w:val="none"/>
              </w:rPr>
            </w:pPr>
          </w:p>
        </w:tc>
      </w:tr>
      <w:tr w14:paraId="24A2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5B91BFF">
            <w:pPr>
              <w:widowControl/>
              <w:jc w:val="left"/>
              <w:rPr>
                <w:rFonts w:hint="eastAsia" w:ascii="宋体" w:hAnsi="宋体"/>
                <w:color w:val="auto"/>
                <w:sz w:val="24"/>
                <w:highlight w:val="none"/>
              </w:rPr>
            </w:pPr>
            <w:r>
              <w:rPr>
                <w:rFonts w:hint="eastAsia" w:ascii="宋体" w:hAnsi="宋体"/>
                <w:color w:val="auto"/>
                <w:sz w:val="24"/>
                <w:highlight w:val="none"/>
              </w:rPr>
              <w:t>304-1-4-2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FA346E">
            <w:pPr>
              <w:widowControl/>
              <w:jc w:val="left"/>
              <w:rPr>
                <w:rFonts w:hint="eastAsia" w:ascii="宋体" w:hAnsi="宋体"/>
                <w:color w:val="auto"/>
                <w:sz w:val="24"/>
                <w:highlight w:val="none"/>
              </w:rPr>
            </w:pPr>
            <w:r>
              <w:rPr>
                <w:rFonts w:hint="eastAsia" w:ascii="宋体" w:hAnsi="宋体"/>
                <w:color w:val="auto"/>
                <w:sz w:val="24"/>
                <w:highlight w:val="none"/>
              </w:rPr>
              <w:t>厚200mm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03E8A79">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3AA0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3CF4654">
            <w:pPr>
              <w:widowControl/>
              <w:jc w:val="left"/>
              <w:rPr>
                <w:rFonts w:hint="eastAsia" w:ascii="宋体" w:hAnsi="宋体"/>
                <w:color w:val="auto"/>
                <w:sz w:val="24"/>
                <w:highlight w:val="none"/>
              </w:rPr>
            </w:pPr>
            <w:r>
              <w:rPr>
                <w:rFonts w:hint="eastAsia" w:ascii="宋体" w:hAnsi="宋体"/>
                <w:color w:val="auto"/>
                <w:sz w:val="24"/>
                <w:highlight w:val="none"/>
              </w:rPr>
              <w:t>304-1-4-6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F30A1F4">
            <w:pPr>
              <w:widowControl/>
              <w:jc w:val="left"/>
              <w:rPr>
                <w:rFonts w:hint="eastAsia" w:ascii="宋体" w:hAnsi="宋体"/>
                <w:color w:val="auto"/>
                <w:sz w:val="24"/>
                <w:highlight w:val="none"/>
              </w:rPr>
            </w:pPr>
            <w:r>
              <w:rPr>
                <w:rFonts w:hint="eastAsia" w:ascii="宋体" w:hAnsi="宋体"/>
                <w:color w:val="auto"/>
                <w:sz w:val="24"/>
                <w:highlight w:val="none"/>
              </w:rPr>
              <w:t>厚360mm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703117">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27FECE5C">
      <w:pPr>
        <w:spacing w:line="360" w:lineRule="auto"/>
        <w:ind w:right="18"/>
        <w:jc w:val="left"/>
        <w:rPr>
          <w:rFonts w:hint="eastAsia" w:ascii="宋体" w:hAnsi="宋体"/>
          <w:b/>
          <w:bCs/>
          <w:color w:val="auto"/>
          <w:sz w:val="28"/>
          <w:szCs w:val="28"/>
          <w:highlight w:val="none"/>
        </w:rPr>
      </w:pPr>
    </w:p>
    <w:p w14:paraId="5854259E">
      <w:pPr>
        <w:spacing w:line="360" w:lineRule="auto"/>
        <w:ind w:right="18"/>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第308节  透层和粘层</w:t>
      </w:r>
    </w:p>
    <w:p w14:paraId="67F20EBD">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1.计量</w:t>
      </w:r>
    </w:p>
    <w:p w14:paraId="0CA027F1">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透层和粘层，按图纸规定的或监理人批示的喷洒面积，经监理人验收合格，以平方米计量。</w:t>
      </w:r>
    </w:p>
    <w:p w14:paraId="663E4254">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对个别特殊形状的面积，应采用适当的计算方法计量。除监理人另有批示外，超过图纸规定的计算面积均不予计量。</w:t>
      </w:r>
    </w:p>
    <w:p w14:paraId="6B2061A3">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2.支付</w:t>
      </w:r>
    </w:p>
    <w:p w14:paraId="1D53B762">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支付费用主要包括下列内容：</w:t>
      </w:r>
    </w:p>
    <w:p w14:paraId="26906A10">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承包人提供工程所需的材料，使用的工具、设备和劳力等。</w:t>
      </w:r>
    </w:p>
    <w:p w14:paraId="5775425E">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材料的检验、试验，以及按规范规定的全部作业。</w:t>
      </w:r>
    </w:p>
    <w:p w14:paraId="5D6C1ACB">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喷洒前对层面的检查和清扫，材料的加热、运输、喷洒、养护等工作。</w:t>
      </w:r>
    </w:p>
    <w:p w14:paraId="1394E74F">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按上述规定计量，经监理人验收并列入工程量清单的以下支付子目的工程量，将以合同单价支付。此项支付包括一切为完成本项工程所必需的全部费用</w:t>
      </w:r>
    </w:p>
    <w:p w14:paraId="5EC8A7F3">
      <w:pPr>
        <w:spacing w:line="360" w:lineRule="auto"/>
        <w:ind w:right="18" w:firstLine="525"/>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D9C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C47D456">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D8EAE2F">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2871DF72">
            <w:pPr>
              <w:jc w:val="left"/>
              <w:rPr>
                <w:rFonts w:hint="eastAsia" w:ascii="宋体" w:hAnsi="宋体"/>
                <w:color w:val="auto"/>
                <w:sz w:val="24"/>
                <w:highlight w:val="none"/>
              </w:rPr>
            </w:pPr>
            <w:r>
              <w:rPr>
                <w:rFonts w:hint="eastAsia" w:ascii="宋体" w:hAnsi="宋体"/>
                <w:color w:val="auto"/>
                <w:sz w:val="24"/>
                <w:highlight w:val="none"/>
              </w:rPr>
              <w:t>单位</w:t>
            </w:r>
          </w:p>
        </w:tc>
      </w:tr>
      <w:tr w14:paraId="56A9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2B3B494D">
            <w:pPr>
              <w:widowControl/>
              <w:jc w:val="left"/>
              <w:rPr>
                <w:rFonts w:ascii="宋体" w:hAnsi="宋体"/>
                <w:color w:val="auto"/>
                <w:sz w:val="24"/>
                <w:highlight w:val="none"/>
              </w:rPr>
            </w:pPr>
            <w:r>
              <w:rPr>
                <w:rFonts w:hint="eastAsia" w:ascii="宋体" w:hAnsi="宋体"/>
                <w:color w:val="auto"/>
                <w:sz w:val="24"/>
                <w:highlight w:val="none"/>
              </w:rPr>
              <w:t>308</w:t>
            </w:r>
          </w:p>
        </w:tc>
        <w:tc>
          <w:tcPr>
            <w:tcW w:w="5400" w:type="dxa"/>
            <w:noWrap w:val="0"/>
            <w:vAlign w:val="center"/>
          </w:tcPr>
          <w:p w14:paraId="57A4AB41">
            <w:pPr>
              <w:widowControl/>
              <w:jc w:val="left"/>
              <w:rPr>
                <w:rFonts w:ascii="宋体" w:hAnsi="宋体"/>
                <w:color w:val="auto"/>
                <w:sz w:val="24"/>
                <w:highlight w:val="none"/>
              </w:rPr>
            </w:pPr>
            <w:r>
              <w:rPr>
                <w:rFonts w:hint="eastAsia" w:ascii="宋体" w:hAnsi="宋体"/>
                <w:color w:val="auto"/>
                <w:sz w:val="24"/>
                <w:highlight w:val="none"/>
              </w:rPr>
              <w:t>透层、粘层</w:t>
            </w:r>
          </w:p>
        </w:tc>
        <w:tc>
          <w:tcPr>
            <w:tcW w:w="1260" w:type="dxa"/>
            <w:noWrap w:val="0"/>
            <w:vAlign w:val="center"/>
          </w:tcPr>
          <w:p w14:paraId="62AB7EFD">
            <w:pPr>
              <w:widowControl/>
              <w:jc w:val="left"/>
              <w:rPr>
                <w:rFonts w:ascii="宋体" w:hAnsi="宋体"/>
                <w:color w:val="auto"/>
                <w:sz w:val="24"/>
                <w:highlight w:val="none"/>
              </w:rPr>
            </w:pPr>
          </w:p>
        </w:tc>
      </w:tr>
      <w:tr w14:paraId="46BE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400BE05">
            <w:pPr>
              <w:widowControl/>
              <w:jc w:val="left"/>
              <w:rPr>
                <w:rFonts w:ascii="宋体" w:hAnsi="宋体"/>
                <w:color w:val="auto"/>
                <w:sz w:val="24"/>
                <w:highlight w:val="none"/>
              </w:rPr>
            </w:pPr>
            <w:r>
              <w:rPr>
                <w:rFonts w:hint="eastAsia" w:ascii="宋体" w:hAnsi="宋体"/>
                <w:color w:val="auto"/>
                <w:sz w:val="24"/>
                <w:highlight w:val="none"/>
              </w:rPr>
              <w:t>308-1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17016F8">
            <w:pPr>
              <w:widowControl/>
              <w:jc w:val="left"/>
              <w:rPr>
                <w:rFonts w:hint="eastAsia" w:ascii="宋体" w:hAnsi="宋体"/>
                <w:color w:val="auto"/>
                <w:sz w:val="24"/>
                <w:highlight w:val="none"/>
              </w:rPr>
            </w:pPr>
            <w:r>
              <w:rPr>
                <w:rFonts w:hint="eastAsia" w:ascii="宋体" w:hAnsi="宋体"/>
                <w:color w:val="auto"/>
                <w:sz w:val="24"/>
                <w:highlight w:val="none"/>
              </w:rPr>
              <w:t>透层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77330F">
            <w:pPr>
              <w:widowControl/>
              <w:jc w:val="left"/>
              <w:rPr>
                <w:rFonts w:hint="eastAsia" w:ascii="宋体" w:hAnsi="宋体"/>
                <w:color w:val="auto"/>
                <w:sz w:val="24"/>
                <w:highlight w:val="none"/>
              </w:rPr>
            </w:pPr>
          </w:p>
        </w:tc>
      </w:tr>
      <w:tr w14:paraId="57B2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6B37C91">
            <w:pPr>
              <w:widowControl/>
              <w:jc w:val="left"/>
              <w:rPr>
                <w:rFonts w:hint="eastAsia" w:ascii="宋体" w:hAnsi="宋体"/>
                <w:color w:val="auto"/>
                <w:sz w:val="24"/>
                <w:highlight w:val="none"/>
              </w:rPr>
            </w:pPr>
            <w:r>
              <w:rPr>
                <w:rFonts w:hint="eastAsia" w:ascii="宋体" w:hAnsi="宋体"/>
                <w:color w:val="auto"/>
                <w:sz w:val="24"/>
                <w:highlight w:val="none"/>
              </w:rPr>
              <w:t>308-1-1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D92747">
            <w:pPr>
              <w:widowControl/>
              <w:jc w:val="left"/>
              <w:rPr>
                <w:rFonts w:hint="eastAsia" w:ascii="宋体" w:hAnsi="宋体"/>
                <w:color w:val="auto"/>
                <w:sz w:val="24"/>
                <w:highlight w:val="none"/>
              </w:rPr>
            </w:pPr>
            <w:r>
              <w:rPr>
                <w:rFonts w:hint="eastAsia" w:ascii="宋体" w:hAnsi="宋体"/>
                <w:color w:val="auto"/>
                <w:sz w:val="24"/>
                <w:highlight w:val="none"/>
              </w:rPr>
              <w:t>透层（普通）</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621349">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5CF9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B21195F">
            <w:pPr>
              <w:widowControl/>
              <w:jc w:val="left"/>
              <w:rPr>
                <w:rFonts w:hint="eastAsia" w:ascii="宋体" w:hAnsi="宋体"/>
                <w:color w:val="auto"/>
                <w:sz w:val="24"/>
                <w:highlight w:val="none"/>
              </w:rPr>
            </w:pPr>
            <w:r>
              <w:rPr>
                <w:rFonts w:hint="eastAsia" w:ascii="宋体" w:hAnsi="宋体"/>
                <w:color w:val="auto"/>
                <w:sz w:val="24"/>
                <w:highlight w:val="none"/>
              </w:rPr>
              <w:t>308-2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958728A">
            <w:pPr>
              <w:widowControl/>
              <w:jc w:val="left"/>
              <w:rPr>
                <w:rFonts w:hint="eastAsia" w:ascii="宋体" w:hAnsi="宋体"/>
                <w:color w:val="auto"/>
                <w:sz w:val="24"/>
                <w:highlight w:val="none"/>
              </w:rPr>
            </w:pPr>
            <w:r>
              <w:rPr>
                <w:rFonts w:hint="eastAsia" w:ascii="宋体" w:hAnsi="宋体"/>
                <w:color w:val="auto"/>
                <w:sz w:val="24"/>
                <w:highlight w:val="none"/>
              </w:rPr>
              <w:t>黏层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288B91">
            <w:pPr>
              <w:widowControl/>
              <w:jc w:val="left"/>
              <w:rPr>
                <w:rFonts w:hint="eastAsia" w:ascii="宋体" w:hAnsi="宋体"/>
                <w:color w:val="auto"/>
                <w:sz w:val="24"/>
                <w:highlight w:val="none"/>
              </w:rPr>
            </w:pPr>
          </w:p>
        </w:tc>
      </w:tr>
      <w:tr w14:paraId="2991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FC592C2">
            <w:pPr>
              <w:widowControl/>
              <w:jc w:val="left"/>
              <w:rPr>
                <w:rFonts w:hint="eastAsia" w:ascii="宋体" w:hAnsi="宋体"/>
                <w:color w:val="auto"/>
                <w:sz w:val="24"/>
                <w:highlight w:val="none"/>
              </w:rPr>
            </w:pPr>
            <w:r>
              <w:rPr>
                <w:rFonts w:hint="eastAsia" w:ascii="宋体" w:hAnsi="宋体"/>
                <w:color w:val="auto"/>
                <w:sz w:val="24"/>
                <w:highlight w:val="none"/>
              </w:rPr>
              <w:t>308-2-2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6F8728">
            <w:pPr>
              <w:widowControl/>
              <w:jc w:val="left"/>
              <w:rPr>
                <w:rFonts w:hint="eastAsia" w:ascii="宋体" w:hAnsi="宋体"/>
                <w:color w:val="auto"/>
                <w:sz w:val="24"/>
                <w:highlight w:val="none"/>
              </w:rPr>
            </w:pPr>
            <w:r>
              <w:rPr>
                <w:rFonts w:hint="eastAsia" w:ascii="宋体" w:hAnsi="宋体"/>
                <w:color w:val="auto"/>
                <w:sz w:val="24"/>
                <w:highlight w:val="none"/>
              </w:rPr>
              <w:t>改性乳化沥青粘层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E747F3">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7E2CD097">
      <w:pPr>
        <w:spacing w:line="360" w:lineRule="auto"/>
        <w:ind w:right="18" w:firstLine="525"/>
        <w:jc w:val="left"/>
        <w:rPr>
          <w:rFonts w:hint="eastAsia" w:ascii="宋体" w:hAnsi="宋体"/>
          <w:color w:val="auto"/>
          <w:sz w:val="24"/>
          <w:highlight w:val="none"/>
        </w:rPr>
      </w:pPr>
    </w:p>
    <w:p w14:paraId="5363065F">
      <w:pPr>
        <w:spacing w:line="360" w:lineRule="auto"/>
        <w:ind w:right="18"/>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第309节  热拌沥青混合料面层</w:t>
      </w:r>
    </w:p>
    <w:p w14:paraId="1D3E0B7B">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1.计量</w:t>
      </w:r>
    </w:p>
    <w:p w14:paraId="33C99F7D">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热铺沥青混凝土、热拌沥青碎石等混合料，应按图纸所示或监理人批示的平均铺筑面积，经监理人验收合格，按特粗、粗、中、细粒式沥青混合料和不同厚度分别以平方米计量。除监理人另有指示外，超过图纸所规定的面积均不予计量。</w:t>
      </w:r>
    </w:p>
    <w:p w14:paraId="5F225E39">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2.支付</w:t>
      </w:r>
    </w:p>
    <w:p w14:paraId="7EC969A9">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支付的费用，主要包括下列内容：</w:t>
      </w:r>
    </w:p>
    <w:p w14:paraId="07B2103E">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承包人提供工程所需的材料、机具、设备和劳力等。</w:t>
      </w:r>
    </w:p>
    <w:p w14:paraId="1B605091">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原材料的检验、混合料设计与试验，以及经监理人批准的按照规范所要求的试验路段的全部作业。</w:t>
      </w:r>
    </w:p>
    <w:p w14:paraId="7808FB86">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铺筑前对下承层的检查和清扫、混合料的拌和、运输、摊铺、压实、整型、养护等。</w:t>
      </w:r>
    </w:p>
    <w:p w14:paraId="13AA40FD">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d.</w:t>
      </w:r>
      <w:r>
        <w:rPr>
          <w:rFonts w:hint="eastAsia" w:ascii="宋体" w:hAnsi="宋体"/>
          <w:color w:val="auto"/>
          <w:sz w:val="24"/>
          <w:highlight w:val="none"/>
        </w:rPr>
        <w:t>质量检验所要求的检测、取样和试验等工作。</w:t>
      </w:r>
    </w:p>
    <w:p w14:paraId="34E3D0BF">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按上述规定计量经监理人验收并列入工程量清单的以下支付子目的工程量，将以合同单价支付。此项支付包括一切完成本项工程所必需的全部费用。</w:t>
      </w:r>
    </w:p>
    <w:p w14:paraId="69DBAA38">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6B05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3CEBDAA9">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CCAAE04">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003A2A0C">
            <w:pPr>
              <w:jc w:val="left"/>
              <w:rPr>
                <w:rFonts w:hint="eastAsia" w:ascii="宋体" w:hAnsi="宋体"/>
                <w:color w:val="auto"/>
                <w:sz w:val="24"/>
                <w:highlight w:val="none"/>
              </w:rPr>
            </w:pPr>
            <w:r>
              <w:rPr>
                <w:rFonts w:hint="eastAsia" w:ascii="宋体" w:hAnsi="宋体"/>
                <w:color w:val="auto"/>
                <w:sz w:val="24"/>
                <w:highlight w:val="none"/>
              </w:rPr>
              <w:t>单位</w:t>
            </w:r>
          </w:p>
        </w:tc>
      </w:tr>
      <w:tr w14:paraId="7467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C091770">
            <w:pPr>
              <w:widowControl/>
              <w:jc w:val="left"/>
              <w:rPr>
                <w:rFonts w:ascii="宋体" w:hAnsi="宋体"/>
                <w:color w:val="auto"/>
                <w:sz w:val="24"/>
                <w:highlight w:val="none"/>
              </w:rPr>
            </w:pPr>
            <w:r>
              <w:rPr>
                <w:rFonts w:hint="eastAsia" w:ascii="宋体" w:hAnsi="宋体"/>
                <w:color w:val="auto"/>
                <w:sz w:val="24"/>
                <w:highlight w:val="none"/>
              </w:rPr>
              <w:t>309</w:t>
            </w:r>
          </w:p>
        </w:tc>
        <w:tc>
          <w:tcPr>
            <w:tcW w:w="5400" w:type="dxa"/>
            <w:noWrap w:val="0"/>
            <w:vAlign w:val="center"/>
          </w:tcPr>
          <w:p w14:paraId="3A853C98">
            <w:pPr>
              <w:widowControl/>
              <w:jc w:val="left"/>
              <w:rPr>
                <w:rFonts w:ascii="宋体" w:hAnsi="宋体"/>
                <w:color w:val="auto"/>
                <w:sz w:val="24"/>
                <w:highlight w:val="none"/>
              </w:rPr>
            </w:pPr>
            <w:r>
              <w:rPr>
                <w:rFonts w:hint="eastAsia" w:ascii="宋体" w:hAnsi="宋体"/>
                <w:color w:val="auto"/>
                <w:sz w:val="24"/>
                <w:highlight w:val="none"/>
              </w:rPr>
              <w:t>热拌沥青混合料面层</w:t>
            </w:r>
          </w:p>
        </w:tc>
        <w:tc>
          <w:tcPr>
            <w:tcW w:w="1260" w:type="dxa"/>
            <w:noWrap w:val="0"/>
            <w:vAlign w:val="center"/>
          </w:tcPr>
          <w:p w14:paraId="2956DB4E">
            <w:pPr>
              <w:widowControl/>
              <w:jc w:val="left"/>
              <w:rPr>
                <w:rFonts w:ascii="宋体" w:hAnsi="宋体"/>
                <w:color w:val="auto"/>
                <w:sz w:val="24"/>
                <w:highlight w:val="none"/>
              </w:rPr>
            </w:pPr>
          </w:p>
        </w:tc>
      </w:tr>
      <w:tr w14:paraId="3C3E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F0AA3B3">
            <w:pPr>
              <w:widowControl/>
              <w:jc w:val="left"/>
              <w:rPr>
                <w:rFonts w:ascii="宋体" w:hAnsi="宋体"/>
                <w:color w:val="auto"/>
                <w:sz w:val="24"/>
                <w:highlight w:val="none"/>
              </w:rPr>
            </w:pPr>
            <w:r>
              <w:rPr>
                <w:rFonts w:hint="eastAsia" w:ascii="宋体" w:hAnsi="宋体"/>
                <w:color w:val="auto"/>
                <w:sz w:val="24"/>
                <w:highlight w:val="none"/>
              </w:rPr>
              <w:t>309-3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4EEBCE">
            <w:pPr>
              <w:widowControl/>
              <w:jc w:val="left"/>
              <w:rPr>
                <w:rFonts w:hint="eastAsia" w:ascii="宋体" w:hAnsi="宋体"/>
                <w:color w:val="auto"/>
                <w:sz w:val="24"/>
                <w:highlight w:val="none"/>
              </w:rPr>
            </w:pPr>
            <w:r>
              <w:rPr>
                <w:rFonts w:hint="eastAsia" w:ascii="宋体" w:hAnsi="宋体"/>
                <w:color w:val="auto"/>
                <w:sz w:val="24"/>
                <w:highlight w:val="none"/>
              </w:rPr>
              <w:t>粗粒式沥青混凝土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11AE86">
            <w:pPr>
              <w:widowControl/>
              <w:jc w:val="left"/>
              <w:rPr>
                <w:rFonts w:hint="eastAsia" w:ascii="宋体" w:hAnsi="宋体"/>
                <w:color w:val="auto"/>
                <w:sz w:val="24"/>
                <w:highlight w:val="none"/>
              </w:rPr>
            </w:pPr>
          </w:p>
        </w:tc>
      </w:tr>
      <w:tr w14:paraId="145A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CB4CE23">
            <w:pPr>
              <w:widowControl/>
              <w:jc w:val="left"/>
              <w:rPr>
                <w:rFonts w:hint="eastAsia" w:ascii="宋体" w:hAnsi="宋体"/>
                <w:color w:val="auto"/>
                <w:sz w:val="24"/>
                <w:highlight w:val="none"/>
              </w:rPr>
            </w:pPr>
            <w:r>
              <w:rPr>
                <w:rFonts w:hint="eastAsia" w:ascii="宋体" w:hAnsi="宋体"/>
                <w:color w:val="auto"/>
                <w:sz w:val="24"/>
                <w:highlight w:val="none"/>
              </w:rPr>
              <w:t>309-3-8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50891F0">
            <w:pPr>
              <w:widowControl/>
              <w:jc w:val="left"/>
              <w:rPr>
                <w:rFonts w:hint="eastAsia" w:ascii="宋体" w:hAnsi="宋体"/>
                <w:color w:val="auto"/>
                <w:sz w:val="24"/>
                <w:highlight w:val="none"/>
              </w:rPr>
            </w:pPr>
            <w:r>
              <w:rPr>
                <w:rFonts w:hint="eastAsia" w:ascii="宋体" w:hAnsi="宋体"/>
                <w:color w:val="auto"/>
                <w:sz w:val="24"/>
                <w:highlight w:val="none"/>
              </w:rPr>
              <w:t>厚80mm粗粒式沥青混凝土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846164D">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245C0884">
      <w:pPr>
        <w:spacing w:line="360" w:lineRule="auto"/>
        <w:ind w:right="18"/>
        <w:jc w:val="left"/>
        <w:rPr>
          <w:rFonts w:hint="eastAsia" w:ascii="宋体" w:hAnsi="宋体"/>
          <w:color w:val="auto"/>
          <w:sz w:val="24"/>
          <w:highlight w:val="none"/>
        </w:rPr>
      </w:pPr>
    </w:p>
    <w:p w14:paraId="1E82518E">
      <w:pPr>
        <w:spacing w:line="360" w:lineRule="auto"/>
        <w:ind w:right="18" w:firstLine="480"/>
        <w:jc w:val="center"/>
        <w:rPr>
          <w:rFonts w:hint="eastAsia" w:ascii="宋体" w:hAnsi="宋体"/>
          <w:b/>
          <w:color w:val="auto"/>
          <w:sz w:val="28"/>
          <w:szCs w:val="28"/>
          <w:highlight w:val="none"/>
        </w:rPr>
      </w:pPr>
      <w:r>
        <w:rPr>
          <w:rFonts w:hint="eastAsia" w:ascii="宋体" w:hAnsi="宋体"/>
          <w:b/>
          <w:color w:val="auto"/>
          <w:sz w:val="28"/>
          <w:szCs w:val="28"/>
          <w:highlight w:val="none"/>
        </w:rPr>
        <w:t>第310节   沥青表面处治、封层与其他面层</w:t>
      </w:r>
    </w:p>
    <w:p w14:paraId="0F4630AD">
      <w:pPr>
        <w:spacing w:line="360" w:lineRule="auto"/>
        <w:ind w:right="18" w:firstLine="480" w:firstLineChars="200"/>
        <w:jc w:val="left"/>
        <w:rPr>
          <w:rFonts w:hint="eastAsia" w:ascii="宋体" w:hAnsi="宋体"/>
          <w:bCs/>
          <w:color w:val="auto"/>
          <w:sz w:val="24"/>
          <w:highlight w:val="none"/>
        </w:rPr>
      </w:pPr>
      <w:r>
        <w:rPr>
          <w:rFonts w:hint="eastAsia" w:ascii="宋体" w:hAnsi="宋体"/>
          <w:bCs/>
          <w:color w:val="auto"/>
          <w:sz w:val="24"/>
          <w:highlight w:val="none"/>
        </w:rPr>
        <w:t>1.计量</w:t>
      </w:r>
    </w:p>
    <w:p w14:paraId="3C2BCDC3">
      <w:pPr>
        <w:spacing w:line="360" w:lineRule="auto"/>
        <w:ind w:right="18" w:firstLine="480" w:firstLineChars="200"/>
        <w:jc w:val="left"/>
        <w:rPr>
          <w:rFonts w:hint="eastAsia" w:ascii="宋体" w:hAnsi="宋体"/>
          <w:bCs/>
          <w:color w:val="auto"/>
          <w:sz w:val="24"/>
          <w:highlight w:val="none"/>
        </w:rPr>
      </w:pPr>
      <w:r>
        <w:rPr>
          <w:rFonts w:hint="eastAsia" w:ascii="宋体" w:hAnsi="宋体"/>
          <w:bCs/>
          <w:color w:val="auto"/>
          <w:sz w:val="24"/>
          <w:highlight w:val="none"/>
        </w:rPr>
        <w:t>(1)封层按图纸规定的或监理人指示的喷洒面积，经监理人验收合格，以平方米计量。</w:t>
      </w:r>
    </w:p>
    <w:p w14:paraId="1358D6BF">
      <w:pPr>
        <w:spacing w:line="360" w:lineRule="auto"/>
        <w:ind w:right="18" w:firstLine="480" w:firstLineChars="200"/>
        <w:jc w:val="left"/>
        <w:rPr>
          <w:rFonts w:hint="eastAsia" w:ascii="宋体" w:hAnsi="宋体"/>
          <w:bCs/>
          <w:color w:val="auto"/>
          <w:sz w:val="24"/>
          <w:highlight w:val="none"/>
        </w:rPr>
      </w:pPr>
      <w:r>
        <w:rPr>
          <w:rFonts w:hint="eastAsia" w:ascii="宋体" w:hAnsi="宋体"/>
          <w:bCs/>
          <w:color w:val="auto"/>
          <w:sz w:val="24"/>
          <w:highlight w:val="none"/>
        </w:rPr>
        <w:t>(2)除监理人另有指示外，超过图纸规定的面积不予计量。</w:t>
      </w:r>
    </w:p>
    <w:p w14:paraId="774052BC">
      <w:pPr>
        <w:spacing w:line="360" w:lineRule="auto"/>
        <w:ind w:right="18" w:firstLine="480" w:firstLineChars="200"/>
        <w:jc w:val="left"/>
        <w:rPr>
          <w:rFonts w:hint="eastAsia" w:ascii="宋体" w:hAnsi="宋体"/>
          <w:bCs/>
          <w:color w:val="auto"/>
          <w:sz w:val="24"/>
          <w:highlight w:val="none"/>
        </w:rPr>
      </w:pPr>
      <w:r>
        <w:rPr>
          <w:rFonts w:hint="eastAsia" w:ascii="宋体" w:hAnsi="宋体"/>
          <w:bCs/>
          <w:color w:val="auto"/>
          <w:sz w:val="24"/>
          <w:highlight w:val="none"/>
        </w:rPr>
        <w:t>2.支付</w:t>
      </w:r>
    </w:p>
    <w:p w14:paraId="10825321">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支付费用主要包括下列内容：</w:t>
      </w:r>
    </w:p>
    <w:p w14:paraId="137E2E29">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承包人提供工程所需的材料，使用的工具、设备和劳力等。</w:t>
      </w:r>
    </w:p>
    <w:p w14:paraId="670C729C">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材料的检验、试验，以及按规范规定的全部作业。</w:t>
      </w:r>
    </w:p>
    <w:p w14:paraId="2093C030">
      <w:pPr>
        <w:spacing w:line="360" w:lineRule="auto"/>
        <w:ind w:right="18" w:firstLine="525"/>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喷洒前对层面的检查和清扫，材料的加热、运输、喷洒、养护等工作。</w:t>
      </w:r>
    </w:p>
    <w:p w14:paraId="67FD82B1">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bCs/>
          <w:color w:val="auto"/>
          <w:sz w:val="24"/>
          <w:highlight w:val="none"/>
        </w:rPr>
        <w:t>按上述规定计量，经监理人验收并列入工程量清单的以下支付子目的工程量，将以合同单价支付。此项支付包括一切为完成本项工程所必需的全部费用。</w:t>
      </w:r>
    </w:p>
    <w:p w14:paraId="0F57D73E">
      <w:pPr>
        <w:spacing w:line="360" w:lineRule="auto"/>
        <w:ind w:right="18" w:firstLine="470" w:firstLineChars="196"/>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2257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085D9C8">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F2B9A1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51395A8">
            <w:pPr>
              <w:jc w:val="left"/>
              <w:rPr>
                <w:rFonts w:hint="eastAsia" w:ascii="宋体" w:hAnsi="宋体"/>
                <w:color w:val="auto"/>
                <w:sz w:val="24"/>
                <w:highlight w:val="none"/>
              </w:rPr>
            </w:pPr>
            <w:r>
              <w:rPr>
                <w:rFonts w:hint="eastAsia" w:ascii="宋体" w:hAnsi="宋体"/>
                <w:color w:val="auto"/>
                <w:sz w:val="24"/>
                <w:highlight w:val="none"/>
              </w:rPr>
              <w:t>单位</w:t>
            </w:r>
          </w:p>
        </w:tc>
      </w:tr>
      <w:tr w14:paraId="596B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69FBCDE">
            <w:pPr>
              <w:widowControl/>
              <w:jc w:val="left"/>
              <w:rPr>
                <w:rFonts w:ascii="宋体" w:hAnsi="宋体"/>
                <w:color w:val="auto"/>
                <w:sz w:val="24"/>
                <w:highlight w:val="none"/>
              </w:rPr>
            </w:pPr>
            <w:r>
              <w:rPr>
                <w:rFonts w:hint="eastAsia" w:ascii="宋体" w:hAnsi="宋体"/>
                <w:color w:val="auto"/>
                <w:sz w:val="24"/>
                <w:highlight w:val="none"/>
              </w:rPr>
              <w:t>310</w:t>
            </w:r>
          </w:p>
        </w:tc>
        <w:tc>
          <w:tcPr>
            <w:tcW w:w="5400" w:type="dxa"/>
            <w:noWrap w:val="0"/>
            <w:vAlign w:val="center"/>
          </w:tcPr>
          <w:p w14:paraId="0159B36B">
            <w:pPr>
              <w:widowControl/>
              <w:jc w:val="left"/>
              <w:rPr>
                <w:rFonts w:ascii="宋体" w:hAnsi="宋体"/>
                <w:color w:val="auto"/>
                <w:sz w:val="24"/>
                <w:highlight w:val="none"/>
              </w:rPr>
            </w:pPr>
            <w:r>
              <w:rPr>
                <w:rFonts w:hint="eastAsia" w:ascii="宋体" w:hAnsi="宋体"/>
                <w:color w:val="auto"/>
                <w:sz w:val="24"/>
                <w:highlight w:val="none"/>
              </w:rPr>
              <w:t>沥青表面处治、封层及其他面层</w:t>
            </w:r>
          </w:p>
        </w:tc>
        <w:tc>
          <w:tcPr>
            <w:tcW w:w="1260" w:type="dxa"/>
            <w:noWrap w:val="0"/>
            <w:vAlign w:val="center"/>
          </w:tcPr>
          <w:p w14:paraId="1F25B153">
            <w:pPr>
              <w:widowControl/>
              <w:jc w:val="left"/>
              <w:rPr>
                <w:rFonts w:ascii="宋体" w:hAnsi="宋体"/>
                <w:color w:val="auto"/>
                <w:sz w:val="24"/>
                <w:highlight w:val="none"/>
              </w:rPr>
            </w:pPr>
          </w:p>
        </w:tc>
      </w:tr>
      <w:tr w14:paraId="3B26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FF4854D">
            <w:pPr>
              <w:widowControl/>
              <w:jc w:val="left"/>
              <w:rPr>
                <w:rFonts w:ascii="宋体" w:hAnsi="宋体"/>
                <w:color w:val="auto"/>
                <w:sz w:val="24"/>
                <w:highlight w:val="none"/>
              </w:rPr>
            </w:pPr>
            <w:r>
              <w:rPr>
                <w:rFonts w:hint="eastAsia" w:ascii="宋体" w:hAnsi="宋体"/>
                <w:color w:val="auto"/>
                <w:sz w:val="24"/>
                <w:highlight w:val="none"/>
              </w:rPr>
              <w:t>310-2</w:t>
            </w:r>
          </w:p>
        </w:tc>
        <w:tc>
          <w:tcPr>
            <w:tcW w:w="5400" w:type="dxa"/>
            <w:noWrap w:val="0"/>
            <w:vAlign w:val="center"/>
          </w:tcPr>
          <w:p w14:paraId="283154DD">
            <w:pPr>
              <w:widowControl/>
              <w:jc w:val="left"/>
              <w:rPr>
                <w:rFonts w:ascii="宋体" w:hAnsi="宋体"/>
                <w:color w:val="auto"/>
                <w:sz w:val="24"/>
                <w:highlight w:val="none"/>
              </w:rPr>
            </w:pPr>
            <w:r>
              <w:rPr>
                <w:rFonts w:hint="eastAsia" w:ascii="宋体" w:hAnsi="宋体"/>
                <w:color w:val="auto"/>
                <w:sz w:val="24"/>
                <w:highlight w:val="none"/>
              </w:rPr>
              <w:t>封层</w:t>
            </w:r>
          </w:p>
        </w:tc>
        <w:tc>
          <w:tcPr>
            <w:tcW w:w="1260" w:type="dxa"/>
            <w:noWrap w:val="0"/>
            <w:vAlign w:val="center"/>
          </w:tcPr>
          <w:p w14:paraId="6B14E47C">
            <w:pPr>
              <w:widowControl/>
              <w:jc w:val="left"/>
              <w:rPr>
                <w:rFonts w:ascii="宋体" w:hAnsi="宋体"/>
                <w:color w:val="auto"/>
                <w:sz w:val="24"/>
                <w:highlight w:val="none"/>
              </w:rPr>
            </w:pPr>
          </w:p>
        </w:tc>
      </w:tr>
      <w:tr w14:paraId="20B8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2E11CE1">
            <w:pPr>
              <w:widowControl/>
              <w:jc w:val="left"/>
              <w:rPr>
                <w:rFonts w:ascii="宋体" w:hAnsi="宋体"/>
                <w:color w:val="auto"/>
                <w:sz w:val="24"/>
                <w:highlight w:val="none"/>
              </w:rPr>
            </w:pPr>
            <w:r>
              <w:rPr>
                <w:rFonts w:hint="eastAsia" w:ascii="宋体" w:hAnsi="宋体"/>
                <w:color w:val="auto"/>
                <w:sz w:val="24"/>
                <w:highlight w:val="none"/>
              </w:rPr>
              <w:t>310-2-3</w:t>
            </w:r>
          </w:p>
        </w:tc>
        <w:tc>
          <w:tcPr>
            <w:tcW w:w="5400" w:type="dxa"/>
            <w:noWrap w:val="0"/>
            <w:vAlign w:val="center"/>
          </w:tcPr>
          <w:p w14:paraId="5B4B8DE4">
            <w:pPr>
              <w:widowControl/>
              <w:jc w:val="left"/>
              <w:rPr>
                <w:rFonts w:ascii="宋体" w:hAnsi="宋体"/>
                <w:color w:val="auto"/>
                <w:sz w:val="24"/>
                <w:highlight w:val="none"/>
              </w:rPr>
            </w:pPr>
            <w:r>
              <w:rPr>
                <w:rFonts w:hint="eastAsia" w:ascii="宋体" w:hAnsi="宋体"/>
                <w:color w:val="auto"/>
                <w:sz w:val="24"/>
                <w:highlight w:val="none"/>
              </w:rPr>
              <w:t>稀浆封层</w:t>
            </w:r>
          </w:p>
        </w:tc>
        <w:tc>
          <w:tcPr>
            <w:tcW w:w="1260" w:type="dxa"/>
            <w:noWrap w:val="0"/>
            <w:vAlign w:val="center"/>
          </w:tcPr>
          <w:p w14:paraId="0E81DE1C">
            <w:pPr>
              <w:widowControl/>
              <w:jc w:val="left"/>
              <w:rPr>
                <w:rFonts w:ascii="宋体" w:hAnsi="宋体"/>
                <w:color w:val="auto"/>
                <w:sz w:val="24"/>
                <w:highlight w:val="none"/>
              </w:rPr>
            </w:pPr>
            <w:r>
              <w:rPr>
                <w:rFonts w:hint="eastAsia" w:ascii="宋体" w:hAnsi="宋体"/>
                <w:color w:val="auto"/>
                <w:sz w:val="24"/>
                <w:highlight w:val="none"/>
              </w:rPr>
              <w:t>m2</w:t>
            </w:r>
          </w:p>
        </w:tc>
      </w:tr>
    </w:tbl>
    <w:p w14:paraId="6E488A20">
      <w:pPr>
        <w:spacing w:line="360" w:lineRule="auto"/>
        <w:jc w:val="left"/>
        <w:rPr>
          <w:rFonts w:hint="eastAsia" w:ascii="宋体" w:hAnsi="宋体"/>
          <w:b/>
          <w:bCs/>
          <w:color w:val="auto"/>
          <w:sz w:val="28"/>
          <w:szCs w:val="28"/>
          <w:highlight w:val="none"/>
        </w:rPr>
      </w:pPr>
    </w:p>
    <w:p w14:paraId="7B594439">
      <w:pPr>
        <w:spacing w:line="360" w:lineRule="auto"/>
        <w:ind w:right="18" w:firstLine="480"/>
        <w:jc w:val="center"/>
        <w:rPr>
          <w:rFonts w:hint="eastAsia" w:ascii="宋体" w:hAnsi="宋体"/>
          <w:b/>
          <w:color w:val="auto"/>
          <w:sz w:val="28"/>
          <w:szCs w:val="28"/>
          <w:highlight w:val="none"/>
        </w:rPr>
      </w:pPr>
      <w:r>
        <w:rPr>
          <w:rFonts w:hint="eastAsia" w:ascii="宋体" w:hAnsi="宋体"/>
          <w:b/>
          <w:color w:val="auto"/>
          <w:sz w:val="28"/>
          <w:szCs w:val="28"/>
          <w:highlight w:val="none"/>
        </w:rPr>
        <w:t>第311节   改性沥青及改性沥青混合料</w:t>
      </w:r>
    </w:p>
    <w:p w14:paraId="567A2A42">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1.计量</w:t>
      </w:r>
    </w:p>
    <w:p w14:paraId="4D2AC5AD">
      <w:pPr>
        <w:spacing w:line="360" w:lineRule="auto"/>
        <w:ind w:right="17" w:firstLine="482"/>
        <w:jc w:val="left"/>
        <w:rPr>
          <w:rFonts w:hint="eastAsia" w:ascii="宋体" w:hAnsi="宋体"/>
          <w:color w:val="auto"/>
          <w:sz w:val="24"/>
          <w:highlight w:val="none"/>
        </w:rPr>
      </w:pPr>
      <w:r>
        <w:rPr>
          <w:rFonts w:hint="eastAsia" w:ascii="宋体" w:hAnsi="宋体"/>
          <w:color w:val="auto"/>
          <w:sz w:val="24"/>
          <w:highlight w:val="none"/>
        </w:rPr>
        <w:t>(1)改性沥青混合料按图纸要求及监理人的指示分中、细粒式沥青混合料和不同厚度分别以平方米计量。除监理人另有指示外，超过图纸所规定的面积均不予计量。土工格栅按图纸要求及监理人指示的数量以平方米计量。</w:t>
      </w:r>
    </w:p>
    <w:p w14:paraId="27B6A464">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2.支付</w:t>
      </w:r>
    </w:p>
    <w:p w14:paraId="1F2C5FBB">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费用的支付，主要包括以下内容：</w:t>
      </w:r>
    </w:p>
    <w:p w14:paraId="0A5B9199">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承包人提供工程所需的材料、机具、设备和劳力等。</w:t>
      </w:r>
    </w:p>
    <w:p w14:paraId="16677981">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原材料的检验，混合料设计与试验，以及经监理人批准的按照规范所要求的试验路段的全部作业。</w:t>
      </w:r>
    </w:p>
    <w:p w14:paraId="364C01DB">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铺筑前对下承层的检查和清扫、材料的拌和、运输、摊铺、压实、整型、养护等。</w:t>
      </w:r>
    </w:p>
    <w:p w14:paraId="778C4B3D">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d.</w:t>
      </w:r>
      <w:r>
        <w:rPr>
          <w:rFonts w:hint="eastAsia" w:ascii="宋体" w:hAnsi="宋体"/>
          <w:color w:val="auto"/>
          <w:sz w:val="24"/>
          <w:highlight w:val="none"/>
        </w:rPr>
        <w:t>质量检验所要求的检测、取样和试验等。</w:t>
      </w:r>
    </w:p>
    <w:p w14:paraId="064B89C2">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按上述规定计量，经监理人验收并列入工程量清单的以下支付子目的工程量，其每一计量单位，将以合同单价支付。此项支付包括一切为完成本项工程所必需的全部费用。</w:t>
      </w:r>
    </w:p>
    <w:p w14:paraId="1CE7079E">
      <w:pPr>
        <w:spacing w:line="360" w:lineRule="auto"/>
        <w:ind w:right="18" w:firstLine="470" w:firstLineChars="196"/>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E49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FA00E32">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3735FFF">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5B983EF4">
            <w:pPr>
              <w:jc w:val="left"/>
              <w:rPr>
                <w:rFonts w:hint="eastAsia" w:ascii="宋体" w:hAnsi="宋体"/>
                <w:color w:val="auto"/>
                <w:sz w:val="24"/>
                <w:highlight w:val="none"/>
              </w:rPr>
            </w:pPr>
            <w:r>
              <w:rPr>
                <w:rFonts w:hint="eastAsia" w:ascii="宋体" w:hAnsi="宋体"/>
                <w:color w:val="auto"/>
                <w:sz w:val="24"/>
                <w:highlight w:val="none"/>
              </w:rPr>
              <w:t>单位</w:t>
            </w:r>
          </w:p>
        </w:tc>
      </w:tr>
      <w:tr w14:paraId="5E2D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350A947">
            <w:pPr>
              <w:widowControl/>
              <w:jc w:val="left"/>
              <w:rPr>
                <w:rFonts w:ascii="宋体" w:hAnsi="宋体"/>
                <w:color w:val="auto"/>
                <w:sz w:val="24"/>
                <w:highlight w:val="none"/>
              </w:rPr>
            </w:pPr>
            <w:r>
              <w:rPr>
                <w:rFonts w:hint="eastAsia" w:ascii="宋体" w:hAnsi="宋体"/>
                <w:color w:val="auto"/>
                <w:sz w:val="24"/>
                <w:highlight w:val="none"/>
              </w:rPr>
              <w:t>311</w:t>
            </w:r>
          </w:p>
        </w:tc>
        <w:tc>
          <w:tcPr>
            <w:tcW w:w="5400" w:type="dxa"/>
            <w:noWrap w:val="0"/>
            <w:vAlign w:val="center"/>
          </w:tcPr>
          <w:p w14:paraId="06BA15E3">
            <w:pPr>
              <w:widowControl/>
              <w:jc w:val="left"/>
              <w:rPr>
                <w:rFonts w:ascii="宋体" w:hAnsi="宋体"/>
                <w:color w:val="auto"/>
                <w:sz w:val="24"/>
                <w:highlight w:val="none"/>
              </w:rPr>
            </w:pPr>
            <w:r>
              <w:rPr>
                <w:rFonts w:hint="eastAsia" w:ascii="宋体" w:hAnsi="宋体"/>
                <w:color w:val="auto"/>
                <w:sz w:val="24"/>
                <w:highlight w:val="none"/>
              </w:rPr>
              <w:t>改性沥青及改性沥青混合料</w:t>
            </w:r>
          </w:p>
        </w:tc>
        <w:tc>
          <w:tcPr>
            <w:tcW w:w="1260" w:type="dxa"/>
            <w:noWrap w:val="0"/>
            <w:vAlign w:val="center"/>
          </w:tcPr>
          <w:p w14:paraId="17E43A5A">
            <w:pPr>
              <w:widowControl/>
              <w:jc w:val="left"/>
              <w:rPr>
                <w:rFonts w:ascii="宋体" w:hAnsi="宋体"/>
                <w:color w:val="auto"/>
                <w:sz w:val="24"/>
                <w:highlight w:val="none"/>
              </w:rPr>
            </w:pPr>
          </w:p>
        </w:tc>
      </w:tr>
      <w:tr w14:paraId="1B02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FA506CB">
            <w:pPr>
              <w:widowControl/>
              <w:jc w:val="left"/>
              <w:rPr>
                <w:rFonts w:ascii="宋体" w:hAnsi="宋体"/>
                <w:color w:val="auto"/>
                <w:sz w:val="24"/>
                <w:highlight w:val="none"/>
              </w:rPr>
            </w:pPr>
            <w:r>
              <w:rPr>
                <w:rFonts w:hint="eastAsia" w:ascii="宋体" w:hAnsi="宋体"/>
                <w:color w:val="auto"/>
                <w:sz w:val="24"/>
                <w:highlight w:val="none"/>
              </w:rPr>
              <w:t>311-1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5713430">
            <w:pPr>
              <w:widowControl/>
              <w:jc w:val="left"/>
              <w:rPr>
                <w:rFonts w:hint="eastAsia" w:ascii="宋体" w:hAnsi="宋体"/>
                <w:color w:val="auto"/>
                <w:sz w:val="24"/>
                <w:highlight w:val="none"/>
              </w:rPr>
            </w:pPr>
            <w:r>
              <w:rPr>
                <w:rFonts w:hint="eastAsia" w:ascii="宋体" w:hAnsi="宋体"/>
                <w:color w:val="auto"/>
                <w:sz w:val="24"/>
                <w:highlight w:val="none"/>
              </w:rPr>
              <w:t>细粒式改性沥青混合料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7F203E">
            <w:pPr>
              <w:widowControl/>
              <w:jc w:val="left"/>
              <w:rPr>
                <w:rFonts w:hint="eastAsia" w:ascii="宋体" w:hAnsi="宋体"/>
                <w:color w:val="auto"/>
                <w:sz w:val="24"/>
                <w:highlight w:val="none"/>
              </w:rPr>
            </w:pPr>
          </w:p>
        </w:tc>
      </w:tr>
      <w:tr w14:paraId="25CA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76F289E">
            <w:pPr>
              <w:widowControl/>
              <w:jc w:val="left"/>
              <w:rPr>
                <w:rFonts w:hint="eastAsia" w:ascii="宋体" w:hAnsi="宋体"/>
                <w:color w:val="auto"/>
                <w:sz w:val="24"/>
                <w:highlight w:val="none"/>
              </w:rPr>
            </w:pPr>
            <w:r>
              <w:rPr>
                <w:rFonts w:hint="eastAsia" w:ascii="宋体" w:hAnsi="宋体"/>
                <w:color w:val="auto"/>
                <w:sz w:val="24"/>
                <w:highlight w:val="none"/>
              </w:rPr>
              <w:t>311-1-4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009C838">
            <w:pPr>
              <w:widowControl/>
              <w:jc w:val="left"/>
              <w:rPr>
                <w:rFonts w:hint="eastAsia" w:ascii="宋体" w:hAnsi="宋体"/>
                <w:color w:val="auto"/>
                <w:sz w:val="24"/>
                <w:highlight w:val="none"/>
              </w:rPr>
            </w:pPr>
            <w:r>
              <w:rPr>
                <w:rFonts w:hint="eastAsia" w:ascii="宋体" w:hAnsi="宋体"/>
                <w:color w:val="auto"/>
                <w:sz w:val="24"/>
                <w:highlight w:val="none"/>
              </w:rPr>
              <w:t>厚40mm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4D34B1">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497C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63B3E48">
            <w:pPr>
              <w:widowControl/>
              <w:jc w:val="left"/>
              <w:rPr>
                <w:rFonts w:hint="eastAsia" w:ascii="宋体" w:hAnsi="宋体"/>
                <w:color w:val="auto"/>
                <w:sz w:val="24"/>
                <w:highlight w:val="none"/>
              </w:rPr>
            </w:pPr>
            <w:r>
              <w:rPr>
                <w:rFonts w:hint="eastAsia" w:ascii="宋体" w:hAnsi="宋体"/>
                <w:color w:val="auto"/>
                <w:sz w:val="24"/>
                <w:highlight w:val="none"/>
              </w:rPr>
              <w:t>311-2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59CCBD">
            <w:pPr>
              <w:widowControl/>
              <w:jc w:val="left"/>
              <w:rPr>
                <w:rFonts w:hint="eastAsia" w:ascii="宋体" w:hAnsi="宋体"/>
                <w:color w:val="auto"/>
                <w:sz w:val="24"/>
                <w:highlight w:val="none"/>
              </w:rPr>
            </w:pPr>
            <w:r>
              <w:rPr>
                <w:rFonts w:hint="eastAsia" w:ascii="宋体" w:hAnsi="宋体"/>
                <w:color w:val="auto"/>
                <w:sz w:val="24"/>
                <w:highlight w:val="none"/>
              </w:rPr>
              <w:t>中粒式改性沥青混合料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2E6CD3">
            <w:pPr>
              <w:widowControl/>
              <w:jc w:val="left"/>
              <w:rPr>
                <w:rFonts w:hint="eastAsia" w:ascii="宋体" w:hAnsi="宋体"/>
                <w:color w:val="auto"/>
                <w:sz w:val="24"/>
                <w:highlight w:val="none"/>
              </w:rPr>
            </w:pPr>
          </w:p>
        </w:tc>
      </w:tr>
      <w:tr w14:paraId="2FD9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1DF371E">
            <w:pPr>
              <w:widowControl/>
              <w:jc w:val="left"/>
              <w:rPr>
                <w:rFonts w:hint="eastAsia" w:ascii="宋体" w:hAnsi="宋体"/>
                <w:color w:val="auto"/>
                <w:sz w:val="24"/>
                <w:highlight w:val="none"/>
              </w:rPr>
            </w:pPr>
            <w:r>
              <w:rPr>
                <w:rFonts w:hint="eastAsia" w:ascii="宋体" w:hAnsi="宋体"/>
                <w:color w:val="auto"/>
                <w:sz w:val="24"/>
                <w:highlight w:val="none"/>
              </w:rPr>
              <w:t>311-2-6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1454030">
            <w:pPr>
              <w:widowControl/>
              <w:jc w:val="left"/>
              <w:rPr>
                <w:rFonts w:hint="eastAsia" w:ascii="宋体" w:hAnsi="宋体"/>
                <w:color w:val="auto"/>
                <w:sz w:val="24"/>
                <w:highlight w:val="none"/>
              </w:rPr>
            </w:pPr>
            <w:r>
              <w:rPr>
                <w:rFonts w:hint="eastAsia" w:ascii="宋体" w:hAnsi="宋体"/>
                <w:color w:val="auto"/>
                <w:sz w:val="24"/>
                <w:highlight w:val="none"/>
              </w:rPr>
              <w:t>厚60mm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3CD038">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7D9CD18B">
      <w:pPr>
        <w:spacing w:line="360" w:lineRule="auto"/>
        <w:ind w:right="18" w:firstLine="470" w:firstLineChars="196"/>
        <w:jc w:val="left"/>
        <w:rPr>
          <w:rFonts w:hint="eastAsia" w:ascii="宋体" w:hAnsi="宋体"/>
          <w:color w:val="auto"/>
          <w:sz w:val="24"/>
          <w:highlight w:val="none"/>
        </w:rPr>
      </w:pPr>
    </w:p>
    <w:p w14:paraId="7EC77907">
      <w:pPr>
        <w:spacing w:line="360" w:lineRule="auto"/>
        <w:ind w:right="18" w:firstLine="480"/>
        <w:jc w:val="center"/>
        <w:rPr>
          <w:rFonts w:hint="eastAsia" w:ascii="宋体" w:hAnsi="宋体"/>
          <w:b/>
          <w:color w:val="auto"/>
          <w:sz w:val="28"/>
          <w:szCs w:val="28"/>
          <w:highlight w:val="none"/>
        </w:rPr>
      </w:pPr>
      <w:r>
        <w:rPr>
          <w:rFonts w:hint="eastAsia" w:ascii="宋体" w:hAnsi="宋体"/>
          <w:b/>
          <w:color w:val="auto"/>
          <w:sz w:val="28"/>
          <w:szCs w:val="28"/>
          <w:highlight w:val="none"/>
        </w:rPr>
        <w:t>第312节   水泥混凝土面板</w:t>
      </w:r>
    </w:p>
    <w:p w14:paraId="50DC1266">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1.计量</w:t>
      </w:r>
    </w:p>
    <w:p w14:paraId="035D548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(1)水泥混凝土、钢纤维混凝土、碾压混凝土面板按图纸和监理人指示铺筑的面积、经监理人验收合格，按不同厚度以平方米计量。除监理人另有指示外，任何超过图纸所规定的尺寸的计算面积，均不予计量。</w:t>
      </w:r>
    </w:p>
    <w:p w14:paraId="6DFE1F7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(2)水泥混凝土路面的补强钢筋及拉杆、传力杆、钢筋网等钢筋按图纸要求设置，经监理人现场验收后以重量千克计量。应搭接而增加的钢筋作为附属工程不予计量。</w:t>
      </w:r>
    </w:p>
    <w:p w14:paraId="0016E313">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(3)接缝材料、外掺剂等未列入支付子目中的其他材料均含入水泥混凝土路面单价之中，不单独计量与支付。</w:t>
      </w:r>
    </w:p>
    <w:p w14:paraId="06B55B44">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2.支付</w:t>
      </w:r>
    </w:p>
    <w:p w14:paraId="7CE02224">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费用的支付，主要包括以下内容：</w:t>
      </w:r>
    </w:p>
    <w:p w14:paraId="2FE9F580">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a.</w:t>
      </w:r>
      <w:r>
        <w:rPr>
          <w:rFonts w:hint="eastAsia" w:ascii="宋体" w:hAnsi="宋体"/>
          <w:color w:val="auto"/>
          <w:sz w:val="24"/>
          <w:highlight w:val="none"/>
        </w:rPr>
        <w:t>承包人提供工程所需的材料、机具、设备和劳力等。</w:t>
      </w:r>
    </w:p>
    <w:p w14:paraId="4EA8CA9A">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原材料的检验，混合料设计与试验，以及经监理人批准的按照规范所要求的试验路段的全部作业。</w:t>
      </w:r>
    </w:p>
    <w:p w14:paraId="191E7428">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c.</w:t>
      </w:r>
      <w:r>
        <w:rPr>
          <w:rFonts w:hint="eastAsia" w:ascii="宋体" w:hAnsi="宋体"/>
          <w:color w:val="auto"/>
          <w:sz w:val="24"/>
          <w:highlight w:val="none"/>
        </w:rPr>
        <w:t>铺筑混凝土面板前对基层的检查和清扫、混凝土混合料的拌和、运输、摊铺、终饰、接缝、养护等。</w:t>
      </w:r>
    </w:p>
    <w:p w14:paraId="1A5A6CD4">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d.</w:t>
      </w:r>
      <w:r>
        <w:rPr>
          <w:rFonts w:hint="eastAsia" w:ascii="宋体" w:hAnsi="宋体"/>
          <w:color w:val="auto"/>
          <w:sz w:val="24"/>
          <w:highlight w:val="none"/>
        </w:rPr>
        <w:t>质量检验所要求的检测、取样和试验等。</w:t>
      </w:r>
    </w:p>
    <w:p w14:paraId="3BCE183D">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按上述规定计量，经监理人验收并列入工程量清单的以下支付子目的工程量，其每一计量单位，将以合同单价支付。此项支付包括一切为完成本项工程所必需的全部费用。</w:t>
      </w:r>
    </w:p>
    <w:p w14:paraId="09B67872">
      <w:pPr>
        <w:spacing w:line="360" w:lineRule="auto"/>
        <w:ind w:right="18" w:firstLine="470" w:firstLineChars="196"/>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DE2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8C981A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421161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62EE465E">
            <w:pPr>
              <w:jc w:val="left"/>
              <w:rPr>
                <w:rFonts w:hint="eastAsia" w:ascii="宋体" w:hAnsi="宋体"/>
                <w:color w:val="auto"/>
                <w:sz w:val="24"/>
                <w:highlight w:val="none"/>
              </w:rPr>
            </w:pPr>
            <w:r>
              <w:rPr>
                <w:rFonts w:hint="eastAsia" w:ascii="宋体" w:hAnsi="宋体"/>
                <w:color w:val="auto"/>
                <w:sz w:val="24"/>
                <w:highlight w:val="none"/>
              </w:rPr>
              <w:t>单位</w:t>
            </w:r>
          </w:p>
        </w:tc>
      </w:tr>
      <w:tr w14:paraId="383E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784A8A8">
            <w:pPr>
              <w:widowControl/>
              <w:jc w:val="left"/>
              <w:rPr>
                <w:rFonts w:ascii="宋体" w:hAnsi="宋体"/>
                <w:color w:val="auto"/>
                <w:sz w:val="24"/>
                <w:highlight w:val="none"/>
              </w:rPr>
            </w:pPr>
            <w:r>
              <w:rPr>
                <w:rFonts w:hint="eastAsia" w:ascii="宋体" w:hAnsi="宋体"/>
                <w:color w:val="auto"/>
                <w:sz w:val="24"/>
                <w:highlight w:val="none"/>
              </w:rPr>
              <w:t>312</w:t>
            </w:r>
          </w:p>
        </w:tc>
        <w:tc>
          <w:tcPr>
            <w:tcW w:w="5400" w:type="dxa"/>
            <w:noWrap w:val="0"/>
            <w:vAlign w:val="center"/>
          </w:tcPr>
          <w:p w14:paraId="38EE893D">
            <w:pPr>
              <w:widowControl/>
              <w:jc w:val="left"/>
              <w:rPr>
                <w:rFonts w:ascii="宋体" w:hAnsi="宋体"/>
                <w:color w:val="auto"/>
                <w:sz w:val="24"/>
                <w:highlight w:val="none"/>
              </w:rPr>
            </w:pPr>
            <w:r>
              <w:rPr>
                <w:rFonts w:hint="eastAsia" w:ascii="宋体" w:hAnsi="宋体"/>
                <w:color w:val="auto"/>
                <w:sz w:val="24"/>
                <w:highlight w:val="none"/>
              </w:rPr>
              <w:t>水泥混凝土面板</w:t>
            </w:r>
          </w:p>
        </w:tc>
        <w:tc>
          <w:tcPr>
            <w:tcW w:w="1260" w:type="dxa"/>
            <w:noWrap w:val="0"/>
            <w:vAlign w:val="center"/>
          </w:tcPr>
          <w:p w14:paraId="000911AF">
            <w:pPr>
              <w:widowControl/>
              <w:jc w:val="left"/>
              <w:rPr>
                <w:rFonts w:ascii="宋体" w:hAnsi="宋体"/>
                <w:color w:val="auto"/>
                <w:sz w:val="24"/>
                <w:highlight w:val="none"/>
              </w:rPr>
            </w:pPr>
          </w:p>
        </w:tc>
      </w:tr>
      <w:tr w14:paraId="0920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83A74EE">
            <w:pPr>
              <w:widowControl/>
              <w:jc w:val="left"/>
              <w:rPr>
                <w:rFonts w:ascii="宋体" w:hAnsi="宋体"/>
                <w:color w:val="auto"/>
                <w:sz w:val="24"/>
                <w:highlight w:val="none"/>
              </w:rPr>
            </w:pPr>
            <w:r>
              <w:rPr>
                <w:rFonts w:hint="eastAsia" w:ascii="宋体" w:hAnsi="宋体"/>
                <w:color w:val="auto"/>
                <w:sz w:val="24"/>
                <w:highlight w:val="none"/>
              </w:rPr>
              <w:t>312-1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BF5FA4">
            <w:pPr>
              <w:widowControl/>
              <w:jc w:val="left"/>
              <w:rPr>
                <w:rFonts w:hint="eastAsia" w:ascii="宋体" w:hAnsi="宋体"/>
                <w:color w:val="auto"/>
                <w:sz w:val="24"/>
                <w:highlight w:val="none"/>
              </w:rPr>
            </w:pPr>
            <w:r>
              <w:rPr>
                <w:rFonts w:hint="eastAsia" w:ascii="宋体" w:hAnsi="宋体"/>
                <w:color w:val="auto"/>
                <w:sz w:val="24"/>
                <w:highlight w:val="none"/>
              </w:rPr>
              <w:t>普通水泥混凝土面板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F13010">
            <w:pPr>
              <w:widowControl/>
              <w:jc w:val="left"/>
              <w:rPr>
                <w:rFonts w:hint="eastAsia" w:ascii="宋体" w:hAnsi="宋体"/>
                <w:color w:val="auto"/>
                <w:sz w:val="24"/>
                <w:highlight w:val="none"/>
              </w:rPr>
            </w:pPr>
          </w:p>
        </w:tc>
      </w:tr>
      <w:tr w14:paraId="37F8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BE6B147">
            <w:pPr>
              <w:widowControl/>
              <w:jc w:val="left"/>
              <w:rPr>
                <w:rFonts w:hint="eastAsia" w:ascii="宋体" w:hAnsi="宋体"/>
                <w:color w:val="auto"/>
                <w:sz w:val="24"/>
                <w:highlight w:val="none"/>
              </w:rPr>
            </w:pPr>
            <w:r>
              <w:rPr>
                <w:rFonts w:hint="eastAsia" w:ascii="宋体" w:hAnsi="宋体"/>
                <w:color w:val="auto"/>
                <w:sz w:val="24"/>
                <w:highlight w:val="none"/>
              </w:rPr>
              <w:t>312-1-17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2476A2">
            <w:pPr>
              <w:widowControl/>
              <w:jc w:val="left"/>
              <w:rPr>
                <w:rFonts w:hint="eastAsia" w:ascii="宋体" w:hAnsi="宋体"/>
                <w:color w:val="auto"/>
                <w:sz w:val="24"/>
                <w:highlight w:val="none"/>
              </w:rPr>
            </w:pPr>
            <w:r>
              <w:rPr>
                <w:rFonts w:hint="eastAsia" w:ascii="宋体" w:hAnsi="宋体"/>
                <w:color w:val="auto"/>
                <w:sz w:val="24"/>
                <w:highlight w:val="none"/>
              </w:rPr>
              <w:t>厚350mmC35埋板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F55FB5">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112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28A2C6D">
            <w:pPr>
              <w:widowControl/>
              <w:jc w:val="left"/>
              <w:rPr>
                <w:rFonts w:hint="eastAsia" w:ascii="宋体" w:hAnsi="宋体"/>
                <w:color w:val="auto"/>
                <w:sz w:val="24"/>
                <w:highlight w:val="none"/>
              </w:rPr>
            </w:pPr>
            <w:r>
              <w:rPr>
                <w:rFonts w:hint="eastAsia" w:ascii="宋体" w:hAnsi="宋体"/>
                <w:color w:val="auto"/>
                <w:sz w:val="24"/>
                <w:highlight w:val="none"/>
              </w:rPr>
              <w:t>312-2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5081CF">
            <w:pPr>
              <w:widowControl/>
              <w:jc w:val="left"/>
              <w:rPr>
                <w:rFonts w:hint="eastAsia" w:ascii="宋体" w:hAnsi="宋体"/>
                <w:color w:val="auto"/>
                <w:sz w:val="24"/>
                <w:highlight w:val="none"/>
              </w:rPr>
            </w:pPr>
            <w:r>
              <w:rPr>
                <w:rFonts w:hint="eastAsia" w:ascii="宋体" w:hAnsi="宋体"/>
                <w:color w:val="auto"/>
                <w:sz w:val="24"/>
                <w:highlight w:val="none"/>
              </w:rPr>
              <w:t>混凝土路面钢筋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EC77FB">
            <w:pPr>
              <w:widowControl/>
              <w:jc w:val="left"/>
              <w:rPr>
                <w:rFonts w:hint="eastAsia" w:ascii="宋体" w:hAnsi="宋体"/>
                <w:color w:val="auto"/>
                <w:sz w:val="24"/>
                <w:highlight w:val="none"/>
              </w:rPr>
            </w:pPr>
          </w:p>
        </w:tc>
      </w:tr>
      <w:tr w14:paraId="6921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7B522CF">
            <w:pPr>
              <w:widowControl/>
              <w:jc w:val="left"/>
              <w:rPr>
                <w:rFonts w:hint="eastAsia" w:ascii="宋体" w:hAnsi="宋体"/>
                <w:color w:val="auto"/>
                <w:sz w:val="24"/>
                <w:highlight w:val="none"/>
              </w:rPr>
            </w:pPr>
            <w:r>
              <w:rPr>
                <w:rFonts w:hint="eastAsia" w:ascii="宋体" w:hAnsi="宋体"/>
                <w:color w:val="auto"/>
                <w:sz w:val="24"/>
                <w:highlight w:val="none"/>
              </w:rPr>
              <w:t>312-2-3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B44139">
            <w:pPr>
              <w:widowControl/>
              <w:jc w:val="left"/>
              <w:rPr>
                <w:rFonts w:hint="eastAsia" w:ascii="宋体" w:hAnsi="宋体"/>
                <w:color w:val="auto"/>
                <w:sz w:val="24"/>
                <w:highlight w:val="none"/>
              </w:rPr>
            </w:pPr>
            <w:r>
              <w:rPr>
                <w:rFonts w:hint="eastAsia" w:ascii="宋体" w:hAnsi="宋体"/>
                <w:color w:val="auto"/>
                <w:sz w:val="24"/>
                <w:highlight w:val="none"/>
              </w:rPr>
              <w:t>HRB400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BA8815A">
            <w:pPr>
              <w:widowControl/>
              <w:jc w:val="left"/>
              <w:rPr>
                <w:rFonts w:hint="eastAsia" w:ascii="宋体" w:hAnsi="宋体"/>
                <w:color w:val="auto"/>
                <w:sz w:val="24"/>
                <w:highlight w:val="none"/>
              </w:rPr>
            </w:pPr>
            <w:r>
              <w:rPr>
                <w:rFonts w:hint="eastAsia" w:ascii="宋体" w:hAnsi="宋体"/>
                <w:color w:val="auto"/>
                <w:sz w:val="24"/>
                <w:highlight w:val="none"/>
              </w:rPr>
              <w:t>kg</w:t>
            </w:r>
          </w:p>
        </w:tc>
      </w:tr>
    </w:tbl>
    <w:p w14:paraId="78146611">
      <w:pPr>
        <w:spacing w:line="360" w:lineRule="auto"/>
        <w:ind w:right="18" w:firstLine="470" w:firstLineChars="196"/>
        <w:jc w:val="left"/>
        <w:rPr>
          <w:rFonts w:hint="eastAsia" w:ascii="宋体" w:hAnsi="宋体"/>
          <w:color w:val="auto"/>
          <w:sz w:val="24"/>
          <w:highlight w:val="none"/>
        </w:rPr>
      </w:pPr>
    </w:p>
    <w:p w14:paraId="22CD89B2">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第313节  培土路肩、中央分隔带回填土、</w:t>
      </w:r>
    </w:p>
    <w:p w14:paraId="1DE111AE">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土路肩加固及路缘石</w:t>
      </w:r>
    </w:p>
    <w:p w14:paraId="35AE319F">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42A5C237">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(1)6cm 透水砖按图纸和监理人指示铺筑的面积、经监理人验收合格，按不同厚度以平方米计量</w:t>
      </w:r>
      <w:r>
        <w:rPr>
          <w:rFonts w:hint="eastAsia" w:ascii="宋体" w:hAnsi="宋体"/>
          <w:color w:val="auto"/>
          <w:sz w:val="24"/>
          <w:highlight w:val="none"/>
          <w:lang w:eastAsia="zh-CN"/>
        </w:rPr>
        <w:t>，结合层（找平层）及垫层等有关</w:t>
      </w:r>
      <w:r>
        <w:rPr>
          <w:rFonts w:hint="eastAsia" w:ascii="宋体" w:hAnsi="宋体"/>
          <w:color w:val="auto"/>
          <w:sz w:val="24"/>
          <w:highlight w:val="none"/>
        </w:rPr>
        <w:t>工作均属承包人的附属工作，不另行计量</w:t>
      </w:r>
      <w:r>
        <w:rPr>
          <w:rFonts w:hint="eastAsia" w:ascii="宋体" w:hAnsi="宋体"/>
          <w:color w:val="auto"/>
          <w:sz w:val="24"/>
          <w:highlight w:val="none"/>
          <w:lang w:eastAsia="zh-CN"/>
        </w:rPr>
        <w:t>，</w:t>
      </w:r>
      <w:r>
        <w:rPr>
          <w:rFonts w:hint="eastAsia" w:ascii="宋体" w:hAnsi="宋体"/>
          <w:color w:val="auto"/>
          <w:sz w:val="24"/>
          <w:highlight w:val="none"/>
        </w:rPr>
        <w:t>中央分隔带回填土</w:t>
      </w:r>
      <w:r>
        <w:rPr>
          <w:rFonts w:hint="eastAsia" w:ascii="宋体" w:hAnsi="宋体"/>
          <w:color w:val="auto"/>
          <w:sz w:val="24"/>
          <w:highlight w:val="none"/>
          <w:lang w:eastAsia="zh-CN"/>
        </w:rPr>
        <w:t>经</w:t>
      </w:r>
      <w:r>
        <w:rPr>
          <w:rFonts w:hint="eastAsia" w:ascii="宋体" w:hAnsi="宋体"/>
          <w:color w:val="auto"/>
          <w:sz w:val="24"/>
          <w:highlight w:val="none"/>
        </w:rPr>
        <w:t>监理人验收合格，</w:t>
      </w:r>
      <w:r>
        <w:rPr>
          <w:rFonts w:hint="eastAsia" w:ascii="宋体" w:hAnsi="宋体"/>
          <w:color w:val="auto"/>
          <w:sz w:val="24"/>
          <w:highlight w:val="none"/>
          <w:lang w:eastAsia="zh-CN"/>
        </w:rPr>
        <w:t>以立方米计量</w:t>
      </w:r>
      <w:r>
        <w:rPr>
          <w:rFonts w:hint="eastAsia" w:ascii="宋体" w:hAnsi="宋体"/>
          <w:color w:val="auto"/>
          <w:sz w:val="24"/>
          <w:highlight w:val="none"/>
        </w:rPr>
        <w:t>。</w:t>
      </w:r>
    </w:p>
    <w:p w14:paraId="7CF4281C">
      <w:pPr>
        <w:spacing w:line="360" w:lineRule="auto"/>
        <w:ind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rPr>
        <w:t>(2)路缘石按图纸所示的长度进行现场量测，经验收合格后截面规格体积以米计量。埋设缘石的基槽开挖与回填、夯实以及混凝土垫层或水泥砂浆垫层等有关杂项工作均属承包人的附属工作，不另行计量。</w:t>
      </w:r>
      <w:r>
        <w:rPr>
          <w:rFonts w:hint="eastAsia" w:ascii="宋体" w:hAnsi="宋体"/>
          <w:color w:val="auto"/>
          <w:sz w:val="24"/>
          <w:highlight w:val="none"/>
          <w:lang w:eastAsia="zh-CN"/>
        </w:rPr>
        <w:t>车止石按根计量。</w:t>
      </w:r>
    </w:p>
    <w:p w14:paraId="0EF2E63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33BF1C4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列入工程量清单的以下工程子目的工程量，其每一计量单位将以合同单价支付，此项支付包括材料、劳力、设备、运输等及其他为完成工程所必需的所有费用，是对完成工程的全部偿付。</w:t>
      </w:r>
    </w:p>
    <w:p w14:paraId="41FA91C1">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2C04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CBF8BF0">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A51B0C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310C21A">
            <w:pPr>
              <w:jc w:val="left"/>
              <w:rPr>
                <w:rFonts w:hint="eastAsia" w:ascii="宋体" w:hAnsi="宋体"/>
                <w:color w:val="auto"/>
                <w:sz w:val="24"/>
                <w:highlight w:val="none"/>
              </w:rPr>
            </w:pPr>
            <w:r>
              <w:rPr>
                <w:rFonts w:hint="eastAsia" w:ascii="宋体" w:hAnsi="宋体"/>
                <w:color w:val="auto"/>
                <w:sz w:val="24"/>
                <w:highlight w:val="none"/>
              </w:rPr>
              <w:t>单位</w:t>
            </w:r>
          </w:p>
        </w:tc>
      </w:tr>
      <w:tr w14:paraId="769E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2B3E6589">
            <w:pPr>
              <w:widowControl/>
              <w:jc w:val="left"/>
              <w:rPr>
                <w:rFonts w:ascii="宋体" w:hAnsi="宋体"/>
                <w:color w:val="auto"/>
                <w:sz w:val="24"/>
                <w:highlight w:val="none"/>
              </w:rPr>
            </w:pPr>
            <w:r>
              <w:rPr>
                <w:rFonts w:hint="eastAsia" w:ascii="宋体" w:hAnsi="宋体"/>
                <w:color w:val="auto"/>
                <w:sz w:val="24"/>
                <w:highlight w:val="none"/>
              </w:rPr>
              <w:t>313</w:t>
            </w:r>
          </w:p>
        </w:tc>
        <w:tc>
          <w:tcPr>
            <w:tcW w:w="5400" w:type="dxa"/>
            <w:noWrap w:val="0"/>
            <w:vAlign w:val="center"/>
          </w:tcPr>
          <w:p w14:paraId="23CF5556">
            <w:pPr>
              <w:widowControl/>
              <w:jc w:val="left"/>
              <w:rPr>
                <w:rFonts w:ascii="宋体" w:hAnsi="宋体"/>
                <w:color w:val="auto"/>
                <w:sz w:val="24"/>
                <w:highlight w:val="none"/>
              </w:rPr>
            </w:pPr>
            <w:r>
              <w:rPr>
                <w:rFonts w:hint="eastAsia" w:ascii="宋体" w:hAnsi="宋体"/>
                <w:color w:val="auto"/>
                <w:sz w:val="24"/>
                <w:highlight w:val="none"/>
              </w:rPr>
              <w:t>培土路肩、中央分隔带填土、土路肩加固及路缘石</w:t>
            </w:r>
          </w:p>
        </w:tc>
        <w:tc>
          <w:tcPr>
            <w:tcW w:w="1260" w:type="dxa"/>
            <w:noWrap w:val="0"/>
            <w:vAlign w:val="center"/>
          </w:tcPr>
          <w:p w14:paraId="5FBCB662">
            <w:pPr>
              <w:widowControl/>
              <w:jc w:val="left"/>
              <w:rPr>
                <w:rFonts w:ascii="宋体" w:hAnsi="宋体"/>
                <w:color w:val="auto"/>
                <w:sz w:val="24"/>
                <w:highlight w:val="none"/>
              </w:rPr>
            </w:pPr>
          </w:p>
        </w:tc>
      </w:tr>
      <w:tr w14:paraId="5735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B848D82">
            <w:pPr>
              <w:widowControl/>
              <w:jc w:val="left"/>
              <w:rPr>
                <w:rFonts w:ascii="宋体" w:hAnsi="宋体"/>
                <w:color w:val="auto"/>
                <w:sz w:val="24"/>
                <w:highlight w:val="none"/>
              </w:rPr>
            </w:pPr>
            <w:r>
              <w:rPr>
                <w:rFonts w:hint="eastAsia" w:ascii="宋体" w:hAnsi="宋体"/>
                <w:color w:val="auto"/>
                <w:sz w:val="24"/>
                <w:highlight w:val="none"/>
              </w:rPr>
              <w:t>313-2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50C41FD">
            <w:pPr>
              <w:widowControl/>
              <w:jc w:val="left"/>
              <w:rPr>
                <w:rFonts w:hint="eastAsia" w:ascii="宋体" w:hAnsi="宋体"/>
                <w:color w:val="auto"/>
                <w:sz w:val="24"/>
                <w:highlight w:val="none"/>
              </w:rPr>
            </w:pPr>
            <w:r>
              <w:rPr>
                <w:rFonts w:hint="eastAsia" w:ascii="宋体" w:hAnsi="宋体"/>
                <w:color w:val="auto"/>
                <w:sz w:val="24"/>
                <w:highlight w:val="none"/>
              </w:rPr>
              <w:t>中央分隔带回填土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72286E">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690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8BD487D">
            <w:pPr>
              <w:widowControl/>
              <w:jc w:val="left"/>
              <w:rPr>
                <w:rFonts w:hint="eastAsia" w:ascii="宋体" w:hAnsi="宋体"/>
                <w:color w:val="auto"/>
                <w:sz w:val="24"/>
                <w:highlight w:val="none"/>
              </w:rPr>
            </w:pPr>
            <w:r>
              <w:rPr>
                <w:rFonts w:hint="eastAsia" w:ascii="宋体" w:hAnsi="宋体"/>
                <w:color w:val="auto"/>
                <w:sz w:val="24"/>
                <w:highlight w:val="none"/>
              </w:rPr>
              <w:t>313-8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913A259">
            <w:pPr>
              <w:widowControl/>
              <w:jc w:val="left"/>
              <w:rPr>
                <w:rFonts w:hint="eastAsia" w:ascii="宋体" w:hAnsi="宋体"/>
                <w:color w:val="auto"/>
                <w:sz w:val="24"/>
                <w:highlight w:val="none"/>
              </w:rPr>
            </w:pPr>
            <w:r>
              <w:rPr>
                <w:rFonts w:hint="eastAsia" w:ascii="宋体" w:hAnsi="宋体"/>
                <w:color w:val="auto"/>
                <w:sz w:val="24"/>
                <w:highlight w:val="none"/>
              </w:rPr>
              <w:t>6cm 透水砖</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2CCCEE8">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79E3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47B18C4">
            <w:pPr>
              <w:widowControl/>
              <w:jc w:val="left"/>
              <w:rPr>
                <w:rFonts w:hint="eastAsia" w:ascii="宋体" w:hAnsi="宋体"/>
                <w:color w:val="auto"/>
                <w:sz w:val="24"/>
                <w:highlight w:val="none"/>
              </w:rPr>
            </w:pPr>
            <w:r>
              <w:rPr>
                <w:rFonts w:hint="eastAsia" w:ascii="宋体" w:hAnsi="宋体"/>
                <w:color w:val="auto"/>
                <w:sz w:val="24"/>
                <w:highlight w:val="none"/>
              </w:rPr>
              <w:t>313-9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21ACBAB">
            <w:pPr>
              <w:widowControl/>
              <w:jc w:val="left"/>
              <w:rPr>
                <w:rFonts w:hint="eastAsia" w:ascii="宋体" w:hAnsi="宋体"/>
                <w:color w:val="auto"/>
                <w:sz w:val="24"/>
                <w:highlight w:val="none"/>
              </w:rPr>
            </w:pPr>
            <w:r>
              <w:rPr>
                <w:rFonts w:hint="eastAsia" w:ascii="宋体" w:hAnsi="宋体"/>
                <w:color w:val="auto"/>
                <w:sz w:val="24"/>
                <w:highlight w:val="none"/>
              </w:rPr>
              <w:t>100*60*20cm预制混凝土缘石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2DC1EE5">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3EDF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E32A99D">
            <w:pPr>
              <w:widowControl/>
              <w:jc w:val="left"/>
              <w:rPr>
                <w:rFonts w:hint="eastAsia" w:ascii="宋体" w:hAnsi="宋体"/>
                <w:color w:val="auto"/>
                <w:sz w:val="24"/>
                <w:highlight w:val="none"/>
              </w:rPr>
            </w:pPr>
            <w:r>
              <w:rPr>
                <w:rFonts w:hint="eastAsia" w:ascii="宋体" w:hAnsi="宋体"/>
                <w:color w:val="auto"/>
                <w:sz w:val="24"/>
                <w:highlight w:val="none"/>
              </w:rPr>
              <w:t>313-10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9A5745B">
            <w:pPr>
              <w:widowControl/>
              <w:jc w:val="left"/>
              <w:rPr>
                <w:rFonts w:hint="eastAsia" w:ascii="宋体" w:hAnsi="宋体"/>
                <w:color w:val="auto"/>
                <w:sz w:val="24"/>
                <w:highlight w:val="none"/>
              </w:rPr>
            </w:pPr>
            <w:r>
              <w:rPr>
                <w:rFonts w:hint="eastAsia" w:ascii="宋体" w:hAnsi="宋体"/>
                <w:color w:val="auto"/>
                <w:sz w:val="24"/>
                <w:highlight w:val="none"/>
              </w:rPr>
              <w:t>49.5*17*12cm 预制混凝土平缘石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56E93D">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500A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81690BB">
            <w:pPr>
              <w:widowControl/>
              <w:jc w:val="left"/>
              <w:rPr>
                <w:rFonts w:hint="eastAsia" w:ascii="宋体" w:hAnsi="宋体"/>
                <w:color w:val="auto"/>
                <w:sz w:val="24"/>
                <w:highlight w:val="none"/>
              </w:rPr>
            </w:pPr>
            <w:r>
              <w:rPr>
                <w:rFonts w:hint="eastAsia" w:ascii="宋体" w:hAnsi="宋体"/>
                <w:color w:val="auto"/>
                <w:sz w:val="24"/>
                <w:highlight w:val="none"/>
              </w:rPr>
              <w:t>313-11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54A080F">
            <w:pPr>
              <w:widowControl/>
              <w:jc w:val="left"/>
              <w:rPr>
                <w:rFonts w:hint="eastAsia" w:ascii="宋体" w:hAnsi="宋体"/>
                <w:color w:val="auto"/>
                <w:sz w:val="24"/>
                <w:highlight w:val="none"/>
              </w:rPr>
            </w:pPr>
            <w:r>
              <w:rPr>
                <w:rFonts w:hint="eastAsia" w:ascii="宋体" w:hAnsi="宋体"/>
                <w:color w:val="auto"/>
                <w:sz w:val="24"/>
                <w:highlight w:val="none"/>
              </w:rPr>
              <w:t>100*30*15cm预制混凝土侧石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397153">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3656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B030146">
            <w:pPr>
              <w:widowControl/>
              <w:jc w:val="left"/>
              <w:rPr>
                <w:rFonts w:hint="eastAsia" w:ascii="宋体" w:hAnsi="宋体"/>
                <w:color w:val="auto"/>
                <w:sz w:val="24"/>
                <w:highlight w:val="none"/>
              </w:rPr>
            </w:pPr>
            <w:r>
              <w:rPr>
                <w:rFonts w:hint="eastAsia" w:ascii="宋体" w:hAnsi="宋体"/>
                <w:color w:val="auto"/>
                <w:sz w:val="24"/>
                <w:highlight w:val="none"/>
              </w:rPr>
              <w:t>313-12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F7D5C00">
            <w:pPr>
              <w:widowControl/>
              <w:jc w:val="left"/>
              <w:rPr>
                <w:rFonts w:hint="eastAsia" w:ascii="宋体" w:hAnsi="宋体"/>
                <w:color w:val="auto"/>
                <w:sz w:val="24"/>
                <w:highlight w:val="none"/>
              </w:rPr>
            </w:pPr>
            <w:r>
              <w:rPr>
                <w:rFonts w:hint="eastAsia" w:ascii="宋体" w:hAnsi="宋体"/>
                <w:color w:val="auto"/>
                <w:sz w:val="24"/>
                <w:highlight w:val="none"/>
              </w:rPr>
              <w:t>100*15*10cm 预制混凝土压条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B2804D5">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27B5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38943CB">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rPr>
              <w:t>313-1</w:t>
            </w:r>
            <w:r>
              <w:rPr>
                <w:rFonts w:hint="eastAsia" w:ascii="宋体" w:hAnsi="宋体"/>
                <w:color w:val="auto"/>
                <w:sz w:val="24"/>
                <w:highlight w:val="none"/>
                <w:lang w:val="en-US" w:eastAsia="zh-CN"/>
              </w:rPr>
              <w:t>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3EAF83A">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lang w:eastAsia="zh-CN"/>
              </w:rPr>
              <w:t>车止石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E8F789">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lang w:eastAsia="zh-CN"/>
              </w:rPr>
              <w:t>根</w:t>
            </w:r>
          </w:p>
        </w:tc>
      </w:tr>
    </w:tbl>
    <w:p w14:paraId="3DE3BF6C">
      <w:pPr>
        <w:spacing w:line="360" w:lineRule="auto"/>
        <w:ind w:firstLine="480" w:firstLineChars="200"/>
        <w:jc w:val="left"/>
        <w:rPr>
          <w:rFonts w:hint="eastAsia" w:ascii="宋体" w:hAnsi="宋体"/>
          <w:color w:val="auto"/>
          <w:sz w:val="24"/>
          <w:highlight w:val="none"/>
        </w:rPr>
      </w:pPr>
    </w:p>
    <w:p w14:paraId="3874C015">
      <w:pPr>
        <w:spacing w:line="360" w:lineRule="auto"/>
        <w:ind w:right="18"/>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第316节  旧路面处理</w:t>
      </w:r>
    </w:p>
    <w:p w14:paraId="58E7C82A">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74117E9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(1)旧路面铺筑土工织物、设置应力吸收层均按图纸施工，经监理人验收合格的实际工程数量分土工织物类型、应力吸收层类别分别按铺筑面积以平方米计量，搭接长度及锚钉等材料作为附属工程不予计量。</w:t>
      </w:r>
    </w:p>
    <w:p w14:paraId="34DD5EC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06BC030A">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列入工程量清单的以下工程子目的工程量，其每一计量单位将以合同单价支付，此项支付包括材料、劳力、设备、运输等及其他为完成工程所必需的所有费用，是对完成工程的全部偿付。</w:t>
      </w:r>
    </w:p>
    <w:p w14:paraId="7A5CA9F3">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430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48867ED">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3D32A57">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26EDF51D">
            <w:pPr>
              <w:jc w:val="left"/>
              <w:rPr>
                <w:rFonts w:hint="eastAsia" w:ascii="宋体" w:hAnsi="宋体"/>
                <w:color w:val="auto"/>
                <w:sz w:val="24"/>
                <w:highlight w:val="none"/>
              </w:rPr>
            </w:pPr>
            <w:r>
              <w:rPr>
                <w:rFonts w:hint="eastAsia" w:ascii="宋体" w:hAnsi="宋体"/>
                <w:color w:val="auto"/>
                <w:sz w:val="24"/>
                <w:highlight w:val="none"/>
              </w:rPr>
              <w:t>单位</w:t>
            </w:r>
          </w:p>
        </w:tc>
      </w:tr>
      <w:tr w14:paraId="2E2A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A69ADA9">
            <w:pPr>
              <w:widowControl/>
              <w:jc w:val="left"/>
              <w:rPr>
                <w:rFonts w:ascii="宋体" w:hAnsi="宋体"/>
                <w:color w:val="auto"/>
                <w:sz w:val="24"/>
                <w:highlight w:val="none"/>
              </w:rPr>
            </w:pPr>
            <w:r>
              <w:rPr>
                <w:rFonts w:hint="eastAsia" w:ascii="宋体" w:hAnsi="宋体"/>
                <w:color w:val="auto"/>
                <w:sz w:val="24"/>
                <w:highlight w:val="none"/>
              </w:rPr>
              <w:t>316</w:t>
            </w:r>
          </w:p>
        </w:tc>
        <w:tc>
          <w:tcPr>
            <w:tcW w:w="5400" w:type="dxa"/>
            <w:noWrap w:val="0"/>
            <w:vAlign w:val="center"/>
          </w:tcPr>
          <w:p w14:paraId="3E737F03">
            <w:pPr>
              <w:widowControl/>
              <w:jc w:val="left"/>
              <w:rPr>
                <w:rFonts w:ascii="宋体" w:hAnsi="宋体"/>
                <w:color w:val="auto"/>
                <w:sz w:val="24"/>
                <w:highlight w:val="none"/>
              </w:rPr>
            </w:pPr>
            <w:r>
              <w:rPr>
                <w:rFonts w:hint="eastAsia" w:ascii="宋体" w:hAnsi="宋体"/>
                <w:color w:val="auto"/>
                <w:sz w:val="24"/>
                <w:highlight w:val="none"/>
              </w:rPr>
              <w:t>旧路面处理</w:t>
            </w:r>
          </w:p>
        </w:tc>
        <w:tc>
          <w:tcPr>
            <w:tcW w:w="1260" w:type="dxa"/>
            <w:noWrap w:val="0"/>
            <w:vAlign w:val="center"/>
          </w:tcPr>
          <w:p w14:paraId="51F18962">
            <w:pPr>
              <w:widowControl/>
              <w:jc w:val="left"/>
              <w:rPr>
                <w:rFonts w:ascii="宋体" w:hAnsi="宋体"/>
                <w:color w:val="auto"/>
                <w:sz w:val="24"/>
                <w:highlight w:val="none"/>
              </w:rPr>
            </w:pPr>
          </w:p>
        </w:tc>
      </w:tr>
      <w:tr w14:paraId="2338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A95366A">
            <w:pPr>
              <w:widowControl/>
              <w:jc w:val="left"/>
              <w:rPr>
                <w:rFonts w:ascii="宋体" w:hAnsi="宋体"/>
                <w:color w:val="auto"/>
                <w:sz w:val="24"/>
                <w:highlight w:val="none"/>
              </w:rPr>
            </w:pPr>
            <w:r>
              <w:rPr>
                <w:rFonts w:hint="eastAsia" w:ascii="宋体" w:hAnsi="宋体"/>
                <w:color w:val="auto"/>
                <w:sz w:val="24"/>
                <w:highlight w:val="none"/>
              </w:rPr>
              <w:t>316-1</w:t>
            </w:r>
          </w:p>
        </w:tc>
        <w:tc>
          <w:tcPr>
            <w:tcW w:w="5400" w:type="dxa"/>
            <w:noWrap w:val="0"/>
            <w:vAlign w:val="center"/>
          </w:tcPr>
          <w:p w14:paraId="2063E8AC">
            <w:pPr>
              <w:widowControl/>
              <w:jc w:val="left"/>
              <w:rPr>
                <w:rFonts w:ascii="宋体" w:hAnsi="宋体"/>
                <w:color w:val="auto"/>
                <w:sz w:val="24"/>
                <w:highlight w:val="none"/>
              </w:rPr>
            </w:pPr>
            <w:r>
              <w:rPr>
                <w:rFonts w:hint="eastAsia" w:ascii="宋体" w:hAnsi="宋体"/>
                <w:color w:val="auto"/>
                <w:sz w:val="24"/>
                <w:highlight w:val="none"/>
              </w:rPr>
              <w:t>纤维土工布</w:t>
            </w:r>
          </w:p>
        </w:tc>
        <w:tc>
          <w:tcPr>
            <w:tcW w:w="1260" w:type="dxa"/>
            <w:noWrap w:val="0"/>
            <w:vAlign w:val="center"/>
          </w:tcPr>
          <w:p w14:paraId="695B30B6">
            <w:pPr>
              <w:widowControl/>
              <w:jc w:val="left"/>
              <w:rPr>
                <w:rFonts w:ascii="宋体" w:hAnsi="宋体"/>
                <w:color w:val="auto"/>
                <w:sz w:val="24"/>
                <w:highlight w:val="none"/>
              </w:rPr>
            </w:pPr>
            <w:r>
              <w:rPr>
                <w:rFonts w:hint="eastAsia" w:ascii="宋体" w:hAnsi="宋体"/>
                <w:color w:val="auto"/>
                <w:sz w:val="24"/>
                <w:highlight w:val="none"/>
              </w:rPr>
              <w:t>m2</w:t>
            </w:r>
          </w:p>
        </w:tc>
      </w:tr>
      <w:tr w14:paraId="41BC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116361A">
            <w:pPr>
              <w:widowControl/>
              <w:jc w:val="left"/>
              <w:rPr>
                <w:rFonts w:ascii="宋体" w:hAnsi="宋体"/>
                <w:color w:val="auto"/>
                <w:sz w:val="24"/>
                <w:highlight w:val="none"/>
              </w:rPr>
            </w:pPr>
            <w:r>
              <w:rPr>
                <w:rFonts w:hint="eastAsia" w:ascii="宋体" w:hAnsi="宋体"/>
                <w:color w:val="auto"/>
                <w:sz w:val="24"/>
                <w:highlight w:val="none"/>
              </w:rPr>
              <w:t>316-2</w:t>
            </w:r>
          </w:p>
        </w:tc>
        <w:tc>
          <w:tcPr>
            <w:tcW w:w="5400" w:type="dxa"/>
            <w:noWrap w:val="0"/>
            <w:vAlign w:val="center"/>
          </w:tcPr>
          <w:p w14:paraId="2407F4CF">
            <w:pPr>
              <w:widowControl/>
              <w:jc w:val="left"/>
              <w:rPr>
                <w:rFonts w:ascii="宋体" w:hAnsi="宋体"/>
                <w:color w:val="auto"/>
                <w:sz w:val="24"/>
                <w:highlight w:val="none"/>
              </w:rPr>
            </w:pPr>
            <w:r>
              <w:rPr>
                <w:rFonts w:hint="eastAsia" w:ascii="宋体" w:hAnsi="宋体"/>
                <w:color w:val="auto"/>
                <w:sz w:val="24"/>
                <w:highlight w:val="none"/>
              </w:rPr>
              <w:t>玻璃纤维格栅</w:t>
            </w:r>
          </w:p>
        </w:tc>
        <w:tc>
          <w:tcPr>
            <w:tcW w:w="1260" w:type="dxa"/>
            <w:noWrap w:val="0"/>
            <w:vAlign w:val="center"/>
          </w:tcPr>
          <w:p w14:paraId="39CB677C">
            <w:pPr>
              <w:widowControl/>
              <w:jc w:val="left"/>
              <w:rPr>
                <w:rFonts w:ascii="宋体" w:hAnsi="宋体"/>
                <w:color w:val="auto"/>
                <w:sz w:val="24"/>
                <w:highlight w:val="none"/>
              </w:rPr>
            </w:pPr>
            <w:r>
              <w:rPr>
                <w:rFonts w:hint="eastAsia" w:ascii="宋体" w:hAnsi="宋体"/>
                <w:color w:val="auto"/>
                <w:sz w:val="24"/>
                <w:highlight w:val="none"/>
              </w:rPr>
              <w:t>m2</w:t>
            </w:r>
          </w:p>
        </w:tc>
      </w:tr>
    </w:tbl>
    <w:p w14:paraId="195018A9">
      <w:pPr>
        <w:spacing w:line="360" w:lineRule="auto"/>
        <w:jc w:val="left"/>
        <w:rPr>
          <w:rFonts w:hint="eastAsia" w:ascii="宋体" w:hAnsi="宋体"/>
          <w:color w:val="auto"/>
          <w:sz w:val="24"/>
          <w:highlight w:val="none"/>
        </w:rPr>
      </w:pPr>
    </w:p>
    <w:p w14:paraId="3B7AC610">
      <w:pPr>
        <w:spacing w:line="360" w:lineRule="auto"/>
        <w:jc w:val="center"/>
        <w:rPr>
          <w:rFonts w:hint="eastAsia" w:ascii="宋体" w:hAnsi="宋体"/>
          <w:b/>
          <w:bCs/>
          <w:color w:val="auto"/>
          <w:sz w:val="28"/>
          <w:szCs w:val="28"/>
          <w:highlight w:val="none"/>
        </w:rPr>
      </w:pPr>
      <w:r>
        <w:rPr>
          <w:rFonts w:hint="eastAsia" w:ascii="宋体" w:hAnsi="宋体"/>
          <w:b/>
          <w:bCs/>
          <w:color w:val="auto"/>
          <w:sz w:val="28"/>
          <w:szCs w:val="28"/>
          <w:highlight w:val="none"/>
        </w:rPr>
        <w:t>第318节  人行道、导流岛及绿化岛</w:t>
      </w:r>
    </w:p>
    <w:p w14:paraId="6AD3812D">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1.计量</w:t>
      </w:r>
    </w:p>
    <w:p w14:paraId="100F6A3D">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(1)人行道砖铺砌应按图纸所示的规格要求铺设，经监理人检查验收合格后，以平方米为单位计量。水泥稳定石屑垫层应按图纸和监理人指示铺筑，经监理人验收合格的面积，按不同厚度以平方米计量。</w:t>
      </w:r>
    </w:p>
    <w:p w14:paraId="032862E1">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2.支付</w:t>
      </w:r>
    </w:p>
    <w:p w14:paraId="07F2D8B5">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等及其他为完成人行安全岛工程所必需的费用，是对完成工程的全部偿付。</w:t>
      </w:r>
    </w:p>
    <w:p w14:paraId="3758F854">
      <w:pPr>
        <w:spacing w:line="360" w:lineRule="auto"/>
        <w:ind w:firstLine="600" w:firstLineChars="25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0EAF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8E6834D">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55F5DBB">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4FFDA03">
            <w:pPr>
              <w:jc w:val="left"/>
              <w:rPr>
                <w:rFonts w:hint="eastAsia" w:ascii="宋体" w:hAnsi="宋体"/>
                <w:color w:val="auto"/>
                <w:sz w:val="24"/>
                <w:highlight w:val="none"/>
              </w:rPr>
            </w:pPr>
            <w:r>
              <w:rPr>
                <w:rFonts w:hint="eastAsia" w:ascii="宋体" w:hAnsi="宋体"/>
                <w:color w:val="auto"/>
                <w:sz w:val="24"/>
                <w:highlight w:val="none"/>
              </w:rPr>
              <w:t>单位</w:t>
            </w:r>
          </w:p>
        </w:tc>
      </w:tr>
      <w:tr w14:paraId="3B6D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0B07426">
            <w:pPr>
              <w:jc w:val="left"/>
              <w:rPr>
                <w:rFonts w:ascii="宋体" w:hAnsi="宋体"/>
                <w:color w:val="auto"/>
                <w:sz w:val="24"/>
                <w:highlight w:val="none"/>
              </w:rPr>
            </w:pPr>
            <w:r>
              <w:rPr>
                <w:rFonts w:hint="eastAsia" w:ascii="宋体" w:hAnsi="宋体"/>
                <w:color w:val="auto"/>
                <w:sz w:val="24"/>
                <w:highlight w:val="none"/>
              </w:rPr>
              <w:t>318-1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4F3A96">
            <w:pPr>
              <w:jc w:val="left"/>
              <w:rPr>
                <w:rFonts w:hint="eastAsia" w:ascii="宋体" w:hAnsi="宋体"/>
                <w:color w:val="auto"/>
                <w:sz w:val="24"/>
                <w:highlight w:val="none"/>
              </w:rPr>
            </w:pPr>
            <w:r>
              <w:rPr>
                <w:rFonts w:hint="eastAsia" w:ascii="宋体" w:hAnsi="宋体"/>
                <w:color w:val="auto"/>
                <w:sz w:val="24"/>
                <w:highlight w:val="none"/>
              </w:rPr>
              <w:t>梯道桥面铺装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512F4B">
            <w:pPr>
              <w:jc w:val="left"/>
              <w:rPr>
                <w:rFonts w:hint="eastAsia" w:ascii="宋体" w:hAnsi="宋体"/>
                <w:color w:val="auto"/>
                <w:sz w:val="24"/>
                <w:highlight w:val="none"/>
              </w:rPr>
            </w:pPr>
            <w:r>
              <w:rPr>
                <w:rFonts w:hint="eastAsia" w:ascii="宋体" w:hAnsi="宋体"/>
                <w:color w:val="auto"/>
                <w:sz w:val="24"/>
                <w:highlight w:val="none"/>
              </w:rPr>
              <w:t>m2</w:t>
            </w:r>
          </w:p>
        </w:tc>
      </w:tr>
    </w:tbl>
    <w:p w14:paraId="4492F7F1">
      <w:pPr>
        <w:spacing w:line="360" w:lineRule="auto"/>
        <w:ind w:firstLine="600" w:firstLineChars="250"/>
        <w:jc w:val="left"/>
        <w:rPr>
          <w:rFonts w:hint="eastAsia" w:ascii="宋体" w:hAnsi="宋体"/>
          <w:color w:val="auto"/>
          <w:sz w:val="24"/>
          <w:highlight w:val="none"/>
        </w:rPr>
      </w:pPr>
    </w:p>
    <w:p w14:paraId="2A4B4097">
      <w:pPr>
        <w:spacing w:line="360" w:lineRule="auto"/>
        <w:ind w:firstLine="600" w:firstLineChars="250"/>
        <w:jc w:val="left"/>
        <w:rPr>
          <w:rFonts w:hint="eastAsia" w:ascii="宋体" w:hAnsi="宋体"/>
          <w:color w:val="auto"/>
          <w:sz w:val="24"/>
          <w:highlight w:val="none"/>
        </w:rPr>
      </w:pPr>
    </w:p>
    <w:p w14:paraId="5DB35AD4">
      <w:pPr>
        <w:spacing w:line="360" w:lineRule="auto"/>
        <w:jc w:val="left"/>
        <w:rPr>
          <w:rFonts w:hint="eastAsia" w:ascii="宋体" w:hAnsi="宋体"/>
          <w:b/>
          <w:color w:val="auto"/>
          <w:sz w:val="24"/>
          <w:highlight w:val="none"/>
        </w:rPr>
      </w:pPr>
    </w:p>
    <w:p w14:paraId="5ED15052">
      <w:pPr>
        <w:spacing w:line="360" w:lineRule="auto"/>
        <w:jc w:val="left"/>
        <w:rPr>
          <w:rFonts w:ascii="宋体" w:hAnsi="宋体"/>
          <w:color w:val="auto"/>
          <w:sz w:val="24"/>
          <w:highlight w:val="none"/>
        </w:rPr>
        <w:sectPr>
          <w:pgSz w:w="11906" w:h="16838"/>
          <w:pgMar w:top="1418" w:right="1418" w:bottom="1134" w:left="1701" w:header="851" w:footer="992" w:gutter="0"/>
          <w:pgNumType w:fmt="decimal"/>
          <w:cols w:space="720" w:num="1"/>
          <w:docGrid w:linePitch="312" w:charSpace="0"/>
        </w:sectPr>
      </w:pPr>
    </w:p>
    <w:p w14:paraId="08BCF4B0">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第400章  桥梁、涵洞</w:t>
      </w:r>
    </w:p>
    <w:p w14:paraId="44C677F0">
      <w:pPr>
        <w:spacing w:line="360" w:lineRule="auto"/>
        <w:ind w:right="18"/>
        <w:jc w:val="center"/>
        <w:rPr>
          <w:rFonts w:hint="eastAsia" w:ascii="宋体" w:hAnsi="宋体" w:eastAsia="宋体" w:cs="宋体"/>
          <w:b/>
          <w:color w:val="auto"/>
          <w:sz w:val="28"/>
          <w:szCs w:val="28"/>
          <w:highlight w:val="none"/>
        </w:rPr>
      </w:pPr>
      <w:bookmarkStart w:id="46" w:name="第403节"/>
      <w:bookmarkEnd w:id="46"/>
      <w:r>
        <w:rPr>
          <w:rFonts w:hint="eastAsia" w:ascii="宋体" w:hAnsi="宋体" w:eastAsia="宋体" w:cs="宋体"/>
          <w:b/>
          <w:color w:val="auto"/>
          <w:sz w:val="28"/>
          <w:szCs w:val="28"/>
          <w:highlight w:val="none"/>
        </w:rPr>
        <w:t>第402节    模板、拱架和支架</w:t>
      </w:r>
    </w:p>
    <w:p w14:paraId="36C040CF">
      <w:pPr>
        <w:spacing w:line="360" w:lineRule="auto"/>
        <w:ind w:right="18"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计量与支付</w:t>
      </w:r>
    </w:p>
    <w:p w14:paraId="19503DB8">
      <w:pPr>
        <w:spacing w:line="360" w:lineRule="auto"/>
        <w:ind w:right="18"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本节工作涉及的所有内容作为有关工程的附属工作，不作单独计量与支付。</w:t>
      </w:r>
    </w:p>
    <w:p w14:paraId="3F0DA34C">
      <w:pPr>
        <w:spacing w:line="360" w:lineRule="auto"/>
        <w:ind w:right="18"/>
        <w:jc w:val="left"/>
        <w:rPr>
          <w:rFonts w:hint="eastAsia" w:ascii="宋体" w:hAnsi="宋体"/>
          <w:b/>
          <w:color w:val="auto"/>
          <w:sz w:val="28"/>
          <w:szCs w:val="28"/>
          <w:highlight w:val="none"/>
        </w:rPr>
      </w:pPr>
    </w:p>
    <w:p w14:paraId="2D8796F0">
      <w:pPr>
        <w:spacing w:line="360" w:lineRule="auto"/>
        <w:ind w:right="18"/>
        <w:jc w:val="center"/>
        <w:rPr>
          <w:rFonts w:hint="eastAsia" w:ascii="宋体" w:hAnsi="宋体"/>
          <w:b/>
          <w:color w:val="auto"/>
          <w:sz w:val="28"/>
          <w:szCs w:val="28"/>
          <w:highlight w:val="none"/>
        </w:rPr>
      </w:pPr>
      <w:r>
        <w:rPr>
          <w:rFonts w:hint="eastAsia" w:ascii="宋体" w:hAnsi="宋体"/>
          <w:b/>
          <w:color w:val="auto"/>
          <w:sz w:val="28"/>
          <w:szCs w:val="28"/>
          <w:highlight w:val="none"/>
        </w:rPr>
        <w:t>第403节    钢  筋</w:t>
      </w:r>
    </w:p>
    <w:p w14:paraId="7BB9B729">
      <w:pPr>
        <w:spacing w:line="360" w:lineRule="auto"/>
        <w:ind w:right="18"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7BBA888C">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根据图纸所示及钢筋表（不包括固定、定位架立钢筋）所列，按实际安设并经监理人验收的钢筋以千克</w:t>
      </w:r>
      <w:r>
        <w:rPr>
          <w:rFonts w:ascii="宋体" w:hAnsi="宋体"/>
          <w:color w:val="auto"/>
          <w:sz w:val="24"/>
          <w:highlight w:val="none"/>
        </w:rPr>
        <w:t>(kg)</w:t>
      </w:r>
      <w:r>
        <w:rPr>
          <w:rFonts w:hint="eastAsia" w:ascii="宋体" w:hAnsi="宋体"/>
          <w:color w:val="auto"/>
          <w:sz w:val="24"/>
          <w:highlight w:val="none"/>
        </w:rPr>
        <w:t>计量。</w:t>
      </w:r>
    </w:p>
    <w:p w14:paraId="3D52EB33">
      <w:pPr>
        <w:spacing w:line="360" w:lineRule="auto"/>
        <w:ind w:right="18" w:firstLine="480" w:firstLineChars="200"/>
        <w:jc w:val="left"/>
        <w:rPr>
          <w:rFonts w:hint="eastAsia" w:ascii="宋体" w:hAnsi="宋体"/>
          <w:color w:val="auto"/>
          <w:sz w:val="24"/>
          <w:highlight w:val="none"/>
        </w:rPr>
      </w:pPr>
      <w:r>
        <w:rPr>
          <w:rFonts w:hint="eastAsia" w:ascii="宋体" w:hAnsi="宋体"/>
          <w:color w:val="auto"/>
          <w:sz w:val="24"/>
          <w:highlight w:val="none"/>
        </w:rPr>
        <w:t>其内容包括钢筋混凝土中的钢筋，预应力混凝土中的非预应力钢筋及混凝土桥面铺装中的钢筋。</w:t>
      </w:r>
    </w:p>
    <w:p w14:paraId="73FDB5B2">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除图纸所示或监理人另有认可外，因搭接而增加的钢筋不予计入。</w:t>
      </w:r>
    </w:p>
    <w:p w14:paraId="1627FC1F">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钢筋及钢筋骨架用的铁丝、钢板、套筒</w:t>
      </w:r>
      <w:r>
        <w:rPr>
          <w:rFonts w:ascii="宋体" w:hAnsi="宋体"/>
          <w:color w:val="auto"/>
          <w:sz w:val="24"/>
          <w:highlight w:val="none"/>
        </w:rPr>
        <w:t>(</w:t>
      </w:r>
      <w:r>
        <w:rPr>
          <w:rFonts w:hint="eastAsia" w:ascii="宋体" w:hAnsi="宋体"/>
          <w:color w:val="auto"/>
          <w:sz w:val="24"/>
          <w:highlight w:val="none"/>
        </w:rPr>
        <w:t>连接套</w:t>
      </w:r>
      <w:r>
        <w:rPr>
          <w:rFonts w:ascii="宋体" w:hAnsi="宋体"/>
          <w:color w:val="auto"/>
          <w:sz w:val="24"/>
          <w:highlight w:val="none"/>
        </w:rPr>
        <w:t>)</w:t>
      </w:r>
      <w:r>
        <w:rPr>
          <w:rFonts w:hint="eastAsia" w:ascii="宋体" w:hAnsi="宋体"/>
          <w:color w:val="auto"/>
          <w:sz w:val="24"/>
          <w:highlight w:val="none"/>
        </w:rPr>
        <w:t>、焊接、钢筋垫块或其他固定、定位架立钢筋的材料，以及钢筋的防锈、截取、套丝、弯曲、场内运输、安装、防腐蚀等，作为钢筋工程的附属工作，不另行计量。</w:t>
      </w:r>
    </w:p>
    <w:p w14:paraId="20443627">
      <w:pPr>
        <w:spacing w:line="360" w:lineRule="auto"/>
        <w:ind w:right="17"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基础钢筋主要包含桥梁挖孔桩、灌注桩、承台、支撑梁、沉桩、沉井等基础钢筋；下部结构钢筋主要包含桥梁墩柱、台身、盖梁、系梁、耳背墙等等下部结构用钢筋；上部结构钢筋主要包含现浇、预制梁板、整体化层、桥面连续、绞缝、横隔板、桥面铺装等上部构造用钢筋；附属结构钢筋主要指桥台缘石、人行道、防撞墙（含预埋筋）、栏杆、护栏、桥头搭板、枕梁、抗震挡块、支座垫石等部位用钢筋。其中如设计采用不锈钢钢筋或拼接钢材的，应独立支付项以千克(kg)计量。</w:t>
      </w:r>
    </w:p>
    <w:p w14:paraId="5D181562">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2.支付</w:t>
      </w:r>
    </w:p>
    <w:p w14:paraId="6DD4E088">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价支付。此项支付包括材料、劳力、设备、检验及其他为完成钢筋工程所必需的费用，是对完成工程的全部偿付。</w:t>
      </w:r>
    </w:p>
    <w:p w14:paraId="6825D3FC">
      <w:pPr>
        <w:spacing w:line="360" w:lineRule="auto"/>
        <w:ind w:right="18" w:firstLine="48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D49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08AA7D7">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64B46E0">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6405F783">
            <w:pPr>
              <w:jc w:val="left"/>
              <w:rPr>
                <w:rFonts w:hint="eastAsia" w:ascii="宋体" w:hAnsi="宋体"/>
                <w:color w:val="auto"/>
                <w:sz w:val="24"/>
                <w:highlight w:val="none"/>
              </w:rPr>
            </w:pPr>
            <w:r>
              <w:rPr>
                <w:rFonts w:hint="eastAsia" w:ascii="宋体" w:hAnsi="宋体"/>
                <w:color w:val="auto"/>
                <w:sz w:val="24"/>
                <w:highlight w:val="none"/>
              </w:rPr>
              <w:t>单位</w:t>
            </w:r>
          </w:p>
        </w:tc>
      </w:tr>
      <w:tr w14:paraId="06EF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838C496">
            <w:pPr>
              <w:jc w:val="left"/>
              <w:rPr>
                <w:rFonts w:hint="eastAsia" w:ascii="宋体" w:hAnsi="宋体"/>
                <w:color w:val="auto"/>
                <w:sz w:val="24"/>
                <w:highlight w:val="none"/>
              </w:rPr>
            </w:pPr>
            <w:r>
              <w:rPr>
                <w:rFonts w:hint="eastAsia" w:ascii="宋体" w:hAnsi="宋体"/>
                <w:color w:val="auto"/>
                <w:sz w:val="24"/>
                <w:highlight w:val="none"/>
              </w:rPr>
              <w:t>403-1</w:t>
            </w:r>
          </w:p>
        </w:tc>
        <w:tc>
          <w:tcPr>
            <w:tcW w:w="5400" w:type="dxa"/>
            <w:noWrap w:val="0"/>
            <w:vAlign w:val="center"/>
          </w:tcPr>
          <w:p w14:paraId="5960FDD9">
            <w:pPr>
              <w:jc w:val="left"/>
              <w:rPr>
                <w:rFonts w:hint="eastAsia" w:ascii="宋体" w:hAnsi="宋体"/>
                <w:color w:val="auto"/>
                <w:sz w:val="24"/>
                <w:highlight w:val="none"/>
              </w:rPr>
            </w:pPr>
            <w:r>
              <w:rPr>
                <w:rFonts w:hint="eastAsia" w:ascii="宋体" w:hAnsi="宋体"/>
                <w:color w:val="auto"/>
                <w:sz w:val="24"/>
                <w:highlight w:val="none"/>
              </w:rPr>
              <w:t>基础钢筋(包括灌注桩、承台、支撑梁、基础系梁、沉桩、沉井等)</w:t>
            </w:r>
          </w:p>
        </w:tc>
        <w:tc>
          <w:tcPr>
            <w:tcW w:w="1260" w:type="dxa"/>
            <w:noWrap w:val="0"/>
            <w:vAlign w:val="center"/>
          </w:tcPr>
          <w:p w14:paraId="06FAF163">
            <w:pPr>
              <w:jc w:val="left"/>
              <w:rPr>
                <w:rFonts w:hint="eastAsia" w:ascii="宋体" w:hAnsi="宋体"/>
                <w:color w:val="auto"/>
                <w:sz w:val="24"/>
                <w:highlight w:val="none"/>
              </w:rPr>
            </w:pPr>
          </w:p>
        </w:tc>
      </w:tr>
      <w:tr w14:paraId="46FA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3ED8583">
            <w:pPr>
              <w:jc w:val="left"/>
              <w:rPr>
                <w:rFonts w:ascii="宋体" w:hAnsi="宋体"/>
                <w:color w:val="auto"/>
                <w:sz w:val="24"/>
                <w:highlight w:val="none"/>
              </w:rPr>
            </w:pPr>
            <w:r>
              <w:rPr>
                <w:rFonts w:hint="eastAsia" w:ascii="宋体" w:hAnsi="宋体"/>
                <w:color w:val="auto"/>
                <w:sz w:val="24"/>
                <w:highlight w:val="none"/>
              </w:rPr>
              <w:t>403-1-1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B989BD">
            <w:pPr>
              <w:jc w:val="left"/>
              <w:rPr>
                <w:rFonts w:hint="eastAsia" w:ascii="宋体" w:hAnsi="宋体"/>
                <w:color w:val="auto"/>
                <w:sz w:val="24"/>
                <w:highlight w:val="none"/>
              </w:rPr>
            </w:pPr>
            <w:r>
              <w:rPr>
                <w:rFonts w:hint="eastAsia" w:ascii="宋体" w:hAnsi="宋体"/>
                <w:color w:val="auto"/>
                <w:sz w:val="24"/>
                <w:highlight w:val="none"/>
              </w:rPr>
              <w:t>光圆钢筋（HPB235、HPB300）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3C9EC1">
            <w:pPr>
              <w:jc w:val="left"/>
              <w:rPr>
                <w:rFonts w:hint="eastAsia" w:ascii="宋体" w:hAnsi="宋体"/>
                <w:color w:val="auto"/>
                <w:sz w:val="24"/>
                <w:highlight w:val="none"/>
              </w:rPr>
            </w:pPr>
            <w:r>
              <w:rPr>
                <w:rFonts w:hint="eastAsia" w:ascii="宋体" w:hAnsi="宋体"/>
                <w:color w:val="auto"/>
                <w:sz w:val="24"/>
                <w:highlight w:val="none"/>
              </w:rPr>
              <w:t>kg</w:t>
            </w:r>
          </w:p>
        </w:tc>
      </w:tr>
      <w:tr w14:paraId="6388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35AFFE4">
            <w:pPr>
              <w:jc w:val="left"/>
              <w:rPr>
                <w:rFonts w:hint="eastAsia" w:ascii="宋体" w:hAnsi="宋体"/>
                <w:color w:val="auto"/>
                <w:sz w:val="24"/>
                <w:highlight w:val="none"/>
              </w:rPr>
            </w:pPr>
            <w:r>
              <w:rPr>
                <w:rFonts w:hint="eastAsia" w:ascii="宋体" w:hAnsi="宋体"/>
                <w:color w:val="auto"/>
                <w:sz w:val="24"/>
                <w:highlight w:val="none"/>
              </w:rPr>
              <w:t>403-1-2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263DDB">
            <w:pPr>
              <w:jc w:val="left"/>
              <w:rPr>
                <w:rFonts w:hint="eastAsia" w:ascii="宋体" w:hAnsi="宋体"/>
                <w:color w:val="auto"/>
                <w:sz w:val="24"/>
                <w:highlight w:val="none"/>
              </w:rPr>
            </w:pPr>
            <w:r>
              <w:rPr>
                <w:rFonts w:hint="eastAsia" w:ascii="宋体" w:hAnsi="宋体"/>
                <w:color w:val="auto"/>
                <w:sz w:val="24"/>
                <w:highlight w:val="none"/>
              </w:rPr>
              <w:t>带肋钢筋（HRB335、HRB400）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E253557">
            <w:pPr>
              <w:jc w:val="left"/>
              <w:rPr>
                <w:rFonts w:hint="eastAsia" w:ascii="宋体" w:hAnsi="宋体"/>
                <w:color w:val="auto"/>
                <w:sz w:val="24"/>
                <w:highlight w:val="none"/>
              </w:rPr>
            </w:pPr>
            <w:r>
              <w:rPr>
                <w:rFonts w:hint="eastAsia" w:ascii="宋体" w:hAnsi="宋体"/>
                <w:color w:val="auto"/>
                <w:sz w:val="24"/>
                <w:highlight w:val="none"/>
              </w:rPr>
              <w:t>kg</w:t>
            </w:r>
          </w:p>
        </w:tc>
      </w:tr>
      <w:tr w14:paraId="2B48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28F1E36">
            <w:pPr>
              <w:jc w:val="left"/>
              <w:rPr>
                <w:rFonts w:hint="eastAsia" w:ascii="宋体" w:hAnsi="宋体"/>
                <w:color w:val="auto"/>
                <w:sz w:val="24"/>
                <w:highlight w:val="none"/>
              </w:rPr>
            </w:pPr>
            <w:r>
              <w:rPr>
                <w:rFonts w:hint="eastAsia" w:ascii="宋体" w:hAnsi="宋体"/>
                <w:color w:val="auto"/>
                <w:sz w:val="24"/>
                <w:highlight w:val="none"/>
              </w:rPr>
              <w:t>403-2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F1ADF8B">
            <w:pPr>
              <w:jc w:val="left"/>
              <w:rPr>
                <w:rFonts w:hint="eastAsia" w:ascii="宋体" w:hAnsi="宋体"/>
                <w:color w:val="auto"/>
                <w:sz w:val="24"/>
                <w:highlight w:val="none"/>
              </w:rPr>
            </w:pPr>
            <w:r>
              <w:rPr>
                <w:rFonts w:hint="eastAsia" w:ascii="宋体" w:hAnsi="宋体"/>
                <w:color w:val="auto"/>
                <w:sz w:val="24"/>
                <w:highlight w:val="none"/>
              </w:rPr>
              <w:t>下部结构钢筋（包括墩柱、台身、盖梁、墩间系梁、耳背墙等）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EA20104">
            <w:pPr>
              <w:jc w:val="left"/>
              <w:rPr>
                <w:rFonts w:hint="eastAsia" w:ascii="宋体" w:hAnsi="宋体"/>
                <w:color w:val="auto"/>
                <w:sz w:val="24"/>
                <w:highlight w:val="none"/>
              </w:rPr>
            </w:pPr>
          </w:p>
        </w:tc>
      </w:tr>
      <w:tr w14:paraId="22F0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44DAA2F">
            <w:pPr>
              <w:jc w:val="left"/>
              <w:rPr>
                <w:rFonts w:hint="eastAsia" w:ascii="宋体" w:hAnsi="宋体"/>
                <w:color w:val="auto"/>
                <w:sz w:val="24"/>
                <w:highlight w:val="none"/>
              </w:rPr>
            </w:pPr>
            <w:r>
              <w:rPr>
                <w:rFonts w:hint="eastAsia" w:ascii="宋体" w:hAnsi="宋体"/>
                <w:color w:val="auto"/>
                <w:sz w:val="24"/>
                <w:highlight w:val="none"/>
              </w:rPr>
              <w:t>403-2-1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1C05F82">
            <w:pPr>
              <w:jc w:val="left"/>
              <w:rPr>
                <w:rFonts w:hint="eastAsia" w:ascii="宋体" w:hAnsi="宋体"/>
                <w:color w:val="auto"/>
                <w:sz w:val="24"/>
                <w:highlight w:val="none"/>
              </w:rPr>
            </w:pPr>
            <w:r>
              <w:rPr>
                <w:rFonts w:hint="eastAsia" w:ascii="宋体" w:hAnsi="宋体"/>
                <w:color w:val="auto"/>
                <w:sz w:val="24"/>
                <w:highlight w:val="none"/>
              </w:rPr>
              <w:t>光圆钢筋（HPB235、HPB300）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F6F900">
            <w:pPr>
              <w:jc w:val="left"/>
              <w:rPr>
                <w:rFonts w:hint="eastAsia" w:ascii="宋体" w:hAnsi="宋体"/>
                <w:color w:val="auto"/>
                <w:sz w:val="24"/>
                <w:highlight w:val="none"/>
              </w:rPr>
            </w:pPr>
            <w:r>
              <w:rPr>
                <w:rFonts w:hint="eastAsia" w:ascii="宋体" w:hAnsi="宋体"/>
                <w:color w:val="auto"/>
                <w:sz w:val="24"/>
                <w:highlight w:val="none"/>
              </w:rPr>
              <w:t>kg</w:t>
            </w:r>
          </w:p>
        </w:tc>
      </w:tr>
      <w:tr w14:paraId="7C37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8003411">
            <w:pPr>
              <w:jc w:val="left"/>
              <w:rPr>
                <w:rFonts w:hint="eastAsia" w:ascii="宋体" w:hAnsi="宋体"/>
                <w:color w:val="auto"/>
                <w:sz w:val="24"/>
                <w:highlight w:val="none"/>
              </w:rPr>
            </w:pPr>
            <w:r>
              <w:rPr>
                <w:rFonts w:hint="eastAsia" w:ascii="宋体" w:hAnsi="宋体"/>
                <w:color w:val="auto"/>
                <w:sz w:val="24"/>
                <w:highlight w:val="none"/>
              </w:rPr>
              <w:t>403-2-2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A162BED">
            <w:pPr>
              <w:jc w:val="left"/>
              <w:rPr>
                <w:rFonts w:hint="eastAsia" w:ascii="宋体" w:hAnsi="宋体"/>
                <w:color w:val="auto"/>
                <w:sz w:val="24"/>
                <w:highlight w:val="none"/>
              </w:rPr>
            </w:pPr>
            <w:r>
              <w:rPr>
                <w:rFonts w:hint="eastAsia" w:ascii="宋体" w:hAnsi="宋体"/>
                <w:color w:val="auto"/>
                <w:sz w:val="24"/>
                <w:highlight w:val="none"/>
              </w:rPr>
              <w:t>带肋钢筋（HRB335、HRB400）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E56695">
            <w:pPr>
              <w:jc w:val="left"/>
              <w:rPr>
                <w:rFonts w:hint="eastAsia" w:ascii="宋体" w:hAnsi="宋体"/>
                <w:color w:val="auto"/>
                <w:sz w:val="24"/>
                <w:highlight w:val="none"/>
              </w:rPr>
            </w:pPr>
            <w:r>
              <w:rPr>
                <w:rFonts w:hint="eastAsia" w:ascii="宋体" w:hAnsi="宋体"/>
                <w:color w:val="auto"/>
                <w:sz w:val="24"/>
                <w:highlight w:val="none"/>
              </w:rPr>
              <w:t>kg</w:t>
            </w:r>
          </w:p>
        </w:tc>
      </w:tr>
      <w:tr w14:paraId="7F9F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BC252F2">
            <w:pPr>
              <w:jc w:val="left"/>
              <w:rPr>
                <w:rFonts w:hint="eastAsia" w:ascii="宋体" w:hAnsi="宋体"/>
                <w:color w:val="auto"/>
                <w:sz w:val="24"/>
                <w:highlight w:val="none"/>
              </w:rPr>
            </w:pPr>
            <w:r>
              <w:rPr>
                <w:rFonts w:hint="eastAsia" w:ascii="宋体" w:hAnsi="宋体"/>
                <w:color w:val="auto"/>
                <w:sz w:val="24"/>
                <w:highlight w:val="none"/>
              </w:rPr>
              <w:t>403-3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51FE04A">
            <w:pPr>
              <w:jc w:val="left"/>
              <w:rPr>
                <w:rFonts w:hint="eastAsia" w:ascii="宋体" w:hAnsi="宋体"/>
                <w:color w:val="auto"/>
                <w:sz w:val="24"/>
                <w:highlight w:val="none"/>
              </w:rPr>
            </w:pPr>
            <w:r>
              <w:rPr>
                <w:rFonts w:hint="eastAsia" w:ascii="宋体" w:hAnsi="宋体"/>
                <w:color w:val="auto"/>
                <w:sz w:val="24"/>
                <w:highlight w:val="none"/>
              </w:rPr>
              <w:t>上部结构钢筋（包括现浇、预制梁板、整体化层、桥面连续、绞缝、桥面铺装等）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90A855">
            <w:pPr>
              <w:jc w:val="left"/>
              <w:rPr>
                <w:rFonts w:hint="eastAsia" w:ascii="宋体" w:hAnsi="宋体"/>
                <w:color w:val="auto"/>
                <w:sz w:val="24"/>
                <w:highlight w:val="none"/>
              </w:rPr>
            </w:pPr>
          </w:p>
        </w:tc>
      </w:tr>
      <w:tr w14:paraId="46F3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349723A">
            <w:pPr>
              <w:jc w:val="left"/>
              <w:rPr>
                <w:rFonts w:hint="eastAsia" w:ascii="宋体" w:hAnsi="宋体"/>
                <w:color w:val="auto"/>
                <w:sz w:val="24"/>
                <w:highlight w:val="none"/>
              </w:rPr>
            </w:pPr>
            <w:r>
              <w:rPr>
                <w:rFonts w:hint="eastAsia" w:ascii="宋体" w:hAnsi="宋体"/>
                <w:color w:val="auto"/>
                <w:sz w:val="24"/>
                <w:highlight w:val="none"/>
              </w:rPr>
              <w:t>403-3-2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CD6B265">
            <w:pPr>
              <w:jc w:val="left"/>
              <w:rPr>
                <w:rFonts w:hint="eastAsia" w:ascii="宋体" w:hAnsi="宋体"/>
                <w:color w:val="auto"/>
                <w:sz w:val="24"/>
                <w:highlight w:val="none"/>
              </w:rPr>
            </w:pPr>
            <w:r>
              <w:rPr>
                <w:rFonts w:hint="eastAsia" w:ascii="宋体" w:hAnsi="宋体"/>
                <w:color w:val="auto"/>
                <w:sz w:val="24"/>
                <w:highlight w:val="none"/>
              </w:rPr>
              <w:t>带肋钢筋（HRB335、HRB400）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B62996">
            <w:pPr>
              <w:jc w:val="left"/>
              <w:rPr>
                <w:rFonts w:hint="eastAsia" w:ascii="宋体" w:hAnsi="宋体"/>
                <w:color w:val="auto"/>
                <w:sz w:val="24"/>
                <w:highlight w:val="none"/>
              </w:rPr>
            </w:pPr>
            <w:r>
              <w:rPr>
                <w:rFonts w:hint="eastAsia" w:ascii="宋体" w:hAnsi="宋体"/>
                <w:color w:val="auto"/>
                <w:sz w:val="24"/>
                <w:highlight w:val="none"/>
              </w:rPr>
              <w:t>kg</w:t>
            </w:r>
          </w:p>
        </w:tc>
      </w:tr>
      <w:tr w14:paraId="6A54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8E7EE0C">
            <w:pPr>
              <w:jc w:val="left"/>
              <w:rPr>
                <w:rFonts w:hint="eastAsia" w:ascii="宋体" w:hAnsi="宋体"/>
                <w:color w:val="auto"/>
                <w:sz w:val="24"/>
                <w:highlight w:val="none"/>
              </w:rPr>
            </w:pPr>
            <w:r>
              <w:rPr>
                <w:rFonts w:hint="eastAsia" w:ascii="宋体" w:hAnsi="宋体"/>
                <w:color w:val="auto"/>
                <w:sz w:val="24"/>
                <w:highlight w:val="none"/>
              </w:rPr>
              <w:t>403-4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227CEE">
            <w:pPr>
              <w:jc w:val="left"/>
              <w:rPr>
                <w:rFonts w:hint="eastAsia" w:ascii="宋体" w:hAnsi="宋体"/>
                <w:color w:val="auto"/>
                <w:sz w:val="24"/>
                <w:highlight w:val="none"/>
              </w:rPr>
            </w:pPr>
            <w:r>
              <w:rPr>
                <w:rFonts w:hint="eastAsia" w:ascii="宋体" w:hAnsi="宋体"/>
                <w:color w:val="auto"/>
                <w:sz w:val="24"/>
                <w:highlight w:val="none"/>
              </w:rPr>
              <w:t>附属结构钢筋（包括缘石、人行道、防撞墙、栏杆、护栏、桥头搭板、枕梁、抗震挡块、支座垫石等）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BA437A">
            <w:pPr>
              <w:jc w:val="left"/>
              <w:rPr>
                <w:rFonts w:hint="eastAsia" w:ascii="宋体" w:hAnsi="宋体"/>
                <w:color w:val="auto"/>
                <w:sz w:val="24"/>
                <w:highlight w:val="none"/>
              </w:rPr>
            </w:pPr>
          </w:p>
        </w:tc>
      </w:tr>
      <w:tr w14:paraId="6AF5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AFA08A8">
            <w:pPr>
              <w:jc w:val="left"/>
              <w:rPr>
                <w:rFonts w:hint="eastAsia" w:ascii="宋体" w:hAnsi="宋体"/>
                <w:color w:val="auto"/>
                <w:sz w:val="24"/>
                <w:highlight w:val="none"/>
              </w:rPr>
            </w:pPr>
            <w:r>
              <w:rPr>
                <w:rFonts w:hint="eastAsia" w:ascii="宋体" w:hAnsi="宋体"/>
                <w:color w:val="auto"/>
                <w:sz w:val="24"/>
                <w:highlight w:val="none"/>
              </w:rPr>
              <w:t>403-4-1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2049A1E">
            <w:pPr>
              <w:jc w:val="left"/>
              <w:rPr>
                <w:rFonts w:hint="eastAsia" w:ascii="宋体" w:hAnsi="宋体"/>
                <w:color w:val="auto"/>
                <w:sz w:val="24"/>
                <w:highlight w:val="none"/>
              </w:rPr>
            </w:pPr>
            <w:r>
              <w:rPr>
                <w:rFonts w:hint="eastAsia" w:ascii="宋体" w:hAnsi="宋体"/>
                <w:color w:val="auto"/>
                <w:sz w:val="24"/>
                <w:highlight w:val="none"/>
              </w:rPr>
              <w:t>光圆钢筋（HPB235、HPB300）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3C0B37">
            <w:pPr>
              <w:jc w:val="left"/>
              <w:rPr>
                <w:rFonts w:hint="eastAsia" w:ascii="宋体" w:hAnsi="宋体"/>
                <w:color w:val="auto"/>
                <w:sz w:val="24"/>
                <w:highlight w:val="none"/>
              </w:rPr>
            </w:pPr>
            <w:r>
              <w:rPr>
                <w:rFonts w:hint="eastAsia" w:ascii="宋体" w:hAnsi="宋体"/>
                <w:color w:val="auto"/>
                <w:sz w:val="24"/>
                <w:highlight w:val="none"/>
              </w:rPr>
              <w:t>kg</w:t>
            </w:r>
          </w:p>
        </w:tc>
      </w:tr>
      <w:tr w14:paraId="10EF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3260EEF">
            <w:pPr>
              <w:jc w:val="left"/>
              <w:rPr>
                <w:rFonts w:hint="eastAsia" w:ascii="宋体" w:hAnsi="宋体"/>
                <w:color w:val="auto"/>
                <w:sz w:val="24"/>
                <w:highlight w:val="none"/>
              </w:rPr>
            </w:pPr>
            <w:r>
              <w:rPr>
                <w:rFonts w:hint="eastAsia" w:ascii="宋体" w:hAnsi="宋体"/>
                <w:color w:val="auto"/>
                <w:sz w:val="24"/>
                <w:highlight w:val="none"/>
              </w:rPr>
              <w:t>403-4-2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446B1DF">
            <w:pPr>
              <w:jc w:val="left"/>
              <w:rPr>
                <w:rFonts w:hint="eastAsia" w:ascii="宋体" w:hAnsi="宋体"/>
                <w:color w:val="auto"/>
                <w:sz w:val="24"/>
                <w:highlight w:val="none"/>
              </w:rPr>
            </w:pPr>
            <w:r>
              <w:rPr>
                <w:rFonts w:hint="eastAsia" w:ascii="宋体" w:hAnsi="宋体"/>
                <w:color w:val="auto"/>
                <w:sz w:val="24"/>
                <w:highlight w:val="none"/>
              </w:rPr>
              <w:t>带肋钢筋（HRB335、HRB400）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088339B">
            <w:pPr>
              <w:jc w:val="left"/>
              <w:rPr>
                <w:rFonts w:hint="eastAsia" w:ascii="宋体" w:hAnsi="宋体"/>
                <w:color w:val="auto"/>
                <w:sz w:val="24"/>
                <w:highlight w:val="none"/>
              </w:rPr>
            </w:pPr>
            <w:r>
              <w:rPr>
                <w:rFonts w:hint="eastAsia" w:ascii="宋体" w:hAnsi="宋体"/>
                <w:color w:val="auto"/>
                <w:sz w:val="24"/>
                <w:highlight w:val="none"/>
              </w:rPr>
              <w:t>kg</w:t>
            </w:r>
          </w:p>
        </w:tc>
      </w:tr>
    </w:tbl>
    <w:p w14:paraId="5BB96600">
      <w:pPr>
        <w:spacing w:line="360" w:lineRule="auto"/>
        <w:ind w:right="18" w:firstLine="480"/>
        <w:jc w:val="left"/>
        <w:rPr>
          <w:rFonts w:hint="eastAsia" w:ascii="宋体" w:hAnsi="宋体"/>
          <w:color w:val="auto"/>
          <w:sz w:val="24"/>
          <w:highlight w:val="none"/>
        </w:rPr>
      </w:pPr>
    </w:p>
    <w:p w14:paraId="4D2EFDA1">
      <w:pPr>
        <w:spacing w:line="360" w:lineRule="auto"/>
        <w:ind w:right="18" w:firstLine="480"/>
        <w:jc w:val="center"/>
        <w:rPr>
          <w:rFonts w:hint="eastAsia" w:ascii="宋体" w:hAnsi="宋体"/>
          <w:b/>
          <w:color w:val="auto"/>
          <w:sz w:val="28"/>
          <w:szCs w:val="28"/>
          <w:highlight w:val="none"/>
        </w:rPr>
      </w:pPr>
      <w:r>
        <w:rPr>
          <w:rFonts w:hint="eastAsia" w:ascii="宋体" w:hAnsi="宋体"/>
          <w:b/>
          <w:color w:val="auto"/>
          <w:sz w:val="28"/>
          <w:szCs w:val="28"/>
          <w:highlight w:val="none"/>
        </w:rPr>
        <w:t>第404节    基础挖方及回填</w:t>
      </w:r>
    </w:p>
    <w:p w14:paraId="2BFB72EE">
      <w:pPr>
        <w:spacing w:line="360" w:lineRule="auto"/>
        <w:ind w:right="18"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17FB27F2">
      <w:pPr>
        <w:spacing w:line="360" w:lineRule="auto"/>
        <w:ind w:right="18" w:firstLine="480" w:firstLineChars="200"/>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基础挖方应按下述规定，取用底、顶面间平均高度的棱柱体体积，分别按干处、水下及土、石，以立方米计量。干处挖方与水下挖方是以经监理人认可的施工期间实测的地下水位为界线。在地下水位以上开挖的为干处挖方；在地下水位以下开挖的为水下挖方。</w:t>
      </w:r>
    </w:p>
    <w:p w14:paraId="5A722488">
      <w:pPr>
        <w:spacing w:line="360" w:lineRule="auto"/>
        <w:ind w:right="17" w:firstLine="480" w:firstLineChars="200"/>
        <w:jc w:val="left"/>
        <w:rPr>
          <w:rFonts w:ascii="宋体" w:hAnsi="宋体"/>
          <w:color w:val="auto"/>
          <w:sz w:val="24"/>
          <w:highlight w:val="none"/>
        </w:rPr>
      </w:pPr>
      <w:r>
        <w:rPr>
          <w:rFonts w:ascii="宋体" w:hAnsi="宋体"/>
          <w:color w:val="auto"/>
          <w:sz w:val="24"/>
          <w:highlight w:val="none"/>
        </w:rPr>
        <w:t>基础底面、顶面及侧面的确定应符合下列规定：</w:t>
      </w:r>
    </w:p>
    <w:p w14:paraId="1C335DD6">
      <w:pPr>
        <w:spacing w:line="360" w:lineRule="auto"/>
        <w:ind w:right="17" w:firstLine="480" w:firstLineChars="200"/>
        <w:jc w:val="left"/>
        <w:rPr>
          <w:rFonts w:ascii="宋体" w:hAnsi="宋体"/>
          <w:color w:val="auto"/>
          <w:sz w:val="24"/>
          <w:highlight w:val="none"/>
        </w:rPr>
      </w:pPr>
      <w:r>
        <w:rPr>
          <w:rFonts w:ascii="宋体" w:hAnsi="宋体"/>
          <w:color w:val="auto"/>
          <w:sz w:val="24"/>
          <w:highlight w:val="none"/>
        </w:rPr>
        <w:t>a.基础挖方底面：按图纸所示或监理人批准的基础(包括地基处理部分)的基底高程线计算。</w:t>
      </w:r>
    </w:p>
    <w:p w14:paraId="582FD9C2">
      <w:pPr>
        <w:spacing w:line="360" w:lineRule="auto"/>
        <w:ind w:right="17" w:firstLine="480" w:firstLineChars="200"/>
        <w:jc w:val="left"/>
        <w:rPr>
          <w:rFonts w:ascii="宋体" w:hAnsi="宋体"/>
          <w:color w:val="auto"/>
          <w:sz w:val="24"/>
          <w:highlight w:val="none"/>
        </w:rPr>
      </w:pPr>
      <w:r>
        <w:rPr>
          <w:rFonts w:ascii="宋体" w:hAnsi="宋体"/>
          <w:color w:val="auto"/>
          <w:sz w:val="24"/>
          <w:highlight w:val="none"/>
        </w:rPr>
        <w:t>b.基础挖方顶面：按监理人批准的横断面上所标示的原地面线计算。</w:t>
      </w:r>
    </w:p>
    <w:p w14:paraId="720AFD05">
      <w:pPr>
        <w:spacing w:line="360" w:lineRule="auto"/>
        <w:ind w:right="17" w:firstLine="480" w:firstLineChars="200"/>
        <w:jc w:val="left"/>
        <w:rPr>
          <w:rFonts w:hint="eastAsia" w:ascii="宋体" w:hAnsi="宋体"/>
          <w:color w:val="auto"/>
          <w:sz w:val="24"/>
          <w:highlight w:val="none"/>
        </w:rPr>
      </w:pPr>
      <w:r>
        <w:rPr>
          <w:rFonts w:ascii="宋体" w:hAnsi="宋体"/>
          <w:color w:val="auto"/>
          <w:sz w:val="24"/>
          <w:highlight w:val="none"/>
        </w:rPr>
        <w:t>c.基础挖方侧面：按顶面到底面，以超出基底周边0.5m的竖直面为界。</w:t>
      </w:r>
    </w:p>
    <w:p w14:paraId="34BC4FAF">
      <w:pPr>
        <w:spacing w:line="360" w:lineRule="auto"/>
        <w:ind w:right="17" w:firstLine="480" w:firstLineChars="20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当承包人遇到特殊或非常规情况时，应及时通知监理人，由监理人定出特殊的基础挖方界线。凡未取得监理人批准，承包人以特殊情况为理由而完成的任何挖方将不予计量，其基坑超深开挖，应由承包人用砂砾或监理人批准的回填材料予以回填并压实。</w:t>
      </w:r>
    </w:p>
    <w:p w14:paraId="262946D6">
      <w:pPr>
        <w:spacing w:line="360" w:lineRule="auto"/>
        <w:ind w:right="17"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)为完成基础挖方所做的地面排水及围堰、</w:t>
      </w:r>
      <w:r>
        <w:rPr>
          <w:rFonts w:hint="eastAsia" w:ascii="宋体" w:hAnsi="宋体"/>
          <w:color w:val="auto"/>
          <w:sz w:val="24"/>
          <w:highlight w:val="none"/>
          <w:lang w:val="en-US" w:eastAsia="zh-CN"/>
        </w:rPr>
        <w:t>钢板桩、</w:t>
      </w:r>
      <w:r>
        <w:rPr>
          <w:rFonts w:ascii="宋体" w:hAnsi="宋体"/>
          <w:color w:val="auto"/>
          <w:sz w:val="24"/>
          <w:highlight w:val="none"/>
        </w:rPr>
        <w:t>基坑支撑及</w:t>
      </w:r>
      <w:r>
        <w:rPr>
          <w:rFonts w:hint="eastAsia" w:ascii="宋体" w:hAnsi="宋体"/>
          <w:color w:val="auto"/>
          <w:sz w:val="24"/>
          <w:highlight w:val="none"/>
          <w:lang w:eastAsia="zh-CN"/>
        </w:rPr>
        <w:t>拆除、</w:t>
      </w:r>
      <w:r>
        <w:rPr>
          <w:rFonts w:ascii="宋体" w:hAnsi="宋体"/>
          <w:color w:val="auto"/>
          <w:sz w:val="24"/>
          <w:highlight w:val="none"/>
        </w:rPr>
        <w:t>抽水、基坑回填与压实、错台开挖及斜坡开挖等，作为挖基工程的附属工作，不另行计量。</w:t>
      </w:r>
    </w:p>
    <w:p w14:paraId="52A32705">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台后路基填筑及锥坡填土在第204节内计量与支付。</w:t>
      </w:r>
    </w:p>
    <w:p w14:paraId="67394778">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基坑土的运输作为挖基工程的附属工作，不另行计量与支付。</w:t>
      </w:r>
    </w:p>
    <w:p w14:paraId="63861A71">
      <w:pPr>
        <w:spacing w:line="360" w:lineRule="auto"/>
        <w:ind w:right="17"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基础开挖至设计断面后，设计范围内的不良基底，应以监理人和发包人批准的工艺和方法进行基底处理。基底处理需进一步进行基坑开挖按监理人和发包人确定的范围以立方米计量，换填按照不同的换填材料以立方米计量，未取得监理人和发包人批准的任何基底处理不予计量。</w:t>
      </w:r>
    </w:p>
    <w:p w14:paraId="56EDA8D0">
      <w:pPr>
        <w:spacing w:line="360" w:lineRule="auto"/>
        <w:ind w:right="17" w:firstLine="480" w:firstLineChars="200"/>
        <w:jc w:val="left"/>
        <w:rPr>
          <w:rFonts w:ascii="宋体" w:hAnsi="宋体"/>
          <w:color w:val="auto"/>
          <w:sz w:val="24"/>
          <w:highlight w:val="none"/>
        </w:rPr>
      </w:pPr>
      <w:r>
        <w:rPr>
          <w:rFonts w:ascii="宋体" w:hAnsi="宋体"/>
          <w:color w:val="auto"/>
          <w:sz w:val="24"/>
          <w:highlight w:val="none"/>
        </w:rPr>
        <w:t>2.支付</w:t>
      </w:r>
    </w:p>
    <w:p w14:paraId="68E0EC6E">
      <w:pPr>
        <w:spacing w:line="360" w:lineRule="auto"/>
        <w:ind w:right="17" w:firstLine="480" w:firstLineChars="200"/>
        <w:jc w:val="left"/>
        <w:rPr>
          <w:rFonts w:ascii="宋体" w:hAnsi="宋体"/>
          <w:color w:val="auto"/>
          <w:sz w:val="24"/>
          <w:highlight w:val="none"/>
        </w:rPr>
      </w:pPr>
      <w:r>
        <w:rPr>
          <w:rFonts w:ascii="宋体" w:hAnsi="宋体"/>
          <w:color w:val="auto"/>
          <w:sz w:val="24"/>
          <w:highlight w:val="none"/>
        </w:rPr>
        <w:t>按上述规定计量，经监理人验收的列入了工程量清单的以下支付子目的工程量，其每一计量单位，将以合同单价支付。此项支付包括材料、劳力、设备、运输等及其他为完成挖基及回填工程所必需的费用，是对完成工程的全部偿付。</w:t>
      </w:r>
    </w:p>
    <w:p w14:paraId="00BA827F">
      <w:pPr>
        <w:spacing w:line="360" w:lineRule="auto"/>
        <w:ind w:right="18" w:firstLine="48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3370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11DF8796">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D25DC8A">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83979E1">
            <w:pPr>
              <w:jc w:val="left"/>
              <w:rPr>
                <w:rFonts w:hint="eastAsia" w:ascii="宋体" w:hAnsi="宋体"/>
                <w:color w:val="auto"/>
                <w:sz w:val="24"/>
                <w:highlight w:val="none"/>
              </w:rPr>
            </w:pPr>
            <w:r>
              <w:rPr>
                <w:rFonts w:hint="eastAsia" w:ascii="宋体" w:hAnsi="宋体"/>
                <w:color w:val="auto"/>
                <w:sz w:val="24"/>
                <w:highlight w:val="none"/>
              </w:rPr>
              <w:t>单位</w:t>
            </w:r>
          </w:p>
        </w:tc>
      </w:tr>
      <w:tr w14:paraId="602A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2A300C2C">
            <w:pPr>
              <w:widowControl/>
              <w:jc w:val="left"/>
              <w:rPr>
                <w:rFonts w:ascii="宋体" w:hAnsi="宋体"/>
                <w:color w:val="auto"/>
                <w:sz w:val="24"/>
                <w:highlight w:val="none"/>
              </w:rPr>
            </w:pPr>
            <w:r>
              <w:rPr>
                <w:rFonts w:hint="eastAsia" w:ascii="宋体" w:hAnsi="宋体"/>
                <w:color w:val="auto"/>
                <w:sz w:val="24"/>
                <w:highlight w:val="none"/>
              </w:rPr>
              <w:t>404-1</w:t>
            </w:r>
          </w:p>
        </w:tc>
        <w:tc>
          <w:tcPr>
            <w:tcW w:w="5400" w:type="dxa"/>
            <w:noWrap w:val="0"/>
            <w:vAlign w:val="center"/>
          </w:tcPr>
          <w:p w14:paraId="61620D63">
            <w:pPr>
              <w:widowControl/>
              <w:jc w:val="left"/>
              <w:rPr>
                <w:rFonts w:ascii="宋体" w:hAnsi="宋体"/>
                <w:color w:val="auto"/>
                <w:sz w:val="24"/>
                <w:highlight w:val="none"/>
              </w:rPr>
            </w:pPr>
            <w:r>
              <w:rPr>
                <w:rFonts w:hint="eastAsia" w:ascii="宋体" w:hAnsi="宋体"/>
                <w:color w:val="auto"/>
                <w:sz w:val="24"/>
                <w:highlight w:val="none"/>
              </w:rPr>
              <w:t>干处挖土方</w:t>
            </w:r>
          </w:p>
        </w:tc>
        <w:tc>
          <w:tcPr>
            <w:tcW w:w="1260" w:type="dxa"/>
            <w:noWrap w:val="0"/>
            <w:vAlign w:val="center"/>
          </w:tcPr>
          <w:p w14:paraId="2223D0F8">
            <w:pPr>
              <w:widowControl/>
              <w:jc w:val="left"/>
              <w:rPr>
                <w:rFonts w:ascii="宋体" w:hAnsi="宋体"/>
                <w:color w:val="auto"/>
                <w:sz w:val="24"/>
                <w:highlight w:val="none"/>
              </w:rPr>
            </w:pPr>
            <w:r>
              <w:rPr>
                <w:rFonts w:hint="eastAsia" w:ascii="宋体" w:hAnsi="宋体"/>
                <w:color w:val="auto"/>
                <w:sz w:val="24"/>
                <w:highlight w:val="none"/>
              </w:rPr>
              <w:t>m3</w:t>
            </w:r>
          </w:p>
        </w:tc>
      </w:tr>
      <w:tr w14:paraId="5650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7723C16">
            <w:pPr>
              <w:widowControl/>
              <w:jc w:val="left"/>
              <w:rPr>
                <w:rFonts w:ascii="宋体" w:hAnsi="宋体"/>
                <w:color w:val="auto"/>
                <w:sz w:val="24"/>
                <w:highlight w:val="none"/>
              </w:rPr>
            </w:pPr>
            <w:r>
              <w:rPr>
                <w:rFonts w:hint="eastAsia" w:ascii="宋体" w:hAnsi="宋体"/>
                <w:color w:val="auto"/>
                <w:sz w:val="24"/>
                <w:highlight w:val="none"/>
              </w:rPr>
              <w:t>404-2</w:t>
            </w:r>
          </w:p>
        </w:tc>
        <w:tc>
          <w:tcPr>
            <w:tcW w:w="5400" w:type="dxa"/>
            <w:noWrap w:val="0"/>
            <w:vAlign w:val="center"/>
          </w:tcPr>
          <w:p w14:paraId="4518B529">
            <w:pPr>
              <w:widowControl/>
              <w:jc w:val="left"/>
              <w:rPr>
                <w:rFonts w:ascii="宋体" w:hAnsi="宋体"/>
                <w:color w:val="auto"/>
                <w:sz w:val="24"/>
                <w:highlight w:val="none"/>
              </w:rPr>
            </w:pPr>
            <w:r>
              <w:rPr>
                <w:rFonts w:hint="eastAsia" w:ascii="宋体" w:hAnsi="宋体"/>
                <w:color w:val="auto"/>
                <w:sz w:val="24"/>
                <w:highlight w:val="none"/>
              </w:rPr>
              <w:t>水下挖土方</w:t>
            </w:r>
          </w:p>
        </w:tc>
        <w:tc>
          <w:tcPr>
            <w:tcW w:w="1260" w:type="dxa"/>
            <w:noWrap w:val="0"/>
            <w:vAlign w:val="center"/>
          </w:tcPr>
          <w:p w14:paraId="48EC2A3F">
            <w:pPr>
              <w:widowControl/>
              <w:jc w:val="left"/>
              <w:rPr>
                <w:rFonts w:ascii="宋体" w:hAnsi="宋体"/>
                <w:color w:val="auto"/>
                <w:sz w:val="24"/>
                <w:highlight w:val="none"/>
              </w:rPr>
            </w:pPr>
            <w:r>
              <w:rPr>
                <w:rFonts w:hint="eastAsia" w:ascii="宋体" w:hAnsi="宋体"/>
                <w:color w:val="auto"/>
                <w:sz w:val="24"/>
                <w:highlight w:val="none"/>
              </w:rPr>
              <w:t>m3</w:t>
            </w:r>
          </w:p>
        </w:tc>
      </w:tr>
    </w:tbl>
    <w:p w14:paraId="1FE7987F">
      <w:pPr>
        <w:spacing w:line="360" w:lineRule="auto"/>
        <w:ind w:right="18" w:firstLine="480"/>
        <w:jc w:val="left"/>
        <w:rPr>
          <w:rFonts w:hint="eastAsia" w:ascii="宋体" w:hAnsi="宋体"/>
          <w:color w:val="auto"/>
          <w:sz w:val="24"/>
          <w:highlight w:val="none"/>
        </w:rPr>
      </w:pPr>
    </w:p>
    <w:p w14:paraId="2B045F5C">
      <w:pPr>
        <w:spacing w:line="360" w:lineRule="auto"/>
        <w:ind w:right="18"/>
        <w:jc w:val="center"/>
        <w:rPr>
          <w:rFonts w:hint="eastAsia" w:ascii="宋体" w:hAnsi="宋体"/>
          <w:b/>
          <w:color w:val="auto"/>
          <w:sz w:val="28"/>
          <w:szCs w:val="28"/>
          <w:highlight w:val="none"/>
        </w:rPr>
      </w:pPr>
      <w:r>
        <w:rPr>
          <w:rFonts w:hint="eastAsia" w:ascii="宋体" w:hAnsi="宋体"/>
          <w:b/>
          <w:color w:val="auto"/>
          <w:sz w:val="28"/>
          <w:szCs w:val="28"/>
          <w:highlight w:val="none"/>
        </w:rPr>
        <w:t>第405节  钻孔灌注桩</w:t>
      </w:r>
    </w:p>
    <w:p w14:paraId="2917CA8F">
      <w:pPr>
        <w:spacing w:line="360" w:lineRule="auto"/>
        <w:ind w:right="17" w:firstLine="420"/>
        <w:jc w:val="left"/>
        <w:rPr>
          <w:rFonts w:hint="eastAsia" w:ascii="宋体" w:hAnsi="宋体"/>
          <w:color w:val="auto"/>
          <w:sz w:val="24"/>
          <w:highlight w:val="none"/>
        </w:rPr>
      </w:pPr>
      <w:r>
        <w:rPr>
          <w:rFonts w:hint="eastAsia" w:ascii="宋体" w:hAnsi="宋体"/>
          <w:color w:val="auto"/>
          <w:sz w:val="24"/>
          <w:highlight w:val="none"/>
        </w:rPr>
        <w:t>1.计量</w:t>
      </w:r>
    </w:p>
    <w:p w14:paraId="13338272">
      <w:pPr>
        <w:spacing w:line="360" w:lineRule="auto"/>
        <w:ind w:right="17" w:firstLine="42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钻孔灌注桩以实际完成并经监理人验收后的数量，分一般水中、陆上、海中按不同桩径的桩长以米计量。计量应自图纸所示或监理人批准的桩底高程至承台底或系梁底。对于与桩连为一体的柱式墩台，如无承台或系梁时，则以桩位处地面线为分界线， 地面线以下部分为灌注桩桩长，若图纸有标识的，按图纸标识为准。未经监理人批准，由于超钻而深于所需的桩长部分，将不予计量。</w:t>
      </w:r>
    </w:p>
    <w:p w14:paraId="382A786E">
      <w:pPr>
        <w:spacing w:line="360" w:lineRule="auto"/>
        <w:ind w:right="17" w:firstLine="480" w:firstLineChars="200"/>
        <w:jc w:val="left"/>
        <w:rPr>
          <w:rFonts w:hint="eastAsia" w:ascii="宋体" w:hAnsi="宋体"/>
          <w:color w:val="auto"/>
          <w:sz w:val="24"/>
          <w:highlight w:val="none"/>
        </w:rPr>
      </w:pPr>
      <w:r>
        <w:rPr>
          <w:rFonts w:hint="eastAsia" w:ascii="宋体" w:hAnsi="宋体"/>
          <w:color w:val="auto"/>
          <w:sz w:val="24"/>
          <w:highlight w:val="none"/>
        </w:rPr>
        <w:t>水中桩定义为桩基处于设计常水位水深1.5米以上（含1.5米），水面宽30米以上（含30米）的区域，需要填土筑岛、搭设工作台架等水上桩基础施工辅助措施。</w:t>
      </w:r>
    </w:p>
    <w:p w14:paraId="668B4BDA">
      <w:pPr>
        <w:spacing w:line="360" w:lineRule="auto"/>
        <w:ind w:right="17" w:firstLine="480" w:firstLineChars="200"/>
        <w:jc w:val="left"/>
        <w:rPr>
          <w:rFonts w:hint="eastAsia" w:ascii="宋体" w:hAnsi="宋体"/>
          <w:color w:val="auto"/>
          <w:sz w:val="24"/>
          <w:highlight w:val="none"/>
        </w:rPr>
      </w:pPr>
      <w:r>
        <w:rPr>
          <w:rFonts w:hint="eastAsia" w:ascii="宋体" w:hAnsi="宋体"/>
          <w:color w:val="auto"/>
          <w:sz w:val="24"/>
          <w:highlight w:val="none"/>
        </w:rPr>
        <w:t>海中桩定义为桩基处于海水中，设计海平面水深1.5米以上（含1.5米）的区域，需要填土筑岛、搭设工作台架等等水上桩基础施工辅助措施。</w:t>
      </w:r>
    </w:p>
    <w:p w14:paraId="4CC95A50">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开挖、钻孔、清孔、钻孔泥浆、</w:t>
      </w:r>
      <w:r>
        <w:rPr>
          <w:rFonts w:hint="eastAsia" w:ascii="宋体" w:hAnsi="宋体"/>
          <w:color w:val="auto"/>
          <w:sz w:val="24"/>
          <w:highlight w:val="none"/>
          <w:lang w:eastAsia="zh-CN"/>
        </w:rPr>
        <w:t>钢</w:t>
      </w:r>
      <w:r>
        <w:rPr>
          <w:rFonts w:hint="eastAsia" w:ascii="宋体" w:hAnsi="宋体"/>
          <w:color w:val="auto"/>
          <w:sz w:val="24"/>
          <w:highlight w:val="none"/>
        </w:rPr>
        <w:t>护筒、</w:t>
      </w:r>
      <w:r>
        <w:rPr>
          <w:rFonts w:hint="eastAsia" w:ascii="宋体" w:hAnsi="宋体"/>
          <w:color w:val="auto"/>
          <w:sz w:val="24"/>
          <w:highlight w:val="none"/>
          <w:lang w:eastAsia="zh-CN"/>
        </w:rPr>
        <w:t>检测管、</w:t>
      </w:r>
      <w:r>
        <w:rPr>
          <w:rFonts w:hint="eastAsia" w:ascii="宋体" w:hAnsi="宋体"/>
          <w:color w:val="auto"/>
          <w:sz w:val="24"/>
          <w:highlight w:val="none"/>
        </w:rPr>
        <w:t>混凝土、破桩头，以及必要时在水中填土筑岛、搭设工作台架及浮箱平台、栈桥等其他为完成工程的子目，作为钻孔灌注桩的附属工作，不另行计量。混凝土桩无破损检测及所预埋的钢管等材料，均作为混凝土的附属工作，不另行计量。海中桩基础设计所要求的防腐蚀措施及相应防腐蚀材料，均作为混凝土桩的附属工作，不另行计量。</w:t>
      </w:r>
    </w:p>
    <w:p w14:paraId="42F2D3B7">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钢筋在第403节内计量，列入403-1子目内。</w:t>
      </w:r>
    </w:p>
    <w:p w14:paraId="6F458F41">
      <w:pPr>
        <w:spacing w:line="360" w:lineRule="auto"/>
        <w:ind w:right="18" w:firstLine="420"/>
        <w:jc w:val="left"/>
        <w:rPr>
          <w:rFonts w:hint="eastAsia"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监理人要求钻取的芯样，经检验，如混凝土质量合格，钻取的芯样应予计量，否则不予计量。混凝土取芯按取回的混凝土芯样的长度以米计量。</w:t>
      </w:r>
    </w:p>
    <w:p w14:paraId="12E3A444">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2.支付</w:t>
      </w:r>
    </w:p>
    <w:p w14:paraId="21783C71">
      <w:pPr>
        <w:spacing w:line="360" w:lineRule="auto"/>
        <w:ind w:right="18" w:firstLine="420"/>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价支付。此项支付包括材料、劳力、设备、运输等及其他为完成钻孔灌注桩工程所必需的费用，是对完成工程的合部偿付。</w:t>
      </w:r>
    </w:p>
    <w:p w14:paraId="2E383DC7">
      <w:pPr>
        <w:spacing w:line="360" w:lineRule="auto"/>
        <w:ind w:right="18"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046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1426EA5">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B015850">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C235181">
            <w:pPr>
              <w:jc w:val="left"/>
              <w:rPr>
                <w:rFonts w:hint="eastAsia" w:ascii="宋体" w:hAnsi="宋体"/>
                <w:color w:val="auto"/>
                <w:sz w:val="24"/>
                <w:highlight w:val="none"/>
              </w:rPr>
            </w:pPr>
            <w:r>
              <w:rPr>
                <w:rFonts w:hint="eastAsia" w:ascii="宋体" w:hAnsi="宋体"/>
                <w:color w:val="auto"/>
                <w:sz w:val="24"/>
                <w:highlight w:val="none"/>
              </w:rPr>
              <w:t>单位</w:t>
            </w:r>
          </w:p>
        </w:tc>
      </w:tr>
      <w:tr w14:paraId="25B8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004A684">
            <w:pPr>
              <w:widowControl/>
              <w:jc w:val="left"/>
              <w:rPr>
                <w:rFonts w:ascii="宋体" w:hAnsi="宋体"/>
                <w:color w:val="auto"/>
                <w:sz w:val="24"/>
                <w:highlight w:val="none"/>
              </w:rPr>
            </w:pPr>
            <w:r>
              <w:rPr>
                <w:rFonts w:hint="eastAsia" w:ascii="宋体" w:hAnsi="宋体"/>
                <w:color w:val="auto"/>
                <w:sz w:val="24"/>
                <w:highlight w:val="none"/>
              </w:rPr>
              <w:t>405-1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C250500">
            <w:pPr>
              <w:widowControl/>
              <w:jc w:val="left"/>
              <w:rPr>
                <w:rFonts w:hint="eastAsia" w:ascii="宋体" w:hAnsi="宋体"/>
                <w:color w:val="auto"/>
                <w:sz w:val="24"/>
                <w:highlight w:val="none"/>
              </w:rPr>
            </w:pPr>
            <w:r>
              <w:rPr>
                <w:rFonts w:hint="eastAsia" w:ascii="宋体" w:hAnsi="宋体"/>
                <w:color w:val="auto"/>
                <w:sz w:val="24"/>
                <w:highlight w:val="none"/>
              </w:rPr>
              <w:t>陆上钻孔灌注桩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78CF13E">
            <w:pPr>
              <w:widowControl/>
              <w:jc w:val="left"/>
              <w:rPr>
                <w:rFonts w:hint="eastAsia" w:ascii="宋体" w:hAnsi="宋体"/>
                <w:color w:val="auto"/>
                <w:sz w:val="24"/>
                <w:highlight w:val="none"/>
              </w:rPr>
            </w:pPr>
          </w:p>
        </w:tc>
      </w:tr>
      <w:tr w14:paraId="0F09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C5B61DF">
            <w:pPr>
              <w:widowControl/>
              <w:jc w:val="left"/>
              <w:rPr>
                <w:rFonts w:hint="eastAsia" w:ascii="宋体" w:hAnsi="宋体"/>
                <w:color w:val="auto"/>
                <w:sz w:val="24"/>
                <w:highlight w:val="none"/>
              </w:rPr>
            </w:pPr>
            <w:r>
              <w:rPr>
                <w:rFonts w:hint="eastAsia" w:ascii="宋体" w:hAnsi="宋体"/>
                <w:color w:val="auto"/>
                <w:sz w:val="24"/>
                <w:highlight w:val="none"/>
              </w:rPr>
              <w:t>405-1-1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1F1142C">
            <w:pPr>
              <w:widowControl/>
              <w:jc w:val="left"/>
              <w:rPr>
                <w:rFonts w:hint="eastAsia" w:ascii="宋体" w:hAnsi="宋体"/>
                <w:color w:val="auto"/>
                <w:sz w:val="24"/>
                <w:highlight w:val="none"/>
              </w:rPr>
            </w:pPr>
            <w:r>
              <w:rPr>
                <w:rFonts w:hint="eastAsia" w:ascii="宋体" w:hAnsi="宋体"/>
                <w:color w:val="auto"/>
                <w:sz w:val="24"/>
                <w:highlight w:val="none"/>
              </w:rPr>
              <w:t>孔深60m以内的陆上钻孔灌注桩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905D4DC">
            <w:pPr>
              <w:widowControl/>
              <w:jc w:val="left"/>
              <w:rPr>
                <w:rFonts w:hint="eastAsia" w:ascii="宋体" w:hAnsi="宋体"/>
                <w:color w:val="auto"/>
                <w:sz w:val="24"/>
                <w:highlight w:val="none"/>
              </w:rPr>
            </w:pPr>
          </w:p>
        </w:tc>
      </w:tr>
      <w:tr w14:paraId="4384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4CA953D">
            <w:pPr>
              <w:widowControl/>
              <w:jc w:val="left"/>
              <w:rPr>
                <w:rFonts w:hint="eastAsia" w:ascii="宋体" w:hAnsi="宋体"/>
                <w:color w:val="auto"/>
                <w:sz w:val="24"/>
                <w:highlight w:val="none"/>
              </w:rPr>
            </w:pPr>
            <w:r>
              <w:rPr>
                <w:rFonts w:hint="eastAsia" w:ascii="宋体" w:hAnsi="宋体"/>
                <w:color w:val="auto"/>
                <w:sz w:val="24"/>
                <w:highlight w:val="none"/>
              </w:rPr>
              <w:t>405-1-1-1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C13368">
            <w:pPr>
              <w:widowControl/>
              <w:jc w:val="left"/>
              <w:rPr>
                <w:rFonts w:hint="eastAsia" w:ascii="宋体" w:hAnsi="宋体"/>
                <w:color w:val="auto"/>
                <w:sz w:val="24"/>
                <w:highlight w:val="none"/>
              </w:rPr>
            </w:pPr>
            <w:r>
              <w:rPr>
                <w:rFonts w:hint="eastAsia" w:ascii="宋体" w:hAnsi="宋体"/>
                <w:color w:val="auto"/>
                <w:sz w:val="24"/>
                <w:highlight w:val="none"/>
              </w:rPr>
              <w:t>桩径100cm以内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DD8084">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4753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3527C93">
            <w:pPr>
              <w:widowControl/>
              <w:jc w:val="left"/>
              <w:rPr>
                <w:rFonts w:hint="eastAsia" w:ascii="宋体" w:hAnsi="宋体"/>
                <w:color w:val="auto"/>
                <w:sz w:val="24"/>
                <w:highlight w:val="none"/>
              </w:rPr>
            </w:pPr>
            <w:r>
              <w:rPr>
                <w:rFonts w:hint="eastAsia" w:ascii="宋体" w:hAnsi="宋体"/>
                <w:color w:val="auto"/>
                <w:sz w:val="24"/>
                <w:highlight w:val="none"/>
              </w:rPr>
              <w:t>405-1-1-3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EAA5077">
            <w:pPr>
              <w:widowControl/>
              <w:jc w:val="left"/>
              <w:rPr>
                <w:rFonts w:hint="eastAsia" w:ascii="宋体" w:hAnsi="宋体"/>
                <w:color w:val="auto"/>
                <w:sz w:val="24"/>
                <w:highlight w:val="none"/>
              </w:rPr>
            </w:pPr>
            <w:r>
              <w:rPr>
                <w:rFonts w:hint="eastAsia" w:ascii="宋体" w:hAnsi="宋体"/>
                <w:color w:val="auto"/>
                <w:sz w:val="24"/>
                <w:highlight w:val="none"/>
              </w:rPr>
              <w:t>桩径120cm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D65EE0">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17FD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4378133">
            <w:pPr>
              <w:widowControl/>
              <w:jc w:val="left"/>
              <w:rPr>
                <w:rFonts w:hint="eastAsia" w:ascii="宋体" w:hAnsi="宋体"/>
                <w:color w:val="auto"/>
                <w:sz w:val="24"/>
                <w:highlight w:val="none"/>
              </w:rPr>
            </w:pPr>
            <w:r>
              <w:rPr>
                <w:rFonts w:hint="eastAsia" w:ascii="宋体" w:hAnsi="宋体"/>
                <w:color w:val="auto"/>
                <w:sz w:val="24"/>
                <w:highlight w:val="none"/>
              </w:rPr>
              <w:t>405-1-1-7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8B7753">
            <w:pPr>
              <w:widowControl/>
              <w:jc w:val="left"/>
              <w:rPr>
                <w:rFonts w:hint="eastAsia" w:ascii="宋体" w:hAnsi="宋体"/>
                <w:color w:val="auto"/>
                <w:sz w:val="24"/>
                <w:highlight w:val="none"/>
              </w:rPr>
            </w:pPr>
            <w:r>
              <w:rPr>
                <w:rFonts w:hint="eastAsia" w:ascii="宋体" w:hAnsi="宋体"/>
                <w:color w:val="auto"/>
                <w:sz w:val="24"/>
                <w:highlight w:val="none"/>
              </w:rPr>
              <w:t>桩径160cm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356FC11">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6EE4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5A96AD6">
            <w:pPr>
              <w:widowControl/>
              <w:jc w:val="left"/>
              <w:rPr>
                <w:rFonts w:hint="eastAsia" w:ascii="宋体" w:hAnsi="宋体"/>
                <w:color w:val="auto"/>
                <w:sz w:val="24"/>
                <w:highlight w:val="none"/>
              </w:rPr>
            </w:pPr>
            <w:r>
              <w:rPr>
                <w:rFonts w:hint="eastAsia" w:ascii="宋体" w:hAnsi="宋体"/>
                <w:color w:val="auto"/>
                <w:sz w:val="24"/>
                <w:highlight w:val="none"/>
              </w:rPr>
              <w:t>405-1-1-11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35E7161">
            <w:pPr>
              <w:widowControl/>
              <w:jc w:val="left"/>
              <w:rPr>
                <w:rFonts w:hint="eastAsia" w:ascii="宋体" w:hAnsi="宋体"/>
                <w:color w:val="auto"/>
                <w:sz w:val="24"/>
                <w:highlight w:val="none"/>
              </w:rPr>
            </w:pPr>
            <w:r>
              <w:rPr>
                <w:rFonts w:hint="eastAsia" w:ascii="宋体" w:hAnsi="宋体"/>
                <w:color w:val="auto"/>
                <w:sz w:val="24"/>
                <w:highlight w:val="none"/>
              </w:rPr>
              <w:t>桩径200cm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002A47">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6F8B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9AA429D">
            <w:pPr>
              <w:widowControl/>
              <w:jc w:val="left"/>
              <w:rPr>
                <w:rFonts w:hint="eastAsia" w:ascii="宋体" w:hAnsi="宋体"/>
                <w:color w:val="auto"/>
                <w:sz w:val="24"/>
                <w:highlight w:val="none"/>
              </w:rPr>
            </w:pPr>
            <w:r>
              <w:rPr>
                <w:rFonts w:hint="eastAsia" w:ascii="宋体" w:hAnsi="宋体"/>
                <w:color w:val="auto"/>
                <w:sz w:val="24"/>
                <w:highlight w:val="none"/>
              </w:rPr>
              <w:t>405-2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E8C81F">
            <w:pPr>
              <w:widowControl/>
              <w:jc w:val="left"/>
              <w:rPr>
                <w:rFonts w:hint="eastAsia" w:ascii="宋体" w:hAnsi="宋体"/>
                <w:color w:val="auto"/>
                <w:sz w:val="24"/>
                <w:highlight w:val="none"/>
              </w:rPr>
            </w:pPr>
            <w:r>
              <w:rPr>
                <w:rFonts w:hint="eastAsia" w:ascii="宋体" w:hAnsi="宋体"/>
                <w:color w:val="auto"/>
                <w:sz w:val="24"/>
                <w:highlight w:val="none"/>
              </w:rPr>
              <w:t>水中钻孔灌注桩（一般江河）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B45CF1F">
            <w:pPr>
              <w:widowControl/>
              <w:jc w:val="left"/>
              <w:rPr>
                <w:rFonts w:hint="eastAsia" w:ascii="宋体" w:hAnsi="宋体"/>
                <w:color w:val="auto"/>
                <w:sz w:val="24"/>
                <w:highlight w:val="none"/>
              </w:rPr>
            </w:pPr>
          </w:p>
        </w:tc>
      </w:tr>
      <w:tr w14:paraId="2D68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961A57F">
            <w:pPr>
              <w:widowControl/>
              <w:jc w:val="left"/>
              <w:rPr>
                <w:rFonts w:hint="eastAsia" w:ascii="宋体" w:hAnsi="宋体"/>
                <w:color w:val="auto"/>
                <w:sz w:val="24"/>
                <w:highlight w:val="none"/>
              </w:rPr>
            </w:pPr>
            <w:r>
              <w:rPr>
                <w:rFonts w:hint="eastAsia" w:ascii="宋体" w:hAnsi="宋体"/>
                <w:color w:val="auto"/>
                <w:sz w:val="24"/>
                <w:highlight w:val="none"/>
              </w:rPr>
              <w:t>405-2-1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D974A4A">
            <w:pPr>
              <w:widowControl/>
              <w:jc w:val="left"/>
              <w:rPr>
                <w:rFonts w:hint="eastAsia" w:ascii="宋体" w:hAnsi="宋体"/>
                <w:color w:val="auto"/>
                <w:sz w:val="24"/>
                <w:highlight w:val="none"/>
              </w:rPr>
            </w:pPr>
            <w:r>
              <w:rPr>
                <w:rFonts w:hint="eastAsia" w:ascii="宋体" w:hAnsi="宋体"/>
                <w:color w:val="auto"/>
                <w:sz w:val="24"/>
                <w:highlight w:val="none"/>
              </w:rPr>
              <w:t>孔深60m以内的水中钻孔灌注桩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340B5E">
            <w:pPr>
              <w:widowControl/>
              <w:jc w:val="left"/>
              <w:rPr>
                <w:rFonts w:hint="eastAsia" w:ascii="宋体" w:hAnsi="宋体"/>
                <w:color w:val="auto"/>
                <w:sz w:val="24"/>
                <w:highlight w:val="none"/>
              </w:rPr>
            </w:pPr>
          </w:p>
        </w:tc>
      </w:tr>
      <w:tr w14:paraId="1B6C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DF26060">
            <w:pPr>
              <w:widowControl/>
              <w:jc w:val="left"/>
              <w:rPr>
                <w:rFonts w:hint="eastAsia" w:ascii="宋体" w:hAnsi="宋体"/>
                <w:color w:val="auto"/>
                <w:sz w:val="24"/>
                <w:highlight w:val="none"/>
              </w:rPr>
            </w:pPr>
            <w:r>
              <w:rPr>
                <w:rFonts w:hint="eastAsia" w:ascii="宋体" w:hAnsi="宋体"/>
                <w:color w:val="auto"/>
                <w:sz w:val="24"/>
                <w:highlight w:val="none"/>
              </w:rPr>
              <w:t>405-2-1-13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8E115AB">
            <w:pPr>
              <w:widowControl/>
              <w:jc w:val="left"/>
              <w:rPr>
                <w:rFonts w:hint="eastAsia" w:ascii="宋体" w:hAnsi="宋体"/>
                <w:color w:val="auto"/>
                <w:sz w:val="24"/>
                <w:highlight w:val="none"/>
              </w:rPr>
            </w:pPr>
            <w:r>
              <w:rPr>
                <w:rFonts w:hint="eastAsia" w:ascii="宋体" w:hAnsi="宋体"/>
                <w:color w:val="auto"/>
                <w:sz w:val="24"/>
                <w:highlight w:val="none"/>
              </w:rPr>
              <w:t>桩径220cm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F85D20D">
            <w:pPr>
              <w:widowControl/>
              <w:jc w:val="left"/>
              <w:rPr>
                <w:rFonts w:hint="eastAsia" w:ascii="宋体" w:hAnsi="宋体"/>
                <w:color w:val="auto"/>
                <w:sz w:val="24"/>
                <w:highlight w:val="none"/>
              </w:rPr>
            </w:pPr>
            <w:r>
              <w:rPr>
                <w:rFonts w:hint="eastAsia" w:ascii="宋体" w:hAnsi="宋体"/>
                <w:color w:val="auto"/>
                <w:sz w:val="24"/>
                <w:highlight w:val="none"/>
              </w:rPr>
              <w:t>m</w:t>
            </w:r>
          </w:p>
        </w:tc>
      </w:tr>
    </w:tbl>
    <w:p w14:paraId="707B2EC9">
      <w:pPr>
        <w:snapToGrid w:val="0"/>
        <w:spacing w:line="360" w:lineRule="auto"/>
        <w:ind w:firstLine="564"/>
        <w:jc w:val="left"/>
        <w:rPr>
          <w:rFonts w:hint="eastAsia" w:ascii="宋体" w:hAnsi="宋体"/>
          <w:b/>
          <w:color w:val="auto"/>
          <w:sz w:val="28"/>
          <w:szCs w:val="28"/>
          <w:highlight w:val="none"/>
        </w:rPr>
      </w:pPr>
      <w:bookmarkStart w:id="47" w:name="第406节"/>
      <w:bookmarkEnd w:id="47"/>
      <w:bookmarkStart w:id="48" w:name="第408节"/>
      <w:bookmarkEnd w:id="48"/>
    </w:p>
    <w:p w14:paraId="191E43E9">
      <w:pPr>
        <w:snapToGrid w:val="0"/>
        <w:spacing w:line="360" w:lineRule="auto"/>
        <w:ind w:firstLine="564"/>
        <w:jc w:val="center"/>
        <w:rPr>
          <w:rFonts w:hint="eastAsia" w:ascii="宋体" w:hAnsi="宋体"/>
          <w:b/>
          <w:color w:val="auto"/>
          <w:sz w:val="28"/>
          <w:szCs w:val="28"/>
          <w:highlight w:val="none"/>
        </w:rPr>
      </w:pPr>
      <w:r>
        <w:rPr>
          <w:rFonts w:hint="eastAsia" w:ascii="宋体" w:hAnsi="宋体"/>
          <w:b/>
          <w:color w:val="auto"/>
          <w:sz w:val="28"/>
          <w:szCs w:val="28"/>
          <w:highlight w:val="none"/>
        </w:rPr>
        <w:t>第410节  结构混凝土工程</w:t>
      </w:r>
    </w:p>
    <w:p w14:paraId="10C6BB90">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6B399BA9">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(1)以图纸所示和监理人指示为依据，按现场已完工并经验收的混凝土，分别以不同结构类型及混凝土等级，以立方米计量。</w:t>
      </w:r>
    </w:p>
    <w:p w14:paraId="0E24D56F">
      <w:pPr>
        <w:snapToGrid w:val="0"/>
        <w:spacing w:line="360" w:lineRule="auto"/>
        <w:ind w:firstLine="600" w:firstLineChars="250"/>
        <w:jc w:val="left"/>
        <w:rPr>
          <w:rFonts w:hint="eastAsia" w:ascii="宋体" w:hAnsi="宋体"/>
          <w:color w:val="auto"/>
          <w:sz w:val="24"/>
          <w:highlight w:val="none"/>
        </w:rPr>
      </w:pPr>
      <w:r>
        <w:rPr>
          <w:rFonts w:hint="eastAsia" w:ascii="宋体" w:hAnsi="宋体"/>
          <w:color w:val="auto"/>
          <w:sz w:val="24"/>
          <w:highlight w:val="none"/>
        </w:rPr>
        <w:t>(2)直径小于200mm的管子、钢筋、锚固杆、管道、泄水孔或桩所占混凝土体积不予扣除。作为砌体砂浆的小石子混凝土，不另行计量。</w:t>
      </w:r>
    </w:p>
    <w:p w14:paraId="2AA9CE00">
      <w:pPr>
        <w:snapToGrid w:val="0"/>
        <w:spacing w:line="360" w:lineRule="auto"/>
        <w:ind w:firstLine="600" w:firstLineChars="250"/>
        <w:jc w:val="left"/>
        <w:rPr>
          <w:rFonts w:hint="eastAsia" w:ascii="宋体" w:hAnsi="宋体"/>
          <w:color w:val="auto"/>
          <w:sz w:val="24"/>
          <w:highlight w:val="none"/>
        </w:rPr>
      </w:pPr>
      <w:r>
        <w:rPr>
          <w:rFonts w:hint="eastAsia" w:ascii="宋体" w:hAnsi="宋体"/>
          <w:color w:val="auto"/>
          <w:sz w:val="24"/>
          <w:highlight w:val="none"/>
        </w:rPr>
        <w:t>(3)桥面铺装混凝土在第415节内计量与支付；结构钢筋在第403节内计量。</w:t>
      </w:r>
    </w:p>
    <w:p w14:paraId="1CD0C7C7">
      <w:pPr>
        <w:snapToGrid w:val="0"/>
        <w:spacing w:line="360" w:lineRule="auto"/>
        <w:ind w:firstLine="600" w:firstLineChars="250"/>
        <w:jc w:val="left"/>
        <w:rPr>
          <w:rFonts w:hint="eastAsia" w:ascii="宋体" w:hAnsi="宋体"/>
          <w:color w:val="auto"/>
          <w:sz w:val="24"/>
          <w:highlight w:val="none"/>
        </w:rPr>
      </w:pPr>
      <w:r>
        <w:rPr>
          <w:rFonts w:hint="eastAsia" w:ascii="宋体" w:hAnsi="宋体"/>
          <w:color w:val="auto"/>
          <w:sz w:val="24"/>
          <w:highlight w:val="none"/>
        </w:rPr>
        <w:t>(4)为完成结构物所用的施工缝连接钢筋、预制构件的预埋钢板、防护角钢或钢板、脚手架或支架及模板、排水设施、防水处理、基础底碎石垫层、混凝土养生、混凝土表面修整及为完成结构物的其他杂项子目，以及混凝土预制构件的安装架设设备拼装、移运、拆除和为安装所需的临时性或永久性的固定扣件、钢板、焊接、螺栓等，均作为各项相应混凝土工程的附属工作，不另行计量。</w:t>
      </w:r>
    </w:p>
    <w:p w14:paraId="41C36C49">
      <w:pPr>
        <w:snapToGrid w:val="0"/>
        <w:spacing w:line="360" w:lineRule="auto"/>
        <w:ind w:firstLine="360" w:firstLineChars="150"/>
        <w:jc w:val="left"/>
        <w:rPr>
          <w:rFonts w:hint="eastAsia" w:ascii="宋体" w:hAnsi="宋体"/>
          <w:color w:val="auto"/>
          <w:sz w:val="24"/>
          <w:highlight w:val="none"/>
        </w:rPr>
      </w:pPr>
      <w:r>
        <w:rPr>
          <w:rFonts w:hint="eastAsia" w:ascii="宋体" w:hAnsi="宋体"/>
          <w:color w:val="auto"/>
          <w:sz w:val="24"/>
          <w:highlight w:val="none"/>
        </w:rPr>
        <w:t>（5）构件的预制：以图纸所示或监理人指示为依据，按现场已完工并经验收的混凝土，分别以不同结构类型及混凝土等级，以立方米计量。预制构件所需的场地建设、吊装设备的安拆、构件的储存等均作为完成预制构件所需的附属工作，不另行计量。</w:t>
      </w:r>
    </w:p>
    <w:p w14:paraId="05E1C0EF">
      <w:pPr>
        <w:snapToGrid w:val="0"/>
        <w:spacing w:line="360" w:lineRule="auto"/>
        <w:ind w:firstLine="120" w:firstLineChars="50"/>
        <w:jc w:val="left"/>
        <w:rPr>
          <w:rFonts w:hint="eastAsia" w:ascii="宋体" w:hAnsi="宋体"/>
          <w:color w:val="auto"/>
          <w:sz w:val="24"/>
          <w:highlight w:val="none"/>
        </w:rPr>
      </w:pPr>
      <w:r>
        <w:rPr>
          <w:rFonts w:hint="eastAsia" w:ascii="宋体" w:hAnsi="宋体"/>
          <w:color w:val="auto"/>
          <w:sz w:val="24"/>
          <w:highlight w:val="none"/>
        </w:rPr>
        <w:t>构件的运输：以图纸所示或监理人指示为依据，按需要运输到安装现场的预制构件砼，分别以不同结构类型及混凝土等级，以立方米计量。其内容包含构件吊装上车、运输到安装现场。运输构件的道路、其他吊装、运输过程等辅助措施均作为完成构件运输的附属工作，不另行计量。</w:t>
      </w:r>
    </w:p>
    <w:p w14:paraId="2CEAA9B8">
      <w:pPr>
        <w:snapToGrid w:val="0"/>
        <w:spacing w:line="360" w:lineRule="auto"/>
        <w:ind w:firstLine="120" w:firstLineChars="50"/>
        <w:jc w:val="left"/>
        <w:rPr>
          <w:rFonts w:hint="eastAsia" w:ascii="宋体" w:hAnsi="宋体"/>
          <w:color w:val="auto"/>
          <w:sz w:val="24"/>
          <w:highlight w:val="none"/>
        </w:rPr>
      </w:pPr>
      <w:r>
        <w:rPr>
          <w:rFonts w:hint="eastAsia" w:ascii="宋体" w:hAnsi="宋体"/>
          <w:color w:val="auto"/>
          <w:sz w:val="24"/>
          <w:highlight w:val="none"/>
        </w:rPr>
        <w:t>构件的安装：以图纸所示或监理人指示为依据，按需要安装的预制构件砼，分别以不同结构类型及混凝土等级，以立方米计量。其内容包含构件吊装、桥上移位、安装至设计指定位置。安装设备拼装、移运、拆除和为安装所需的临时性或永久性的固定扣件、钢板、焊接、螺栓等，均作为各项相应混凝土工程的附属工作，不另行计量。</w:t>
      </w:r>
    </w:p>
    <w:p w14:paraId="31AD18EC">
      <w:pPr>
        <w:snapToGrid w:val="0"/>
        <w:spacing w:line="360" w:lineRule="auto"/>
        <w:ind w:firstLine="120" w:firstLineChars="50"/>
        <w:jc w:val="left"/>
        <w:rPr>
          <w:rFonts w:hint="eastAsia" w:ascii="宋体" w:hAnsi="宋体"/>
          <w:color w:val="auto"/>
          <w:sz w:val="24"/>
          <w:highlight w:val="none"/>
        </w:rPr>
      </w:pPr>
      <w:r>
        <w:rPr>
          <w:rFonts w:hint="eastAsia" w:ascii="宋体" w:hAnsi="宋体"/>
          <w:color w:val="auto"/>
          <w:sz w:val="24"/>
          <w:highlight w:val="none"/>
        </w:rPr>
        <w:t>构件的预制、运输、安装：按现场已完工并经验收的混凝土，分别以不同结构类型及混凝土等级，以立方米计量。为完成结构物所用预制构件的预埋钢板、防护角钢或钢板、脚手架或支架及模板、排水设施、防水处理、混凝土养生、混凝土表面修整及为完成结构物的其他杂项子目，以及混凝土预制构件的安装架设设备拼装、移运、拆除和为安装所需的临时性或永久性的固定扣件、钢板、焊接、螺栓等，均作为各项相应混凝土工程的附属工作，不另行计量。</w:t>
      </w:r>
    </w:p>
    <w:p w14:paraId="01F35F6A">
      <w:pPr>
        <w:snapToGrid w:val="0"/>
        <w:spacing w:line="360" w:lineRule="auto"/>
        <w:ind w:firstLine="564"/>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桥梁搭板下地基处理按图纸或监理人指定的不同材料分别以立方米计量。稳定土、级配碎（砾）石底基层及稳定土基层在第300章相关子目中计量与支付。</w:t>
      </w:r>
    </w:p>
    <w:p w14:paraId="3C541948">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07A0E666">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位支付。此项支付包括材料、劳力、设备、试验、运输、安装及其他为完成混凝土工程所必要的费用，是对完成工程的全部偿付。</w:t>
      </w:r>
    </w:p>
    <w:p w14:paraId="528DFA35">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2D5A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7EED6200">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2FE6DDC">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39DA3732">
            <w:pPr>
              <w:jc w:val="left"/>
              <w:rPr>
                <w:rFonts w:hint="eastAsia" w:ascii="宋体" w:hAnsi="宋体"/>
                <w:color w:val="auto"/>
                <w:sz w:val="24"/>
                <w:highlight w:val="none"/>
              </w:rPr>
            </w:pPr>
            <w:r>
              <w:rPr>
                <w:rFonts w:hint="eastAsia" w:ascii="宋体" w:hAnsi="宋体"/>
                <w:color w:val="auto"/>
                <w:sz w:val="24"/>
                <w:highlight w:val="none"/>
              </w:rPr>
              <w:t>单位</w:t>
            </w:r>
          </w:p>
        </w:tc>
      </w:tr>
      <w:tr w14:paraId="6E6E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01734452">
            <w:pPr>
              <w:widowControl/>
              <w:jc w:val="left"/>
              <w:rPr>
                <w:rFonts w:ascii="宋体" w:hAnsi="宋体"/>
                <w:color w:val="auto"/>
                <w:sz w:val="24"/>
                <w:highlight w:val="none"/>
              </w:rPr>
            </w:pPr>
            <w:r>
              <w:rPr>
                <w:rFonts w:hint="eastAsia" w:ascii="宋体" w:hAnsi="宋体"/>
                <w:color w:val="auto"/>
                <w:sz w:val="24"/>
                <w:highlight w:val="none"/>
              </w:rPr>
              <w:t>410</w:t>
            </w:r>
          </w:p>
        </w:tc>
        <w:tc>
          <w:tcPr>
            <w:tcW w:w="5400" w:type="dxa"/>
            <w:noWrap w:val="0"/>
            <w:vAlign w:val="center"/>
          </w:tcPr>
          <w:p w14:paraId="3C489626">
            <w:pPr>
              <w:widowControl/>
              <w:jc w:val="left"/>
              <w:rPr>
                <w:rFonts w:ascii="宋体" w:hAnsi="宋体"/>
                <w:color w:val="auto"/>
                <w:sz w:val="24"/>
                <w:highlight w:val="none"/>
              </w:rPr>
            </w:pPr>
            <w:r>
              <w:rPr>
                <w:rFonts w:hint="eastAsia" w:ascii="宋体" w:hAnsi="宋体"/>
                <w:color w:val="auto"/>
                <w:sz w:val="24"/>
                <w:highlight w:val="none"/>
              </w:rPr>
              <w:t>结构混凝土工程</w:t>
            </w:r>
          </w:p>
        </w:tc>
        <w:tc>
          <w:tcPr>
            <w:tcW w:w="1260" w:type="dxa"/>
            <w:noWrap w:val="0"/>
            <w:vAlign w:val="center"/>
          </w:tcPr>
          <w:p w14:paraId="56372056">
            <w:pPr>
              <w:widowControl/>
              <w:jc w:val="left"/>
              <w:rPr>
                <w:rFonts w:ascii="宋体" w:hAnsi="宋体"/>
                <w:color w:val="auto"/>
                <w:sz w:val="24"/>
                <w:highlight w:val="none"/>
              </w:rPr>
            </w:pPr>
          </w:p>
        </w:tc>
      </w:tr>
      <w:tr w14:paraId="36D9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590FB69">
            <w:pPr>
              <w:widowControl/>
              <w:jc w:val="left"/>
              <w:rPr>
                <w:rFonts w:ascii="宋体" w:hAnsi="宋体"/>
                <w:color w:val="auto"/>
                <w:sz w:val="24"/>
                <w:highlight w:val="none"/>
              </w:rPr>
            </w:pPr>
            <w:r>
              <w:rPr>
                <w:rFonts w:hint="eastAsia" w:ascii="宋体" w:hAnsi="宋体"/>
                <w:color w:val="auto"/>
                <w:sz w:val="24"/>
                <w:highlight w:val="none"/>
              </w:rPr>
              <w:t>410-1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83E737D">
            <w:pPr>
              <w:widowControl/>
              <w:jc w:val="left"/>
              <w:rPr>
                <w:rFonts w:hint="eastAsia" w:ascii="宋体" w:hAnsi="宋体"/>
                <w:color w:val="auto"/>
                <w:sz w:val="24"/>
                <w:highlight w:val="none"/>
              </w:rPr>
            </w:pPr>
            <w:r>
              <w:rPr>
                <w:rFonts w:hint="eastAsia" w:ascii="宋体" w:hAnsi="宋体"/>
                <w:color w:val="auto"/>
                <w:sz w:val="24"/>
                <w:highlight w:val="none"/>
              </w:rPr>
              <w:t>混凝土基础（包括支撑梁、桩基承台、基础系梁，但不包括桩基和沉井）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CACCCB9">
            <w:pPr>
              <w:widowControl/>
              <w:jc w:val="left"/>
              <w:rPr>
                <w:rFonts w:hint="eastAsia" w:ascii="宋体" w:hAnsi="宋体"/>
                <w:color w:val="auto"/>
                <w:sz w:val="24"/>
                <w:highlight w:val="none"/>
              </w:rPr>
            </w:pPr>
          </w:p>
        </w:tc>
      </w:tr>
      <w:tr w14:paraId="5E8E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BCD4886">
            <w:pPr>
              <w:widowControl/>
              <w:jc w:val="left"/>
              <w:rPr>
                <w:rFonts w:hint="eastAsia" w:ascii="宋体" w:hAnsi="宋体"/>
                <w:color w:val="auto"/>
                <w:sz w:val="24"/>
                <w:highlight w:val="none"/>
              </w:rPr>
            </w:pPr>
            <w:r>
              <w:rPr>
                <w:rFonts w:hint="eastAsia" w:ascii="宋体" w:hAnsi="宋体"/>
                <w:color w:val="auto"/>
                <w:sz w:val="24"/>
                <w:highlight w:val="none"/>
              </w:rPr>
              <w:t>410-1-4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43CB69">
            <w:pPr>
              <w:widowControl/>
              <w:jc w:val="left"/>
              <w:rPr>
                <w:rFonts w:hint="eastAsia" w:ascii="宋体" w:hAnsi="宋体"/>
                <w:color w:val="auto"/>
                <w:sz w:val="24"/>
                <w:highlight w:val="none"/>
              </w:rPr>
            </w:pPr>
            <w:r>
              <w:rPr>
                <w:rFonts w:hint="eastAsia" w:ascii="宋体" w:hAnsi="宋体"/>
                <w:color w:val="auto"/>
                <w:sz w:val="24"/>
                <w:highlight w:val="none"/>
              </w:rPr>
              <w:t>C30混凝土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0021D6">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4742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DD76444">
            <w:pPr>
              <w:widowControl/>
              <w:jc w:val="left"/>
              <w:rPr>
                <w:rFonts w:hint="eastAsia" w:ascii="宋体" w:hAnsi="宋体"/>
                <w:color w:val="auto"/>
                <w:sz w:val="24"/>
                <w:highlight w:val="none"/>
              </w:rPr>
            </w:pPr>
            <w:r>
              <w:rPr>
                <w:rFonts w:hint="eastAsia" w:ascii="宋体" w:hAnsi="宋体"/>
                <w:color w:val="auto"/>
                <w:sz w:val="24"/>
                <w:highlight w:val="none"/>
              </w:rPr>
              <w:t>410-1-5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2E04EA6">
            <w:pPr>
              <w:widowControl/>
              <w:jc w:val="left"/>
              <w:rPr>
                <w:rFonts w:hint="eastAsia" w:ascii="宋体" w:hAnsi="宋体"/>
                <w:color w:val="auto"/>
                <w:sz w:val="24"/>
                <w:highlight w:val="none"/>
              </w:rPr>
            </w:pPr>
            <w:r>
              <w:rPr>
                <w:rFonts w:hint="eastAsia" w:ascii="宋体" w:hAnsi="宋体"/>
                <w:color w:val="auto"/>
                <w:sz w:val="24"/>
                <w:highlight w:val="none"/>
              </w:rPr>
              <w:t>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7A80F18">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5AE7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924197A">
            <w:pPr>
              <w:widowControl/>
              <w:jc w:val="left"/>
              <w:rPr>
                <w:rFonts w:hint="eastAsia" w:ascii="宋体" w:hAnsi="宋体"/>
                <w:color w:val="auto"/>
                <w:sz w:val="24"/>
                <w:highlight w:val="none"/>
              </w:rPr>
            </w:pPr>
            <w:r>
              <w:rPr>
                <w:rFonts w:hint="eastAsia" w:ascii="宋体" w:hAnsi="宋体"/>
                <w:color w:val="auto"/>
                <w:sz w:val="24"/>
                <w:highlight w:val="none"/>
              </w:rPr>
              <w:t>410-2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8746DC8">
            <w:pPr>
              <w:widowControl/>
              <w:jc w:val="left"/>
              <w:rPr>
                <w:rFonts w:hint="eastAsia" w:ascii="宋体" w:hAnsi="宋体"/>
                <w:color w:val="auto"/>
                <w:sz w:val="24"/>
                <w:highlight w:val="none"/>
              </w:rPr>
            </w:pPr>
            <w:r>
              <w:rPr>
                <w:rFonts w:hint="eastAsia" w:ascii="宋体" w:hAnsi="宋体"/>
                <w:color w:val="auto"/>
                <w:sz w:val="24"/>
                <w:highlight w:val="none"/>
              </w:rPr>
              <w:t>混凝土下部结构（包括墩柱、台身、盖梁、墩间系梁、耳背墙等）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D34C8E">
            <w:pPr>
              <w:widowControl/>
              <w:jc w:val="left"/>
              <w:rPr>
                <w:rFonts w:hint="eastAsia" w:ascii="宋体" w:hAnsi="宋体"/>
                <w:color w:val="auto"/>
                <w:sz w:val="24"/>
                <w:highlight w:val="none"/>
              </w:rPr>
            </w:pPr>
          </w:p>
        </w:tc>
      </w:tr>
      <w:tr w14:paraId="6C4B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B8E0105">
            <w:pPr>
              <w:widowControl/>
              <w:jc w:val="left"/>
              <w:rPr>
                <w:rFonts w:hint="eastAsia" w:ascii="宋体" w:hAnsi="宋体"/>
                <w:color w:val="auto"/>
                <w:sz w:val="24"/>
                <w:highlight w:val="none"/>
              </w:rPr>
            </w:pPr>
            <w:r>
              <w:rPr>
                <w:rFonts w:hint="eastAsia" w:ascii="宋体" w:hAnsi="宋体"/>
                <w:color w:val="auto"/>
                <w:sz w:val="24"/>
                <w:highlight w:val="none"/>
              </w:rPr>
              <w:t>410-2-6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36BE5F0">
            <w:pPr>
              <w:widowControl/>
              <w:jc w:val="left"/>
              <w:rPr>
                <w:rFonts w:hint="eastAsia" w:ascii="宋体" w:hAnsi="宋体"/>
                <w:color w:val="auto"/>
                <w:sz w:val="24"/>
                <w:highlight w:val="none"/>
              </w:rPr>
            </w:pPr>
            <w:r>
              <w:rPr>
                <w:rFonts w:hint="eastAsia" w:ascii="宋体" w:hAnsi="宋体"/>
                <w:color w:val="auto"/>
                <w:sz w:val="24"/>
                <w:highlight w:val="none"/>
              </w:rPr>
              <w:t>C40混凝土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4CCA57">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0907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1D9F0A2">
            <w:pPr>
              <w:widowControl/>
              <w:jc w:val="left"/>
              <w:rPr>
                <w:rFonts w:hint="eastAsia" w:ascii="宋体" w:hAnsi="宋体"/>
                <w:color w:val="auto"/>
                <w:sz w:val="24"/>
                <w:highlight w:val="none"/>
              </w:rPr>
            </w:pPr>
            <w:r>
              <w:rPr>
                <w:rFonts w:hint="eastAsia" w:ascii="宋体" w:hAnsi="宋体"/>
                <w:color w:val="auto"/>
                <w:sz w:val="24"/>
                <w:highlight w:val="none"/>
              </w:rPr>
              <w:t>410-3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65B5DF">
            <w:pPr>
              <w:widowControl/>
              <w:jc w:val="left"/>
              <w:rPr>
                <w:rFonts w:hint="eastAsia" w:ascii="宋体" w:hAnsi="宋体"/>
                <w:color w:val="auto"/>
                <w:sz w:val="24"/>
                <w:highlight w:val="none"/>
              </w:rPr>
            </w:pPr>
            <w:r>
              <w:rPr>
                <w:rFonts w:hint="eastAsia" w:ascii="宋体" w:hAnsi="宋体"/>
                <w:color w:val="auto"/>
                <w:sz w:val="24"/>
                <w:highlight w:val="none"/>
              </w:rPr>
              <w:t>现浇混凝土上部结构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DFCCD7">
            <w:pPr>
              <w:widowControl/>
              <w:jc w:val="left"/>
              <w:rPr>
                <w:rFonts w:hint="eastAsia" w:ascii="宋体" w:hAnsi="宋体"/>
                <w:color w:val="auto"/>
                <w:sz w:val="24"/>
                <w:highlight w:val="none"/>
              </w:rPr>
            </w:pPr>
          </w:p>
        </w:tc>
      </w:tr>
      <w:tr w14:paraId="7416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568308D">
            <w:pPr>
              <w:widowControl/>
              <w:jc w:val="left"/>
              <w:rPr>
                <w:rFonts w:hint="eastAsia" w:ascii="宋体" w:hAnsi="宋体"/>
                <w:color w:val="auto"/>
                <w:sz w:val="24"/>
                <w:highlight w:val="none"/>
              </w:rPr>
            </w:pPr>
            <w:r>
              <w:rPr>
                <w:rFonts w:hint="eastAsia" w:ascii="宋体" w:hAnsi="宋体"/>
                <w:color w:val="auto"/>
                <w:sz w:val="24"/>
                <w:highlight w:val="none"/>
              </w:rPr>
              <w:t>410-3-6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225F8E6">
            <w:pPr>
              <w:widowControl/>
              <w:jc w:val="left"/>
              <w:rPr>
                <w:rFonts w:hint="eastAsia" w:ascii="宋体" w:hAnsi="宋体"/>
                <w:color w:val="auto"/>
                <w:sz w:val="24"/>
                <w:highlight w:val="none"/>
              </w:rPr>
            </w:pPr>
            <w:r>
              <w:rPr>
                <w:rFonts w:hint="eastAsia" w:ascii="宋体" w:hAnsi="宋体"/>
                <w:color w:val="auto"/>
                <w:sz w:val="24"/>
                <w:highlight w:val="none"/>
              </w:rPr>
              <w:t>C40混凝土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A134E7">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7E6B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9103FA4">
            <w:pPr>
              <w:widowControl/>
              <w:jc w:val="left"/>
              <w:rPr>
                <w:rFonts w:hint="eastAsia" w:ascii="宋体" w:hAnsi="宋体"/>
                <w:color w:val="auto"/>
                <w:sz w:val="24"/>
                <w:highlight w:val="none"/>
              </w:rPr>
            </w:pPr>
            <w:r>
              <w:rPr>
                <w:rFonts w:hint="eastAsia" w:ascii="宋体" w:hAnsi="宋体"/>
                <w:color w:val="auto"/>
                <w:sz w:val="24"/>
                <w:highlight w:val="none"/>
              </w:rPr>
              <w:t>410-5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D552258">
            <w:pPr>
              <w:widowControl/>
              <w:jc w:val="left"/>
              <w:rPr>
                <w:rFonts w:hint="eastAsia" w:ascii="宋体" w:hAnsi="宋体"/>
                <w:color w:val="auto"/>
                <w:sz w:val="24"/>
                <w:highlight w:val="none"/>
              </w:rPr>
            </w:pPr>
            <w:r>
              <w:rPr>
                <w:rFonts w:hint="eastAsia" w:ascii="宋体" w:hAnsi="宋体"/>
                <w:color w:val="auto"/>
                <w:sz w:val="24"/>
                <w:highlight w:val="none"/>
              </w:rPr>
              <w:t>上部结构现浇整体化混凝土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3DD554">
            <w:pPr>
              <w:widowControl/>
              <w:jc w:val="left"/>
              <w:rPr>
                <w:rFonts w:hint="eastAsia" w:ascii="宋体" w:hAnsi="宋体"/>
                <w:color w:val="auto"/>
                <w:sz w:val="24"/>
                <w:highlight w:val="none"/>
              </w:rPr>
            </w:pPr>
          </w:p>
        </w:tc>
      </w:tr>
      <w:tr w14:paraId="24D5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6FE7C4C">
            <w:pPr>
              <w:widowControl/>
              <w:jc w:val="left"/>
              <w:rPr>
                <w:rFonts w:hint="eastAsia" w:ascii="宋体" w:hAnsi="宋体"/>
                <w:color w:val="auto"/>
                <w:sz w:val="24"/>
                <w:highlight w:val="none"/>
              </w:rPr>
            </w:pPr>
            <w:r>
              <w:rPr>
                <w:rFonts w:hint="eastAsia" w:ascii="宋体" w:hAnsi="宋体"/>
                <w:color w:val="auto"/>
                <w:sz w:val="24"/>
                <w:highlight w:val="none"/>
              </w:rPr>
              <w:t>410-5-7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3DB3C42">
            <w:pPr>
              <w:widowControl/>
              <w:jc w:val="left"/>
              <w:rPr>
                <w:rFonts w:hint="eastAsia" w:ascii="宋体" w:hAnsi="宋体"/>
                <w:color w:val="auto"/>
                <w:sz w:val="24"/>
                <w:highlight w:val="none"/>
              </w:rPr>
            </w:pPr>
            <w:r>
              <w:rPr>
                <w:rFonts w:hint="eastAsia" w:ascii="宋体" w:hAnsi="宋体"/>
                <w:color w:val="auto"/>
                <w:sz w:val="24"/>
                <w:highlight w:val="none"/>
              </w:rPr>
              <w:t>C50混凝土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5BEFE8D">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4EEB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6EC4713">
            <w:pPr>
              <w:widowControl/>
              <w:jc w:val="left"/>
              <w:rPr>
                <w:rFonts w:hint="eastAsia" w:ascii="宋体" w:hAnsi="宋体"/>
                <w:color w:val="auto"/>
                <w:sz w:val="24"/>
                <w:highlight w:val="none"/>
              </w:rPr>
            </w:pPr>
            <w:r>
              <w:rPr>
                <w:rFonts w:hint="eastAsia" w:ascii="宋体" w:hAnsi="宋体"/>
                <w:color w:val="auto"/>
                <w:sz w:val="24"/>
                <w:highlight w:val="none"/>
              </w:rPr>
              <w:t>410-6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D0586D">
            <w:pPr>
              <w:widowControl/>
              <w:jc w:val="left"/>
              <w:rPr>
                <w:rFonts w:hint="eastAsia" w:ascii="宋体" w:hAnsi="宋体"/>
                <w:color w:val="auto"/>
                <w:sz w:val="24"/>
                <w:highlight w:val="none"/>
              </w:rPr>
            </w:pPr>
            <w:r>
              <w:rPr>
                <w:rFonts w:hint="eastAsia" w:ascii="宋体" w:hAnsi="宋体"/>
                <w:color w:val="auto"/>
                <w:sz w:val="24"/>
                <w:highlight w:val="none"/>
              </w:rPr>
              <w:t>现浇混凝土附属结构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B82E6F">
            <w:pPr>
              <w:widowControl/>
              <w:jc w:val="left"/>
              <w:rPr>
                <w:rFonts w:hint="eastAsia" w:ascii="宋体" w:hAnsi="宋体"/>
                <w:color w:val="auto"/>
                <w:sz w:val="24"/>
                <w:highlight w:val="none"/>
              </w:rPr>
            </w:pPr>
          </w:p>
        </w:tc>
      </w:tr>
      <w:tr w14:paraId="2940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66E4377">
            <w:pPr>
              <w:widowControl/>
              <w:jc w:val="left"/>
              <w:rPr>
                <w:rFonts w:hint="eastAsia" w:ascii="宋体" w:hAnsi="宋体"/>
                <w:color w:val="auto"/>
                <w:sz w:val="24"/>
                <w:highlight w:val="none"/>
              </w:rPr>
            </w:pPr>
            <w:r>
              <w:rPr>
                <w:rFonts w:hint="eastAsia" w:ascii="宋体" w:hAnsi="宋体"/>
                <w:color w:val="auto"/>
                <w:sz w:val="24"/>
                <w:highlight w:val="none"/>
              </w:rPr>
              <w:t>410-6-4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969A45">
            <w:pPr>
              <w:widowControl/>
              <w:jc w:val="left"/>
              <w:rPr>
                <w:rFonts w:hint="eastAsia" w:ascii="宋体" w:hAnsi="宋体"/>
                <w:color w:val="auto"/>
                <w:sz w:val="24"/>
                <w:highlight w:val="none"/>
              </w:rPr>
            </w:pPr>
            <w:r>
              <w:rPr>
                <w:rFonts w:hint="eastAsia" w:ascii="宋体" w:hAnsi="宋体"/>
                <w:color w:val="auto"/>
                <w:sz w:val="24"/>
                <w:highlight w:val="none"/>
              </w:rPr>
              <w:t>C30混凝土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4D1FB0">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04E4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F64D20D">
            <w:pPr>
              <w:widowControl/>
              <w:jc w:val="left"/>
              <w:rPr>
                <w:rFonts w:hint="eastAsia" w:ascii="宋体" w:hAnsi="宋体"/>
                <w:color w:val="auto"/>
                <w:sz w:val="24"/>
                <w:highlight w:val="none"/>
              </w:rPr>
            </w:pPr>
            <w:r>
              <w:rPr>
                <w:rFonts w:hint="eastAsia" w:ascii="宋体" w:hAnsi="宋体"/>
                <w:color w:val="auto"/>
                <w:sz w:val="24"/>
                <w:highlight w:val="none"/>
              </w:rPr>
              <w:t>410-6-5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46C4451">
            <w:pPr>
              <w:widowControl/>
              <w:jc w:val="left"/>
              <w:rPr>
                <w:rFonts w:hint="eastAsia" w:ascii="宋体" w:hAnsi="宋体"/>
                <w:color w:val="auto"/>
                <w:sz w:val="24"/>
                <w:highlight w:val="none"/>
              </w:rPr>
            </w:pPr>
            <w:r>
              <w:rPr>
                <w:rFonts w:hint="eastAsia" w:ascii="宋体" w:hAnsi="宋体"/>
                <w:color w:val="auto"/>
                <w:sz w:val="24"/>
                <w:highlight w:val="none"/>
              </w:rPr>
              <w:t>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9490E0">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4882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62B367E">
            <w:pPr>
              <w:widowControl/>
              <w:jc w:val="left"/>
              <w:rPr>
                <w:rFonts w:hint="eastAsia" w:ascii="宋体" w:hAnsi="宋体"/>
                <w:color w:val="auto"/>
                <w:sz w:val="24"/>
                <w:highlight w:val="none"/>
              </w:rPr>
            </w:pPr>
            <w:r>
              <w:rPr>
                <w:rFonts w:hint="eastAsia" w:ascii="宋体" w:hAnsi="宋体"/>
                <w:color w:val="auto"/>
                <w:sz w:val="24"/>
                <w:highlight w:val="none"/>
              </w:rPr>
              <w:t>410-6-6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3E7893">
            <w:pPr>
              <w:widowControl/>
              <w:jc w:val="left"/>
              <w:rPr>
                <w:rFonts w:hint="eastAsia" w:ascii="宋体" w:hAnsi="宋体"/>
                <w:color w:val="auto"/>
                <w:sz w:val="24"/>
                <w:highlight w:val="none"/>
              </w:rPr>
            </w:pPr>
            <w:r>
              <w:rPr>
                <w:rFonts w:hint="eastAsia" w:ascii="宋体" w:hAnsi="宋体"/>
                <w:color w:val="auto"/>
                <w:sz w:val="24"/>
                <w:highlight w:val="none"/>
              </w:rPr>
              <w:t>C40混凝土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FDE1E3A">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49EF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D6DF34A">
            <w:pPr>
              <w:widowControl/>
              <w:jc w:val="left"/>
              <w:rPr>
                <w:rFonts w:hint="eastAsia" w:ascii="宋体" w:hAnsi="宋体"/>
                <w:color w:val="auto"/>
                <w:sz w:val="24"/>
                <w:highlight w:val="none"/>
              </w:rPr>
            </w:pPr>
            <w:r>
              <w:rPr>
                <w:rFonts w:hint="eastAsia" w:ascii="宋体" w:hAnsi="宋体"/>
                <w:color w:val="auto"/>
                <w:sz w:val="24"/>
                <w:highlight w:val="none"/>
              </w:rPr>
              <w:t>410-6-7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27900A">
            <w:pPr>
              <w:widowControl/>
              <w:jc w:val="left"/>
              <w:rPr>
                <w:rFonts w:hint="eastAsia" w:ascii="宋体" w:hAnsi="宋体"/>
                <w:color w:val="auto"/>
                <w:sz w:val="24"/>
                <w:highlight w:val="none"/>
              </w:rPr>
            </w:pPr>
            <w:r>
              <w:rPr>
                <w:rFonts w:hint="eastAsia" w:ascii="宋体" w:hAnsi="宋体"/>
                <w:color w:val="auto"/>
                <w:sz w:val="24"/>
                <w:highlight w:val="none"/>
              </w:rPr>
              <w:t>C50混凝土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5C28475">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31A5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2DB2F2B">
            <w:pPr>
              <w:widowControl/>
              <w:jc w:val="left"/>
              <w:rPr>
                <w:rFonts w:hint="eastAsia" w:ascii="宋体" w:hAnsi="宋体"/>
                <w:color w:val="auto"/>
                <w:sz w:val="24"/>
                <w:highlight w:val="none"/>
              </w:rPr>
            </w:pPr>
            <w:r>
              <w:rPr>
                <w:rFonts w:hint="eastAsia" w:ascii="宋体" w:hAnsi="宋体"/>
                <w:color w:val="auto"/>
                <w:sz w:val="24"/>
                <w:highlight w:val="none"/>
              </w:rPr>
              <w:t>410-6-8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B85263">
            <w:pPr>
              <w:widowControl/>
              <w:jc w:val="left"/>
              <w:rPr>
                <w:rFonts w:hint="eastAsia" w:ascii="宋体" w:hAnsi="宋体"/>
                <w:color w:val="auto"/>
                <w:sz w:val="24"/>
                <w:highlight w:val="none"/>
              </w:rPr>
            </w:pPr>
            <w:r>
              <w:rPr>
                <w:rFonts w:hint="eastAsia" w:ascii="宋体" w:hAnsi="宋体"/>
                <w:color w:val="auto"/>
                <w:sz w:val="24"/>
                <w:highlight w:val="none"/>
              </w:rPr>
              <w:t>C50混凝土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E335838">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1B2C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DFC8870">
            <w:pPr>
              <w:widowControl/>
              <w:jc w:val="left"/>
              <w:rPr>
                <w:rFonts w:hint="eastAsia" w:ascii="宋体" w:hAnsi="宋体"/>
                <w:color w:val="auto"/>
                <w:sz w:val="24"/>
                <w:highlight w:val="none"/>
              </w:rPr>
            </w:pPr>
            <w:r>
              <w:rPr>
                <w:rFonts w:hint="eastAsia" w:ascii="宋体" w:hAnsi="宋体"/>
                <w:color w:val="auto"/>
                <w:sz w:val="24"/>
                <w:highlight w:val="none"/>
              </w:rPr>
              <w:t>410-6-9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D0D0CD">
            <w:pPr>
              <w:widowControl/>
              <w:jc w:val="left"/>
              <w:rPr>
                <w:rFonts w:hint="eastAsia" w:ascii="宋体" w:hAnsi="宋体"/>
                <w:color w:val="auto"/>
                <w:sz w:val="24"/>
                <w:highlight w:val="none"/>
              </w:rPr>
            </w:pPr>
            <w:r>
              <w:rPr>
                <w:rFonts w:hint="eastAsia" w:ascii="宋体" w:hAnsi="宋体"/>
                <w:color w:val="auto"/>
                <w:sz w:val="24"/>
                <w:highlight w:val="none"/>
              </w:rPr>
              <w:t>C50钢纤维砼</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A22467D">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1E4D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562085B">
            <w:pPr>
              <w:widowControl/>
              <w:jc w:val="left"/>
              <w:rPr>
                <w:rFonts w:hint="eastAsia" w:ascii="宋体" w:hAnsi="宋体"/>
                <w:color w:val="auto"/>
                <w:sz w:val="24"/>
                <w:highlight w:val="none"/>
              </w:rPr>
            </w:pPr>
            <w:r>
              <w:rPr>
                <w:rFonts w:hint="eastAsia" w:ascii="宋体" w:hAnsi="宋体"/>
                <w:color w:val="auto"/>
                <w:sz w:val="24"/>
                <w:highlight w:val="none"/>
              </w:rPr>
              <w:t>410-7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FD469B8">
            <w:pPr>
              <w:widowControl/>
              <w:jc w:val="left"/>
              <w:rPr>
                <w:rFonts w:hint="eastAsia" w:ascii="宋体" w:hAnsi="宋体"/>
                <w:color w:val="auto"/>
                <w:sz w:val="24"/>
                <w:highlight w:val="none"/>
              </w:rPr>
            </w:pPr>
            <w:r>
              <w:rPr>
                <w:rFonts w:hint="eastAsia" w:ascii="宋体" w:hAnsi="宋体"/>
                <w:color w:val="auto"/>
                <w:sz w:val="24"/>
                <w:highlight w:val="none"/>
              </w:rPr>
              <w:t>预制安装混凝土附属结构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7EBFC86">
            <w:pPr>
              <w:widowControl/>
              <w:jc w:val="left"/>
              <w:rPr>
                <w:rFonts w:hint="eastAsia" w:ascii="宋体" w:hAnsi="宋体"/>
                <w:color w:val="auto"/>
                <w:sz w:val="24"/>
                <w:highlight w:val="none"/>
              </w:rPr>
            </w:pPr>
          </w:p>
        </w:tc>
      </w:tr>
      <w:tr w14:paraId="74D7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A470EAD">
            <w:pPr>
              <w:widowControl/>
              <w:jc w:val="left"/>
              <w:rPr>
                <w:rFonts w:hint="eastAsia" w:ascii="宋体" w:hAnsi="宋体"/>
                <w:color w:val="auto"/>
                <w:sz w:val="24"/>
                <w:highlight w:val="none"/>
              </w:rPr>
            </w:pPr>
            <w:r>
              <w:rPr>
                <w:rFonts w:hint="eastAsia" w:ascii="宋体" w:hAnsi="宋体"/>
                <w:color w:val="auto"/>
                <w:sz w:val="24"/>
                <w:highlight w:val="none"/>
              </w:rPr>
              <w:t>410-7-4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BC7749C">
            <w:pPr>
              <w:widowControl/>
              <w:jc w:val="left"/>
              <w:rPr>
                <w:rFonts w:hint="eastAsia" w:ascii="宋体" w:hAnsi="宋体"/>
                <w:color w:val="auto"/>
                <w:sz w:val="24"/>
                <w:highlight w:val="none"/>
              </w:rPr>
            </w:pPr>
            <w:r>
              <w:rPr>
                <w:rFonts w:hint="eastAsia" w:ascii="宋体" w:hAnsi="宋体"/>
                <w:color w:val="auto"/>
                <w:sz w:val="24"/>
                <w:highlight w:val="none"/>
              </w:rPr>
              <w:t>混凝土附属结构（含预制、安装、运输）</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1D8F36">
            <w:pPr>
              <w:widowControl/>
              <w:jc w:val="left"/>
              <w:rPr>
                <w:rFonts w:hint="eastAsia" w:ascii="宋体" w:hAnsi="宋体"/>
                <w:color w:val="auto"/>
                <w:sz w:val="24"/>
                <w:highlight w:val="none"/>
              </w:rPr>
            </w:pPr>
          </w:p>
        </w:tc>
      </w:tr>
      <w:tr w14:paraId="79CB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E66F58D">
            <w:pPr>
              <w:widowControl/>
              <w:jc w:val="left"/>
              <w:rPr>
                <w:rFonts w:hint="eastAsia" w:ascii="宋体" w:hAnsi="宋体"/>
                <w:color w:val="auto"/>
                <w:sz w:val="24"/>
                <w:highlight w:val="none"/>
              </w:rPr>
            </w:pPr>
            <w:r>
              <w:rPr>
                <w:rFonts w:hint="eastAsia" w:ascii="宋体" w:hAnsi="宋体"/>
                <w:color w:val="auto"/>
                <w:sz w:val="24"/>
                <w:highlight w:val="none"/>
              </w:rPr>
              <w:t>410-7-4-3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C23D3F3">
            <w:pPr>
              <w:widowControl/>
              <w:jc w:val="left"/>
              <w:rPr>
                <w:rFonts w:hint="eastAsia" w:ascii="宋体" w:hAnsi="宋体"/>
                <w:color w:val="auto"/>
                <w:sz w:val="24"/>
                <w:highlight w:val="none"/>
              </w:rPr>
            </w:pPr>
            <w:r>
              <w:rPr>
                <w:rFonts w:hint="eastAsia" w:ascii="宋体" w:hAnsi="宋体"/>
                <w:color w:val="auto"/>
                <w:sz w:val="24"/>
                <w:highlight w:val="none"/>
              </w:rPr>
              <w:t>C30混凝土（栏杆基座）</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679B58">
            <w:pPr>
              <w:widowControl/>
              <w:jc w:val="left"/>
              <w:rPr>
                <w:rFonts w:hint="eastAsia" w:ascii="宋体" w:hAnsi="宋体"/>
                <w:color w:val="auto"/>
                <w:sz w:val="24"/>
                <w:highlight w:val="none"/>
              </w:rPr>
            </w:pPr>
            <w:r>
              <w:rPr>
                <w:rFonts w:hint="eastAsia" w:ascii="宋体" w:hAnsi="宋体"/>
                <w:color w:val="auto"/>
                <w:sz w:val="24"/>
                <w:highlight w:val="none"/>
              </w:rPr>
              <w:t>m3</w:t>
            </w:r>
          </w:p>
        </w:tc>
      </w:tr>
    </w:tbl>
    <w:p w14:paraId="63D88B20">
      <w:pPr>
        <w:snapToGrid w:val="0"/>
        <w:spacing w:line="360" w:lineRule="auto"/>
        <w:ind w:firstLine="564"/>
        <w:jc w:val="left"/>
        <w:rPr>
          <w:rFonts w:hint="eastAsia" w:ascii="宋体" w:hAnsi="宋体"/>
          <w:color w:val="auto"/>
          <w:sz w:val="24"/>
          <w:highlight w:val="none"/>
        </w:rPr>
      </w:pPr>
    </w:p>
    <w:p w14:paraId="004DFEAA">
      <w:pPr>
        <w:snapToGrid w:val="0"/>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第411节   预应力混凝土工程</w:t>
      </w:r>
    </w:p>
    <w:p w14:paraId="134271A7">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60876EB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(1)预应力混凝土结构物（包括现浇</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悬浇</w:t>
      </w:r>
      <w:r>
        <w:rPr>
          <w:rFonts w:hint="eastAsia" w:ascii="宋体" w:hAnsi="宋体"/>
          <w:color w:val="auto"/>
          <w:sz w:val="24"/>
          <w:highlight w:val="none"/>
        </w:rPr>
        <w:t>和预制预应力混凝土）按图纸尺寸和监理人指示为依据，按已完工并经验收合格的结构体积，以立方米计量。计量中包括悬臂浇筑、支架浇筑</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设备租赁、安拆、悬浇设备、钢管支架、支架垫层的新建与拆除</w:t>
      </w:r>
      <w:r>
        <w:rPr>
          <w:rFonts w:hint="eastAsia" w:ascii="宋体" w:hAnsi="宋体"/>
          <w:color w:val="auto"/>
          <w:sz w:val="24"/>
          <w:highlight w:val="none"/>
        </w:rPr>
        <w:t>及预制安装预应力混凝土梁、板的一切作业。</w:t>
      </w:r>
    </w:p>
    <w:p w14:paraId="202A1D05">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完工并经验收的预应力混凝土结构的预应力钢材，按图纸所示和招标文件技术规范规定相应长度计算，预应力钢材数量以千克（㎏）计量。后张法预应力钢筋的长度按两端锚具间的理论长度计算；先张法预应力钢筋的长度按构件的长度计算。除上述计算长度以外的锚固长度及工作长度的预应力钢材含人相应预应力钢材报价之中，不另行计量。</w:t>
      </w:r>
    </w:p>
    <w:p w14:paraId="701FAA04">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(3)预应力混凝土结构的非预应力钢筋，在第403节计量与支付。</w:t>
      </w:r>
    </w:p>
    <w:p w14:paraId="37A9A1ED">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(4)预应力钢材的加工、锚具、管道、锚板及联结钢板、焊接、张拉、压浆、封锚等，作为预应力钢材的附属工作，不另行计量。预应力锚具包括锚圈、夹片、连接器、螺栓、垫板、喇叭管、螺旋钢筋等整套部件。</w:t>
      </w:r>
    </w:p>
    <w:p w14:paraId="29710B74">
      <w:pPr>
        <w:ind w:firstLine="480" w:firstLineChars="200"/>
        <w:jc w:val="left"/>
        <w:rPr>
          <w:rFonts w:hint="eastAsia" w:ascii="宋体" w:hAnsi="宋体"/>
          <w:color w:val="auto"/>
          <w:sz w:val="24"/>
          <w:highlight w:val="none"/>
        </w:rPr>
      </w:pPr>
      <w:r>
        <w:rPr>
          <w:rFonts w:hint="eastAsia" w:ascii="宋体" w:hAnsi="宋体"/>
          <w:color w:val="auto"/>
          <w:sz w:val="24"/>
          <w:highlight w:val="none"/>
        </w:rPr>
        <w:t>(5)后张法预应力混凝土梁封锚及端部加厚混凝土，计入相应梁段混凝土之中，不单独计量。</w:t>
      </w:r>
    </w:p>
    <w:p w14:paraId="3C45707C">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(6)预制板、梁的整体化现浇混凝土及其钢筋，分别在第410节及第403节计量。</w:t>
      </w:r>
    </w:p>
    <w:p w14:paraId="5A6D5B7E">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(7)桥面铺装混凝土在第415节计量。</w:t>
      </w:r>
    </w:p>
    <w:p w14:paraId="32884AAE">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(8)构件的预制：以图纸所示或监理人指示为依据，按现场已完工并经验收的混凝土，分别以不同结构类型及混凝土等级，以立方米计量。预制构件所需的场地建设、吊装设备的安拆、构件的储存等均作为完成预制构件所需的附属工作，不另行计量。</w:t>
      </w:r>
    </w:p>
    <w:p w14:paraId="78C745A3">
      <w:pPr>
        <w:snapToGrid w:val="0"/>
        <w:spacing w:line="360" w:lineRule="auto"/>
        <w:ind w:firstLine="120" w:firstLineChars="50"/>
        <w:jc w:val="left"/>
        <w:rPr>
          <w:rFonts w:hint="eastAsia" w:ascii="宋体" w:hAnsi="宋体"/>
          <w:color w:val="auto"/>
          <w:sz w:val="24"/>
          <w:highlight w:val="none"/>
        </w:rPr>
      </w:pPr>
      <w:r>
        <w:rPr>
          <w:rFonts w:hint="eastAsia" w:ascii="宋体" w:hAnsi="宋体"/>
          <w:color w:val="auto"/>
          <w:sz w:val="24"/>
          <w:highlight w:val="none"/>
        </w:rPr>
        <w:t>构件的运输：以图纸所示或监理人指示为依据，按需要运输到安装现场的预制构件砼，分别以不同结构类型及混凝土等级，以立方米计量。其内容包含构件吊装上车、运输到安装现场。运输构件的道路、其他吊装、运输过程等辅助措施均作为完成构件运输的附属工作，不另行计量。</w:t>
      </w:r>
    </w:p>
    <w:p w14:paraId="499C2EAE">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构件的安装：以图纸所示或监理人指示为依据，按需要安装的预制构件砼，分别以不同结构类型及混凝土等级，以立方米计量。其内容包含构件吊装、桥上移位、安装至设计指定位置。安装设备拼装、移运、拆除和为安装所需的临时性或永久性的固定扣件、钢板、焊接、螺栓等，均作为各项相应混凝土工程的附属工作，不另行计量。</w:t>
      </w:r>
    </w:p>
    <w:p w14:paraId="3B587A89">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构件的预制、运输、安装：按现场已完工并经验收的混凝土，分别以不同结构类型及混凝土等级，以立方米计量。为完成结构物所用预制构件的预埋钢板、防护角钢或钢板、脚手架或支架及模板、排水设施、防水处理、混凝土养生、混凝土表面修整及为完成结构物的其他杂项子目，以及混凝土预制构件的安装架设设备拼装、移运、拆除和为安装所需的临时性或永久性的固定扣件、钢板、焊接、螺栓等，均作为各项相应混凝土工程的附属工作，不另行计量。</w:t>
      </w:r>
    </w:p>
    <w:p w14:paraId="7DFEB86F">
      <w:pPr>
        <w:snapToGrid w:val="0"/>
        <w:spacing w:line="360" w:lineRule="auto"/>
        <w:ind w:firstLine="561"/>
        <w:jc w:val="left"/>
        <w:rPr>
          <w:rFonts w:hint="eastAsia" w:ascii="宋体" w:hAnsi="宋体"/>
          <w:color w:val="auto"/>
          <w:sz w:val="24"/>
          <w:highlight w:val="none"/>
        </w:rPr>
      </w:pPr>
      <w:r>
        <w:rPr>
          <w:rFonts w:hint="eastAsia" w:ascii="宋体" w:hAnsi="宋体"/>
          <w:color w:val="auto"/>
          <w:sz w:val="24"/>
          <w:highlight w:val="none"/>
        </w:rPr>
        <w:t>2.支付</w:t>
      </w:r>
    </w:p>
    <w:p w14:paraId="5D6A6997">
      <w:pPr>
        <w:snapToGrid w:val="0"/>
        <w:spacing w:line="360" w:lineRule="auto"/>
        <w:ind w:firstLine="561"/>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价支付。此顶支付，包括材料、劳力、设备、试验、运输等及其他完成预应力混凝土工程所必需的费用，是对完成工程的全部偿付。</w:t>
      </w:r>
    </w:p>
    <w:p w14:paraId="759CB7DA">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5400"/>
        <w:gridCol w:w="1260"/>
      </w:tblGrid>
      <w:tr w14:paraId="16EA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noWrap w:val="0"/>
            <w:vAlign w:val="center"/>
          </w:tcPr>
          <w:p w14:paraId="3C71EB31">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056838C">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5EAC6ADF">
            <w:pPr>
              <w:jc w:val="left"/>
              <w:rPr>
                <w:rFonts w:hint="eastAsia" w:ascii="宋体" w:hAnsi="宋体"/>
                <w:color w:val="auto"/>
                <w:sz w:val="24"/>
                <w:highlight w:val="none"/>
              </w:rPr>
            </w:pPr>
            <w:r>
              <w:rPr>
                <w:rFonts w:hint="eastAsia" w:ascii="宋体" w:hAnsi="宋体"/>
                <w:color w:val="auto"/>
                <w:sz w:val="24"/>
                <w:highlight w:val="none"/>
              </w:rPr>
              <w:t>单位</w:t>
            </w:r>
          </w:p>
        </w:tc>
      </w:tr>
      <w:tr w14:paraId="56A4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noWrap w:val="0"/>
            <w:vAlign w:val="center"/>
          </w:tcPr>
          <w:p w14:paraId="4E8050EF">
            <w:pPr>
              <w:widowControl/>
              <w:jc w:val="left"/>
              <w:rPr>
                <w:rFonts w:ascii="宋体" w:hAnsi="宋体"/>
                <w:color w:val="auto"/>
                <w:sz w:val="24"/>
                <w:highlight w:val="none"/>
              </w:rPr>
            </w:pPr>
            <w:r>
              <w:rPr>
                <w:rFonts w:hint="eastAsia" w:ascii="宋体" w:hAnsi="宋体"/>
                <w:color w:val="auto"/>
                <w:sz w:val="24"/>
                <w:highlight w:val="none"/>
              </w:rPr>
              <w:t>411</w:t>
            </w:r>
          </w:p>
        </w:tc>
        <w:tc>
          <w:tcPr>
            <w:tcW w:w="5400" w:type="dxa"/>
            <w:noWrap w:val="0"/>
            <w:vAlign w:val="center"/>
          </w:tcPr>
          <w:p w14:paraId="15986FE8">
            <w:pPr>
              <w:widowControl/>
              <w:jc w:val="left"/>
              <w:rPr>
                <w:rFonts w:ascii="宋体" w:hAnsi="宋体"/>
                <w:color w:val="auto"/>
                <w:sz w:val="24"/>
                <w:highlight w:val="none"/>
              </w:rPr>
            </w:pPr>
            <w:r>
              <w:rPr>
                <w:rFonts w:hint="eastAsia" w:ascii="宋体" w:hAnsi="宋体"/>
                <w:color w:val="auto"/>
                <w:sz w:val="24"/>
                <w:highlight w:val="none"/>
              </w:rPr>
              <w:t>预应力混凝土工程</w:t>
            </w:r>
          </w:p>
        </w:tc>
        <w:tc>
          <w:tcPr>
            <w:tcW w:w="1260" w:type="dxa"/>
            <w:noWrap w:val="0"/>
            <w:vAlign w:val="center"/>
          </w:tcPr>
          <w:p w14:paraId="671843CE">
            <w:pPr>
              <w:widowControl/>
              <w:jc w:val="left"/>
              <w:rPr>
                <w:rFonts w:ascii="宋体" w:hAnsi="宋体"/>
                <w:color w:val="auto"/>
                <w:sz w:val="24"/>
                <w:highlight w:val="none"/>
              </w:rPr>
            </w:pPr>
          </w:p>
        </w:tc>
      </w:tr>
      <w:tr w14:paraId="76F0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028507D2">
            <w:pPr>
              <w:widowControl/>
              <w:jc w:val="left"/>
              <w:rPr>
                <w:rFonts w:ascii="宋体" w:hAnsi="宋体"/>
                <w:color w:val="auto"/>
                <w:sz w:val="24"/>
                <w:highlight w:val="none"/>
              </w:rPr>
            </w:pPr>
            <w:r>
              <w:rPr>
                <w:rFonts w:hint="eastAsia" w:ascii="宋体" w:hAnsi="宋体"/>
                <w:color w:val="auto"/>
                <w:sz w:val="24"/>
                <w:highlight w:val="none"/>
              </w:rPr>
              <w:t>411-5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F40DA16">
            <w:pPr>
              <w:widowControl/>
              <w:jc w:val="left"/>
              <w:rPr>
                <w:rFonts w:hint="eastAsia" w:ascii="宋体" w:hAnsi="宋体"/>
                <w:color w:val="auto"/>
                <w:sz w:val="24"/>
                <w:highlight w:val="none"/>
              </w:rPr>
            </w:pPr>
            <w:r>
              <w:rPr>
                <w:rFonts w:hint="eastAsia" w:ascii="宋体" w:hAnsi="宋体"/>
                <w:color w:val="auto"/>
                <w:sz w:val="24"/>
                <w:highlight w:val="none"/>
              </w:rPr>
              <w:t>后张法预应力钢绞线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0853E5">
            <w:pPr>
              <w:widowControl/>
              <w:jc w:val="left"/>
              <w:rPr>
                <w:rFonts w:hint="eastAsia" w:ascii="宋体" w:hAnsi="宋体"/>
                <w:color w:val="auto"/>
                <w:sz w:val="24"/>
                <w:highlight w:val="none"/>
              </w:rPr>
            </w:pPr>
            <w:r>
              <w:rPr>
                <w:rFonts w:hint="eastAsia" w:ascii="宋体" w:hAnsi="宋体"/>
                <w:color w:val="auto"/>
                <w:sz w:val="24"/>
                <w:highlight w:val="none"/>
              </w:rPr>
              <w:t>kg</w:t>
            </w:r>
          </w:p>
        </w:tc>
      </w:tr>
      <w:tr w14:paraId="0FFE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61D4B6BD">
            <w:pPr>
              <w:widowControl/>
              <w:jc w:val="left"/>
              <w:rPr>
                <w:rFonts w:hint="eastAsia" w:ascii="宋体" w:hAnsi="宋体"/>
                <w:color w:val="auto"/>
                <w:sz w:val="24"/>
                <w:highlight w:val="none"/>
              </w:rPr>
            </w:pPr>
            <w:r>
              <w:rPr>
                <w:rFonts w:hint="eastAsia" w:ascii="宋体" w:hAnsi="宋体"/>
                <w:color w:val="auto"/>
                <w:sz w:val="24"/>
                <w:highlight w:val="none"/>
              </w:rPr>
              <w:t>411-9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6567865">
            <w:pPr>
              <w:widowControl/>
              <w:jc w:val="left"/>
              <w:rPr>
                <w:rFonts w:hint="eastAsia" w:ascii="宋体" w:hAnsi="宋体"/>
                <w:color w:val="auto"/>
                <w:sz w:val="24"/>
                <w:highlight w:val="none"/>
              </w:rPr>
            </w:pPr>
            <w:r>
              <w:rPr>
                <w:rFonts w:hint="eastAsia" w:ascii="宋体" w:hAnsi="宋体"/>
                <w:color w:val="auto"/>
                <w:sz w:val="24"/>
                <w:highlight w:val="none"/>
              </w:rPr>
              <w:t>现浇预应力混凝土上部结构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4DE161">
            <w:pPr>
              <w:widowControl/>
              <w:jc w:val="left"/>
              <w:rPr>
                <w:rFonts w:hint="eastAsia" w:ascii="宋体" w:hAnsi="宋体"/>
                <w:color w:val="auto"/>
                <w:sz w:val="24"/>
                <w:highlight w:val="none"/>
              </w:rPr>
            </w:pPr>
          </w:p>
        </w:tc>
      </w:tr>
      <w:tr w14:paraId="358D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32CF0ED">
            <w:pPr>
              <w:widowControl/>
              <w:jc w:val="left"/>
              <w:rPr>
                <w:rFonts w:hint="eastAsia" w:ascii="宋体" w:hAnsi="宋体"/>
                <w:color w:val="auto"/>
                <w:sz w:val="24"/>
                <w:highlight w:val="none"/>
              </w:rPr>
            </w:pPr>
            <w:r>
              <w:rPr>
                <w:rFonts w:hint="eastAsia" w:ascii="宋体" w:hAnsi="宋体"/>
                <w:color w:val="auto"/>
                <w:sz w:val="24"/>
                <w:highlight w:val="none"/>
              </w:rPr>
              <w:t>411-9-5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9B49DFD">
            <w:pPr>
              <w:widowControl/>
              <w:jc w:val="left"/>
              <w:rPr>
                <w:rFonts w:hint="eastAsia" w:ascii="宋体" w:hAnsi="宋体"/>
                <w:color w:val="auto"/>
                <w:sz w:val="24"/>
                <w:highlight w:val="none"/>
              </w:rPr>
            </w:pPr>
            <w:r>
              <w:rPr>
                <w:rFonts w:hint="eastAsia" w:ascii="宋体" w:hAnsi="宋体"/>
                <w:color w:val="auto"/>
                <w:sz w:val="24"/>
                <w:highlight w:val="none"/>
              </w:rPr>
              <w:t>现浇预应力C50混凝土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469948">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54F9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B364C4E">
            <w:pPr>
              <w:widowControl/>
              <w:jc w:val="left"/>
              <w:rPr>
                <w:rFonts w:hint="eastAsia" w:ascii="宋体" w:hAnsi="宋体"/>
                <w:color w:val="auto"/>
                <w:sz w:val="24"/>
                <w:highlight w:val="none"/>
              </w:rPr>
            </w:pPr>
            <w:r>
              <w:rPr>
                <w:rFonts w:hint="eastAsia" w:ascii="宋体" w:hAnsi="宋体"/>
                <w:color w:val="auto"/>
                <w:sz w:val="24"/>
                <w:highlight w:val="none"/>
              </w:rPr>
              <w:t>411-10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68C858">
            <w:pPr>
              <w:widowControl/>
              <w:jc w:val="left"/>
              <w:rPr>
                <w:rFonts w:hint="eastAsia" w:ascii="宋体" w:hAnsi="宋体"/>
                <w:color w:val="auto"/>
                <w:sz w:val="24"/>
                <w:highlight w:val="none"/>
              </w:rPr>
            </w:pPr>
            <w:r>
              <w:rPr>
                <w:rFonts w:hint="eastAsia" w:ascii="宋体" w:hAnsi="宋体"/>
                <w:color w:val="auto"/>
                <w:sz w:val="24"/>
                <w:highlight w:val="none"/>
              </w:rPr>
              <w:t>预制安装预应力混凝土上部结构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10423D">
            <w:pPr>
              <w:widowControl/>
              <w:jc w:val="left"/>
              <w:rPr>
                <w:rFonts w:hint="eastAsia" w:ascii="宋体" w:hAnsi="宋体"/>
                <w:color w:val="auto"/>
                <w:sz w:val="24"/>
                <w:highlight w:val="none"/>
              </w:rPr>
            </w:pPr>
          </w:p>
        </w:tc>
      </w:tr>
      <w:tr w14:paraId="2C87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5E3E2235">
            <w:pPr>
              <w:widowControl/>
              <w:jc w:val="left"/>
              <w:rPr>
                <w:rFonts w:hint="eastAsia" w:ascii="宋体" w:hAnsi="宋体"/>
                <w:color w:val="auto"/>
                <w:sz w:val="24"/>
                <w:highlight w:val="none"/>
              </w:rPr>
            </w:pPr>
            <w:r>
              <w:rPr>
                <w:rFonts w:hint="eastAsia" w:ascii="宋体" w:hAnsi="宋体"/>
                <w:color w:val="auto"/>
                <w:sz w:val="24"/>
                <w:highlight w:val="none"/>
              </w:rPr>
              <w:t>411-10-1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9D9D6E">
            <w:pPr>
              <w:widowControl/>
              <w:jc w:val="left"/>
              <w:rPr>
                <w:rFonts w:hint="eastAsia" w:ascii="宋体" w:hAnsi="宋体"/>
                <w:color w:val="auto"/>
                <w:sz w:val="24"/>
                <w:highlight w:val="none"/>
              </w:rPr>
            </w:pPr>
            <w:r>
              <w:rPr>
                <w:rFonts w:hint="eastAsia" w:ascii="宋体" w:hAnsi="宋体"/>
                <w:color w:val="auto"/>
                <w:sz w:val="24"/>
                <w:highlight w:val="none"/>
              </w:rPr>
              <w:t>安装预应力混凝土上部结构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1F1A01">
            <w:pPr>
              <w:widowControl/>
              <w:jc w:val="left"/>
              <w:rPr>
                <w:rFonts w:hint="eastAsia" w:ascii="宋体" w:hAnsi="宋体"/>
                <w:color w:val="auto"/>
                <w:sz w:val="24"/>
                <w:highlight w:val="none"/>
              </w:rPr>
            </w:pPr>
          </w:p>
        </w:tc>
      </w:tr>
      <w:tr w14:paraId="2FF5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6A4E8CBD">
            <w:pPr>
              <w:widowControl/>
              <w:jc w:val="left"/>
              <w:rPr>
                <w:rFonts w:ascii="宋体" w:hAnsi="宋体"/>
                <w:color w:val="auto"/>
                <w:sz w:val="24"/>
                <w:highlight w:val="none"/>
              </w:rPr>
            </w:pPr>
            <w:r>
              <w:rPr>
                <w:rFonts w:hint="eastAsia" w:ascii="宋体" w:hAnsi="宋体"/>
                <w:color w:val="auto"/>
                <w:sz w:val="24"/>
                <w:highlight w:val="none"/>
              </w:rPr>
              <w:t>411-10-1-3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0DE70E">
            <w:pPr>
              <w:widowControl/>
              <w:jc w:val="left"/>
              <w:rPr>
                <w:rFonts w:hint="eastAsia" w:ascii="宋体" w:hAnsi="宋体"/>
                <w:color w:val="auto"/>
                <w:sz w:val="24"/>
                <w:highlight w:val="none"/>
              </w:rPr>
            </w:pPr>
            <w:r>
              <w:rPr>
                <w:rFonts w:hint="eastAsia" w:ascii="宋体" w:hAnsi="宋体"/>
                <w:color w:val="auto"/>
                <w:sz w:val="24"/>
                <w:highlight w:val="none"/>
              </w:rPr>
              <w:t>预应力混凝土小箱梁安装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4AF1F9">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6116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4E035FAD">
            <w:pPr>
              <w:widowControl/>
              <w:jc w:val="left"/>
              <w:rPr>
                <w:rFonts w:hint="eastAsia" w:ascii="宋体" w:hAnsi="宋体"/>
                <w:color w:val="auto"/>
                <w:sz w:val="24"/>
                <w:highlight w:val="none"/>
              </w:rPr>
            </w:pPr>
            <w:r>
              <w:rPr>
                <w:rFonts w:hint="eastAsia" w:ascii="宋体" w:hAnsi="宋体"/>
                <w:color w:val="auto"/>
                <w:sz w:val="24"/>
                <w:highlight w:val="none"/>
              </w:rPr>
              <w:t>411-10-2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93AFE9C">
            <w:pPr>
              <w:widowControl/>
              <w:jc w:val="left"/>
              <w:rPr>
                <w:rFonts w:hint="eastAsia" w:ascii="宋体" w:hAnsi="宋体"/>
                <w:color w:val="auto"/>
                <w:sz w:val="24"/>
                <w:highlight w:val="none"/>
              </w:rPr>
            </w:pPr>
            <w:r>
              <w:rPr>
                <w:rFonts w:hint="eastAsia" w:ascii="宋体" w:hAnsi="宋体"/>
                <w:color w:val="auto"/>
                <w:sz w:val="24"/>
                <w:highlight w:val="none"/>
              </w:rPr>
              <w:t>运输预应力混凝土上部结构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3A3E49">
            <w:pPr>
              <w:widowControl/>
              <w:jc w:val="left"/>
              <w:rPr>
                <w:rFonts w:hint="eastAsia" w:ascii="宋体" w:hAnsi="宋体"/>
                <w:color w:val="auto"/>
                <w:sz w:val="24"/>
                <w:highlight w:val="none"/>
              </w:rPr>
            </w:pPr>
            <w:r>
              <w:rPr>
                <w:rFonts w:hint="eastAsia" w:ascii="宋体" w:hAnsi="宋体"/>
                <w:color w:val="auto"/>
                <w:sz w:val="24"/>
                <w:highlight w:val="none"/>
              </w:rPr>
              <w:t>m3</w:t>
            </w:r>
          </w:p>
        </w:tc>
      </w:tr>
      <w:tr w14:paraId="1237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AFE0D5C">
            <w:pPr>
              <w:widowControl/>
              <w:jc w:val="left"/>
              <w:rPr>
                <w:rFonts w:hint="eastAsia" w:ascii="宋体" w:hAnsi="宋体"/>
                <w:color w:val="auto"/>
                <w:sz w:val="24"/>
                <w:highlight w:val="none"/>
              </w:rPr>
            </w:pPr>
            <w:r>
              <w:rPr>
                <w:rFonts w:hint="eastAsia" w:ascii="宋体" w:hAnsi="宋体"/>
                <w:color w:val="auto"/>
                <w:sz w:val="24"/>
                <w:highlight w:val="none"/>
              </w:rPr>
              <w:t>411-10-3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9BD8C0">
            <w:pPr>
              <w:widowControl/>
              <w:jc w:val="left"/>
              <w:rPr>
                <w:rFonts w:hint="eastAsia" w:ascii="宋体" w:hAnsi="宋体"/>
                <w:color w:val="auto"/>
                <w:sz w:val="24"/>
                <w:highlight w:val="none"/>
              </w:rPr>
            </w:pPr>
            <w:r>
              <w:rPr>
                <w:rFonts w:hint="eastAsia" w:ascii="宋体" w:hAnsi="宋体"/>
                <w:color w:val="auto"/>
                <w:sz w:val="24"/>
                <w:highlight w:val="none"/>
              </w:rPr>
              <w:t>预制预应力混凝土上部结构</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B5DE7C">
            <w:pPr>
              <w:widowControl/>
              <w:jc w:val="left"/>
              <w:rPr>
                <w:rFonts w:hint="eastAsia" w:ascii="宋体" w:hAnsi="宋体"/>
                <w:color w:val="auto"/>
                <w:sz w:val="24"/>
                <w:highlight w:val="none"/>
              </w:rPr>
            </w:pPr>
          </w:p>
        </w:tc>
      </w:tr>
      <w:tr w14:paraId="078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3FB1ADD">
            <w:pPr>
              <w:widowControl/>
              <w:jc w:val="left"/>
              <w:rPr>
                <w:rFonts w:hint="eastAsia" w:ascii="宋体" w:hAnsi="宋体"/>
                <w:color w:val="auto"/>
                <w:sz w:val="24"/>
                <w:highlight w:val="none"/>
              </w:rPr>
            </w:pPr>
            <w:r>
              <w:rPr>
                <w:rFonts w:hint="eastAsia" w:ascii="宋体" w:hAnsi="宋体"/>
                <w:color w:val="auto"/>
                <w:sz w:val="24"/>
                <w:highlight w:val="none"/>
              </w:rPr>
              <w:t>411-10-3-3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7597F63">
            <w:pPr>
              <w:widowControl/>
              <w:jc w:val="left"/>
              <w:rPr>
                <w:rFonts w:hint="eastAsia" w:ascii="宋体" w:hAnsi="宋体"/>
                <w:color w:val="auto"/>
                <w:sz w:val="24"/>
                <w:highlight w:val="none"/>
              </w:rPr>
            </w:pPr>
            <w:r>
              <w:rPr>
                <w:rFonts w:hint="eastAsia" w:ascii="宋体" w:hAnsi="宋体"/>
                <w:color w:val="auto"/>
                <w:sz w:val="24"/>
                <w:highlight w:val="none"/>
              </w:rPr>
              <w:t>预应力混凝土小箱梁预制</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9AE3EA">
            <w:pPr>
              <w:widowControl/>
              <w:jc w:val="left"/>
              <w:rPr>
                <w:rFonts w:hint="eastAsia" w:ascii="宋体" w:hAnsi="宋体"/>
                <w:color w:val="auto"/>
                <w:sz w:val="24"/>
                <w:highlight w:val="none"/>
              </w:rPr>
            </w:pPr>
          </w:p>
        </w:tc>
      </w:tr>
      <w:tr w14:paraId="46E5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EF7D641">
            <w:pPr>
              <w:widowControl/>
              <w:jc w:val="left"/>
              <w:rPr>
                <w:rFonts w:hint="eastAsia" w:ascii="宋体" w:hAnsi="宋体"/>
                <w:color w:val="auto"/>
                <w:sz w:val="24"/>
                <w:highlight w:val="none"/>
              </w:rPr>
            </w:pPr>
            <w:r>
              <w:rPr>
                <w:rFonts w:hint="eastAsia" w:ascii="宋体" w:hAnsi="宋体"/>
                <w:color w:val="auto"/>
                <w:sz w:val="24"/>
                <w:highlight w:val="none"/>
              </w:rPr>
              <w:t>411-10-3-3-7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8AC512">
            <w:pPr>
              <w:widowControl/>
              <w:jc w:val="left"/>
              <w:rPr>
                <w:rFonts w:hint="eastAsia" w:ascii="宋体" w:hAnsi="宋体"/>
                <w:color w:val="auto"/>
                <w:sz w:val="24"/>
                <w:highlight w:val="none"/>
              </w:rPr>
            </w:pPr>
            <w:r>
              <w:rPr>
                <w:rFonts w:hint="eastAsia" w:ascii="宋体" w:hAnsi="宋体"/>
                <w:color w:val="auto"/>
                <w:sz w:val="24"/>
                <w:highlight w:val="none"/>
              </w:rPr>
              <w:t>C50混凝土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CBA6FDE">
            <w:pPr>
              <w:widowControl/>
              <w:jc w:val="left"/>
              <w:rPr>
                <w:rFonts w:hint="eastAsia" w:ascii="宋体" w:hAnsi="宋体"/>
                <w:color w:val="auto"/>
                <w:sz w:val="24"/>
                <w:highlight w:val="none"/>
              </w:rPr>
            </w:pPr>
            <w:r>
              <w:rPr>
                <w:rFonts w:hint="eastAsia" w:ascii="宋体" w:hAnsi="宋体"/>
                <w:color w:val="auto"/>
                <w:sz w:val="24"/>
                <w:highlight w:val="none"/>
              </w:rPr>
              <w:t>m3</w:t>
            </w:r>
          </w:p>
        </w:tc>
      </w:tr>
    </w:tbl>
    <w:p w14:paraId="783AC621">
      <w:pPr>
        <w:snapToGrid w:val="0"/>
        <w:spacing w:line="360" w:lineRule="auto"/>
        <w:ind w:firstLine="564"/>
        <w:jc w:val="left"/>
        <w:rPr>
          <w:rFonts w:hint="eastAsia" w:ascii="宋体" w:hAnsi="宋体"/>
          <w:color w:val="auto"/>
          <w:sz w:val="24"/>
          <w:highlight w:val="none"/>
        </w:rPr>
      </w:pPr>
    </w:p>
    <w:p w14:paraId="6C36FDF8">
      <w:pPr>
        <w:snapToGrid w:val="0"/>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第412节  预制构件的安装及桥梁结构工程</w:t>
      </w:r>
    </w:p>
    <w:p w14:paraId="60E0089C">
      <w:pPr>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622EDFE6">
      <w:pPr>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(1)经验收的不同</w:t>
      </w:r>
      <w:r>
        <w:rPr>
          <w:rFonts w:hint="eastAsia" w:ascii="宋体" w:hAnsi="宋体"/>
          <w:color w:val="auto"/>
          <w:sz w:val="24"/>
          <w:highlight w:val="none"/>
        </w:rPr>
        <w:t>形</w:t>
      </w:r>
      <w:r>
        <w:rPr>
          <w:rFonts w:ascii="宋体" w:hAnsi="宋体"/>
          <w:color w:val="auto"/>
          <w:sz w:val="24"/>
          <w:highlight w:val="none"/>
        </w:rPr>
        <w:t>式预制构件的安装，包括构件</w:t>
      </w:r>
      <w:r>
        <w:rPr>
          <w:rFonts w:hint="eastAsia" w:ascii="宋体" w:hAnsi="宋体"/>
          <w:color w:val="auto"/>
          <w:sz w:val="24"/>
          <w:highlight w:val="none"/>
        </w:rPr>
        <w:t>的安装架设设备拼装、移运、拆除和为</w:t>
      </w:r>
      <w:r>
        <w:rPr>
          <w:rFonts w:ascii="宋体" w:hAnsi="宋体"/>
          <w:color w:val="auto"/>
          <w:sz w:val="24"/>
          <w:highlight w:val="none"/>
        </w:rPr>
        <w:t>安装所需的临时性或永久性扣件、钢板、焊接、螺栓</w:t>
      </w:r>
      <w:r>
        <w:rPr>
          <w:rFonts w:hint="eastAsia" w:ascii="宋体" w:hAnsi="宋体"/>
          <w:color w:val="auto"/>
          <w:sz w:val="24"/>
          <w:highlight w:val="none"/>
        </w:rPr>
        <w:t>、临时支座</w:t>
      </w:r>
      <w:r>
        <w:rPr>
          <w:rFonts w:ascii="宋体" w:hAnsi="宋体"/>
          <w:color w:val="auto"/>
          <w:sz w:val="24"/>
          <w:highlight w:val="none"/>
        </w:rPr>
        <w:t>等，其工作量包含在第410节及第411节相应预制混凝土构件或预应力混凝土构件的工程子目中，不另行计量与支付。</w:t>
      </w:r>
    </w:p>
    <w:p w14:paraId="46F61414">
      <w:pPr>
        <w:snapToGrid w:val="0"/>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桥梁的上部钢结构工程按类型和规格分类，含钢结构加工、锚具、管道、锚板及联结钢板、焊接、张拉、压浆、封锚等所有工作内容，以钢结构主体钢材重量计量，其他作为预应力钢材的附属工作，不另行计量。特殊钢结构应根据设计图纸及工程量，在专用技术规范中补充具体计量规则。</w:t>
      </w:r>
    </w:p>
    <w:p w14:paraId="2E65E234">
      <w:pPr>
        <w:spacing w:line="360" w:lineRule="auto"/>
        <w:ind w:right="18" w:firstLine="480" w:firstLineChars="200"/>
        <w:jc w:val="left"/>
        <w:rPr>
          <w:rFonts w:hint="eastAsia" w:ascii="宋体" w:hAnsi="宋体" w:eastAsia="宋体"/>
          <w:color w:val="auto"/>
          <w:sz w:val="24"/>
          <w:highlight w:val="none"/>
          <w:lang w:eastAsia="zh-CN"/>
        </w:rPr>
      </w:pPr>
      <w:r>
        <w:rPr>
          <w:rFonts w:ascii="宋体" w:hAnsi="宋体"/>
          <w:color w:val="auto"/>
          <w:sz w:val="24"/>
          <w:highlight w:val="none"/>
        </w:rPr>
        <w:t>(</w:t>
      </w:r>
      <w:r>
        <w:rPr>
          <w:rFonts w:hint="eastAsia" w:ascii="宋体" w:hAnsi="宋体"/>
          <w:color w:val="auto"/>
          <w:sz w:val="24"/>
          <w:highlight w:val="none"/>
          <w:lang w:val="en-US" w:eastAsia="zh-CN"/>
        </w:rPr>
        <w:t>3</w:t>
      </w:r>
      <w:r>
        <w:rPr>
          <w:rFonts w:ascii="宋体" w:hAnsi="宋体"/>
          <w:color w:val="auto"/>
          <w:sz w:val="24"/>
          <w:highlight w:val="none"/>
        </w:rPr>
        <w:t>)</w:t>
      </w:r>
      <w:r>
        <w:rPr>
          <w:rFonts w:hint="eastAsia" w:ascii="宋体" w:hAnsi="宋体"/>
          <w:color w:val="auto"/>
          <w:sz w:val="24"/>
          <w:highlight w:val="none"/>
        </w:rPr>
        <w:t>钢覆复合材料护舷2.0*1.6*0.5m</w:t>
      </w:r>
      <w:r>
        <w:rPr>
          <w:rFonts w:hint="eastAsia" w:ascii="宋体" w:hAnsi="宋体"/>
          <w:color w:val="auto"/>
          <w:sz w:val="24"/>
          <w:highlight w:val="none"/>
          <w:lang w:eastAsia="zh-CN"/>
        </w:rPr>
        <w:t>按完成的所有工作经监理人验收以套计量。</w:t>
      </w:r>
      <w:r>
        <w:rPr>
          <w:rFonts w:hint="eastAsia" w:ascii="宋体" w:hAnsi="宋体" w:eastAsia="宋体" w:cs="Times New Roman"/>
          <w:color w:val="auto"/>
          <w:sz w:val="24"/>
          <w:highlight w:val="none"/>
        </w:rPr>
        <w:t>栏杆及护栏</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防抛网</w:t>
      </w:r>
      <w:r>
        <w:rPr>
          <w:rFonts w:hint="eastAsia" w:ascii="宋体" w:hAnsi="宋体"/>
          <w:color w:val="auto"/>
          <w:sz w:val="24"/>
          <w:highlight w:val="none"/>
        </w:rPr>
        <w:t>按实际安设并经监理人验收的</w:t>
      </w:r>
      <w:r>
        <w:rPr>
          <w:rFonts w:hint="eastAsia" w:ascii="宋体" w:hAnsi="宋体"/>
          <w:color w:val="auto"/>
          <w:sz w:val="24"/>
          <w:highlight w:val="none"/>
          <w:lang w:eastAsia="zh-CN"/>
        </w:rPr>
        <w:t>重量</w:t>
      </w:r>
      <w:r>
        <w:rPr>
          <w:rFonts w:hint="eastAsia" w:ascii="宋体" w:hAnsi="宋体"/>
          <w:color w:val="auto"/>
          <w:sz w:val="24"/>
          <w:highlight w:val="none"/>
        </w:rPr>
        <w:t>以千克</w:t>
      </w:r>
      <w:r>
        <w:rPr>
          <w:rFonts w:ascii="宋体" w:hAnsi="宋体"/>
          <w:color w:val="auto"/>
          <w:sz w:val="24"/>
          <w:highlight w:val="none"/>
        </w:rPr>
        <w:t>(kg)</w:t>
      </w:r>
      <w:r>
        <w:rPr>
          <w:rFonts w:hint="eastAsia" w:ascii="宋体" w:hAnsi="宋体"/>
          <w:color w:val="auto"/>
          <w:sz w:val="24"/>
          <w:highlight w:val="none"/>
        </w:rPr>
        <w:t>计量。</w:t>
      </w:r>
    </w:p>
    <w:p w14:paraId="421872CD">
      <w:pPr>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5100ABBB">
      <w:pPr>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的列入了工程量清单的以下支付子目的工程量，其每一计量单位，将以合同单价支付。此项支付包括材料、劳力、运输、安砌等及其他为完成砌体工程所必需的费用，是对完成工程的全部偿付。</w:t>
      </w:r>
    </w:p>
    <w:p w14:paraId="09DE9F82">
      <w:pPr>
        <w:snapToGrid w:val="0"/>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6C47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6D1876FC">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4BA1E5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BD9F712">
            <w:pPr>
              <w:jc w:val="left"/>
              <w:rPr>
                <w:rFonts w:hint="eastAsia" w:ascii="宋体" w:hAnsi="宋体"/>
                <w:color w:val="auto"/>
                <w:sz w:val="24"/>
                <w:highlight w:val="none"/>
              </w:rPr>
            </w:pPr>
            <w:r>
              <w:rPr>
                <w:rFonts w:hint="eastAsia" w:ascii="宋体" w:hAnsi="宋体"/>
                <w:color w:val="auto"/>
                <w:sz w:val="24"/>
                <w:highlight w:val="none"/>
              </w:rPr>
              <w:t>单位</w:t>
            </w:r>
          </w:p>
        </w:tc>
      </w:tr>
      <w:tr w14:paraId="4AE4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2F48825">
            <w:pPr>
              <w:jc w:val="left"/>
              <w:rPr>
                <w:rFonts w:hint="eastAsia" w:ascii="宋体" w:hAnsi="宋体"/>
                <w:color w:val="auto"/>
                <w:sz w:val="24"/>
                <w:highlight w:val="none"/>
              </w:rPr>
            </w:pPr>
            <w:r>
              <w:rPr>
                <w:rFonts w:hint="eastAsia" w:ascii="宋体" w:hAnsi="宋体"/>
                <w:color w:val="auto"/>
                <w:sz w:val="24"/>
                <w:highlight w:val="none"/>
              </w:rPr>
              <w:t>412-8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220D22F">
            <w:pPr>
              <w:jc w:val="left"/>
              <w:rPr>
                <w:rFonts w:hint="eastAsia" w:ascii="宋体" w:hAnsi="宋体"/>
                <w:color w:val="auto"/>
                <w:sz w:val="24"/>
                <w:highlight w:val="none"/>
              </w:rPr>
            </w:pPr>
            <w:r>
              <w:rPr>
                <w:rFonts w:hint="eastAsia" w:ascii="宋体" w:hAnsi="宋体"/>
                <w:color w:val="auto"/>
                <w:sz w:val="24"/>
                <w:highlight w:val="none"/>
              </w:rPr>
              <w:t>钢覆复合材料护舷2.0*1.6*0.5m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DD05A9">
            <w:pPr>
              <w:jc w:val="left"/>
              <w:rPr>
                <w:rFonts w:hint="eastAsia" w:ascii="宋体" w:hAnsi="宋体"/>
                <w:color w:val="auto"/>
                <w:sz w:val="24"/>
                <w:highlight w:val="none"/>
              </w:rPr>
            </w:pPr>
            <w:r>
              <w:rPr>
                <w:rFonts w:hint="eastAsia" w:ascii="宋体" w:hAnsi="宋体"/>
                <w:color w:val="auto"/>
                <w:sz w:val="24"/>
                <w:highlight w:val="none"/>
              </w:rPr>
              <w:t>套</w:t>
            </w:r>
          </w:p>
        </w:tc>
      </w:tr>
      <w:tr w14:paraId="661C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7A23D7B">
            <w:pPr>
              <w:jc w:val="left"/>
              <w:rPr>
                <w:rFonts w:hint="eastAsia" w:ascii="宋体" w:hAnsi="宋体" w:eastAsia="宋体"/>
                <w:color w:val="auto"/>
                <w:sz w:val="24"/>
                <w:highlight w:val="none"/>
                <w:lang w:eastAsia="zh-CN"/>
              </w:rPr>
            </w:pPr>
            <w:r>
              <w:rPr>
                <w:rFonts w:hint="eastAsia" w:ascii="宋体" w:hAnsi="宋体"/>
                <w:color w:val="auto"/>
                <w:sz w:val="24"/>
                <w:highlight w:val="none"/>
              </w:rPr>
              <w:t>412-</w:t>
            </w:r>
            <w:r>
              <w:rPr>
                <w:rFonts w:hint="eastAsia" w:ascii="宋体" w:hAnsi="宋体"/>
                <w:color w:val="auto"/>
                <w:sz w:val="24"/>
                <w:highlight w:val="none"/>
                <w:lang w:val="en-US" w:eastAsia="zh-CN"/>
              </w:rPr>
              <w:t>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97C2FE9">
            <w:pPr>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栏杆及护栏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70A5853">
            <w:pPr>
              <w:jc w:val="left"/>
              <w:rPr>
                <w:rFonts w:hint="eastAsia" w:ascii="宋体" w:hAnsi="宋体"/>
                <w:color w:val="auto"/>
                <w:sz w:val="24"/>
                <w:highlight w:val="none"/>
              </w:rPr>
            </w:pPr>
            <w:r>
              <w:rPr>
                <w:rFonts w:hint="eastAsia" w:ascii="宋体" w:hAnsi="宋体"/>
                <w:color w:val="auto"/>
                <w:sz w:val="24"/>
                <w:highlight w:val="none"/>
              </w:rPr>
              <w:t>kg</w:t>
            </w:r>
          </w:p>
        </w:tc>
      </w:tr>
      <w:tr w14:paraId="242B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1F8A2CD">
            <w:pPr>
              <w:jc w:val="left"/>
              <w:rPr>
                <w:rFonts w:hint="default" w:ascii="宋体" w:hAnsi="宋体"/>
                <w:color w:val="auto"/>
                <w:sz w:val="24"/>
                <w:highlight w:val="none"/>
                <w:lang w:val="en-US"/>
              </w:rPr>
            </w:pPr>
            <w:r>
              <w:rPr>
                <w:rFonts w:hint="eastAsia" w:ascii="宋体" w:hAnsi="宋体"/>
                <w:color w:val="auto"/>
                <w:sz w:val="24"/>
                <w:highlight w:val="none"/>
              </w:rPr>
              <w:t>412-</w:t>
            </w:r>
            <w:r>
              <w:rPr>
                <w:rFonts w:hint="eastAsia" w:ascii="宋体" w:hAnsi="宋体"/>
                <w:color w:val="auto"/>
                <w:sz w:val="24"/>
                <w:highlight w:val="none"/>
                <w:lang w:val="en-US" w:eastAsia="zh-CN"/>
              </w:rPr>
              <w:t>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27A07F">
            <w:pPr>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防抛网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8B34F4">
            <w:pPr>
              <w:jc w:val="left"/>
              <w:rPr>
                <w:rFonts w:hint="eastAsia" w:ascii="宋体" w:hAnsi="宋体"/>
                <w:color w:val="auto"/>
                <w:sz w:val="24"/>
                <w:highlight w:val="none"/>
              </w:rPr>
            </w:pPr>
            <w:r>
              <w:rPr>
                <w:rFonts w:hint="eastAsia" w:ascii="宋体" w:hAnsi="宋体"/>
                <w:color w:val="auto"/>
                <w:sz w:val="24"/>
                <w:highlight w:val="none"/>
              </w:rPr>
              <w:t>kg</w:t>
            </w:r>
          </w:p>
        </w:tc>
      </w:tr>
    </w:tbl>
    <w:p w14:paraId="0F2451F8">
      <w:pPr>
        <w:snapToGrid w:val="0"/>
        <w:spacing w:line="360" w:lineRule="auto"/>
        <w:ind w:firstLine="480" w:firstLineChars="200"/>
        <w:jc w:val="left"/>
        <w:rPr>
          <w:rFonts w:hint="eastAsia" w:ascii="宋体" w:hAnsi="宋体"/>
          <w:color w:val="auto"/>
          <w:sz w:val="24"/>
          <w:highlight w:val="none"/>
        </w:rPr>
      </w:pPr>
    </w:p>
    <w:p w14:paraId="2D0B5854">
      <w:pPr>
        <w:snapToGrid w:val="0"/>
        <w:spacing w:line="360" w:lineRule="auto"/>
        <w:ind w:firstLine="564"/>
        <w:jc w:val="center"/>
        <w:rPr>
          <w:rFonts w:hint="eastAsia" w:ascii="宋体" w:hAnsi="宋体"/>
          <w:b/>
          <w:color w:val="auto"/>
          <w:sz w:val="28"/>
          <w:szCs w:val="28"/>
          <w:highlight w:val="none"/>
        </w:rPr>
      </w:pPr>
      <w:r>
        <w:rPr>
          <w:rFonts w:hint="eastAsia" w:ascii="宋体" w:hAnsi="宋体"/>
          <w:b/>
          <w:color w:val="auto"/>
          <w:sz w:val="28"/>
          <w:szCs w:val="28"/>
          <w:highlight w:val="none"/>
        </w:rPr>
        <w:t>第415节  桥面铺装</w:t>
      </w:r>
    </w:p>
    <w:p w14:paraId="5C59289F">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4CBDE8E0">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 桥面铺装（包括</w:t>
      </w:r>
      <w:r>
        <w:rPr>
          <w:rFonts w:hint="eastAsia" w:ascii="宋体" w:hAnsi="宋体"/>
          <w:color w:val="auto"/>
          <w:sz w:val="24"/>
          <w:szCs w:val="20"/>
          <w:highlight w:val="none"/>
        </w:rPr>
        <w:t>防滑塑胶板）</w:t>
      </w:r>
      <w:r>
        <w:rPr>
          <w:rFonts w:hint="eastAsia" w:ascii="宋体" w:hAnsi="宋体"/>
          <w:color w:val="auto"/>
          <w:sz w:val="24"/>
          <w:highlight w:val="none"/>
        </w:rPr>
        <w:t>按图纸所示的尺寸，或按实际完成并经监理人验收的数量，分别按不同材料及级别，按平方米计量（或以立方米计量）。由于施工原因而超铺的桥面铺装，不予计量。</w:t>
      </w:r>
    </w:p>
    <w:p w14:paraId="36C5F05E">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(2)桥面防水层按图纸要求施工，并经监理人验收的实际数量，分结构类型以平方米计量。</w:t>
      </w:r>
    </w:p>
    <w:p w14:paraId="63F5BBE1">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(3)桥面调平层按图纸要求施工，并经监理人验收的实际数量，以</w:t>
      </w:r>
      <w:r>
        <w:rPr>
          <w:rFonts w:hint="eastAsia" w:ascii="宋体" w:hAnsi="宋体"/>
          <w:color w:val="auto"/>
          <w:sz w:val="24"/>
          <w:highlight w:val="none"/>
          <w:lang w:eastAsia="zh-CN"/>
        </w:rPr>
        <w:t>立方</w:t>
      </w:r>
      <w:r>
        <w:rPr>
          <w:rFonts w:hint="eastAsia" w:ascii="宋体" w:hAnsi="宋体"/>
          <w:color w:val="auto"/>
          <w:sz w:val="24"/>
          <w:highlight w:val="none"/>
        </w:rPr>
        <w:t>米计量，任何因承包人施工误差造成的超出设计允许需调平的工程量不予以计量。</w:t>
      </w:r>
    </w:p>
    <w:p w14:paraId="1885ECDC">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iCs/>
          <w:color w:val="auto"/>
          <w:sz w:val="24"/>
          <w:highlight w:val="none"/>
        </w:rPr>
        <w:t>混凝土桥面铺装接缝、刻槽</w:t>
      </w:r>
      <w:r>
        <w:rPr>
          <w:rFonts w:hint="eastAsia" w:ascii="宋体" w:hAnsi="宋体"/>
          <w:iCs/>
          <w:color w:val="auto"/>
          <w:sz w:val="24"/>
          <w:highlight w:val="none"/>
          <w:lang w:eastAsia="zh-CN"/>
        </w:rPr>
        <w:t>、粘层</w:t>
      </w:r>
      <w:r>
        <w:rPr>
          <w:rFonts w:hint="eastAsia" w:ascii="宋体" w:hAnsi="宋体"/>
          <w:iCs/>
          <w:color w:val="auto"/>
          <w:sz w:val="24"/>
          <w:highlight w:val="none"/>
        </w:rPr>
        <w:t>等作为桥面铺装的附属工作，本节不另行计量</w:t>
      </w:r>
      <w:r>
        <w:rPr>
          <w:rFonts w:hint="eastAsia" w:ascii="宋体" w:hAnsi="宋体"/>
          <w:color w:val="auto"/>
          <w:sz w:val="24"/>
          <w:highlight w:val="none"/>
        </w:rPr>
        <w:t>。</w:t>
      </w:r>
    </w:p>
    <w:p w14:paraId="0F4458A4">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(5)桥面铺装钢筋在第403节有关工程子目中计量，本节不另行计量。</w:t>
      </w:r>
    </w:p>
    <w:p w14:paraId="158D21FD">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0DF76E40">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价支付。此项支付包括材料、劳力、设备及其他为完成桥面铺装工程所必需的费用，是本节规定的全部工程的偿付。</w:t>
      </w:r>
    </w:p>
    <w:p w14:paraId="08C1149A">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5F2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CD9F563">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B238DC8">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6795EC17">
            <w:pPr>
              <w:jc w:val="left"/>
              <w:rPr>
                <w:rFonts w:hint="eastAsia" w:ascii="宋体" w:hAnsi="宋体"/>
                <w:color w:val="auto"/>
                <w:sz w:val="24"/>
                <w:highlight w:val="none"/>
              </w:rPr>
            </w:pPr>
            <w:r>
              <w:rPr>
                <w:rFonts w:hint="eastAsia" w:ascii="宋体" w:hAnsi="宋体"/>
                <w:color w:val="auto"/>
                <w:sz w:val="24"/>
                <w:highlight w:val="none"/>
              </w:rPr>
              <w:t>单位</w:t>
            </w:r>
          </w:p>
        </w:tc>
      </w:tr>
      <w:tr w14:paraId="307B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80EF3FD">
            <w:pPr>
              <w:widowControl/>
              <w:jc w:val="left"/>
              <w:rPr>
                <w:rFonts w:ascii="宋体" w:hAnsi="宋体"/>
                <w:color w:val="auto"/>
                <w:sz w:val="24"/>
                <w:highlight w:val="none"/>
              </w:rPr>
            </w:pPr>
            <w:r>
              <w:rPr>
                <w:rFonts w:hint="eastAsia" w:ascii="宋体" w:hAnsi="宋体"/>
                <w:color w:val="auto"/>
                <w:sz w:val="24"/>
                <w:highlight w:val="none"/>
              </w:rPr>
              <w:t>415</w:t>
            </w:r>
          </w:p>
        </w:tc>
        <w:tc>
          <w:tcPr>
            <w:tcW w:w="5400" w:type="dxa"/>
            <w:noWrap w:val="0"/>
            <w:vAlign w:val="center"/>
          </w:tcPr>
          <w:p w14:paraId="089EE944">
            <w:pPr>
              <w:widowControl/>
              <w:jc w:val="left"/>
              <w:rPr>
                <w:rFonts w:ascii="宋体" w:hAnsi="宋体"/>
                <w:color w:val="auto"/>
                <w:sz w:val="24"/>
                <w:highlight w:val="none"/>
              </w:rPr>
            </w:pPr>
            <w:r>
              <w:rPr>
                <w:rFonts w:hint="eastAsia" w:ascii="宋体" w:hAnsi="宋体"/>
                <w:color w:val="auto"/>
                <w:sz w:val="24"/>
                <w:highlight w:val="none"/>
              </w:rPr>
              <w:t>桥面铺装</w:t>
            </w:r>
          </w:p>
        </w:tc>
        <w:tc>
          <w:tcPr>
            <w:tcW w:w="1260" w:type="dxa"/>
            <w:noWrap w:val="0"/>
            <w:vAlign w:val="center"/>
          </w:tcPr>
          <w:p w14:paraId="6B6F46CC">
            <w:pPr>
              <w:widowControl/>
              <w:jc w:val="left"/>
              <w:rPr>
                <w:rFonts w:ascii="宋体" w:hAnsi="宋体"/>
                <w:color w:val="auto"/>
                <w:sz w:val="24"/>
                <w:highlight w:val="none"/>
              </w:rPr>
            </w:pPr>
          </w:p>
        </w:tc>
      </w:tr>
      <w:tr w14:paraId="546E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02643FA">
            <w:pPr>
              <w:widowControl/>
              <w:jc w:val="left"/>
              <w:rPr>
                <w:rFonts w:ascii="宋体" w:hAnsi="宋体"/>
                <w:color w:val="auto"/>
                <w:sz w:val="24"/>
                <w:highlight w:val="none"/>
              </w:rPr>
            </w:pPr>
            <w:r>
              <w:rPr>
                <w:rFonts w:hint="eastAsia" w:ascii="宋体" w:hAnsi="宋体"/>
                <w:color w:val="auto"/>
                <w:sz w:val="24"/>
                <w:highlight w:val="none"/>
              </w:rPr>
              <w:t>415-1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ECEE0AA">
            <w:pPr>
              <w:widowControl/>
              <w:jc w:val="left"/>
              <w:rPr>
                <w:rFonts w:hint="eastAsia" w:ascii="宋体" w:hAnsi="宋体"/>
                <w:color w:val="auto"/>
                <w:sz w:val="24"/>
                <w:highlight w:val="none"/>
              </w:rPr>
            </w:pPr>
            <w:r>
              <w:rPr>
                <w:rFonts w:hint="eastAsia" w:ascii="宋体" w:hAnsi="宋体"/>
                <w:color w:val="auto"/>
                <w:sz w:val="24"/>
                <w:highlight w:val="none"/>
              </w:rPr>
              <w:t>沥青混凝土桥面铺装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394751">
            <w:pPr>
              <w:widowControl/>
              <w:jc w:val="left"/>
              <w:rPr>
                <w:rFonts w:hint="eastAsia" w:ascii="宋体" w:hAnsi="宋体"/>
                <w:color w:val="auto"/>
                <w:sz w:val="24"/>
                <w:highlight w:val="none"/>
              </w:rPr>
            </w:pPr>
          </w:p>
        </w:tc>
      </w:tr>
      <w:tr w14:paraId="4289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87985EF">
            <w:pPr>
              <w:widowControl/>
              <w:jc w:val="left"/>
              <w:rPr>
                <w:rFonts w:hint="eastAsia" w:ascii="宋体" w:hAnsi="宋体"/>
                <w:color w:val="auto"/>
                <w:sz w:val="24"/>
                <w:highlight w:val="none"/>
              </w:rPr>
            </w:pPr>
            <w:r>
              <w:rPr>
                <w:rFonts w:hint="eastAsia" w:ascii="宋体" w:hAnsi="宋体"/>
                <w:color w:val="auto"/>
                <w:sz w:val="24"/>
                <w:highlight w:val="none"/>
              </w:rPr>
              <w:t>415-1-2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0F76F3A">
            <w:pPr>
              <w:widowControl/>
              <w:jc w:val="left"/>
              <w:rPr>
                <w:rFonts w:hint="eastAsia" w:ascii="宋体" w:hAnsi="宋体"/>
                <w:color w:val="auto"/>
                <w:sz w:val="24"/>
                <w:highlight w:val="none"/>
              </w:rPr>
            </w:pPr>
            <w:r>
              <w:rPr>
                <w:rFonts w:hint="eastAsia" w:ascii="宋体" w:hAnsi="宋体"/>
                <w:color w:val="auto"/>
                <w:sz w:val="24"/>
                <w:highlight w:val="none"/>
              </w:rPr>
              <w:t>改性沥青混凝土桥面铺装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FE2628">
            <w:pPr>
              <w:widowControl/>
              <w:jc w:val="left"/>
              <w:rPr>
                <w:rFonts w:hint="eastAsia" w:ascii="宋体" w:hAnsi="宋体"/>
                <w:color w:val="auto"/>
                <w:sz w:val="24"/>
                <w:highlight w:val="none"/>
              </w:rPr>
            </w:pPr>
          </w:p>
        </w:tc>
      </w:tr>
      <w:tr w14:paraId="55CF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7E9BAF8">
            <w:pPr>
              <w:widowControl/>
              <w:jc w:val="left"/>
              <w:rPr>
                <w:rFonts w:hint="eastAsia" w:ascii="宋体" w:hAnsi="宋体"/>
                <w:color w:val="auto"/>
                <w:sz w:val="24"/>
                <w:highlight w:val="none"/>
              </w:rPr>
            </w:pPr>
            <w:r>
              <w:rPr>
                <w:rFonts w:hint="eastAsia" w:ascii="宋体" w:hAnsi="宋体"/>
                <w:color w:val="auto"/>
                <w:sz w:val="24"/>
                <w:highlight w:val="none"/>
              </w:rPr>
              <w:t>415-1-2-4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58F8C38">
            <w:pPr>
              <w:widowControl/>
              <w:jc w:val="left"/>
              <w:rPr>
                <w:rFonts w:hint="eastAsia" w:ascii="宋体" w:hAnsi="宋体"/>
                <w:color w:val="auto"/>
                <w:sz w:val="24"/>
                <w:highlight w:val="none"/>
              </w:rPr>
            </w:pPr>
            <w:r>
              <w:rPr>
                <w:rFonts w:hint="eastAsia" w:ascii="宋体" w:hAnsi="宋体"/>
                <w:color w:val="auto"/>
                <w:sz w:val="24"/>
                <w:highlight w:val="none"/>
              </w:rPr>
              <w:t>厚40mm细粒式改性沥青混凝土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E96C72">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24A7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F3F4061">
            <w:pPr>
              <w:widowControl/>
              <w:jc w:val="left"/>
              <w:rPr>
                <w:rFonts w:hint="eastAsia" w:ascii="宋体" w:hAnsi="宋体"/>
                <w:color w:val="auto"/>
                <w:sz w:val="24"/>
                <w:highlight w:val="none"/>
              </w:rPr>
            </w:pPr>
            <w:r>
              <w:rPr>
                <w:rFonts w:hint="eastAsia" w:ascii="宋体" w:hAnsi="宋体"/>
                <w:color w:val="auto"/>
                <w:sz w:val="24"/>
                <w:highlight w:val="none"/>
              </w:rPr>
              <w:t>415-1-2-6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FA08A2F">
            <w:pPr>
              <w:widowControl/>
              <w:jc w:val="left"/>
              <w:rPr>
                <w:rFonts w:hint="eastAsia" w:ascii="宋体" w:hAnsi="宋体"/>
                <w:color w:val="auto"/>
                <w:sz w:val="24"/>
                <w:highlight w:val="none"/>
              </w:rPr>
            </w:pPr>
            <w:r>
              <w:rPr>
                <w:rFonts w:hint="eastAsia" w:ascii="宋体" w:hAnsi="宋体"/>
                <w:color w:val="auto"/>
                <w:sz w:val="24"/>
                <w:highlight w:val="none"/>
              </w:rPr>
              <w:t>厚60mm沥青混凝土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C1BCD1">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0ED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7FF6067">
            <w:pPr>
              <w:widowControl/>
              <w:jc w:val="left"/>
              <w:rPr>
                <w:rFonts w:hint="eastAsia" w:ascii="宋体" w:hAnsi="宋体"/>
                <w:color w:val="auto"/>
                <w:sz w:val="24"/>
                <w:highlight w:val="none"/>
              </w:rPr>
            </w:pPr>
            <w:r>
              <w:rPr>
                <w:rFonts w:hint="eastAsia" w:ascii="宋体" w:hAnsi="宋体"/>
                <w:color w:val="auto"/>
                <w:sz w:val="24"/>
                <w:highlight w:val="none"/>
              </w:rPr>
              <w:t>415-3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AAD315A">
            <w:pPr>
              <w:widowControl/>
              <w:jc w:val="left"/>
              <w:rPr>
                <w:rFonts w:hint="eastAsia" w:ascii="宋体" w:hAnsi="宋体"/>
                <w:color w:val="auto"/>
                <w:sz w:val="24"/>
                <w:highlight w:val="none"/>
              </w:rPr>
            </w:pPr>
            <w:r>
              <w:rPr>
                <w:rFonts w:hint="eastAsia" w:ascii="宋体" w:hAnsi="宋体"/>
                <w:color w:val="auto"/>
                <w:sz w:val="24"/>
                <w:highlight w:val="none"/>
              </w:rPr>
              <w:t>桥面防水层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ABC001">
            <w:pPr>
              <w:widowControl/>
              <w:jc w:val="left"/>
              <w:rPr>
                <w:rFonts w:hint="eastAsia" w:ascii="宋体" w:hAnsi="宋体"/>
                <w:color w:val="auto"/>
                <w:sz w:val="24"/>
                <w:highlight w:val="none"/>
              </w:rPr>
            </w:pPr>
          </w:p>
        </w:tc>
      </w:tr>
      <w:tr w14:paraId="4704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21DB416">
            <w:pPr>
              <w:widowControl/>
              <w:jc w:val="left"/>
              <w:rPr>
                <w:rFonts w:hint="eastAsia" w:ascii="宋体" w:hAnsi="宋体"/>
                <w:color w:val="auto"/>
                <w:sz w:val="24"/>
                <w:highlight w:val="none"/>
              </w:rPr>
            </w:pPr>
            <w:r>
              <w:rPr>
                <w:rFonts w:hint="eastAsia" w:ascii="宋体" w:hAnsi="宋体"/>
                <w:color w:val="auto"/>
                <w:sz w:val="24"/>
                <w:highlight w:val="none"/>
              </w:rPr>
              <w:t>415-3-4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1413F0">
            <w:pPr>
              <w:widowControl/>
              <w:jc w:val="left"/>
              <w:rPr>
                <w:rFonts w:hint="eastAsia" w:ascii="宋体" w:hAnsi="宋体"/>
                <w:color w:val="auto"/>
                <w:sz w:val="24"/>
                <w:highlight w:val="none"/>
              </w:rPr>
            </w:pPr>
            <w:r>
              <w:rPr>
                <w:rFonts w:hint="eastAsia" w:ascii="宋体" w:hAnsi="宋体"/>
                <w:color w:val="auto"/>
                <w:sz w:val="24"/>
                <w:highlight w:val="none"/>
              </w:rPr>
              <w:t>无机分子防水涂料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BDAB26">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5F9B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F6977CF">
            <w:pPr>
              <w:widowControl/>
              <w:jc w:val="left"/>
              <w:rPr>
                <w:rFonts w:hint="eastAsia" w:ascii="宋体" w:hAnsi="宋体"/>
                <w:color w:val="auto"/>
                <w:sz w:val="24"/>
                <w:highlight w:val="none"/>
              </w:rPr>
            </w:pPr>
            <w:r>
              <w:rPr>
                <w:rFonts w:hint="eastAsia" w:ascii="宋体" w:hAnsi="宋体"/>
                <w:color w:val="auto"/>
                <w:sz w:val="24"/>
                <w:highlight w:val="none"/>
              </w:rPr>
              <w:t>415-4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4FFB367">
            <w:pPr>
              <w:widowControl/>
              <w:jc w:val="left"/>
              <w:rPr>
                <w:rFonts w:hint="eastAsia" w:ascii="宋体" w:hAnsi="宋体"/>
                <w:color w:val="auto"/>
                <w:sz w:val="24"/>
                <w:highlight w:val="none"/>
              </w:rPr>
            </w:pPr>
            <w:r>
              <w:rPr>
                <w:rFonts w:hint="eastAsia" w:ascii="宋体" w:hAnsi="宋体"/>
                <w:color w:val="auto"/>
                <w:sz w:val="24"/>
                <w:highlight w:val="none"/>
              </w:rPr>
              <w:t>桥面调平层（按体积计）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2F99D6C">
            <w:pPr>
              <w:widowControl/>
              <w:jc w:val="left"/>
              <w:rPr>
                <w:rFonts w:hint="eastAsia" w:ascii="宋体" w:hAnsi="宋体"/>
                <w:color w:val="auto"/>
                <w:sz w:val="24"/>
                <w:highlight w:val="none"/>
              </w:rPr>
            </w:pPr>
          </w:p>
        </w:tc>
      </w:tr>
      <w:tr w14:paraId="4335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000E4BB">
            <w:pPr>
              <w:widowControl/>
              <w:jc w:val="left"/>
              <w:rPr>
                <w:rFonts w:hint="eastAsia" w:ascii="宋体" w:hAnsi="宋体"/>
                <w:color w:val="auto"/>
                <w:sz w:val="24"/>
                <w:highlight w:val="none"/>
              </w:rPr>
            </w:pPr>
            <w:r>
              <w:rPr>
                <w:rFonts w:hint="eastAsia" w:ascii="宋体" w:hAnsi="宋体"/>
                <w:color w:val="auto"/>
                <w:sz w:val="24"/>
                <w:highlight w:val="none"/>
              </w:rPr>
              <w:t>415-4-1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B33FE82">
            <w:pPr>
              <w:widowControl/>
              <w:jc w:val="left"/>
              <w:rPr>
                <w:rFonts w:hint="eastAsia" w:ascii="宋体" w:hAnsi="宋体"/>
                <w:color w:val="auto"/>
                <w:sz w:val="24"/>
                <w:highlight w:val="none"/>
              </w:rPr>
            </w:pPr>
            <w:r>
              <w:rPr>
                <w:rFonts w:hint="eastAsia" w:ascii="宋体" w:hAnsi="宋体"/>
                <w:color w:val="auto"/>
                <w:sz w:val="24"/>
                <w:highlight w:val="none"/>
              </w:rPr>
              <w:t>水泥混凝土调平层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007C21C">
            <w:pPr>
              <w:widowControl/>
              <w:jc w:val="left"/>
              <w:rPr>
                <w:rFonts w:hint="eastAsia" w:ascii="宋体" w:hAnsi="宋体"/>
                <w:color w:val="auto"/>
                <w:sz w:val="24"/>
                <w:highlight w:val="none"/>
              </w:rPr>
            </w:pPr>
            <w:r>
              <w:rPr>
                <w:rFonts w:hint="eastAsia" w:ascii="宋体" w:hAnsi="宋体"/>
                <w:color w:val="auto"/>
                <w:sz w:val="24"/>
                <w:highlight w:val="none"/>
              </w:rPr>
              <w:t>m3</w:t>
            </w:r>
          </w:p>
        </w:tc>
      </w:tr>
    </w:tbl>
    <w:p w14:paraId="74C97152">
      <w:pPr>
        <w:snapToGrid w:val="0"/>
        <w:spacing w:line="360" w:lineRule="auto"/>
        <w:ind w:firstLine="564"/>
        <w:jc w:val="left"/>
        <w:rPr>
          <w:rFonts w:hint="eastAsia" w:ascii="宋体" w:hAnsi="宋体"/>
          <w:color w:val="auto"/>
          <w:sz w:val="24"/>
          <w:highlight w:val="none"/>
        </w:rPr>
      </w:pPr>
    </w:p>
    <w:p w14:paraId="4F99B1AE">
      <w:pPr>
        <w:snapToGrid w:val="0"/>
        <w:spacing w:line="360" w:lineRule="auto"/>
        <w:ind w:firstLine="564"/>
        <w:jc w:val="center"/>
        <w:rPr>
          <w:rFonts w:hint="eastAsia" w:ascii="宋体" w:hAnsi="宋体"/>
          <w:b/>
          <w:color w:val="auto"/>
          <w:sz w:val="28"/>
          <w:szCs w:val="28"/>
          <w:highlight w:val="none"/>
        </w:rPr>
      </w:pPr>
      <w:r>
        <w:rPr>
          <w:rFonts w:hint="eastAsia" w:ascii="宋体" w:hAnsi="宋体"/>
          <w:b/>
          <w:color w:val="auto"/>
          <w:sz w:val="28"/>
          <w:szCs w:val="28"/>
          <w:highlight w:val="none"/>
        </w:rPr>
        <w:t>第416节  桥梁支座</w:t>
      </w:r>
    </w:p>
    <w:p w14:paraId="4CCC5113">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725F1647">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支座按图纸所示不同的类型，包括支座的提供的和安装，以个计量（橡胶支座亦可以按体积以立方分米计量）。支座的质量检查、清洗、运输、起吊及安装支座所需的扣件、钢板、焊接、螺栓、粘结以及质量检测等作为支座安装的附属工作，不另行计量。</w:t>
      </w:r>
    </w:p>
    <w:p w14:paraId="729EC7D1">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3C374F7E">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位支付。此项支付包括材料、劳力、设备及其他为完成支座工程必需的费用，是对完成工程的全部偿付。</w:t>
      </w:r>
    </w:p>
    <w:p w14:paraId="692D4320">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367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701EAAB1">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313AA25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52F13CC">
            <w:pPr>
              <w:jc w:val="left"/>
              <w:rPr>
                <w:rFonts w:hint="eastAsia" w:ascii="宋体" w:hAnsi="宋体"/>
                <w:color w:val="auto"/>
                <w:sz w:val="24"/>
                <w:highlight w:val="none"/>
              </w:rPr>
            </w:pPr>
            <w:r>
              <w:rPr>
                <w:rFonts w:hint="eastAsia" w:ascii="宋体" w:hAnsi="宋体"/>
                <w:color w:val="auto"/>
                <w:sz w:val="24"/>
                <w:highlight w:val="none"/>
              </w:rPr>
              <w:t>单位</w:t>
            </w:r>
          </w:p>
        </w:tc>
      </w:tr>
      <w:tr w14:paraId="1E90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6A67F23">
            <w:pPr>
              <w:widowControl/>
              <w:jc w:val="left"/>
              <w:rPr>
                <w:rFonts w:ascii="宋体" w:hAnsi="宋体"/>
                <w:color w:val="auto"/>
                <w:sz w:val="24"/>
                <w:highlight w:val="none"/>
              </w:rPr>
            </w:pPr>
            <w:r>
              <w:rPr>
                <w:rFonts w:hint="eastAsia" w:ascii="宋体" w:hAnsi="宋体"/>
                <w:color w:val="auto"/>
                <w:sz w:val="24"/>
                <w:highlight w:val="none"/>
              </w:rPr>
              <w:t>416</w:t>
            </w:r>
          </w:p>
        </w:tc>
        <w:tc>
          <w:tcPr>
            <w:tcW w:w="5400" w:type="dxa"/>
            <w:noWrap w:val="0"/>
            <w:vAlign w:val="center"/>
          </w:tcPr>
          <w:p w14:paraId="0609DCD9">
            <w:pPr>
              <w:widowControl/>
              <w:jc w:val="left"/>
              <w:rPr>
                <w:rFonts w:ascii="宋体" w:hAnsi="宋体"/>
                <w:color w:val="auto"/>
                <w:sz w:val="24"/>
                <w:highlight w:val="none"/>
              </w:rPr>
            </w:pPr>
            <w:r>
              <w:rPr>
                <w:rFonts w:hint="eastAsia" w:ascii="宋体" w:hAnsi="宋体"/>
                <w:color w:val="auto"/>
                <w:sz w:val="24"/>
                <w:highlight w:val="none"/>
              </w:rPr>
              <w:t>桥梁支座</w:t>
            </w:r>
          </w:p>
        </w:tc>
        <w:tc>
          <w:tcPr>
            <w:tcW w:w="1260" w:type="dxa"/>
            <w:noWrap w:val="0"/>
            <w:vAlign w:val="center"/>
          </w:tcPr>
          <w:p w14:paraId="174D633E">
            <w:pPr>
              <w:widowControl/>
              <w:jc w:val="left"/>
              <w:rPr>
                <w:rFonts w:ascii="宋体" w:hAnsi="宋体"/>
                <w:color w:val="auto"/>
                <w:sz w:val="24"/>
                <w:highlight w:val="none"/>
              </w:rPr>
            </w:pPr>
          </w:p>
        </w:tc>
      </w:tr>
      <w:tr w14:paraId="21A4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2B4E0F0">
            <w:pPr>
              <w:widowControl/>
              <w:jc w:val="left"/>
              <w:rPr>
                <w:rFonts w:ascii="宋体" w:hAnsi="宋体"/>
                <w:color w:val="auto"/>
                <w:sz w:val="24"/>
                <w:highlight w:val="none"/>
              </w:rPr>
            </w:pPr>
            <w:r>
              <w:rPr>
                <w:rFonts w:hint="eastAsia" w:ascii="宋体" w:hAnsi="宋体"/>
                <w:color w:val="auto"/>
                <w:sz w:val="24"/>
                <w:highlight w:val="none"/>
              </w:rPr>
              <w:t>416-1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C6F8F3">
            <w:pPr>
              <w:widowControl/>
              <w:jc w:val="left"/>
              <w:rPr>
                <w:rFonts w:hint="eastAsia" w:ascii="宋体" w:hAnsi="宋体"/>
                <w:color w:val="auto"/>
                <w:sz w:val="24"/>
                <w:highlight w:val="none"/>
              </w:rPr>
            </w:pPr>
            <w:r>
              <w:rPr>
                <w:rFonts w:hint="eastAsia" w:ascii="宋体" w:hAnsi="宋体"/>
                <w:color w:val="auto"/>
                <w:sz w:val="24"/>
                <w:highlight w:val="none"/>
              </w:rPr>
              <w:t>矩形板式橡胶支座</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48CD13">
            <w:pPr>
              <w:widowControl/>
              <w:jc w:val="left"/>
              <w:rPr>
                <w:rFonts w:hint="eastAsia" w:ascii="宋体" w:hAnsi="宋体"/>
                <w:color w:val="auto"/>
                <w:sz w:val="24"/>
                <w:highlight w:val="none"/>
              </w:rPr>
            </w:pPr>
          </w:p>
        </w:tc>
      </w:tr>
      <w:tr w14:paraId="3A09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B9B12C6">
            <w:pPr>
              <w:widowControl/>
              <w:jc w:val="left"/>
              <w:rPr>
                <w:rFonts w:hint="eastAsia" w:ascii="宋体" w:hAnsi="宋体"/>
                <w:color w:val="auto"/>
                <w:sz w:val="24"/>
                <w:highlight w:val="none"/>
              </w:rPr>
            </w:pPr>
            <w:r>
              <w:rPr>
                <w:rFonts w:hint="eastAsia" w:ascii="宋体" w:hAnsi="宋体"/>
                <w:color w:val="auto"/>
                <w:sz w:val="24"/>
                <w:highlight w:val="none"/>
              </w:rPr>
              <w:t>416-1-2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AF3F7A1">
            <w:pPr>
              <w:widowControl/>
              <w:jc w:val="left"/>
              <w:rPr>
                <w:rFonts w:hint="eastAsia" w:ascii="宋体" w:hAnsi="宋体"/>
                <w:color w:val="auto"/>
                <w:sz w:val="24"/>
                <w:highlight w:val="none"/>
              </w:rPr>
            </w:pPr>
            <w:r>
              <w:rPr>
                <w:rFonts w:hint="eastAsia" w:ascii="宋体" w:hAnsi="宋体"/>
                <w:color w:val="auto"/>
                <w:sz w:val="24"/>
                <w:highlight w:val="none"/>
              </w:rPr>
              <w:t>矩形板式橡胶支座（按个分型号计）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D80E95">
            <w:pPr>
              <w:widowControl/>
              <w:jc w:val="left"/>
              <w:rPr>
                <w:rFonts w:hint="eastAsia" w:ascii="宋体" w:hAnsi="宋体"/>
                <w:color w:val="auto"/>
                <w:sz w:val="24"/>
                <w:highlight w:val="none"/>
              </w:rPr>
            </w:pPr>
          </w:p>
        </w:tc>
      </w:tr>
      <w:tr w14:paraId="45F6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DB82ACD">
            <w:pPr>
              <w:widowControl/>
              <w:jc w:val="left"/>
              <w:rPr>
                <w:rFonts w:hint="eastAsia" w:ascii="宋体" w:hAnsi="宋体"/>
                <w:color w:val="auto"/>
                <w:sz w:val="24"/>
                <w:highlight w:val="none"/>
              </w:rPr>
            </w:pPr>
            <w:r>
              <w:rPr>
                <w:rFonts w:hint="eastAsia" w:ascii="宋体" w:hAnsi="宋体"/>
                <w:color w:val="auto"/>
                <w:sz w:val="24"/>
                <w:highlight w:val="none"/>
              </w:rPr>
              <w:t>416-1-2-1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FD09E12">
            <w:pPr>
              <w:widowControl/>
              <w:jc w:val="left"/>
              <w:rPr>
                <w:rFonts w:hint="eastAsia" w:ascii="宋体" w:hAnsi="宋体"/>
                <w:color w:val="auto"/>
                <w:sz w:val="24"/>
                <w:highlight w:val="none"/>
              </w:rPr>
            </w:pPr>
            <w:r>
              <w:rPr>
                <w:rFonts w:hint="eastAsia" w:ascii="宋体" w:hAnsi="宋体"/>
                <w:color w:val="auto"/>
                <w:sz w:val="24"/>
                <w:highlight w:val="none"/>
              </w:rPr>
              <w:t>GJZ350×550×99型矩形板式橡胶支座</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00FF09F">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11A5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4AF35F1">
            <w:pPr>
              <w:widowControl/>
              <w:jc w:val="left"/>
              <w:rPr>
                <w:rFonts w:hint="eastAsia" w:ascii="宋体" w:hAnsi="宋体"/>
                <w:color w:val="auto"/>
                <w:sz w:val="24"/>
                <w:highlight w:val="none"/>
              </w:rPr>
            </w:pPr>
            <w:r>
              <w:rPr>
                <w:rFonts w:hint="eastAsia" w:ascii="宋体" w:hAnsi="宋体"/>
                <w:color w:val="auto"/>
                <w:sz w:val="24"/>
                <w:highlight w:val="none"/>
              </w:rPr>
              <w:t>416-1-2-2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A758BE">
            <w:pPr>
              <w:widowControl/>
              <w:jc w:val="left"/>
              <w:rPr>
                <w:rFonts w:hint="eastAsia" w:ascii="宋体" w:hAnsi="宋体"/>
                <w:color w:val="auto"/>
                <w:sz w:val="24"/>
                <w:highlight w:val="none"/>
              </w:rPr>
            </w:pPr>
            <w:r>
              <w:rPr>
                <w:rFonts w:hint="eastAsia" w:ascii="宋体" w:hAnsi="宋体"/>
                <w:color w:val="auto"/>
                <w:sz w:val="24"/>
                <w:highlight w:val="none"/>
              </w:rPr>
              <w:t>GYZ550×110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AC0EB7">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1F0B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3693E80">
            <w:pPr>
              <w:widowControl/>
              <w:jc w:val="left"/>
              <w:rPr>
                <w:rFonts w:hint="eastAsia" w:ascii="宋体" w:hAnsi="宋体"/>
                <w:color w:val="auto"/>
                <w:sz w:val="24"/>
                <w:highlight w:val="none"/>
              </w:rPr>
            </w:pPr>
            <w:r>
              <w:rPr>
                <w:rFonts w:hint="eastAsia" w:ascii="宋体" w:hAnsi="宋体"/>
                <w:color w:val="auto"/>
                <w:sz w:val="24"/>
                <w:highlight w:val="none"/>
              </w:rPr>
              <w:t>416-4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9C5F88">
            <w:pPr>
              <w:widowControl/>
              <w:jc w:val="left"/>
              <w:rPr>
                <w:rFonts w:hint="eastAsia" w:ascii="宋体" w:hAnsi="宋体"/>
                <w:color w:val="auto"/>
                <w:sz w:val="24"/>
                <w:highlight w:val="none"/>
              </w:rPr>
            </w:pPr>
            <w:r>
              <w:rPr>
                <w:rFonts w:hint="eastAsia" w:ascii="宋体" w:hAnsi="宋体"/>
                <w:color w:val="auto"/>
                <w:sz w:val="24"/>
                <w:highlight w:val="none"/>
              </w:rPr>
              <w:t>盆式支座</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21568E">
            <w:pPr>
              <w:widowControl/>
              <w:jc w:val="left"/>
              <w:rPr>
                <w:rFonts w:hint="eastAsia" w:ascii="宋体" w:hAnsi="宋体"/>
                <w:color w:val="auto"/>
                <w:sz w:val="24"/>
                <w:highlight w:val="none"/>
              </w:rPr>
            </w:pPr>
          </w:p>
        </w:tc>
      </w:tr>
      <w:tr w14:paraId="1570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F9D5EF0">
            <w:pPr>
              <w:widowControl/>
              <w:jc w:val="left"/>
              <w:rPr>
                <w:rFonts w:hint="eastAsia" w:ascii="宋体" w:hAnsi="宋体"/>
                <w:color w:val="auto"/>
                <w:sz w:val="24"/>
                <w:highlight w:val="none"/>
              </w:rPr>
            </w:pPr>
            <w:r>
              <w:rPr>
                <w:rFonts w:hint="eastAsia" w:ascii="宋体" w:hAnsi="宋体"/>
                <w:color w:val="auto"/>
                <w:sz w:val="24"/>
                <w:highlight w:val="none"/>
              </w:rPr>
              <w:t>416-4-3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5FFAC60">
            <w:pPr>
              <w:widowControl/>
              <w:jc w:val="left"/>
              <w:rPr>
                <w:rFonts w:hint="eastAsia" w:ascii="宋体" w:hAnsi="宋体"/>
                <w:color w:val="auto"/>
                <w:sz w:val="24"/>
                <w:highlight w:val="none"/>
              </w:rPr>
            </w:pPr>
            <w:r>
              <w:rPr>
                <w:rFonts w:hint="eastAsia" w:ascii="宋体" w:hAnsi="宋体"/>
                <w:color w:val="auto"/>
                <w:sz w:val="24"/>
                <w:highlight w:val="none"/>
              </w:rPr>
              <w:t>支座反力5000KN</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450EBE2">
            <w:pPr>
              <w:widowControl/>
              <w:jc w:val="left"/>
              <w:rPr>
                <w:rFonts w:hint="eastAsia" w:ascii="宋体" w:hAnsi="宋体"/>
                <w:color w:val="auto"/>
                <w:sz w:val="24"/>
                <w:highlight w:val="none"/>
              </w:rPr>
            </w:pPr>
          </w:p>
        </w:tc>
      </w:tr>
      <w:tr w14:paraId="56D0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B8B8CB8">
            <w:pPr>
              <w:widowControl/>
              <w:jc w:val="left"/>
              <w:rPr>
                <w:rFonts w:hint="eastAsia" w:ascii="宋体" w:hAnsi="宋体"/>
                <w:color w:val="auto"/>
                <w:sz w:val="24"/>
                <w:highlight w:val="none"/>
              </w:rPr>
            </w:pPr>
            <w:r>
              <w:rPr>
                <w:rFonts w:hint="eastAsia" w:ascii="宋体" w:hAnsi="宋体"/>
                <w:color w:val="auto"/>
                <w:sz w:val="24"/>
                <w:highlight w:val="none"/>
              </w:rPr>
              <w:t>416-4-3-1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336BFA8">
            <w:pPr>
              <w:widowControl/>
              <w:jc w:val="left"/>
              <w:rPr>
                <w:rFonts w:hint="eastAsia" w:ascii="宋体" w:hAnsi="宋体"/>
                <w:color w:val="auto"/>
                <w:sz w:val="24"/>
                <w:highlight w:val="none"/>
              </w:rPr>
            </w:pPr>
            <w:r>
              <w:rPr>
                <w:rFonts w:hint="eastAsia" w:ascii="宋体" w:hAnsi="宋体"/>
                <w:color w:val="auto"/>
                <w:sz w:val="24"/>
                <w:highlight w:val="none"/>
              </w:rPr>
              <w:t>GPZ(Ⅱ)5.0DX</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616852">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70BB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EA509B7">
            <w:pPr>
              <w:widowControl/>
              <w:jc w:val="left"/>
              <w:rPr>
                <w:rFonts w:hint="eastAsia" w:ascii="宋体" w:hAnsi="宋体"/>
                <w:color w:val="auto"/>
                <w:sz w:val="24"/>
                <w:highlight w:val="none"/>
              </w:rPr>
            </w:pPr>
            <w:r>
              <w:rPr>
                <w:rFonts w:hint="eastAsia" w:ascii="宋体" w:hAnsi="宋体"/>
                <w:color w:val="auto"/>
                <w:sz w:val="24"/>
                <w:highlight w:val="none"/>
              </w:rPr>
              <w:t>416-4-3-2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31E9354">
            <w:pPr>
              <w:widowControl/>
              <w:jc w:val="left"/>
              <w:rPr>
                <w:rFonts w:hint="eastAsia" w:ascii="宋体" w:hAnsi="宋体"/>
                <w:color w:val="auto"/>
                <w:sz w:val="24"/>
                <w:highlight w:val="none"/>
              </w:rPr>
            </w:pPr>
            <w:r>
              <w:rPr>
                <w:rFonts w:hint="eastAsia" w:ascii="宋体" w:hAnsi="宋体"/>
                <w:color w:val="auto"/>
                <w:sz w:val="24"/>
                <w:highlight w:val="none"/>
              </w:rPr>
              <w:t>GPZ(Ⅱ)5.0SX</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CE4B45">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4BA5799F">
      <w:pPr>
        <w:snapToGrid w:val="0"/>
        <w:spacing w:line="360" w:lineRule="auto"/>
        <w:ind w:firstLine="564"/>
        <w:jc w:val="left"/>
        <w:rPr>
          <w:rFonts w:hint="eastAsia" w:ascii="宋体" w:hAnsi="宋体"/>
          <w:color w:val="auto"/>
          <w:sz w:val="24"/>
          <w:highlight w:val="none"/>
        </w:rPr>
      </w:pPr>
    </w:p>
    <w:p w14:paraId="04347D4F">
      <w:pPr>
        <w:snapToGrid w:val="0"/>
        <w:spacing w:line="360" w:lineRule="auto"/>
        <w:ind w:firstLine="564"/>
        <w:jc w:val="center"/>
        <w:rPr>
          <w:rFonts w:hint="eastAsia" w:ascii="宋体" w:hAnsi="宋体"/>
          <w:b/>
          <w:color w:val="auto"/>
          <w:sz w:val="28"/>
          <w:szCs w:val="28"/>
          <w:highlight w:val="none"/>
        </w:rPr>
      </w:pPr>
      <w:r>
        <w:rPr>
          <w:rFonts w:hint="eastAsia" w:ascii="宋体" w:hAnsi="宋体"/>
          <w:b/>
          <w:color w:val="auto"/>
          <w:sz w:val="28"/>
          <w:szCs w:val="28"/>
          <w:highlight w:val="none"/>
        </w:rPr>
        <w:t>第417节  桥梁接缝和伸缩装置</w:t>
      </w:r>
    </w:p>
    <w:p w14:paraId="7713229F">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29E14E3E">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(1)桥面伸缩装置按图纸要求安装并经监理人验收的数量，分不同结构型式以米计量。其内容包括伸缩装置的提供和安装等作业。</w:t>
      </w:r>
    </w:p>
    <w:p w14:paraId="5DB77EF8">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(2)除伸缩装置外的其他接缝，如止水片、沥青类等接缝填料，作为有关工程的附属工作，不另行计量。</w:t>
      </w:r>
    </w:p>
    <w:p w14:paraId="0D624F56">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(3)安装时切割和清除伸缩装置范围内沥青混凝土铺装或安装伸缩装置所需的部分水泥混凝土及临时或永久性的扣件、钢板、钢筋、焊接、螺栓、粘结等，作为伸缩装置安装的附属工作，不另行计量。</w:t>
      </w:r>
    </w:p>
    <w:p w14:paraId="45A49E5D">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(4) 预埋在台背、梁板内的钢筋、钢板等作为桥台或梁板的附属工程，不单独计量。</w:t>
      </w:r>
    </w:p>
    <w:p w14:paraId="0324E4AF">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5394E104">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了工程量清单的以下支付子目的工程量，其每一计量单位，将以合同单位支付。此项支付包括材料、劳力、运输、工具、安装等及其他为完成伸缩装置工程所必需的费用，是对完成工程的全部偿付。</w:t>
      </w:r>
    </w:p>
    <w:p w14:paraId="1E89EABA">
      <w:pPr>
        <w:snapToGrid w:val="0"/>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52D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EA09D06">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0686A92C">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B6F09A7">
            <w:pPr>
              <w:jc w:val="left"/>
              <w:rPr>
                <w:rFonts w:hint="eastAsia" w:ascii="宋体" w:hAnsi="宋体"/>
                <w:color w:val="auto"/>
                <w:sz w:val="24"/>
                <w:highlight w:val="none"/>
              </w:rPr>
            </w:pPr>
            <w:r>
              <w:rPr>
                <w:rFonts w:hint="eastAsia" w:ascii="宋体" w:hAnsi="宋体"/>
                <w:color w:val="auto"/>
                <w:sz w:val="24"/>
                <w:highlight w:val="none"/>
              </w:rPr>
              <w:t>单位</w:t>
            </w:r>
          </w:p>
        </w:tc>
      </w:tr>
      <w:tr w14:paraId="2CF1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5074019">
            <w:pPr>
              <w:widowControl/>
              <w:jc w:val="left"/>
              <w:rPr>
                <w:rFonts w:ascii="宋体" w:hAnsi="宋体"/>
                <w:color w:val="auto"/>
                <w:sz w:val="24"/>
                <w:highlight w:val="none"/>
              </w:rPr>
            </w:pPr>
            <w:r>
              <w:rPr>
                <w:rFonts w:hint="eastAsia" w:ascii="宋体" w:hAnsi="宋体"/>
                <w:color w:val="auto"/>
                <w:sz w:val="24"/>
                <w:highlight w:val="none"/>
              </w:rPr>
              <w:t>417</w:t>
            </w:r>
          </w:p>
        </w:tc>
        <w:tc>
          <w:tcPr>
            <w:tcW w:w="5400" w:type="dxa"/>
            <w:noWrap w:val="0"/>
            <w:vAlign w:val="center"/>
          </w:tcPr>
          <w:p w14:paraId="22981A09">
            <w:pPr>
              <w:widowControl/>
              <w:jc w:val="left"/>
              <w:rPr>
                <w:rFonts w:ascii="宋体" w:hAnsi="宋体"/>
                <w:color w:val="auto"/>
                <w:sz w:val="24"/>
                <w:highlight w:val="none"/>
              </w:rPr>
            </w:pPr>
            <w:r>
              <w:rPr>
                <w:rFonts w:hint="eastAsia" w:ascii="宋体" w:hAnsi="宋体"/>
                <w:color w:val="auto"/>
                <w:sz w:val="24"/>
                <w:highlight w:val="none"/>
              </w:rPr>
              <w:t>桥梁接缝和伸缩装置</w:t>
            </w:r>
          </w:p>
        </w:tc>
        <w:tc>
          <w:tcPr>
            <w:tcW w:w="1260" w:type="dxa"/>
            <w:noWrap w:val="0"/>
            <w:vAlign w:val="center"/>
          </w:tcPr>
          <w:p w14:paraId="2D0C91F3">
            <w:pPr>
              <w:widowControl/>
              <w:jc w:val="left"/>
              <w:rPr>
                <w:rFonts w:ascii="宋体" w:hAnsi="宋体"/>
                <w:color w:val="auto"/>
                <w:sz w:val="24"/>
                <w:highlight w:val="none"/>
              </w:rPr>
            </w:pPr>
          </w:p>
        </w:tc>
      </w:tr>
      <w:tr w14:paraId="6DAB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A600A61">
            <w:pPr>
              <w:widowControl/>
              <w:jc w:val="left"/>
              <w:rPr>
                <w:rFonts w:ascii="宋体" w:hAnsi="宋体"/>
                <w:color w:val="auto"/>
                <w:sz w:val="24"/>
                <w:highlight w:val="none"/>
              </w:rPr>
            </w:pPr>
            <w:r>
              <w:rPr>
                <w:rFonts w:hint="eastAsia" w:ascii="宋体" w:hAnsi="宋体"/>
                <w:color w:val="auto"/>
                <w:sz w:val="24"/>
                <w:highlight w:val="none"/>
              </w:rPr>
              <w:t>417-3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F31CB9">
            <w:pPr>
              <w:widowControl/>
              <w:jc w:val="left"/>
              <w:rPr>
                <w:rFonts w:hint="eastAsia" w:ascii="宋体" w:hAnsi="宋体"/>
                <w:color w:val="auto"/>
                <w:sz w:val="24"/>
                <w:highlight w:val="none"/>
              </w:rPr>
            </w:pPr>
            <w:r>
              <w:rPr>
                <w:rFonts w:hint="eastAsia" w:ascii="宋体" w:hAnsi="宋体"/>
                <w:color w:val="auto"/>
                <w:sz w:val="24"/>
                <w:highlight w:val="none"/>
              </w:rPr>
              <w:t>模数式伸缩缝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4FCB54">
            <w:pPr>
              <w:widowControl/>
              <w:jc w:val="left"/>
              <w:rPr>
                <w:rFonts w:hint="eastAsia" w:ascii="宋体" w:hAnsi="宋体"/>
                <w:color w:val="auto"/>
                <w:sz w:val="24"/>
                <w:highlight w:val="none"/>
              </w:rPr>
            </w:pPr>
          </w:p>
        </w:tc>
      </w:tr>
      <w:tr w14:paraId="3F6E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19C0990">
            <w:pPr>
              <w:widowControl/>
              <w:jc w:val="left"/>
              <w:rPr>
                <w:rFonts w:hint="eastAsia" w:ascii="宋体" w:hAnsi="宋体"/>
                <w:color w:val="auto"/>
                <w:sz w:val="24"/>
                <w:highlight w:val="none"/>
              </w:rPr>
            </w:pPr>
            <w:r>
              <w:rPr>
                <w:rFonts w:hint="eastAsia" w:ascii="宋体" w:hAnsi="宋体"/>
                <w:color w:val="auto"/>
                <w:sz w:val="24"/>
                <w:highlight w:val="none"/>
              </w:rPr>
              <w:t>417-3-1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4443731">
            <w:pPr>
              <w:widowControl/>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D160型伸缩缝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8D7474E">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32AC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7888015">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rPr>
              <w:t>417-3-</w:t>
            </w:r>
            <w:r>
              <w:rPr>
                <w:rFonts w:hint="eastAsia" w:ascii="宋体" w:hAnsi="宋体"/>
                <w:color w:val="auto"/>
                <w:sz w:val="24"/>
                <w:highlight w:val="none"/>
                <w:lang w:val="en-US" w:eastAsia="zh-CN"/>
              </w:rPr>
              <w:t>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83F65E1">
            <w:pPr>
              <w:widowControl/>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D80型伸缩缝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D8301C2">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5068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16EBC81">
            <w:pPr>
              <w:widowControl/>
              <w:jc w:val="left"/>
              <w:rPr>
                <w:rFonts w:hint="default" w:ascii="宋体" w:hAnsi="宋体" w:eastAsia="宋体"/>
                <w:color w:val="auto"/>
                <w:sz w:val="24"/>
                <w:highlight w:val="none"/>
                <w:lang w:val="en-US" w:eastAsia="zh-CN"/>
              </w:rPr>
            </w:pPr>
            <w:r>
              <w:rPr>
                <w:rFonts w:hint="eastAsia" w:ascii="宋体" w:hAnsi="宋体"/>
                <w:color w:val="auto"/>
                <w:sz w:val="24"/>
                <w:highlight w:val="none"/>
              </w:rPr>
              <w:t>417-3-</w:t>
            </w:r>
            <w:r>
              <w:rPr>
                <w:rFonts w:hint="eastAsia" w:ascii="宋体" w:hAnsi="宋体"/>
                <w:color w:val="auto"/>
                <w:sz w:val="24"/>
                <w:highlight w:val="none"/>
                <w:lang w:val="en-US" w:eastAsia="zh-CN"/>
              </w:rPr>
              <w:t>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6BB80BF">
            <w:pPr>
              <w:widowControl/>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D40型伸缩缝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7DD74E">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2809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6F94944">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rPr>
              <w:t>417-3-</w:t>
            </w:r>
            <w:r>
              <w:rPr>
                <w:rFonts w:hint="eastAsia" w:ascii="宋体" w:hAnsi="宋体"/>
                <w:color w:val="auto"/>
                <w:sz w:val="24"/>
                <w:highlight w:val="none"/>
                <w:lang w:val="en-US" w:eastAsia="zh-CN"/>
              </w:rPr>
              <w:t>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B5989E4">
            <w:pPr>
              <w:widowControl/>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14J936变形缝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66E495">
            <w:pPr>
              <w:widowControl/>
              <w:jc w:val="left"/>
              <w:rPr>
                <w:rFonts w:hint="eastAsia" w:ascii="宋体" w:hAnsi="宋体"/>
                <w:color w:val="auto"/>
                <w:sz w:val="24"/>
                <w:highlight w:val="none"/>
              </w:rPr>
            </w:pPr>
            <w:r>
              <w:rPr>
                <w:rFonts w:hint="eastAsia" w:ascii="宋体" w:hAnsi="宋体"/>
                <w:color w:val="auto"/>
                <w:sz w:val="24"/>
                <w:highlight w:val="none"/>
              </w:rPr>
              <w:t>m</w:t>
            </w:r>
          </w:p>
        </w:tc>
      </w:tr>
    </w:tbl>
    <w:p w14:paraId="20806BE2">
      <w:pPr>
        <w:spacing w:line="360" w:lineRule="auto"/>
        <w:jc w:val="left"/>
        <w:rPr>
          <w:rFonts w:hint="eastAsia" w:ascii="宋体" w:hAnsi="宋体"/>
          <w:b/>
          <w:color w:val="auto"/>
          <w:sz w:val="28"/>
          <w:szCs w:val="28"/>
          <w:highlight w:val="none"/>
        </w:rPr>
      </w:pPr>
    </w:p>
    <w:p w14:paraId="66552760">
      <w:pPr>
        <w:spacing w:line="360" w:lineRule="auto"/>
        <w:jc w:val="center"/>
        <w:rPr>
          <w:rFonts w:hint="eastAsia" w:ascii="宋体" w:hAnsi="宋体"/>
          <w:color w:val="auto"/>
          <w:sz w:val="24"/>
          <w:highlight w:val="none"/>
        </w:rPr>
      </w:pPr>
      <w:r>
        <w:rPr>
          <w:rFonts w:hint="eastAsia" w:ascii="宋体" w:hAnsi="宋体"/>
          <w:b/>
          <w:color w:val="auto"/>
          <w:sz w:val="28"/>
          <w:szCs w:val="28"/>
          <w:highlight w:val="none"/>
        </w:rPr>
        <w:t>第418节  桥梁防排水处理</w:t>
      </w:r>
    </w:p>
    <w:p w14:paraId="2F3905A7">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1.计量</w:t>
      </w:r>
    </w:p>
    <w:p w14:paraId="3454D6C6">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(1)沥青或油毛毡防水层，作为其他有关项目内的附属工作，不另行计量与支付。但桥面铺装防水层按415-3计量与支付。</w:t>
      </w:r>
    </w:p>
    <w:p w14:paraId="17692562">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(2)桥梁排水系统的泄水管或排水管材质不同，分直径及规格以排水管或泄水管的长度以米计量，综合单价中应包含三通、接头、管盖、渗透土工布等作为附属工作，不再予以单独计量。</w:t>
      </w:r>
    </w:p>
    <w:p w14:paraId="2525A0F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(3)桥面排水小型构件如排水格栅</w:t>
      </w:r>
      <w:r>
        <w:rPr>
          <w:rFonts w:hint="eastAsia" w:ascii="宋体" w:hAnsi="宋体"/>
          <w:color w:val="auto"/>
          <w:sz w:val="24"/>
          <w:highlight w:val="none"/>
          <w:lang w:eastAsia="zh-CN"/>
        </w:rPr>
        <w:t>、</w:t>
      </w:r>
      <w:r>
        <w:rPr>
          <w:rFonts w:hint="eastAsia" w:ascii="宋体" w:hAnsi="宋体"/>
          <w:color w:val="auto"/>
          <w:sz w:val="24"/>
          <w:highlight w:val="none"/>
        </w:rPr>
        <w:t>泄水管等按材质不同，分别以个计量。</w:t>
      </w:r>
    </w:p>
    <w:p w14:paraId="6F98120C">
      <w:pPr>
        <w:spacing w:line="360" w:lineRule="auto"/>
        <w:ind w:firstLine="482"/>
        <w:jc w:val="left"/>
        <w:rPr>
          <w:rFonts w:hint="eastAsia" w:ascii="宋体" w:hAnsi="宋体"/>
          <w:color w:val="auto"/>
          <w:sz w:val="24"/>
          <w:highlight w:val="none"/>
        </w:rPr>
      </w:pPr>
      <w:r>
        <w:rPr>
          <w:rFonts w:hint="eastAsia" w:ascii="宋体" w:hAnsi="宋体"/>
          <w:color w:val="auto"/>
          <w:sz w:val="24"/>
          <w:highlight w:val="none"/>
        </w:rPr>
        <w:t>2.支付</w:t>
      </w:r>
    </w:p>
    <w:p w14:paraId="76724145">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工程量清单的以下工程子目的工程量，其每一计量单位将以合同单价支付。此项支付包括材料、劳力、设备、运输等及其他为完成工程所必需的费用，是对完成工程的全部偿付。</w:t>
      </w:r>
    </w:p>
    <w:p w14:paraId="59032211">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2BAB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1134DE84">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4569304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7A0D6BF">
            <w:pPr>
              <w:jc w:val="left"/>
              <w:rPr>
                <w:rFonts w:hint="eastAsia" w:ascii="宋体" w:hAnsi="宋体"/>
                <w:color w:val="auto"/>
                <w:sz w:val="24"/>
                <w:highlight w:val="none"/>
              </w:rPr>
            </w:pPr>
            <w:r>
              <w:rPr>
                <w:rFonts w:hint="eastAsia" w:ascii="宋体" w:hAnsi="宋体"/>
                <w:color w:val="auto"/>
                <w:sz w:val="24"/>
                <w:highlight w:val="none"/>
              </w:rPr>
              <w:t>单位</w:t>
            </w:r>
          </w:p>
        </w:tc>
      </w:tr>
      <w:tr w14:paraId="7B11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6C6F899">
            <w:pPr>
              <w:widowControl/>
              <w:jc w:val="left"/>
              <w:rPr>
                <w:rFonts w:ascii="宋体" w:hAnsi="宋体"/>
                <w:color w:val="auto"/>
                <w:sz w:val="24"/>
                <w:highlight w:val="none"/>
              </w:rPr>
            </w:pPr>
            <w:r>
              <w:rPr>
                <w:rFonts w:hint="eastAsia" w:ascii="宋体" w:hAnsi="宋体"/>
                <w:color w:val="auto"/>
                <w:sz w:val="24"/>
                <w:highlight w:val="none"/>
              </w:rPr>
              <w:t>418</w:t>
            </w:r>
          </w:p>
        </w:tc>
        <w:tc>
          <w:tcPr>
            <w:tcW w:w="5400" w:type="dxa"/>
            <w:noWrap w:val="0"/>
            <w:vAlign w:val="center"/>
          </w:tcPr>
          <w:p w14:paraId="3463B359">
            <w:pPr>
              <w:widowControl/>
              <w:jc w:val="left"/>
              <w:rPr>
                <w:rFonts w:ascii="宋体" w:hAnsi="宋体"/>
                <w:color w:val="auto"/>
                <w:sz w:val="24"/>
                <w:highlight w:val="none"/>
              </w:rPr>
            </w:pPr>
            <w:r>
              <w:rPr>
                <w:rFonts w:hint="eastAsia" w:ascii="宋体" w:hAnsi="宋体"/>
                <w:color w:val="auto"/>
                <w:sz w:val="24"/>
                <w:highlight w:val="none"/>
              </w:rPr>
              <w:t>桥梁防排水处理</w:t>
            </w:r>
          </w:p>
        </w:tc>
        <w:tc>
          <w:tcPr>
            <w:tcW w:w="1260" w:type="dxa"/>
            <w:noWrap w:val="0"/>
            <w:vAlign w:val="center"/>
          </w:tcPr>
          <w:p w14:paraId="04CD584C">
            <w:pPr>
              <w:widowControl/>
              <w:jc w:val="left"/>
              <w:rPr>
                <w:rFonts w:ascii="宋体" w:hAnsi="宋体"/>
                <w:color w:val="auto"/>
                <w:sz w:val="24"/>
                <w:highlight w:val="none"/>
              </w:rPr>
            </w:pPr>
          </w:p>
        </w:tc>
      </w:tr>
      <w:tr w14:paraId="3894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41F6238">
            <w:pPr>
              <w:widowControl/>
              <w:jc w:val="left"/>
              <w:rPr>
                <w:rFonts w:ascii="宋体" w:hAnsi="宋体"/>
                <w:color w:val="auto"/>
                <w:sz w:val="24"/>
                <w:highlight w:val="none"/>
              </w:rPr>
            </w:pPr>
            <w:r>
              <w:rPr>
                <w:rFonts w:hint="eastAsia" w:ascii="宋体" w:hAnsi="宋体"/>
                <w:color w:val="auto"/>
                <w:sz w:val="24"/>
                <w:highlight w:val="none"/>
              </w:rPr>
              <w:t>418-1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B2A373B">
            <w:pPr>
              <w:widowControl/>
              <w:jc w:val="left"/>
              <w:rPr>
                <w:rFonts w:hint="eastAsia" w:ascii="宋体" w:hAnsi="宋体"/>
                <w:color w:val="auto"/>
                <w:sz w:val="24"/>
                <w:highlight w:val="none"/>
              </w:rPr>
            </w:pPr>
            <w:r>
              <w:rPr>
                <w:rFonts w:hint="eastAsia" w:ascii="宋体" w:hAnsi="宋体"/>
                <w:color w:val="auto"/>
                <w:sz w:val="24"/>
                <w:highlight w:val="none"/>
              </w:rPr>
              <w:t>排水管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E434B0">
            <w:pPr>
              <w:widowControl/>
              <w:jc w:val="left"/>
              <w:rPr>
                <w:rFonts w:hint="eastAsia" w:ascii="宋体" w:hAnsi="宋体"/>
                <w:color w:val="auto"/>
                <w:sz w:val="24"/>
                <w:highlight w:val="none"/>
              </w:rPr>
            </w:pPr>
          </w:p>
        </w:tc>
      </w:tr>
      <w:tr w14:paraId="10EE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C7D3F6B">
            <w:pPr>
              <w:widowControl/>
              <w:jc w:val="left"/>
              <w:rPr>
                <w:rFonts w:hint="eastAsia" w:ascii="宋体" w:hAnsi="宋体"/>
                <w:color w:val="auto"/>
                <w:sz w:val="24"/>
                <w:highlight w:val="none"/>
              </w:rPr>
            </w:pPr>
            <w:r>
              <w:rPr>
                <w:rFonts w:hint="eastAsia" w:ascii="宋体" w:hAnsi="宋体"/>
                <w:color w:val="auto"/>
                <w:sz w:val="24"/>
                <w:highlight w:val="none"/>
              </w:rPr>
              <w:t>418-1-2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90CC31F">
            <w:pPr>
              <w:widowControl/>
              <w:jc w:val="left"/>
              <w:rPr>
                <w:rFonts w:hint="eastAsia" w:ascii="宋体" w:hAnsi="宋体"/>
                <w:color w:val="auto"/>
                <w:sz w:val="24"/>
                <w:highlight w:val="none"/>
              </w:rPr>
            </w:pPr>
            <w:r>
              <w:rPr>
                <w:rFonts w:hint="eastAsia" w:ascii="宋体" w:hAnsi="宋体"/>
                <w:color w:val="auto"/>
                <w:sz w:val="24"/>
                <w:highlight w:val="none"/>
              </w:rPr>
              <w:t>泄水管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AE2791B">
            <w:pPr>
              <w:widowControl/>
              <w:jc w:val="left"/>
              <w:rPr>
                <w:rFonts w:hint="eastAsia" w:ascii="宋体" w:hAnsi="宋体"/>
                <w:color w:val="auto"/>
                <w:sz w:val="24"/>
                <w:highlight w:val="none"/>
              </w:rPr>
            </w:pPr>
          </w:p>
        </w:tc>
      </w:tr>
      <w:tr w14:paraId="1120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A4CC315">
            <w:pPr>
              <w:widowControl/>
              <w:jc w:val="left"/>
              <w:rPr>
                <w:rFonts w:hint="eastAsia" w:ascii="宋体" w:hAnsi="宋体"/>
                <w:color w:val="auto"/>
                <w:sz w:val="24"/>
                <w:highlight w:val="none"/>
              </w:rPr>
            </w:pPr>
            <w:r>
              <w:rPr>
                <w:rFonts w:hint="eastAsia" w:ascii="宋体" w:hAnsi="宋体"/>
                <w:color w:val="auto"/>
                <w:sz w:val="24"/>
                <w:highlight w:val="none"/>
              </w:rPr>
              <w:t>418-1-2-3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918802">
            <w:pPr>
              <w:widowControl/>
              <w:jc w:val="left"/>
              <w:rPr>
                <w:rFonts w:hint="eastAsia" w:ascii="宋体" w:hAnsi="宋体"/>
                <w:color w:val="auto"/>
                <w:sz w:val="24"/>
                <w:highlight w:val="none"/>
              </w:rPr>
            </w:pPr>
            <w:r>
              <w:rPr>
                <w:rFonts w:hint="eastAsia" w:ascii="宋体" w:hAnsi="宋体"/>
                <w:color w:val="auto"/>
                <w:sz w:val="24"/>
                <w:highlight w:val="none"/>
              </w:rPr>
              <w:t>直径φ150mmPVC-U管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CF8DF71">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6615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021E9CD">
            <w:pPr>
              <w:widowControl/>
              <w:jc w:val="left"/>
              <w:rPr>
                <w:rFonts w:hint="eastAsia" w:ascii="宋体" w:hAnsi="宋体"/>
                <w:color w:val="auto"/>
                <w:sz w:val="24"/>
                <w:highlight w:val="none"/>
              </w:rPr>
            </w:pPr>
            <w:r>
              <w:rPr>
                <w:rFonts w:hint="eastAsia" w:ascii="宋体" w:hAnsi="宋体"/>
                <w:color w:val="auto"/>
                <w:sz w:val="24"/>
                <w:highlight w:val="none"/>
              </w:rPr>
              <w:t>418-2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2DDEF9C">
            <w:pPr>
              <w:widowControl/>
              <w:jc w:val="left"/>
              <w:rPr>
                <w:rFonts w:hint="eastAsia" w:ascii="宋体" w:hAnsi="宋体"/>
                <w:color w:val="auto"/>
                <w:sz w:val="24"/>
                <w:highlight w:val="none"/>
              </w:rPr>
            </w:pPr>
            <w:r>
              <w:rPr>
                <w:rFonts w:hint="eastAsia" w:ascii="宋体" w:hAnsi="宋体"/>
                <w:color w:val="auto"/>
                <w:sz w:val="24"/>
                <w:highlight w:val="none"/>
              </w:rPr>
              <w:t>桥面排水构造物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70FA88">
            <w:pPr>
              <w:widowControl/>
              <w:jc w:val="left"/>
              <w:rPr>
                <w:rFonts w:hint="eastAsia" w:ascii="宋体" w:hAnsi="宋体"/>
                <w:color w:val="auto"/>
                <w:sz w:val="24"/>
                <w:highlight w:val="none"/>
              </w:rPr>
            </w:pPr>
          </w:p>
        </w:tc>
      </w:tr>
      <w:tr w14:paraId="0AC9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E79A46E">
            <w:pPr>
              <w:widowControl/>
              <w:jc w:val="left"/>
              <w:rPr>
                <w:rFonts w:hint="eastAsia" w:ascii="宋体" w:hAnsi="宋体"/>
                <w:color w:val="auto"/>
                <w:sz w:val="24"/>
                <w:highlight w:val="none"/>
              </w:rPr>
            </w:pPr>
            <w:r>
              <w:rPr>
                <w:rFonts w:hint="eastAsia" w:ascii="宋体" w:hAnsi="宋体"/>
                <w:color w:val="auto"/>
                <w:sz w:val="24"/>
                <w:highlight w:val="none"/>
              </w:rPr>
              <w:t>418-2-2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EC28F4D">
            <w:pPr>
              <w:widowControl/>
              <w:jc w:val="left"/>
              <w:rPr>
                <w:rFonts w:hint="eastAsia" w:ascii="宋体" w:hAnsi="宋体"/>
                <w:color w:val="auto"/>
                <w:sz w:val="24"/>
                <w:highlight w:val="none"/>
              </w:rPr>
            </w:pPr>
            <w:r>
              <w:rPr>
                <w:rFonts w:hint="eastAsia" w:ascii="宋体" w:hAnsi="宋体"/>
                <w:color w:val="auto"/>
                <w:sz w:val="24"/>
                <w:highlight w:val="none"/>
              </w:rPr>
              <w:t>泄水管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7EEF0B">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649D83E7">
      <w:pPr>
        <w:spacing w:line="360" w:lineRule="auto"/>
        <w:jc w:val="left"/>
        <w:rPr>
          <w:rFonts w:hint="eastAsia" w:ascii="宋体" w:hAnsi="宋体"/>
          <w:b/>
          <w:color w:val="auto"/>
          <w:sz w:val="28"/>
          <w:szCs w:val="28"/>
          <w:highlight w:val="none"/>
        </w:rPr>
      </w:pPr>
    </w:p>
    <w:p w14:paraId="2E251A3B">
      <w:pPr>
        <w:spacing w:line="360" w:lineRule="auto"/>
        <w:jc w:val="center"/>
        <w:rPr>
          <w:rFonts w:hint="eastAsia" w:ascii="宋体" w:hAnsi="宋体"/>
          <w:color w:val="auto"/>
          <w:sz w:val="24"/>
          <w:highlight w:val="none"/>
        </w:rPr>
      </w:pPr>
      <w:r>
        <w:rPr>
          <w:rFonts w:hint="eastAsia" w:ascii="宋体" w:hAnsi="宋体"/>
          <w:b/>
          <w:color w:val="auto"/>
          <w:sz w:val="28"/>
          <w:szCs w:val="28"/>
          <w:highlight w:val="none"/>
        </w:rPr>
        <w:t>第422节  涵洞及通道涵分部工程</w:t>
      </w:r>
    </w:p>
    <w:p w14:paraId="1B7DA0FC">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1、计量</w:t>
      </w:r>
    </w:p>
    <w:p w14:paraId="2A373D2A">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1）按涵洞挖基、基础垫层、涵身、基础、盖板、帽石、洞身铺砌、拱圈、拱上构造等的分项部位分别计量。其中挖基土方、基础垫层、砌体、混凝土等均以体积按立方米计量，钢筋及高强钢丝等钢材按重量以千克（kg）计量，工程量应以设计图纸及监理人现场验收为准。所有沉降缝的填缝及防水材料作为附属工程，不应单独计量。</w:t>
      </w:r>
    </w:p>
    <w:p w14:paraId="260C55C9">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2）涵基开挖应按下述规定，取用底、顶面间平均高度的棱柱体体积，不分干处、水下及土、石，以立方米计量。干处挖方与水下挖方是以经监理人认可的施工期间实测的地下水位为界线。在地下水位以上开挖的为干处挖方；在地下水位以下开挖的为水下挖方。基础底面、顶面及侧面的确定应符合下列规定：</w:t>
      </w:r>
    </w:p>
    <w:p w14:paraId="1AD362A5">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a.基础挖方底面：按图纸所示或监理人批准的基础(包括地基处理部分)的基底标高线计算。</w:t>
      </w:r>
    </w:p>
    <w:p w14:paraId="7030A1C9">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b.基础挖方顶面：按监理人批准的横断面上所标示的原地面线计算。</w:t>
      </w:r>
    </w:p>
    <w:p w14:paraId="187A4BCE">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c.基础挖方侧面：按顶面到底面，以超出基底周边0.5m的竖直面为界。</w:t>
      </w:r>
    </w:p>
    <w:p w14:paraId="47DBF8E8">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当承包人遇到特殊或非常规情况时应及时通知监理人，由监理人定出特殊的基础挖方界线。凡未取得监理人批准，承包人以特殊情况为理由而完成的任何挖方将不予计量，其基坑超深开挖，应由承包人用砂砾或监理人批准的回填材料予以回填并压实。</w:t>
      </w:r>
    </w:p>
    <w:p w14:paraId="1A5BD0CF">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为完成基础挖方所做的地面排水及围堰、基坑支撑及抽水、基坑回填与压实、错台开挖及斜坡开挖等，作为挖基工程的附属工作，不另行计量。</w:t>
      </w:r>
    </w:p>
    <w:p w14:paraId="068C6DC1">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基坑土的运输作为挖基工程的附属工作，不另行计量与支付。</w:t>
      </w:r>
    </w:p>
    <w:p w14:paraId="6F0B8BBC">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（3）基础垫层按图纸要求并经监理人验收的数量分垫层类型以立方米计量。</w:t>
      </w:r>
    </w:p>
    <w:p w14:paraId="04B94306">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4）现浇混凝土工程以图纸所示或监理人指示为依据，按现场已完工并经验收的混凝土，分别以不同结构类型及混凝土等级，以立方米计量。为完成结构物所用的施工缝连接钢筋、脚手架或支架及模板、排水设施、防水处理、混凝土养生、混凝土表面修整及为完成结构物的其他杂项细目，均作为各项相应混凝土工程的附属工作，不另行计量。</w:t>
      </w:r>
    </w:p>
    <w:p w14:paraId="595680F1">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5）混凝土预制构件均按预制、安装、运输分别计量。安装圆管以图纸所示或监理人指示为依据，按现场已完工并经验收，以立方米计量。预制构件的安装架设设备拼装、移运、拆除和为安装所需的临时性或永久性的扣件、钢板、焊接、螺栓等，均作为相应附属工作，不另行计量。</w:t>
      </w:r>
    </w:p>
    <w:p w14:paraId="33F98241">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（6）圆管钢筋、盖板钢筋、涵身钢筋等按千克（kg）计量；其他砌石工程参照第413节相关规定。</w:t>
      </w:r>
    </w:p>
    <w:p w14:paraId="63D8BA2E">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7）洞口（包括倒虹吸管）建筑以外涵洞上下游沟渠的改沟、铺砌、加固以及急流槽消力坎的建筑等均列入本规范第207节的相应子目内计量。通道范围(进出口之间距离)以内的土石方及边沟、排水沟等均含入洞身报价之中不另行计量。</w:t>
      </w:r>
    </w:p>
    <w:p w14:paraId="63CE5348">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（8）建在软土、沼泽地区的圆管涵（含倒虹吸管），按图纸要求特殊处理的基础工程量（如：塑料排水板、袋装砂井、各种桩基、粉喷桩等）在本规则第205节相关子目中计量与支付，本节不另行计量。</w:t>
      </w:r>
    </w:p>
    <w:p w14:paraId="770B1962">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（9）通道范围以外的改路土石方及边沟、排水沟等，在本规范第200章相关章节中计量与支付；</w:t>
      </w:r>
    </w:p>
    <w:p w14:paraId="10FE893B">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（10）通道路面(含通道范围内)分不同 结构类型在本规范第300章相关章节中计量与支付。</w:t>
      </w:r>
    </w:p>
    <w:p w14:paraId="2DCB16C1">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2、支付</w:t>
      </w:r>
    </w:p>
    <w:p w14:paraId="604DD904">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按上述规定计量，经监理人验收的列入工程量清单的以下工程子目的工程量，其每一计量单位将以合同单价支付。此项支付包括材料、劳力、设备、运输等及其他为完成工程所必需的费用，是对完成工程的全部偿付。</w:t>
      </w:r>
    </w:p>
    <w:p w14:paraId="5935A306">
      <w:pPr>
        <w:numPr>
          <w:ilvl w:val="0"/>
          <w:numId w:val="1"/>
        </w:numPr>
        <w:spacing w:line="360" w:lineRule="auto"/>
        <w:jc w:val="left"/>
        <w:rPr>
          <w:rFonts w:hint="eastAsia" w:ascii="宋体" w:hAnsi="宋体"/>
          <w:color w:val="auto"/>
          <w:sz w:val="24"/>
          <w:highlight w:val="none"/>
        </w:rPr>
      </w:pPr>
      <w:r>
        <w:rPr>
          <w:rFonts w:hint="eastAsia" w:ascii="宋体" w:hAnsi="宋体"/>
          <w:color w:val="auto"/>
          <w:sz w:val="24"/>
          <w:highlight w:val="none"/>
        </w:rPr>
        <w:t>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5400"/>
        <w:gridCol w:w="1260"/>
      </w:tblGrid>
      <w:tr w14:paraId="6C7C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noWrap w:val="0"/>
            <w:vAlign w:val="center"/>
          </w:tcPr>
          <w:p w14:paraId="08E2686F">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3705414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6BE8D219">
            <w:pPr>
              <w:jc w:val="left"/>
              <w:rPr>
                <w:rFonts w:hint="eastAsia" w:ascii="宋体" w:hAnsi="宋体"/>
                <w:color w:val="auto"/>
                <w:sz w:val="24"/>
                <w:highlight w:val="none"/>
              </w:rPr>
            </w:pPr>
            <w:r>
              <w:rPr>
                <w:rFonts w:hint="eastAsia" w:ascii="宋体" w:hAnsi="宋体"/>
                <w:color w:val="auto"/>
                <w:sz w:val="24"/>
                <w:highlight w:val="none"/>
              </w:rPr>
              <w:t>单位</w:t>
            </w:r>
          </w:p>
        </w:tc>
      </w:tr>
      <w:tr w14:paraId="12A3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noWrap w:val="0"/>
            <w:vAlign w:val="center"/>
          </w:tcPr>
          <w:p w14:paraId="750573F9">
            <w:pPr>
              <w:jc w:val="left"/>
              <w:rPr>
                <w:rFonts w:hint="eastAsia" w:ascii="宋体" w:hAnsi="宋体"/>
                <w:color w:val="auto"/>
                <w:sz w:val="24"/>
                <w:highlight w:val="none"/>
              </w:rPr>
            </w:pPr>
            <w:r>
              <w:rPr>
                <w:rFonts w:hint="eastAsia" w:ascii="宋体" w:hAnsi="宋体"/>
                <w:color w:val="auto"/>
                <w:sz w:val="24"/>
                <w:highlight w:val="none"/>
              </w:rPr>
              <w:t>422-1</w:t>
            </w:r>
          </w:p>
        </w:tc>
        <w:tc>
          <w:tcPr>
            <w:tcW w:w="5400" w:type="dxa"/>
            <w:noWrap w:val="0"/>
            <w:vAlign w:val="center"/>
          </w:tcPr>
          <w:p w14:paraId="3BA15680">
            <w:pPr>
              <w:jc w:val="left"/>
              <w:rPr>
                <w:rFonts w:hint="eastAsia" w:ascii="宋体" w:hAnsi="宋体"/>
                <w:color w:val="auto"/>
                <w:sz w:val="24"/>
                <w:highlight w:val="none"/>
              </w:rPr>
            </w:pPr>
            <w:r>
              <w:rPr>
                <w:rFonts w:hint="eastAsia" w:ascii="宋体" w:hAnsi="宋体"/>
                <w:color w:val="auto"/>
                <w:sz w:val="24"/>
                <w:highlight w:val="none"/>
              </w:rPr>
              <w:t>涵基开挖</w:t>
            </w:r>
          </w:p>
        </w:tc>
        <w:tc>
          <w:tcPr>
            <w:tcW w:w="1260" w:type="dxa"/>
            <w:noWrap w:val="0"/>
            <w:vAlign w:val="center"/>
          </w:tcPr>
          <w:p w14:paraId="44AFEBDB">
            <w:pPr>
              <w:jc w:val="left"/>
              <w:rPr>
                <w:rFonts w:hint="eastAsia" w:ascii="宋体" w:hAnsi="宋体"/>
                <w:color w:val="auto"/>
                <w:sz w:val="24"/>
                <w:highlight w:val="none"/>
              </w:rPr>
            </w:pPr>
            <w:r>
              <w:rPr>
                <w:rFonts w:hint="eastAsia" w:ascii="宋体" w:hAnsi="宋体"/>
                <w:color w:val="auto"/>
                <w:sz w:val="24"/>
                <w:highlight w:val="none"/>
              </w:rPr>
              <w:t>m3</w:t>
            </w:r>
          </w:p>
        </w:tc>
      </w:tr>
      <w:tr w14:paraId="33F0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4A55AE88">
            <w:pPr>
              <w:jc w:val="left"/>
              <w:rPr>
                <w:rFonts w:ascii="宋体" w:hAnsi="宋体"/>
                <w:color w:val="auto"/>
                <w:sz w:val="24"/>
                <w:highlight w:val="none"/>
              </w:rPr>
            </w:pPr>
            <w:r>
              <w:rPr>
                <w:rFonts w:hint="eastAsia" w:ascii="宋体" w:hAnsi="宋体"/>
                <w:color w:val="auto"/>
                <w:sz w:val="24"/>
                <w:highlight w:val="none"/>
              </w:rPr>
              <w:t>422-2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65F522">
            <w:pPr>
              <w:jc w:val="left"/>
              <w:rPr>
                <w:rFonts w:hint="eastAsia" w:ascii="宋体" w:hAnsi="宋体"/>
                <w:color w:val="auto"/>
                <w:sz w:val="24"/>
                <w:highlight w:val="none"/>
              </w:rPr>
            </w:pPr>
            <w:r>
              <w:rPr>
                <w:rFonts w:hint="eastAsia" w:ascii="宋体" w:hAnsi="宋体"/>
                <w:color w:val="auto"/>
                <w:sz w:val="24"/>
                <w:highlight w:val="none"/>
              </w:rPr>
              <w:t>涵洞基础垫层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00E1FA">
            <w:pPr>
              <w:jc w:val="left"/>
              <w:rPr>
                <w:rFonts w:hint="eastAsia" w:ascii="宋体" w:hAnsi="宋体"/>
                <w:color w:val="auto"/>
                <w:sz w:val="24"/>
                <w:highlight w:val="none"/>
              </w:rPr>
            </w:pPr>
          </w:p>
        </w:tc>
      </w:tr>
      <w:tr w14:paraId="4F35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8CFD1FC">
            <w:pPr>
              <w:jc w:val="left"/>
              <w:rPr>
                <w:rFonts w:hint="eastAsia" w:ascii="宋体" w:hAnsi="宋体"/>
                <w:color w:val="auto"/>
                <w:sz w:val="24"/>
                <w:highlight w:val="none"/>
              </w:rPr>
            </w:pPr>
            <w:r>
              <w:rPr>
                <w:rFonts w:hint="eastAsia" w:ascii="宋体" w:hAnsi="宋体"/>
                <w:color w:val="auto"/>
                <w:sz w:val="24"/>
                <w:highlight w:val="none"/>
              </w:rPr>
              <w:t>422-2-1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2466429">
            <w:pPr>
              <w:jc w:val="left"/>
              <w:rPr>
                <w:rFonts w:hint="eastAsia" w:ascii="宋体" w:hAnsi="宋体"/>
                <w:color w:val="auto"/>
                <w:sz w:val="24"/>
                <w:highlight w:val="none"/>
              </w:rPr>
            </w:pPr>
            <w:r>
              <w:rPr>
                <w:rFonts w:hint="eastAsia" w:ascii="宋体" w:hAnsi="宋体"/>
                <w:color w:val="auto"/>
                <w:sz w:val="24"/>
                <w:highlight w:val="none"/>
              </w:rPr>
              <w:t>砂砾</w:t>
            </w:r>
            <w:r>
              <w:rPr>
                <w:rFonts w:hint="eastAsia" w:ascii="宋体" w:hAnsi="宋体"/>
                <w:color w:val="auto"/>
                <w:sz w:val="24"/>
                <w:highlight w:val="none"/>
                <w:lang w:val="en-US" w:eastAsia="zh-CN"/>
              </w:rPr>
              <w:t>石</w:t>
            </w:r>
            <w:r>
              <w:rPr>
                <w:rFonts w:hint="eastAsia" w:ascii="宋体" w:hAnsi="宋体"/>
                <w:color w:val="auto"/>
                <w:sz w:val="24"/>
                <w:highlight w:val="none"/>
              </w:rPr>
              <w:t>垫层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BD4ED86">
            <w:pPr>
              <w:jc w:val="left"/>
              <w:rPr>
                <w:rFonts w:hint="eastAsia" w:ascii="宋体" w:hAnsi="宋体"/>
                <w:color w:val="auto"/>
                <w:sz w:val="24"/>
                <w:highlight w:val="none"/>
              </w:rPr>
            </w:pPr>
            <w:r>
              <w:rPr>
                <w:rFonts w:hint="eastAsia" w:ascii="宋体" w:hAnsi="宋体"/>
                <w:color w:val="auto"/>
                <w:sz w:val="24"/>
                <w:highlight w:val="none"/>
              </w:rPr>
              <w:t>m3</w:t>
            </w:r>
          </w:p>
        </w:tc>
      </w:tr>
      <w:tr w14:paraId="3022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07BA390">
            <w:pPr>
              <w:jc w:val="left"/>
              <w:rPr>
                <w:rFonts w:hint="eastAsia" w:ascii="宋体" w:hAnsi="宋体"/>
                <w:color w:val="auto"/>
                <w:sz w:val="24"/>
                <w:highlight w:val="none"/>
              </w:rPr>
            </w:pPr>
            <w:r>
              <w:rPr>
                <w:rFonts w:hint="eastAsia" w:ascii="宋体" w:hAnsi="宋体"/>
                <w:color w:val="auto"/>
                <w:sz w:val="24"/>
                <w:highlight w:val="none"/>
              </w:rPr>
              <w:t>422-3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A257E8">
            <w:pPr>
              <w:jc w:val="left"/>
              <w:rPr>
                <w:rFonts w:hint="eastAsia" w:ascii="宋体" w:hAnsi="宋体"/>
                <w:color w:val="auto"/>
                <w:sz w:val="24"/>
                <w:highlight w:val="none"/>
              </w:rPr>
            </w:pPr>
            <w:r>
              <w:rPr>
                <w:rFonts w:hint="eastAsia" w:ascii="宋体" w:hAnsi="宋体"/>
                <w:color w:val="auto"/>
                <w:sz w:val="24"/>
                <w:highlight w:val="none"/>
              </w:rPr>
              <w:t>涵管、涵身混凝土基础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890FAF">
            <w:pPr>
              <w:jc w:val="left"/>
              <w:rPr>
                <w:rFonts w:hint="eastAsia" w:ascii="宋体" w:hAnsi="宋体"/>
                <w:color w:val="auto"/>
                <w:sz w:val="24"/>
                <w:highlight w:val="none"/>
              </w:rPr>
            </w:pPr>
          </w:p>
        </w:tc>
      </w:tr>
      <w:tr w14:paraId="1C74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54992C53">
            <w:pPr>
              <w:jc w:val="left"/>
              <w:rPr>
                <w:rFonts w:hint="eastAsia" w:ascii="宋体" w:hAnsi="宋体"/>
                <w:color w:val="auto"/>
                <w:sz w:val="24"/>
                <w:highlight w:val="none"/>
              </w:rPr>
            </w:pPr>
            <w:r>
              <w:rPr>
                <w:rFonts w:hint="eastAsia" w:ascii="宋体" w:hAnsi="宋体"/>
                <w:color w:val="auto"/>
                <w:sz w:val="24"/>
                <w:highlight w:val="none"/>
              </w:rPr>
              <w:t>422-3-2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C2E4177">
            <w:pPr>
              <w:jc w:val="left"/>
              <w:rPr>
                <w:rFonts w:hint="eastAsia" w:ascii="宋体" w:hAnsi="宋体"/>
                <w:color w:val="auto"/>
                <w:sz w:val="24"/>
                <w:highlight w:val="none"/>
              </w:rPr>
            </w:pPr>
            <w:r>
              <w:rPr>
                <w:rFonts w:hint="eastAsia" w:ascii="宋体" w:hAnsi="宋体"/>
                <w:color w:val="auto"/>
                <w:sz w:val="24"/>
                <w:highlight w:val="none"/>
              </w:rPr>
              <w:t>C20混凝土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F53541">
            <w:pPr>
              <w:jc w:val="left"/>
              <w:rPr>
                <w:rFonts w:hint="eastAsia" w:ascii="宋体" w:hAnsi="宋体"/>
                <w:color w:val="auto"/>
                <w:sz w:val="24"/>
                <w:highlight w:val="none"/>
              </w:rPr>
            </w:pPr>
            <w:r>
              <w:rPr>
                <w:rFonts w:hint="eastAsia" w:ascii="宋体" w:hAnsi="宋体"/>
                <w:color w:val="auto"/>
                <w:sz w:val="24"/>
                <w:highlight w:val="none"/>
              </w:rPr>
              <w:t>m3</w:t>
            </w:r>
          </w:p>
        </w:tc>
      </w:tr>
      <w:tr w14:paraId="14BE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4FD3ADB">
            <w:pPr>
              <w:jc w:val="left"/>
              <w:rPr>
                <w:rFonts w:hint="eastAsia" w:ascii="宋体" w:hAnsi="宋体"/>
                <w:color w:val="auto"/>
                <w:sz w:val="24"/>
                <w:highlight w:val="none"/>
              </w:rPr>
            </w:pPr>
            <w:r>
              <w:rPr>
                <w:rFonts w:hint="eastAsia" w:ascii="宋体" w:hAnsi="宋体"/>
                <w:color w:val="auto"/>
                <w:sz w:val="24"/>
                <w:highlight w:val="none"/>
              </w:rPr>
              <w:t>422-6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E6EA4F9">
            <w:pPr>
              <w:jc w:val="left"/>
              <w:rPr>
                <w:rFonts w:hint="eastAsia" w:ascii="宋体" w:hAnsi="宋体"/>
                <w:color w:val="auto"/>
                <w:sz w:val="24"/>
                <w:highlight w:val="none"/>
              </w:rPr>
            </w:pPr>
            <w:r>
              <w:rPr>
                <w:rFonts w:hint="eastAsia" w:ascii="宋体" w:hAnsi="宋体"/>
                <w:color w:val="auto"/>
                <w:sz w:val="24"/>
                <w:highlight w:val="none"/>
              </w:rPr>
              <w:t>涵洞洞口基础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E7C3D7">
            <w:pPr>
              <w:jc w:val="left"/>
              <w:rPr>
                <w:rFonts w:hint="eastAsia" w:ascii="宋体" w:hAnsi="宋体"/>
                <w:color w:val="auto"/>
                <w:sz w:val="24"/>
                <w:highlight w:val="none"/>
              </w:rPr>
            </w:pPr>
          </w:p>
        </w:tc>
      </w:tr>
      <w:tr w14:paraId="12B9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0FE6FBD">
            <w:pPr>
              <w:jc w:val="left"/>
              <w:rPr>
                <w:rFonts w:hint="eastAsia" w:ascii="宋体" w:hAnsi="宋体"/>
                <w:color w:val="auto"/>
                <w:sz w:val="24"/>
                <w:highlight w:val="none"/>
              </w:rPr>
            </w:pPr>
            <w:r>
              <w:rPr>
                <w:rFonts w:hint="eastAsia" w:ascii="宋体" w:hAnsi="宋体"/>
                <w:color w:val="auto"/>
                <w:sz w:val="24"/>
                <w:highlight w:val="none"/>
              </w:rPr>
              <w:t>422-6-1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B752EB7">
            <w:pPr>
              <w:jc w:val="left"/>
              <w:rPr>
                <w:rFonts w:hint="eastAsia" w:ascii="宋体" w:hAnsi="宋体"/>
                <w:color w:val="auto"/>
                <w:sz w:val="24"/>
                <w:highlight w:val="none"/>
              </w:rPr>
            </w:pPr>
            <w:r>
              <w:rPr>
                <w:rFonts w:hint="eastAsia" w:ascii="宋体" w:hAnsi="宋体"/>
                <w:color w:val="auto"/>
                <w:sz w:val="24"/>
                <w:highlight w:val="none"/>
              </w:rPr>
              <w:t>洞口混凝土基础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0865AC">
            <w:pPr>
              <w:jc w:val="left"/>
              <w:rPr>
                <w:rFonts w:hint="eastAsia" w:ascii="宋体" w:hAnsi="宋体"/>
                <w:color w:val="auto"/>
                <w:sz w:val="24"/>
                <w:highlight w:val="none"/>
              </w:rPr>
            </w:pPr>
          </w:p>
        </w:tc>
      </w:tr>
      <w:tr w14:paraId="3792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E78059F">
            <w:pPr>
              <w:jc w:val="left"/>
              <w:rPr>
                <w:rFonts w:hint="eastAsia" w:ascii="宋体" w:hAnsi="宋体"/>
                <w:color w:val="auto"/>
                <w:sz w:val="24"/>
                <w:highlight w:val="none"/>
              </w:rPr>
            </w:pPr>
            <w:r>
              <w:rPr>
                <w:rFonts w:hint="eastAsia" w:ascii="宋体" w:hAnsi="宋体"/>
                <w:color w:val="auto"/>
                <w:sz w:val="24"/>
                <w:highlight w:val="none"/>
              </w:rPr>
              <w:t>422-6-1-3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855761">
            <w:pPr>
              <w:jc w:val="left"/>
              <w:rPr>
                <w:rFonts w:hint="eastAsia" w:ascii="宋体" w:hAnsi="宋体"/>
                <w:color w:val="auto"/>
                <w:sz w:val="24"/>
                <w:highlight w:val="none"/>
              </w:rPr>
            </w:pPr>
            <w:r>
              <w:rPr>
                <w:rFonts w:hint="eastAsia" w:ascii="宋体" w:hAnsi="宋体"/>
                <w:color w:val="auto"/>
                <w:sz w:val="24"/>
                <w:highlight w:val="none"/>
              </w:rPr>
              <w:t>C20混凝土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D55952">
            <w:pPr>
              <w:jc w:val="left"/>
              <w:rPr>
                <w:rFonts w:hint="eastAsia" w:ascii="宋体" w:hAnsi="宋体"/>
                <w:color w:val="auto"/>
                <w:sz w:val="24"/>
                <w:highlight w:val="none"/>
              </w:rPr>
            </w:pPr>
            <w:r>
              <w:rPr>
                <w:rFonts w:hint="eastAsia" w:ascii="宋体" w:hAnsi="宋体"/>
                <w:color w:val="auto"/>
                <w:sz w:val="24"/>
                <w:highlight w:val="none"/>
              </w:rPr>
              <w:t>m3</w:t>
            </w:r>
          </w:p>
        </w:tc>
      </w:tr>
      <w:tr w14:paraId="3DED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5A1F6C8E">
            <w:pPr>
              <w:jc w:val="left"/>
              <w:rPr>
                <w:rFonts w:hint="eastAsia" w:ascii="宋体" w:hAnsi="宋体"/>
                <w:color w:val="auto"/>
                <w:sz w:val="24"/>
                <w:highlight w:val="none"/>
              </w:rPr>
            </w:pPr>
            <w:r>
              <w:rPr>
                <w:rFonts w:hint="eastAsia" w:ascii="宋体" w:hAnsi="宋体"/>
                <w:color w:val="auto"/>
                <w:sz w:val="24"/>
                <w:highlight w:val="none"/>
              </w:rPr>
              <w:t>422-7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3796E9D">
            <w:pPr>
              <w:jc w:val="left"/>
              <w:rPr>
                <w:rFonts w:hint="eastAsia" w:ascii="宋体" w:hAnsi="宋体"/>
                <w:color w:val="auto"/>
                <w:sz w:val="24"/>
                <w:highlight w:val="none"/>
              </w:rPr>
            </w:pPr>
            <w:r>
              <w:rPr>
                <w:rFonts w:hint="eastAsia" w:ascii="宋体" w:hAnsi="宋体"/>
                <w:color w:val="auto"/>
                <w:sz w:val="24"/>
                <w:highlight w:val="none"/>
              </w:rPr>
              <w:t>涵洞洞口墙身</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4D1C3C">
            <w:pPr>
              <w:jc w:val="left"/>
              <w:rPr>
                <w:rFonts w:hint="eastAsia" w:ascii="宋体" w:hAnsi="宋体"/>
                <w:color w:val="auto"/>
                <w:sz w:val="24"/>
                <w:highlight w:val="none"/>
              </w:rPr>
            </w:pPr>
          </w:p>
        </w:tc>
      </w:tr>
      <w:tr w14:paraId="6343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4161CBFD">
            <w:pPr>
              <w:jc w:val="left"/>
              <w:rPr>
                <w:rFonts w:hint="eastAsia" w:ascii="宋体" w:hAnsi="宋体"/>
                <w:color w:val="auto"/>
                <w:sz w:val="24"/>
                <w:highlight w:val="none"/>
              </w:rPr>
            </w:pPr>
            <w:r>
              <w:rPr>
                <w:rFonts w:hint="eastAsia" w:ascii="宋体" w:hAnsi="宋体"/>
                <w:color w:val="auto"/>
                <w:sz w:val="24"/>
                <w:highlight w:val="none"/>
              </w:rPr>
              <w:t>422-7-1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7B91C9F">
            <w:pPr>
              <w:jc w:val="left"/>
              <w:rPr>
                <w:rFonts w:hint="eastAsia" w:ascii="宋体" w:hAnsi="宋体"/>
                <w:color w:val="auto"/>
                <w:sz w:val="24"/>
                <w:highlight w:val="none"/>
              </w:rPr>
            </w:pPr>
            <w:r>
              <w:rPr>
                <w:rFonts w:hint="eastAsia" w:ascii="宋体" w:hAnsi="宋体"/>
                <w:color w:val="auto"/>
                <w:sz w:val="24"/>
                <w:highlight w:val="none"/>
              </w:rPr>
              <w:t>洞口混凝土墙身</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6BC773B">
            <w:pPr>
              <w:jc w:val="left"/>
              <w:rPr>
                <w:rFonts w:hint="eastAsia" w:ascii="宋体" w:hAnsi="宋体"/>
                <w:color w:val="auto"/>
                <w:sz w:val="24"/>
                <w:highlight w:val="none"/>
              </w:rPr>
            </w:pPr>
          </w:p>
        </w:tc>
      </w:tr>
      <w:tr w14:paraId="1432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5B7229BB">
            <w:pPr>
              <w:jc w:val="left"/>
              <w:rPr>
                <w:rFonts w:hint="eastAsia" w:ascii="宋体" w:hAnsi="宋体"/>
                <w:color w:val="auto"/>
                <w:sz w:val="24"/>
                <w:highlight w:val="none"/>
              </w:rPr>
            </w:pPr>
            <w:r>
              <w:rPr>
                <w:rFonts w:hint="eastAsia" w:ascii="宋体" w:hAnsi="宋体"/>
                <w:color w:val="auto"/>
                <w:sz w:val="24"/>
                <w:highlight w:val="none"/>
              </w:rPr>
              <w:t>422-7-1-3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6BE74C4">
            <w:pPr>
              <w:jc w:val="left"/>
              <w:rPr>
                <w:rFonts w:hint="eastAsia" w:ascii="宋体" w:hAnsi="宋体"/>
                <w:color w:val="auto"/>
                <w:sz w:val="24"/>
                <w:highlight w:val="none"/>
              </w:rPr>
            </w:pPr>
            <w:r>
              <w:rPr>
                <w:rFonts w:hint="eastAsia" w:ascii="宋体" w:hAnsi="宋体"/>
                <w:color w:val="auto"/>
                <w:sz w:val="24"/>
                <w:highlight w:val="none"/>
              </w:rPr>
              <w:t>C20混凝土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211A0D7">
            <w:pPr>
              <w:jc w:val="left"/>
              <w:rPr>
                <w:rFonts w:hint="eastAsia" w:ascii="宋体" w:hAnsi="宋体"/>
                <w:color w:val="auto"/>
                <w:sz w:val="24"/>
                <w:highlight w:val="none"/>
              </w:rPr>
            </w:pPr>
            <w:r>
              <w:rPr>
                <w:rFonts w:hint="eastAsia" w:ascii="宋体" w:hAnsi="宋体"/>
                <w:color w:val="auto"/>
                <w:sz w:val="24"/>
                <w:highlight w:val="none"/>
              </w:rPr>
              <w:t>m3</w:t>
            </w:r>
          </w:p>
        </w:tc>
      </w:tr>
      <w:tr w14:paraId="1FEE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5E2BD63">
            <w:pPr>
              <w:jc w:val="left"/>
              <w:rPr>
                <w:rFonts w:hint="eastAsia" w:ascii="宋体" w:hAnsi="宋体"/>
                <w:color w:val="auto"/>
                <w:sz w:val="24"/>
                <w:highlight w:val="none"/>
              </w:rPr>
            </w:pPr>
            <w:r>
              <w:rPr>
                <w:rFonts w:hint="eastAsia" w:ascii="宋体" w:hAnsi="宋体"/>
                <w:color w:val="auto"/>
                <w:sz w:val="24"/>
                <w:highlight w:val="none"/>
              </w:rPr>
              <w:t>422-8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DEE0683">
            <w:pPr>
              <w:jc w:val="left"/>
              <w:rPr>
                <w:rFonts w:hint="eastAsia" w:ascii="宋体" w:hAnsi="宋体"/>
                <w:color w:val="auto"/>
                <w:sz w:val="24"/>
                <w:highlight w:val="none"/>
              </w:rPr>
            </w:pPr>
            <w:r>
              <w:rPr>
                <w:rFonts w:hint="eastAsia" w:ascii="宋体" w:hAnsi="宋体"/>
                <w:color w:val="auto"/>
                <w:sz w:val="24"/>
                <w:highlight w:val="none"/>
              </w:rPr>
              <w:t>涵洞洞口、洞内铺砌及截水墙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F5A82D">
            <w:pPr>
              <w:jc w:val="left"/>
              <w:rPr>
                <w:rFonts w:hint="eastAsia" w:ascii="宋体" w:hAnsi="宋体"/>
                <w:color w:val="auto"/>
                <w:sz w:val="24"/>
                <w:highlight w:val="none"/>
              </w:rPr>
            </w:pPr>
          </w:p>
        </w:tc>
      </w:tr>
      <w:tr w14:paraId="48C3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0C3756B1">
            <w:pPr>
              <w:jc w:val="left"/>
              <w:rPr>
                <w:rFonts w:hint="eastAsia" w:ascii="宋体" w:hAnsi="宋体"/>
                <w:color w:val="auto"/>
                <w:sz w:val="24"/>
                <w:highlight w:val="none"/>
              </w:rPr>
            </w:pPr>
            <w:r>
              <w:rPr>
                <w:rFonts w:hint="eastAsia" w:ascii="宋体" w:hAnsi="宋体"/>
                <w:color w:val="auto"/>
                <w:sz w:val="24"/>
                <w:highlight w:val="none"/>
              </w:rPr>
              <w:t>422-8-1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9548495">
            <w:pPr>
              <w:jc w:val="left"/>
              <w:rPr>
                <w:rFonts w:hint="eastAsia" w:ascii="宋体" w:hAnsi="宋体"/>
                <w:color w:val="auto"/>
                <w:sz w:val="24"/>
                <w:highlight w:val="none"/>
              </w:rPr>
            </w:pPr>
            <w:r>
              <w:rPr>
                <w:rFonts w:hint="eastAsia" w:ascii="宋体" w:hAnsi="宋体"/>
                <w:color w:val="auto"/>
                <w:sz w:val="24"/>
                <w:highlight w:val="none"/>
              </w:rPr>
              <w:t>混凝土铺砌及截水墙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58D73F5">
            <w:pPr>
              <w:jc w:val="left"/>
              <w:rPr>
                <w:rFonts w:hint="eastAsia" w:ascii="宋体" w:hAnsi="宋体"/>
                <w:color w:val="auto"/>
                <w:sz w:val="24"/>
                <w:highlight w:val="none"/>
              </w:rPr>
            </w:pPr>
          </w:p>
        </w:tc>
      </w:tr>
      <w:tr w14:paraId="1AC8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C77D6BF">
            <w:pPr>
              <w:jc w:val="left"/>
              <w:rPr>
                <w:rFonts w:hint="eastAsia" w:ascii="宋体" w:hAnsi="宋体"/>
                <w:color w:val="auto"/>
                <w:sz w:val="24"/>
                <w:highlight w:val="none"/>
              </w:rPr>
            </w:pPr>
            <w:r>
              <w:rPr>
                <w:rFonts w:hint="eastAsia" w:ascii="宋体" w:hAnsi="宋体"/>
                <w:color w:val="auto"/>
                <w:sz w:val="24"/>
                <w:highlight w:val="none"/>
              </w:rPr>
              <w:t>422-8-1-3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71F7F4">
            <w:pPr>
              <w:jc w:val="left"/>
              <w:rPr>
                <w:rFonts w:hint="eastAsia" w:ascii="宋体" w:hAnsi="宋体"/>
                <w:color w:val="auto"/>
                <w:sz w:val="24"/>
                <w:highlight w:val="none"/>
              </w:rPr>
            </w:pPr>
            <w:r>
              <w:rPr>
                <w:rFonts w:hint="eastAsia" w:ascii="宋体" w:hAnsi="宋体"/>
                <w:color w:val="auto"/>
                <w:sz w:val="24"/>
                <w:highlight w:val="none"/>
              </w:rPr>
              <w:t>C20混凝土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B21621">
            <w:pPr>
              <w:jc w:val="left"/>
              <w:rPr>
                <w:rFonts w:hint="eastAsia" w:ascii="宋体" w:hAnsi="宋体"/>
                <w:color w:val="auto"/>
                <w:sz w:val="24"/>
                <w:highlight w:val="none"/>
              </w:rPr>
            </w:pPr>
            <w:r>
              <w:rPr>
                <w:rFonts w:hint="eastAsia" w:ascii="宋体" w:hAnsi="宋体"/>
                <w:color w:val="auto"/>
                <w:sz w:val="24"/>
                <w:highlight w:val="none"/>
              </w:rPr>
              <w:t>m3</w:t>
            </w:r>
          </w:p>
        </w:tc>
      </w:tr>
      <w:tr w14:paraId="3212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64ACF00">
            <w:pPr>
              <w:jc w:val="left"/>
              <w:rPr>
                <w:rFonts w:ascii="宋体" w:hAnsi="宋体"/>
                <w:color w:val="auto"/>
                <w:sz w:val="24"/>
                <w:highlight w:val="none"/>
              </w:rPr>
            </w:pPr>
            <w:r>
              <w:rPr>
                <w:rFonts w:hint="eastAsia" w:ascii="宋体" w:hAnsi="宋体"/>
                <w:color w:val="auto"/>
                <w:sz w:val="24"/>
                <w:highlight w:val="none"/>
              </w:rPr>
              <w:t>422-9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98C5D54">
            <w:pPr>
              <w:jc w:val="left"/>
              <w:rPr>
                <w:rFonts w:hint="eastAsia" w:ascii="宋体" w:hAnsi="宋体"/>
                <w:color w:val="auto"/>
                <w:sz w:val="24"/>
                <w:highlight w:val="none"/>
              </w:rPr>
            </w:pPr>
            <w:r>
              <w:rPr>
                <w:rFonts w:hint="eastAsia" w:ascii="宋体" w:hAnsi="宋体"/>
                <w:color w:val="auto"/>
                <w:sz w:val="24"/>
                <w:highlight w:val="none"/>
              </w:rPr>
              <w:t>预制安装运输混凝土圆管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7B4DBC">
            <w:pPr>
              <w:jc w:val="left"/>
              <w:rPr>
                <w:rFonts w:hint="eastAsia" w:ascii="宋体" w:hAnsi="宋体"/>
                <w:color w:val="auto"/>
                <w:sz w:val="24"/>
                <w:highlight w:val="none"/>
              </w:rPr>
            </w:pPr>
          </w:p>
        </w:tc>
      </w:tr>
      <w:tr w14:paraId="1E94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67288188">
            <w:pPr>
              <w:jc w:val="left"/>
              <w:rPr>
                <w:rFonts w:hint="eastAsia" w:ascii="宋体" w:hAnsi="宋体"/>
                <w:color w:val="auto"/>
                <w:sz w:val="24"/>
                <w:highlight w:val="none"/>
              </w:rPr>
            </w:pPr>
            <w:r>
              <w:rPr>
                <w:rFonts w:hint="eastAsia" w:ascii="宋体" w:hAnsi="宋体"/>
                <w:color w:val="auto"/>
                <w:sz w:val="24"/>
                <w:highlight w:val="none"/>
              </w:rPr>
              <w:t>422-9-1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A84804B">
            <w:pPr>
              <w:jc w:val="left"/>
              <w:rPr>
                <w:rFonts w:hint="eastAsia" w:ascii="宋体" w:hAnsi="宋体"/>
                <w:color w:val="auto"/>
                <w:sz w:val="24"/>
                <w:highlight w:val="none"/>
              </w:rPr>
            </w:pPr>
            <w:r>
              <w:rPr>
                <w:rFonts w:hint="eastAsia" w:ascii="宋体" w:hAnsi="宋体"/>
                <w:color w:val="auto"/>
                <w:sz w:val="24"/>
                <w:highlight w:val="none"/>
              </w:rPr>
              <w:t>预制混凝土圆管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4AA79B8">
            <w:pPr>
              <w:jc w:val="left"/>
              <w:rPr>
                <w:rFonts w:hint="eastAsia" w:ascii="宋体" w:hAnsi="宋体"/>
                <w:color w:val="auto"/>
                <w:sz w:val="24"/>
                <w:highlight w:val="none"/>
              </w:rPr>
            </w:pPr>
          </w:p>
        </w:tc>
      </w:tr>
      <w:tr w14:paraId="7A2B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24F1B728">
            <w:pPr>
              <w:jc w:val="left"/>
              <w:rPr>
                <w:rFonts w:hint="eastAsia" w:ascii="宋体" w:hAnsi="宋体"/>
                <w:color w:val="auto"/>
                <w:sz w:val="24"/>
                <w:highlight w:val="none"/>
              </w:rPr>
            </w:pPr>
            <w:r>
              <w:rPr>
                <w:rFonts w:hint="eastAsia" w:ascii="宋体" w:hAnsi="宋体"/>
                <w:color w:val="auto"/>
                <w:sz w:val="24"/>
                <w:highlight w:val="none"/>
              </w:rPr>
              <w:t>422-9-1-1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339C802">
            <w:pPr>
              <w:jc w:val="left"/>
              <w:rPr>
                <w:rFonts w:hint="eastAsia" w:ascii="宋体" w:hAnsi="宋体"/>
                <w:color w:val="auto"/>
                <w:sz w:val="24"/>
                <w:highlight w:val="none"/>
              </w:rPr>
            </w:pPr>
            <w:r>
              <w:rPr>
                <w:rFonts w:hint="eastAsia" w:ascii="宋体" w:hAnsi="宋体"/>
                <w:color w:val="auto"/>
                <w:sz w:val="24"/>
                <w:highlight w:val="none"/>
              </w:rPr>
              <w:t>圆管混凝土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DDCDCD">
            <w:pPr>
              <w:jc w:val="left"/>
              <w:rPr>
                <w:rFonts w:hint="eastAsia" w:ascii="宋体" w:hAnsi="宋体"/>
                <w:color w:val="auto"/>
                <w:sz w:val="24"/>
                <w:highlight w:val="none"/>
              </w:rPr>
            </w:pPr>
          </w:p>
        </w:tc>
      </w:tr>
      <w:tr w14:paraId="4109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6CC6BEC">
            <w:pPr>
              <w:jc w:val="left"/>
              <w:rPr>
                <w:rFonts w:hint="eastAsia" w:ascii="宋体" w:hAnsi="宋体"/>
                <w:color w:val="auto"/>
                <w:sz w:val="24"/>
                <w:highlight w:val="none"/>
              </w:rPr>
            </w:pPr>
            <w:r>
              <w:rPr>
                <w:rFonts w:hint="eastAsia" w:ascii="宋体" w:hAnsi="宋体"/>
                <w:color w:val="auto"/>
                <w:sz w:val="24"/>
                <w:highlight w:val="none"/>
              </w:rPr>
              <w:t>422-9-1-1-6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D7717D2">
            <w:pPr>
              <w:jc w:val="left"/>
              <w:rPr>
                <w:rFonts w:hint="eastAsia" w:ascii="宋体" w:hAnsi="宋体"/>
                <w:color w:val="auto"/>
                <w:sz w:val="24"/>
                <w:highlight w:val="none"/>
              </w:rPr>
            </w:pPr>
            <w:r>
              <w:rPr>
                <w:rFonts w:hint="eastAsia" w:ascii="宋体" w:hAnsi="宋体"/>
                <w:color w:val="auto"/>
                <w:sz w:val="24"/>
                <w:highlight w:val="none"/>
              </w:rPr>
              <w:t>C40混凝土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D3A3B3">
            <w:pPr>
              <w:jc w:val="left"/>
              <w:rPr>
                <w:rFonts w:hint="eastAsia" w:ascii="宋体" w:hAnsi="宋体"/>
                <w:color w:val="auto"/>
                <w:sz w:val="24"/>
                <w:highlight w:val="none"/>
              </w:rPr>
            </w:pPr>
            <w:r>
              <w:rPr>
                <w:rFonts w:hint="eastAsia" w:ascii="宋体" w:hAnsi="宋体"/>
                <w:color w:val="auto"/>
                <w:sz w:val="24"/>
                <w:highlight w:val="none"/>
              </w:rPr>
              <w:t>m3</w:t>
            </w:r>
          </w:p>
        </w:tc>
      </w:tr>
      <w:tr w14:paraId="701F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5C8BE23">
            <w:pPr>
              <w:jc w:val="left"/>
              <w:rPr>
                <w:rFonts w:hint="eastAsia" w:ascii="宋体" w:hAnsi="宋体"/>
                <w:color w:val="auto"/>
                <w:sz w:val="24"/>
                <w:highlight w:val="none"/>
              </w:rPr>
            </w:pPr>
            <w:r>
              <w:rPr>
                <w:rFonts w:hint="eastAsia" w:ascii="宋体" w:hAnsi="宋体"/>
                <w:color w:val="auto"/>
                <w:sz w:val="24"/>
                <w:highlight w:val="none"/>
              </w:rPr>
              <w:t>422-9-1-2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FA337D">
            <w:pPr>
              <w:jc w:val="left"/>
              <w:rPr>
                <w:rFonts w:hint="eastAsia" w:ascii="宋体" w:hAnsi="宋体"/>
                <w:color w:val="auto"/>
                <w:sz w:val="24"/>
                <w:highlight w:val="none"/>
              </w:rPr>
            </w:pPr>
            <w:r>
              <w:rPr>
                <w:rFonts w:hint="eastAsia" w:ascii="宋体" w:hAnsi="宋体"/>
                <w:color w:val="auto"/>
                <w:sz w:val="24"/>
                <w:highlight w:val="none"/>
              </w:rPr>
              <w:t>圆管钢筋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29735A">
            <w:pPr>
              <w:jc w:val="left"/>
              <w:rPr>
                <w:rFonts w:hint="eastAsia" w:ascii="宋体" w:hAnsi="宋体"/>
                <w:color w:val="auto"/>
                <w:sz w:val="24"/>
                <w:highlight w:val="none"/>
              </w:rPr>
            </w:pPr>
          </w:p>
        </w:tc>
      </w:tr>
      <w:tr w14:paraId="57D9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40755B02">
            <w:pPr>
              <w:jc w:val="left"/>
              <w:rPr>
                <w:rFonts w:hint="eastAsia" w:ascii="宋体" w:hAnsi="宋体"/>
                <w:color w:val="auto"/>
                <w:sz w:val="24"/>
                <w:highlight w:val="none"/>
              </w:rPr>
            </w:pPr>
            <w:r>
              <w:rPr>
                <w:rFonts w:hint="eastAsia" w:ascii="宋体" w:hAnsi="宋体"/>
                <w:color w:val="auto"/>
                <w:sz w:val="24"/>
                <w:highlight w:val="none"/>
              </w:rPr>
              <w:t>422-9-1-2-1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FA3C3E">
            <w:pPr>
              <w:jc w:val="left"/>
              <w:rPr>
                <w:rFonts w:hint="eastAsia" w:ascii="宋体" w:hAnsi="宋体"/>
                <w:color w:val="auto"/>
                <w:sz w:val="24"/>
                <w:highlight w:val="none"/>
              </w:rPr>
            </w:pPr>
            <w:r>
              <w:rPr>
                <w:rFonts w:hint="eastAsia" w:ascii="宋体" w:hAnsi="宋体"/>
                <w:color w:val="auto"/>
                <w:sz w:val="24"/>
                <w:highlight w:val="none"/>
              </w:rPr>
              <w:t>普通钢筋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597B87">
            <w:pPr>
              <w:jc w:val="left"/>
              <w:rPr>
                <w:rFonts w:hint="eastAsia" w:ascii="宋体" w:hAnsi="宋体"/>
                <w:color w:val="auto"/>
                <w:sz w:val="24"/>
                <w:highlight w:val="none"/>
              </w:rPr>
            </w:pPr>
            <w:r>
              <w:rPr>
                <w:rFonts w:hint="eastAsia" w:ascii="宋体" w:hAnsi="宋体"/>
                <w:color w:val="auto"/>
                <w:sz w:val="24"/>
                <w:highlight w:val="none"/>
              </w:rPr>
              <w:t>kg</w:t>
            </w:r>
          </w:p>
        </w:tc>
      </w:tr>
      <w:tr w14:paraId="0375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F85488D">
            <w:pPr>
              <w:jc w:val="left"/>
              <w:rPr>
                <w:rFonts w:hint="eastAsia" w:ascii="宋体" w:hAnsi="宋体"/>
                <w:color w:val="auto"/>
                <w:sz w:val="24"/>
                <w:highlight w:val="none"/>
              </w:rPr>
            </w:pPr>
            <w:r>
              <w:rPr>
                <w:rFonts w:hint="eastAsia" w:ascii="宋体" w:hAnsi="宋体"/>
                <w:color w:val="auto"/>
                <w:sz w:val="24"/>
                <w:highlight w:val="none"/>
              </w:rPr>
              <w:t>422-9-3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4E5BCF5">
            <w:pPr>
              <w:jc w:val="left"/>
              <w:rPr>
                <w:rFonts w:hint="eastAsia" w:ascii="宋体" w:hAnsi="宋体"/>
                <w:color w:val="auto"/>
                <w:sz w:val="24"/>
                <w:highlight w:val="none"/>
              </w:rPr>
            </w:pPr>
            <w:r>
              <w:rPr>
                <w:rFonts w:hint="eastAsia" w:ascii="宋体" w:hAnsi="宋体"/>
                <w:color w:val="auto"/>
                <w:sz w:val="24"/>
                <w:highlight w:val="none"/>
              </w:rPr>
              <w:t>安装混凝土圆管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AA7063">
            <w:pPr>
              <w:jc w:val="left"/>
              <w:rPr>
                <w:rFonts w:hint="eastAsia" w:ascii="宋体" w:hAnsi="宋体"/>
                <w:color w:val="auto"/>
                <w:sz w:val="24"/>
                <w:highlight w:val="none"/>
              </w:rPr>
            </w:pPr>
            <w:r>
              <w:rPr>
                <w:rFonts w:hint="eastAsia" w:ascii="宋体" w:hAnsi="宋体"/>
                <w:color w:val="auto"/>
                <w:sz w:val="24"/>
                <w:highlight w:val="none"/>
              </w:rPr>
              <w:t>m3</w:t>
            </w:r>
          </w:p>
        </w:tc>
      </w:tr>
      <w:tr w14:paraId="17B9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06308A9">
            <w:pPr>
              <w:jc w:val="left"/>
              <w:rPr>
                <w:rFonts w:hint="eastAsia" w:ascii="宋体" w:hAnsi="宋体"/>
                <w:color w:val="auto"/>
                <w:sz w:val="24"/>
                <w:highlight w:val="none"/>
              </w:rPr>
            </w:pPr>
            <w:r>
              <w:rPr>
                <w:rFonts w:hint="eastAsia" w:ascii="宋体" w:hAnsi="宋体"/>
                <w:color w:val="auto"/>
                <w:sz w:val="24"/>
                <w:highlight w:val="none"/>
              </w:rPr>
              <w:t>422-12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2BBFFC2">
            <w:pPr>
              <w:jc w:val="left"/>
              <w:rPr>
                <w:rFonts w:hint="eastAsia" w:ascii="宋体" w:hAnsi="宋体"/>
                <w:color w:val="auto"/>
                <w:sz w:val="24"/>
                <w:highlight w:val="none"/>
              </w:rPr>
            </w:pPr>
            <w:r>
              <w:rPr>
                <w:rFonts w:hint="eastAsia" w:ascii="宋体" w:hAnsi="宋体"/>
                <w:color w:val="auto"/>
                <w:sz w:val="24"/>
                <w:highlight w:val="none"/>
              </w:rPr>
              <w:t>箱涵涵身</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96E18A">
            <w:pPr>
              <w:jc w:val="left"/>
              <w:rPr>
                <w:rFonts w:hint="eastAsia" w:ascii="宋体" w:hAnsi="宋体"/>
                <w:color w:val="auto"/>
                <w:sz w:val="24"/>
                <w:highlight w:val="none"/>
              </w:rPr>
            </w:pPr>
          </w:p>
        </w:tc>
      </w:tr>
      <w:tr w14:paraId="49D2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90618BA">
            <w:pPr>
              <w:jc w:val="left"/>
              <w:rPr>
                <w:rFonts w:hint="eastAsia" w:ascii="宋体" w:hAnsi="宋体"/>
                <w:color w:val="auto"/>
                <w:sz w:val="24"/>
                <w:highlight w:val="none"/>
              </w:rPr>
            </w:pPr>
            <w:r>
              <w:rPr>
                <w:rFonts w:hint="eastAsia" w:ascii="宋体" w:hAnsi="宋体"/>
                <w:color w:val="auto"/>
                <w:sz w:val="24"/>
                <w:highlight w:val="none"/>
              </w:rPr>
              <w:t>422-12-1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F787593">
            <w:pPr>
              <w:jc w:val="left"/>
              <w:rPr>
                <w:rFonts w:hint="eastAsia" w:ascii="宋体" w:hAnsi="宋体"/>
                <w:color w:val="auto"/>
                <w:sz w:val="24"/>
                <w:highlight w:val="none"/>
              </w:rPr>
            </w:pPr>
            <w:r>
              <w:rPr>
                <w:rFonts w:hint="eastAsia" w:ascii="宋体" w:hAnsi="宋体"/>
                <w:color w:val="auto"/>
                <w:sz w:val="24"/>
                <w:highlight w:val="none"/>
              </w:rPr>
              <w:t>现浇箱涵混凝土涵身</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470879F">
            <w:pPr>
              <w:jc w:val="left"/>
              <w:rPr>
                <w:rFonts w:hint="eastAsia" w:ascii="宋体" w:hAnsi="宋体"/>
                <w:color w:val="auto"/>
                <w:sz w:val="24"/>
                <w:highlight w:val="none"/>
              </w:rPr>
            </w:pPr>
          </w:p>
        </w:tc>
      </w:tr>
      <w:tr w14:paraId="6008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3DA0D9D8">
            <w:pPr>
              <w:jc w:val="left"/>
              <w:rPr>
                <w:rFonts w:hint="eastAsia" w:ascii="宋体" w:hAnsi="宋体"/>
                <w:color w:val="auto"/>
                <w:sz w:val="24"/>
                <w:highlight w:val="none"/>
              </w:rPr>
            </w:pPr>
            <w:r>
              <w:rPr>
                <w:rFonts w:hint="eastAsia" w:ascii="宋体" w:hAnsi="宋体"/>
                <w:color w:val="auto"/>
                <w:sz w:val="24"/>
                <w:highlight w:val="none"/>
              </w:rPr>
              <w:t>422-12-1-1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6FA65D">
            <w:pPr>
              <w:jc w:val="left"/>
              <w:rPr>
                <w:rFonts w:hint="eastAsia" w:ascii="宋体" w:hAnsi="宋体"/>
                <w:color w:val="auto"/>
                <w:sz w:val="24"/>
                <w:highlight w:val="none"/>
              </w:rPr>
            </w:pPr>
            <w:r>
              <w:rPr>
                <w:rFonts w:hint="eastAsia" w:ascii="宋体" w:hAnsi="宋体"/>
                <w:color w:val="auto"/>
                <w:sz w:val="24"/>
                <w:highlight w:val="none"/>
              </w:rPr>
              <w:t>现浇箱涵钢筋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AC17F6">
            <w:pPr>
              <w:jc w:val="left"/>
              <w:rPr>
                <w:rFonts w:hint="eastAsia" w:ascii="宋体" w:hAnsi="宋体"/>
                <w:color w:val="auto"/>
                <w:sz w:val="24"/>
                <w:highlight w:val="none"/>
              </w:rPr>
            </w:pPr>
            <w:r>
              <w:rPr>
                <w:rFonts w:hint="eastAsia" w:ascii="宋体" w:hAnsi="宋体"/>
                <w:color w:val="auto"/>
                <w:sz w:val="24"/>
                <w:highlight w:val="none"/>
              </w:rPr>
              <w:t>kg</w:t>
            </w:r>
          </w:p>
        </w:tc>
      </w:tr>
      <w:tr w14:paraId="0C2A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022F9F9E">
            <w:pPr>
              <w:jc w:val="left"/>
              <w:rPr>
                <w:rFonts w:hint="eastAsia" w:ascii="宋体" w:hAnsi="宋体"/>
                <w:color w:val="auto"/>
                <w:sz w:val="24"/>
                <w:highlight w:val="none"/>
              </w:rPr>
            </w:pPr>
            <w:r>
              <w:rPr>
                <w:rFonts w:hint="eastAsia" w:ascii="宋体" w:hAnsi="宋体"/>
                <w:color w:val="auto"/>
                <w:sz w:val="24"/>
                <w:highlight w:val="none"/>
              </w:rPr>
              <w:t>422-12-1-6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8CF5A0E">
            <w:pPr>
              <w:jc w:val="left"/>
              <w:rPr>
                <w:rFonts w:hint="eastAsia" w:ascii="宋体" w:hAnsi="宋体"/>
                <w:color w:val="auto"/>
                <w:sz w:val="24"/>
                <w:highlight w:val="none"/>
              </w:rPr>
            </w:pPr>
            <w:r>
              <w:rPr>
                <w:rFonts w:hint="eastAsia" w:ascii="宋体" w:hAnsi="宋体"/>
                <w:color w:val="auto"/>
                <w:sz w:val="24"/>
                <w:highlight w:val="none"/>
              </w:rPr>
              <w:t>C35混凝土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34C520D">
            <w:pPr>
              <w:jc w:val="left"/>
              <w:rPr>
                <w:rFonts w:hint="eastAsia" w:ascii="宋体" w:hAnsi="宋体"/>
                <w:color w:val="auto"/>
                <w:sz w:val="24"/>
                <w:highlight w:val="none"/>
              </w:rPr>
            </w:pPr>
            <w:r>
              <w:rPr>
                <w:rFonts w:hint="eastAsia" w:ascii="宋体" w:hAnsi="宋体"/>
                <w:color w:val="auto"/>
                <w:sz w:val="24"/>
                <w:highlight w:val="none"/>
              </w:rPr>
              <w:t>m3</w:t>
            </w:r>
          </w:p>
        </w:tc>
      </w:tr>
      <w:tr w14:paraId="2776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246A1BC5">
            <w:pPr>
              <w:jc w:val="left"/>
              <w:rPr>
                <w:rFonts w:hint="eastAsia" w:ascii="宋体" w:hAnsi="宋体"/>
                <w:color w:val="auto"/>
                <w:sz w:val="24"/>
                <w:highlight w:val="none"/>
              </w:rPr>
            </w:pPr>
            <w:r>
              <w:rPr>
                <w:rFonts w:hint="eastAsia" w:ascii="宋体" w:hAnsi="宋体"/>
                <w:color w:val="auto"/>
                <w:sz w:val="24"/>
                <w:highlight w:val="none"/>
              </w:rPr>
              <w:t>422-13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3B4DECE">
            <w:pPr>
              <w:jc w:val="left"/>
              <w:rPr>
                <w:rFonts w:hint="eastAsia" w:ascii="宋体" w:hAnsi="宋体"/>
                <w:color w:val="auto"/>
                <w:sz w:val="24"/>
                <w:highlight w:val="none"/>
              </w:rPr>
            </w:pPr>
            <w:r>
              <w:rPr>
                <w:rFonts w:hint="eastAsia" w:ascii="宋体" w:hAnsi="宋体"/>
                <w:color w:val="auto"/>
                <w:sz w:val="24"/>
                <w:highlight w:val="none"/>
              </w:rPr>
              <w:t>台帽、帽石、护栏基座</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07685F2">
            <w:pPr>
              <w:jc w:val="left"/>
              <w:rPr>
                <w:rFonts w:hint="eastAsia" w:ascii="宋体" w:hAnsi="宋体"/>
                <w:color w:val="auto"/>
                <w:sz w:val="24"/>
                <w:highlight w:val="none"/>
              </w:rPr>
            </w:pPr>
          </w:p>
        </w:tc>
      </w:tr>
      <w:tr w14:paraId="1B11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55B71ACD">
            <w:pPr>
              <w:jc w:val="left"/>
              <w:rPr>
                <w:rFonts w:hint="eastAsia" w:ascii="宋体" w:hAnsi="宋体"/>
                <w:color w:val="auto"/>
                <w:sz w:val="24"/>
                <w:highlight w:val="none"/>
              </w:rPr>
            </w:pPr>
            <w:r>
              <w:rPr>
                <w:rFonts w:hint="eastAsia" w:ascii="宋体" w:hAnsi="宋体"/>
                <w:color w:val="auto"/>
                <w:sz w:val="24"/>
                <w:highlight w:val="none"/>
              </w:rPr>
              <w:t>422-13-1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E0E8081">
            <w:pPr>
              <w:jc w:val="left"/>
              <w:rPr>
                <w:rFonts w:hint="eastAsia" w:ascii="宋体" w:hAnsi="宋体"/>
                <w:color w:val="auto"/>
                <w:sz w:val="24"/>
                <w:highlight w:val="none"/>
              </w:rPr>
            </w:pPr>
            <w:r>
              <w:rPr>
                <w:rFonts w:hint="eastAsia" w:ascii="宋体" w:hAnsi="宋体"/>
                <w:color w:val="auto"/>
                <w:sz w:val="24"/>
                <w:highlight w:val="none"/>
              </w:rPr>
              <w:t>台帽、帽石、护栏基座混凝土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219346">
            <w:pPr>
              <w:jc w:val="left"/>
              <w:rPr>
                <w:rFonts w:hint="eastAsia" w:ascii="宋体" w:hAnsi="宋体"/>
                <w:color w:val="auto"/>
                <w:sz w:val="24"/>
                <w:highlight w:val="none"/>
              </w:rPr>
            </w:pPr>
          </w:p>
        </w:tc>
      </w:tr>
      <w:tr w14:paraId="55DC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1FEB3E51">
            <w:pPr>
              <w:jc w:val="left"/>
              <w:rPr>
                <w:rFonts w:hint="eastAsia" w:ascii="宋体" w:hAnsi="宋体"/>
                <w:color w:val="auto"/>
                <w:sz w:val="24"/>
                <w:highlight w:val="none"/>
              </w:rPr>
            </w:pPr>
            <w:r>
              <w:rPr>
                <w:rFonts w:hint="eastAsia" w:ascii="宋体" w:hAnsi="宋体"/>
                <w:color w:val="auto"/>
                <w:sz w:val="24"/>
                <w:highlight w:val="none"/>
              </w:rPr>
              <w:t>422-13-1-2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C2F8FCB">
            <w:pPr>
              <w:jc w:val="left"/>
              <w:rPr>
                <w:rFonts w:hint="eastAsia" w:ascii="宋体" w:hAnsi="宋体"/>
                <w:color w:val="auto"/>
                <w:sz w:val="24"/>
                <w:highlight w:val="none"/>
              </w:rPr>
            </w:pPr>
            <w:r>
              <w:rPr>
                <w:rFonts w:hint="eastAsia" w:ascii="宋体" w:hAnsi="宋体"/>
                <w:color w:val="auto"/>
                <w:sz w:val="24"/>
                <w:highlight w:val="none"/>
              </w:rPr>
              <w:t>C20混凝土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0628DCE">
            <w:pPr>
              <w:jc w:val="left"/>
              <w:rPr>
                <w:rFonts w:hint="eastAsia" w:ascii="宋体" w:hAnsi="宋体"/>
                <w:color w:val="auto"/>
                <w:sz w:val="24"/>
                <w:highlight w:val="none"/>
              </w:rPr>
            </w:pPr>
            <w:r>
              <w:rPr>
                <w:rFonts w:hint="eastAsia" w:ascii="宋体" w:hAnsi="宋体"/>
                <w:color w:val="auto"/>
                <w:sz w:val="24"/>
                <w:highlight w:val="none"/>
              </w:rPr>
              <w:t>m3</w:t>
            </w:r>
          </w:p>
        </w:tc>
      </w:tr>
      <w:tr w14:paraId="5305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dxa"/>
            <w:tcBorders>
              <w:top w:val="single" w:color="auto" w:sz="4" w:space="0"/>
              <w:left w:val="single" w:color="auto" w:sz="4" w:space="0"/>
              <w:bottom w:val="single" w:color="auto" w:sz="4" w:space="0"/>
              <w:right w:val="single" w:color="auto" w:sz="4" w:space="0"/>
            </w:tcBorders>
            <w:noWrap w:val="0"/>
            <w:vAlign w:val="center"/>
          </w:tcPr>
          <w:p w14:paraId="7B0881F1">
            <w:pPr>
              <w:jc w:val="left"/>
              <w:rPr>
                <w:rFonts w:hint="eastAsia" w:ascii="宋体" w:hAnsi="宋体"/>
                <w:color w:val="auto"/>
                <w:sz w:val="24"/>
                <w:highlight w:val="none"/>
              </w:rPr>
            </w:pPr>
            <w:r>
              <w:rPr>
                <w:rFonts w:hint="eastAsia" w:ascii="宋体" w:hAnsi="宋体"/>
                <w:color w:val="auto"/>
                <w:sz w:val="24"/>
                <w:highlight w:val="none"/>
              </w:rPr>
              <w:t>422-13-3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0E263F8">
            <w:pPr>
              <w:jc w:val="left"/>
              <w:rPr>
                <w:rFonts w:hint="eastAsia" w:ascii="宋体" w:hAnsi="宋体"/>
                <w:color w:val="auto"/>
                <w:sz w:val="24"/>
                <w:highlight w:val="none"/>
              </w:rPr>
            </w:pPr>
            <w:r>
              <w:rPr>
                <w:rFonts w:hint="eastAsia" w:ascii="宋体" w:hAnsi="宋体"/>
                <w:color w:val="auto"/>
                <w:sz w:val="24"/>
                <w:highlight w:val="none"/>
              </w:rPr>
              <w:t>M7.5浆砌粗料石帽石</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4D85260">
            <w:pPr>
              <w:jc w:val="left"/>
              <w:rPr>
                <w:rFonts w:hint="eastAsia" w:ascii="宋体" w:hAnsi="宋体"/>
                <w:color w:val="auto"/>
                <w:sz w:val="24"/>
                <w:highlight w:val="none"/>
              </w:rPr>
            </w:pPr>
            <w:r>
              <w:rPr>
                <w:rFonts w:hint="eastAsia" w:ascii="宋体" w:hAnsi="宋体"/>
                <w:color w:val="auto"/>
                <w:sz w:val="24"/>
                <w:highlight w:val="none"/>
              </w:rPr>
              <w:t>m3</w:t>
            </w:r>
          </w:p>
        </w:tc>
      </w:tr>
    </w:tbl>
    <w:p w14:paraId="1CEB3EBB">
      <w:pPr>
        <w:spacing w:line="360" w:lineRule="auto"/>
        <w:jc w:val="left"/>
        <w:rPr>
          <w:rFonts w:hint="eastAsia" w:ascii="宋体" w:hAnsi="宋体"/>
          <w:b/>
          <w:color w:val="auto"/>
          <w:sz w:val="28"/>
          <w:szCs w:val="28"/>
          <w:highlight w:val="none"/>
        </w:rPr>
      </w:pPr>
    </w:p>
    <w:p w14:paraId="29861F50">
      <w:pPr>
        <w:spacing w:line="360" w:lineRule="auto"/>
        <w:jc w:val="left"/>
        <w:rPr>
          <w:rFonts w:hint="eastAsia" w:ascii="宋体" w:hAnsi="宋体"/>
          <w:b/>
          <w:color w:val="auto"/>
          <w:sz w:val="28"/>
          <w:szCs w:val="28"/>
          <w:highlight w:val="none"/>
        </w:rPr>
      </w:pPr>
    </w:p>
    <w:p w14:paraId="020204DC">
      <w:pPr>
        <w:spacing w:line="360" w:lineRule="auto"/>
        <w:jc w:val="left"/>
        <w:rPr>
          <w:rFonts w:ascii="宋体" w:hAnsi="宋体"/>
          <w:b/>
          <w:color w:val="auto"/>
          <w:sz w:val="32"/>
          <w:szCs w:val="32"/>
          <w:highlight w:val="none"/>
        </w:rPr>
        <w:sectPr>
          <w:footerReference r:id="rId138" w:type="first"/>
          <w:pgSz w:w="11906" w:h="16838"/>
          <w:pgMar w:top="1418" w:right="1418" w:bottom="1134" w:left="1701" w:header="851" w:footer="992" w:gutter="0"/>
          <w:pgNumType w:fmt="decimal"/>
          <w:cols w:space="720" w:num="1"/>
          <w:docGrid w:linePitch="312" w:charSpace="0"/>
        </w:sectPr>
      </w:pPr>
    </w:p>
    <w:p w14:paraId="5352DD92">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第600章  安全设施及预埋管线</w:t>
      </w:r>
    </w:p>
    <w:p w14:paraId="7304BD2D">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第602节  护栏</w:t>
      </w:r>
    </w:p>
    <w:p w14:paraId="23AB3D4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180336A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本节护栏按混凝土护栏、波形梁钢护栏、活动式护栏、缆索护栏、石砌护栏等类型分类。</w:t>
      </w:r>
    </w:p>
    <w:p w14:paraId="097E9C00">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(2)混凝土护栏</w:t>
      </w:r>
    </w:p>
    <w:p w14:paraId="6C8194E2">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按现浇或预制，分混凝土标号进行分类，应按图纸所示和监理人指示验收后其混凝土体积以立方米计量；混凝土钢筋以公斤计量。地基填筑、垫层材料、砌筑砂浆、嵌缝材料以及油漆涂料等均不另行计量。预制混凝土护栏可按标段工程分类情况分预制、安装、运输分别计量或合并计量，清单子目号详见602-1-2-1～602-1-2-4。混凝土护栏基础分混凝土标号进行分类，应按图纸所示和监理人指示验收后其混凝土体积以立方米计量；混凝土钢筋以千克计量。桥梁工程的混凝土护栏按403-4、410-6、410-7等清单子目计量。</w:t>
      </w:r>
    </w:p>
    <w:p w14:paraId="4DE0A98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波形梁钢护栏（含立柱</w:t>
      </w:r>
      <w:r>
        <w:rPr>
          <w:rFonts w:hint="eastAsia" w:ascii="宋体" w:hAnsi="宋体"/>
          <w:color w:val="auto"/>
          <w:sz w:val="24"/>
          <w:highlight w:val="none"/>
        </w:rPr>
        <w:t>、基础等</w:t>
      </w:r>
      <w:r>
        <w:rPr>
          <w:rFonts w:ascii="宋体" w:hAnsi="宋体"/>
          <w:color w:val="auto"/>
          <w:sz w:val="24"/>
          <w:highlight w:val="none"/>
        </w:rPr>
        <w:t>）安装就位（包括明涵、通道、小桥部分）并经验收合格，</w:t>
      </w:r>
      <w:r>
        <w:rPr>
          <w:rFonts w:hint="eastAsia" w:ascii="宋体" w:hAnsi="宋体"/>
          <w:color w:val="auto"/>
          <w:sz w:val="24"/>
          <w:highlight w:val="none"/>
        </w:rPr>
        <w:t>分单面波形和双面波形分类，</w:t>
      </w:r>
      <w:r>
        <w:rPr>
          <w:rFonts w:ascii="宋体" w:hAnsi="宋体"/>
          <w:color w:val="auto"/>
          <w:sz w:val="24"/>
          <w:highlight w:val="none"/>
        </w:rPr>
        <w:t>其长度沿栏杆面（不包括起、终端段）量取</w:t>
      </w:r>
      <w:r>
        <w:rPr>
          <w:rFonts w:hint="eastAsia" w:ascii="宋体" w:hAnsi="宋体"/>
          <w:color w:val="auto"/>
          <w:sz w:val="24"/>
          <w:highlight w:val="none"/>
        </w:rPr>
        <w:t>，</w:t>
      </w:r>
      <w:r>
        <w:rPr>
          <w:rFonts w:ascii="宋体" w:hAnsi="宋体"/>
          <w:color w:val="auto"/>
          <w:sz w:val="24"/>
          <w:highlight w:val="none"/>
        </w:rPr>
        <w:t>以米计量</w:t>
      </w:r>
      <w:r>
        <w:rPr>
          <w:rFonts w:hint="eastAsia" w:ascii="宋体" w:hAnsi="宋体"/>
          <w:color w:val="auto"/>
          <w:sz w:val="24"/>
          <w:highlight w:val="none"/>
        </w:rPr>
        <w:t>。</w:t>
      </w:r>
      <w:r>
        <w:rPr>
          <w:rFonts w:ascii="宋体" w:hAnsi="宋体"/>
          <w:color w:val="auto"/>
          <w:sz w:val="24"/>
          <w:highlight w:val="none"/>
        </w:rPr>
        <w:t>钢护栏起、终端头以个计量。</w:t>
      </w:r>
    </w:p>
    <w:p w14:paraId="1D0D13C3">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(4)缆索护栏（含立柱、基础等）安装就位（包括明涵、通道、小桥、挡墙部分）并经验收合格，其长度按沿栏杆面量取的实际长度，以米为单位计量。</w:t>
      </w:r>
    </w:p>
    <w:p w14:paraId="11C81E9C">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开口处活动式护栏应拼装就位准确，验收合格，</w:t>
      </w:r>
      <w:r>
        <w:rPr>
          <w:rFonts w:hint="eastAsia" w:ascii="宋体" w:hAnsi="宋体"/>
          <w:color w:val="auto"/>
          <w:sz w:val="24"/>
          <w:highlight w:val="none"/>
        </w:rPr>
        <w:t>分不同材质按米</w:t>
      </w:r>
      <w:r>
        <w:rPr>
          <w:rFonts w:ascii="宋体" w:hAnsi="宋体"/>
          <w:color w:val="auto"/>
          <w:sz w:val="24"/>
          <w:highlight w:val="none"/>
        </w:rPr>
        <w:t>计量。</w:t>
      </w:r>
    </w:p>
    <w:p w14:paraId="1B34AC5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(6)石砌护栏按砌石工程量以立方米为单位计量，砂砾垫层、砌筑砂浆等作为附属工程，不单独计量。</w:t>
      </w:r>
    </w:p>
    <w:p w14:paraId="3884C0E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(7)不锈钢管护栏，按图纸所示或监理人指示施工并经验收合格的工程，以设计或监理人指示的沿栏杆面长度以米计量。</w:t>
      </w:r>
      <w:r>
        <w:rPr>
          <w:rFonts w:ascii="宋体" w:hAnsi="宋体"/>
          <w:color w:val="auto"/>
          <w:sz w:val="24"/>
          <w:highlight w:val="none"/>
        </w:rPr>
        <w:t>地基填筑、垫层材料、</w:t>
      </w:r>
      <w:r>
        <w:rPr>
          <w:rFonts w:hint="eastAsia" w:ascii="宋体" w:hAnsi="宋体"/>
          <w:color w:val="auto"/>
          <w:sz w:val="24"/>
          <w:highlight w:val="none"/>
        </w:rPr>
        <w:t>基础、</w:t>
      </w:r>
      <w:r>
        <w:rPr>
          <w:rFonts w:ascii="宋体" w:hAnsi="宋体"/>
          <w:color w:val="auto"/>
          <w:sz w:val="24"/>
          <w:highlight w:val="none"/>
        </w:rPr>
        <w:t>砌筑砂浆、嵌缝材料以及油漆涂料等均不另行计量。</w:t>
      </w:r>
    </w:p>
    <w:p w14:paraId="7986D642">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(8)</w:t>
      </w:r>
      <w:r>
        <w:rPr>
          <w:rFonts w:ascii="宋体" w:hAnsi="宋体"/>
          <w:color w:val="auto"/>
          <w:sz w:val="24"/>
          <w:highlight w:val="none"/>
        </w:rPr>
        <w:t>明涵、通道、小桥、挡墙部分</w:t>
      </w:r>
      <w:r>
        <w:rPr>
          <w:rFonts w:hint="eastAsia" w:ascii="宋体" w:hAnsi="宋体"/>
          <w:color w:val="auto"/>
          <w:sz w:val="24"/>
          <w:highlight w:val="none"/>
        </w:rPr>
        <w:t>缆索</w:t>
      </w:r>
      <w:r>
        <w:rPr>
          <w:rFonts w:ascii="宋体" w:hAnsi="宋体"/>
          <w:color w:val="auto"/>
          <w:sz w:val="24"/>
          <w:highlight w:val="none"/>
        </w:rPr>
        <w:t>护栏的立柱插座、预埋构件作为上述构造物的附属工程，不另计量。</w:t>
      </w:r>
    </w:p>
    <w:p w14:paraId="215EFB9B">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）人行道</w:t>
      </w:r>
      <w:r>
        <w:rPr>
          <w:rFonts w:hint="eastAsia" w:ascii="宋体" w:hAnsi="宋体"/>
          <w:color w:val="auto"/>
          <w:sz w:val="24"/>
          <w:highlight w:val="none"/>
        </w:rPr>
        <w:t>护栏，按图纸所示或监理人指示施工并经验收合格的工程，以设计或监理人指示的沿栏杆面长度以米计量。</w:t>
      </w:r>
      <w:r>
        <w:rPr>
          <w:rFonts w:ascii="宋体" w:hAnsi="宋体"/>
          <w:color w:val="auto"/>
          <w:sz w:val="24"/>
          <w:highlight w:val="none"/>
        </w:rPr>
        <w:t>地基填筑、垫层材料、</w:t>
      </w:r>
      <w:r>
        <w:rPr>
          <w:rFonts w:hint="eastAsia" w:ascii="宋体" w:hAnsi="宋体"/>
          <w:color w:val="auto"/>
          <w:sz w:val="24"/>
          <w:highlight w:val="none"/>
        </w:rPr>
        <w:t>基础、</w:t>
      </w:r>
      <w:r>
        <w:rPr>
          <w:rFonts w:ascii="宋体" w:hAnsi="宋体"/>
          <w:color w:val="auto"/>
          <w:sz w:val="24"/>
          <w:highlight w:val="none"/>
        </w:rPr>
        <w:t>砌筑砂浆、嵌缝材料以及油漆涂料等均不另行计量。</w:t>
      </w:r>
    </w:p>
    <w:p w14:paraId="23280651">
      <w:pPr>
        <w:spacing w:line="360" w:lineRule="auto"/>
        <w:ind w:firstLine="480" w:firstLineChars="200"/>
        <w:jc w:val="left"/>
        <w:rPr>
          <w:rFonts w:hint="eastAsia" w:ascii="宋体" w:hAnsi="宋体" w:eastAsia="宋体"/>
          <w:color w:val="auto"/>
          <w:sz w:val="24"/>
          <w:highlight w:val="none"/>
          <w:lang w:eastAsia="zh-CN"/>
        </w:rPr>
      </w:pPr>
    </w:p>
    <w:p w14:paraId="5D65A52E">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3FDB28B3">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并列入了工程量清单的以下支付子目的工程量，其每一计量单位将以合同单价支付。此项支付包括材料、劳力、设备、检验、运输等及其他为完成护栏、护柱安装工程所必需的费用，是对完成工程的全部偿付。</w:t>
      </w:r>
    </w:p>
    <w:p w14:paraId="12676706">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39EF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6AE8F20">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792DBCCE">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492BF37">
            <w:pPr>
              <w:jc w:val="left"/>
              <w:rPr>
                <w:rFonts w:hint="eastAsia" w:ascii="宋体" w:hAnsi="宋体"/>
                <w:color w:val="auto"/>
                <w:sz w:val="24"/>
                <w:highlight w:val="none"/>
              </w:rPr>
            </w:pPr>
            <w:r>
              <w:rPr>
                <w:rFonts w:hint="eastAsia" w:ascii="宋体" w:hAnsi="宋体"/>
                <w:color w:val="auto"/>
                <w:sz w:val="24"/>
                <w:highlight w:val="none"/>
              </w:rPr>
              <w:t>单位</w:t>
            </w:r>
          </w:p>
        </w:tc>
      </w:tr>
      <w:tr w14:paraId="2935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96ECB58">
            <w:pPr>
              <w:jc w:val="left"/>
              <w:rPr>
                <w:rFonts w:ascii="宋体" w:hAnsi="宋体"/>
                <w:color w:val="auto"/>
                <w:sz w:val="24"/>
                <w:highlight w:val="none"/>
              </w:rPr>
            </w:pPr>
            <w:r>
              <w:rPr>
                <w:rFonts w:hint="eastAsia" w:ascii="宋体" w:hAnsi="宋体"/>
                <w:color w:val="auto"/>
                <w:sz w:val="24"/>
                <w:highlight w:val="none"/>
              </w:rPr>
              <w:t>602</w:t>
            </w:r>
          </w:p>
        </w:tc>
        <w:tc>
          <w:tcPr>
            <w:tcW w:w="5400" w:type="dxa"/>
            <w:noWrap w:val="0"/>
            <w:vAlign w:val="center"/>
          </w:tcPr>
          <w:p w14:paraId="4CA0D6ED">
            <w:pPr>
              <w:jc w:val="left"/>
              <w:rPr>
                <w:rFonts w:ascii="宋体" w:hAnsi="宋体"/>
                <w:color w:val="auto"/>
                <w:sz w:val="24"/>
                <w:highlight w:val="none"/>
              </w:rPr>
            </w:pPr>
            <w:r>
              <w:rPr>
                <w:rFonts w:hint="eastAsia" w:ascii="宋体" w:hAnsi="宋体"/>
                <w:color w:val="auto"/>
                <w:sz w:val="24"/>
                <w:highlight w:val="none"/>
              </w:rPr>
              <w:t>护栏</w:t>
            </w:r>
          </w:p>
        </w:tc>
        <w:tc>
          <w:tcPr>
            <w:tcW w:w="1260" w:type="dxa"/>
            <w:noWrap w:val="0"/>
            <w:vAlign w:val="center"/>
          </w:tcPr>
          <w:p w14:paraId="4BB32542">
            <w:pPr>
              <w:jc w:val="left"/>
              <w:rPr>
                <w:rFonts w:ascii="宋体" w:hAnsi="宋体"/>
                <w:color w:val="auto"/>
                <w:sz w:val="24"/>
                <w:highlight w:val="none"/>
              </w:rPr>
            </w:pPr>
          </w:p>
        </w:tc>
      </w:tr>
      <w:tr w14:paraId="4983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54AAC6D">
            <w:pPr>
              <w:jc w:val="left"/>
              <w:rPr>
                <w:rFonts w:ascii="宋体" w:hAnsi="宋体"/>
                <w:color w:val="auto"/>
                <w:sz w:val="24"/>
                <w:highlight w:val="none"/>
              </w:rPr>
            </w:pPr>
            <w:r>
              <w:rPr>
                <w:rFonts w:hint="eastAsia" w:ascii="宋体" w:hAnsi="宋体"/>
                <w:color w:val="auto"/>
                <w:sz w:val="24"/>
                <w:highlight w:val="none"/>
              </w:rPr>
              <w:t>602-1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7D1790">
            <w:pPr>
              <w:jc w:val="left"/>
              <w:rPr>
                <w:rFonts w:hint="eastAsia" w:ascii="宋体" w:hAnsi="宋体"/>
                <w:color w:val="auto"/>
                <w:sz w:val="24"/>
                <w:highlight w:val="none"/>
              </w:rPr>
            </w:pPr>
            <w:r>
              <w:rPr>
                <w:rFonts w:hint="eastAsia" w:ascii="宋体" w:hAnsi="宋体"/>
                <w:color w:val="auto"/>
                <w:sz w:val="24"/>
                <w:highlight w:val="none"/>
              </w:rPr>
              <w:t>混凝土护栏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1F35DA">
            <w:pPr>
              <w:jc w:val="left"/>
              <w:rPr>
                <w:rFonts w:hint="eastAsia" w:ascii="宋体" w:hAnsi="宋体"/>
                <w:color w:val="auto"/>
                <w:sz w:val="24"/>
                <w:highlight w:val="none"/>
              </w:rPr>
            </w:pPr>
          </w:p>
        </w:tc>
      </w:tr>
      <w:tr w14:paraId="3BDE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0133DC2">
            <w:pPr>
              <w:jc w:val="left"/>
              <w:rPr>
                <w:rFonts w:hint="eastAsia" w:ascii="宋体" w:hAnsi="宋体"/>
                <w:color w:val="auto"/>
                <w:sz w:val="24"/>
                <w:highlight w:val="none"/>
              </w:rPr>
            </w:pPr>
            <w:r>
              <w:rPr>
                <w:rFonts w:hint="eastAsia" w:ascii="宋体" w:hAnsi="宋体"/>
                <w:color w:val="auto"/>
                <w:sz w:val="24"/>
                <w:highlight w:val="none"/>
              </w:rPr>
              <w:t>602-1-1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2CC890A">
            <w:pPr>
              <w:jc w:val="left"/>
              <w:rPr>
                <w:rFonts w:hint="eastAsia" w:ascii="宋体" w:hAnsi="宋体"/>
                <w:color w:val="auto"/>
                <w:sz w:val="24"/>
                <w:highlight w:val="none"/>
              </w:rPr>
            </w:pPr>
            <w:r>
              <w:rPr>
                <w:rFonts w:hint="eastAsia" w:ascii="宋体" w:hAnsi="宋体"/>
                <w:color w:val="auto"/>
                <w:sz w:val="24"/>
                <w:highlight w:val="none"/>
              </w:rPr>
              <w:t>现浇混凝土护栏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AE6C01A">
            <w:pPr>
              <w:jc w:val="left"/>
              <w:rPr>
                <w:rFonts w:hint="eastAsia" w:ascii="宋体" w:hAnsi="宋体"/>
                <w:color w:val="auto"/>
                <w:sz w:val="24"/>
                <w:highlight w:val="none"/>
              </w:rPr>
            </w:pPr>
          </w:p>
        </w:tc>
      </w:tr>
      <w:tr w14:paraId="3067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1E674FA">
            <w:pPr>
              <w:jc w:val="left"/>
              <w:rPr>
                <w:rFonts w:hint="eastAsia" w:ascii="宋体" w:hAnsi="宋体"/>
                <w:color w:val="auto"/>
                <w:sz w:val="24"/>
                <w:highlight w:val="none"/>
              </w:rPr>
            </w:pPr>
            <w:r>
              <w:rPr>
                <w:rFonts w:hint="eastAsia" w:ascii="宋体" w:hAnsi="宋体"/>
                <w:color w:val="auto"/>
                <w:sz w:val="24"/>
                <w:highlight w:val="none"/>
              </w:rPr>
              <w:t>602-1-1-1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1A272B2">
            <w:pPr>
              <w:jc w:val="left"/>
              <w:rPr>
                <w:rFonts w:hint="eastAsia" w:ascii="宋体" w:hAnsi="宋体"/>
                <w:color w:val="auto"/>
                <w:sz w:val="24"/>
                <w:highlight w:val="none"/>
              </w:rPr>
            </w:pPr>
            <w:r>
              <w:rPr>
                <w:rFonts w:hint="eastAsia" w:ascii="宋体" w:hAnsi="宋体"/>
                <w:color w:val="auto"/>
                <w:sz w:val="24"/>
                <w:highlight w:val="none"/>
              </w:rPr>
              <w:t>护栏现浇混凝土钢筋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146779">
            <w:pPr>
              <w:jc w:val="left"/>
              <w:rPr>
                <w:rFonts w:hint="eastAsia" w:ascii="宋体" w:hAnsi="宋体"/>
                <w:color w:val="auto"/>
                <w:sz w:val="24"/>
                <w:highlight w:val="none"/>
              </w:rPr>
            </w:pPr>
            <w:r>
              <w:rPr>
                <w:rFonts w:hint="eastAsia" w:ascii="宋体" w:hAnsi="宋体"/>
                <w:color w:val="auto"/>
                <w:sz w:val="24"/>
                <w:highlight w:val="none"/>
              </w:rPr>
              <w:t>kg</w:t>
            </w:r>
          </w:p>
        </w:tc>
      </w:tr>
      <w:tr w14:paraId="0DA6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62ED757">
            <w:pPr>
              <w:jc w:val="left"/>
              <w:rPr>
                <w:rFonts w:hint="eastAsia" w:ascii="宋体" w:hAnsi="宋体"/>
                <w:color w:val="auto"/>
                <w:sz w:val="24"/>
                <w:highlight w:val="none"/>
              </w:rPr>
            </w:pPr>
            <w:r>
              <w:rPr>
                <w:rFonts w:hint="eastAsia" w:ascii="宋体" w:hAnsi="宋体"/>
                <w:color w:val="auto"/>
                <w:sz w:val="24"/>
                <w:highlight w:val="none"/>
              </w:rPr>
              <w:t>602-1-1-3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C56B9AE">
            <w:pPr>
              <w:jc w:val="left"/>
              <w:rPr>
                <w:rFonts w:hint="eastAsia" w:ascii="宋体" w:hAnsi="宋体"/>
                <w:color w:val="auto"/>
                <w:sz w:val="24"/>
                <w:highlight w:val="none"/>
              </w:rPr>
            </w:pPr>
            <w:r>
              <w:rPr>
                <w:rFonts w:hint="eastAsia" w:ascii="宋体" w:hAnsi="宋体"/>
                <w:color w:val="auto"/>
                <w:sz w:val="24"/>
                <w:highlight w:val="none"/>
              </w:rPr>
              <w:t>C25现浇混凝土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2FEF022">
            <w:pPr>
              <w:jc w:val="left"/>
              <w:rPr>
                <w:rFonts w:hint="eastAsia" w:ascii="宋体" w:hAnsi="宋体"/>
                <w:color w:val="auto"/>
                <w:sz w:val="24"/>
                <w:highlight w:val="none"/>
              </w:rPr>
            </w:pPr>
            <w:r>
              <w:rPr>
                <w:rFonts w:hint="eastAsia" w:ascii="宋体" w:hAnsi="宋体"/>
                <w:color w:val="auto"/>
                <w:sz w:val="24"/>
                <w:highlight w:val="none"/>
              </w:rPr>
              <w:t>m3</w:t>
            </w:r>
          </w:p>
        </w:tc>
      </w:tr>
      <w:tr w14:paraId="586F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FF92EA9">
            <w:pPr>
              <w:jc w:val="left"/>
              <w:rPr>
                <w:rFonts w:hint="eastAsia" w:ascii="宋体" w:hAnsi="宋体"/>
                <w:color w:val="auto"/>
                <w:sz w:val="24"/>
                <w:highlight w:val="none"/>
              </w:rPr>
            </w:pPr>
            <w:r>
              <w:rPr>
                <w:rFonts w:hint="eastAsia" w:ascii="宋体" w:hAnsi="宋体"/>
                <w:color w:val="auto"/>
                <w:sz w:val="24"/>
                <w:highlight w:val="none"/>
              </w:rPr>
              <w:t>602-2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E7BF309">
            <w:pPr>
              <w:jc w:val="left"/>
              <w:rPr>
                <w:rFonts w:hint="eastAsia" w:ascii="宋体" w:hAnsi="宋体"/>
                <w:color w:val="auto"/>
                <w:sz w:val="24"/>
                <w:highlight w:val="none"/>
              </w:rPr>
            </w:pPr>
            <w:r>
              <w:rPr>
                <w:rFonts w:hint="eastAsia" w:ascii="宋体" w:hAnsi="宋体"/>
                <w:color w:val="auto"/>
                <w:sz w:val="24"/>
                <w:highlight w:val="none"/>
              </w:rPr>
              <w:t>单面波形梁钢护栏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493C7E">
            <w:pPr>
              <w:jc w:val="left"/>
              <w:rPr>
                <w:rFonts w:hint="eastAsia" w:ascii="宋体" w:hAnsi="宋体"/>
                <w:color w:val="auto"/>
                <w:sz w:val="24"/>
                <w:highlight w:val="none"/>
              </w:rPr>
            </w:pPr>
          </w:p>
        </w:tc>
      </w:tr>
      <w:tr w14:paraId="2827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50BD46C">
            <w:pPr>
              <w:jc w:val="left"/>
              <w:rPr>
                <w:rFonts w:hint="eastAsia" w:ascii="宋体" w:hAnsi="宋体"/>
                <w:color w:val="auto"/>
                <w:sz w:val="24"/>
                <w:highlight w:val="none"/>
              </w:rPr>
            </w:pPr>
            <w:r>
              <w:rPr>
                <w:rFonts w:hint="eastAsia" w:ascii="宋体" w:hAnsi="宋体"/>
                <w:color w:val="auto"/>
                <w:sz w:val="24"/>
                <w:highlight w:val="none"/>
              </w:rPr>
              <w:t>602-2-1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77FAA10">
            <w:pPr>
              <w:jc w:val="left"/>
              <w:rPr>
                <w:rFonts w:hint="eastAsia" w:ascii="宋体" w:hAnsi="宋体"/>
                <w:color w:val="auto"/>
                <w:sz w:val="24"/>
                <w:highlight w:val="none"/>
              </w:rPr>
            </w:pPr>
            <w:r>
              <w:rPr>
                <w:rFonts w:hint="eastAsia" w:ascii="宋体" w:hAnsi="宋体"/>
                <w:color w:val="auto"/>
                <w:sz w:val="24"/>
                <w:highlight w:val="none"/>
              </w:rPr>
              <w:t>路侧单面波形梁钢护栏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A7B62F">
            <w:pPr>
              <w:jc w:val="left"/>
              <w:rPr>
                <w:rFonts w:hint="eastAsia" w:ascii="宋体" w:hAnsi="宋体"/>
                <w:color w:val="auto"/>
                <w:sz w:val="24"/>
                <w:highlight w:val="none"/>
              </w:rPr>
            </w:pPr>
          </w:p>
        </w:tc>
      </w:tr>
      <w:tr w14:paraId="5B8D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CCDBD01">
            <w:pPr>
              <w:jc w:val="left"/>
              <w:rPr>
                <w:rFonts w:hint="eastAsia" w:ascii="宋体" w:hAnsi="宋体"/>
                <w:color w:val="auto"/>
                <w:sz w:val="24"/>
                <w:highlight w:val="none"/>
              </w:rPr>
            </w:pPr>
            <w:r>
              <w:rPr>
                <w:rFonts w:hint="eastAsia" w:ascii="宋体" w:hAnsi="宋体"/>
                <w:color w:val="auto"/>
                <w:sz w:val="24"/>
                <w:highlight w:val="none"/>
              </w:rPr>
              <w:t>602-2-1-10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A5C6530">
            <w:pPr>
              <w:jc w:val="left"/>
              <w:rPr>
                <w:rFonts w:hint="eastAsia" w:ascii="宋体" w:hAnsi="宋体"/>
                <w:color w:val="auto"/>
                <w:sz w:val="24"/>
                <w:highlight w:val="none"/>
              </w:rPr>
            </w:pPr>
            <w:r>
              <w:rPr>
                <w:rFonts w:hint="eastAsia" w:ascii="宋体" w:hAnsi="宋体"/>
                <w:color w:val="auto"/>
                <w:sz w:val="24"/>
                <w:highlight w:val="none"/>
              </w:rPr>
              <w:t>Gr-SA-2E</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75E7FF">
            <w:pPr>
              <w:jc w:val="left"/>
              <w:rPr>
                <w:rFonts w:hint="eastAsia" w:ascii="宋体" w:hAnsi="宋体"/>
                <w:color w:val="auto"/>
                <w:sz w:val="24"/>
                <w:highlight w:val="none"/>
              </w:rPr>
            </w:pPr>
            <w:r>
              <w:rPr>
                <w:rFonts w:hint="eastAsia" w:ascii="宋体" w:hAnsi="宋体"/>
                <w:color w:val="auto"/>
                <w:sz w:val="24"/>
                <w:highlight w:val="none"/>
              </w:rPr>
              <w:t>m</w:t>
            </w:r>
          </w:p>
        </w:tc>
      </w:tr>
      <w:tr w14:paraId="3FF2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D7E795A">
            <w:pPr>
              <w:jc w:val="left"/>
              <w:rPr>
                <w:rFonts w:hint="eastAsia" w:ascii="宋体" w:hAnsi="宋体"/>
                <w:color w:val="auto"/>
                <w:sz w:val="24"/>
                <w:highlight w:val="none"/>
              </w:rPr>
            </w:pPr>
            <w:r>
              <w:rPr>
                <w:rFonts w:hint="eastAsia" w:ascii="宋体" w:hAnsi="宋体"/>
                <w:color w:val="auto"/>
                <w:sz w:val="24"/>
                <w:highlight w:val="none"/>
              </w:rPr>
              <w:t>602-2-1-11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3383367">
            <w:pPr>
              <w:jc w:val="left"/>
              <w:rPr>
                <w:rFonts w:hint="eastAsia" w:ascii="宋体" w:hAnsi="宋体"/>
                <w:color w:val="auto"/>
                <w:sz w:val="24"/>
                <w:highlight w:val="none"/>
              </w:rPr>
            </w:pPr>
            <w:r>
              <w:rPr>
                <w:rFonts w:hint="eastAsia" w:ascii="宋体" w:hAnsi="宋体"/>
                <w:color w:val="auto"/>
                <w:sz w:val="24"/>
                <w:highlight w:val="none"/>
              </w:rPr>
              <w:t>拆除现状波形护栏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BCD6AC">
            <w:pPr>
              <w:jc w:val="left"/>
              <w:rPr>
                <w:rFonts w:hint="eastAsia" w:ascii="宋体" w:hAnsi="宋体"/>
                <w:color w:val="auto"/>
                <w:sz w:val="24"/>
                <w:highlight w:val="none"/>
              </w:rPr>
            </w:pPr>
            <w:r>
              <w:rPr>
                <w:rFonts w:hint="eastAsia" w:ascii="宋体" w:hAnsi="宋体"/>
                <w:color w:val="auto"/>
                <w:sz w:val="24"/>
                <w:highlight w:val="none"/>
              </w:rPr>
              <w:t>m</w:t>
            </w:r>
          </w:p>
        </w:tc>
      </w:tr>
      <w:tr w14:paraId="6B54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0FC3FF1">
            <w:pPr>
              <w:jc w:val="left"/>
              <w:rPr>
                <w:rFonts w:hint="eastAsia" w:ascii="宋体" w:hAnsi="宋体"/>
                <w:color w:val="auto"/>
                <w:sz w:val="24"/>
                <w:highlight w:val="none"/>
              </w:rPr>
            </w:pPr>
            <w:r>
              <w:rPr>
                <w:rFonts w:hint="eastAsia" w:ascii="宋体" w:hAnsi="宋体"/>
                <w:color w:val="auto"/>
                <w:sz w:val="24"/>
                <w:highlight w:val="none"/>
              </w:rPr>
              <w:t>602-9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8CA38A2">
            <w:pPr>
              <w:jc w:val="left"/>
              <w:rPr>
                <w:rFonts w:hint="eastAsia" w:ascii="宋体" w:hAnsi="宋体"/>
                <w:color w:val="auto"/>
                <w:sz w:val="24"/>
                <w:highlight w:val="none"/>
              </w:rPr>
            </w:pPr>
            <w:r>
              <w:rPr>
                <w:rFonts w:hint="eastAsia" w:ascii="宋体" w:hAnsi="宋体"/>
                <w:color w:val="auto"/>
                <w:sz w:val="24"/>
                <w:highlight w:val="none"/>
              </w:rPr>
              <w:t>人行道护栏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074924">
            <w:pPr>
              <w:jc w:val="left"/>
              <w:rPr>
                <w:rFonts w:hint="eastAsia" w:ascii="宋体" w:hAnsi="宋体"/>
                <w:color w:val="auto"/>
                <w:sz w:val="24"/>
                <w:highlight w:val="none"/>
              </w:rPr>
            </w:pPr>
            <w:r>
              <w:rPr>
                <w:rFonts w:hint="eastAsia" w:ascii="宋体" w:hAnsi="宋体"/>
                <w:color w:val="auto"/>
                <w:sz w:val="24"/>
                <w:highlight w:val="none"/>
              </w:rPr>
              <w:t>m</w:t>
            </w:r>
          </w:p>
        </w:tc>
      </w:tr>
    </w:tbl>
    <w:p w14:paraId="2158AC27">
      <w:pPr>
        <w:spacing w:line="360" w:lineRule="auto"/>
        <w:ind w:firstLine="480"/>
        <w:jc w:val="left"/>
        <w:rPr>
          <w:rFonts w:hint="eastAsia" w:ascii="宋体" w:hAnsi="宋体"/>
          <w:color w:val="auto"/>
          <w:sz w:val="24"/>
          <w:highlight w:val="none"/>
        </w:rPr>
      </w:pPr>
    </w:p>
    <w:p w14:paraId="410303FD">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第603节  隔离栅和防落网</w:t>
      </w:r>
    </w:p>
    <w:p w14:paraId="63B6BDBE">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1D8077CF">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隔离栅应安装就位并经验收，分别按铁丝编织网隔离栅、剌铁丝隔离栅、钢板网隔离栅、电焊网隔离栅等，从端柱外侧沿隔离栅中部丈量，以米计量。</w:t>
      </w:r>
      <w:r>
        <w:rPr>
          <w:rFonts w:hint="eastAsia" w:ascii="宋体" w:hAnsi="宋体"/>
          <w:color w:val="auto"/>
          <w:sz w:val="24"/>
          <w:highlight w:val="none"/>
        </w:rPr>
        <w:t>基础、立柱及</w:t>
      </w:r>
      <w:r>
        <w:rPr>
          <w:rFonts w:ascii="宋体" w:hAnsi="宋体"/>
          <w:color w:val="auto"/>
          <w:sz w:val="24"/>
          <w:highlight w:val="none"/>
        </w:rPr>
        <w:t>紧固件等均并入隔离棚计价中，不另行计量。</w:t>
      </w:r>
    </w:p>
    <w:p w14:paraId="6BC450E0">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桥上防护网</w:t>
      </w:r>
      <w:r>
        <w:rPr>
          <w:rFonts w:hint="eastAsia" w:ascii="宋体" w:hAnsi="宋体"/>
          <w:color w:val="auto"/>
          <w:sz w:val="24"/>
          <w:highlight w:val="none"/>
        </w:rPr>
        <w:t>按材质不同分别</w:t>
      </w:r>
      <w:r>
        <w:rPr>
          <w:rFonts w:ascii="宋体" w:hAnsi="宋体"/>
          <w:color w:val="auto"/>
          <w:sz w:val="24"/>
          <w:highlight w:val="none"/>
        </w:rPr>
        <w:t>以米计量，</w:t>
      </w:r>
      <w:r>
        <w:rPr>
          <w:rFonts w:hint="eastAsia" w:ascii="宋体" w:hAnsi="宋体"/>
          <w:color w:val="auto"/>
          <w:sz w:val="24"/>
          <w:highlight w:val="none"/>
        </w:rPr>
        <w:t>立柱、</w:t>
      </w:r>
      <w:r>
        <w:rPr>
          <w:rFonts w:ascii="宋体" w:hAnsi="宋体"/>
          <w:color w:val="auto"/>
          <w:sz w:val="24"/>
          <w:highlight w:val="none"/>
        </w:rPr>
        <w:t>安设网片的支架、预埋件及紧固件等不另行计量。</w:t>
      </w:r>
    </w:p>
    <w:p w14:paraId="44E66AF0">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(3)一般标准隔离栅的基础、立柱等应作为其附属工程不单独计量。对部分特殊非标设计，钢立柱及钢筋混凝土立柱分别按类型和混凝土、钢筋分类可单独以立方米及千克（kg ）计量。招标文件对此类情况应予以明示。该计量包括安装就位并经验收，立柱斜撑不另计量。</w:t>
      </w:r>
    </w:p>
    <w:p w14:paraId="33AFD75A">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(4)砌墙隔离栅按砌筑墙体体积以立方米计量，垫层、砂浆等并入隔离栅计价中，不另行计量。</w:t>
      </w:r>
    </w:p>
    <w:p w14:paraId="0D55499D">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所需的清场、挖根、土地整平和设置地线等工程均为安装隔离栅的附属工作，不另计量。</w:t>
      </w:r>
    </w:p>
    <w:p w14:paraId="6BF3238F">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44C42444">
      <w:pPr>
        <w:pStyle w:val="4"/>
        <w:spacing w:before="0" w:line="360" w:lineRule="auto"/>
        <w:ind w:firstLine="420" w:firstLineChars="200"/>
        <w:jc w:val="left"/>
        <w:rPr>
          <w:rFonts w:hAnsi="宋体"/>
          <w:color w:val="auto"/>
          <w:szCs w:val="24"/>
          <w:highlight w:val="none"/>
        </w:rPr>
      </w:pPr>
      <w:r>
        <w:rPr>
          <w:rFonts w:hAnsi="宋体"/>
          <w:color w:val="auto"/>
          <w:szCs w:val="24"/>
          <w:highlight w:val="none"/>
        </w:rPr>
        <w:t>按上述规定计量，经监理人验收并列入了工程量清单的以下支付子目的工程量，其每一计量单位，将以合同单价支付。此项支付包括材料、劳力、设备、运输等及其他为完成隔离栅和防落网工程所必需的费用，是对完成工程的全部偿付。</w:t>
      </w:r>
    </w:p>
    <w:p w14:paraId="2F1A7F1F">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641A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1CFE1FD9">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3217AD48">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FD556F5">
            <w:pPr>
              <w:jc w:val="left"/>
              <w:rPr>
                <w:rFonts w:hint="eastAsia" w:ascii="宋体" w:hAnsi="宋体"/>
                <w:color w:val="auto"/>
                <w:sz w:val="24"/>
                <w:highlight w:val="none"/>
              </w:rPr>
            </w:pPr>
            <w:r>
              <w:rPr>
                <w:rFonts w:hint="eastAsia" w:ascii="宋体" w:hAnsi="宋体"/>
                <w:color w:val="auto"/>
                <w:sz w:val="24"/>
                <w:highlight w:val="none"/>
              </w:rPr>
              <w:t>单位</w:t>
            </w:r>
          </w:p>
        </w:tc>
      </w:tr>
      <w:tr w14:paraId="0616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3600741">
            <w:pPr>
              <w:widowControl/>
              <w:jc w:val="left"/>
              <w:rPr>
                <w:rFonts w:ascii="宋体" w:hAnsi="宋体"/>
                <w:color w:val="auto"/>
                <w:sz w:val="24"/>
                <w:highlight w:val="none"/>
              </w:rPr>
            </w:pPr>
            <w:r>
              <w:rPr>
                <w:rFonts w:hint="eastAsia" w:ascii="宋体" w:hAnsi="宋体"/>
                <w:color w:val="auto"/>
                <w:sz w:val="24"/>
                <w:highlight w:val="none"/>
              </w:rPr>
              <w:t>603</w:t>
            </w:r>
          </w:p>
        </w:tc>
        <w:tc>
          <w:tcPr>
            <w:tcW w:w="5400" w:type="dxa"/>
            <w:noWrap w:val="0"/>
            <w:vAlign w:val="bottom"/>
          </w:tcPr>
          <w:p w14:paraId="2B49284C">
            <w:pPr>
              <w:widowControl/>
              <w:jc w:val="left"/>
              <w:rPr>
                <w:rFonts w:ascii="宋体" w:hAnsi="宋体"/>
                <w:color w:val="auto"/>
                <w:sz w:val="24"/>
                <w:highlight w:val="none"/>
              </w:rPr>
            </w:pPr>
            <w:r>
              <w:rPr>
                <w:rFonts w:hint="eastAsia" w:ascii="宋体" w:hAnsi="宋体"/>
                <w:color w:val="auto"/>
                <w:sz w:val="24"/>
                <w:highlight w:val="none"/>
              </w:rPr>
              <w:t>隔离栅和桥梁防护网</w:t>
            </w:r>
          </w:p>
        </w:tc>
        <w:tc>
          <w:tcPr>
            <w:tcW w:w="1260" w:type="dxa"/>
            <w:noWrap w:val="0"/>
            <w:vAlign w:val="center"/>
          </w:tcPr>
          <w:p w14:paraId="45F06662">
            <w:pPr>
              <w:widowControl/>
              <w:jc w:val="left"/>
              <w:rPr>
                <w:rFonts w:ascii="宋体" w:hAnsi="宋体"/>
                <w:color w:val="auto"/>
                <w:sz w:val="24"/>
                <w:highlight w:val="none"/>
              </w:rPr>
            </w:pPr>
          </w:p>
        </w:tc>
      </w:tr>
      <w:tr w14:paraId="105B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CF7CAF0">
            <w:pPr>
              <w:widowControl/>
              <w:jc w:val="left"/>
              <w:rPr>
                <w:rFonts w:ascii="宋体" w:hAnsi="宋体"/>
                <w:color w:val="auto"/>
                <w:sz w:val="24"/>
                <w:highlight w:val="none"/>
              </w:rPr>
            </w:pPr>
            <w:r>
              <w:rPr>
                <w:rFonts w:hint="eastAsia" w:ascii="宋体" w:hAnsi="宋体"/>
                <w:color w:val="auto"/>
                <w:sz w:val="24"/>
                <w:highlight w:val="none"/>
              </w:rPr>
              <w:t>603-4</w:t>
            </w:r>
          </w:p>
        </w:tc>
        <w:tc>
          <w:tcPr>
            <w:tcW w:w="5400" w:type="dxa"/>
            <w:noWrap w:val="0"/>
            <w:vAlign w:val="center"/>
          </w:tcPr>
          <w:p w14:paraId="32248A27">
            <w:pPr>
              <w:widowControl/>
              <w:jc w:val="left"/>
              <w:rPr>
                <w:rFonts w:ascii="宋体" w:hAnsi="宋体"/>
                <w:color w:val="auto"/>
                <w:sz w:val="24"/>
                <w:highlight w:val="none"/>
              </w:rPr>
            </w:pPr>
            <w:r>
              <w:rPr>
                <w:rFonts w:hint="eastAsia" w:ascii="宋体" w:hAnsi="宋体"/>
                <w:color w:val="auto"/>
                <w:sz w:val="24"/>
                <w:highlight w:val="none"/>
              </w:rPr>
              <w:t>焊接网隔离栅</w:t>
            </w:r>
          </w:p>
        </w:tc>
        <w:tc>
          <w:tcPr>
            <w:tcW w:w="1260" w:type="dxa"/>
            <w:noWrap w:val="0"/>
            <w:vAlign w:val="center"/>
          </w:tcPr>
          <w:p w14:paraId="32688E48">
            <w:pPr>
              <w:widowControl/>
              <w:jc w:val="left"/>
              <w:rPr>
                <w:rFonts w:ascii="宋体" w:hAnsi="宋体"/>
                <w:color w:val="auto"/>
                <w:sz w:val="24"/>
                <w:highlight w:val="none"/>
              </w:rPr>
            </w:pPr>
          </w:p>
        </w:tc>
      </w:tr>
      <w:tr w14:paraId="4DEA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108A2BBB">
            <w:pPr>
              <w:widowControl/>
              <w:jc w:val="left"/>
              <w:rPr>
                <w:rFonts w:ascii="宋体" w:hAnsi="宋体"/>
                <w:color w:val="auto"/>
                <w:sz w:val="24"/>
                <w:highlight w:val="none"/>
              </w:rPr>
            </w:pPr>
            <w:r>
              <w:rPr>
                <w:rFonts w:hint="eastAsia" w:ascii="宋体" w:hAnsi="宋体"/>
                <w:color w:val="auto"/>
                <w:sz w:val="24"/>
                <w:highlight w:val="none"/>
              </w:rPr>
              <w:t>603-4-1</w:t>
            </w:r>
          </w:p>
        </w:tc>
        <w:tc>
          <w:tcPr>
            <w:tcW w:w="5400" w:type="dxa"/>
            <w:noWrap w:val="0"/>
            <w:vAlign w:val="center"/>
          </w:tcPr>
          <w:p w14:paraId="1BF0330B">
            <w:pPr>
              <w:widowControl/>
              <w:jc w:val="left"/>
              <w:rPr>
                <w:rFonts w:ascii="宋体" w:hAnsi="宋体"/>
                <w:color w:val="auto"/>
                <w:sz w:val="24"/>
                <w:highlight w:val="none"/>
              </w:rPr>
            </w:pPr>
            <w:r>
              <w:rPr>
                <w:rFonts w:hint="eastAsia" w:ascii="宋体" w:hAnsi="宋体"/>
                <w:color w:val="auto"/>
                <w:sz w:val="24"/>
                <w:highlight w:val="none"/>
              </w:rPr>
              <w:t>F-Ww-C</w:t>
            </w:r>
          </w:p>
        </w:tc>
        <w:tc>
          <w:tcPr>
            <w:tcW w:w="1260" w:type="dxa"/>
            <w:noWrap w:val="0"/>
            <w:vAlign w:val="center"/>
          </w:tcPr>
          <w:p w14:paraId="0B74B87A">
            <w:pPr>
              <w:widowControl/>
              <w:jc w:val="left"/>
              <w:rPr>
                <w:rFonts w:ascii="宋体" w:hAnsi="宋体"/>
                <w:color w:val="auto"/>
                <w:sz w:val="24"/>
                <w:highlight w:val="none"/>
              </w:rPr>
            </w:pPr>
            <w:r>
              <w:rPr>
                <w:rFonts w:hint="eastAsia" w:ascii="宋体" w:hAnsi="宋体"/>
                <w:color w:val="auto"/>
                <w:sz w:val="24"/>
                <w:highlight w:val="none"/>
              </w:rPr>
              <w:t>m</w:t>
            </w:r>
          </w:p>
        </w:tc>
      </w:tr>
    </w:tbl>
    <w:p w14:paraId="53353D2E">
      <w:pPr>
        <w:spacing w:line="360" w:lineRule="auto"/>
        <w:ind w:firstLine="480" w:firstLineChars="200"/>
        <w:jc w:val="left"/>
        <w:rPr>
          <w:rFonts w:hint="eastAsia" w:ascii="宋体" w:hAnsi="宋体"/>
          <w:color w:val="auto"/>
          <w:sz w:val="24"/>
          <w:highlight w:val="none"/>
        </w:rPr>
      </w:pPr>
    </w:p>
    <w:p w14:paraId="21DE36AE">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第604节  道路交通标志</w:t>
      </w:r>
    </w:p>
    <w:p w14:paraId="1D99E89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17542841">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(1)标志应按图纸规定提供、装好、埋设就位和经验收的不同种类、规格分别计量：</w:t>
      </w:r>
    </w:p>
    <w:p w14:paraId="277EF05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a.所有各式交通标志（包括基础、立柱、门架、反光膜等）均以</w:t>
      </w:r>
      <w:r>
        <w:rPr>
          <w:rFonts w:hint="eastAsia" w:ascii="宋体" w:hAnsi="宋体"/>
          <w:color w:val="auto"/>
          <w:sz w:val="24"/>
          <w:highlight w:val="none"/>
          <w:lang w:eastAsia="zh-CN"/>
        </w:rPr>
        <w:t>个</w:t>
      </w:r>
      <w:r>
        <w:rPr>
          <w:rFonts w:hint="eastAsia" w:ascii="宋体" w:hAnsi="宋体"/>
          <w:color w:val="auto"/>
          <w:sz w:val="24"/>
          <w:highlight w:val="none"/>
        </w:rPr>
        <w:t>为单位计量。</w:t>
      </w:r>
    </w:p>
    <w:p w14:paraId="66BCCF8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b.所有支承结构、底座、硬件、基础和为完成组装而需要的附件，均附属于各有关标志工程子目内，不另行计量。</w:t>
      </w:r>
    </w:p>
    <w:p w14:paraId="1539F65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(2)里程标、百米桩等均应按埋设就位和验收的数量以个为单位计量。</w:t>
      </w:r>
    </w:p>
    <w:p w14:paraId="6D46E164">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(3)公路界碑、示警桩、防撞桶应按埋设就位和验收的数量以个为单位计量。</w:t>
      </w:r>
    </w:p>
    <w:p w14:paraId="2BBF1BD2">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(4)减速带应按设置就位和验收的数量以m为单位计量。</w:t>
      </w:r>
    </w:p>
    <w:p w14:paraId="3A06B8C0">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)所有挖基、挖槽以及回填、</w:t>
      </w:r>
      <w:r>
        <w:rPr>
          <w:rFonts w:hint="eastAsia" w:ascii="宋体" w:hAnsi="宋体"/>
          <w:color w:val="auto"/>
          <w:sz w:val="24"/>
          <w:highlight w:val="none"/>
          <w:lang w:eastAsia="zh-CN"/>
        </w:rPr>
        <w:t>基础、</w:t>
      </w:r>
      <w:r>
        <w:rPr>
          <w:rFonts w:hint="eastAsia" w:ascii="宋体" w:hAnsi="宋体"/>
          <w:color w:val="auto"/>
          <w:sz w:val="24"/>
          <w:highlight w:val="none"/>
        </w:rPr>
        <w:t>压实等均为各相关工程子目的附属工作，不另予计量。凡未列入计量子目的零星工程，均含在相关工程子目内，不另予计量。</w:t>
      </w:r>
    </w:p>
    <w:p w14:paraId="44FACAFA">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2.支付</w:t>
      </w:r>
    </w:p>
    <w:p w14:paraId="0DFD9F96">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等及其他为完成交通标志安装工程所必需的费用，是对完成工程的全部偿付。</w:t>
      </w:r>
    </w:p>
    <w:p w14:paraId="30909F4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6861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2096636">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B37BF1F">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6312BA0">
            <w:pPr>
              <w:jc w:val="left"/>
              <w:rPr>
                <w:rFonts w:hint="eastAsia" w:ascii="宋体" w:hAnsi="宋体"/>
                <w:color w:val="auto"/>
                <w:sz w:val="24"/>
                <w:highlight w:val="none"/>
              </w:rPr>
            </w:pPr>
            <w:r>
              <w:rPr>
                <w:rFonts w:hint="eastAsia" w:ascii="宋体" w:hAnsi="宋体"/>
                <w:color w:val="auto"/>
                <w:sz w:val="24"/>
                <w:highlight w:val="none"/>
              </w:rPr>
              <w:t>单位</w:t>
            </w:r>
          </w:p>
        </w:tc>
      </w:tr>
      <w:tr w14:paraId="621A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A8E80FF">
            <w:pPr>
              <w:widowControl/>
              <w:jc w:val="left"/>
              <w:rPr>
                <w:rFonts w:ascii="宋体" w:hAnsi="宋体"/>
                <w:color w:val="auto"/>
                <w:sz w:val="24"/>
                <w:highlight w:val="none"/>
              </w:rPr>
            </w:pPr>
            <w:r>
              <w:rPr>
                <w:rFonts w:hint="eastAsia" w:ascii="宋体" w:hAnsi="宋体"/>
                <w:color w:val="auto"/>
                <w:sz w:val="24"/>
                <w:highlight w:val="none"/>
              </w:rPr>
              <w:t>604</w:t>
            </w:r>
          </w:p>
        </w:tc>
        <w:tc>
          <w:tcPr>
            <w:tcW w:w="5400" w:type="dxa"/>
            <w:noWrap w:val="0"/>
            <w:vAlign w:val="center"/>
          </w:tcPr>
          <w:p w14:paraId="2E83EFB7">
            <w:pPr>
              <w:widowControl/>
              <w:jc w:val="left"/>
              <w:rPr>
                <w:rFonts w:ascii="宋体" w:hAnsi="宋体"/>
                <w:color w:val="auto"/>
                <w:sz w:val="24"/>
                <w:highlight w:val="none"/>
              </w:rPr>
            </w:pPr>
            <w:r>
              <w:rPr>
                <w:rFonts w:hint="eastAsia" w:ascii="宋体" w:hAnsi="宋体"/>
                <w:color w:val="auto"/>
                <w:sz w:val="24"/>
                <w:highlight w:val="none"/>
              </w:rPr>
              <w:t>道路交通标志</w:t>
            </w:r>
          </w:p>
        </w:tc>
        <w:tc>
          <w:tcPr>
            <w:tcW w:w="1260" w:type="dxa"/>
            <w:noWrap w:val="0"/>
            <w:vAlign w:val="center"/>
          </w:tcPr>
          <w:p w14:paraId="25726BAA">
            <w:pPr>
              <w:widowControl/>
              <w:jc w:val="left"/>
              <w:rPr>
                <w:rFonts w:ascii="宋体" w:hAnsi="宋体"/>
                <w:color w:val="auto"/>
                <w:sz w:val="24"/>
                <w:highlight w:val="none"/>
              </w:rPr>
            </w:pPr>
          </w:p>
        </w:tc>
      </w:tr>
      <w:tr w14:paraId="0089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6042121">
            <w:pPr>
              <w:widowControl/>
              <w:jc w:val="left"/>
              <w:rPr>
                <w:rFonts w:ascii="宋体" w:hAnsi="宋体"/>
                <w:color w:val="auto"/>
                <w:sz w:val="24"/>
                <w:highlight w:val="none"/>
              </w:rPr>
            </w:pPr>
            <w:r>
              <w:rPr>
                <w:rFonts w:hint="eastAsia" w:ascii="宋体" w:hAnsi="宋体"/>
                <w:color w:val="auto"/>
                <w:sz w:val="24"/>
                <w:highlight w:val="none"/>
              </w:rPr>
              <w:t>604-1</w:t>
            </w:r>
          </w:p>
        </w:tc>
        <w:tc>
          <w:tcPr>
            <w:tcW w:w="5400" w:type="dxa"/>
            <w:noWrap w:val="0"/>
            <w:vAlign w:val="center"/>
          </w:tcPr>
          <w:p w14:paraId="14BEFC39">
            <w:pPr>
              <w:widowControl/>
              <w:jc w:val="left"/>
              <w:rPr>
                <w:rFonts w:ascii="宋体" w:hAnsi="宋体"/>
                <w:color w:val="auto"/>
                <w:sz w:val="24"/>
                <w:highlight w:val="none"/>
              </w:rPr>
            </w:pPr>
            <w:r>
              <w:rPr>
                <w:rFonts w:hint="eastAsia" w:ascii="宋体" w:hAnsi="宋体"/>
                <w:color w:val="auto"/>
                <w:sz w:val="24"/>
                <w:highlight w:val="none"/>
              </w:rPr>
              <w:t>单柱式交通标志</w:t>
            </w:r>
          </w:p>
        </w:tc>
        <w:tc>
          <w:tcPr>
            <w:tcW w:w="1260" w:type="dxa"/>
            <w:noWrap w:val="0"/>
            <w:vAlign w:val="center"/>
          </w:tcPr>
          <w:p w14:paraId="62347611">
            <w:pPr>
              <w:widowControl/>
              <w:jc w:val="left"/>
              <w:rPr>
                <w:rFonts w:ascii="宋体" w:hAnsi="宋体"/>
                <w:color w:val="auto"/>
                <w:sz w:val="24"/>
                <w:highlight w:val="none"/>
              </w:rPr>
            </w:pPr>
          </w:p>
        </w:tc>
      </w:tr>
      <w:tr w14:paraId="3E6B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51DB6F4">
            <w:pPr>
              <w:widowControl/>
              <w:jc w:val="left"/>
              <w:rPr>
                <w:rFonts w:ascii="宋体" w:hAnsi="宋体"/>
                <w:color w:val="auto"/>
                <w:sz w:val="24"/>
                <w:highlight w:val="none"/>
              </w:rPr>
            </w:pPr>
            <w:r>
              <w:rPr>
                <w:rFonts w:hint="eastAsia" w:ascii="宋体" w:hAnsi="宋体"/>
                <w:color w:val="auto"/>
                <w:sz w:val="24"/>
                <w:highlight w:val="none"/>
              </w:rPr>
              <w:t>604-1-1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EB45827">
            <w:pPr>
              <w:widowControl/>
              <w:jc w:val="left"/>
              <w:rPr>
                <w:rFonts w:hint="eastAsia" w:ascii="宋体" w:hAnsi="宋体"/>
                <w:color w:val="auto"/>
                <w:sz w:val="24"/>
                <w:highlight w:val="none"/>
              </w:rPr>
            </w:pPr>
            <w:r>
              <w:rPr>
                <w:rFonts w:hint="eastAsia" w:ascii="宋体" w:hAnsi="宋体"/>
                <w:color w:val="auto"/>
                <w:sz w:val="24"/>
                <w:highlight w:val="none"/>
              </w:rPr>
              <w:t>φ89x4.5x2450mm(配80x80cm+64x44cm(双面反光膜)</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79BA16">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7DD5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E08C170">
            <w:pPr>
              <w:widowControl/>
              <w:jc w:val="left"/>
              <w:rPr>
                <w:rFonts w:hint="eastAsia" w:ascii="宋体" w:hAnsi="宋体"/>
                <w:color w:val="auto"/>
                <w:sz w:val="24"/>
                <w:highlight w:val="none"/>
              </w:rPr>
            </w:pPr>
            <w:r>
              <w:rPr>
                <w:rFonts w:hint="eastAsia" w:ascii="宋体" w:hAnsi="宋体"/>
                <w:color w:val="auto"/>
                <w:sz w:val="24"/>
                <w:highlight w:val="none"/>
              </w:rPr>
              <w:t>604-1-2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92FC1F">
            <w:pPr>
              <w:widowControl/>
              <w:jc w:val="left"/>
              <w:rPr>
                <w:rFonts w:hint="eastAsia" w:ascii="宋体" w:hAnsi="宋体"/>
                <w:color w:val="auto"/>
                <w:sz w:val="24"/>
                <w:highlight w:val="none"/>
              </w:rPr>
            </w:pPr>
            <w:r>
              <w:rPr>
                <w:rFonts w:hint="eastAsia" w:ascii="宋体" w:hAnsi="宋体"/>
                <w:color w:val="auto"/>
                <w:sz w:val="24"/>
                <w:highlight w:val="none"/>
              </w:rPr>
              <w:t>φ89x4.5x3000mm(配L=249mm标志牌)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D2D292">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4B2B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6BE42C4">
            <w:pPr>
              <w:widowControl/>
              <w:jc w:val="left"/>
              <w:rPr>
                <w:rFonts w:hint="eastAsia" w:ascii="宋体" w:hAnsi="宋体"/>
                <w:color w:val="auto"/>
                <w:sz w:val="24"/>
                <w:highlight w:val="none"/>
              </w:rPr>
            </w:pPr>
            <w:r>
              <w:rPr>
                <w:rFonts w:hint="eastAsia" w:ascii="宋体" w:hAnsi="宋体"/>
                <w:color w:val="auto"/>
                <w:sz w:val="24"/>
                <w:highlight w:val="none"/>
              </w:rPr>
              <w:t>604-1-3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CEAEACD">
            <w:pPr>
              <w:widowControl/>
              <w:jc w:val="left"/>
              <w:rPr>
                <w:rFonts w:hint="eastAsia" w:ascii="宋体" w:hAnsi="宋体"/>
                <w:color w:val="auto"/>
                <w:sz w:val="24"/>
                <w:highlight w:val="none"/>
              </w:rPr>
            </w:pPr>
            <w:r>
              <w:rPr>
                <w:rFonts w:hint="eastAsia" w:ascii="宋体" w:hAnsi="宋体"/>
                <w:color w:val="auto"/>
                <w:sz w:val="24"/>
                <w:highlight w:val="none"/>
              </w:rPr>
              <w:t>φ89x4.5x3150mm(配D=80cm标志牌)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ACA21F">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380D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255947A">
            <w:pPr>
              <w:widowControl/>
              <w:jc w:val="left"/>
              <w:rPr>
                <w:rFonts w:hint="eastAsia" w:ascii="宋体" w:hAnsi="宋体"/>
                <w:color w:val="auto"/>
                <w:sz w:val="24"/>
                <w:highlight w:val="none"/>
              </w:rPr>
            </w:pPr>
            <w:r>
              <w:rPr>
                <w:rFonts w:hint="eastAsia" w:ascii="宋体" w:hAnsi="宋体"/>
                <w:color w:val="auto"/>
                <w:sz w:val="24"/>
                <w:highlight w:val="none"/>
              </w:rPr>
              <w:t>604-1-4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BCB652E">
            <w:pPr>
              <w:widowControl/>
              <w:jc w:val="left"/>
              <w:rPr>
                <w:rFonts w:hint="eastAsia" w:ascii="宋体" w:hAnsi="宋体"/>
                <w:color w:val="auto"/>
                <w:sz w:val="24"/>
                <w:highlight w:val="none"/>
              </w:rPr>
            </w:pPr>
            <w:r>
              <w:rPr>
                <w:rFonts w:hint="eastAsia" w:ascii="宋体" w:hAnsi="宋体"/>
                <w:color w:val="auto"/>
                <w:sz w:val="24"/>
                <w:highlight w:val="none"/>
              </w:rPr>
              <w:t>φ89x4.5x2950mm(配A=90cm标志牌)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E6AA96">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2E87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D00A1B8">
            <w:pPr>
              <w:widowControl/>
              <w:jc w:val="left"/>
              <w:rPr>
                <w:rFonts w:hint="eastAsia" w:ascii="宋体" w:hAnsi="宋体"/>
                <w:color w:val="auto"/>
                <w:sz w:val="24"/>
                <w:highlight w:val="none"/>
              </w:rPr>
            </w:pPr>
            <w:r>
              <w:rPr>
                <w:rFonts w:hint="eastAsia" w:ascii="宋体" w:hAnsi="宋体"/>
                <w:color w:val="auto"/>
                <w:sz w:val="24"/>
                <w:highlight w:val="none"/>
              </w:rPr>
              <w:t>604-1-5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86928D">
            <w:pPr>
              <w:widowControl/>
              <w:jc w:val="left"/>
              <w:rPr>
                <w:rFonts w:hint="eastAsia" w:ascii="宋体" w:hAnsi="宋体"/>
                <w:color w:val="auto"/>
                <w:sz w:val="24"/>
                <w:highlight w:val="none"/>
              </w:rPr>
            </w:pPr>
            <w:r>
              <w:rPr>
                <w:rFonts w:hint="eastAsia" w:ascii="宋体" w:hAnsi="宋体"/>
                <w:color w:val="auto"/>
                <w:sz w:val="24"/>
                <w:highlight w:val="none"/>
              </w:rPr>
              <w:t>DN125镀锌钢管单立柱(配117.2x35.2cm标志牌)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D276CF">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3E5F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280EE44">
            <w:pPr>
              <w:widowControl/>
              <w:jc w:val="left"/>
              <w:rPr>
                <w:rFonts w:hint="eastAsia" w:ascii="宋体" w:hAnsi="宋体"/>
                <w:color w:val="auto"/>
                <w:sz w:val="24"/>
                <w:highlight w:val="none"/>
              </w:rPr>
            </w:pPr>
            <w:r>
              <w:rPr>
                <w:rFonts w:hint="eastAsia" w:ascii="宋体" w:hAnsi="宋体"/>
                <w:color w:val="auto"/>
                <w:sz w:val="24"/>
                <w:highlight w:val="none"/>
              </w:rPr>
              <w:t>604-5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5C4712">
            <w:pPr>
              <w:widowControl/>
              <w:jc w:val="left"/>
              <w:rPr>
                <w:rFonts w:hint="eastAsia" w:ascii="宋体" w:hAnsi="宋体"/>
                <w:color w:val="auto"/>
                <w:sz w:val="24"/>
                <w:highlight w:val="none"/>
              </w:rPr>
            </w:pPr>
            <w:r>
              <w:rPr>
                <w:rFonts w:hint="eastAsia" w:ascii="宋体" w:hAnsi="宋体"/>
                <w:color w:val="auto"/>
                <w:sz w:val="24"/>
                <w:highlight w:val="none"/>
              </w:rPr>
              <w:t>单悬臂式交通标志</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D7717DB">
            <w:pPr>
              <w:widowControl/>
              <w:jc w:val="left"/>
              <w:rPr>
                <w:rFonts w:hint="eastAsia" w:ascii="宋体" w:hAnsi="宋体"/>
                <w:color w:val="auto"/>
                <w:sz w:val="24"/>
                <w:highlight w:val="none"/>
              </w:rPr>
            </w:pPr>
          </w:p>
        </w:tc>
      </w:tr>
      <w:tr w14:paraId="1C15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2F85EAA">
            <w:pPr>
              <w:widowControl/>
              <w:jc w:val="left"/>
              <w:rPr>
                <w:rFonts w:hint="eastAsia" w:ascii="宋体" w:hAnsi="宋体"/>
                <w:color w:val="auto"/>
                <w:sz w:val="24"/>
                <w:highlight w:val="none"/>
              </w:rPr>
            </w:pPr>
            <w:r>
              <w:rPr>
                <w:rFonts w:hint="eastAsia" w:ascii="宋体" w:hAnsi="宋体"/>
                <w:color w:val="auto"/>
                <w:sz w:val="24"/>
                <w:highlight w:val="none"/>
              </w:rPr>
              <w:t>604-5-1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67CD98">
            <w:pPr>
              <w:widowControl/>
              <w:jc w:val="left"/>
              <w:rPr>
                <w:rFonts w:hint="eastAsia" w:ascii="宋体" w:hAnsi="宋体"/>
                <w:color w:val="auto"/>
                <w:sz w:val="24"/>
                <w:highlight w:val="none"/>
              </w:rPr>
            </w:pPr>
            <w:r>
              <w:rPr>
                <w:rFonts w:hint="eastAsia" w:ascii="宋体" w:hAnsi="宋体"/>
                <w:color w:val="auto"/>
                <w:sz w:val="24"/>
                <w:highlight w:val="none"/>
              </w:rPr>
              <w:t>7.5m立柱 单悬臂长6m(长方形5m宽*2.4m高标志牌)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6939E3B">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7908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2478FA2">
            <w:pPr>
              <w:widowControl/>
              <w:jc w:val="left"/>
              <w:rPr>
                <w:rFonts w:hint="eastAsia" w:ascii="宋体" w:hAnsi="宋体"/>
                <w:color w:val="auto"/>
                <w:sz w:val="24"/>
                <w:highlight w:val="none"/>
              </w:rPr>
            </w:pPr>
            <w:r>
              <w:rPr>
                <w:rFonts w:hint="eastAsia" w:ascii="宋体" w:hAnsi="宋体"/>
                <w:color w:val="auto"/>
                <w:sz w:val="24"/>
                <w:highlight w:val="none"/>
              </w:rPr>
              <w:t>604-5-2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B9B823A">
            <w:pPr>
              <w:widowControl/>
              <w:jc w:val="left"/>
              <w:rPr>
                <w:rFonts w:hint="eastAsia" w:ascii="宋体" w:hAnsi="宋体"/>
                <w:color w:val="auto"/>
                <w:sz w:val="24"/>
                <w:highlight w:val="none"/>
              </w:rPr>
            </w:pPr>
            <w:r>
              <w:rPr>
                <w:rFonts w:hint="eastAsia" w:ascii="宋体" w:hAnsi="宋体"/>
                <w:color w:val="auto"/>
                <w:sz w:val="24"/>
                <w:highlight w:val="none"/>
              </w:rPr>
              <w:t>7.5m立柱 单悬臂长6m(长方形5m宽*3m高标志牌)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470F953">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0A89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CFCBE78">
            <w:pPr>
              <w:widowControl/>
              <w:jc w:val="left"/>
              <w:rPr>
                <w:rFonts w:hint="eastAsia" w:ascii="宋体" w:hAnsi="宋体"/>
                <w:color w:val="auto"/>
                <w:sz w:val="24"/>
                <w:highlight w:val="none"/>
              </w:rPr>
            </w:pPr>
            <w:r>
              <w:rPr>
                <w:rFonts w:hint="eastAsia" w:ascii="宋体" w:hAnsi="宋体"/>
                <w:color w:val="auto"/>
                <w:sz w:val="24"/>
                <w:highlight w:val="none"/>
              </w:rPr>
              <w:t>604-5-3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45C8A1D">
            <w:pPr>
              <w:widowControl/>
              <w:jc w:val="left"/>
              <w:rPr>
                <w:rFonts w:hint="eastAsia" w:ascii="宋体" w:hAnsi="宋体"/>
                <w:color w:val="auto"/>
                <w:sz w:val="24"/>
                <w:highlight w:val="none"/>
              </w:rPr>
            </w:pPr>
            <w:r>
              <w:rPr>
                <w:rFonts w:hint="eastAsia" w:ascii="宋体" w:hAnsi="宋体"/>
                <w:color w:val="auto"/>
                <w:sz w:val="24"/>
                <w:highlight w:val="none"/>
              </w:rPr>
              <w:t>更换周边道路指路牌5mX2.4m反光膜</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8A1D6B">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473E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03A961A">
            <w:pPr>
              <w:widowControl/>
              <w:jc w:val="left"/>
              <w:rPr>
                <w:rFonts w:hint="eastAsia" w:ascii="宋体" w:hAnsi="宋体"/>
                <w:color w:val="auto"/>
                <w:sz w:val="24"/>
                <w:highlight w:val="none"/>
              </w:rPr>
            </w:pPr>
            <w:r>
              <w:rPr>
                <w:rFonts w:hint="eastAsia" w:ascii="宋体" w:hAnsi="宋体"/>
                <w:color w:val="auto"/>
                <w:sz w:val="24"/>
                <w:highlight w:val="none"/>
              </w:rPr>
              <w:t>604-7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B22131C">
            <w:pPr>
              <w:widowControl/>
              <w:jc w:val="left"/>
              <w:rPr>
                <w:rFonts w:hint="eastAsia" w:ascii="宋体" w:hAnsi="宋体"/>
                <w:color w:val="auto"/>
                <w:sz w:val="24"/>
                <w:highlight w:val="none"/>
              </w:rPr>
            </w:pPr>
            <w:r>
              <w:rPr>
                <w:rFonts w:hint="eastAsia" w:ascii="宋体" w:hAnsi="宋体"/>
                <w:color w:val="auto"/>
                <w:sz w:val="24"/>
                <w:highlight w:val="none"/>
              </w:rPr>
              <w:t>悬挂（附着）式交通标志</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800A282">
            <w:pPr>
              <w:widowControl/>
              <w:jc w:val="left"/>
              <w:rPr>
                <w:rFonts w:hint="eastAsia" w:ascii="宋体" w:hAnsi="宋体"/>
                <w:color w:val="auto"/>
                <w:sz w:val="24"/>
                <w:highlight w:val="none"/>
              </w:rPr>
            </w:pPr>
          </w:p>
        </w:tc>
      </w:tr>
      <w:tr w14:paraId="6571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5B615BA">
            <w:pPr>
              <w:widowControl/>
              <w:jc w:val="left"/>
              <w:rPr>
                <w:rFonts w:hint="eastAsia" w:ascii="宋体" w:hAnsi="宋体"/>
                <w:color w:val="auto"/>
                <w:sz w:val="24"/>
                <w:highlight w:val="none"/>
              </w:rPr>
            </w:pPr>
            <w:r>
              <w:rPr>
                <w:rFonts w:hint="eastAsia" w:ascii="宋体" w:hAnsi="宋体"/>
                <w:color w:val="auto"/>
                <w:sz w:val="24"/>
                <w:highlight w:val="none"/>
              </w:rPr>
              <w:t>604-7-1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ACD799">
            <w:pPr>
              <w:widowControl/>
              <w:jc w:val="left"/>
              <w:rPr>
                <w:rFonts w:hint="eastAsia" w:ascii="宋体" w:hAnsi="宋体"/>
                <w:color w:val="auto"/>
                <w:sz w:val="24"/>
                <w:highlight w:val="none"/>
              </w:rPr>
            </w:pPr>
            <w:r>
              <w:rPr>
                <w:rFonts w:hint="eastAsia" w:ascii="宋体" w:hAnsi="宋体"/>
                <w:color w:val="auto"/>
                <w:sz w:val="24"/>
                <w:highlight w:val="none"/>
              </w:rPr>
              <w:t>80x80cm+64x44cm(双面反光膜)标志牌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A4A3FA">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540D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6D0653B">
            <w:pPr>
              <w:widowControl/>
              <w:jc w:val="left"/>
              <w:rPr>
                <w:rFonts w:hint="eastAsia" w:ascii="宋体" w:hAnsi="宋体"/>
                <w:color w:val="auto"/>
                <w:sz w:val="24"/>
                <w:highlight w:val="none"/>
              </w:rPr>
            </w:pPr>
            <w:r>
              <w:rPr>
                <w:rFonts w:hint="eastAsia" w:ascii="宋体" w:hAnsi="宋体"/>
                <w:color w:val="auto"/>
                <w:sz w:val="24"/>
                <w:highlight w:val="none"/>
              </w:rPr>
              <w:t>604-7-2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02A8F42">
            <w:pPr>
              <w:widowControl/>
              <w:jc w:val="left"/>
              <w:rPr>
                <w:rFonts w:hint="eastAsia" w:ascii="宋体" w:hAnsi="宋体"/>
                <w:color w:val="auto"/>
                <w:sz w:val="24"/>
                <w:highlight w:val="none"/>
              </w:rPr>
            </w:pPr>
            <w:r>
              <w:rPr>
                <w:rFonts w:hint="eastAsia" w:ascii="宋体" w:hAnsi="宋体"/>
                <w:color w:val="auto"/>
                <w:sz w:val="24"/>
                <w:highlight w:val="none"/>
              </w:rPr>
              <w:t>A=90cm+A=90cm(双面)标志牌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2D94A2">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3B7F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58C2D81">
            <w:pPr>
              <w:widowControl/>
              <w:jc w:val="left"/>
              <w:rPr>
                <w:rFonts w:hint="eastAsia" w:ascii="宋体" w:hAnsi="宋体"/>
                <w:color w:val="auto"/>
                <w:sz w:val="24"/>
                <w:highlight w:val="none"/>
              </w:rPr>
            </w:pPr>
            <w:r>
              <w:rPr>
                <w:rFonts w:hint="eastAsia" w:ascii="宋体" w:hAnsi="宋体"/>
                <w:color w:val="auto"/>
                <w:sz w:val="24"/>
                <w:highlight w:val="none"/>
              </w:rPr>
              <w:t>604-7-3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FC77C0F">
            <w:pPr>
              <w:widowControl/>
              <w:jc w:val="left"/>
              <w:rPr>
                <w:rFonts w:hint="eastAsia" w:ascii="宋体" w:hAnsi="宋体"/>
                <w:color w:val="auto"/>
                <w:sz w:val="24"/>
                <w:highlight w:val="none"/>
              </w:rPr>
            </w:pPr>
            <w:r>
              <w:rPr>
                <w:rFonts w:hint="eastAsia" w:ascii="宋体" w:hAnsi="宋体"/>
                <w:color w:val="auto"/>
                <w:sz w:val="24"/>
                <w:highlight w:val="none"/>
              </w:rPr>
              <w:t>A=90cm标志牌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69BF2A">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7934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FD56BF7">
            <w:pPr>
              <w:widowControl/>
              <w:jc w:val="left"/>
              <w:rPr>
                <w:rFonts w:hint="eastAsia" w:ascii="宋体" w:hAnsi="宋体"/>
                <w:color w:val="auto"/>
                <w:sz w:val="24"/>
                <w:highlight w:val="none"/>
              </w:rPr>
            </w:pPr>
            <w:r>
              <w:rPr>
                <w:rFonts w:hint="eastAsia" w:ascii="宋体" w:hAnsi="宋体"/>
                <w:color w:val="auto"/>
                <w:sz w:val="24"/>
                <w:highlight w:val="none"/>
              </w:rPr>
              <w:t>604-7-4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980AAE4">
            <w:pPr>
              <w:widowControl/>
              <w:jc w:val="left"/>
              <w:rPr>
                <w:rFonts w:hint="eastAsia" w:ascii="宋体" w:hAnsi="宋体"/>
                <w:color w:val="auto"/>
                <w:sz w:val="24"/>
                <w:highlight w:val="none"/>
              </w:rPr>
            </w:pPr>
            <w:r>
              <w:rPr>
                <w:rFonts w:hint="eastAsia" w:ascii="宋体" w:hAnsi="宋体"/>
                <w:color w:val="auto"/>
                <w:sz w:val="24"/>
                <w:highlight w:val="none"/>
              </w:rPr>
              <w:t>D=80cm标志牌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AD6F32A">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1C10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89220EA">
            <w:pPr>
              <w:widowControl/>
              <w:jc w:val="left"/>
              <w:rPr>
                <w:rFonts w:hint="eastAsia" w:ascii="宋体" w:hAnsi="宋体"/>
                <w:color w:val="auto"/>
                <w:sz w:val="24"/>
                <w:highlight w:val="none"/>
              </w:rPr>
            </w:pPr>
            <w:r>
              <w:rPr>
                <w:rFonts w:hint="eastAsia" w:ascii="宋体" w:hAnsi="宋体"/>
                <w:color w:val="auto"/>
                <w:sz w:val="24"/>
                <w:highlight w:val="none"/>
              </w:rPr>
              <w:t>604-7-5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71B4D4C">
            <w:pPr>
              <w:widowControl/>
              <w:jc w:val="left"/>
              <w:rPr>
                <w:rFonts w:hint="eastAsia" w:ascii="宋体" w:hAnsi="宋体"/>
                <w:color w:val="auto"/>
                <w:sz w:val="24"/>
                <w:highlight w:val="none"/>
              </w:rPr>
            </w:pPr>
            <w:r>
              <w:rPr>
                <w:rFonts w:hint="eastAsia" w:ascii="宋体" w:hAnsi="宋体"/>
                <w:color w:val="auto"/>
                <w:sz w:val="24"/>
                <w:highlight w:val="none"/>
              </w:rPr>
              <w:t>1mx2m(双面)标志牌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E8A2D9">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12D3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EA85CD6">
            <w:pPr>
              <w:widowControl/>
              <w:jc w:val="left"/>
              <w:rPr>
                <w:rFonts w:hint="eastAsia" w:ascii="宋体" w:hAnsi="宋体"/>
                <w:color w:val="auto"/>
                <w:sz w:val="24"/>
                <w:highlight w:val="none"/>
              </w:rPr>
            </w:pPr>
            <w:r>
              <w:rPr>
                <w:rFonts w:hint="eastAsia" w:ascii="宋体" w:hAnsi="宋体"/>
                <w:color w:val="auto"/>
                <w:sz w:val="24"/>
                <w:highlight w:val="none"/>
              </w:rPr>
              <w:t>604-9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52059AE">
            <w:pPr>
              <w:widowControl/>
              <w:jc w:val="left"/>
              <w:rPr>
                <w:rFonts w:hint="eastAsia" w:ascii="宋体" w:hAnsi="宋体"/>
                <w:color w:val="auto"/>
                <w:sz w:val="24"/>
                <w:highlight w:val="none"/>
              </w:rPr>
            </w:pPr>
            <w:r>
              <w:rPr>
                <w:rFonts w:hint="eastAsia" w:ascii="宋体" w:hAnsi="宋体"/>
                <w:color w:val="auto"/>
                <w:sz w:val="24"/>
                <w:highlight w:val="none"/>
              </w:rPr>
              <w:t>公路界碑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6E07F3">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0505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89B0C09">
            <w:pPr>
              <w:widowControl/>
              <w:jc w:val="left"/>
              <w:rPr>
                <w:rFonts w:hint="eastAsia" w:ascii="宋体" w:hAnsi="宋体"/>
                <w:color w:val="auto"/>
                <w:sz w:val="24"/>
                <w:highlight w:val="none"/>
              </w:rPr>
            </w:pPr>
            <w:r>
              <w:rPr>
                <w:rFonts w:hint="eastAsia" w:ascii="宋体" w:hAnsi="宋体"/>
                <w:color w:val="auto"/>
                <w:sz w:val="24"/>
                <w:highlight w:val="none"/>
              </w:rPr>
              <w:t>604-11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1B84AF">
            <w:pPr>
              <w:widowControl/>
              <w:jc w:val="left"/>
              <w:rPr>
                <w:rFonts w:hint="eastAsia" w:ascii="宋体" w:hAnsi="宋体"/>
                <w:color w:val="auto"/>
                <w:sz w:val="24"/>
                <w:highlight w:val="none"/>
              </w:rPr>
            </w:pPr>
            <w:r>
              <w:rPr>
                <w:rFonts w:hint="eastAsia" w:ascii="宋体" w:hAnsi="宋体"/>
                <w:color w:val="auto"/>
                <w:sz w:val="24"/>
                <w:highlight w:val="none"/>
              </w:rPr>
              <w:t>防撞桶</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56EF94">
            <w:pPr>
              <w:widowControl/>
              <w:jc w:val="left"/>
              <w:rPr>
                <w:rFonts w:hint="eastAsia" w:ascii="宋体" w:hAnsi="宋体"/>
                <w:color w:val="auto"/>
                <w:sz w:val="24"/>
                <w:highlight w:val="none"/>
              </w:rPr>
            </w:pPr>
          </w:p>
        </w:tc>
      </w:tr>
      <w:tr w14:paraId="17E2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2B7F245">
            <w:pPr>
              <w:widowControl/>
              <w:jc w:val="left"/>
              <w:rPr>
                <w:rFonts w:hint="eastAsia" w:ascii="宋体" w:hAnsi="宋体"/>
                <w:color w:val="auto"/>
                <w:sz w:val="24"/>
                <w:highlight w:val="none"/>
              </w:rPr>
            </w:pPr>
            <w:r>
              <w:rPr>
                <w:rFonts w:hint="eastAsia" w:ascii="宋体" w:hAnsi="宋体"/>
                <w:color w:val="auto"/>
                <w:sz w:val="24"/>
                <w:highlight w:val="none"/>
              </w:rPr>
              <w:t>604-11-3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E3DBF3">
            <w:pPr>
              <w:widowControl/>
              <w:jc w:val="left"/>
              <w:rPr>
                <w:rFonts w:hint="eastAsia" w:ascii="宋体" w:hAnsi="宋体"/>
                <w:color w:val="auto"/>
                <w:sz w:val="24"/>
                <w:highlight w:val="none"/>
              </w:rPr>
            </w:pPr>
            <w:r>
              <w:rPr>
                <w:rFonts w:hint="eastAsia" w:ascii="宋体" w:hAnsi="宋体"/>
                <w:color w:val="auto"/>
                <w:sz w:val="24"/>
                <w:highlight w:val="none"/>
              </w:rPr>
              <w:t>防撞桶950*950</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2B619AB">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49AD61A6">
      <w:pPr>
        <w:spacing w:line="360" w:lineRule="auto"/>
        <w:ind w:firstLine="480" w:firstLineChars="200"/>
        <w:jc w:val="left"/>
        <w:rPr>
          <w:rFonts w:hint="eastAsia" w:ascii="宋体" w:hAnsi="宋体"/>
          <w:color w:val="auto"/>
          <w:sz w:val="24"/>
          <w:highlight w:val="none"/>
        </w:rPr>
      </w:pPr>
    </w:p>
    <w:p w14:paraId="18183A50">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第60</w:t>
      </w:r>
      <w:r>
        <w:rPr>
          <w:rFonts w:ascii="宋体" w:hAnsi="宋体"/>
          <w:b/>
          <w:color w:val="auto"/>
          <w:sz w:val="28"/>
          <w:szCs w:val="28"/>
          <w:highlight w:val="none"/>
        </w:rPr>
        <w:t>5</w:t>
      </w:r>
      <w:r>
        <w:rPr>
          <w:rFonts w:hint="eastAsia" w:ascii="宋体" w:hAnsi="宋体"/>
          <w:b/>
          <w:color w:val="auto"/>
          <w:sz w:val="28"/>
          <w:szCs w:val="28"/>
          <w:highlight w:val="none"/>
        </w:rPr>
        <w:t>节  道路交通标线</w:t>
      </w:r>
    </w:p>
    <w:p w14:paraId="21A655F9">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5E1B9031">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(1)路面标线应按图纸所示，经检查验收后，以热熔型涂料、溶剂常温涂料和溶剂加热涂料、水性涂料、树脂防滑涂料、预成型标线带标线的涂敷实际面积，以平方米为单位计量。反光型的路面标线玻璃珠应包含在涂敷面积内，不另计量。</w:t>
      </w:r>
    </w:p>
    <w:p w14:paraId="73B5D19C">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(2)突起路标安装就位，经检查验收后以个计量。</w:t>
      </w:r>
    </w:p>
    <w:p w14:paraId="6FA41010">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(3)轮廓标安装就位，经检查验收后以个计量。</w:t>
      </w:r>
    </w:p>
    <w:p w14:paraId="7103BA17">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(4)立面标记设置经检查验收后以平方米计量。</w:t>
      </w:r>
    </w:p>
    <w:p w14:paraId="56F86B65">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(5)锥形交通路标安装就位经检查验收后以个数计量。</w:t>
      </w:r>
    </w:p>
    <w:p w14:paraId="2D6E6CCD">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11EF7544">
      <w:pPr>
        <w:spacing w:line="360" w:lineRule="auto"/>
        <w:ind w:firstLine="54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检验、运输等及其他为完成交通标线工程所必需的费用，是对完成工程的全部偿付。</w:t>
      </w:r>
    </w:p>
    <w:p w14:paraId="28EFB8A2">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07F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53BBA255">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52F6D24D">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260A99FC">
            <w:pPr>
              <w:jc w:val="left"/>
              <w:rPr>
                <w:rFonts w:hint="eastAsia" w:ascii="宋体" w:hAnsi="宋体"/>
                <w:color w:val="auto"/>
                <w:sz w:val="24"/>
                <w:highlight w:val="none"/>
              </w:rPr>
            </w:pPr>
            <w:r>
              <w:rPr>
                <w:rFonts w:hint="eastAsia" w:ascii="宋体" w:hAnsi="宋体"/>
                <w:color w:val="auto"/>
                <w:sz w:val="24"/>
                <w:highlight w:val="none"/>
              </w:rPr>
              <w:t>单位</w:t>
            </w:r>
          </w:p>
        </w:tc>
      </w:tr>
      <w:tr w14:paraId="7C32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0136F788">
            <w:pPr>
              <w:widowControl/>
              <w:jc w:val="left"/>
              <w:rPr>
                <w:rFonts w:ascii="宋体" w:hAnsi="宋体"/>
                <w:color w:val="auto"/>
                <w:sz w:val="24"/>
                <w:highlight w:val="none"/>
              </w:rPr>
            </w:pPr>
            <w:r>
              <w:rPr>
                <w:rFonts w:hint="eastAsia" w:ascii="宋体" w:hAnsi="宋体"/>
                <w:color w:val="auto"/>
                <w:sz w:val="24"/>
                <w:highlight w:val="none"/>
              </w:rPr>
              <w:t>605</w:t>
            </w:r>
          </w:p>
        </w:tc>
        <w:tc>
          <w:tcPr>
            <w:tcW w:w="5400" w:type="dxa"/>
            <w:noWrap w:val="0"/>
            <w:vAlign w:val="center"/>
          </w:tcPr>
          <w:p w14:paraId="6A5FC798">
            <w:pPr>
              <w:widowControl/>
              <w:jc w:val="left"/>
              <w:rPr>
                <w:rFonts w:ascii="宋体" w:hAnsi="宋体"/>
                <w:color w:val="auto"/>
                <w:sz w:val="24"/>
                <w:highlight w:val="none"/>
              </w:rPr>
            </w:pPr>
            <w:r>
              <w:rPr>
                <w:rFonts w:hint="eastAsia" w:ascii="宋体" w:hAnsi="宋体"/>
                <w:color w:val="auto"/>
                <w:sz w:val="24"/>
                <w:highlight w:val="none"/>
              </w:rPr>
              <w:t>道路交通标线</w:t>
            </w:r>
          </w:p>
        </w:tc>
        <w:tc>
          <w:tcPr>
            <w:tcW w:w="1260" w:type="dxa"/>
            <w:noWrap w:val="0"/>
            <w:vAlign w:val="center"/>
          </w:tcPr>
          <w:p w14:paraId="23C39846">
            <w:pPr>
              <w:widowControl/>
              <w:jc w:val="left"/>
              <w:rPr>
                <w:rFonts w:ascii="宋体" w:hAnsi="宋体"/>
                <w:color w:val="auto"/>
                <w:sz w:val="24"/>
                <w:highlight w:val="none"/>
              </w:rPr>
            </w:pPr>
          </w:p>
        </w:tc>
      </w:tr>
      <w:tr w14:paraId="03A2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EF1A0E4">
            <w:pPr>
              <w:widowControl/>
              <w:jc w:val="left"/>
              <w:rPr>
                <w:rFonts w:ascii="宋体" w:hAnsi="宋体"/>
                <w:color w:val="auto"/>
                <w:sz w:val="24"/>
                <w:highlight w:val="none"/>
              </w:rPr>
            </w:pPr>
            <w:r>
              <w:rPr>
                <w:rFonts w:hint="eastAsia" w:ascii="宋体" w:hAnsi="宋体"/>
                <w:color w:val="auto"/>
                <w:sz w:val="24"/>
                <w:highlight w:val="none"/>
              </w:rPr>
              <w:t>605-1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788233">
            <w:pPr>
              <w:widowControl/>
              <w:jc w:val="left"/>
              <w:rPr>
                <w:rFonts w:hint="eastAsia" w:ascii="宋体" w:hAnsi="宋体"/>
                <w:color w:val="auto"/>
                <w:sz w:val="24"/>
                <w:highlight w:val="none"/>
              </w:rPr>
            </w:pPr>
            <w:r>
              <w:rPr>
                <w:rFonts w:hint="eastAsia" w:ascii="宋体" w:hAnsi="宋体"/>
                <w:color w:val="auto"/>
                <w:sz w:val="24"/>
                <w:highlight w:val="none"/>
              </w:rPr>
              <w:t>热熔型涂料路面标线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9AE44A">
            <w:pPr>
              <w:widowControl/>
              <w:jc w:val="left"/>
              <w:rPr>
                <w:rFonts w:hint="eastAsia" w:ascii="宋体" w:hAnsi="宋体"/>
                <w:color w:val="auto"/>
                <w:sz w:val="24"/>
                <w:highlight w:val="none"/>
              </w:rPr>
            </w:pPr>
          </w:p>
        </w:tc>
      </w:tr>
      <w:tr w14:paraId="347A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350D3F2">
            <w:pPr>
              <w:widowControl/>
              <w:jc w:val="left"/>
              <w:rPr>
                <w:rFonts w:hint="eastAsia" w:ascii="宋体" w:hAnsi="宋体"/>
                <w:color w:val="auto"/>
                <w:sz w:val="24"/>
                <w:highlight w:val="none"/>
              </w:rPr>
            </w:pPr>
            <w:r>
              <w:rPr>
                <w:rFonts w:hint="eastAsia" w:ascii="宋体" w:hAnsi="宋体"/>
                <w:color w:val="auto"/>
                <w:sz w:val="24"/>
                <w:highlight w:val="none"/>
              </w:rPr>
              <w:t>605-1-2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343F69E">
            <w:pPr>
              <w:widowControl/>
              <w:jc w:val="left"/>
              <w:rPr>
                <w:rFonts w:hint="eastAsia" w:ascii="宋体" w:hAnsi="宋体"/>
                <w:color w:val="auto"/>
                <w:sz w:val="24"/>
                <w:highlight w:val="none"/>
              </w:rPr>
            </w:pPr>
            <w:r>
              <w:rPr>
                <w:rFonts w:hint="eastAsia" w:ascii="宋体" w:hAnsi="宋体"/>
                <w:color w:val="auto"/>
                <w:sz w:val="24"/>
                <w:highlight w:val="none"/>
              </w:rPr>
              <w:t>反光型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FA4F7E">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331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5359220">
            <w:pPr>
              <w:widowControl/>
              <w:jc w:val="left"/>
              <w:rPr>
                <w:rFonts w:hint="eastAsia" w:ascii="宋体" w:hAnsi="宋体"/>
                <w:color w:val="auto"/>
                <w:sz w:val="24"/>
                <w:highlight w:val="none"/>
              </w:rPr>
            </w:pPr>
            <w:r>
              <w:rPr>
                <w:rFonts w:hint="eastAsia" w:ascii="宋体" w:hAnsi="宋体"/>
                <w:color w:val="auto"/>
                <w:sz w:val="24"/>
                <w:highlight w:val="none"/>
              </w:rPr>
              <w:t>605-1-3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49D321B">
            <w:pPr>
              <w:widowControl/>
              <w:jc w:val="left"/>
              <w:rPr>
                <w:rFonts w:hint="eastAsia" w:ascii="宋体" w:hAnsi="宋体"/>
                <w:color w:val="auto"/>
                <w:sz w:val="24"/>
                <w:highlight w:val="none"/>
              </w:rPr>
            </w:pPr>
            <w:r>
              <w:rPr>
                <w:rFonts w:hint="eastAsia" w:ascii="宋体" w:hAnsi="宋体"/>
                <w:color w:val="auto"/>
                <w:sz w:val="24"/>
                <w:highlight w:val="none"/>
              </w:rPr>
              <w:t>高分子聚合物透明封面漆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FB95B9">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538D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2103031A">
            <w:pPr>
              <w:widowControl/>
              <w:jc w:val="left"/>
              <w:rPr>
                <w:rFonts w:hint="eastAsia" w:ascii="宋体" w:hAnsi="宋体"/>
                <w:color w:val="auto"/>
                <w:sz w:val="24"/>
                <w:highlight w:val="none"/>
              </w:rPr>
            </w:pPr>
            <w:r>
              <w:rPr>
                <w:rFonts w:hint="eastAsia" w:ascii="宋体" w:hAnsi="宋体"/>
                <w:color w:val="auto"/>
                <w:sz w:val="24"/>
                <w:highlight w:val="none"/>
              </w:rPr>
              <w:t>605-1-4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A01690">
            <w:pPr>
              <w:widowControl/>
              <w:jc w:val="left"/>
              <w:rPr>
                <w:rFonts w:hint="eastAsia" w:ascii="宋体" w:hAnsi="宋体"/>
                <w:color w:val="auto"/>
                <w:sz w:val="24"/>
                <w:highlight w:val="none"/>
              </w:rPr>
            </w:pPr>
            <w:r>
              <w:rPr>
                <w:rFonts w:hint="eastAsia" w:ascii="宋体" w:hAnsi="宋体"/>
                <w:color w:val="auto"/>
                <w:sz w:val="24"/>
                <w:highlight w:val="none"/>
              </w:rPr>
              <w:t>0.5cm薄层抗滑材料</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E18FDD">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4CAF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4028B7C">
            <w:pPr>
              <w:widowControl/>
              <w:jc w:val="left"/>
              <w:rPr>
                <w:rFonts w:hint="eastAsia" w:ascii="宋体" w:hAnsi="宋体"/>
                <w:color w:val="auto"/>
                <w:sz w:val="24"/>
                <w:highlight w:val="none"/>
              </w:rPr>
            </w:pPr>
            <w:r>
              <w:rPr>
                <w:rFonts w:hint="eastAsia" w:ascii="宋体" w:hAnsi="宋体"/>
                <w:color w:val="auto"/>
                <w:sz w:val="24"/>
                <w:highlight w:val="none"/>
              </w:rPr>
              <w:t>605-8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4679E9D">
            <w:pPr>
              <w:widowControl/>
              <w:jc w:val="left"/>
              <w:rPr>
                <w:rFonts w:hint="eastAsia" w:ascii="宋体" w:hAnsi="宋体"/>
                <w:color w:val="auto"/>
                <w:sz w:val="24"/>
                <w:highlight w:val="none"/>
              </w:rPr>
            </w:pPr>
            <w:r>
              <w:rPr>
                <w:rFonts w:hint="eastAsia" w:ascii="宋体" w:hAnsi="宋体"/>
                <w:color w:val="auto"/>
                <w:sz w:val="24"/>
                <w:highlight w:val="none"/>
              </w:rPr>
              <w:t>轮廓标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F9B3F9E">
            <w:pPr>
              <w:widowControl/>
              <w:jc w:val="left"/>
              <w:rPr>
                <w:rFonts w:hint="eastAsia" w:ascii="宋体" w:hAnsi="宋体"/>
                <w:color w:val="auto"/>
                <w:sz w:val="24"/>
                <w:highlight w:val="none"/>
              </w:rPr>
            </w:pPr>
          </w:p>
        </w:tc>
      </w:tr>
      <w:tr w14:paraId="7D82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95730EF">
            <w:pPr>
              <w:widowControl/>
              <w:jc w:val="left"/>
              <w:rPr>
                <w:rFonts w:hint="eastAsia" w:ascii="宋体" w:hAnsi="宋体"/>
                <w:color w:val="auto"/>
                <w:sz w:val="24"/>
                <w:highlight w:val="none"/>
              </w:rPr>
            </w:pPr>
            <w:r>
              <w:rPr>
                <w:rFonts w:hint="eastAsia" w:ascii="宋体" w:hAnsi="宋体"/>
                <w:color w:val="auto"/>
                <w:sz w:val="24"/>
                <w:highlight w:val="none"/>
              </w:rPr>
              <w:t>605-8-1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8869136">
            <w:pPr>
              <w:widowControl/>
              <w:jc w:val="left"/>
              <w:rPr>
                <w:rFonts w:hint="eastAsia" w:ascii="宋体" w:hAnsi="宋体"/>
                <w:color w:val="auto"/>
                <w:sz w:val="24"/>
                <w:highlight w:val="none"/>
              </w:rPr>
            </w:pPr>
            <w:r>
              <w:rPr>
                <w:rFonts w:hint="eastAsia" w:ascii="宋体" w:hAnsi="宋体"/>
                <w:color w:val="auto"/>
                <w:sz w:val="24"/>
                <w:highlight w:val="none"/>
              </w:rPr>
              <w:t>轮廓标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6127D88">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524A0342">
      <w:pPr>
        <w:spacing w:line="360" w:lineRule="auto"/>
        <w:ind w:firstLine="480" w:firstLineChars="200"/>
        <w:jc w:val="left"/>
        <w:rPr>
          <w:rFonts w:hint="eastAsia" w:ascii="宋体" w:hAnsi="宋体"/>
          <w:color w:val="auto"/>
          <w:sz w:val="24"/>
          <w:highlight w:val="none"/>
        </w:rPr>
      </w:pPr>
    </w:p>
    <w:p w14:paraId="3B327CEA">
      <w:pPr>
        <w:spacing w:line="360" w:lineRule="auto"/>
        <w:ind w:firstLine="480" w:firstLineChars="200"/>
        <w:jc w:val="left"/>
        <w:rPr>
          <w:rFonts w:hint="eastAsia" w:ascii="宋体" w:hAnsi="宋体"/>
          <w:color w:val="auto"/>
          <w:sz w:val="24"/>
          <w:highlight w:val="none"/>
        </w:rPr>
      </w:pPr>
    </w:p>
    <w:p w14:paraId="6FEC639A">
      <w:pPr>
        <w:spacing w:line="360" w:lineRule="auto"/>
        <w:jc w:val="left"/>
        <w:rPr>
          <w:rFonts w:ascii="宋体" w:hAnsi="宋体"/>
          <w:color w:val="auto"/>
          <w:sz w:val="24"/>
          <w:highlight w:val="none"/>
        </w:rPr>
        <w:sectPr>
          <w:pgSz w:w="11906" w:h="16838"/>
          <w:pgMar w:top="1418" w:right="1418" w:bottom="1134" w:left="1701" w:header="851" w:footer="992" w:gutter="0"/>
          <w:pgNumType w:fmt="decimal"/>
          <w:cols w:space="720" w:num="1"/>
          <w:docGrid w:linePitch="312" w:charSpace="0"/>
        </w:sectPr>
      </w:pPr>
    </w:p>
    <w:p w14:paraId="6E052542">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第700章  绿化及环境保护设施</w:t>
      </w:r>
    </w:p>
    <w:p w14:paraId="4D1DCB39">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第702节  铺设表土</w:t>
      </w:r>
    </w:p>
    <w:p w14:paraId="7F75C044">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1.计量</w:t>
      </w:r>
    </w:p>
    <w:p w14:paraId="28F4829D">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(1)表土铺设应按完成的铺设面积</w:t>
      </w:r>
      <w:r>
        <w:rPr>
          <w:rFonts w:hint="eastAsia" w:ascii="宋体" w:hAnsi="宋体"/>
          <w:color w:val="auto"/>
          <w:sz w:val="24"/>
          <w:highlight w:val="none"/>
          <w:lang w:eastAsia="zh-CN"/>
        </w:rPr>
        <w:t>与厚度</w:t>
      </w:r>
      <w:r>
        <w:rPr>
          <w:rFonts w:ascii="宋体" w:hAnsi="宋体"/>
          <w:color w:val="auto"/>
          <w:sz w:val="24"/>
          <w:highlight w:val="none"/>
        </w:rPr>
        <w:t>并经验收以立方米为单位计量。</w:t>
      </w:r>
    </w:p>
    <w:p w14:paraId="678E84E0">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(2)铺设表土的准备工作(包括提供、运输等)，为承包人应做的附属工作，不另予计量。</w:t>
      </w:r>
    </w:p>
    <w:p w14:paraId="10CAB20C">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2.支付</w:t>
      </w:r>
    </w:p>
    <w:p w14:paraId="482D0DA8">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按上述规定计量，经监理人验收并列入了工程量清单的以下支付子目的工程量，其每一计量单位，将以合同单价支付。此项支付包括材料、劳力、设备、运输等及其他为完成铺设表土所必需的费用，是对完成铺设表土的全部偿付。</w:t>
      </w:r>
    </w:p>
    <w:p w14:paraId="13C7EDCA">
      <w:pPr>
        <w:spacing w:line="360" w:lineRule="auto"/>
        <w:ind w:firstLine="480" w:firstLineChars="200"/>
        <w:jc w:val="left"/>
        <w:rPr>
          <w:rFonts w:hint="eastAsia" w:ascii="宋体" w:hAnsi="宋体"/>
          <w:color w:val="auto"/>
          <w:sz w:val="24"/>
          <w:highlight w:val="none"/>
        </w:rPr>
      </w:pPr>
      <w:r>
        <w:rPr>
          <w:rFonts w:ascii="宋体" w:hAnsi="宋体"/>
          <w:color w:val="auto"/>
          <w:sz w:val="24"/>
          <w:highlight w:val="none"/>
        </w:rPr>
        <w:t>3.支付</w:t>
      </w:r>
      <w:r>
        <w:rPr>
          <w:rFonts w:hint="eastAsia" w:ascii="宋体" w:hAnsi="宋体"/>
          <w:color w:val="auto"/>
          <w:sz w:val="24"/>
          <w:highlight w:val="none"/>
        </w:rPr>
        <w:t>子</w:t>
      </w:r>
      <w:r>
        <w:rPr>
          <w:rFonts w:ascii="宋体" w:hAnsi="宋体"/>
          <w:color w:val="auto"/>
          <w:sz w:val="24"/>
          <w:highlight w:val="none"/>
        </w:rPr>
        <w:t>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9D7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20" w:type="dxa"/>
            <w:noWrap w:val="0"/>
            <w:vAlign w:val="center"/>
          </w:tcPr>
          <w:p w14:paraId="28843AE1">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A3AD37B">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250A26D">
            <w:pPr>
              <w:jc w:val="left"/>
              <w:rPr>
                <w:rFonts w:hint="eastAsia" w:ascii="宋体" w:hAnsi="宋体"/>
                <w:color w:val="auto"/>
                <w:sz w:val="24"/>
                <w:highlight w:val="none"/>
              </w:rPr>
            </w:pPr>
            <w:r>
              <w:rPr>
                <w:rFonts w:hint="eastAsia" w:ascii="宋体" w:hAnsi="宋体"/>
                <w:color w:val="auto"/>
                <w:sz w:val="24"/>
                <w:highlight w:val="none"/>
              </w:rPr>
              <w:t>单位</w:t>
            </w:r>
          </w:p>
        </w:tc>
      </w:tr>
      <w:tr w14:paraId="4D76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1C92A94">
            <w:pPr>
              <w:jc w:val="left"/>
              <w:rPr>
                <w:rFonts w:ascii="宋体" w:hAnsi="宋体"/>
                <w:color w:val="auto"/>
                <w:sz w:val="24"/>
                <w:highlight w:val="none"/>
              </w:rPr>
            </w:pPr>
            <w:r>
              <w:rPr>
                <w:rFonts w:ascii="宋体" w:hAnsi="宋体"/>
                <w:color w:val="auto"/>
                <w:sz w:val="24"/>
                <w:highlight w:val="none"/>
              </w:rPr>
              <w:t>702-2</w:t>
            </w:r>
          </w:p>
        </w:tc>
        <w:tc>
          <w:tcPr>
            <w:tcW w:w="5400" w:type="dxa"/>
            <w:noWrap w:val="0"/>
            <w:vAlign w:val="center"/>
          </w:tcPr>
          <w:p w14:paraId="664F3E07">
            <w:pPr>
              <w:jc w:val="left"/>
              <w:rPr>
                <w:rFonts w:ascii="宋体" w:hAnsi="宋体"/>
                <w:color w:val="auto"/>
                <w:sz w:val="24"/>
                <w:highlight w:val="none"/>
              </w:rPr>
            </w:pPr>
            <w:r>
              <w:rPr>
                <w:rFonts w:ascii="宋体" w:hAnsi="宋体"/>
                <w:color w:val="auto"/>
                <w:sz w:val="24"/>
                <w:highlight w:val="none"/>
              </w:rPr>
              <w:t>铺设利用的表土</w:t>
            </w:r>
          </w:p>
        </w:tc>
        <w:tc>
          <w:tcPr>
            <w:tcW w:w="1260" w:type="dxa"/>
            <w:noWrap w:val="0"/>
            <w:vAlign w:val="center"/>
          </w:tcPr>
          <w:p w14:paraId="527C0F81">
            <w:pPr>
              <w:jc w:val="left"/>
              <w:rPr>
                <w:rFonts w:hint="eastAsia" w:ascii="宋体" w:hAnsi="宋体"/>
                <w:color w:val="auto"/>
                <w:sz w:val="24"/>
                <w:highlight w:val="none"/>
              </w:rPr>
            </w:pPr>
            <w:r>
              <w:rPr>
                <w:rFonts w:ascii="宋体" w:hAnsi="宋体"/>
                <w:color w:val="auto"/>
                <w:sz w:val="24"/>
                <w:highlight w:val="none"/>
              </w:rPr>
              <w:t>m3</w:t>
            </w:r>
          </w:p>
        </w:tc>
      </w:tr>
    </w:tbl>
    <w:p w14:paraId="7567C216">
      <w:pPr>
        <w:spacing w:line="360" w:lineRule="auto"/>
        <w:jc w:val="left"/>
        <w:rPr>
          <w:rFonts w:hint="eastAsia" w:ascii="宋体" w:hAnsi="宋体"/>
          <w:b/>
          <w:color w:val="auto"/>
          <w:sz w:val="28"/>
          <w:szCs w:val="28"/>
          <w:highlight w:val="none"/>
        </w:rPr>
      </w:pPr>
    </w:p>
    <w:p w14:paraId="722CB5C5">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第703节  撒播草种和铺植草皮</w:t>
      </w:r>
    </w:p>
    <w:p w14:paraId="079F04DF">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38075C01">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 撒播草种按经监理人验收的成活草种的面积以平方米为单位计量。草种、水、肥料等，作为承包人撒播草种的附属工作，均不另行计量。</w:t>
      </w:r>
    </w:p>
    <w:p w14:paraId="49F1520D">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(2)铺草皮按经监理人验收的数量以平方米为单位计量，按不同草皮类型按不同支付子目计量、支付。</w:t>
      </w:r>
    </w:p>
    <w:p w14:paraId="07918D56">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 需要铺设的表土，按表土的来源，在本规范第702节相关支付子目内计量。</w:t>
      </w:r>
    </w:p>
    <w:p w14:paraId="08BDB16B">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(4) 绿地喷灌设施按图纸所示，敷设的喷灌管道以米为单位计量。喷灌设施的闸阀、水表、洒水栓等均不另行计量。</w:t>
      </w:r>
    </w:p>
    <w:p w14:paraId="30508223">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35FD5BBE">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和养护、管理等及其他为完成绿化工程所必需的费用，是对完成工程的全部偿付。工程款项在工程交工验收植物栽植成活率符合规定后支付。未达到成活率要求的应进行补填，不另行计量。</w:t>
      </w:r>
    </w:p>
    <w:p w14:paraId="6FBD8E2D">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1FA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0F73393">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05927A71">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011687FD">
            <w:pPr>
              <w:jc w:val="left"/>
              <w:rPr>
                <w:rFonts w:hint="eastAsia" w:ascii="宋体" w:hAnsi="宋体"/>
                <w:color w:val="auto"/>
                <w:sz w:val="24"/>
                <w:highlight w:val="none"/>
              </w:rPr>
            </w:pPr>
            <w:r>
              <w:rPr>
                <w:rFonts w:hint="eastAsia" w:ascii="宋体" w:hAnsi="宋体"/>
                <w:color w:val="auto"/>
                <w:sz w:val="24"/>
                <w:highlight w:val="none"/>
              </w:rPr>
              <w:t>单位</w:t>
            </w:r>
          </w:p>
        </w:tc>
      </w:tr>
      <w:tr w14:paraId="1152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6BB2BB1D">
            <w:pPr>
              <w:jc w:val="left"/>
              <w:rPr>
                <w:rFonts w:hint="eastAsia" w:ascii="宋体" w:hAnsi="宋体"/>
                <w:color w:val="auto"/>
                <w:sz w:val="24"/>
                <w:highlight w:val="none"/>
              </w:rPr>
            </w:pPr>
            <w:r>
              <w:rPr>
                <w:rFonts w:hint="eastAsia" w:ascii="宋体" w:hAnsi="宋体"/>
                <w:bCs/>
                <w:color w:val="auto"/>
                <w:sz w:val="24"/>
                <w:highlight w:val="none"/>
              </w:rPr>
              <w:t>703-1</w:t>
            </w:r>
          </w:p>
        </w:tc>
        <w:tc>
          <w:tcPr>
            <w:tcW w:w="5400" w:type="dxa"/>
            <w:noWrap w:val="0"/>
            <w:vAlign w:val="center"/>
          </w:tcPr>
          <w:p w14:paraId="7E5AF5D2">
            <w:pPr>
              <w:jc w:val="left"/>
              <w:rPr>
                <w:rFonts w:hint="eastAsia" w:ascii="宋体" w:hAnsi="宋体"/>
                <w:color w:val="auto"/>
                <w:sz w:val="24"/>
                <w:highlight w:val="none"/>
              </w:rPr>
            </w:pPr>
            <w:r>
              <w:rPr>
                <w:rFonts w:hint="eastAsia" w:ascii="宋体" w:hAnsi="宋体"/>
                <w:color w:val="auto"/>
                <w:sz w:val="24"/>
                <w:highlight w:val="none"/>
              </w:rPr>
              <w:t>撒播草种</w:t>
            </w:r>
          </w:p>
        </w:tc>
        <w:tc>
          <w:tcPr>
            <w:tcW w:w="1260" w:type="dxa"/>
            <w:noWrap w:val="0"/>
            <w:vAlign w:val="center"/>
          </w:tcPr>
          <w:p w14:paraId="300A3AEA">
            <w:pPr>
              <w:jc w:val="left"/>
              <w:rPr>
                <w:rFonts w:hint="eastAsia" w:ascii="宋体" w:hAnsi="宋体"/>
                <w:color w:val="auto"/>
                <w:sz w:val="24"/>
                <w:highlight w:val="none"/>
              </w:rPr>
            </w:pPr>
            <w:r>
              <w:rPr>
                <w:rFonts w:hint="eastAsia" w:ascii="宋体" w:hAnsi="宋体"/>
                <w:color w:val="auto"/>
                <w:sz w:val="24"/>
                <w:highlight w:val="none"/>
              </w:rPr>
              <w:t>m2</w:t>
            </w:r>
          </w:p>
        </w:tc>
      </w:tr>
      <w:tr w14:paraId="63E0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23C855E">
            <w:pPr>
              <w:jc w:val="left"/>
              <w:rPr>
                <w:rFonts w:hint="eastAsia" w:ascii="宋体" w:hAnsi="宋体"/>
                <w:bCs/>
                <w:color w:val="auto"/>
                <w:sz w:val="24"/>
                <w:highlight w:val="none"/>
              </w:rPr>
            </w:pPr>
            <w:r>
              <w:rPr>
                <w:rFonts w:hint="eastAsia" w:ascii="宋体" w:hAnsi="宋体"/>
                <w:bCs/>
                <w:color w:val="auto"/>
                <w:sz w:val="24"/>
                <w:highlight w:val="none"/>
              </w:rPr>
              <w:t>703-2</w:t>
            </w:r>
          </w:p>
        </w:tc>
        <w:tc>
          <w:tcPr>
            <w:tcW w:w="5400" w:type="dxa"/>
            <w:noWrap w:val="0"/>
            <w:vAlign w:val="center"/>
          </w:tcPr>
          <w:p w14:paraId="3D23DB18">
            <w:pPr>
              <w:jc w:val="left"/>
              <w:rPr>
                <w:rFonts w:hint="eastAsia" w:ascii="宋体" w:hAnsi="宋体"/>
                <w:color w:val="auto"/>
                <w:sz w:val="24"/>
                <w:highlight w:val="none"/>
              </w:rPr>
            </w:pPr>
            <w:r>
              <w:rPr>
                <w:rFonts w:hint="eastAsia" w:ascii="宋体" w:hAnsi="宋体"/>
                <w:color w:val="auto"/>
                <w:sz w:val="24"/>
                <w:highlight w:val="none"/>
              </w:rPr>
              <w:t>铺植草皮</w:t>
            </w:r>
          </w:p>
        </w:tc>
        <w:tc>
          <w:tcPr>
            <w:tcW w:w="1260" w:type="dxa"/>
            <w:noWrap w:val="0"/>
            <w:vAlign w:val="center"/>
          </w:tcPr>
          <w:p w14:paraId="5F095C14">
            <w:pPr>
              <w:jc w:val="left"/>
              <w:rPr>
                <w:rFonts w:hint="eastAsia" w:ascii="宋体" w:hAnsi="宋体"/>
                <w:color w:val="auto"/>
                <w:sz w:val="24"/>
                <w:highlight w:val="none"/>
              </w:rPr>
            </w:pPr>
            <w:r>
              <w:rPr>
                <w:rFonts w:hint="eastAsia" w:ascii="宋体" w:hAnsi="宋体"/>
                <w:color w:val="auto"/>
                <w:sz w:val="24"/>
                <w:highlight w:val="none"/>
              </w:rPr>
              <w:t>m2</w:t>
            </w:r>
          </w:p>
        </w:tc>
      </w:tr>
    </w:tbl>
    <w:p w14:paraId="1DA8E1E6">
      <w:pPr>
        <w:spacing w:line="360" w:lineRule="auto"/>
        <w:ind w:firstLine="564"/>
        <w:jc w:val="left"/>
        <w:rPr>
          <w:rFonts w:hint="eastAsia" w:ascii="宋体" w:hAnsi="宋体"/>
          <w:color w:val="auto"/>
          <w:sz w:val="24"/>
          <w:highlight w:val="none"/>
        </w:rPr>
      </w:pPr>
    </w:p>
    <w:p w14:paraId="4979D2DA">
      <w:pPr>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第704节  种植乔木、灌木、攀缘植物</w:t>
      </w:r>
    </w:p>
    <w:p w14:paraId="776801F2">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1.计量</w:t>
      </w:r>
    </w:p>
    <w:p w14:paraId="2D242308">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(1)人工种植乔木、灌木、花卉及攀缘植物由监理人按成活数验收，乔木以高度范围或胸径范围分类，以不同树种为子目均按棵计量；灌木、人工种植花卉及攀缘植物以高度范围或冠幅按株或平方米计量。</w:t>
      </w:r>
    </w:p>
    <w:p w14:paraId="4D8C26A3">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(2)需要铺设的表土，按表土的来源，在第702节相关支付子目内计量。</w:t>
      </w:r>
    </w:p>
    <w:p w14:paraId="53D7B5FD">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(3)种植用水、设置水池储水</w:t>
      </w:r>
      <w:r>
        <w:rPr>
          <w:rFonts w:hint="eastAsia" w:ascii="宋体" w:hAnsi="宋体"/>
          <w:color w:val="auto"/>
          <w:sz w:val="24"/>
          <w:highlight w:val="none"/>
          <w:lang w:eastAsia="zh-CN"/>
        </w:rPr>
        <w:t>、乔木支撑</w:t>
      </w:r>
      <w:r>
        <w:rPr>
          <w:rFonts w:hint="eastAsia" w:ascii="宋体" w:hAnsi="宋体"/>
          <w:color w:val="auto"/>
          <w:sz w:val="24"/>
          <w:highlight w:val="none"/>
        </w:rPr>
        <w:t>，均作为承包人种植植物的附属工作，不另行计量。</w:t>
      </w:r>
    </w:p>
    <w:p w14:paraId="61F454B2">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2.支付</w:t>
      </w:r>
    </w:p>
    <w:p w14:paraId="4C109EFA">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和养护、管理等及其他为完成绿化工程所必需的费用，是对完成工程的全部偿付。工程款项在工程交工验收植物栽植成活率符合规定后支付。未达到成活率要求的应进行补填，不应另行计量。</w:t>
      </w:r>
    </w:p>
    <w:p w14:paraId="1403ACEA">
      <w:pPr>
        <w:spacing w:line="360" w:lineRule="auto"/>
        <w:ind w:firstLine="564"/>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7DA1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446FC5D0">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24A98C1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7C7FE91A">
            <w:pPr>
              <w:jc w:val="left"/>
              <w:rPr>
                <w:rFonts w:hint="eastAsia" w:ascii="宋体" w:hAnsi="宋体"/>
                <w:color w:val="auto"/>
                <w:sz w:val="24"/>
                <w:highlight w:val="none"/>
              </w:rPr>
            </w:pPr>
            <w:r>
              <w:rPr>
                <w:rFonts w:hint="eastAsia" w:ascii="宋体" w:hAnsi="宋体"/>
                <w:color w:val="auto"/>
                <w:sz w:val="24"/>
                <w:highlight w:val="none"/>
              </w:rPr>
              <w:t>单位</w:t>
            </w:r>
          </w:p>
        </w:tc>
      </w:tr>
      <w:tr w14:paraId="2B4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noWrap w:val="0"/>
            <w:vAlign w:val="center"/>
          </w:tcPr>
          <w:p w14:paraId="3E4CB92E">
            <w:pPr>
              <w:widowControl/>
              <w:jc w:val="left"/>
              <w:rPr>
                <w:rFonts w:ascii="宋体" w:hAnsi="宋体"/>
                <w:color w:val="auto"/>
                <w:sz w:val="24"/>
                <w:highlight w:val="none"/>
              </w:rPr>
            </w:pPr>
            <w:r>
              <w:rPr>
                <w:rFonts w:hint="eastAsia" w:ascii="宋体" w:hAnsi="宋体"/>
                <w:color w:val="auto"/>
                <w:sz w:val="24"/>
                <w:highlight w:val="none"/>
              </w:rPr>
              <w:t>704</w:t>
            </w:r>
          </w:p>
        </w:tc>
        <w:tc>
          <w:tcPr>
            <w:tcW w:w="5400" w:type="dxa"/>
            <w:noWrap w:val="0"/>
            <w:vAlign w:val="center"/>
          </w:tcPr>
          <w:p w14:paraId="13AC4E93">
            <w:pPr>
              <w:widowControl/>
              <w:jc w:val="left"/>
              <w:rPr>
                <w:rFonts w:ascii="宋体" w:hAnsi="宋体"/>
                <w:color w:val="auto"/>
                <w:sz w:val="24"/>
                <w:highlight w:val="none"/>
              </w:rPr>
            </w:pPr>
            <w:r>
              <w:rPr>
                <w:rFonts w:hint="eastAsia" w:ascii="宋体" w:hAnsi="宋体"/>
                <w:color w:val="auto"/>
                <w:sz w:val="24"/>
                <w:highlight w:val="none"/>
              </w:rPr>
              <w:t>种植乔木、灌木和攀缘植物</w:t>
            </w:r>
          </w:p>
        </w:tc>
        <w:tc>
          <w:tcPr>
            <w:tcW w:w="1260" w:type="dxa"/>
            <w:noWrap w:val="0"/>
            <w:vAlign w:val="center"/>
          </w:tcPr>
          <w:p w14:paraId="560425F4">
            <w:pPr>
              <w:widowControl/>
              <w:jc w:val="left"/>
              <w:rPr>
                <w:rFonts w:ascii="宋体" w:hAnsi="宋体"/>
                <w:color w:val="auto"/>
                <w:sz w:val="24"/>
                <w:highlight w:val="none"/>
              </w:rPr>
            </w:pPr>
          </w:p>
        </w:tc>
      </w:tr>
      <w:tr w14:paraId="3018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A48E266">
            <w:pPr>
              <w:widowControl/>
              <w:jc w:val="left"/>
              <w:rPr>
                <w:rFonts w:ascii="宋体" w:hAnsi="宋体"/>
                <w:color w:val="auto"/>
                <w:sz w:val="24"/>
                <w:highlight w:val="none"/>
              </w:rPr>
            </w:pPr>
            <w:r>
              <w:rPr>
                <w:rFonts w:hint="eastAsia" w:ascii="宋体" w:hAnsi="宋体"/>
                <w:color w:val="auto"/>
                <w:sz w:val="24"/>
                <w:highlight w:val="none"/>
              </w:rPr>
              <w:t>704-1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CCEF892">
            <w:pPr>
              <w:widowControl/>
              <w:jc w:val="left"/>
              <w:rPr>
                <w:rFonts w:hint="eastAsia" w:ascii="宋体" w:hAnsi="宋体"/>
                <w:color w:val="auto"/>
                <w:sz w:val="24"/>
                <w:highlight w:val="none"/>
              </w:rPr>
            </w:pPr>
            <w:r>
              <w:rPr>
                <w:rFonts w:hint="eastAsia" w:ascii="宋体" w:hAnsi="宋体"/>
                <w:color w:val="auto"/>
                <w:sz w:val="24"/>
                <w:highlight w:val="none"/>
              </w:rPr>
              <w:t>人工种植乔木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B12361">
            <w:pPr>
              <w:widowControl/>
              <w:jc w:val="left"/>
              <w:rPr>
                <w:rFonts w:hint="eastAsia" w:ascii="宋体" w:hAnsi="宋体"/>
                <w:color w:val="auto"/>
                <w:sz w:val="24"/>
                <w:highlight w:val="none"/>
              </w:rPr>
            </w:pPr>
          </w:p>
        </w:tc>
      </w:tr>
      <w:tr w14:paraId="2D0A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44F7C07">
            <w:pPr>
              <w:widowControl/>
              <w:jc w:val="left"/>
              <w:rPr>
                <w:rFonts w:hint="eastAsia" w:ascii="宋体" w:hAnsi="宋体"/>
                <w:color w:val="auto"/>
                <w:sz w:val="24"/>
                <w:highlight w:val="none"/>
              </w:rPr>
            </w:pPr>
            <w:r>
              <w:rPr>
                <w:rFonts w:hint="eastAsia" w:ascii="宋体" w:hAnsi="宋体"/>
                <w:color w:val="auto"/>
                <w:sz w:val="24"/>
                <w:highlight w:val="none"/>
              </w:rPr>
              <w:t>704-1-10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3F70577">
            <w:pPr>
              <w:widowControl/>
              <w:jc w:val="left"/>
              <w:rPr>
                <w:rFonts w:hint="eastAsia" w:ascii="宋体" w:hAnsi="宋体"/>
                <w:color w:val="auto"/>
                <w:sz w:val="24"/>
                <w:highlight w:val="none"/>
              </w:rPr>
            </w:pPr>
            <w:r>
              <w:rPr>
                <w:rFonts w:hint="eastAsia" w:ascii="宋体" w:hAnsi="宋体"/>
                <w:color w:val="auto"/>
                <w:sz w:val="24"/>
                <w:highlight w:val="none"/>
              </w:rPr>
              <w:t>胸径12cm～15cm以内乔木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576FA61">
            <w:pPr>
              <w:widowControl/>
              <w:jc w:val="left"/>
              <w:rPr>
                <w:rFonts w:hint="eastAsia" w:ascii="宋体" w:hAnsi="宋体"/>
                <w:color w:val="auto"/>
                <w:sz w:val="24"/>
                <w:highlight w:val="none"/>
              </w:rPr>
            </w:pPr>
          </w:p>
        </w:tc>
      </w:tr>
      <w:tr w14:paraId="724B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F9E4597">
            <w:pPr>
              <w:widowControl/>
              <w:jc w:val="left"/>
              <w:rPr>
                <w:rFonts w:hint="eastAsia" w:ascii="宋体" w:hAnsi="宋体"/>
                <w:color w:val="auto"/>
                <w:sz w:val="24"/>
                <w:highlight w:val="none"/>
              </w:rPr>
            </w:pPr>
            <w:r>
              <w:rPr>
                <w:rFonts w:hint="eastAsia" w:ascii="宋体" w:hAnsi="宋体"/>
                <w:color w:val="auto"/>
                <w:sz w:val="24"/>
                <w:highlight w:val="none"/>
              </w:rPr>
              <w:t>704-1-10-1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9BCD423">
            <w:pPr>
              <w:widowControl/>
              <w:jc w:val="left"/>
              <w:rPr>
                <w:rFonts w:hint="eastAsia" w:ascii="宋体" w:hAnsi="宋体"/>
                <w:color w:val="auto"/>
                <w:sz w:val="24"/>
                <w:highlight w:val="none"/>
              </w:rPr>
            </w:pPr>
            <w:r>
              <w:rPr>
                <w:rFonts w:hint="eastAsia" w:ascii="宋体" w:hAnsi="宋体"/>
                <w:color w:val="auto"/>
                <w:sz w:val="24"/>
                <w:highlight w:val="none"/>
              </w:rPr>
              <w:t>宫粉紫荆胸径13cm~15cm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E4A448">
            <w:pPr>
              <w:widowControl/>
              <w:jc w:val="left"/>
              <w:rPr>
                <w:rFonts w:hint="eastAsia" w:ascii="宋体" w:hAnsi="宋体"/>
                <w:color w:val="auto"/>
                <w:sz w:val="24"/>
                <w:highlight w:val="none"/>
              </w:rPr>
            </w:pPr>
            <w:r>
              <w:rPr>
                <w:rFonts w:hint="eastAsia" w:ascii="宋体" w:hAnsi="宋体"/>
                <w:color w:val="auto"/>
                <w:sz w:val="24"/>
                <w:highlight w:val="none"/>
              </w:rPr>
              <w:t>棵</w:t>
            </w:r>
          </w:p>
        </w:tc>
      </w:tr>
      <w:tr w14:paraId="685D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7F3730A5">
            <w:pPr>
              <w:widowControl/>
              <w:jc w:val="left"/>
              <w:rPr>
                <w:rFonts w:hint="eastAsia" w:ascii="宋体" w:hAnsi="宋体"/>
                <w:color w:val="auto"/>
                <w:sz w:val="24"/>
                <w:highlight w:val="none"/>
              </w:rPr>
            </w:pPr>
            <w:r>
              <w:rPr>
                <w:rFonts w:hint="eastAsia" w:ascii="宋体" w:hAnsi="宋体"/>
                <w:color w:val="auto"/>
                <w:sz w:val="24"/>
                <w:highlight w:val="none"/>
              </w:rPr>
              <w:t>704-1-10-2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BBC3EC1">
            <w:pPr>
              <w:widowControl/>
              <w:jc w:val="left"/>
              <w:rPr>
                <w:rFonts w:hint="eastAsia" w:ascii="宋体" w:hAnsi="宋体"/>
                <w:color w:val="auto"/>
                <w:sz w:val="24"/>
                <w:highlight w:val="none"/>
              </w:rPr>
            </w:pPr>
            <w:r>
              <w:rPr>
                <w:rFonts w:hint="eastAsia" w:ascii="宋体" w:hAnsi="宋体"/>
                <w:color w:val="auto"/>
                <w:sz w:val="24"/>
                <w:highlight w:val="none"/>
              </w:rPr>
              <w:t>秋枫胸径13cm~15cm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FF99410">
            <w:pPr>
              <w:widowControl/>
              <w:jc w:val="left"/>
              <w:rPr>
                <w:rFonts w:hint="eastAsia" w:ascii="宋体" w:hAnsi="宋体"/>
                <w:color w:val="auto"/>
                <w:sz w:val="24"/>
                <w:highlight w:val="none"/>
              </w:rPr>
            </w:pPr>
            <w:r>
              <w:rPr>
                <w:rFonts w:hint="eastAsia" w:ascii="宋体" w:hAnsi="宋体"/>
                <w:color w:val="auto"/>
                <w:sz w:val="24"/>
                <w:highlight w:val="none"/>
              </w:rPr>
              <w:t>棵</w:t>
            </w:r>
          </w:p>
        </w:tc>
      </w:tr>
      <w:tr w14:paraId="623F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67E3B7B">
            <w:pPr>
              <w:widowControl/>
              <w:jc w:val="left"/>
              <w:rPr>
                <w:rFonts w:hint="eastAsia" w:ascii="宋体" w:hAnsi="宋体"/>
                <w:color w:val="auto"/>
                <w:sz w:val="24"/>
                <w:highlight w:val="none"/>
              </w:rPr>
            </w:pPr>
            <w:r>
              <w:rPr>
                <w:rFonts w:hint="eastAsia" w:ascii="宋体" w:hAnsi="宋体"/>
                <w:color w:val="auto"/>
                <w:sz w:val="24"/>
                <w:highlight w:val="none"/>
              </w:rPr>
              <w:t>704-2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0A2C14A">
            <w:pPr>
              <w:widowControl/>
              <w:jc w:val="left"/>
              <w:rPr>
                <w:rFonts w:hint="eastAsia" w:ascii="宋体" w:hAnsi="宋体"/>
                <w:color w:val="auto"/>
                <w:sz w:val="24"/>
                <w:highlight w:val="none"/>
              </w:rPr>
            </w:pPr>
            <w:r>
              <w:rPr>
                <w:rFonts w:hint="eastAsia" w:ascii="宋体" w:hAnsi="宋体"/>
                <w:color w:val="auto"/>
                <w:sz w:val="24"/>
                <w:highlight w:val="none"/>
              </w:rPr>
              <w:t>人工种植灌木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27FE599">
            <w:pPr>
              <w:widowControl/>
              <w:jc w:val="left"/>
              <w:rPr>
                <w:rFonts w:hint="eastAsia" w:ascii="宋体" w:hAnsi="宋体"/>
                <w:color w:val="auto"/>
                <w:sz w:val="24"/>
                <w:highlight w:val="none"/>
              </w:rPr>
            </w:pPr>
          </w:p>
        </w:tc>
      </w:tr>
      <w:tr w14:paraId="0B0A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46FB5E6F">
            <w:pPr>
              <w:widowControl/>
              <w:jc w:val="left"/>
              <w:rPr>
                <w:rFonts w:hint="eastAsia" w:ascii="宋体" w:hAnsi="宋体"/>
                <w:color w:val="auto"/>
                <w:sz w:val="24"/>
                <w:highlight w:val="none"/>
              </w:rPr>
            </w:pPr>
            <w:r>
              <w:rPr>
                <w:rFonts w:hint="eastAsia" w:ascii="宋体" w:hAnsi="宋体"/>
                <w:color w:val="auto"/>
                <w:sz w:val="24"/>
                <w:highlight w:val="none"/>
              </w:rPr>
              <w:t>704-2-3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D3247DE">
            <w:pPr>
              <w:widowControl/>
              <w:jc w:val="left"/>
              <w:rPr>
                <w:rFonts w:hint="eastAsia" w:ascii="宋体" w:hAnsi="宋体"/>
                <w:color w:val="auto"/>
                <w:sz w:val="24"/>
                <w:highlight w:val="none"/>
              </w:rPr>
            </w:pPr>
            <w:r>
              <w:rPr>
                <w:rFonts w:hint="eastAsia" w:ascii="宋体" w:hAnsi="宋体"/>
                <w:color w:val="auto"/>
                <w:sz w:val="24"/>
                <w:highlight w:val="none"/>
              </w:rPr>
              <w:t>冠幅80～120cm以内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5A6030">
            <w:pPr>
              <w:widowControl/>
              <w:jc w:val="left"/>
              <w:rPr>
                <w:rFonts w:hint="eastAsia" w:ascii="宋体" w:hAnsi="宋体"/>
                <w:color w:val="auto"/>
                <w:sz w:val="24"/>
                <w:highlight w:val="none"/>
              </w:rPr>
            </w:pPr>
          </w:p>
        </w:tc>
      </w:tr>
      <w:tr w14:paraId="558F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2DD60B4">
            <w:pPr>
              <w:widowControl/>
              <w:jc w:val="left"/>
              <w:rPr>
                <w:rFonts w:hint="eastAsia" w:ascii="宋体" w:hAnsi="宋体"/>
                <w:color w:val="auto"/>
                <w:sz w:val="24"/>
                <w:highlight w:val="none"/>
              </w:rPr>
            </w:pPr>
            <w:r>
              <w:rPr>
                <w:rFonts w:hint="eastAsia" w:ascii="宋体" w:hAnsi="宋体"/>
                <w:color w:val="auto"/>
                <w:sz w:val="24"/>
                <w:highlight w:val="none"/>
              </w:rPr>
              <w:t>704-2-3-1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30812CE">
            <w:pPr>
              <w:widowControl/>
              <w:jc w:val="left"/>
              <w:rPr>
                <w:rFonts w:hint="eastAsia" w:ascii="宋体" w:hAnsi="宋体"/>
                <w:color w:val="auto"/>
                <w:sz w:val="24"/>
                <w:highlight w:val="none"/>
              </w:rPr>
            </w:pPr>
            <w:r>
              <w:rPr>
                <w:rFonts w:hint="eastAsia" w:ascii="宋体" w:hAnsi="宋体"/>
                <w:color w:val="auto"/>
                <w:sz w:val="24"/>
                <w:highlight w:val="none"/>
              </w:rPr>
              <w:t>红继木球,苗高*冠幅120cm*120cm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4F07F2">
            <w:pPr>
              <w:widowControl/>
              <w:jc w:val="left"/>
              <w:rPr>
                <w:rFonts w:hint="eastAsia" w:ascii="宋体" w:hAnsi="宋体"/>
                <w:color w:val="auto"/>
                <w:sz w:val="24"/>
                <w:highlight w:val="none"/>
              </w:rPr>
            </w:pPr>
            <w:r>
              <w:rPr>
                <w:rFonts w:hint="eastAsia" w:ascii="宋体" w:hAnsi="宋体"/>
                <w:color w:val="auto"/>
                <w:sz w:val="24"/>
                <w:highlight w:val="none"/>
              </w:rPr>
              <w:t>株</w:t>
            </w:r>
          </w:p>
        </w:tc>
      </w:tr>
      <w:tr w14:paraId="5F71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69517D14">
            <w:pPr>
              <w:widowControl/>
              <w:jc w:val="left"/>
              <w:rPr>
                <w:rFonts w:hint="eastAsia" w:ascii="宋体" w:hAnsi="宋体"/>
                <w:color w:val="auto"/>
                <w:sz w:val="24"/>
                <w:highlight w:val="none"/>
              </w:rPr>
            </w:pPr>
            <w:r>
              <w:rPr>
                <w:rFonts w:hint="eastAsia" w:ascii="宋体" w:hAnsi="宋体"/>
                <w:color w:val="auto"/>
                <w:sz w:val="24"/>
                <w:highlight w:val="none"/>
              </w:rPr>
              <w:t>704-3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FAE4E82">
            <w:pPr>
              <w:widowControl/>
              <w:jc w:val="left"/>
              <w:rPr>
                <w:rFonts w:hint="eastAsia" w:ascii="宋体" w:hAnsi="宋体"/>
                <w:color w:val="auto"/>
                <w:sz w:val="24"/>
                <w:highlight w:val="none"/>
              </w:rPr>
            </w:pPr>
            <w:r>
              <w:rPr>
                <w:rFonts w:hint="eastAsia" w:ascii="宋体" w:hAnsi="宋体"/>
                <w:color w:val="auto"/>
                <w:sz w:val="24"/>
                <w:highlight w:val="none"/>
              </w:rPr>
              <w:t>人工种植花卉及攀缘植物</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9D713B">
            <w:pPr>
              <w:widowControl/>
              <w:jc w:val="left"/>
              <w:rPr>
                <w:rFonts w:hint="eastAsia" w:ascii="宋体" w:hAnsi="宋体"/>
                <w:color w:val="auto"/>
                <w:sz w:val="24"/>
                <w:highlight w:val="none"/>
              </w:rPr>
            </w:pPr>
          </w:p>
        </w:tc>
      </w:tr>
      <w:tr w14:paraId="2718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21C74BD">
            <w:pPr>
              <w:widowControl/>
              <w:jc w:val="left"/>
              <w:rPr>
                <w:rFonts w:hint="eastAsia" w:ascii="宋体" w:hAnsi="宋体"/>
                <w:color w:val="auto"/>
                <w:sz w:val="24"/>
                <w:highlight w:val="none"/>
              </w:rPr>
            </w:pPr>
            <w:r>
              <w:rPr>
                <w:rFonts w:hint="eastAsia" w:ascii="宋体" w:hAnsi="宋体"/>
                <w:color w:val="auto"/>
                <w:sz w:val="24"/>
                <w:highlight w:val="none"/>
              </w:rPr>
              <w:t>704-3-1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5999739">
            <w:pPr>
              <w:widowControl/>
              <w:jc w:val="left"/>
              <w:rPr>
                <w:rFonts w:hint="eastAsia" w:ascii="宋体" w:hAnsi="宋体"/>
                <w:color w:val="auto"/>
                <w:sz w:val="24"/>
                <w:highlight w:val="none"/>
              </w:rPr>
            </w:pPr>
            <w:r>
              <w:rPr>
                <w:rFonts w:hint="eastAsia" w:ascii="宋体" w:hAnsi="宋体"/>
                <w:color w:val="auto"/>
                <w:sz w:val="24"/>
                <w:highlight w:val="none"/>
              </w:rPr>
              <w:t>金叶假连翘,苗高*冠幅20cm*20cm，36袋/m2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0F800F">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561E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3E4B7801">
            <w:pPr>
              <w:widowControl/>
              <w:jc w:val="left"/>
              <w:rPr>
                <w:rFonts w:hint="eastAsia" w:ascii="宋体" w:hAnsi="宋体"/>
                <w:color w:val="auto"/>
                <w:sz w:val="24"/>
                <w:highlight w:val="none"/>
              </w:rPr>
            </w:pPr>
            <w:r>
              <w:rPr>
                <w:rFonts w:hint="eastAsia" w:ascii="宋体" w:hAnsi="宋体"/>
                <w:color w:val="auto"/>
                <w:sz w:val="24"/>
                <w:highlight w:val="none"/>
              </w:rPr>
              <w:t>704-3-2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C79E24A">
            <w:pPr>
              <w:widowControl/>
              <w:jc w:val="left"/>
              <w:rPr>
                <w:rFonts w:hint="eastAsia" w:ascii="宋体" w:hAnsi="宋体"/>
                <w:color w:val="auto"/>
                <w:sz w:val="24"/>
                <w:highlight w:val="none"/>
              </w:rPr>
            </w:pPr>
            <w:r>
              <w:rPr>
                <w:rFonts w:hint="eastAsia" w:ascii="宋体" w:hAnsi="宋体"/>
                <w:color w:val="auto"/>
                <w:sz w:val="24"/>
                <w:highlight w:val="none"/>
              </w:rPr>
              <w:t>鸭脚木,苗高*冠幅20cm*20cm，36袋/m2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3398344">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25EB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9BFA163">
            <w:pPr>
              <w:widowControl/>
              <w:jc w:val="left"/>
              <w:rPr>
                <w:rFonts w:hint="eastAsia" w:ascii="宋体" w:hAnsi="宋体"/>
                <w:color w:val="auto"/>
                <w:sz w:val="24"/>
                <w:highlight w:val="none"/>
              </w:rPr>
            </w:pPr>
            <w:r>
              <w:rPr>
                <w:rFonts w:hint="eastAsia" w:ascii="宋体" w:hAnsi="宋体"/>
                <w:color w:val="auto"/>
                <w:sz w:val="24"/>
                <w:highlight w:val="none"/>
              </w:rPr>
              <w:t>704-3-3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66C8143">
            <w:pPr>
              <w:widowControl/>
              <w:jc w:val="left"/>
              <w:rPr>
                <w:rFonts w:hint="eastAsia" w:ascii="宋体" w:hAnsi="宋体"/>
                <w:color w:val="auto"/>
                <w:sz w:val="24"/>
                <w:highlight w:val="none"/>
              </w:rPr>
            </w:pPr>
            <w:r>
              <w:rPr>
                <w:rFonts w:hint="eastAsia" w:ascii="宋体" w:hAnsi="宋体"/>
                <w:color w:val="auto"/>
                <w:sz w:val="24"/>
                <w:highlight w:val="none"/>
              </w:rPr>
              <w:t>合果芋（粉红佳人）,苗高*冠幅20cm*20cm，36袋/m2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A40146">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7890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5FFCD10B">
            <w:pPr>
              <w:widowControl/>
              <w:jc w:val="left"/>
              <w:rPr>
                <w:rFonts w:hint="eastAsia" w:ascii="宋体" w:hAnsi="宋体"/>
                <w:color w:val="auto"/>
                <w:sz w:val="24"/>
                <w:highlight w:val="none"/>
              </w:rPr>
            </w:pPr>
            <w:r>
              <w:rPr>
                <w:rFonts w:hint="eastAsia" w:ascii="宋体" w:hAnsi="宋体"/>
                <w:color w:val="auto"/>
                <w:sz w:val="24"/>
                <w:highlight w:val="none"/>
              </w:rPr>
              <w:t>704-3-4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1483534">
            <w:pPr>
              <w:widowControl/>
              <w:jc w:val="left"/>
              <w:rPr>
                <w:rFonts w:hint="eastAsia" w:ascii="宋体" w:hAnsi="宋体"/>
                <w:color w:val="auto"/>
                <w:sz w:val="24"/>
                <w:highlight w:val="none"/>
              </w:rPr>
            </w:pPr>
            <w:r>
              <w:rPr>
                <w:rFonts w:hint="eastAsia" w:ascii="宋体" w:hAnsi="宋体"/>
                <w:color w:val="auto"/>
                <w:sz w:val="24"/>
                <w:highlight w:val="none"/>
              </w:rPr>
              <w:t>肾蕨,苗高*冠幅20cm*20cm，36袋/m2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F7FEFE0">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6A03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1C2455E6">
            <w:pPr>
              <w:widowControl/>
              <w:jc w:val="left"/>
              <w:rPr>
                <w:rFonts w:hint="eastAsia" w:ascii="宋体" w:hAnsi="宋体"/>
                <w:color w:val="auto"/>
                <w:sz w:val="24"/>
                <w:highlight w:val="none"/>
              </w:rPr>
            </w:pPr>
            <w:r>
              <w:rPr>
                <w:rFonts w:hint="eastAsia" w:ascii="宋体" w:hAnsi="宋体"/>
                <w:color w:val="auto"/>
                <w:sz w:val="24"/>
                <w:highlight w:val="none"/>
              </w:rPr>
              <w:t>704-3-5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DE2DFC6">
            <w:pPr>
              <w:widowControl/>
              <w:jc w:val="left"/>
              <w:rPr>
                <w:rFonts w:hint="eastAsia" w:ascii="宋体" w:hAnsi="宋体"/>
                <w:color w:val="auto"/>
                <w:sz w:val="24"/>
                <w:highlight w:val="none"/>
              </w:rPr>
            </w:pPr>
            <w:r>
              <w:rPr>
                <w:rFonts w:hint="eastAsia" w:ascii="宋体" w:hAnsi="宋体"/>
                <w:color w:val="auto"/>
                <w:sz w:val="24"/>
                <w:highlight w:val="none"/>
              </w:rPr>
              <w:t>蜘蛛兰,苗高*冠幅20cm*30cm，25袋/m2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694E6C">
            <w:pPr>
              <w:widowControl/>
              <w:jc w:val="left"/>
              <w:rPr>
                <w:rFonts w:hint="eastAsia" w:ascii="宋体" w:hAnsi="宋体"/>
                <w:color w:val="auto"/>
                <w:sz w:val="24"/>
                <w:highlight w:val="none"/>
              </w:rPr>
            </w:pPr>
            <w:r>
              <w:rPr>
                <w:rFonts w:hint="eastAsia" w:ascii="宋体" w:hAnsi="宋体"/>
                <w:color w:val="auto"/>
                <w:sz w:val="24"/>
                <w:highlight w:val="none"/>
              </w:rPr>
              <w:t>m2</w:t>
            </w:r>
          </w:p>
        </w:tc>
      </w:tr>
      <w:tr w14:paraId="08B5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Borders>
              <w:top w:val="single" w:color="auto" w:sz="4" w:space="0"/>
              <w:left w:val="single" w:color="auto" w:sz="4" w:space="0"/>
              <w:bottom w:val="single" w:color="auto" w:sz="4" w:space="0"/>
              <w:right w:val="single" w:color="auto" w:sz="4" w:space="0"/>
            </w:tcBorders>
            <w:noWrap w:val="0"/>
            <w:vAlign w:val="center"/>
          </w:tcPr>
          <w:p w14:paraId="06C6F399">
            <w:pPr>
              <w:widowControl/>
              <w:jc w:val="left"/>
              <w:rPr>
                <w:rFonts w:hint="eastAsia" w:ascii="宋体" w:hAnsi="宋体"/>
                <w:color w:val="auto"/>
                <w:sz w:val="24"/>
                <w:highlight w:val="none"/>
              </w:rPr>
            </w:pPr>
            <w:r>
              <w:rPr>
                <w:rFonts w:hint="eastAsia" w:ascii="宋体" w:hAnsi="宋体"/>
                <w:color w:val="auto"/>
                <w:sz w:val="24"/>
                <w:highlight w:val="none"/>
              </w:rPr>
              <w:t>704-3-6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B4A0009">
            <w:pPr>
              <w:widowControl/>
              <w:jc w:val="left"/>
              <w:rPr>
                <w:rFonts w:hint="eastAsia" w:ascii="宋体" w:hAnsi="宋体"/>
                <w:color w:val="auto"/>
                <w:sz w:val="24"/>
                <w:highlight w:val="none"/>
              </w:rPr>
            </w:pPr>
            <w:r>
              <w:rPr>
                <w:rFonts w:hint="eastAsia" w:ascii="宋体" w:hAnsi="宋体"/>
                <w:color w:val="auto"/>
                <w:sz w:val="24"/>
                <w:highlight w:val="none"/>
              </w:rPr>
              <w:t>勒杜鹃,苗高*冠幅30cm*25cm，36袋/m2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51C6AE">
            <w:pPr>
              <w:widowControl/>
              <w:jc w:val="left"/>
              <w:rPr>
                <w:rFonts w:hint="eastAsia" w:ascii="宋体" w:hAnsi="宋体"/>
                <w:color w:val="auto"/>
                <w:sz w:val="24"/>
                <w:highlight w:val="none"/>
              </w:rPr>
            </w:pPr>
            <w:r>
              <w:rPr>
                <w:rFonts w:hint="eastAsia" w:ascii="宋体" w:hAnsi="宋体"/>
                <w:color w:val="auto"/>
                <w:sz w:val="24"/>
                <w:highlight w:val="none"/>
              </w:rPr>
              <w:t>m2</w:t>
            </w:r>
          </w:p>
        </w:tc>
      </w:tr>
    </w:tbl>
    <w:p w14:paraId="449B2418">
      <w:pPr>
        <w:spacing w:line="360" w:lineRule="auto"/>
        <w:ind w:firstLine="564"/>
        <w:jc w:val="left"/>
        <w:rPr>
          <w:rFonts w:hint="eastAsia" w:ascii="宋体" w:hAnsi="宋体"/>
          <w:color w:val="auto"/>
          <w:sz w:val="24"/>
          <w:highlight w:val="none"/>
        </w:rPr>
      </w:pPr>
    </w:p>
    <w:p w14:paraId="38335B31">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第705节  植物养护和管理</w:t>
      </w:r>
    </w:p>
    <w:p w14:paraId="013C9882">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种植物的养护及管理是承包人完成绿化工程的附属工作，不另计量与支付。</w:t>
      </w:r>
    </w:p>
    <w:p w14:paraId="40F8F6D5">
      <w:pPr>
        <w:spacing w:line="360" w:lineRule="auto"/>
        <w:jc w:val="left"/>
        <w:rPr>
          <w:rFonts w:hint="eastAsia" w:ascii="宋体" w:hAnsi="宋体"/>
          <w:color w:val="auto"/>
          <w:sz w:val="24"/>
          <w:highlight w:val="none"/>
        </w:rPr>
      </w:pPr>
    </w:p>
    <w:p w14:paraId="36DD970D">
      <w:pPr>
        <w:jc w:val="left"/>
        <w:rPr>
          <w:color w:val="auto"/>
          <w:highlight w:val="none"/>
        </w:rPr>
        <w:sectPr>
          <w:footerReference r:id="rId139" w:type="default"/>
          <w:footerReference r:id="rId140" w:type="even"/>
          <w:pgSz w:w="11906" w:h="16838"/>
          <w:pgMar w:top="1418" w:right="1418" w:bottom="1134" w:left="1701" w:header="851" w:footer="992" w:gutter="0"/>
          <w:pgNumType w:fmt="decimal"/>
          <w:cols w:space="720" w:num="1"/>
          <w:docGrid w:linePitch="312" w:charSpace="0"/>
        </w:sectPr>
      </w:pPr>
    </w:p>
    <w:p w14:paraId="27E19A3A">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第 800章  机电工程</w:t>
      </w:r>
    </w:p>
    <w:p w14:paraId="768F0134">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 802 节  收费系统</w:t>
      </w:r>
    </w:p>
    <w:p w14:paraId="32150D97">
      <w:pPr>
        <w:spacing w:line="360" w:lineRule="auto"/>
        <w:ind w:left="638" w:leftChars="304" w:right="1604" w:rightChars="764" w:firstLine="564" w:firstLineChars="0"/>
        <w:jc w:val="left"/>
        <w:rPr>
          <w:rFonts w:hint="eastAsia" w:ascii="宋体" w:hAnsi="宋体"/>
          <w:color w:val="auto"/>
          <w:sz w:val="24"/>
          <w:highlight w:val="none"/>
        </w:rPr>
      </w:pPr>
      <w:r>
        <w:rPr>
          <w:rFonts w:hint="eastAsia" w:ascii="宋体" w:hAnsi="宋体"/>
          <w:color w:val="auto"/>
          <w:sz w:val="24"/>
          <w:highlight w:val="none"/>
        </w:rPr>
        <w:t>1、计量</w:t>
      </w:r>
    </w:p>
    <w:p w14:paraId="03252C7C">
      <w:pPr>
        <w:spacing w:line="360" w:lineRule="auto"/>
        <w:ind w:left="638" w:leftChars="304" w:right="1604" w:rightChars="764" w:firstLine="564" w:firstLineChars="0"/>
        <w:jc w:val="left"/>
        <w:rPr>
          <w:rFonts w:hint="eastAsia" w:ascii="宋体" w:hAnsi="宋体"/>
          <w:color w:val="auto"/>
          <w:sz w:val="24"/>
          <w:highlight w:val="none"/>
        </w:rPr>
      </w:pPr>
      <w:r>
        <w:rPr>
          <w:rFonts w:hint="eastAsia" w:ascii="宋体" w:hAnsi="宋体"/>
          <w:color w:val="auto"/>
          <w:sz w:val="24"/>
          <w:highlight w:val="none"/>
        </w:rPr>
        <w:t>(1)人、手孔应根据图纸所示的型式及不同尺寸按个计量，含井盖、上覆及附件。</w:t>
      </w:r>
    </w:p>
    <w:p w14:paraId="680BD05C">
      <w:pPr>
        <w:spacing w:line="360" w:lineRule="auto"/>
        <w:ind w:left="638" w:leftChars="304" w:right="1604" w:rightChars="764" w:firstLine="564" w:firstLineChars="0"/>
        <w:jc w:val="left"/>
        <w:rPr>
          <w:rFonts w:hint="eastAsia" w:ascii="宋体" w:hAnsi="宋体"/>
          <w:color w:val="auto"/>
          <w:sz w:val="24"/>
          <w:highlight w:val="none"/>
        </w:rPr>
      </w:pPr>
      <w:r>
        <w:rPr>
          <w:rFonts w:hint="eastAsia" w:ascii="宋体" w:hAnsi="宋体"/>
          <w:color w:val="auto"/>
          <w:sz w:val="24"/>
          <w:highlight w:val="none"/>
        </w:rPr>
        <w:t>(2)所有挖基、挖槽以及回填、压实等均为各相关工程子目的附属工作，不另予计量。凡未列入计量子目的零星工程，均含在相关工程子目内，不另予计量。</w:t>
      </w:r>
    </w:p>
    <w:p w14:paraId="780259F1">
      <w:pPr>
        <w:spacing w:line="360" w:lineRule="auto"/>
        <w:ind w:left="638" w:leftChars="304" w:right="1604" w:rightChars="764" w:firstLine="564" w:firstLineChars="0"/>
        <w:jc w:val="left"/>
        <w:rPr>
          <w:rFonts w:hint="eastAsia" w:ascii="宋体" w:hAnsi="宋体"/>
          <w:color w:val="auto"/>
          <w:sz w:val="24"/>
          <w:highlight w:val="none"/>
        </w:rPr>
      </w:pPr>
      <w:r>
        <w:rPr>
          <w:rFonts w:hint="eastAsia" w:ascii="宋体" w:hAnsi="宋体"/>
          <w:color w:val="auto"/>
          <w:sz w:val="24"/>
          <w:highlight w:val="none"/>
        </w:rPr>
        <w:t>2、支付</w:t>
      </w:r>
    </w:p>
    <w:p w14:paraId="1BA5A5E7">
      <w:pPr>
        <w:spacing w:line="360" w:lineRule="auto"/>
        <w:ind w:left="638" w:leftChars="304" w:right="1604" w:rightChars="764" w:firstLine="564" w:firstLineChars="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或总额价支付。此项支付包括材料、劳力、设备、工具、运输、安装、调测和场地清理等及其他为完成收费系统工程所必需的费用，是对完成工程的全部偿付。</w:t>
      </w:r>
    </w:p>
    <w:p w14:paraId="4328D711">
      <w:pPr>
        <w:spacing w:line="360" w:lineRule="auto"/>
        <w:ind w:left="1260" w:leftChars="600" w:firstLine="0" w:firstLineChars="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460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1458EEDA">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468D16A0">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5CB3DD5">
            <w:pPr>
              <w:jc w:val="left"/>
              <w:rPr>
                <w:rFonts w:hint="eastAsia" w:ascii="宋体" w:hAnsi="宋体"/>
                <w:color w:val="auto"/>
                <w:sz w:val="24"/>
                <w:highlight w:val="none"/>
              </w:rPr>
            </w:pPr>
            <w:r>
              <w:rPr>
                <w:rFonts w:hint="eastAsia" w:ascii="宋体" w:hAnsi="宋体"/>
                <w:color w:val="auto"/>
                <w:sz w:val="24"/>
                <w:highlight w:val="none"/>
              </w:rPr>
              <w:t>单位</w:t>
            </w:r>
          </w:p>
        </w:tc>
      </w:tr>
      <w:tr w14:paraId="0C09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415574A">
            <w:pPr>
              <w:widowControl/>
              <w:jc w:val="left"/>
              <w:rPr>
                <w:rFonts w:ascii="宋体" w:hAnsi="宋体"/>
                <w:color w:val="auto"/>
                <w:sz w:val="24"/>
                <w:highlight w:val="none"/>
              </w:rPr>
            </w:pPr>
            <w:r>
              <w:rPr>
                <w:rFonts w:hint="eastAsia" w:ascii="宋体" w:hAnsi="宋体"/>
                <w:color w:val="auto"/>
                <w:sz w:val="24"/>
                <w:highlight w:val="none"/>
              </w:rPr>
              <w:t>802-10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5F34D78">
            <w:pPr>
              <w:widowControl/>
              <w:jc w:val="left"/>
              <w:rPr>
                <w:rFonts w:hint="eastAsia" w:ascii="宋体" w:hAnsi="宋体"/>
                <w:color w:val="auto"/>
                <w:sz w:val="24"/>
                <w:highlight w:val="none"/>
              </w:rPr>
            </w:pPr>
            <w:r>
              <w:rPr>
                <w:rFonts w:hint="eastAsia" w:ascii="宋体" w:hAnsi="宋体"/>
                <w:color w:val="auto"/>
                <w:sz w:val="24"/>
                <w:highlight w:val="none"/>
              </w:rPr>
              <w:t>人（手）孔</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5743FD">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3E75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295B0C7">
            <w:pPr>
              <w:widowControl/>
              <w:jc w:val="left"/>
              <w:rPr>
                <w:rFonts w:hint="eastAsia" w:ascii="宋体" w:hAnsi="宋体"/>
                <w:color w:val="auto"/>
                <w:sz w:val="24"/>
                <w:highlight w:val="none"/>
              </w:rPr>
            </w:pPr>
            <w:r>
              <w:rPr>
                <w:rFonts w:hint="eastAsia" w:ascii="宋体" w:hAnsi="宋体"/>
                <w:color w:val="auto"/>
                <w:sz w:val="24"/>
                <w:highlight w:val="none"/>
              </w:rPr>
              <w:t>802-10-1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1673149">
            <w:pPr>
              <w:widowControl/>
              <w:jc w:val="left"/>
              <w:rPr>
                <w:rFonts w:hint="eastAsia" w:ascii="宋体" w:hAnsi="宋体"/>
                <w:color w:val="auto"/>
                <w:sz w:val="24"/>
                <w:highlight w:val="none"/>
              </w:rPr>
            </w:pPr>
            <w:r>
              <w:rPr>
                <w:rFonts w:hint="eastAsia" w:ascii="宋体" w:hAnsi="宋体"/>
                <w:color w:val="auto"/>
                <w:sz w:val="24"/>
                <w:highlight w:val="none"/>
              </w:rPr>
              <w:t>人孔</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C6E895">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3964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7EEF1CB">
            <w:pPr>
              <w:widowControl/>
              <w:jc w:val="left"/>
              <w:rPr>
                <w:rFonts w:hint="eastAsia" w:ascii="宋体" w:hAnsi="宋体"/>
                <w:color w:val="auto"/>
                <w:sz w:val="24"/>
                <w:highlight w:val="none"/>
              </w:rPr>
            </w:pPr>
            <w:r>
              <w:rPr>
                <w:rFonts w:hint="eastAsia" w:ascii="宋体" w:hAnsi="宋体"/>
                <w:color w:val="auto"/>
                <w:sz w:val="24"/>
                <w:highlight w:val="none"/>
              </w:rPr>
              <w:t>802-10-1-1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0EBE262">
            <w:pPr>
              <w:widowControl/>
              <w:jc w:val="left"/>
              <w:rPr>
                <w:rFonts w:hint="eastAsia" w:ascii="宋体" w:hAnsi="宋体"/>
                <w:color w:val="auto"/>
                <w:sz w:val="24"/>
                <w:highlight w:val="none"/>
              </w:rPr>
            </w:pPr>
            <w:r>
              <w:rPr>
                <w:rFonts w:hint="eastAsia" w:ascii="宋体" w:hAnsi="宋体"/>
                <w:color w:val="auto"/>
                <w:sz w:val="24"/>
                <w:highlight w:val="none"/>
              </w:rPr>
              <w:t>1160x960x1200mm路灯拉线井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8617C82">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2D08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7A197F4">
            <w:pPr>
              <w:widowControl/>
              <w:jc w:val="left"/>
              <w:rPr>
                <w:rFonts w:hint="eastAsia" w:ascii="宋体" w:hAnsi="宋体"/>
                <w:color w:val="auto"/>
                <w:sz w:val="24"/>
                <w:highlight w:val="none"/>
              </w:rPr>
            </w:pPr>
            <w:r>
              <w:rPr>
                <w:rFonts w:hint="eastAsia" w:ascii="宋体" w:hAnsi="宋体"/>
                <w:color w:val="auto"/>
                <w:sz w:val="24"/>
                <w:highlight w:val="none"/>
              </w:rPr>
              <w:t>802-10-1-2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A1C9BDA">
            <w:pPr>
              <w:widowControl/>
              <w:jc w:val="left"/>
              <w:rPr>
                <w:rFonts w:hint="eastAsia" w:ascii="宋体" w:hAnsi="宋体"/>
                <w:color w:val="auto"/>
                <w:sz w:val="24"/>
                <w:highlight w:val="none"/>
              </w:rPr>
            </w:pPr>
            <w:r>
              <w:rPr>
                <w:rFonts w:hint="eastAsia" w:ascii="宋体" w:hAnsi="宋体"/>
                <w:color w:val="auto"/>
                <w:sz w:val="24"/>
                <w:highlight w:val="none"/>
              </w:rPr>
              <w:t>1160x960x1500mm路灯过路工作井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C9B128">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5AD1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797BD0C">
            <w:pPr>
              <w:widowControl/>
              <w:jc w:val="left"/>
              <w:rPr>
                <w:rFonts w:hint="eastAsia" w:ascii="宋体" w:hAnsi="宋体"/>
                <w:color w:val="auto"/>
                <w:sz w:val="24"/>
                <w:highlight w:val="none"/>
              </w:rPr>
            </w:pPr>
            <w:r>
              <w:rPr>
                <w:rFonts w:hint="eastAsia" w:ascii="宋体" w:hAnsi="宋体"/>
                <w:color w:val="auto"/>
                <w:sz w:val="24"/>
                <w:highlight w:val="none"/>
              </w:rPr>
              <w:t>802-10-1-3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3BEEE9B">
            <w:pPr>
              <w:widowControl/>
              <w:jc w:val="left"/>
              <w:rPr>
                <w:rFonts w:hint="eastAsia" w:ascii="宋体" w:hAnsi="宋体"/>
                <w:color w:val="auto"/>
                <w:sz w:val="24"/>
                <w:highlight w:val="none"/>
              </w:rPr>
            </w:pPr>
            <w:r>
              <w:rPr>
                <w:rFonts w:hint="eastAsia" w:ascii="宋体" w:hAnsi="宋体"/>
                <w:color w:val="auto"/>
                <w:sz w:val="24"/>
                <w:highlight w:val="none"/>
              </w:rPr>
              <w:t>过桥盖板1160x960(长x宽)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88FD45">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0AB3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F9FFBCB">
            <w:pPr>
              <w:widowControl/>
              <w:jc w:val="left"/>
              <w:rPr>
                <w:rFonts w:hint="eastAsia" w:ascii="宋体" w:hAnsi="宋体"/>
                <w:color w:val="auto"/>
                <w:sz w:val="24"/>
                <w:highlight w:val="none"/>
              </w:rPr>
            </w:pPr>
            <w:r>
              <w:rPr>
                <w:rFonts w:hint="eastAsia" w:ascii="宋体" w:hAnsi="宋体"/>
                <w:color w:val="auto"/>
                <w:sz w:val="24"/>
                <w:highlight w:val="none"/>
              </w:rPr>
              <w:t>802-10-1-4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1E2142D">
            <w:pPr>
              <w:widowControl/>
              <w:jc w:val="left"/>
              <w:rPr>
                <w:rFonts w:hint="eastAsia" w:ascii="宋体" w:hAnsi="宋体"/>
                <w:color w:val="auto"/>
                <w:sz w:val="24"/>
                <w:highlight w:val="none"/>
              </w:rPr>
            </w:pPr>
            <w:r>
              <w:rPr>
                <w:rFonts w:hint="eastAsia" w:ascii="宋体" w:hAnsi="宋体"/>
                <w:color w:val="auto"/>
                <w:sz w:val="24"/>
                <w:highlight w:val="none"/>
              </w:rPr>
              <w:t>10kVL2排管电力井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035C66">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0A95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EE3AD48">
            <w:pPr>
              <w:widowControl/>
              <w:jc w:val="left"/>
              <w:rPr>
                <w:rFonts w:hint="eastAsia" w:ascii="宋体" w:hAnsi="宋体"/>
                <w:color w:val="auto"/>
                <w:sz w:val="24"/>
                <w:highlight w:val="none"/>
              </w:rPr>
            </w:pPr>
            <w:r>
              <w:rPr>
                <w:rFonts w:hint="eastAsia" w:ascii="宋体" w:hAnsi="宋体"/>
                <w:color w:val="auto"/>
                <w:sz w:val="24"/>
                <w:highlight w:val="none"/>
              </w:rPr>
              <w:t>802-10-1-5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9A9EA85">
            <w:pPr>
              <w:widowControl/>
              <w:jc w:val="left"/>
              <w:rPr>
                <w:rFonts w:hint="eastAsia" w:ascii="宋体" w:hAnsi="宋体"/>
                <w:color w:val="auto"/>
                <w:sz w:val="24"/>
                <w:highlight w:val="none"/>
              </w:rPr>
            </w:pPr>
            <w:r>
              <w:rPr>
                <w:rFonts w:hint="eastAsia" w:ascii="宋体" w:hAnsi="宋体"/>
                <w:color w:val="auto"/>
                <w:sz w:val="24"/>
                <w:highlight w:val="none"/>
              </w:rPr>
              <w:t>管线连接大井（2#）（116×96×130cm）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B82D2FE">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621C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D382501">
            <w:pPr>
              <w:widowControl/>
              <w:jc w:val="left"/>
              <w:rPr>
                <w:rFonts w:hint="eastAsia" w:ascii="宋体" w:hAnsi="宋体"/>
                <w:color w:val="auto"/>
                <w:sz w:val="24"/>
                <w:highlight w:val="none"/>
              </w:rPr>
            </w:pPr>
            <w:r>
              <w:rPr>
                <w:rFonts w:hint="eastAsia" w:ascii="宋体" w:hAnsi="宋体"/>
                <w:color w:val="auto"/>
                <w:sz w:val="24"/>
                <w:highlight w:val="none"/>
              </w:rPr>
              <w:t>802-10-1-6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65DFFE4">
            <w:pPr>
              <w:widowControl/>
              <w:jc w:val="left"/>
              <w:rPr>
                <w:rFonts w:hint="eastAsia" w:ascii="宋体" w:hAnsi="宋体"/>
                <w:color w:val="auto"/>
                <w:sz w:val="24"/>
                <w:highlight w:val="none"/>
              </w:rPr>
            </w:pPr>
            <w:r>
              <w:rPr>
                <w:rFonts w:hint="eastAsia" w:ascii="宋体" w:hAnsi="宋体"/>
                <w:color w:val="auto"/>
                <w:sz w:val="24"/>
                <w:highlight w:val="none"/>
              </w:rPr>
              <w:t>管线连接小井（4#）（76×76×60cm）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3F3E80">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1A5F84DF">
      <w:pPr>
        <w:spacing w:line="360" w:lineRule="auto"/>
        <w:jc w:val="left"/>
        <w:rPr>
          <w:rFonts w:hint="eastAsia" w:ascii="宋体" w:hAnsi="宋体"/>
          <w:b/>
          <w:color w:val="auto"/>
          <w:sz w:val="24"/>
          <w:highlight w:val="none"/>
        </w:rPr>
      </w:pPr>
    </w:p>
    <w:p w14:paraId="33427A72">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 803 节  通信系统</w:t>
      </w:r>
    </w:p>
    <w:p w14:paraId="158D6244">
      <w:pPr>
        <w:spacing w:line="360" w:lineRule="auto"/>
        <w:ind w:left="1058" w:leftChars="504"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6A1ABB99">
      <w:pPr>
        <w:spacing w:line="360" w:lineRule="auto"/>
        <w:ind w:left="1058" w:leftChars="504" w:firstLine="480" w:firstLineChars="200"/>
        <w:jc w:val="left"/>
        <w:textAlignment w:val="baseline"/>
        <w:rPr>
          <w:rFonts w:hint="eastAsia" w:ascii="宋体" w:hAnsi="宋体" w:cs="宋体"/>
          <w:color w:val="auto"/>
          <w:kern w:val="0"/>
          <w:sz w:val="24"/>
          <w:highlight w:val="none"/>
        </w:rPr>
      </w:pPr>
      <w:r>
        <w:rPr>
          <w:rFonts w:hint="eastAsia" w:ascii="宋体" w:hAnsi="宋体" w:cs="宋体"/>
          <w:color w:val="auto"/>
          <w:kern w:val="0"/>
          <w:sz w:val="24"/>
          <w:highlight w:val="none"/>
        </w:rPr>
        <w:t>(1)光缆应按技术规范和设计要求实施，经监理人验收，按芯数不同以米为单位计量，计量中包括了光缆敷设的辅助性工作和附属材料。</w:t>
      </w:r>
    </w:p>
    <w:p w14:paraId="4E03BE85">
      <w:pPr>
        <w:spacing w:line="360" w:lineRule="auto"/>
        <w:ind w:left="1058" w:leftChars="504"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09C0EFAE">
      <w:pPr>
        <w:spacing w:line="360" w:lineRule="auto"/>
        <w:ind w:left="1058" w:leftChars="504"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或总额价支付。此项支付包括材料、劳力、设备、工具、运输、安装、调测和场地清理等及其他为完成通信系统工程所必需的费用，是对完成工程的全部偿付。</w:t>
      </w:r>
    </w:p>
    <w:p w14:paraId="25032652">
      <w:pPr>
        <w:spacing w:line="360" w:lineRule="auto"/>
        <w:ind w:left="1058" w:leftChars="504"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E01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010793BC">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4F9593EB">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03A1149A">
            <w:pPr>
              <w:jc w:val="left"/>
              <w:rPr>
                <w:rFonts w:hint="eastAsia" w:ascii="宋体" w:hAnsi="宋体"/>
                <w:color w:val="auto"/>
                <w:sz w:val="24"/>
                <w:highlight w:val="none"/>
              </w:rPr>
            </w:pPr>
            <w:r>
              <w:rPr>
                <w:rFonts w:hint="eastAsia" w:ascii="宋体" w:hAnsi="宋体"/>
                <w:color w:val="auto"/>
                <w:sz w:val="24"/>
                <w:highlight w:val="none"/>
              </w:rPr>
              <w:t>单位</w:t>
            </w:r>
          </w:p>
        </w:tc>
      </w:tr>
      <w:tr w14:paraId="3E13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B8F61DF">
            <w:pPr>
              <w:widowControl/>
              <w:jc w:val="left"/>
              <w:rPr>
                <w:rFonts w:ascii="宋体" w:hAnsi="宋体"/>
                <w:color w:val="auto"/>
                <w:sz w:val="24"/>
                <w:highlight w:val="none"/>
              </w:rPr>
            </w:pPr>
            <w:r>
              <w:rPr>
                <w:rFonts w:hint="eastAsia" w:ascii="宋体" w:hAnsi="宋体"/>
                <w:color w:val="auto"/>
                <w:sz w:val="24"/>
                <w:highlight w:val="none"/>
              </w:rPr>
              <w:t>803-7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8FC0613">
            <w:pPr>
              <w:widowControl/>
              <w:jc w:val="left"/>
              <w:rPr>
                <w:rFonts w:hint="eastAsia" w:ascii="宋体" w:hAnsi="宋体"/>
                <w:color w:val="auto"/>
                <w:sz w:val="24"/>
                <w:highlight w:val="none"/>
              </w:rPr>
            </w:pPr>
            <w:r>
              <w:rPr>
                <w:rFonts w:hint="eastAsia" w:ascii="宋体" w:hAnsi="宋体"/>
                <w:color w:val="auto"/>
                <w:sz w:val="24"/>
                <w:highlight w:val="none"/>
              </w:rPr>
              <w:t>光缆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E1147E">
            <w:pPr>
              <w:widowControl/>
              <w:jc w:val="left"/>
              <w:rPr>
                <w:rFonts w:hint="eastAsia" w:ascii="宋体" w:hAnsi="宋体"/>
                <w:color w:val="auto"/>
                <w:sz w:val="24"/>
                <w:highlight w:val="none"/>
              </w:rPr>
            </w:pPr>
          </w:p>
        </w:tc>
      </w:tr>
      <w:tr w14:paraId="564A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89D01A9">
            <w:pPr>
              <w:widowControl/>
              <w:jc w:val="left"/>
              <w:rPr>
                <w:rFonts w:hint="eastAsia" w:ascii="宋体" w:hAnsi="宋体"/>
                <w:color w:val="auto"/>
                <w:sz w:val="24"/>
                <w:highlight w:val="none"/>
              </w:rPr>
            </w:pPr>
            <w:r>
              <w:rPr>
                <w:rFonts w:hint="eastAsia" w:ascii="宋体" w:hAnsi="宋体"/>
                <w:color w:val="auto"/>
                <w:sz w:val="24"/>
                <w:highlight w:val="none"/>
              </w:rPr>
              <w:t>803-7-1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4A7ED33">
            <w:pPr>
              <w:widowControl/>
              <w:jc w:val="left"/>
              <w:rPr>
                <w:rFonts w:hint="eastAsia" w:ascii="宋体" w:hAnsi="宋体"/>
                <w:color w:val="auto"/>
                <w:sz w:val="24"/>
                <w:highlight w:val="none"/>
              </w:rPr>
            </w:pPr>
            <w:r>
              <w:rPr>
                <w:rFonts w:hint="eastAsia" w:ascii="宋体" w:hAnsi="宋体"/>
                <w:color w:val="auto"/>
                <w:sz w:val="24"/>
                <w:highlight w:val="none"/>
              </w:rPr>
              <w:t>单模光缆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34F13A">
            <w:pPr>
              <w:widowControl/>
              <w:jc w:val="left"/>
              <w:rPr>
                <w:rFonts w:hint="eastAsia" w:ascii="宋体" w:hAnsi="宋体"/>
                <w:color w:val="auto"/>
                <w:sz w:val="24"/>
                <w:highlight w:val="none"/>
              </w:rPr>
            </w:pPr>
          </w:p>
        </w:tc>
      </w:tr>
      <w:tr w14:paraId="44DC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E7A7117">
            <w:pPr>
              <w:widowControl/>
              <w:jc w:val="left"/>
              <w:rPr>
                <w:rFonts w:hint="eastAsia" w:ascii="宋体" w:hAnsi="宋体"/>
                <w:color w:val="auto"/>
                <w:sz w:val="24"/>
                <w:highlight w:val="none"/>
              </w:rPr>
            </w:pPr>
            <w:r>
              <w:rPr>
                <w:rFonts w:hint="eastAsia" w:ascii="宋体" w:hAnsi="宋体"/>
                <w:color w:val="auto"/>
                <w:sz w:val="24"/>
                <w:highlight w:val="none"/>
              </w:rPr>
              <w:t>803-7-1-1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9D81EFA">
            <w:pPr>
              <w:widowControl/>
              <w:jc w:val="left"/>
              <w:rPr>
                <w:rFonts w:hint="eastAsia" w:ascii="宋体" w:hAnsi="宋体"/>
                <w:color w:val="auto"/>
                <w:sz w:val="24"/>
                <w:highlight w:val="none"/>
              </w:rPr>
            </w:pPr>
            <w:r>
              <w:rPr>
                <w:rFonts w:hint="eastAsia" w:ascii="宋体" w:hAnsi="宋体"/>
                <w:color w:val="auto"/>
                <w:sz w:val="24"/>
                <w:highlight w:val="none"/>
              </w:rPr>
              <w:t>六类线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506FF07">
            <w:pPr>
              <w:widowControl/>
              <w:jc w:val="left"/>
              <w:rPr>
                <w:rFonts w:hint="eastAsia" w:ascii="宋体" w:hAnsi="宋体"/>
                <w:color w:val="auto"/>
                <w:sz w:val="24"/>
                <w:highlight w:val="none"/>
              </w:rPr>
            </w:pPr>
            <w:r>
              <w:rPr>
                <w:rFonts w:hint="eastAsia" w:ascii="宋体" w:hAnsi="宋体"/>
                <w:color w:val="auto"/>
                <w:sz w:val="24"/>
                <w:highlight w:val="none"/>
              </w:rPr>
              <w:t>m</w:t>
            </w:r>
          </w:p>
        </w:tc>
      </w:tr>
    </w:tbl>
    <w:p w14:paraId="58618643">
      <w:pPr>
        <w:spacing w:line="360" w:lineRule="auto"/>
        <w:jc w:val="left"/>
        <w:rPr>
          <w:rFonts w:hint="eastAsia" w:ascii="宋体" w:hAnsi="宋体"/>
          <w:b/>
          <w:color w:val="auto"/>
          <w:sz w:val="24"/>
          <w:highlight w:val="none"/>
        </w:rPr>
      </w:pPr>
    </w:p>
    <w:p w14:paraId="6F7C3809">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 804 节  监控系统</w:t>
      </w:r>
    </w:p>
    <w:p w14:paraId="4FBB5B4B">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08A508AF">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(1)立柱式信息标志板、悬臂式信息标志板、门架式信息标志板、移动式信息标志板等均作为终端显示设备，按技术规范和设计要求实施，经监理人验收，以套为计量单位，计量中均包含了显示屏、立柱、控制器、机箱、基础、接地以及附属设备、附属材料等。</w:t>
      </w:r>
    </w:p>
    <w:p w14:paraId="17B3E331">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(2)交通信号灯按技术规范和设计要求实施，经监理人验收，以套为计量单位，计量中均包含了包括信号灯、灯罩、机箱、立柱、基础及接地、附属材料和设备等。</w:t>
      </w:r>
    </w:p>
    <w:p w14:paraId="6EA32A58">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(3)车道指示器按技术规范和设计要求实施，经监理人验收，以套为计量单位，计量中包含了 LED 现实模块、机箱、支架及附属材料、设备等。</w:t>
      </w:r>
    </w:p>
    <w:p w14:paraId="1AE22B92">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(4)灯箱标志按技术规范和设计要求实施，经监理人验收，以套为计量单位，计量中包含了附属材料等。</w:t>
      </w:r>
    </w:p>
    <w:p w14:paraId="66DA1E49">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(5)能见度检测器、风向风速检测器、一氧化碳检测器、烟幕透过率检测器均按技术规范和设计要求实施，经监理人验收，以套为计量单位，计量中包含了传感器、立柱（支架）、基础、机箱、接地以及附属设备、附属材料等。</w:t>
      </w:r>
    </w:p>
    <w:p w14:paraId="10C0A1C7">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(6)高速智能球形摄像机应按技术规范和设计要求实施，经监理人验收，以套为计量单位，计量中包含了摄像机、镜头、防护罩、云台、雨刷、机箱、立柱、支架、基础、接地以及附属设备、附属材料等。</w:t>
      </w:r>
    </w:p>
    <w:p w14:paraId="5BA4B787">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(7)线圈车辆检测器应按技术规范和设计要求实施， 经监理人验收， 以套为计量单位，计量中包含了传感器、控制箱及基础、挖槽、敷设、密封、线圈及馈线等。</w:t>
      </w:r>
    </w:p>
    <w:p w14:paraId="62F1BE46">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(8)视频车辆检测器、微波车辆检测器、车辆分离器均按技术规范和设计要求实施，经监理人验收，以套为计量单位，计量中包含了传感器、机箱、立柱、基础及接地、附属材料等。</w:t>
      </w:r>
    </w:p>
    <w:p w14:paraId="12730C40">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(9)LED 显示屏应按技术规范和设计要求实施，经监理人验收，以套为计量单位，计量中还包含了控制器、驱动器及相应的附属线缆等。</w:t>
      </w:r>
    </w:p>
    <w:p w14:paraId="2B36D6B4">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(10)监视器按技术规范和设计要求实施，经监理人验收，以台为计量单位，计量中包含了配套线缆等附属材料；综合监视器墙按要求实施，经监理人验收，按平面尺寸以套为计量单位。控制台、操作台按要求实施，经监理人验收，以台为计量单位，配套座椅作为附属，不单独计量。</w:t>
      </w:r>
    </w:p>
    <w:p w14:paraId="1C33CF5B">
      <w:pPr>
        <w:spacing w:line="360" w:lineRule="auto"/>
        <w:ind w:left="840" w:leftChars="400" w:right="1184" w:rightChars="564" w:firstLine="480" w:firstLineChars="200"/>
        <w:jc w:val="left"/>
        <w:rPr>
          <w:rFonts w:hint="eastAsia" w:ascii="宋体" w:hAnsi="宋体"/>
          <w:color w:val="auto"/>
          <w:sz w:val="24"/>
          <w:highlight w:val="none"/>
        </w:rPr>
      </w:pPr>
      <w:r>
        <w:rPr>
          <w:rFonts w:hint="eastAsia" w:ascii="宋体" w:hAnsi="宋体"/>
          <w:color w:val="auto"/>
          <w:sz w:val="24"/>
          <w:highlight w:val="none"/>
        </w:rPr>
        <w:t>(11)硬盘录像机按技术规范和设计要求实施，经监理人验收，以台为计量单位，计量中包含配套线缆等附属材料。</w:t>
      </w:r>
    </w:p>
    <w:p w14:paraId="735B01CA">
      <w:pPr>
        <w:spacing w:line="360" w:lineRule="auto"/>
        <w:ind w:left="1260" w:leftChars="600" w:right="1184" w:rightChars="564" w:firstLine="0" w:firstLineChars="0"/>
        <w:jc w:val="left"/>
        <w:rPr>
          <w:rFonts w:hint="eastAsia" w:ascii="宋体" w:hAnsi="宋体" w:eastAsia="宋体"/>
          <w:color w:val="auto"/>
          <w:sz w:val="24"/>
          <w:highlight w:val="none"/>
          <w:lang w:eastAsia="zh-CN"/>
        </w:rPr>
      </w:pPr>
      <w:r>
        <w:rPr>
          <w:rFonts w:hint="eastAsia" w:ascii="宋体" w:hAnsi="宋体"/>
          <w:color w:val="auto"/>
          <w:sz w:val="24"/>
          <w:highlight w:val="none"/>
        </w:rPr>
        <w:t>(12)区域控制器按技术规范和设计要求实施，经监理人验收，</w:t>
      </w:r>
      <w:r>
        <w:rPr>
          <w:rFonts w:hint="eastAsia" w:ascii="宋体" w:hAnsi="宋体"/>
          <w:color w:val="auto"/>
          <w:sz w:val="24"/>
          <w:highlight w:val="none"/>
          <w:lang w:eastAsia="zh-CN"/>
        </w:rPr>
        <w:t>分类型</w:t>
      </w:r>
      <w:r>
        <w:rPr>
          <w:rFonts w:hint="eastAsia" w:ascii="宋体" w:hAnsi="宋体" w:eastAsia="宋体" w:cs="宋体"/>
          <w:color w:val="auto"/>
          <w:sz w:val="24"/>
          <w:highlight w:val="none"/>
        </w:rPr>
        <w:t>按照图纸完成所有工作以</w:t>
      </w:r>
      <w:r>
        <w:rPr>
          <w:rFonts w:hint="eastAsia" w:ascii="宋体" w:hAnsi="宋体" w:eastAsia="宋体" w:cs="宋体"/>
          <w:color w:val="auto"/>
          <w:sz w:val="24"/>
          <w:highlight w:val="none"/>
          <w:lang w:eastAsia="zh-CN"/>
        </w:rPr>
        <w:t>套</w:t>
      </w:r>
      <w:r>
        <w:rPr>
          <w:rFonts w:hint="eastAsia" w:ascii="宋体" w:hAnsi="宋体" w:eastAsia="宋体" w:cs="宋体"/>
          <w:color w:val="auto"/>
          <w:sz w:val="24"/>
          <w:highlight w:val="none"/>
        </w:rPr>
        <w:t>计量</w:t>
      </w:r>
      <w:r>
        <w:rPr>
          <w:rFonts w:hint="eastAsia" w:ascii="宋体" w:hAnsi="宋体" w:eastAsia="宋体" w:cs="宋体"/>
          <w:color w:val="auto"/>
          <w:sz w:val="24"/>
          <w:highlight w:val="none"/>
          <w:lang w:eastAsia="zh-CN"/>
        </w:rPr>
        <w:t>；光纤租赁</w:t>
      </w:r>
      <w:r>
        <w:rPr>
          <w:rFonts w:hint="eastAsia" w:ascii="宋体" w:hAnsi="宋体"/>
          <w:color w:val="auto"/>
          <w:sz w:val="24"/>
          <w:highlight w:val="none"/>
        </w:rPr>
        <w:t>经监理人</w:t>
      </w:r>
      <w:r>
        <w:rPr>
          <w:rFonts w:hint="eastAsia" w:ascii="宋体" w:hAnsi="宋体"/>
          <w:color w:val="auto"/>
          <w:sz w:val="24"/>
          <w:highlight w:val="none"/>
          <w:lang w:eastAsia="zh-CN"/>
        </w:rPr>
        <w:t>确认</w:t>
      </w:r>
      <w:r>
        <w:rPr>
          <w:rFonts w:hint="eastAsia" w:ascii="宋体" w:hAnsi="宋体"/>
          <w:color w:val="auto"/>
          <w:sz w:val="24"/>
          <w:highlight w:val="none"/>
        </w:rPr>
        <w:t>，</w:t>
      </w:r>
      <w:r>
        <w:rPr>
          <w:rFonts w:hint="eastAsia" w:ascii="宋体" w:hAnsi="宋体"/>
          <w:color w:val="auto"/>
          <w:sz w:val="24"/>
          <w:highlight w:val="none"/>
          <w:lang w:eastAsia="zh-CN"/>
        </w:rPr>
        <w:t>以</w:t>
      </w:r>
      <w:r>
        <w:rPr>
          <w:rFonts w:hint="eastAsia" w:ascii="宋体" w:hAnsi="宋体" w:eastAsia="宋体" w:cs="宋体"/>
          <w:color w:val="auto"/>
          <w:sz w:val="24"/>
          <w:highlight w:val="none"/>
        </w:rPr>
        <w:t>完成所有工作以</w:t>
      </w:r>
      <w:r>
        <w:rPr>
          <w:rFonts w:hint="eastAsia" w:ascii="宋体" w:hAnsi="宋体" w:eastAsia="宋体" w:cs="宋体"/>
          <w:color w:val="auto"/>
          <w:sz w:val="24"/>
          <w:highlight w:val="none"/>
          <w:lang w:eastAsia="zh-CN"/>
        </w:rPr>
        <w:t>总额</w:t>
      </w:r>
      <w:r>
        <w:rPr>
          <w:rFonts w:hint="eastAsia" w:ascii="宋体" w:hAnsi="宋体" w:eastAsia="宋体" w:cs="宋体"/>
          <w:color w:val="auto"/>
          <w:sz w:val="24"/>
          <w:highlight w:val="none"/>
        </w:rPr>
        <w:t>计量</w:t>
      </w:r>
      <w:r>
        <w:rPr>
          <w:rFonts w:hint="eastAsia" w:ascii="宋体" w:hAnsi="宋体" w:eastAsia="宋体" w:cs="宋体"/>
          <w:color w:val="auto"/>
          <w:sz w:val="24"/>
          <w:highlight w:val="none"/>
          <w:lang w:eastAsia="zh-CN"/>
        </w:rPr>
        <w:t>。</w:t>
      </w:r>
    </w:p>
    <w:p w14:paraId="52007DD8">
      <w:pPr>
        <w:spacing w:line="360" w:lineRule="auto"/>
        <w:ind w:left="1260" w:leftChars="600" w:right="1184" w:rightChars="564" w:firstLine="0" w:firstLineChars="0"/>
        <w:jc w:val="left"/>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3</w:t>
      </w:r>
      <w:r>
        <w:rPr>
          <w:rFonts w:hint="eastAsia" w:ascii="宋体" w:hAnsi="宋体"/>
          <w:color w:val="auto"/>
          <w:sz w:val="24"/>
          <w:highlight w:val="none"/>
        </w:rPr>
        <w:t>)所有挖基、挖槽以及回填、</w:t>
      </w:r>
      <w:r>
        <w:rPr>
          <w:rFonts w:hint="eastAsia" w:ascii="宋体" w:hAnsi="宋体"/>
          <w:color w:val="auto"/>
          <w:sz w:val="24"/>
          <w:highlight w:val="none"/>
          <w:lang w:eastAsia="zh-CN"/>
        </w:rPr>
        <w:t>基础、</w:t>
      </w:r>
      <w:r>
        <w:rPr>
          <w:rFonts w:hint="eastAsia" w:ascii="宋体" w:hAnsi="宋体"/>
          <w:color w:val="auto"/>
          <w:sz w:val="24"/>
          <w:highlight w:val="none"/>
        </w:rPr>
        <w:t>压实</w:t>
      </w:r>
      <w:r>
        <w:rPr>
          <w:rFonts w:hint="eastAsia" w:ascii="宋体" w:hAnsi="宋体"/>
          <w:color w:val="auto"/>
          <w:sz w:val="24"/>
          <w:highlight w:val="none"/>
          <w:lang w:eastAsia="zh-CN"/>
        </w:rPr>
        <w:t>、附件及技术服务、第三方测评费</w:t>
      </w:r>
      <w:r>
        <w:rPr>
          <w:rFonts w:hint="eastAsia" w:ascii="宋体" w:hAnsi="宋体"/>
          <w:color w:val="auto"/>
          <w:sz w:val="24"/>
          <w:highlight w:val="none"/>
        </w:rPr>
        <w:t>等均为各相关工程子目的附属工作，不另予计量。凡未列入计量子目的零星工程，均含在相关工程子目内，不另予计量。</w:t>
      </w:r>
    </w:p>
    <w:p w14:paraId="1BD8EC33">
      <w:pPr>
        <w:spacing w:line="360" w:lineRule="auto"/>
        <w:ind w:left="1260" w:leftChars="600" w:right="1184" w:rightChars="564" w:firstLine="0" w:firstLineChars="0"/>
        <w:jc w:val="left"/>
        <w:rPr>
          <w:rFonts w:hint="eastAsia" w:ascii="宋体" w:hAnsi="宋体"/>
          <w:color w:val="auto"/>
          <w:sz w:val="24"/>
          <w:highlight w:val="none"/>
        </w:rPr>
      </w:pPr>
      <w:r>
        <w:rPr>
          <w:rFonts w:hint="eastAsia" w:ascii="宋体" w:hAnsi="宋体"/>
          <w:color w:val="auto"/>
          <w:sz w:val="24"/>
          <w:highlight w:val="none"/>
        </w:rPr>
        <w:t>2、支付</w:t>
      </w:r>
    </w:p>
    <w:p w14:paraId="60B40308">
      <w:pPr>
        <w:spacing w:line="360" w:lineRule="auto"/>
        <w:ind w:left="1260" w:leftChars="600" w:right="1184" w:rightChars="564" w:firstLine="0" w:firstLineChars="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或总额价支付。此项支付包括材料、劳力、设备、工具、运输、安装、调测和场地清理等及其他为完成监控系统工程所必需的费用，是对完成工程的全部偿付。</w:t>
      </w:r>
    </w:p>
    <w:p w14:paraId="6FC11F50">
      <w:pPr>
        <w:spacing w:line="360" w:lineRule="auto"/>
        <w:ind w:left="1260" w:leftChars="600" w:right="1184" w:rightChars="564" w:firstLine="0" w:firstLineChars="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09E1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3C7CDE1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86D283C">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2B27CEFF">
            <w:pPr>
              <w:jc w:val="left"/>
              <w:rPr>
                <w:rFonts w:hint="eastAsia" w:ascii="宋体" w:hAnsi="宋体"/>
                <w:color w:val="auto"/>
                <w:sz w:val="24"/>
                <w:highlight w:val="none"/>
              </w:rPr>
            </w:pPr>
            <w:r>
              <w:rPr>
                <w:rFonts w:hint="eastAsia" w:ascii="宋体" w:hAnsi="宋体"/>
                <w:color w:val="auto"/>
                <w:sz w:val="24"/>
                <w:highlight w:val="none"/>
              </w:rPr>
              <w:t>单位</w:t>
            </w:r>
          </w:p>
        </w:tc>
      </w:tr>
      <w:tr w14:paraId="3B37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50222580">
            <w:pPr>
              <w:widowControl/>
              <w:jc w:val="left"/>
              <w:rPr>
                <w:rFonts w:ascii="宋体" w:hAnsi="宋体"/>
                <w:color w:val="auto"/>
                <w:sz w:val="24"/>
                <w:highlight w:val="none"/>
              </w:rPr>
            </w:pPr>
            <w:r>
              <w:rPr>
                <w:rFonts w:hint="eastAsia" w:ascii="宋体" w:hAnsi="宋体"/>
                <w:color w:val="auto"/>
                <w:sz w:val="24"/>
                <w:highlight w:val="none"/>
              </w:rPr>
              <w:t>804-1</w:t>
            </w:r>
          </w:p>
        </w:tc>
        <w:tc>
          <w:tcPr>
            <w:tcW w:w="5400" w:type="dxa"/>
            <w:noWrap w:val="0"/>
            <w:vAlign w:val="center"/>
          </w:tcPr>
          <w:p w14:paraId="1DCB00BA">
            <w:pPr>
              <w:widowControl/>
              <w:jc w:val="left"/>
              <w:rPr>
                <w:rFonts w:ascii="宋体" w:hAnsi="宋体"/>
                <w:color w:val="auto"/>
                <w:sz w:val="24"/>
                <w:highlight w:val="none"/>
              </w:rPr>
            </w:pPr>
            <w:r>
              <w:rPr>
                <w:rFonts w:hint="eastAsia" w:ascii="宋体" w:hAnsi="宋体"/>
                <w:color w:val="auto"/>
                <w:sz w:val="24"/>
                <w:highlight w:val="none"/>
              </w:rPr>
              <w:t>信息标志</w:t>
            </w:r>
          </w:p>
        </w:tc>
        <w:tc>
          <w:tcPr>
            <w:tcW w:w="1260" w:type="dxa"/>
            <w:noWrap w:val="0"/>
            <w:vAlign w:val="center"/>
          </w:tcPr>
          <w:p w14:paraId="35326524">
            <w:pPr>
              <w:widowControl/>
              <w:jc w:val="left"/>
              <w:rPr>
                <w:rFonts w:ascii="宋体" w:hAnsi="宋体"/>
                <w:color w:val="auto"/>
                <w:sz w:val="24"/>
                <w:highlight w:val="none"/>
              </w:rPr>
            </w:pPr>
          </w:p>
        </w:tc>
      </w:tr>
      <w:tr w14:paraId="0009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16725CD">
            <w:pPr>
              <w:widowControl/>
              <w:jc w:val="left"/>
              <w:rPr>
                <w:rFonts w:ascii="宋体" w:hAnsi="宋体"/>
                <w:color w:val="auto"/>
                <w:sz w:val="24"/>
                <w:highlight w:val="none"/>
              </w:rPr>
            </w:pPr>
            <w:r>
              <w:rPr>
                <w:rFonts w:hint="eastAsia" w:ascii="宋体" w:hAnsi="宋体"/>
                <w:color w:val="auto"/>
                <w:sz w:val="24"/>
                <w:highlight w:val="none"/>
              </w:rPr>
              <w:t>804-1-2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30C97C0">
            <w:pPr>
              <w:widowControl/>
              <w:jc w:val="left"/>
              <w:rPr>
                <w:rFonts w:hint="eastAsia" w:ascii="宋体" w:hAnsi="宋体"/>
                <w:color w:val="auto"/>
                <w:sz w:val="24"/>
                <w:highlight w:val="none"/>
              </w:rPr>
            </w:pPr>
            <w:r>
              <w:rPr>
                <w:rFonts w:hint="eastAsia" w:ascii="宋体" w:hAnsi="宋体"/>
                <w:color w:val="auto"/>
                <w:sz w:val="24"/>
                <w:highlight w:val="none"/>
              </w:rPr>
              <w:t>悬臂式信息标志板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ADF38D">
            <w:pPr>
              <w:widowControl/>
              <w:jc w:val="left"/>
              <w:rPr>
                <w:rFonts w:hint="eastAsia" w:ascii="宋体" w:hAnsi="宋体"/>
                <w:color w:val="auto"/>
                <w:sz w:val="24"/>
                <w:highlight w:val="none"/>
              </w:rPr>
            </w:pPr>
          </w:p>
        </w:tc>
      </w:tr>
      <w:tr w14:paraId="6499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5BD4A5C">
            <w:pPr>
              <w:widowControl/>
              <w:jc w:val="left"/>
              <w:rPr>
                <w:rFonts w:hint="eastAsia" w:ascii="宋体" w:hAnsi="宋体"/>
                <w:color w:val="auto"/>
                <w:sz w:val="24"/>
                <w:highlight w:val="none"/>
              </w:rPr>
            </w:pPr>
            <w:r>
              <w:rPr>
                <w:rFonts w:hint="eastAsia" w:ascii="宋体" w:hAnsi="宋体"/>
                <w:color w:val="auto"/>
                <w:sz w:val="24"/>
                <w:highlight w:val="none"/>
              </w:rPr>
              <w:t>804-1-2-1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E522CD9">
            <w:pPr>
              <w:widowControl/>
              <w:jc w:val="left"/>
              <w:rPr>
                <w:rFonts w:hint="eastAsia" w:ascii="宋体" w:hAnsi="宋体"/>
                <w:color w:val="auto"/>
                <w:sz w:val="24"/>
                <w:highlight w:val="none"/>
              </w:rPr>
            </w:pPr>
            <w:r>
              <w:rPr>
                <w:rFonts w:hint="eastAsia" w:ascii="宋体" w:hAnsi="宋体"/>
                <w:color w:val="auto"/>
                <w:sz w:val="24"/>
                <w:highlight w:val="none"/>
              </w:rPr>
              <w:t>悬臂式L杆（L=8米含基础等）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5C82241">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3D40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D07B2E8">
            <w:pPr>
              <w:widowControl/>
              <w:jc w:val="left"/>
              <w:rPr>
                <w:rFonts w:hint="eastAsia" w:ascii="宋体" w:hAnsi="宋体"/>
                <w:color w:val="auto"/>
                <w:sz w:val="24"/>
                <w:highlight w:val="none"/>
              </w:rPr>
            </w:pPr>
            <w:r>
              <w:rPr>
                <w:rFonts w:hint="eastAsia" w:ascii="宋体" w:hAnsi="宋体"/>
                <w:color w:val="auto"/>
                <w:sz w:val="24"/>
                <w:highlight w:val="none"/>
              </w:rPr>
              <w:t>804-1-2-2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6AE79AE">
            <w:pPr>
              <w:widowControl/>
              <w:jc w:val="left"/>
              <w:rPr>
                <w:rFonts w:hint="eastAsia" w:ascii="宋体" w:hAnsi="宋体"/>
                <w:color w:val="auto"/>
                <w:sz w:val="24"/>
                <w:highlight w:val="none"/>
              </w:rPr>
            </w:pPr>
            <w:r>
              <w:rPr>
                <w:rFonts w:hint="eastAsia" w:ascii="宋体" w:hAnsi="宋体"/>
                <w:color w:val="auto"/>
                <w:sz w:val="24"/>
                <w:highlight w:val="none"/>
              </w:rPr>
              <w:t>悬臂式L杆（L=10米含基础等）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463AB7">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27C8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E2E497E">
            <w:pPr>
              <w:widowControl/>
              <w:jc w:val="left"/>
              <w:rPr>
                <w:rFonts w:hint="eastAsia" w:ascii="宋体" w:hAnsi="宋体"/>
                <w:color w:val="auto"/>
                <w:sz w:val="24"/>
                <w:highlight w:val="none"/>
              </w:rPr>
            </w:pPr>
            <w:r>
              <w:rPr>
                <w:rFonts w:hint="eastAsia" w:ascii="宋体" w:hAnsi="宋体"/>
                <w:color w:val="auto"/>
                <w:sz w:val="24"/>
                <w:highlight w:val="none"/>
              </w:rPr>
              <w:t>804-1-2-3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63534A2">
            <w:pPr>
              <w:widowControl/>
              <w:jc w:val="left"/>
              <w:rPr>
                <w:rFonts w:hint="eastAsia" w:ascii="宋体" w:hAnsi="宋体"/>
                <w:color w:val="auto"/>
                <w:sz w:val="24"/>
                <w:highlight w:val="none"/>
              </w:rPr>
            </w:pPr>
            <w:r>
              <w:rPr>
                <w:rFonts w:hint="eastAsia" w:ascii="宋体" w:hAnsi="宋体"/>
                <w:color w:val="auto"/>
                <w:sz w:val="24"/>
                <w:highlight w:val="none"/>
              </w:rPr>
              <w:t>抓拍提示牌“拍摄路段”+“监控牌”Ⅳ类反光膜指示牌</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408F4B">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7AA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9DFC05E">
            <w:pPr>
              <w:widowControl/>
              <w:jc w:val="left"/>
              <w:rPr>
                <w:rFonts w:hint="eastAsia" w:ascii="宋体" w:hAnsi="宋体"/>
                <w:color w:val="auto"/>
                <w:sz w:val="24"/>
                <w:highlight w:val="none"/>
              </w:rPr>
            </w:pPr>
            <w:r>
              <w:rPr>
                <w:rFonts w:hint="eastAsia" w:ascii="宋体" w:hAnsi="宋体"/>
                <w:color w:val="auto"/>
                <w:sz w:val="24"/>
                <w:highlight w:val="none"/>
              </w:rPr>
              <w:t>804-1-5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7DEEE54">
            <w:pPr>
              <w:widowControl/>
              <w:jc w:val="left"/>
              <w:rPr>
                <w:rFonts w:hint="eastAsia" w:ascii="宋体" w:hAnsi="宋体"/>
                <w:color w:val="auto"/>
                <w:sz w:val="24"/>
                <w:highlight w:val="none"/>
              </w:rPr>
            </w:pPr>
            <w:r>
              <w:rPr>
                <w:rFonts w:hint="eastAsia" w:ascii="宋体" w:hAnsi="宋体"/>
                <w:color w:val="auto"/>
                <w:sz w:val="24"/>
                <w:highlight w:val="none"/>
              </w:rPr>
              <w:t>交通信号灯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47E6CB">
            <w:pPr>
              <w:widowControl/>
              <w:jc w:val="left"/>
              <w:rPr>
                <w:rFonts w:hint="eastAsia" w:ascii="宋体" w:hAnsi="宋体"/>
                <w:color w:val="auto"/>
                <w:sz w:val="24"/>
                <w:highlight w:val="none"/>
              </w:rPr>
            </w:pPr>
          </w:p>
        </w:tc>
      </w:tr>
      <w:tr w14:paraId="649F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D1FFB17">
            <w:pPr>
              <w:widowControl/>
              <w:jc w:val="left"/>
              <w:rPr>
                <w:rFonts w:hint="eastAsia" w:ascii="宋体" w:hAnsi="宋体"/>
                <w:color w:val="auto"/>
                <w:sz w:val="24"/>
                <w:highlight w:val="none"/>
              </w:rPr>
            </w:pPr>
            <w:r>
              <w:rPr>
                <w:rFonts w:hint="eastAsia" w:ascii="宋体" w:hAnsi="宋体"/>
                <w:color w:val="auto"/>
                <w:sz w:val="24"/>
                <w:highlight w:val="none"/>
              </w:rPr>
              <w:t>804-1-5-1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FBAFFBC">
            <w:pPr>
              <w:widowControl/>
              <w:jc w:val="left"/>
              <w:rPr>
                <w:rFonts w:hint="eastAsia" w:ascii="宋体" w:hAnsi="宋体"/>
                <w:color w:val="auto"/>
                <w:sz w:val="24"/>
                <w:highlight w:val="none"/>
              </w:rPr>
            </w:pPr>
            <w:r>
              <w:rPr>
                <w:rFonts w:hint="eastAsia" w:ascii="宋体" w:hAnsi="宋体"/>
                <w:color w:val="auto"/>
                <w:sz w:val="24"/>
                <w:highlight w:val="none"/>
              </w:rPr>
              <w:t>φ89mmx4mmx4250mm含基础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6ABD09">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53CB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935D2FA">
            <w:pPr>
              <w:widowControl/>
              <w:jc w:val="left"/>
              <w:rPr>
                <w:rFonts w:hint="eastAsia" w:ascii="宋体" w:hAnsi="宋体"/>
                <w:color w:val="auto"/>
                <w:sz w:val="24"/>
                <w:highlight w:val="none"/>
              </w:rPr>
            </w:pPr>
            <w:r>
              <w:rPr>
                <w:rFonts w:hint="eastAsia" w:ascii="宋体" w:hAnsi="宋体"/>
                <w:color w:val="auto"/>
                <w:sz w:val="24"/>
                <w:highlight w:val="none"/>
              </w:rPr>
              <w:t>804-1-5-2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30FFF87">
            <w:pPr>
              <w:widowControl/>
              <w:jc w:val="left"/>
              <w:rPr>
                <w:rFonts w:hint="eastAsia" w:ascii="宋体" w:hAnsi="宋体"/>
                <w:color w:val="auto"/>
                <w:sz w:val="24"/>
                <w:highlight w:val="none"/>
              </w:rPr>
            </w:pPr>
            <w:r>
              <w:rPr>
                <w:rFonts w:hint="eastAsia" w:ascii="宋体" w:hAnsi="宋体"/>
                <w:color w:val="auto"/>
                <w:sz w:val="24"/>
                <w:highlight w:val="none"/>
              </w:rPr>
              <w:t>φ114mmx4mmx5000mm含基础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4E36601">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34F7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79700DC">
            <w:pPr>
              <w:widowControl/>
              <w:jc w:val="left"/>
              <w:rPr>
                <w:rFonts w:hint="eastAsia" w:ascii="宋体" w:hAnsi="宋体"/>
                <w:color w:val="auto"/>
                <w:sz w:val="24"/>
                <w:highlight w:val="none"/>
              </w:rPr>
            </w:pPr>
            <w:r>
              <w:rPr>
                <w:rFonts w:hint="eastAsia" w:ascii="宋体" w:hAnsi="宋体"/>
                <w:color w:val="auto"/>
                <w:sz w:val="24"/>
                <w:highlight w:val="none"/>
              </w:rPr>
              <w:t>804-1-5-3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74CFC34">
            <w:pPr>
              <w:widowControl/>
              <w:jc w:val="left"/>
              <w:rPr>
                <w:rFonts w:hint="eastAsia" w:ascii="宋体" w:hAnsi="宋体"/>
                <w:color w:val="auto"/>
                <w:sz w:val="24"/>
                <w:highlight w:val="none"/>
              </w:rPr>
            </w:pPr>
            <w:r>
              <w:rPr>
                <w:rFonts w:hint="eastAsia" w:ascii="宋体" w:hAnsi="宋体"/>
                <w:color w:val="auto"/>
                <w:sz w:val="24"/>
                <w:highlight w:val="none"/>
              </w:rPr>
              <w:t>立柱6.9m悬臂长8m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353225">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77F6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6648E14">
            <w:pPr>
              <w:widowControl/>
              <w:jc w:val="left"/>
              <w:rPr>
                <w:rFonts w:hint="eastAsia" w:ascii="宋体" w:hAnsi="宋体"/>
                <w:color w:val="auto"/>
                <w:sz w:val="24"/>
                <w:highlight w:val="none"/>
              </w:rPr>
            </w:pPr>
            <w:r>
              <w:rPr>
                <w:rFonts w:hint="eastAsia" w:ascii="宋体" w:hAnsi="宋体"/>
                <w:color w:val="auto"/>
                <w:sz w:val="24"/>
                <w:highlight w:val="none"/>
              </w:rPr>
              <w:t>804-1-5-5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E6A5617">
            <w:pPr>
              <w:widowControl/>
              <w:jc w:val="left"/>
              <w:rPr>
                <w:rFonts w:hint="eastAsia" w:ascii="宋体" w:hAnsi="宋体"/>
                <w:color w:val="auto"/>
                <w:sz w:val="24"/>
                <w:highlight w:val="none"/>
              </w:rPr>
            </w:pPr>
            <w:r>
              <w:rPr>
                <w:rFonts w:hint="eastAsia" w:ascii="宋体" w:hAnsi="宋体"/>
                <w:color w:val="auto"/>
                <w:sz w:val="24"/>
                <w:highlight w:val="none"/>
              </w:rPr>
              <w:t>机动车道信号灯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730896C">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58AD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946962A">
            <w:pPr>
              <w:widowControl/>
              <w:jc w:val="left"/>
              <w:rPr>
                <w:rFonts w:hint="eastAsia" w:ascii="宋体" w:hAnsi="宋体"/>
                <w:color w:val="auto"/>
                <w:sz w:val="24"/>
                <w:highlight w:val="none"/>
              </w:rPr>
            </w:pPr>
            <w:r>
              <w:rPr>
                <w:rFonts w:hint="eastAsia" w:ascii="宋体" w:hAnsi="宋体"/>
                <w:color w:val="auto"/>
                <w:sz w:val="24"/>
                <w:highlight w:val="none"/>
              </w:rPr>
              <w:t>804-1-5-6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C5F897A">
            <w:pPr>
              <w:widowControl/>
              <w:jc w:val="left"/>
              <w:rPr>
                <w:rFonts w:hint="eastAsia" w:ascii="宋体" w:hAnsi="宋体"/>
                <w:color w:val="auto"/>
                <w:sz w:val="24"/>
                <w:highlight w:val="none"/>
              </w:rPr>
            </w:pPr>
            <w:r>
              <w:rPr>
                <w:rFonts w:hint="eastAsia" w:ascii="宋体" w:hAnsi="宋体"/>
                <w:color w:val="auto"/>
                <w:sz w:val="24"/>
                <w:highlight w:val="none"/>
              </w:rPr>
              <w:t>人行道信号灯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D5B3A7">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2A0D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A7BDD34">
            <w:pPr>
              <w:widowControl/>
              <w:jc w:val="left"/>
              <w:rPr>
                <w:rFonts w:hint="eastAsia" w:ascii="宋体" w:hAnsi="宋体"/>
                <w:color w:val="auto"/>
                <w:sz w:val="24"/>
                <w:highlight w:val="none"/>
              </w:rPr>
            </w:pPr>
            <w:r>
              <w:rPr>
                <w:rFonts w:hint="eastAsia" w:ascii="宋体" w:hAnsi="宋体"/>
                <w:color w:val="auto"/>
                <w:sz w:val="24"/>
                <w:highlight w:val="none"/>
              </w:rPr>
              <w:t>804-1-5-8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1CEE39E">
            <w:pPr>
              <w:widowControl/>
              <w:jc w:val="left"/>
              <w:rPr>
                <w:rFonts w:hint="eastAsia" w:ascii="宋体" w:hAnsi="宋体"/>
                <w:color w:val="auto"/>
                <w:sz w:val="24"/>
                <w:highlight w:val="none"/>
              </w:rPr>
            </w:pPr>
            <w:r>
              <w:rPr>
                <w:rFonts w:hint="eastAsia" w:ascii="宋体" w:hAnsi="宋体"/>
                <w:color w:val="auto"/>
                <w:sz w:val="24"/>
                <w:highlight w:val="none"/>
              </w:rPr>
              <w:t>生态环境爆闪灯：四合一</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66D9BF">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705E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AC77DC5">
            <w:pPr>
              <w:widowControl/>
              <w:jc w:val="left"/>
              <w:rPr>
                <w:rFonts w:hint="eastAsia" w:ascii="宋体" w:hAnsi="宋体"/>
                <w:color w:val="auto"/>
                <w:sz w:val="24"/>
                <w:highlight w:val="none"/>
              </w:rPr>
            </w:pPr>
            <w:r>
              <w:rPr>
                <w:rFonts w:hint="eastAsia" w:ascii="宋体" w:hAnsi="宋体"/>
                <w:color w:val="auto"/>
                <w:sz w:val="24"/>
                <w:highlight w:val="none"/>
              </w:rPr>
              <w:t>804-1-5-9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3D70574">
            <w:pPr>
              <w:widowControl/>
              <w:jc w:val="left"/>
              <w:rPr>
                <w:rFonts w:hint="eastAsia" w:ascii="宋体" w:hAnsi="宋体"/>
                <w:color w:val="auto"/>
                <w:sz w:val="24"/>
                <w:highlight w:val="none"/>
              </w:rPr>
            </w:pPr>
            <w:r>
              <w:rPr>
                <w:rFonts w:hint="eastAsia" w:ascii="宋体" w:hAnsi="宋体"/>
                <w:color w:val="auto"/>
                <w:sz w:val="24"/>
                <w:highlight w:val="none"/>
              </w:rPr>
              <w:t>频闪补光灯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D5F5FF">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6F8A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2433037">
            <w:pPr>
              <w:widowControl/>
              <w:jc w:val="left"/>
              <w:rPr>
                <w:rFonts w:hint="eastAsia" w:ascii="宋体" w:hAnsi="宋体"/>
                <w:color w:val="auto"/>
                <w:sz w:val="24"/>
                <w:highlight w:val="none"/>
              </w:rPr>
            </w:pPr>
            <w:r>
              <w:rPr>
                <w:rFonts w:hint="eastAsia" w:ascii="宋体" w:hAnsi="宋体"/>
                <w:color w:val="auto"/>
                <w:sz w:val="24"/>
                <w:highlight w:val="none"/>
              </w:rPr>
              <w:t>804-3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6CF8A11">
            <w:pPr>
              <w:widowControl/>
              <w:jc w:val="left"/>
              <w:rPr>
                <w:rFonts w:hint="eastAsia" w:ascii="宋体" w:hAnsi="宋体"/>
                <w:color w:val="auto"/>
                <w:sz w:val="24"/>
                <w:highlight w:val="none"/>
              </w:rPr>
            </w:pPr>
            <w:r>
              <w:rPr>
                <w:rFonts w:hint="eastAsia" w:ascii="宋体" w:hAnsi="宋体"/>
                <w:color w:val="auto"/>
                <w:sz w:val="24"/>
                <w:highlight w:val="none"/>
              </w:rPr>
              <w:t>视频监控设施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C5792D7">
            <w:pPr>
              <w:widowControl/>
              <w:jc w:val="left"/>
              <w:rPr>
                <w:rFonts w:hint="eastAsia" w:ascii="宋体" w:hAnsi="宋体"/>
                <w:color w:val="auto"/>
                <w:sz w:val="24"/>
                <w:highlight w:val="none"/>
              </w:rPr>
            </w:pPr>
          </w:p>
        </w:tc>
      </w:tr>
      <w:tr w14:paraId="0A95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D36B1E8">
            <w:pPr>
              <w:widowControl/>
              <w:jc w:val="left"/>
              <w:rPr>
                <w:rFonts w:hint="eastAsia" w:ascii="宋体" w:hAnsi="宋体"/>
                <w:color w:val="auto"/>
                <w:sz w:val="24"/>
                <w:highlight w:val="none"/>
              </w:rPr>
            </w:pPr>
            <w:r>
              <w:rPr>
                <w:rFonts w:hint="eastAsia" w:ascii="宋体" w:hAnsi="宋体"/>
                <w:color w:val="auto"/>
                <w:sz w:val="24"/>
                <w:highlight w:val="none"/>
              </w:rPr>
              <w:t>804-3-1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F351B5B">
            <w:pPr>
              <w:widowControl/>
              <w:jc w:val="left"/>
              <w:rPr>
                <w:rFonts w:hint="eastAsia" w:ascii="宋体" w:hAnsi="宋体"/>
                <w:color w:val="auto"/>
                <w:sz w:val="24"/>
                <w:highlight w:val="none"/>
              </w:rPr>
            </w:pPr>
            <w:r>
              <w:rPr>
                <w:rFonts w:hint="eastAsia" w:ascii="宋体" w:hAnsi="宋体"/>
                <w:color w:val="auto"/>
                <w:sz w:val="24"/>
                <w:highlight w:val="none"/>
              </w:rPr>
              <w:t>高速智能球形摄像机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81817D8">
            <w:pPr>
              <w:widowControl/>
              <w:jc w:val="left"/>
              <w:rPr>
                <w:rFonts w:hint="eastAsia" w:ascii="宋体" w:hAnsi="宋体"/>
                <w:color w:val="auto"/>
                <w:sz w:val="24"/>
                <w:highlight w:val="none"/>
              </w:rPr>
            </w:pPr>
          </w:p>
        </w:tc>
      </w:tr>
      <w:tr w14:paraId="5D0F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71D838B">
            <w:pPr>
              <w:widowControl/>
              <w:jc w:val="left"/>
              <w:rPr>
                <w:rFonts w:hint="eastAsia" w:ascii="宋体" w:hAnsi="宋体"/>
                <w:color w:val="auto"/>
                <w:sz w:val="24"/>
                <w:highlight w:val="none"/>
              </w:rPr>
            </w:pPr>
            <w:r>
              <w:rPr>
                <w:rFonts w:hint="eastAsia" w:ascii="宋体" w:hAnsi="宋体"/>
                <w:color w:val="auto"/>
                <w:sz w:val="24"/>
                <w:highlight w:val="none"/>
              </w:rPr>
              <w:t>804-3-1-1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6E97F12">
            <w:pPr>
              <w:widowControl/>
              <w:jc w:val="left"/>
              <w:rPr>
                <w:rFonts w:hint="eastAsia" w:ascii="宋体" w:hAnsi="宋体"/>
                <w:color w:val="auto"/>
                <w:sz w:val="24"/>
                <w:highlight w:val="none"/>
              </w:rPr>
            </w:pPr>
            <w:r>
              <w:rPr>
                <w:rFonts w:hint="eastAsia" w:ascii="宋体" w:hAnsi="宋体"/>
                <w:color w:val="auto"/>
                <w:sz w:val="24"/>
                <w:highlight w:val="none"/>
              </w:rPr>
              <w:t>900万高清网络球型摄像机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E57BEC">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4ED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B5E918D">
            <w:pPr>
              <w:widowControl/>
              <w:jc w:val="left"/>
              <w:rPr>
                <w:rFonts w:hint="eastAsia" w:ascii="宋体" w:hAnsi="宋体"/>
                <w:color w:val="auto"/>
                <w:sz w:val="24"/>
                <w:highlight w:val="none"/>
              </w:rPr>
            </w:pPr>
            <w:r>
              <w:rPr>
                <w:rFonts w:hint="eastAsia" w:ascii="宋体" w:hAnsi="宋体"/>
                <w:color w:val="auto"/>
                <w:sz w:val="24"/>
                <w:highlight w:val="none"/>
              </w:rPr>
              <w:t>804-3-1-2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77E0771">
            <w:pPr>
              <w:widowControl/>
              <w:jc w:val="left"/>
              <w:rPr>
                <w:rFonts w:hint="eastAsia" w:ascii="宋体" w:hAnsi="宋体"/>
                <w:color w:val="auto"/>
                <w:sz w:val="24"/>
                <w:highlight w:val="none"/>
              </w:rPr>
            </w:pPr>
            <w:r>
              <w:rPr>
                <w:rFonts w:hint="eastAsia" w:ascii="宋体" w:hAnsi="宋体"/>
                <w:color w:val="auto"/>
                <w:sz w:val="24"/>
                <w:highlight w:val="none"/>
              </w:rPr>
              <w:t>闯红灯电子警察背箱（内含光纤收发器、交换机、温控模块、避雷器及配电单元等）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2637B4">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F44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88E4835">
            <w:pPr>
              <w:widowControl/>
              <w:jc w:val="left"/>
              <w:rPr>
                <w:rFonts w:hint="eastAsia" w:ascii="宋体" w:hAnsi="宋体"/>
                <w:color w:val="auto"/>
                <w:sz w:val="24"/>
                <w:highlight w:val="none"/>
              </w:rPr>
            </w:pPr>
            <w:r>
              <w:rPr>
                <w:rFonts w:hint="eastAsia" w:ascii="宋体" w:hAnsi="宋体"/>
                <w:color w:val="auto"/>
                <w:sz w:val="24"/>
                <w:highlight w:val="none"/>
              </w:rPr>
              <w:t>804-3-1-63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2DC8999">
            <w:pPr>
              <w:widowControl/>
              <w:jc w:val="left"/>
              <w:rPr>
                <w:rFonts w:hint="eastAsia" w:ascii="宋体" w:hAnsi="宋体"/>
                <w:color w:val="auto"/>
                <w:sz w:val="24"/>
                <w:highlight w:val="none"/>
              </w:rPr>
            </w:pPr>
            <w:r>
              <w:rPr>
                <w:rFonts w:hint="eastAsia" w:ascii="宋体" w:hAnsi="宋体"/>
                <w:color w:val="auto"/>
                <w:sz w:val="24"/>
                <w:highlight w:val="none"/>
              </w:rPr>
              <w:t>球机支架</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22978D">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6A73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EEF464F">
            <w:pPr>
              <w:widowControl/>
              <w:jc w:val="left"/>
              <w:rPr>
                <w:rFonts w:hint="eastAsia" w:ascii="宋体" w:hAnsi="宋体"/>
                <w:color w:val="auto"/>
                <w:sz w:val="24"/>
                <w:highlight w:val="none"/>
              </w:rPr>
            </w:pPr>
            <w:r>
              <w:rPr>
                <w:rFonts w:hint="eastAsia" w:ascii="宋体" w:hAnsi="宋体"/>
                <w:color w:val="auto"/>
                <w:sz w:val="24"/>
                <w:highlight w:val="none"/>
              </w:rPr>
              <w:t>804-7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DF10097">
            <w:pPr>
              <w:widowControl/>
              <w:jc w:val="left"/>
              <w:rPr>
                <w:rFonts w:hint="eastAsia" w:ascii="宋体" w:hAnsi="宋体"/>
                <w:color w:val="auto"/>
                <w:sz w:val="24"/>
                <w:highlight w:val="none"/>
              </w:rPr>
            </w:pPr>
            <w:r>
              <w:rPr>
                <w:rFonts w:hint="eastAsia" w:ascii="宋体" w:hAnsi="宋体"/>
                <w:color w:val="auto"/>
                <w:sz w:val="24"/>
                <w:highlight w:val="none"/>
              </w:rPr>
              <w:t>监视设施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792FD44">
            <w:pPr>
              <w:widowControl/>
              <w:jc w:val="left"/>
              <w:rPr>
                <w:rFonts w:hint="eastAsia" w:ascii="宋体" w:hAnsi="宋体"/>
                <w:color w:val="auto"/>
                <w:sz w:val="24"/>
                <w:highlight w:val="none"/>
              </w:rPr>
            </w:pPr>
          </w:p>
        </w:tc>
      </w:tr>
      <w:tr w14:paraId="3CF2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7BA5255">
            <w:pPr>
              <w:widowControl/>
              <w:jc w:val="left"/>
              <w:rPr>
                <w:rFonts w:hint="eastAsia" w:ascii="宋体" w:hAnsi="宋体"/>
                <w:color w:val="auto"/>
                <w:sz w:val="24"/>
                <w:highlight w:val="none"/>
              </w:rPr>
            </w:pPr>
            <w:r>
              <w:rPr>
                <w:rFonts w:hint="eastAsia" w:ascii="宋体" w:hAnsi="宋体"/>
                <w:color w:val="auto"/>
                <w:sz w:val="24"/>
                <w:highlight w:val="none"/>
              </w:rPr>
              <w:t>804-7-5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D3E0BEA">
            <w:pPr>
              <w:widowControl/>
              <w:jc w:val="left"/>
              <w:rPr>
                <w:rFonts w:hint="eastAsia" w:ascii="宋体" w:hAnsi="宋体"/>
                <w:color w:val="auto"/>
                <w:sz w:val="24"/>
                <w:highlight w:val="none"/>
              </w:rPr>
            </w:pPr>
            <w:r>
              <w:rPr>
                <w:rFonts w:hint="eastAsia" w:ascii="宋体" w:hAnsi="宋体"/>
                <w:color w:val="auto"/>
                <w:sz w:val="24"/>
                <w:highlight w:val="none"/>
              </w:rPr>
              <w:t>路灯远程监控装置</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C377CD1">
            <w:pPr>
              <w:widowControl/>
              <w:jc w:val="left"/>
              <w:rPr>
                <w:rFonts w:hint="eastAsia" w:ascii="宋体" w:hAnsi="宋体"/>
                <w:color w:val="auto"/>
                <w:sz w:val="24"/>
                <w:highlight w:val="none"/>
              </w:rPr>
            </w:pPr>
            <w:r>
              <w:rPr>
                <w:rFonts w:hint="eastAsia" w:ascii="宋体" w:hAnsi="宋体"/>
                <w:color w:val="auto"/>
                <w:sz w:val="24"/>
                <w:highlight w:val="none"/>
              </w:rPr>
              <w:t>台</w:t>
            </w:r>
          </w:p>
        </w:tc>
      </w:tr>
      <w:tr w14:paraId="7FF0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AA8326A">
            <w:pPr>
              <w:widowControl/>
              <w:jc w:val="left"/>
              <w:rPr>
                <w:rFonts w:hint="eastAsia" w:ascii="宋体" w:hAnsi="宋体"/>
                <w:color w:val="auto"/>
                <w:sz w:val="24"/>
                <w:highlight w:val="none"/>
              </w:rPr>
            </w:pPr>
            <w:r>
              <w:rPr>
                <w:rFonts w:hint="eastAsia" w:ascii="宋体" w:hAnsi="宋体"/>
                <w:color w:val="auto"/>
                <w:sz w:val="24"/>
                <w:highlight w:val="none"/>
              </w:rPr>
              <w:t>804-8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9CDAAFF">
            <w:pPr>
              <w:widowControl/>
              <w:jc w:val="left"/>
              <w:rPr>
                <w:rFonts w:hint="eastAsia" w:ascii="宋体" w:hAnsi="宋体"/>
                <w:color w:val="auto"/>
                <w:sz w:val="24"/>
                <w:highlight w:val="none"/>
              </w:rPr>
            </w:pPr>
            <w:r>
              <w:rPr>
                <w:rFonts w:hint="eastAsia" w:ascii="宋体" w:hAnsi="宋体"/>
                <w:color w:val="auto"/>
                <w:sz w:val="24"/>
                <w:highlight w:val="none"/>
              </w:rPr>
              <w:t>硬盘录像机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822FD48">
            <w:pPr>
              <w:widowControl/>
              <w:jc w:val="left"/>
              <w:rPr>
                <w:rFonts w:hint="eastAsia" w:ascii="宋体" w:hAnsi="宋体"/>
                <w:color w:val="auto"/>
                <w:sz w:val="24"/>
                <w:highlight w:val="none"/>
              </w:rPr>
            </w:pPr>
          </w:p>
        </w:tc>
      </w:tr>
      <w:tr w14:paraId="3C98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802C009">
            <w:pPr>
              <w:widowControl/>
              <w:jc w:val="left"/>
              <w:rPr>
                <w:rFonts w:hint="eastAsia" w:ascii="宋体" w:hAnsi="宋体"/>
                <w:color w:val="auto"/>
                <w:sz w:val="24"/>
                <w:highlight w:val="none"/>
              </w:rPr>
            </w:pPr>
            <w:r>
              <w:rPr>
                <w:rFonts w:hint="eastAsia" w:ascii="宋体" w:hAnsi="宋体"/>
                <w:color w:val="auto"/>
                <w:sz w:val="24"/>
                <w:highlight w:val="none"/>
              </w:rPr>
              <w:t>804-8-1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EAEE3C1">
            <w:pPr>
              <w:widowControl/>
              <w:jc w:val="left"/>
              <w:rPr>
                <w:rFonts w:hint="eastAsia" w:ascii="宋体" w:hAnsi="宋体"/>
                <w:color w:val="auto"/>
                <w:sz w:val="24"/>
                <w:highlight w:val="none"/>
              </w:rPr>
            </w:pPr>
            <w:r>
              <w:rPr>
                <w:rFonts w:hint="eastAsia" w:ascii="宋体" w:hAnsi="宋体"/>
                <w:color w:val="auto"/>
                <w:sz w:val="24"/>
                <w:highlight w:val="none"/>
              </w:rPr>
              <w:t>硬盘录像机（支持WEB、本地GUI界面操作可接驳支持ONVIF、PSIA、RTSP协议的第三方摄像机和主流品牌摄像机）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B31568">
            <w:pPr>
              <w:widowControl/>
              <w:jc w:val="left"/>
              <w:rPr>
                <w:rFonts w:hint="eastAsia" w:ascii="宋体" w:hAnsi="宋体"/>
                <w:color w:val="auto"/>
                <w:sz w:val="24"/>
                <w:highlight w:val="none"/>
              </w:rPr>
            </w:pPr>
            <w:r>
              <w:rPr>
                <w:rFonts w:hint="eastAsia" w:ascii="宋体" w:hAnsi="宋体"/>
                <w:color w:val="auto"/>
                <w:sz w:val="24"/>
                <w:highlight w:val="none"/>
              </w:rPr>
              <w:t>台</w:t>
            </w:r>
          </w:p>
        </w:tc>
      </w:tr>
      <w:tr w14:paraId="65F2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74A842E">
            <w:pPr>
              <w:widowControl/>
              <w:jc w:val="left"/>
              <w:rPr>
                <w:rFonts w:hint="eastAsia" w:ascii="宋体" w:hAnsi="宋体"/>
                <w:color w:val="auto"/>
                <w:sz w:val="24"/>
                <w:highlight w:val="none"/>
              </w:rPr>
            </w:pPr>
            <w:r>
              <w:rPr>
                <w:rFonts w:hint="eastAsia" w:ascii="宋体" w:hAnsi="宋体"/>
                <w:color w:val="auto"/>
                <w:sz w:val="24"/>
                <w:highlight w:val="none"/>
              </w:rPr>
              <w:t>804-8-2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7B391C">
            <w:pPr>
              <w:widowControl/>
              <w:jc w:val="left"/>
              <w:rPr>
                <w:rFonts w:hint="eastAsia" w:ascii="宋体" w:hAnsi="宋体"/>
                <w:color w:val="auto"/>
                <w:sz w:val="24"/>
                <w:highlight w:val="none"/>
              </w:rPr>
            </w:pPr>
            <w:r>
              <w:rPr>
                <w:rFonts w:hint="eastAsia" w:ascii="宋体" w:hAnsi="宋体"/>
                <w:color w:val="auto"/>
                <w:sz w:val="24"/>
                <w:highlight w:val="none"/>
              </w:rPr>
              <w:t>硬盘（4000G；7200RPM；128M；SATA ）</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83452E2">
            <w:pPr>
              <w:widowControl/>
              <w:jc w:val="left"/>
              <w:rPr>
                <w:rFonts w:hint="eastAsia" w:ascii="宋体" w:hAnsi="宋体"/>
                <w:color w:val="auto"/>
                <w:sz w:val="24"/>
                <w:highlight w:val="none"/>
              </w:rPr>
            </w:pPr>
            <w:r>
              <w:rPr>
                <w:rFonts w:hint="eastAsia" w:ascii="宋体" w:hAnsi="宋体"/>
                <w:color w:val="auto"/>
                <w:sz w:val="24"/>
                <w:highlight w:val="none"/>
              </w:rPr>
              <w:t>台</w:t>
            </w:r>
          </w:p>
        </w:tc>
      </w:tr>
      <w:tr w14:paraId="6C93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9DAF67C">
            <w:pPr>
              <w:widowControl/>
              <w:jc w:val="left"/>
              <w:rPr>
                <w:rFonts w:hint="eastAsia" w:ascii="宋体" w:hAnsi="宋体"/>
                <w:color w:val="auto"/>
                <w:sz w:val="24"/>
                <w:highlight w:val="none"/>
              </w:rPr>
            </w:pPr>
            <w:r>
              <w:rPr>
                <w:rFonts w:hint="eastAsia" w:ascii="宋体" w:hAnsi="宋体"/>
                <w:color w:val="auto"/>
                <w:sz w:val="24"/>
                <w:highlight w:val="none"/>
              </w:rPr>
              <w:t>804-8-3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D7FE270">
            <w:pPr>
              <w:widowControl/>
              <w:jc w:val="left"/>
              <w:rPr>
                <w:rFonts w:hint="eastAsia" w:ascii="宋体" w:hAnsi="宋体"/>
                <w:color w:val="auto"/>
                <w:sz w:val="24"/>
                <w:highlight w:val="none"/>
              </w:rPr>
            </w:pPr>
            <w:r>
              <w:rPr>
                <w:rFonts w:hint="eastAsia" w:ascii="宋体" w:hAnsi="宋体"/>
                <w:color w:val="auto"/>
                <w:sz w:val="24"/>
                <w:highlight w:val="none"/>
              </w:rPr>
              <w:t>硬盘（6T,7200RPM,SATA）</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44079F">
            <w:pPr>
              <w:widowControl/>
              <w:jc w:val="left"/>
              <w:rPr>
                <w:rFonts w:hint="eastAsia" w:ascii="宋体" w:hAnsi="宋体"/>
                <w:color w:val="auto"/>
                <w:sz w:val="24"/>
                <w:highlight w:val="none"/>
              </w:rPr>
            </w:pPr>
            <w:r>
              <w:rPr>
                <w:rFonts w:hint="eastAsia" w:ascii="宋体" w:hAnsi="宋体"/>
                <w:color w:val="auto"/>
                <w:sz w:val="24"/>
                <w:highlight w:val="none"/>
              </w:rPr>
              <w:t>台</w:t>
            </w:r>
          </w:p>
        </w:tc>
      </w:tr>
      <w:tr w14:paraId="6A63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859826D">
            <w:pPr>
              <w:widowControl/>
              <w:jc w:val="left"/>
              <w:rPr>
                <w:rFonts w:hint="eastAsia" w:ascii="宋体" w:hAnsi="宋体"/>
                <w:color w:val="auto"/>
                <w:sz w:val="24"/>
                <w:highlight w:val="none"/>
              </w:rPr>
            </w:pPr>
            <w:r>
              <w:rPr>
                <w:rFonts w:hint="eastAsia" w:ascii="宋体" w:hAnsi="宋体"/>
                <w:color w:val="auto"/>
                <w:sz w:val="24"/>
                <w:highlight w:val="none"/>
              </w:rPr>
              <w:t>804-8-4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F562322">
            <w:pPr>
              <w:widowControl/>
              <w:jc w:val="left"/>
              <w:rPr>
                <w:rFonts w:hint="eastAsia" w:ascii="宋体" w:hAnsi="宋体"/>
                <w:color w:val="auto"/>
                <w:sz w:val="24"/>
                <w:highlight w:val="none"/>
              </w:rPr>
            </w:pPr>
            <w:r>
              <w:rPr>
                <w:rFonts w:hint="eastAsia" w:ascii="宋体" w:hAnsi="宋体"/>
                <w:color w:val="auto"/>
                <w:sz w:val="24"/>
                <w:highlight w:val="none"/>
              </w:rPr>
              <w:t>云存储节点：24盘</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46256B4">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7A0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737BD68">
            <w:pPr>
              <w:widowControl/>
              <w:jc w:val="left"/>
              <w:rPr>
                <w:rFonts w:hint="eastAsia" w:ascii="宋体" w:hAnsi="宋体"/>
                <w:color w:val="auto"/>
                <w:sz w:val="24"/>
                <w:highlight w:val="none"/>
              </w:rPr>
            </w:pPr>
            <w:r>
              <w:rPr>
                <w:rFonts w:hint="eastAsia" w:ascii="宋体" w:hAnsi="宋体"/>
                <w:color w:val="auto"/>
                <w:sz w:val="24"/>
                <w:highlight w:val="none"/>
              </w:rPr>
              <w:t>804-10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AD8E531">
            <w:pPr>
              <w:widowControl/>
              <w:jc w:val="left"/>
              <w:rPr>
                <w:rFonts w:hint="eastAsia" w:ascii="宋体" w:hAnsi="宋体"/>
                <w:color w:val="auto"/>
                <w:sz w:val="24"/>
                <w:highlight w:val="none"/>
              </w:rPr>
            </w:pPr>
            <w:r>
              <w:rPr>
                <w:rFonts w:hint="eastAsia" w:ascii="宋体" w:hAnsi="宋体"/>
                <w:color w:val="auto"/>
                <w:sz w:val="24"/>
                <w:highlight w:val="none"/>
              </w:rPr>
              <w:t>区域控制器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89B6CDF">
            <w:pPr>
              <w:widowControl/>
              <w:jc w:val="left"/>
              <w:rPr>
                <w:rFonts w:hint="eastAsia" w:ascii="宋体" w:hAnsi="宋体"/>
                <w:color w:val="auto"/>
                <w:sz w:val="24"/>
                <w:highlight w:val="none"/>
              </w:rPr>
            </w:pPr>
          </w:p>
        </w:tc>
      </w:tr>
      <w:tr w14:paraId="26C4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EE9E187">
            <w:pPr>
              <w:widowControl/>
              <w:jc w:val="left"/>
              <w:rPr>
                <w:rFonts w:hint="eastAsia" w:ascii="宋体" w:hAnsi="宋体"/>
                <w:color w:val="auto"/>
                <w:sz w:val="24"/>
                <w:highlight w:val="none"/>
              </w:rPr>
            </w:pPr>
            <w:r>
              <w:rPr>
                <w:rFonts w:hint="eastAsia" w:ascii="宋体" w:hAnsi="宋体"/>
                <w:color w:val="auto"/>
                <w:sz w:val="24"/>
                <w:highlight w:val="none"/>
              </w:rPr>
              <w:t>804-10-1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909EFC">
            <w:pPr>
              <w:widowControl/>
              <w:jc w:val="left"/>
              <w:rPr>
                <w:rFonts w:hint="eastAsia" w:ascii="宋体" w:hAnsi="宋体"/>
                <w:color w:val="auto"/>
                <w:sz w:val="24"/>
                <w:highlight w:val="none"/>
              </w:rPr>
            </w:pPr>
            <w:r>
              <w:rPr>
                <w:rFonts w:hint="eastAsia" w:ascii="宋体" w:hAnsi="宋体"/>
                <w:color w:val="auto"/>
                <w:sz w:val="24"/>
                <w:highlight w:val="none"/>
              </w:rPr>
              <w:t>智能交通终端管理设备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45D2FA">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F56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2560766">
            <w:pPr>
              <w:widowControl/>
              <w:jc w:val="left"/>
              <w:rPr>
                <w:rFonts w:hint="eastAsia" w:ascii="宋体" w:hAnsi="宋体"/>
                <w:color w:val="auto"/>
                <w:sz w:val="24"/>
                <w:highlight w:val="none"/>
              </w:rPr>
            </w:pPr>
            <w:r>
              <w:rPr>
                <w:rFonts w:hint="eastAsia" w:ascii="宋体" w:hAnsi="宋体"/>
                <w:color w:val="auto"/>
                <w:sz w:val="24"/>
                <w:highlight w:val="none"/>
              </w:rPr>
              <w:t>804-10-2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0C2ABA4">
            <w:pPr>
              <w:widowControl/>
              <w:jc w:val="left"/>
              <w:rPr>
                <w:rFonts w:hint="eastAsia" w:ascii="宋体" w:hAnsi="宋体"/>
                <w:color w:val="auto"/>
                <w:sz w:val="24"/>
                <w:highlight w:val="none"/>
              </w:rPr>
            </w:pPr>
            <w:r>
              <w:rPr>
                <w:rFonts w:hint="eastAsia" w:ascii="宋体" w:hAnsi="宋体"/>
                <w:color w:val="auto"/>
                <w:sz w:val="24"/>
                <w:highlight w:val="none"/>
              </w:rPr>
              <w:t>信号机控制机（含机箱、控制仪、电缆、光端机等）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71DB163">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3366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563A127">
            <w:pPr>
              <w:widowControl/>
              <w:jc w:val="left"/>
              <w:rPr>
                <w:rFonts w:hint="eastAsia" w:ascii="宋体" w:hAnsi="宋体"/>
                <w:color w:val="auto"/>
                <w:sz w:val="24"/>
                <w:highlight w:val="none"/>
              </w:rPr>
            </w:pPr>
            <w:r>
              <w:rPr>
                <w:rFonts w:hint="eastAsia" w:ascii="宋体" w:hAnsi="宋体"/>
                <w:color w:val="auto"/>
                <w:sz w:val="24"/>
                <w:highlight w:val="none"/>
              </w:rPr>
              <w:t>804-10-3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07213B7">
            <w:pPr>
              <w:widowControl/>
              <w:jc w:val="left"/>
              <w:rPr>
                <w:rFonts w:hint="eastAsia" w:ascii="宋体" w:hAnsi="宋体"/>
                <w:color w:val="auto"/>
                <w:sz w:val="24"/>
                <w:highlight w:val="none"/>
              </w:rPr>
            </w:pPr>
            <w:r>
              <w:rPr>
                <w:rFonts w:hint="eastAsia" w:ascii="宋体" w:hAnsi="宋体"/>
                <w:color w:val="auto"/>
                <w:sz w:val="24"/>
                <w:highlight w:val="none"/>
              </w:rPr>
              <w:t>电子警察智能控制柜</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98C16B">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3FF2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0F4946D">
            <w:pPr>
              <w:widowControl/>
              <w:jc w:val="left"/>
              <w:rPr>
                <w:rFonts w:hint="eastAsia" w:ascii="宋体" w:hAnsi="宋体"/>
                <w:color w:val="auto"/>
                <w:sz w:val="24"/>
                <w:highlight w:val="none"/>
              </w:rPr>
            </w:pPr>
            <w:r>
              <w:rPr>
                <w:rFonts w:hint="eastAsia" w:ascii="宋体" w:hAnsi="宋体"/>
                <w:color w:val="auto"/>
                <w:sz w:val="24"/>
                <w:highlight w:val="none"/>
              </w:rPr>
              <w:t>804-10-4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5C8876F">
            <w:pPr>
              <w:widowControl/>
              <w:jc w:val="left"/>
              <w:rPr>
                <w:rFonts w:hint="eastAsia" w:ascii="宋体" w:hAnsi="宋体"/>
                <w:color w:val="auto"/>
                <w:sz w:val="24"/>
                <w:highlight w:val="none"/>
              </w:rPr>
            </w:pPr>
            <w:r>
              <w:rPr>
                <w:rFonts w:hint="eastAsia" w:ascii="宋体" w:hAnsi="宋体"/>
                <w:color w:val="auto"/>
                <w:sz w:val="24"/>
                <w:highlight w:val="none"/>
              </w:rPr>
              <w:t>雷视一体机</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6F620E">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D0C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F0AF235">
            <w:pPr>
              <w:widowControl/>
              <w:jc w:val="left"/>
              <w:rPr>
                <w:rFonts w:hint="eastAsia" w:ascii="宋体" w:hAnsi="宋体"/>
                <w:color w:val="auto"/>
                <w:sz w:val="24"/>
                <w:highlight w:val="none"/>
              </w:rPr>
            </w:pPr>
            <w:r>
              <w:rPr>
                <w:rFonts w:hint="eastAsia" w:ascii="宋体" w:hAnsi="宋体"/>
                <w:color w:val="auto"/>
                <w:sz w:val="24"/>
                <w:highlight w:val="none"/>
              </w:rPr>
              <w:t>804-10-5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820D9B">
            <w:pPr>
              <w:widowControl/>
              <w:jc w:val="left"/>
              <w:rPr>
                <w:rFonts w:hint="eastAsia" w:ascii="宋体" w:hAnsi="宋体"/>
                <w:color w:val="auto"/>
                <w:sz w:val="24"/>
                <w:highlight w:val="none"/>
              </w:rPr>
            </w:pPr>
            <w:r>
              <w:rPr>
                <w:rFonts w:hint="eastAsia" w:ascii="宋体" w:hAnsi="宋体"/>
                <w:color w:val="auto"/>
                <w:sz w:val="24"/>
                <w:highlight w:val="none"/>
              </w:rPr>
              <w:t>主控机(不低于i5性能CPU，4GB内存，无风扇设计)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A99915">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1A05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672F160">
            <w:pPr>
              <w:widowControl/>
              <w:jc w:val="left"/>
              <w:rPr>
                <w:rFonts w:hint="eastAsia" w:ascii="宋体" w:hAnsi="宋体"/>
                <w:color w:val="auto"/>
                <w:sz w:val="24"/>
                <w:highlight w:val="none"/>
              </w:rPr>
            </w:pPr>
            <w:r>
              <w:rPr>
                <w:rFonts w:hint="eastAsia" w:ascii="宋体" w:hAnsi="宋体"/>
                <w:color w:val="auto"/>
                <w:sz w:val="24"/>
                <w:highlight w:val="none"/>
              </w:rPr>
              <w:t>804-10-6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8CD18FC">
            <w:pPr>
              <w:widowControl/>
              <w:jc w:val="left"/>
              <w:rPr>
                <w:rFonts w:hint="eastAsia" w:ascii="宋体" w:hAnsi="宋体"/>
                <w:color w:val="auto"/>
                <w:sz w:val="24"/>
                <w:highlight w:val="none"/>
              </w:rPr>
            </w:pPr>
            <w:r>
              <w:rPr>
                <w:rFonts w:hint="eastAsia" w:ascii="宋体" w:hAnsi="宋体"/>
                <w:color w:val="auto"/>
                <w:sz w:val="24"/>
                <w:highlight w:val="none"/>
              </w:rPr>
              <w:t>智能交通红绿灯信号检测器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B0F499">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6A01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F689E40">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rPr>
              <w:t>804-10-</w:t>
            </w:r>
            <w:r>
              <w:rPr>
                <w:rFonts w:hint="eastAsia" w:ascii="宋体" w:hAnsi="宋体"/>
                <w:color w:val="auto"/>
                <w:sz w:val="24"/>
                <w:highlight w:val="none"/>
                <w:lang w:val="en-US" w:eastAsia="zh-CN"/>
              </w:rPr>
              <w:t>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BC747AC">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lang w:eastAsia="zh-CN"/>
              </w:rPr>
              <w:t>光纤租赁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063A305">
            <w:pPr>
              <w:widowControl/>
              <w:jc w:val="left"/>
              <w:rPr>
                <w:rFonts w:hint="eastAsia" w:ascii="宋体" w:hAnsi="宋体" w:eastAsia="宋体"/>
                <w:color w:val="auto"/>
                <w:sz w:val="24"/>
                <w:highlight w:val="none"/>
                <w:lang w:eastAsia="zh-CN"/>
              </w:rPr>
            </w:pPr>
            <w:r>
              <w:rPr>
                <w:rFonts w:hint="eastAsia" w:ascii="宋体" w:hAnsi="宋体"/>
                <w:color w:val="auto"/>
                <w:sz w:val="24"/>
                <w:highlight w:val="none"/>
                <w:lang w:eastAsia="zh-CN"/>
              </w:rPr>
              <w:t>总额</w:t>
            </w:r>
          </w:p>
        </w:tc>
      </w:tr>
    </w:tbl>
    <w:p w14:paraId="497F51DB">
      <w:pPr>
        <w:spacing w:line="360" w:lineRule="auto"/>
        <w:jc w:val="left"/>
        <w:rPr>
          <w:rFonts w:hint="eastAsia" w:ascii="宋体" w:hAnsi="宋体"/>
          <w:b/>
          <w:color w:val="auto"/>
          <w:sz w:val="24"/>
          <w:highlight w:val="none"/>
        </w:rPr>
      </w:pPr>
    </w:p>
    <w:p w14:paraId="412305C9">
      <w:pPr>
        <w:rPr>
          <w:rFonts w:hint="eastAsia" w:ascii="宋体" w:hAnsi="宋体"/>
          <w:b/>
          <w:color w:val="auto"/>
          <w:sz w:val="24"/>
          <w:highlight w:val="none"/>
        </w:rPr>
      </w:pPr>
      <w:r>
        <w:rPr>
          <w:rFonts w:hint="eastAsia" w:ascii="宋体" w:hAnsi="宋体"/>
          <w:b/>
          <w:color w:val="auto"/>
          <w:sz w:val="24"/>
          <w:highlight w:val="none"/>
        </w:rPr>
        <w:br w:type="page"/>
      </w:r>
    </w:p>
    <w:p w14:paraId="0BB9D096">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 805 节  专用软件</w:t>
      </w:r>
    </w:p>
    <w:p w14:paraId="1E4B0EE8">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4A4F3EB9">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用于机电工程系统正常运行的软件一般按平台软件和二次开发软件分类。 平台软件主要指满足机电系统正常运行所需要的基础性软件系统，如操作系统、数据库系统、防病毒系统等。二次开发软件是指基于平台软件运行，为实现各系统中的专项功能而研发的软件，通常有联网收费软件、电力监控软件等。</w:t>
      </w:r>
    </w:p>
    <w:p w14:paraId="513965D9">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上述软件按技术规范和设计要求实施，经监理人验收，以套为计量单位，因操作系统通常为预装，其费用已含在相应的计算机配置中，一般不再单独计列费用。</w:t>
      </w:r>
    </w:p>
    <w:p w14:paraId="5F76E511">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37AA8CFA">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工程量清单的以下支付子目的工程量，其每一计量单位，将以合同单价支付。此项支付包括软件开发、安装、调试等及其他为完成工程所必须的费用，是对完成工程的全部偿付。</w:t>
      </w:r>
    </w:p>
    <w:p w14:paraId="24AE42FF">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4565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0E0CC1CD">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652D5346">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6BF18E51">
            <w:pPr>
              <w:jc w:val="left"/>
              <w:rPr>
                <w:rFonts w:hint="eastAsia" w:ascii="宋体" w:hAnsi="宋体"/>
                <w:color w:val="auto"/>
                <w:sz w:val="24"/>
                <w:highlight w:val="none"/>
              </w:rPr>
            </w:pPr>
            <w:r>
              <w:rPr>
                <w:rFonts w:hint="eastAsia" w:ascii="宋体" w:hAnsi="宋体"/>
                <w:color w:val="auto"/>
                <w:sz w:val="24"/>
                <w:highlight w:val="none"/>
              </w:rPr>
              <w:t>单位</w:t>
            </w:r>
          </w:p>
        </w:tc>
      </w:tr>
      <w:tr w14:paraId="3518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5E9D25A0">
            <w:pPr>
              <w:widowControl/>
              <w:jc w:val="left"/>
              <w:rPr>
                <w:rFonts w:ascii="宋体" w:hAnsi="宋体"/>
                <w:color w:val="auto"/>
                <w:sz w:val="24"/>
                <w:highlight w:val="none"/>
              </w:rPr>
            </w:pPr>
            <w:r>
              <w:rPr>
                <w:rFonts w:hint="eastAsia" w:ascii="宋体" w:hAnsi="宋体"/>
                <w:color w:val="auto"/>
                <w:sz w:val="24"/>
                <w:highlight w:val="none"/>
              </w:rPr>
              <w:t>805-1</w:t>
            </w:r>
          </w:p>
        </w:tc>
        <w:tc>
          <w:tcPr>
            <w:tcW w:w="5400" w:type="dxa"/>
            <w:noWrap w:val="0"/>
            <w:vAlign w:val="center"/>
          </w:tcPr>
          <w:p w14:paraId="2F285E43">
            <w:pPr>
              <w:widowControl/>
              <w:jc w:val="left"/>
              <w:rPr>
                <w:rFonts w:ascii="宋体" w:hAnsi="宋体"/>
                <w:color w:val="auto"/>
                <w:sz w:val="24"/>
                <w:highlight w:val="none"/>
              </w:rPr>
            </w:pPr>
            <w:r>
              <w:rPr>
                <w:rFonts w:hint="eastAsia" w:ascii="宋体" w:hAnsi="宋体"/>
                <w:color w:val="auto"/>
                <w:sz w:val="24"/>
                <w:highlight w:val="none"/>
              </w:rPr>
              <w:t>平台软件</w:t>
            </w:r>
          </w:p>
        </w:tc>
        <w:tc>
          <w:tcPr>
            <w:tcW w:w="1260" w:type="dxa"/>
            <w:noWrap w:val="0"/>
            <w:vAlign w:val="center"/>
          </w:tcPr>
          <w:p w14:paraId="750030A5">
            <w:pPr>
              <w:widowControl/>
              <w:jc w:val="left"/>
              <w:rPr>
                <w:rFonts w:ascii="宋体" w:hAnsi="宋体"/>
                <w:color w:val="auto"/>
                <w:sz w:val="24"/>
                <w:highlight w:val="none"/>
              </w:rPr>
            </w:pPr>
          </w:p>
        </w:tc>
      </w:tr>
      <w:tr w14:paraId="2299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946F715">
            <w:pPr>
              <w:widowControl/>
              <w:jc w:val="left"/>
              <w:rPr>
                <w:rFonts w:ascii="宋体" w:hAnsi="宋体"/>
                <w:color w:val="auto"/>
                <w:sz w:val="24"/>
                <w:highlight w:val="none"/>
              </w:rPr>
            </w:pPr>
            <w:r>
              <w:rPr>
                <w:rFonts w:hint="eastAsia" w:ascii="宋体" w:hAnsi="宋体"/>
                <w:color w:val="auto"/>
                <w:sz w:val="24"/>
                <w:highlight w:val="none"/>
              </w:rPr>
              <w:t>805-1-1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35A4DB6">
            <w:pPr>
              <w:widowControl/>
              <w:jc w:val="left"/>
              <w:rPr>
                <w:rFonts w:hint="eastAsia" w:ascii="宋体" w:hAnsi="宋体"/>
                <w:color w:val="auto"/>
                <w:sz w:val="24"/>
                <w:highlight w:val="none"/>
              </w:rPr>
            </w:pPr>
            <w:r>
              <w:rPr>
                <w:rFonts w:hint="eastAsia" w:ascii="宋体" w:hAnsi="宋体"/>
                <w:color w:val="auto"/>
                <w:sz w:val="24"/>
                <w:highlight w:val="none"/>
              </w:rPr>
              <w:t>抓拍软件(内置车牌识别功能，内置车型识别功能，内置视频卡式电警功能， 内置压线、逆行、闯红灯、不按导向行驶违章检测功能)</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2EF2D2">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2875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7BD8D79">
            <w:pPr>
              <w:widowControl/>
              <w:jc w:val="left"/>
              <w:rPr>
                <w:rFonts w:hint="eastAsia" w:ascii="宋体" w:hAnsi="宋体"/>
                <w:color w:val="auto"/>
                <w:sz w:val="24"/>
                <w:highlight w:val="none"/>
              </w:rPr>
            </w:pPr>
            <w:r>
              <w:rPr>
                <w:rFonts w:hint="eastAsia" w:ascii="宋体" w:hAnsi="宋体"/>
                <w:color w:val="auto"/>
                <w:sz w:val="24"/>
                <w:highlight w:val="none"/>
              </w:rPr>
              <w:t>805-1-2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1B5F8D4">
            <w:pPr>
              <w:widowControl/>
              <w:jc w:val="left"/>
              <w:rPr>
                <w:rFonts w:hint="eastAsia" w:ascii="宋体" w:hAnsi="宋体"/>
                <w:color w:val="auto"/>
                <w:sz w:val="24"/>
                <w:highlight w:val="none"/>
              </w:rPr>
            </w:pPr>
            <w:r>
              <w:rPr>
                <w:rFonts w:hint="eastAsia" w:ascii="宋体" w:hAnsi="宋体"/>
                <w:color w:val="auto"/>
                <w:sz w:val="24"/>
                <w:highlight w:val="none"/>
              </w:rPr>
              <w:t>硬盘录像控制软件(支持外接USB 存储设备本地图片存储、自动覆盖、自动上传，支持接入前端存储单元)</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A9DD72">
            <w:pPr>
              <w:widowControl/>
              <w:jc w:val="left"/>
              <w:rPr>
                <w:rFonts w:hint="eastAsia" w:ascii="宋体" w:hAnsi="宋体"/>
                <w:color w:val="auto"/>
                <w:sz w:val="24"/>
                <w:highlight w:val="none"/>
              </w:rPr>
            </w:pPr>
            <w:r>
              <w:rPr>
                <w:rFonts w:hint="eastAsia" w:ascii="宋体" w:hAnsi="宋体"/>
                <w:color w:val="auto"/>
                <w:sz w:val="24"/>
                <w:highlight w:val="none"/>
              </w:rPr>
              <w:t>套</w:t>
            </w:r>
          </w:p>
        </w:tc>
      </w:tr>
    </w:tbl>
    <w:p w14:paraId="22D6C35A">
      <w:pPr>
        <w:spacing w:line="360" w:lineRule="auto"/>
        <w:jc w:val="left"/>
        <w:rPr>
          <w:rFonts w:hint="eastAsia" w:ascii="宋体" w:hAnsi="宋体"/>
          <w:b/>
          <w:color w:val="auto"/>
          <w:sz w:val="24"/>
          <w:highlight w:val="none"/>
        </w:rPr>
      </w:pPr>
    </w:p>
    <w:p w14:paraId="62DC9D4F">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第807 节  供配电照明系统</w:t>
      </w:r>
    </w:p>
    <w:p w14:paraId="056BD2C1">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0008EA67">
      <w:pPr>
        <w:spacing w:line="360" w:lineRule="auto"/>
        <w:ind w:left="840" w:leftChars="400" w:right="1604" w:rightChars="764" w:firstLine="480" w:firstLineChars="200"/>
        <w:jc w:val="left"/>
        <w:rPr>
          <w:rFonts w:hint="eastAsia" w:ascii="宋体" w:hAnsi="宋体" w:eastAsia="宋体" w:cs="宋体"/>
          <w:color w:val="auto"/>
          <w:sz w:val="24"/>
          <w:highlight w:val="none"/>
        </w:rPr>
      </w:pPr>
      <w:r>
        <w:rPr>
          <w:rFonts w:hint="eastAsia" w:ascii="宋体" w:hAnsi="宋体"/>
          <w:color w:val="auto"/>
          <w:sz w:val="24"/>
          <w:highlight w:val="none"/>
        </w:rPr>
        <w:t>(1)变压器、组合式箱变按技术规范及设计要求实施，经监理人验收，</w:t>
      </w:r>
      <w:r>
        <w:rPr>
          <w:rFonts w:hint="eastAsia" w:ascii="宋体" w:hAnsi="宋体" w:eastAsia="宋体" w:cs="宋体"/>
          <w:color w:val="auto"/>
          <w:sz w:val="24"/>
          <w:highlight w:val="none"/>
        </w:rPr>
        <w:t>经监理人验收，按照图纸完成所有工作以</w:t>
      </w:r>
      <w:r>
        <w:rPr>
          <w:rFonts w:hint="eastAsia" w:ascii="宋体" w:hAnsi="宋体" w:eastAsia="宋体" w:cs="宋体"/>
          <w:color w:val="auto"/>
          <w:sz w:val="24"/>
          <w:highlight w:val="none"/>
          <w:lang w:eastAsia="zh-CN"/>
        </w:rPr>
        <w:t>套</w:t>
      </w:r>
      <w:r>
        <w:rPr>
          <w:rFonts w:hint="eastAsia" w:ascii="宋体" w:hAnsi="宋体" w:eastAsia="宋体" w:cs="宋体"/>
          <w:color w:val="auto"/>
          <w:sz w:val="24"/>
          <w:highlight w:val="none"/>
        </w:rPr>
        <w:t>计量。</w:t>
      </w:r>
    </w:p>
    <w:p w14:paraId="3F5D53C1">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(2)低压配电装置中配电柜、电容补偿柜、（配电）控制箱、机柜等均按技术规范及设计要求实施，经监理人验收，以台为计量单位。配电柜如按成套设备，则一般由进线柜，电容补偿柜，出线柜组成，主要部件有断路器、避雷器、隔离开关、电容器等。</w:t>
      </w:r>
    </w:p>
    <w:p w14:paraId="1456CE7C">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(3)各类杆灯应按技术规范和设计要求实施，经监理人验收，按高度、功率等不同以套为计量单位，计价中包括灯杆、灯盘、基础、灯具、光源、接地</w:t>
      </w:r>
      <w:r>
        <w:rPr>
          <w:rFonts w:hint="eastAsia" w:ascii="宋体" w:hAnsi="宋体"/>
          <w:color w:val="auto"/>
          <w:sz w:val="24"/>
          <w:highlight w:val="none"/>
          <w:lang w:eastAsia="zh-CN"/>
        </w:rPr>
        <w:t>、电线、单灯控制器</w:t>
      </w:r>
      <w:r>
        <w:rPr>
          <w:rFonts w:hint="eastAsia" w:ascii="宋体" w:hAnsi="宋体"/>
          <w:color w:val="auto"/>
          <w:sz w:val="24"/>
          <w:highlight w:val="none"/>
        </w:rPr>
        <w:t>及附属材料和配套备品、备件等。</w:t>
      </w:r>
    </w:p>
    <w:p w14:paraId="1E767F12">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(4)电缆按技术规范和设计要求实施，经监理人验收，以长度米为计量单位，计量中还包括电缆头制作、安装及附属材料。穿刺线夹按要求实施，经监理人验收，以个为计量单位。</w:t>
      </w:r>
    </w:p>
    <w:p w14:paraId="757277C7">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(5)线槽按技术规范和设计要求实施，经监理人验收，以长度米为计量单位，计量中还包括接地、封堵等附属设备和附属材料等。</w:t>
      </w:r>
    </w:p>
    <w:p w14:paraId="2A8A902D">
      <w:pPr>
        <w:spacing w:line="360" w:lineRule="auto"/>
        <w:ind w:left="840" w:leftChars="400" w:right="1604" w:rightChars="764"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rPr>
        <w:t>(6)拆除路灯</w:t>
      </w:r>
      <w:r>
        <w:rPr>
          <w:rFonts w:hint="eastAsia" w:ascii="宋体" w:hAnsi="宋体"/>
          <w:color w:val="auto"/>
          <w:sz w:val="24"/>
          <w:highlight w:val="none"/>
          <w:lang w:eastAsia="zh-CN"/>
        </w:rPr>
        <w:t>以套计量，</w:t>
      </w:r>
      <w:r>
        <w:rPr>
          <w:rFonts w:hint="eastAsia" w:ascii="宋体" w:hAnsi="宋体"/>
          <w:color w:val="auto"/>
          <w:sz w:val="24"/>
          <w:highlight w:val="none"/>
        </w:rPr>
        <w:t>拆除路灯线</w:t>
      </w:r>
      <w:r>
        <w:rPr>
          <w:rFonts w:hint="eastAsia" w:ascii="宋体" w:hAnsi="宋体"/>
          <w:color w:val="auto"/>
          <w:sz w:val="24"/>
          <w:highlight w:val="none"/>
          <w:lang w:eastAsia="zh-CN"/>
        </w:rPr>
        <w:t>以米计量。</w:t>
      </w:r>
    </w:p>
    <w:p w14:paraId="488BE78B">
      <w:pPr>
        <w:tabs>
          <w:tab w:val="left" w:pos="0"/>
        </w:tabs>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(6)所有挖基、挖槽以及回填、</w:t>
      </w:r>
      <w:r>
        <w:rPr>
          <w:rFonts w:hint="eastAsia" w:ascii="宋体" w:hAnsi="宋体"/>
          <w:color w:val="auto"/>
          <w:sz w:val="24"/>
          <w:highlight w:val="none"/>
          <w:lang w:eastAsia="zh-CN"/>
        </w:rPr>
        <w:t>基础、垫层、</w:t>
      </w:r>
      <w:r>
        <w:rPr>
          <w:rFonts w:hint="eastAsia" w:ascii="宋体" w:hAnsi="宋体"/>
          <w:color w:val="auto"/>
          <w:sz w:val="24"/>
          <w:highlight w:val="none"/>
        </w:rPr>
        <w:t>压实等均为各相关工程子目的附属工作，不另予计量。凡未列入计量子目的零星工程，均含在相关工程子目内，不另予计量。</w:t>
      </w:r>
    </w:p>
    <w:p w14:paraId="708562A7">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7F219988">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工程量清单的以下支付子目的工程量，其每一计量单位，将以合同单价或总额支付。此项支付包括材料、劳力、设备、工具、运输、安装、调测和清理场地等及其他为完成供配电系统所必须的费用，是对完成工程的全部偿付。</w:t>
      </w:r>
    </w:p>
    <w:p w14:paraId="7E5EDABF">
      <w:pPr>
        <w:spacing w:line="360" w:lineRule="auto"/>
        <w:ind w:left="840" w:leftChars="400" w:right="1604" w:rightChars="764"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1D0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78A687B5">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08E8E615">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16D0F3A4">
            <w:pPr>
              <w:jc w:val="left"/>
              <w:rPr>
                <w:rFonts w:hint="eastAsia" w:ascii="宋体" w:hAnsi="宋体"/>
                <w:color w:val="auto"/>
                <w:sz w:val="24"/>
                <w:highlight w:val="none"/>
              </w:rPr>
            </w:pPr>
            <w:r>
              <w:rPr>
                <w:rFonts w:hint="eastAsia" w:ascii="宋体" w:hAnsi="宋体"/>
                <w:color w:val="auto"/>
                <w:sz w:val="24"/>
                <w:highlight w:val="none"/>
              </w:rPr>
              <w:t>单位</w:t>
            </w:r>
          </w:p>
        </w:tc>
      </w:tr>
      <w:tr w14:paraId="3006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11AEDBE">
            <w:pPr>
              <w:widowControl/>
              <w:jc w:val="left"/>
              <w:rPr>
                <w:rFonts w:ascii="宋体" w:hAnsi="宋体"/>
                <w:color w:val="auto"/>
                <w:sz w:val="24"/>
                <w:highlight w:val="none"/>
              </w:rPr>
            </w:pPr>
            <w:r>
              <w:rPr>
                <w:rFonts w:hint="eastAsia" w:ascii="宋体" w:hAnsi="宋体"/>
                <w:color w:val="auto"/>
                <w:sz w:val="24"/>
                <w:highlight w:val="none"/>
              </w:rPr>
              <w:t>807-2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0BC4FFA">
            <w:pPr>
              <w:widowControl/>
              <w:jc w:val="left"/>
              <w:rPr>
                <w:rFonts w:hint="eastAsia" w:ascii="宋体" w:hAnsi="宋体"/>
                <w:color w:val="auto"/>
                <w:sz w:val="24"/>
                <w:highlight w:val="none"/>
              </w:rPr>
            </w:pPr>
            <w:r>
              <w:rPr>
                <w:rFonts w:hint="eastAsia" w:ascii="宋体" w:hAnsi="宋体"/>
                <w:color w:val="auto"/>
                <w:sz w:val="24"/>
                <w:highlight w:val="none"/>
              </w:rPr>
              <w:t>变压器</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4CC68B">
            <w:pPr>
              <w:widowControl/>
              <w:jc w:val="left"/>
              <w:rPr>
                <w:rFonts w:hint="eastAsia" w:ascii="宋体" w:hAnsi="宋体"/>
                <w:color w:val="auto"/>
                <w:sz w:val="24"/>
                <w:highlight w:val="none"/>
              </w:rPr>
            </w:pPr>
          </w:p>
        </w:tc>
      </w:tr>
      <w:tr w14:paraId="69C1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135F04C">
            <w:pPr>
              <w:widowControl/>
              <w:jc w:val="left"/>
              <w:rPr>
                <w:rFonts w:hint="eastAsia" w:ascii="宋体" w:hAnsi="宋体"/>
                <w:color w:val="auto"/>
                <w:sz w:val="24"/>
                <w:highlight w:val="none"/>
              </w:rPr>
            </w:pPr>
            <w:r>
              <w:rPr>
                <w:rFonts w:hint="eastAsia" w:ascii="宋体" w:hAnsi="宋体"/>
                <w:color w:val="auto"/>
                <w:sz w:val="24"/>
                <w:highlight w:val="none"/>
              </w:rPr>
              <w:t>807-2-3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CFD33BC">
            <w:pPr>
              <w:widowControl/>
              <w:jc w:val="left"/>
              <w:rPr>
                <w:rFonts w:hint="eastAsia" w:ascii="宋体" w:hAnsi="宋体"/>
                <w:color w:val="auto"/>
                <w:sz w:val="24"/>
                <w:highlight w:val="none"/>
              </w:rPr>
            </w:pPr>
            <w:r>
              <w:rPr>
                <w:rFonts w:hint="eastAsia" w:ascii="宋体" w:hAnsi="宋体"/>
                <w:color w:val="auto"/>
                <w:sz w:val="24"/>
                <w:highlight w:val="none"/>
              </w:rPr>
              <w:t>箱式变电站(SCB14-50KVA)</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1AFF63">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3FE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1AD0009">
            <w:pPr>
              <w:widowControl/>
              <w:jc w:val="left"/>
              <w:rPr>
                <w:rFonts w:hint="eastAsia" w:ascii="宋体" w:hAnsi="宋体"/>
                <w:color w:val="auto"/>
                <w:sz w:val="24"/>
                <w:highlight w:val="none"/>
              </w:rPr>
            </w:pPr>
            <w:r>
              <w:rPr>
                <w:rFonts w:hint="eastAsia" w:ascii="宋体" w:hAnsi="宋体"/>
                <w:color w:val="auto"/>
                <w:sz w:val="24"/>
                <w:highlight w:val="none"/>
              </w:rPr>
              <w:t>807-3-3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25D66E1">
            <w:pPr>
              <w:widowControl/>
              <w:jc w:val="left"/>
              <w:rPr>
                <w:rFonts w:hint="eastAsia" w:ascii="宋体" w:hAnsi="宋体"/>
                <w:color w:val="auto"/>
                <w:sz w:val="24"/>
                <w:highlight w:val="none"/>
              </w:rPr>
            </w:pPr>
            <w:r>
              <w:rPr>
                <w:rFonts w:hint="eastAsia" w:ascii="宋体" w:hAnsi="宋体"/>
                <w:color w:val="auto"/>
                <w:sz w:val="24"/>
                <w:highlight w:val="none"/>
              </w:rPr>
              <w:t>（配电）控制箱、柜</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C18327">
            <w:pPr>
              <w:widowControl/>
              <w:jc w:val="left"/>
              <w:rPr>
                <w:rFonts w:hint="eastAsia" w:ascii="宋体" w:hAnsi="宋体"/>
                <w:color w:val="auto"/>
                <w:sz w:val="24"/>
                <w:highlight w:val="none"/>
              </w:rPr>
            </w:pPr>
          </w:p>
        </w:tc>
      </w:tr>
      <w:tr w14:paraId="75AA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95A2AD9">
            <w:pPr>
              <w:widowControl/>
              <w:jc w:val="left"/>
              <w:rPr>
                <w:rFonts w:hint="eastAsia" w:ascii="宋体" w:hAnsi="宋体"/>
                <w:color w:val="auto"/>
                <w:sz w:val="24"/>
                <w:highlight w:val="none"/>
              </w:rPr>
            </w:pPr>
            <w:r>
              <w:rPr>
                <w:rFonts w:hint="eastAsia" w:ascii="宋体" w:hAnsi="宋体"/>
                <w:color w:val="auto"/>
                <w:sz w:val="24"/>
                <w:highlight w:val="none"/>
              </w:rPr>
              <w:t>807-3-3-1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726C5D7">
            <w:pPr>
              <w:widowControl/>
              <w:jc w:val="left"/>
              <w:rPr>
                <w:rFonts w:hint="eastAsia" w:ascii="宋体" w:hAnsi="宋体"/>
                <w:color w:val="auto"/>
                <w:sz w:val="24"/>
                <w:highlight w:val="none"/>
              </w:rPr>
            </w:pPr>
            <w:r>
              <w:rPr>
                <w:rFonts w:hint="eastAsia" w:ascii="宋体" w:hAnsi="宋体"/>
                <w:color w:val="auto"/>
                <w:sz w:val="24"/>
                <w:highlight w:val="none"/>
              </w:rPr>
              <w:t>配电箱</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C923F81">
            <w:pPr>
              <w:widowControl/>
              <w:jc w:val="left"/>
              <w:rPr>
                <w:rFonts w:hint="eastAsia" w:ascii="宋体" w:hAnsi="宋体"/>
                <w:color w:val="auto"/>
                <w:sz w:val="24"/>
                <w:highlight w:val="none"/>
              </w:rPr>
            </w:pPr>
            <w:r>
              <w:rPr>
                <w:rFonts w:hint="eastAsia" w:ascii="宋体" w:hAnsi="宋体"/>
                <w:color w:val="auto"/>
                <w:sz w:val="24"/>
                <w:highlight w:val="none"/>
              </w:rPr>
              <w:t>台</w:t>
            </w:r>
          </w:p>
        </w:tc>
      </w:tr>
      <w:tr w14:paraId="63CD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06EDC30">
            <w:pPr>
              <w:widowControl/>
              <w:jc w:val="left"/>
              <w:rPr>
                <w:rFonts w:hint="eastAsia" w:ascii="宋体" w:hAnsi="宋体"/>
                <w:color w:val="auto"/>
                <w:sz w:val="24"/>
                <w:highlight w:val="none"/>
              </w:rPr>
            </w:pPr>
            <w:r>
              <w:rPr>
                <w:rFonts w:hint="eastAsia" w:ascii="宋体" w:hAnsi="宋体"/>
                <w:color w:val="auto"/>
                <w:sz w:val="24"/>
                <w:highlight w:val="none"/>
              </w:rPr>
              <w:t>807-6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C4590DB">
            <w:pPr>
              <w:widowControl/>
              <w:jc w:val="left"/>
              <w:rPr>
                <w:rFonts w:hint="eastAsia" w:ascii="宋体" w:hAnsi="宋体"/>
                <w:color w:val="auto"/>
                <w:sz w:val="24"/>
                <w:highlight w:val="none"/>
              </w:rPr>
            </w:pPr>
            <w:r>
              <w:rPr>
                <w:rFonts w:hint="eastAsia" w:ascii="宋体" w:hAnsi="宋体"/>
                <w:color w:val="auto"/>
                <w:sz w:val="24"/>
                <w:highlight w:val="none"/>
              </w:rPr>
              <w:t>路灯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D1CD59">
            <w:pPr>
              <w:widowControl/>
              <w:jc w:val="left"/>
              <w:rPr>
                <w:rFonts w:hint="eastAsia" w:ascii="宋体" w:hAnsi="宋体"/>
                <w:color w:val="auto"/>
                <w:sz w:val="24"/>
                <w:highlight w:val="none"/>
              </w:rPr>
            </w:pPr>
          </w:p>
        </w:tc>
      </w:tr>
      <w:tr w14:paraId="43B3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7548C68">
            <w:pPr>
              <w:widowControl/>
              <w:jc w:val="left"/>
              <w:rPr>
                <w:rFonts w:hint="eastAsia" w:ascii="宋体" w:hAnsi="宋体"/>
                <w:color w:val="auto"/>
                <w:sz w:val="24"/>
                <w:highlight w:val="none"/>
              </w:rPr>
            </w:pPr>
            <w:r>
              <w:rPr>
                <w:rFonts w:hint="eastAsia" w:ascii="宋体" w:hAnsi="宋体"/>
                <w:color w:val="auto"/>
                <w:sz w:val="24"/>
                <w:highlight w:val="none"/>
              </w:rPr>
              <w:t>807-6-2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9D0DDA4">
            <w:pPr>
              <w:widowControl/>
              <w:jc w:val="left"/>
              <w:rPr>
                <w:rFonts w:hint="eastAsia" w:ascii="宋体" w:hAnsi="宋体"/>
                <w:color w:val="auto"/>
                <w:sz w:val="24"/>
                <w:highlight w:val="none"/>
              </w:rPr>
            </w:pPr>
            <w:r>
              <w:rPr>
                <w:rFonts w:hint="eastAsia" w:ascii="宋体" w:hAnsi="宋体"/>
                <w:color w:val="auto"/>
                <w:sz w:val="24"/>
                <w:highlight w:val="none"/>
              </w:rPr>
              <w:t>15m以内杆灯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18ED14">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6565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E996BED">
            <w:pPr>
              <w:widowControl/>
              <w:jc w:val="left"/>
              <w:rPr>
                <w:rFonts w:hint="eastAsia" w:ascii="宋体" w:hAnsi="宋体"/>
                <w:color w:val="auto"/>
                <w:sz w:val="24"/>
                <w:highlight w:val="none"/>
              </w:rPr>
            </w:pPr>
            <w:r>
              <w:rPr>
                <w:rFonts w:hint="eastAsia" w:ascii="宋体" w:hAnsi="宋体"/>
                <w:color w:val="auto"/>
                <w:sz w:val="24"/>
                <w:highlight w:val="none"/>
              </w:rPr>
              <w:t>807-6-2-1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B057468">
            <w:pPr>
              <w:widowControl/>
              <w:jc w:val="left"/>
              <w:rPr>
                <w:rFonts w:hint="eastAsia" w:ascii="宋体" w:hAnsi="宋体"/>
                <w:color w:val="auto"/>
                <w:sz w:val="24"/>
                <w:highlight w:val="none"/>
              </w:rPr>
            </w:pPr>
            <w:r>
              <w:rPr>
                <w:rFonts w:hint="eastAsia" w:ascii="宋体" w:hAnsi="宋体"/>
                <w:color w:val="auto"/>
                <w:sz w:val="24"/>
                <w:highlight w:val="none"/>
              </w:rPr>
              <w:t>单挑臂马路灯(灯具安装高度为10米)LED光源、截光型光源功率160W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DA7735">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24A7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CC81AC5">
            <w:pPr>
              <w:widowControl/>
              <w:jc w:val="left"/>
              <w:rPr>
                <w:rFonts w:hint="eastAsia" w:ascii="宋体" w:hAnsi="宋体"/>
                <w:color w:val="auto"/>
                <w:sz w:val="24"/>
                <w:highlight w:val="none"/>
              </w:rPr>
            </w:pPr>
            <w:r>
              <w:rPr>
                <w:rFonts w:hint="eastAsia" w:ascii="宋体" w:hAnsi="宋体"/>
                <w:color w:val="auto"/>
                <w:sz w:val="24"/>
                <w:highlight w:val="none"/>
              </w:rPr>
              <w:t>807-6-2-2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C025319">
            <w:pPr>
              <w:widowControl/>
              <w:jc w:val="left"/>
              <w:rPr>
                <w:rFonts w:hint="eastAsia" w:ascii="宋体" w:hAnsi="宋体"/>
                <w:color w:val="auto"/>
                <w:sz w:val="24"/>
                <w:highlight w:val="none"/>
              </w:rPr>
            </w:pPr>
            <w:r>
              <w:rPr>
                <w:rFonts w:hint="eastAsia" w:ascii="宋体" w:hAnsi="宋体"/>
                <w:color w:val="auto"/>
                <w:sz w:val="24"/>
                <w:highlight w:val="none"/>
              </w:rPr>
              <w:t>单挑臂马路灯(灯具安装高度为13米)LED光源、截光型光源功率200W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E59F46">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A0F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5E245A4">
            <w:pPr>
              <w:widowControl/>
              <w:jc w:val="left"/>
              <w:rPr>
                <w:rFonts w:hint="eastAsia" w:ascii="宋体" w:hAnsi="宋体"/>
                <w:color w:val="auto"/>
                <w:sz w:val="24"/>
                <w:highlight w:val="none"/>
              </w:rPr>
            </w:pPr>
            <w:r>
              <w:rPr>
                <w:rFonts w:hint="eastAsia" w:ascii="宋体" w:hAnsi="宋体"/>
                <w:color w:val="auto"/>
                <w:sz w:val="24"/>
                <w:highlight w:val="none"/>
              </w:rPr>
              <w:t>807-6-2-3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BD6CB56">
            <w:pPr>
              <w:widowControl/>
              <w:jc w:val="left"/>
              <w:rPr>
                <w:rFonts w:hint="eastAsia" w:ascii="宋体" w:hAnsi="宋体"/>
                <w:color w:val="auto"/>
                <w:sz w:val="24"/>
                <w:highlight w:val="none"/>
              </w:rPr>
            </w:pPr>
            <w:r>
              <w:rPr>
                <w:rFonts w:hint="eastAsia" w:ascii="宋体" w:hAnsi="宋体"/>
                <w:color w:val="auto"/>
                <w:sz w:val="24"/>
                <w:highlight w:val="none"/>
              </w:rPr>
              <w:t>单挑臂马路灯(灯具安装高度为8米)LED光源、截光型光源功率75W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F998FA">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60D8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8B7D956">
            <w:pPr>
              <w:widowControl/>
              <w:jc w:val="left"/>
              <w:rPr>
                <w:rFonts w:hint="eastAsia" w:ascii="宋体" w:hAnsi="宋体"/>
                <w:color w:val="auto"/>
                <w:sz w:val="24"/>
                <w:highlight w:val="none"/>
              </w:rPr>
            </w:pPr>
            <w:r>
              <w:rPr>
                <w:rFonts w:hint="eastAsia" w:ascii="宋体" w:hAnsi="宋体"/>
                <w:color w:val="auto"/>
                <w:sz w:val="24"/>
                <w:highlight w:val="none"/>
              </w:rPr>
              <w:t>807-6-2-4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A2789F9">
            <w:pPr>
              <w:widowControl/>
              <w:jc w:val="left"/>
              <w:rPr>
                <w:rFonts w:hint="eastAsia" w:ascii="宋体" w:hAnsi="宋体"/>
                <w:color w:val="auto"/>
                <w:sz w:val="24"/>
                <w:highlight w:val="none"/>
              </w:rPr>
            </w:pPr>
            <w:r>
              <w:rPr>
                <w:rFonts w:hint="eastAsia" w:ascii="宋体" w:hAnsi="宋体"/>
                <w:color w:val="auto"/>
                <w:sz w:val="24"/>
                <w:highlight w:val="none"/>
              </w:rPr>
              <w:t>三头马路灯(灯具安装高度为10米)LED光源、泛光灯光源功率3*160W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0A1EA7">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7BAF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C5BF3C4">
            <w:pPr>
              <w:widowControl/>
              <w:jc w:val="left"/>
              <w:rPr>
                <w:rFonts w:hint="eastAsia" w:ascii="宋体" w:hAnsi="宋体"/>
                <w:color w:val="auto"/>
                <w:sz w:val="24"/>
                <w:highlight w:val="none"/>
              </w:rPr>
            </w:pPr>
            <w:r>
              <w:rPr>
                <w:rFonts w:hint="eastAsia" w:ascii="宋体" w:hAnsi="宋体"/>
                <w:color w:val="auto"/>
                <w:sz w:val="24"/>
                <w:highlight w:val="none"/>
              </w:rPr>
              <w:t>807-6-2-5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4349379">
            <w:pPr>
              <w:widowControl/>
              <w:jc w:val="left"/>
              <w:rPr>
                <w:rFonts w:hint="eastAsia" w:ascii="宋体" w:hAnsi="宋体"/>
                <w:color w:val="auto"/>
                <w:sz w:val="24"/>
                <w:highlight w:val="none"/>
              </w:rPr>
            </w:pPr>
            <w:r>
              <w:rPr>
                <w:rFonts w:hint="eastAsia" w:ascii="宋体" w:hAnsi="宋体"/>
                <w:color w:val="auto"/>
                <w:sz w:val="24"/>
                <w:highlight w:val="none"/>
              </w:rPr>
              <w:t>三头马路灯(灯具安装高度为14.5米)LED光源、泛光灯光源功率3*200W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4430706">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5069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650F191">
            <w:pPr>
              <w:widowControl/>
              <w:jc w:val="left"/>
              <w:rPr>
                <w:rFonts w:hint="eastAsia" w:ascii="宋体" w:hAnsi="宋体"/>
                <w:color w:val="auto"/>
                <w:sz w:val="24"/>
                <w:highlight w:val="none"/>
              </w:rPr>
            </w:pPr>
            <w:r>
              <w:rPr>
                <w:rFonts w:hint="eastAsia" w:ascii="宋体" w:hAnsi="宋体"/>
                <w:color w:val="auto"/>
                <w:sz w:val="24"/>
                <w:highlight w:val="none"/>
              </w:rPr>
              <w:t>807-6-2-6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5776148">
            <w:pPr>
              <w:widowControl/>
              <w:jc w:val="left"/>
              <w:rPr>
                <w:rFonts w:hint="eastAsia" w:ascii="宋体" w:hAnsi="宋体"/>
                <w:color w:val="auto"/>
                <w:sz w:val="24"/>
                <w:highlight w:val="none"/>
              </w:rPr>
            </w:pPr>
            <w:r>
              <w:rPr>
                <w:rFonts w:hint="eastAsia" w:ascii="宋体" w:hAnsi="宋体"/>
                <w:color w:val="auto"/>
                <w:sz w:val="24"/>
                <w:highlight w:val="none"/>
              </w:rPr>
              <w:t>三头马路灯(灯具安装高度为8米)LED光源、泛光型光源功率3*100W</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C40332">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013B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07F4187">
            <w:pPr>
              <w:widowControl/>
              <w:jc w:val="left"/>
              <w:rPr>
                <w:rFonts w:hint="eastAsia" w:ascii="宋体" w:hAnsi="宋体"/>
                <w:color w:val="auto"/>
                <w:sz w:val="24"/>
                <w:highlight w:val="none"/>
              </w:rPr>
            </w:pPr>
            <w:r>
              <w:rPr>
                <w:rFonts w:hint="eastAsia" w:ascii="宋体" w:hAnsi="宋体"/>
                <w:color w:val="auto"/>
                <w:sz w:val="24"/>
                <w:highlight w:val="none"/>
              </w:rPr>
              <w:t>807-6-2-9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81EC7D8">
            <w:pPr>
              <w:widowControl/>
              <w:jc w:val="left"/>
              <w:rPr>
                <w:rFonts w:hint="eastAsia" w:ascii="宋体" w:hAnsi="宋体"/>
                <w:color w:val="auto"/>
                <w:sz w:val="24"/>
                <w:highlight w:val="none"/>
              </w:rPr>
            </w:pPr>
            <w:r>
              <w:rPr>
                <w:rFonts w:hint="eastAsia" w:ascii="宋体" w:hAnsi="宋体"/>
                <w:color w:val="auto"/>
                <w:sz w:val="24"/>
                <w:highlight w:val="none"/>
              </w:rPr>
              <w:t>拆除路灯</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25A7579">
            <w:pPr>
              <w:widowControl/>
              <w:jc w:val="left"/>
              <w:rPr>
                <w:rFonts w:hint="eastAsia" w:ascii="宋体" w:hAnsi="宋体"/>
                <w:color w:val="auto"/>
                <w:sz w:val="24"/>
                <w:highlight w:val="none"/>
              </w:rPr>
            </w:pPr>
            <w:r>
              <w:rPr>
                <w:rFonts w:hint="eastAsia" w:ascii="宋体" w:hAnsi="宋体"/>
                <w:color w:val="auto"/>
                <w:sz w:val="24"/>
                <w:highlight w:val="none"/>
              </w:rPr>
              <w:t>套</w:t>
            </w:r>
          </w:p>
        </w:tc>
      </w:tr>
      <w:tr w14:paraId="3BBB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CBF7C9E">
            <w:pPr>
              <w:widowControl/>
              <w:jc w:val="left"/>
              <w:rPr>
                <w:rFonts w:hint="eastAsia" w:ascii="宋体" w:hAnsi="宋体"/>
                <w:color w:val="auto"/>
                <w:sz w:val="24"/>
                <w:highlight w:val="none"/>
              </w:rPr>
            </w:pPr>
            <w:r>
              <w:rPr>
                <w:rFonts w:hint="eastAsia" w:ascii="宋体" w:hAnsi="宋体"/>
                <w:color w:val="auto"/>
                <w:sz w:val="24"/>
                <w:highlight w:val="none"/>
              </w:rPr>
              <w:t>807-6-2-10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5375815">
            <w:pPr>
              <w:widowControl/>
              <w:jc w:val="left"/>
              <w:rPr>
                <w:rFonts w:hint="eastAsia" w:ascii="宋体" w:hAnsi="宋体"/>
                <w:color w:val="auto"/>
                <w:sz w:val="24"/>
                <w:highlight w:val="none"/>
              </w:rPr>
            </w:pPr>
            <w:r>
              <w:rPr>
                <w:rFonts w:hint="eastAsia" w:ascii="宋体" w:hAnsi="宋体"/>
                <w:color w:val="auto"/>
                <w:sz w:val="24"/>
                <w:highlight w:val="none"/>
              </w:rPr>
              <w:t>拆除路灯线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05756DC">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470D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024EFA2">
            <w:pPr>
              <w:widowControl/>
              <w:jc w:val="left"/>
              <w:rPr>
                <w:rFonts w:hint="eastAsia" w:ascii="宋体" w:hAnsi="宋体"/>
                <w:color w:val="auto"/>
                <w:sz w:val="24"/>
                <w:highlight w:val="none"/>
              </w:rPr>
            </w:pPr>
            <w:r>
              <w:rPr>
                <w:rFonts w:hint="eastAsia" w:ascii="宋体" w:hAnsi="宋体"/>
                <w:color w:val="auto"/>
                <w:sz w:val="24"/>
                <w:highlight w:val="none"/>
              </w:rPr>
              <w:t>807-8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61DF264">
            <w:pPr>
              <w:widowControl/>
              <w:jc w:val="left"/>
              <w:rPr>
                <w:rFonts w:hint="eastAsia" w:ascii="宋体" w:hAnsi="宋体"/>
                <w:color w:val="auto"/>
                <w:sz w:val="24"/>
                <w:highlight w:val="none"/>
              </w:rPr>
            </w:pPr>
            <w:r>
              <w:rPr>
                <w:rFonts w:hint="eastAsia" w:ascii="宋体" w:hAnsi="宋体"/>
                <w:color w:val="auto"/>
                <w:sz w:val="24"/>
                <w:highlight w:val="none"/>
              </w:rPr>
              <w:t>电缆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D57B64">
            <w:pPr>
              <w:widowControl/>
              <w:jc w:val="left"/>
              <w:rPr>
                <w:rFonts w:hint="eastAsia" w:ascii="宋体" w:hAnsi="宋体"/>
                <w:color w:val="auto"/>
                <w:sz w:val="24"/>
                <w:highlight w:val="none"/>
              </w:rPr>
            </w:pPr>
          </w:p>
        </w:tc>
      </w:tr>
      <w:tr w14:paraId="795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A4C2CC3">
            <w:pPr>
              <w:widowControl/>
              <w:jc w:val="left"/>
              <w:rPr>
                <w:rFonts w:hint="eastAsia" w:ascii="宋体" w:hAnsi="宋体"/>
                <w:color w:val="auto"/>
                <w:sz w:val="24"/>
                <w:highlight w:val="none"/>
              </w:rPr>
            </w:pPr>
            <w:r>
              <w:rPr>
                <w:rFonts w:hint="eastAsia" w:ascii="宋体" w:hAnsi="宋体"/>
                <w:color w:val="auto"/>
                <w:sz w:val="24"/>
                <w:highlight w:val="none"/>
              </w:rPr>
              <w:t>807-8-1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786D4BE">
            <w:pPr>
              <w:widowControl/>
              <w:jc w:val="left"/>
              <w:rPr>
                <w:rFonts w:hint="eastAsia" w:ascii="宋体" w:hAnsi="宋体"/>
                <w:color w:val="auto"/>
                <w:sz w:val="24"/>
                <w:highlight w:val="none"/>
              </w:rPr>
            </w:pPr>
            <w:r>
              <w:rPr>
                <w:rFonts w:hint="eastAsia" w:ascii="宋体" w:hAnsi="宋体"/>
                <w:color w:val="auto"/>
                <w:sz w:val="24"/>
                <w:highlight w:val="none"/>
              </w:rPr>
              <w:t>电力电缆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9BFABF">
            <w:pPr>
              <w:widowControl/>
              <w:jc w:val="left"/>
              <w:rPr>
                <w:rFonts w:hint="eastAsia" w:ascii="宋体" w:hAnsi="宋体"/>
                <w:color w:val="auto"/>
                <w:sz w:val="24"/>
                <w:highlight w:val="none"/>
              </w:rPr>
            </w:pPr>
          </w:p>
        </w:tc>
      </w:tr>
      <w:tr w14:paraId="587D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662186F">
            <w:pPr>
              <w:widowControl/>
              <w:jc w:val="left"/>
              <w:rPr>
                <w:rFonts w:hint="eastAsia" w:ascii="宋体" w:hAnsi="宋体"/>
                <w:color w:val="auto"/>
                <w:sz w:val="24"/>
                <w:highlight w:val="none"/>
              </w:rPr>
            </w:pPr>
            <w:r>
              <w:rPr>
                <w:rFonts w:hint="eastAsia" w:ascii="宋体" w:hAnsi="宋体"/>
                <w:color w:val="auto"/>
                <w:sz w:val="24"/>
                <w:highlight w:val="none"/>
              </w:rPr>
              <w:t>807-8-1-1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1CB7D97">
            <w:pPr>
              <w:widowControl/>
              <w:jc w:val="left"/>
              <w:rPr>
                <w:rFonts w:hint="eastAsia" w:ascii="宋体" w:hAnsi="宋体"/>
                <w:color w:val="auto"/>
                <w:sz w:val="24"/>
                <w:highlight w:val="none"/>
              </w:rPr>
            </w:pPr>
            <w:r>
              <w:rPr>
                <w:rFonts w:hint="eastAsia" w:ascii="宋体" w:hAnsi="宋体"/>
                <w:color w:val="auto"/>
                <w:sz w:val="24"/>
                <w:highlight w:val="none"/>
              </w:rPr>
              <w:t>截面面积35mm2以内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1C05B8E">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617A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E920D19">
            <w:pPr>
              <w:widowControl/>
              <w:jc w:val="left"/>
              <w:rPr>
                <w:rFonts w:hint="eastAsia" w:ascii="宋体" w:hAnsi="宋体"/>
                <w:color w:val="auto"/>
                <w:sz w:val="24"/>
                <w:highlight w:val="none"/>
              </w:rPr>
            </w:pPr>
            <w:r>
              <w:rPr>
                <w:rFonts w:hint="eastAsia" w:ascii="宋体" w:hAnsi="宋体"/>
                <w:color w:val="auto"/>
                <w:sz w:val="24"/>
                <w:highlight w:val="none"/>
              </w:rPr>
              <w:t>807-8-1-1-1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B20F7D9">
            <w:pPr>
              <w:widowControl/>
              <w:jc w:val="left"/>
              <w:rPr>
                <w:rFonts w:hint="eastAsia" w:ascii="宋体" w:hAnsi="宋体"/>
                <w:color w:val="auto"/>
                <w:sz w:val="24"/>
                <w:highlight w:val="none"/>
              </w:rPr>
            </w:pPr>
            <w:r>
              <w:rPr>
                <w:rFonts w:hint="eastAsia" w:ascii="宋体" w:hAnsi="宋体"/>
                <w:color w:val="auto"/>
                <w:sz w:val="24"/>
                <w:highlight w:val="none"/>
              </w:rPr>
              <w:t>YJV-0.6/1kV   1x16mm2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7F4783">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1CE3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BD38E44">
            <w:pPr>
              <w:widowControl/>
              <w:jc w:val="left"/>
              <w:rPr>
                <w:rFonts w:hint="eastAsia" w:ascii="宋体" w:hAnsi="宋体"/>
                <w:color w:val="auto"/>
                <w:sz w:val="24"/>
                <w:highlight w:val="none"/>
              </w:rPr>
            </w:pPr>
            <w:r>
              <w:rPr>
                <w:rFonts w:hint="eastAsia" w:ascii="宋体" w:hAnsi="宋体"/>
                <w:color w:val="auto"/>
                <w:sz w:val="24"/>
                <w:highlight w:val="none"/>
              </w:rPr>
              <w:t>807-8-1-1-4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4C30A2C">
            <w:pPr>
              <w:widowControl/>
              <w:jc w:val="left"/>
              <w:rPr>
                <w:rFonts w:hint="eastAsia" w:ascii="宋体" w:hAnsi="宋体"/>
                <w:color w:val="auto"/>
                <w:sz w:val="24"/>
                <w:highlight w:val="none"/>
              </w:rPr>
            </w:pPr>
            <w:r>
              <w:rPr>
                <w:rFonts w:hint="eastAsia" w:ascii="宋体" w:hAnsi="宋体"/>
                <w:color w:val="auto"/>
                <w:sz w:val="24"/>
                <w:highlight w:val="none"/>
              </w:rPr>
              <w:t>YJV-1kV-3x16mm2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A1F1212">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13D4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794509F">
            <w:pPr>
              <w:widowControl/>
              <w:jc w:val="left"/>
              <w:rPr>
                <w:rFonts w:hint="eastAsia" w:ascii="宋体" w:hAnsi="宋体"/>
                <w:color w:val="auto"/>
                <w:sz w:val="24"/>
                <w:highlight w:val="none"/>
              </w:rPr>
            </w:pPr>
            <w:r>
              <w:rPr>
                <w:rFonts w:hint="eastAsia" w:ascii="宋体" w:hAnsi="宋体"/>
                <w:color w:val="auto"/>
                <w:sz w:val="24"/>
                <w:highlight w:val="none"/>
              </w:rPr>
              <w:t>807-8-1-2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9084BD4">
            <w:pPr>
              <w:widowControl/>
              <w:jc w:val="left"/>
              <w:rPr>
                <w:rFonts w:hint="eastAsia" w:ascii="宋体" w:hAnsi="宋体"/>
                <w:color w:val="auto"/>
                <w:sz w:val="24"/>
                <w:highlight w:val="none"/>
              </w:rPr>
            </w:pPr>
            <w:r>
              <w:rPr>
                <w:rFonts w:hint="eastAsia" w:ascii="宋体" w:hAnsi="宋体"/>
                <w:color w:val="auto"/>
                <w:sz w:val="24"/>
                <w:highlight w:val="none"/>
              </w:rPr>
              <w:t>截面面积120mm2以内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91BA9A">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0E22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78C7736">
            <w:pPr>
              <w:widowControl/>
              <w:jc w:val="left"/>
              <w:rPr>
                <w:rFonts w:hint="eastAsia" w:ascii="宋体" w:hAnsi="宋体"/>
                <w:color w:val="auto"/>
                <w:sz w:val="24"/>
                <w:highlight w:val="none"/>
              </w:rPr>
            </w:pPr>
            <w:r>
              <w:rPr>
                <w:rFonts w:hint="eastAsia" w:ascii="宋体" w:hAnsi="宋体"/>
                <w:color w:val="auto"/>
                <w:sz w:val="24"/>
                <w:highlight w:val="none"/>
              </w:rPr>
              <w:t>807-8-1-2-5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A74528D">
            <w:pPr>
              <w:widowControl/>
              <w:jc w:val="left"/>
              <w:rPr>
                <w:rFonts w:hint="eastAsia" w:ascii="宋体" w:hAnsi="宋体"/>
                <w:color w:val="auto"/>
                <w:sz w:val="24"/>
                <w:highlight w:val="none"/>
              </w:rPr>
            </w:pPr>
            <w:r>
              <w:rPr>
                <w:rFonts w:hint="eastAsia" w:ascii="宋体" w:hAnsi="宋体"/>
                <w:color w:val="auto"/>
                <w:sz w:val="24"/>
                <w:highlight w:val="none"/>
              </w:rPr>
              <w:t>ZR-YJV22-8.7/15kV 3x70mm2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B263CE2">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5636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C56E6F9">
            <w:pPr>
              <w:widowControl/>
              <w:jc w:val="left"/>
              <w:rPr>
                <w:rFonts w:hint="eastAsia" w:ascii="宋体" w:hAnsi="宋体"/>
                <w:color w:val="auto"/>
                <w:sz w:val="24"/>
                <w:highlight w:val="none"/>
              </w:rPr>
            </w:pPr>
            <w:r>
              <w:rPr>
                <w:rFonts w:hint="eastAsia" w:ascii="宋体" w:hAnsi="宋体"/>
                <w:color w:val="auto"/>
                <w:sz w:val="24"/>
                <w:highlight w:val="none"/>
              </w:rPr>
              <w:t>807-8-2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C7CC91">
            <w:pPr>
              <w:widowControl/>
              <w:jc w:val="left"/>
              <w:rPr>
                <w:rFonts w:hint="eastAsia" w:ascii="宋体" w:hAnsi="宋体"/>
                <w:color w:val="auto"/>
                <w:sz w:val="24"/>
                <w:highlight w:val="none"/>
              </w:rPr>
            </w:pPr>
            <w:r>
              <w:rPr>
                <w:rFonts w:hint="eastAsia" w:ascii="宋体" w:hAnsi="宋体"/>
                <w:color w:val="auto"/>
                <w:sz w:val="24"/>
                <w:highlight w:val="none"/>
              </w:rPr>
              <w:t>控制电缆</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C60AB0">
            <w:pPr>
              <w:widowControl/>
              <w:jc w:val="left"/>
              <w:rPr>
                <w:rFonts w:hint="eastAsia" w:ascii="宋体" w:hAnsi="宋体"/>
                <w:color w:val="auto"/>
                <w:sz w:val="24"/>
                <w:highlight w:val="none"/>
              </w:rPr>
            </w:pPr>
          </w:p>
        </w:tc>
      </w:tr>
      <w:tr w14:paraId="3355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8D83F6A">
            <w:pPr>
              <w:widowControl/>
              <w:jc w:val="left"/>
              <w:rPr>
                <w:rFonts w:hint="eastAsia" w:ascii="宋体" w:hAnsi="宋体"/>
                <w:color w:val="auto"/>
                <w:sz w:val="24"/>
                <w:highlight w:val="none"/>
              </w:rPr>
            </w:pPr>
            <w:r>
              <w:rPr>
                <w:rFonts w:hint="eastAsia" w:ascii="宋体" w:hAnsi="宋体"/>
                <w:color w:val="auto"/>
                <w:sz w:val="24"/>
                <w:highlight w:val="none"/>
              </w:rPr>
              <w:t>807-8-2-1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643B9EB">
            <w:pPr>
              <w:widowControl/>
              <w:jc w:val="left"/>
              <w:rPr>
                <w:rFonts w:hint="eastAsia" w:ascii="宋体" w:hAnsi="宋体"/>
                <w:color w:val="auto"/>
                <w:sz w:val="24"/>
                <w:highlight w:val="none"/>
              </w:rPr>
            </w:pPr>
            <w:r>
              <w:rPr>
                <w:rFonts w:hint="eastAsia" w:ascii="宋体" w:hAnsi="宋体"/>
                <w:color w:val="auto"/>
                <w:sz w:val="24"/>
                <w:highlight w:val="none"/>
              </w:rPr>
              <w:t>截面面积35mm2以内</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42CC22">
            <w:pPr>
              <w:widowControl/>
              <w:jc w:val="left"/>
              <w:rPr>
                <w:rFonts w:hint="eastAsia" w:ascii="宋体" w:hAnsi="宋体"/>
                <w:color w:val="auto"/>
                <w:sz w:val="24"/>
                <w:highlight w:val="none"/>
              </w:rPr>
            </w:pPr>
          </w:p>
        </w:tc>
      </w:tr>
      <w:tr w14:paraId="54FA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20E2E7F">
            <w:pPr>
              <w:widowControl/>
              <w:jc w:val="left"/>
              <w:rPr>
                <w:rFonts w:hint="eastAsia" w:ascii="宋体" w:hAnsi="宋体"/>
                <w:color w:val="auto"/>
                <w:sz w:val="24"/>
                <w:highlight w:val="none"/>
              </w:rPr>
            </w:pPr>
            <w:r>
              <w:rPr>
                <w:rFonts w:hint="eastAsia" w:ascii="宋体" w:hAnsi="宋体"/>
                <w:color w:val="auto"/>
                <w:sz w:val="24"/>
                <w:highlight w:val="none"/>
              </w:rPr>
              <w:t>807-8-2-1-1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CACDA56">
            <w:pPr>
              <w:widowControl/>
              <w:jc w:val="left"/>
              <w:rPr>
                <w:rFonts w:hint="eastAsia" w:ascii="宋体" w:hAnsi="宋体"/>
                <w:color w:val="auto"/>
                <w:sz w:val="24"/>
                <w:highlight w:val="none"/>
              </w:rPr>
            </w:pPr>
            <w:r>
              <w:rPr>
                <w:rFonts w:hint="eastAsia" w:ascii="宋体" w:hAnsi="宋体"/>
                <w:color w:val="auto"/>
                <w:sz w:val="24"/>
                <w:highlight w:val="none"/>
              </w:rPr>
              <w:t>RVV4*1.5mm2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CC8FAA">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6E3B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B077637">
            <w:pPr>
              <w:widowControl/>
              <w:jc w:val="left"/>
              <w:rPr>
                <w:rFonts w:hint="eastAsia" w:ascii="宋体" w:hAnsi="宋体"/>
                <w:color w:val="auto"/>
                <w:sz w:val="24"/>
                <w:highlight w:val="none"/>
              </w:rPr>
            </w:pPr>
            <w:r>
              <w:rPr>
                <w:rFonts w:hint="eastAsia" w:ascii="宋体" w:hAnsi="宋体"/>
                <w:color w:val="auto"/>
                <w:sz w:val="24"/>
                <w:highlight w:val="none"/>
              </w:rPr>
              <w:t>807-8-2-1-2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249A6CF">
            <w:pPr>
              <w:widowControl/>
              <w:jc w:val="left"/>
              <w:rPr>
                <w:rFonts w:hint="eastAsia" w:ascii="宋体" w:hAnsi="宋体"/>
                <w:color w:val="auto"/>
                <w:sz w:val="24"/>
                <w:highlight w:val="none"/>
              </w:rPr>
            </w:pPr>
            <w:r>
              <w:rPr>
                <w:rFonts w:hint="eastAsia" w:ascii="宋体" w:hAnsi="宋体"/>
                <w:color w:val="auto"/>
                <w:sz w:val="24"/>
                <w:highlight w:val="none"/>
              </w:rPr>
              <w:t>RVV5*1.5mm2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C6DD50">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0D9F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A037BD3">
            <w:pPr>
              <w:widowControl/>
              <w:jc w:val="left"/>
              <w:rPr>
                <w:rFonts w:hint="eastAsia" w:ascii="宋体" w:hAnsi="宋体"/>
                <w:color w:val="auto"/>
                <w:sz w:val="24"/>
                <w:highlight w:val="none"/>
              </w:rPr>
            </w:pPr>
            <w:r>
              <w:rPr>
                <w:rFonts w:hint="eastAsia" w:ascii="宋体" w:hAnsi="宋体"/>
                <w:color w:val="auto"/>
                <w:sz w:val="24"/>
                <w:highlight w:val="none"/>
              </w:rPr>
              <w:t>807-8-4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0E4E923">
            <w:pPr>
              <w:widowControl/>
              <w:jc w:val="left"/>
              <w:rPr>
                <w:rFonts w:hint="eastAsia" w:ascii="宋体" w:hAnsi="宋体"/>
                <w:color w:val="auto"/>
                <w:sz w:val="24"/>
                <w:highlight w:val="none"/>
              </w:rPr>
            </w:pPr>
            <w:r>
              <w:rPr>
                <w:rFonts w:hint="eastAsia" w:ascii="宋体" w:hAnsi="宋体"/>
                <w:color w:val="auto"/>
                <w:sz w:val="24"/>
                <w:highlight w:val="none"/>
              </w:rPr>
              <w:t>穿刺线夹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EFAED2">
            <w:pPr>
              <w:widowControl/>
              <w:jc w:val="left"/>
              <w:rPr>
                <w:rFonts w:hint="eastAsia" w:ascii="宋体" w:hAnsi="宋体"/>
                <w:color w:val="auto"/>
                <w:sz w:val="24"/>
                <w:highlight w:val="none"/>
              </w:rPr>
            </w:pPr>
            <w:r>
              <w:rPr>
                <w:rFonts w:hint="eastAsia" w:ascii="宋体" w:hAnsi="宋体"/>
                <w:color w:val="auto"/>
                <w:sz w:val="24"/>
                <w:highlight w:val="none"/>
              </w:rPr>
              <w:t>个</w:t>
            </w:r>
          </w:p>
        </w:tc>
      </w:tr>
      <w:tr w14:paraId="5F44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9AFFC54">
            <w:pPr>
              <w:widowControl/>
              <w:jc w:val="left"/>
              <w:rPr>
                <w:rFonts w:hint="eastAsia" w:ascii="宋体" w:hAnsi="宋体"/>
                <w:color w:val="auto"/>
                <w:sz w:val="24"/>
                <w:highlight w:val="none"/>
              </w:rPr>
            </w:pPr>
            <w:r>
              <w:rPr>
                <w:rFonts w:hint="eastAsia" w:ascii="宋体" w:hAnsi="宋体"/>
                <w:color w:val="auto"/>
                <w:sz w:val="24"/>
                <w:highlight w:val="none"/>
              </w:rPr>
              <w:t>807-8-4-1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9DE4639">
            <w:pPr>
              <w:widowControl/>
              <w:jc w:val="left"/>
              <w:rPr>
                <w:rFonts w:hint="eastAsia" w:ascii="宋体" w:hAnsi="宋体"/>
                <w:color w:val="auto"/>
                <w:sz w:val="24"/>
                <w:highlight w:val="none"/>
              </w:rPr>
            </w:pPr>
            <w:r>
              <w:rPr>
                <w:rFonts w:hint="eastAsia" w:ascii="宋体" w:hAnsi="宋体"/>
                <w:color w:val="auto"/>
                <w:sz w:val="24"/>
                <w:highlight w:val="none"/>
              </w:rPr>
              <w:t>穿刺线夹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E52B4A">
            <w:pPr>
              <w:widowControl/>
              <w:jc w:val="left"/>
              <w:rPr>
                <w:rFonts w:hint="eastAsia" w:ascii="宋体" w:hAnsi="宋体"/>
                <w:color w:val="auto"/>
                <w:sz w:val="24"/>
                <w:highlight w:val="none"/>
              </w:rPr>
            </w:pPr>
            <w:r>
              <w:rPr>
                <w:rFonts w:hint="eastAsia" w:ascii="宋体" w:hAnsi="宋体"/>
                <w:color w:val="auto"/>
                <w:sz w:val="24"/>
                <w:highlight w:val="none"/>
              </w:rPr>
              <w:t>个</w:t>
            </w:r>
          </w:p>
        </w:tc>
      </w:tr>
    </w:tbl>
    <w:p w14:paraId="6A6C849F">
      <w:pPr>
        <w:spacing w:line="360" w:lineRule="auto"/>
        <w:jc w:val="left"/>
        <w:rPr>
          <w:rFonts w:hint="eastAsia" w:ascii="宋体" w:hAnsi="宋体"/>
          <w:b/>
          <w:color w:val="auto"/>
          <w:sz w:val="24"/>
          <w:highlight w:val="none"/>
        </w:rPr>
      </w:pPr>
    </w:p>
    <w:p w14:paraId="1FB92BDA">
      <w:pPr>
        <w:spacing w:line="360" w:lineRule="auto"/>
        <w:jc w:val="center"/>
        <w:rPr>
          <w:rFonts w:hint="eastAsia" w:ascii="宋体" w:hAnsi="宋体"/>
          <w:color w:val="auto"/>
          <w:sz w:val="24"/>
          <w:highlight w:val="none"/>
        </w:rPr>
      </w:pPr>
      <w:r>
        <w:rPr>
          <w:rFonts w:hint="eastAsia" w:ascii="宋体" w:hAnsi="宋体"/>
          <w:b/>
          <w:color w:val="auto"/>
          <w:sz w:val="24"/>
          <w:highlight w:val="none"/>
        </w:rPr>
        <w:t>第808 节  防雷接地系统</w:t>
      </w:r>
    </w:p>
    <w:p w14:paraId="3FD350FD">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1、计量</w:t>
      </w:r>
    </w:p>
    <w:p w14:paraId="0B7D1231">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(1)避雷带按技术规范和设计要求实施，经监理人验收，以 m 为计量单位。避雷针按要求实施，经监理人验收，以不同型号分类以套为计量单位。针杆按要求实施，经监理人验收，按材质、高度分类以套为计量单位，应包含避雷引下线、杆底座、基础等。</w:t>
      </w:r>
    </w:p>
    <w:p w14:paraId="597EF01C">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)接地系统按技术规范和设计要求实施，经监理人验收，以 m 为计量单位。</w:t>
      </w:r>
      <w:r>
        <w:rPr>
          <w:rFonts w:hint="eastAsia" w:ascii="宋体" w:hAnsi="宋体" w:eastAsia="宋体" w:cs="宋体"/>
          <w:color w:val="auto"/>
          <w:sz w:val="24"/>
          <w:highlight w:val="none"/>
          <w:lang w:eastAsia="zh-CN"/>
        </w:rPr>
        <w:t>其中铜棒、</w:t>
      </w:r>
      <w:r>
        <w:rPr>
          <w:rFonts w:hint="eastAsia" w:ascii="宋体" w:hAnsi="宋体"/>
          <w:color w:val="auto"/>
          <w:sz w:val="24"/>
          <w:highlight w:val="none"/>
        </w:rPr>
        <w:t>角钢</w:t>
      </w:r>
      <w:r>
        <w:rPr>
          <w:rFonts w:hint="eastAsia" w:ascii="宋体" w:hAnsi="宋体" w:eastAsia="宋体" w:cs="宋体"/>
          <w:color w:val="auto"/>
          <w:sz w:val="24"/>
          <w:highlight w:val="none"/>
        </w:rPr>
        <w:t>按技术规范和设计要求实施，经监理人验收，以</w:t>
      </w:r>
      <w:r>
        <w:rPr>
          <w:rFonts w:hint="eastAsia" w:ascii="宋体" w:hAnsi="宋体" w:eastAsia="宋体" w:cs="宋体"/>
          <w:color w:val="auto"/>
          <w:sz w:val="24"/>
          <w:highlight w:val="none"/>
          <w:lang w:eastAsia="zh-CN"/>
        </w:rPr>
        <w:t>根</w:t>
      </w:r>
      <w:r>
        <w:rPr>
          <w:rFonts w:hint="eastAsia" w:ascii="宋体" w:hAnsi="宋体" w:eastAsia="宋体" w:cs="宋体"/>
          <w:color w:val="auto"/>
          <w:sz w:val="24"/>
          <w:highlight w:val="none"/>
        </w:rPr>
        <w:t>为计量单位。</w:t>
      </w:r>
    </w:p>
    <w:p w14:paraId="4DC3B8DA">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(3)铜母排按技术规范和设计要求实施，经监理人验收，按尺寸不同以块为计量单位。镀锌扁钢按要求实施，经监理人验收，按尺寸不同以根为计量单位。镀锌角钢按要求实施，经监理人验收，按尺寸不同以 m 为计量单位。</w:t>
      </w:r>
    </w:p>
    <w:p w14:paraId="25ABC85E">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(4)上述各安装、测试和安装接地系统必须的挖、填工序以及安装所有必须的附件和材料等费用计入材料安装费用中，不再另行计量。</w:t>
      </w:r>
    </w:p>
    <w:p w14:paraId="700D171F">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2、支付</w:t>
      </w:r>
    </w:p>
    <w:p w14:paraId="72A72B34">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工程量清单的以下支付子目的工程量，其每一计量单位，将以合同单价或总额支付。此项支付包括材料、劳力、设备、工具、运输、安装、调测和清理场地等及其他为完成防雷接地系统所必须的费用，是对完成工程的全部偿付。</w:t>
      </w:r>
    </w:p>
    <w:p w14:paraId="09C9DF77">
      <w:pPr>
        <w:spacing w:line="360" w:lineRule="auto"/>
        <w:ind w:left="840" w:leftChars="400" w:right="1405" w:rightChars="669" w:firstLine="480" w:firstLineChars="200"/>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0E60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6BEE9AEB">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12F5799B">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4C432064">
            <w:pPr>
              <w:jc w:val="left"/>
              <w:rPr>
                <w:rFonts w:hint="eastAsia" w:ascii="宋体" w:hAnsi="宋体"/>
                <w:color w:val="auto"/>
                <w:sz w:val="24"/>
                <w:highlight w:val="none"/>
              </w:rPr>
            </w:pPr>
            <w:r>
              <w:rPr>
                <w:rFonts w:hint="eastAsia" w:ascii="宋体" w:hAnsi="宋体"/>
                <w:color w:val="auto"/>
                <w:sz w:val="24"/>
                <w:highlight w:val="none"/>
              </w:rPr>
              <w:t>单位</w:t>
            </w:r>
          </w:p>
        </w:tc>
      </w:tr>
      <w:tr w14:paraId="58EE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C1215CF">
            <w:pPr>
              <w:widowControl/>
              <w:jc w:val="left"/>
              <w:rPr>
                <w:rFonts w:ascii="宋体" w:hAnsi="宋体"/>
                <w:color w:val="auto"/>
                <w:sz w:val="24"/>
                <w:highlight w:val="none"/>
              </w:rPr>
            </w:pPr>
            <w:r>
              <w:rPr>
                <w:rFonts w:hint="eastAsia" w:ascii="宋体" w:hAnsi="宋体"/>
                <w:color w:val="auto"/>
                <w:sz w:val="24"/>
                <w:highlight w:val="none"/>
              </w:rPr>
              <w:t>808-3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B3311F1">
            <w:pPr>
              <w:widowControl/>
              <w:jc w:val="left"/>
              <w:rPr>
                <w:rFonts w:hint="eastAsia" w:ascii="宋体" w:hAnsi="宋体"/>
                <w:color w:val="auto"/>
                <w:sz w:val="24"/>
                <w:highlight w:val="none"/>
              </w:rPr>
            </w:pPr>
            <w:r>
              <w:rPr>
                <w:rFonts w:hint="eastAsia" w:ascii="宋体" w:hAnsi="宋体"/>
                <w:color w:val="auto"/>
                <w:sz w:val="24"/>
                <w:highlight w:val="none"/>
              </w:rPr>
              <w:t>接地系统</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A785472">
            <w:pPr>
              <w:widowControl/>
              <w:jc w:val="left"/>
              <w:rPr>
                <w:rFonts w:hint="eastAsia" w:ascii="宋体" w:hAnsi="宋体"/>
                <w:color w:val="auto"/>
                <w:sz w:val="24"/>
                <w:highlight w:val="none"/>
              </w:rPr>
            </w:pPr>
          </w:p>
        </w:tc>
      </w:tr>
      <w:tr w14:paraId="3DB4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A6C89DD">
            <w:pPr>
              <w:widowControl/>
              <w:jc w:val="left"/>
              <w:rPr>
                <w:rFonts w:hint="eastAsia" w:ascii="宋体" w:hAnsi="宋体"/>
                <w:color w:val="auto"/>
                <w:sz w:val="24"/>
                <w:highlight w:val="none"/>
              </w:rPr>
            </w:pPr>
            <w:r>
              <w:rPr>
                <w:rFonts w:hint="eastAsia" w:ascii="宋体" w:hAnsi="宋体"/>
                <w:color w:val="auto"/>
                <w:sz w:val="24"/>
                <w:highlight w:val="none"/>
              </w:rPr>
              <w:t>808-3-4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4EAB3B5">
            <w:pPr>
              <w:widowControl/>
              <w:jc w:val="left"/>
              <w:rPr>
                <w:rFonts w:hint="eastAsia" w:ascii="宋体" w:hAnsi="宋体"/>
                <w:color w:val="auto"/>
                <w:sz w:val="24"/>
                <w:highlight w:val="none"/>
              </w:rPr>
            </w:pPr>
            <w:r>
              <w:rPr>
                <w:rFonts w:hint="eastAsia" w:ascii="宋体" w:hAnsi="宋体"/>
                <w:color w:val="auto"/>
                <w:sz w:val="24"/>
                <w:highlight w:val="none"/>
              </w:rPr>
              <w:t>镀锌圆钢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DE3D76F">
            <w:pPr>
              <w:widowControl/>
              <w:jc w:val="left"/>
              <w:rPr>
                <w:rFonts w:hint="eastAsia" w:ascii="宋体" w:hAnsi="宋体"/>
                <w:color w:val="auto"/>
                <w:sz w:val="24"/>
                <w:highlight w:val="none"/>
              </w:rPr>
            </w:pPr>
          </w:p>
        </w:tc>
      </w:tr>
      <w:tr w14:paraId="07F8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E04BFE3">
            <w:pPr>
              <w:widowControl/>
              <w:jc w:val="left"/>
              <w:rPr>
                <w:rFonts w:hint="eastAsia" w:ascii="宋体" w:hAnsi="宋体"/>
                <w:color w:val="auto"/>
                <w:sz w:val="24"/>
                <w:highlight w:val="none"/>
              </w:rPr>
            </w:pPr>
            <w:r>
              <w:rPr>
                <w:rFonts w:hint="eastAsia" w:ascii="宋体" w:hAnsi="宋体"/>
                <w:color w:val="auto"/>
                <w:sz w:val="24"/>
                <w:highlight w:val="none"/>
              </w:rPr>
              <w:t>808-3-4-1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40E05B">
            <w:pPr>
              <w:widowControl/>
              <w:jc w:val="left"/>
              <w:rPr>
                <w:rFonts w:hint="eastAsia" w:ascii="宋体" w:hAnsi="宋体"/>
                <w:color w:val="auto"/>
                <w:sz w:val="24"/>
                <w:highlight w:val="none"/>
              </w:rPr>
            </w:pPr>
            <w:r>
              <w:rPr>
                <w:rFonts w:hint="eastAsia" w:ascii="宋体" w:hAnsi="宋体"/>
                <w:color w:val="auto"/>
                <w:sz w:val="24"/>
                <w:highlight w:val="none"/>
              </w:rPr>
              <w:t>Φ12不锈钢圆钢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F0D35FB">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43A6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0F602D4">
            <w:pPr>
              <w:widowControl/>
              <w:jc w:val="left"/>
              <w:rPr>
                <w:rFonts w:hint="eastAsia" w:ascii="宋体" w:hAnsi="宋体"/>
                <w:color w:val="auto"/>
                <w:sz w:val="24"/>
                <w:highlight w:val="none"/>
              </w:rPr>
            </w:pPr>
            <w:r>
              <w:rPr>
                <w:rFonts w:hint="eastAsia" w:ascii="宋体" w:hAnsi="宋体"/>
                <w:color w:val="auto"/>
                <w:sz w:val="24"/>
                <w:highlight w:val="none"/>
              </w:rPr>
              <w:t>808-3-4-2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25FCE27">
            <w:pPr>
              <w:widowControl/>
              <w:jc w:val="left"/>
              <w:rPr>
                <w:rFonts w:hint="eastAsia" w:ascii="宋体" w:hAnsi="宋体"/>
                <w:color w:val="auto"/>
                <w:sz w:val="24"/>
                <w:highlight w:val="none"/>
              </w:rPr>
            </w:pPr>
            <w:r>
              <w:rPr>
                <w:rFonts w:hint="eastAsia" w:ascii="宋体" w:hAnsi="宋体"/>
                <w:color w:val="auto"/>
                <w:sz w:val="24"/>
                <w:highlight w:val="none"/>
              </w:rPr>
              <w:t>镀锌铁丝</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A8729F">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3347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82B6975">
            <w:pPr>
              <w:widowControl/>
              <w:jc w:val="left"/>
              <w:rPr>
                <w:rFonts w:hint="eastAsia" w:ascii="宋体" w:hAnsi="宋体"/>
                <w:color w:val="auto"/>
                <w:sz w:val="24"/>
                <w:highlight w:val="none"/>
              </w:rPr>
            </w:pPr>
            <w:r>
              <w:rPr>
                <w:rFonts w:hint="eastAsia" w:ascii="宋体" w:hAnsi="宋体"/>
                <w:color w:val="auto"/>
                <w:sz w:val="24"/>
                <w:highlight w:val="none"/>
              </w:rPr>
              <w:t>808-3-4-3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20F4164">
            <w:pPr>
              <w:widowControl/>
              <w:jc w:val="left"/>
              <w:rPr>
                <w:rFonts w:hint="eastAsia" w:ascii="宋体" w:hAnsi="宋体"/>
                <w:color w:val="auto"/>
                <w:sz w:val="24"/>
                <w:highlight w:val="none"/>
              </w:rPr>
            </w:pPr>
            <w:r>
              <w:rPr>
                <w:rFonts w:hint="eastAsia" w:ascii="宋体" w:hAnsi="宋体"/>
                <w:color w:val="auto"/>
                <w:sz w:val="24"/>
                <w:highlight w:val="none"/>
              </w:rPr>
              <w:t>Φ16不锈钢圆钢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29E08A2">
            <w:pPr>
              <w:widowControl/>
              <w:jc w:val="left"/>
              <w:rPr>
                <w:rFonts w:hint="eastAsia" w:ascii="宋体" w:hAnsi="宋体"/>
                <w:color w:val="auto"/>
                <w:sz w:val="24"/>
                <w:highlight w:val="none"/>
              </w:rPr>
            </w:pPr>
            <w:r>
              <w:rPr>
                <w:rFonts w:hint="eastAsia" w:ascii="宋体" w:hAnsi="宋体"/>
                <w:color w:val="auto"/>
                <w:sz w:val="24"/>
                <w:highlight w:val="none"/>
              </w:rPr>
              <w:t>m</w:t>
            </w:r>
          </w:p>
        </w:tc>
      </w:tr>
      <w:tr w14:paraId="3CAC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737A96E">
            <w:pPr>
              <w:widowControl/>
              <w:jc w:val="left"/>
              <w:rPr>
                <w:rFonts w:hint="eastAsia" w:ascii="宋体" w:hAnsi="宋体"/>
                <w:color w:val="auto"/>
                <w:sz w:val="24"/>
                <w:highlight w:val="none"/>
              </w:rPr>
            </w:pPr>
            <w:r>
              <w:rPr>
                <w:rFonts w:hint="eastAsia" w:ascii="宋体" w:hAnsi="宋体"/>
                <w:color w:val="auto"/>
                <w:sz w:val="24"/>
                <w:highlight w:val="none"/>
              </w:rPr>
              <w:t>808-3-5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A68F585">
            <w:pPr>
              <w:widowControl/>
              <w:jc w:val="left"/>
              <w:rPr>
                <w:rFonts w:hint="eastAsia" w:ascii="宋体" w:hAnsi="宋体"/>
                <w:color w:val="auto"/>
                <w:sz w:val="24"/>
                <w:highlight w:val="none"/>
              </w:rPr>
            </w:pPr>
            <w:r>
              <w:rPr>
                <w:rFonts w:hint="eastAsia" w:ascii="宋体" w:hAnsi="宋体"/>
                <w:color w:val="auto"/>
                <w:sz w:val="24"/>
                <w:highlight w:val="none"/>
              </w:rPr>
              <w:t>铜棒</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ECE440C">
            <w:pPr>
              <w:widowControl/>
              <w:jc w:val="left"/>
              <w:rPr>
                <w:rFonts w:hint="eastAsia" w:ascii="宋体" w:hAnsi="宋体"/>
                <w:color w:val="auto"/>
                <w:sz w:val="24"/>
                <w:highlight w:val="none"/>
              </w:rPr>
            </w:pPr>
          </w:p>
        </w:tc>
      </w:tr>
      <w:tr w14:paraId="7A5D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4F51C34">
            <w:pPr>
              <w:widowControl/>
              <w:jc w:val="left"/>
              <w:rPr>
                <w:rFonts w:hint="eastAsia" w:ascii="宋体" w:hAnsi="宋体"/>
                <w:color w:val="auto"/>
                <w:sz w:val="24"/>
                <w:highlight w:val="none"/>
              </w:rPr>
            </w:pPr>
            <w:r>
              <w:rPr>
                <w:rFonts w:hint="eastAsia" w:ascii="宋体" w:hAnsi="宋体"/>
                <w:color w:val="auto"/>
                <w:sz w:val="24"/>
                <w:highlight w:val="none"/>
              </w:rPr>
              <w:t>808-3-5-2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134BC20">
            <w:pPr>
              <w:widowControl/>
              <w:jc w:val="left"/>
              <w:rPr>
                <w:rFonts w:hint="eastAsia" w:ascii="宋体" w:hAnsi="宋体"/>
                <w:color w:val="auto"/>
                <w:sz w:val="24"/>
                <w:highlight w:val="none"/>
              </w:rPr>
            </w:pPr>
            <w:r>
              <w:rPr>
                <w:rFonts w:hint="eastAsia" w:ascii="宋体" w:hAnsi="宋体"/>
                <w:color w:val="auto"/>
                <w:sz w:val="24"/>
                <w:highlight w:val="none"/>
              </w:rPr>
              <w:t>50*50*5角钢2.5m长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BA95DC">
            <w:pPr>
              <w:widowControl/>
              <w:jc w:val="left"/>
              <w:rPr>
                <w:rFonts w:hint="eastAsia" w:ascii="宋体" w:hAnsi="宋体"/>
                <w:color w:val="auto"/>
                <w:sz w:val="24"/>
                <w:highlight w:val="none"/>
              </w:rPr>
            </w:pPr>
            <w:r>
              <w:rPr>
                <w:rFonts w:hint="eastAsia" w:ascii="宋体" w:hAnsi="宋体"/>
                <w:color w:val="auto"/>
                <w:sz w:val="24"/>
                <w:highlight w:val="none"/>
              </w:rPr>
              <w:t>根</w:t>
            </w:r>
          </w:p>
        </w:tc>
      </w:tr>
      <w:tr w14:paraId="7256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E4ACBF9">
            <w:pPr>
              <w:widowControl/>
              <w:jc w:val="left"/>
              <w:rPr>
                <w:rFonts w:hint="eastAsia" w:ascii="宋体" w:hAnsi="宋体"/>
                <w:color w:val="auto"/>
                <w:sz w:val="24"/>
                <w:highlight w:val="none"/>
              </w:rPr>
            </w:pPr>
            <w:r>
              <w:rPr>
                <w:rFonts w:hint="eastAsia" w:ascii="宋体" w:hAnsi="宋体"/>
                <w:color w:val="auto"/>
                <w:sz w:val="24"/>
                <w:highlight w:val="none"/>
              </w:rPr>
              <w:t>808-3-5-3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408B149">
            <w:pPr>
              <w:widowControl/>
              <w:jc w:val="left"/>
              <w:rPr>
                <w:rFonts w:hint="eastAsia" w:ascii="宋体" w:hAnsi="宋体"/>
                <w:color w:val="auto"/>
                <w:sz w:val="24"/>
                <w:highlight w:val="none"/>
              </w:rPr>
            </w:pPr>
            <w:r>
              <w:rPr>
                <w:rFonts w:hint="eastAsia" w:ascii="宋体" w:hAnsi="宋体"/>
                <w:color w:val="auto"/>
                <w:sz w:val="24"/>
                <w:highlight w:val="none"/>
              </w:rPr>
              <w:t>40*4*镀锌扁钢</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8E1793">
            <w:pPr>
              <w:widowControl/>
              <w:jc w:val="left"/>
              <w:rPr>
                <w:rFonts w:hint="eastAsia" w:ascii="宋体" w:hAnsi="宋体"/>
                <w:color w:val="auto"/>
                <w:sz w:val="24"/>
                <w:highlight w:val="none"/>
              </w:rPr>
            </w:pPr>
            <w:r>
              <w:rPr>
                <w:rFonts w:hint="eastAsia" w:ascii="宋体" w:hAnsi="宋体"/>
                <w:color w:val="auto"/>
                <w:sz w:val="24"/>
                <w:highlight w:val="none"/>
              </w:rPr>
              <w:t>m</w:t>
            </w:r>
          </w:p>
        </w:tc>
      </w:tr>
    </w:tbl>
    <w:p w14:paraId="35855C74">
      <w:pPr>
        <w:spacing w:line="360" w:lineRule="auto"/>
        <w:ind w:firstLine="480" w:firstLineChars="200"/>
        <w:jc w:val="left"/>
        <w:rPr>
          <w:rFonts w:hint="eastAsia" w:ascii="宋体" w:hAnsi="宋体"/>
          <w:b/>
          <w:color w:val="auto"/>
          <w:sz w:val="24"/>
          <w:highlight w:val="none"/>
        </w:rPr>
      </w:pPr>
    </w:p>
    <w:p w14:paraId="759935AF">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第809节  管道工程</w:t>
      </w:r>
    </w:p>
    <w:p w14:paraId="2B1F0BD9">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1、计量</w:t>
      </w:r>
    </w:p>
    <w:p w14:paraId="318EAE14">
      <w:pPr>
        <w:spacing w:line="360" w:lineRule="auto"/>
        <w:ind w:left="840" w:leftChars="400" w:right="1405" w:rightChars="669" w:firstLine="468" w:firstLineChars="195"/>
        <w:jc w:val="left"/>
        <w:rPr>
          <w:rFonts w:hint="eastAsia" w:ascii="宋体" w:hAnsi="宋体" w:eastAsia="宋体"/>
          <w:color w:val="auto"/>
          <w:sz w:val="24"/>
          <w:highlight w:val="none"/>
          <w:lang w:eastAsia="zh-CN"/>
        </w:rPr>
      </w:pPr>
      <w:r>
        <w:rPr>
          <w:rFonts w:hint="eastAsia" w:ascii="宋体" w:hAnsi="宋体"/>
          <w:color w:val="auto"/>
          <w:sz w:val="24"/>
          <w:highlight w:val="none"/>
        </w:rPr>
        <w:t>(1)管道工程应按图纸规定铺设就位，按铺设、预埋、架设分材质类型并验收的长度以延米计量，计量是沿着单管和多管结构的管中线进行。</w:t>
      </w:r>
      <w:r>
        <w:rPr>
          <w:rFonts w:hint="eastAsia" w:ascii="宋体" w:hAnsi="宋体"/>
          <w:color w:val="auto"/>
          <w:sz w:val="24"/>
          <w:highlight w:val="none"/>
          <w:lang w:eastAsia="zh-CN"/>
        </w:rPr>
        <w:t>牵引管</w:t>
      </w:r>
      <w:r>
        <w:rPr>
          <w:rFonts w:hint="eastAsia" w:ascii="宋体" w:hAnsi="宋体"/>
          <w:color w:val="auto"/>
          <w:sz w:val="24"/>
          <w:highlight w:val="none"/>
        </w:rPr>
        <w:t>分材质类型并验收的长度以延米计量</w:t>
      </w:r>
      <w:r>
        <w:rPr>
          <w:rFonts w:hint="eastAsia" w:ascii="宋体" w:hAnsi="宋体"/>
          <w:color w:val="auto"/>
          <w:sz w:val="24"/>
          <w:highlight w:val="none"/>
          <w:lang w:eastAsia="zh-CN"/>
        </w:rPr>
        <w:t>。</w:t>
      </w:r>
      <w:r>
        <w:rPr>
          <w:rFonts w:hint="eastAsia" w:ascii="宋体" w:hAnsi="宋体"/>
          <w:color w:val="auto"/>
          <w:sz w:val="24"/>
          <w:highlight w:val="none"/>
        </w:rPr>
        <w:t>过桥管箱的制作、安装可按不同材质类型分别以米计量。所有包封、封缝料和牵引线及拉棒检验</w:t>
      </w:r>
      <w:r>
        <w:rPr>
          <w:rFonts w:hint="eastAsia" w:ascii="宋体" w:hAnsi="宋体"/>
          <w:color w:val="auto"/>
          <w:sz w:val="24"/>
          <w:highlight w:val="none"/>
          <w:lang w:eastAsia="zh-CN"/>
        </w:rPr>
        <w:t>以及标志牌，标志桩</w:t>
      </w:r>
      <w:r>
        <w:rPr>
          <w:rFonts w:hint="eastAsia" w:ascii="宋体" w:hAnsi="宋体"/>
          <w:color w:val="auto"/>
          <w:sz w:val="24"/>
          <w:highlight w:val="none"/>
        </w:rPr>
        <w:t>等，作为承包的附属工作，不另行计量。</w:t>
      </w:r>
      <w:r>
        <w:rPr>
          <w:rFonts w:hint="eastAsia" w:ascii="宋体" w:hAnsi="宋体"/>
          <w:color w:val="auto"/>
          <w:sz w:val="24"/>
          <w:highlight w:val="none"/>
          <w:lang w:eastAsia="zh-CN"/>
        </w:rPr>
        <w:t>电力管道、通信管道的</w:t>
      </w:r>
      <w:r>
        <w:rPr>
          <w:rFonts w:hint="eastAsia" w:ascii="宋体" w:hAnsi="宋体" w:cs="宋体"/>
          <w:color w:val="auto"/>
          <w:kern w:val="0"/>
          <w:sz w:val="24"/>
          <w:highlight w:val="none"/>
        </w:rPr>
        <w:t>挖沟槽土方</w:t>
      </w:r>
      <w:r>
        <w:rPr>
          <w:rFonts w:hint="eastAsia" w:ascii="宋体" w:hAnsi="宋体" w:cs="宋体"/>
          <w:color w:val="auto"/>
          <w:kern w:val="0"/>
          <w:sz w:val="24"/>
          <w:highlight w:val="none"/>
          <w:lang w:eastAsia="zh-CN"/>
        </w:rPr>
        <w:t>、回填石屑以立方米计量。</w:t>
      </w:r>
    </w:p>
    <w:p w14:paraId="48B1694B">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(2)附属于桥梁、通道或跨线桥的预留管道及其他的电信设备应作为这些结构的一部分，在主体工程内计量，本节不单独计量。</w:t>
      </w:r>
    </w:p>
    <w:p w14:paraId="2174A68F">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(3)通信管道安装在桥上的托架、支撑架不作为制造、安装过桥管箱的附属工作，另行按807-10清单子目计量。</w:t>
      </w:r>
    </w:p>
    <w:p w14:paraId="16F4BA90">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人孔井、电缆井、电力井分规格以座计量，排水管</w:t>
      </w:r>
      <w:r>
        <w:rPr>
          <w:rFonts w:hint="eastAsia" w:ascii="宋体" w:hAnsi="宋体"/>
          <w:color w:val="auto"/>
          <w:sz w:val="24"/>
          <w:highlight w:val="none"/>
        </w:rPr>
        <w:t>作为承包的附属工作，不另行计量。</w:t>
      </w:r>
    </w:p>
    <w:p w14:paraId="766E071D">
      <w:pPr>
        <w:tabs>
          <w:tab w:val="left" w:pos="0"/>
        </w:tabs>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管道、井的包封</w:t>
      </w:r>
      <w:r>
        <w:rPr>
          <w:rFonts w:hint="eastAsia" w:ascii="宋体" w:hAnsi="宋体"/>
          <w:color w:val="auto"/>
          <w:sz w:val="24"/>
          <w:highlight w:val="none"/>
        </w:rPr>
        <w:t>、压实</w:t>
      </w:r>
      <w:r>
        <w:rPr>
          <w:rFonts w:hint="eastAsia" w:ascii="宋体" w:hAnsi="宋体"/>
          <w:color w:val="auto"/>
          <w:sz w:val="24"/>
          <w:highlight w:val="none"/>
          <w:lang w:eastAsia="zh-CN"/>
        </w:rPr>
        <w:t>、垫层及井的挖基、回填</w:t>
      </w:r>
      <w:r>
        <w:rPr>
          <w:rFonts w:hint="eastAsia" w:ascii="宋体" w:hAnsi="宋体"/>
          <w:color w:val="auto"/>
          <w:sz w:val="24"/>
          <w:highlight w:val="none"/>
        </w:rPr>
        <w:t>等均为各相关工程子目的附属工作，不另予计量。凡未列入计量子目的零星工程，均含在相关工程子目内，不另予计量。</w:t>
      </w:r>
    </w:p>
    <w:p w14:paraId="48F627AC">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2、支付</w:t>
      </w:r>
    </w:p>
    <w:p w14:paraId="51823988">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按上述规定计量，经监理人验收并列入了工程量清单的以下支付子目的工程量，其每一计量单位将以合同单价支付。此项支付包括材料、劳力、设备、运输等及其他为完成管道工程所必需的费用，是对完成工程的全部偿付。</w:t>
      </w:r>
    </w:p>
    <w:p w14:paraId="31EFDFE6">
      <w:pPr>
        <w:spacing w:line="360" w:lineRule="auto"/>
        <w:ind w:left="840" w:leftChars="400" w:right="1405" w:rightChars="669" w:firstLine="468" w:firstLineChars="195"/>
        <w:jc w:val="left"/>
        <w:rPr>
          <w:rFonts w:hint="eastAsia" w:ascii="宋体" w:hAnsi="宋体"/>
          <w:color w:val="auto"/>
          <w:sz w:val="24"/>
          <w:highlight w:val="none"/>
        </w:rPr>
      </w:pPr>
      <w:r>
        <w:rPr>
          <w:rFonts w:hint="eastAsia" w:ascii="宋体" w:hAnsi="宋体"/>
          <w:color w:val="auto"/>
          <w:sz w:val="24"/>
          <w:highlight w:val="none"/>
        </w:rPr>
        <w:t>3、支付子目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5400"/>
        <w:gridCol w:w="1260"/>
      </w:tblGrid>
      <w:tr w14:paraId="515D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noWrap w:val="0"/>
            <w:vAlign w:val="center"/>
          </w:tcPr>
          <w:p w14:paraId="2D3E090E">
            <w:pPr>
              <w:jc w:val="left"/>
              <w:rPr>
                <w:rFonts w:hint="eastAsia" w:ascii="宋体" w:hAnsi="宋体"/>
                <w:color w:val="auto"/>
                <w:sz w:val="24"/>
                <w:highlight w:val="none"/>
              </w:rPr>
            </w:pPr>
            <w:r>
              <w:rPr>
                <w:rFonts w:hint="eastAsia" w:ascii="宋体" w:hAnsi="宋体"/>
                <w:color w:val="auto"/>
                <w:sz w:val="24"/>
                <w:highlight w:val="none"/>
              </w:rPr>
              <w:t>子目号</w:t>
            </w:r>
          </w:p>
        </w:tc>
        <w:tc>
          <w:tcPr>
            <w:tcW w:w="5400" w:type="dxa"/>
            <w:noWrap w:val="0"/>
            <w:vAlign w:val="center"/>
          </w:tcPr>
          <w:p w14:paraId="377E0826">
            <w:pPr>
              <w:jc w:val="left"/>
              <w:rPr>
                <w:rFonts w:hint="eastAsia" w:ascii="宋体" w:hAnsi="宋体"/>
                <w:color w:val="auto"/>
                <w:sz w:val="24"/>
                <w:highlight w:val="none"/>
              </w:rPr>
            </w:pPr>
            <w:r>
              <w:rPr>
                <w:rFonts w:hint="eastAsia" w:ascii="宋体" w:hAnsi="宋体"/>
                <w:color w:val="auto"/>
                <w:sz w:val="24"/>
                <w:highlight w:val="none"/>
              </w:rPr>
              <w:t>子目名称</w:t>
            </w:r>
          </w:p>
        </w:tc>
        <w:tc>
          <w:tcPr>
            <w:tcW w:w="1260" w:type="dxa"/>
            <w:noWrap w:val="0"/>
            <w:vAlign w:val="center"/>
          </w:tcPr>
          <w:p w14:paraId="573F4B02">
            <w:pPr>
              <w:jc w:val="left"/>
              <w:rPr>
                <w:rFonts w:hint="eastAsia" w:ascii="宋体" w:hAnsi="宋体"/>
                <w:color w:val="auto"/>
                <w:sz w:val="24"/>
                <w:highlight w:val="none"/>
              </w:rPr>
            </w:pPr>
            <w:r>
              <w:rPr>
                <w:rFonts w:hint="eastAsia" w:ascii="宋体" w:hAnsi="宋体"/>
                <w:color w:val="auto"/>
                <w:sz w:val="24"/>
                <w:highlight w:val="none"/>
              </w:rPr>
              <w:t>单位</w:t>
            </w:r>
          </w:p>
        </w:tc>
      </w:tr>
      <w:tr w14:paraId="0C94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6F3130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809-1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68B259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铺设管道</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816236">
            <w:pPr>
              <w:widowControl/>
              <w:jc w:val="left"/>
              <w:rPr>
                <w:rFonts w:hint="eastAsia" w:ascii="宋体" w:hAnsi="宋体" w:cs="宋体"/>
                <w:color w:val="auto"/>
                <w:kern w:val="0"/>
                <w:sz w:val="24"/>
                <w:highlight w:val="none"/>
              </w:rPr>
            </w:pPr>
          </w:p>
        </w:tc>
      </w:tr>
      <w:tr w14:paraId="082E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A9C23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35F59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铺设塑料管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B536C4B">
            <w:pPr>
              <w:widowControl/>
              <w:jc w:val="left"/>
              <w:rPr>
                <w:rFonts w:hint="eastAsia" w:ascii="宋体" w:hAnsi="宋体" w:cs="宋体"/>
                <w:color w:val="auto"/>
                <w:kern w:val="0"/>
                <w:sz w:val="24"/>
                <w:highlight w:val="none"/>
              </w:rPr>
            </w:pPr>
          </w:p>
        </w:tc>
      </w:tr>
      <w:tr w14:paraId="7ACB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38CFE8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168BF9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1孔塑料管铺设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427F9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15EC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1B45AC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FB546F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Φ75mmHDPE电缆护管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10A4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4CF0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853AE9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920A6B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Φ200mmHDPE电缆护管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2EF28D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75BE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A8640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96AB3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Φ200PVC  δ=5mm排水管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E6C79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55CE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9AC263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2DEFE2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2孔塑料管铺设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0FAAB8">
            <w:pPr>
              <w:widowControl/>
              <w:jc w:val="left"/>
              <w:rPr>
                <w:rFonts w:hint="eastAsia" w:ascii="宋体" w:hAnsi="宋体" w:cs="宋体"/>
                <w:color w:val="auto"/>
                <w:kern w:val="0"/>
                <w:sz w:val="24"/>
                <w:highlight w:val="none"/>
              </w:rPr>
            </w:pPr>
          </w:p>
        </w:tc>
      </w:tr>
      <w:tr w14:paraId="63CA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6D3790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AEEB82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2*φ90mm HDPE管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367A7F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771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DD7EA1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34D06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3孔塑料管铺设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0F1D88">
            <w:pPr>
              <w:widowControl/>
              <w:jc w:val="left"/>
              <w:rPr>
                <w:rFonts w:hint="eastAsia" w:ascii="宋体" w:hAnsi="宋体" w:cs="宋体"/>
                <w:color w:val="auto"/>
                <w:kern w:val="0"/>
                <w:sz w:val="24"/>
                <w:highlight w:val="none"/>
              </w:rPr>
            </w:pPr>
          </w:p>
        </w:tc>
      </w:tr>
      <w:tr w14:paraId="731E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94D211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809-1-1-3-1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E82C5B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Φ100 ,壁厚3mm，BWFRP纤维编绕拉挤管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CA96DE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33D9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174BB2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809-1-1-4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A2F696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4孔塑料管铺设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99A5BF">
            <w:pPr>
              <w:widowControl/>
              <w:jc w:val="left"/>
              <w:rPr>
                <w:rFonts w:hint="eastAsia" w:ascii="宋体" w:hAnsi="宋体" w:cs="宋体"/>
                <w:color w:val="auto"/>
                <w:kern w:val="0"/>
                <w:sz w:val="24"/>
                <w:highlight w:val="none"/>
              </w:rPr>
            </w:pPr>
          </w:p>
        </w:tc>
      </w:tr>
      <w:tr w14:paraId="62D4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D62650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809-1-1-4-1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2B6E6C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Φ100 ,壁厚3mm，BWFRP纤维编绕拉挤管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CCC4E3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2957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8EBF52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7BDD6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8孔塑料管铺设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CA4F655">
            <w:pPr>
              <w:widowControl/>
              <w:jc w:val="left"/>
              <w:rPr>
                <w:rFonts w:hint="eastAsia" w:ascii="宋体" w:hAnsi="宋体" w:cs="宋体"/>
                <w:color w:val="auto"/>
                <w:kern w:val="0"/>
                <w:sz w:val="24"/>
                <w:highlight w:val="none"/>
              </w:rPr>
            </w:pPr>
          </w:p>
        </w:tc>
      </w:tr>
      <w:tr w14:paraId="6FBA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85E37E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809-1-1-8-1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526F2C5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Φ100 ,壁厚3mm，BWFRP纤维编绕拉挤管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672FD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32D4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154B80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F5BB07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铺设镀锌钢管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79F6D9">
            <w:pPr>
              <w:widowControl/>
              <w:jc w:val="left"/>
              <w:rPr>
                <w:rFonts w:hint="eastAsia" w:ascii="宋体" w:hAnsi="宋体" w:cs="宋体"/>
                <w:color w:val="auto"/>
                <w:kern w:val="0"/>
                <w:sz w:val="24"/>
                <w:highlight w:val="none"/>
              </w:rPr>
            </w:pPr>
          </w:p>
        </w:tc>
      </w:tr>
      <w:tr w14:paraId="4B4D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106C59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809-1-2-5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8CB41D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5孔镀锌钢管铺设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8D4CA13">
            <w:pPr>
              <w:widowControl/>
              <w:jc w:val="left"/>
              <w:rPr>
                <w:rFonts w:hint="eastAsia" w:ascii="宋体" w:hAnsi="宋体" w:cs="宋体"/>
                <w:color w:val="auto"/>
                <w:kern w:val="0"/>
                <w:sz w:val="24"/>
                <w:highlight w:val="none"/>
              </w:rPr>
            </w:pPr>
          </w:p>
        </w:tc>
      </w:tr>
      <w:tr w14:paraId="594A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8D4D39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809-1-2-5-1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134C89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5*DN90*4.5 热镀锌钢管(内套φ60PVC)</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3741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延米</w:t>
            </w:r>
          </w:p>
        </w:tc>
      </w:tr>
      <w:tr w14:paraId="4A87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995610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EE26C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12孔(Φ110 PVC-U  δ=3mm )通信管道</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949F2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39EE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FBDE2C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85F3D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12孔(Φ110 PVC-U  δ=4mm )通信管道，砼包封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4E7048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0293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F23D57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E6BD6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6孔(Φ110 PVC-U  δ=4mm )通信管道，砼包封</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14DB7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9B9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1A03B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3DFD4C9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通信小号直通型混凝土人孔井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768293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7426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611AC3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D40AC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通信小号三通型混凝土人孔井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7DC15D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40C8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6133B66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EAF2EDC">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挖沟槽土方</w:t>
            </w:r>
            <w:r>
              <w:rPr>
                <w:rFonts w:hint="eastAsia" w:ascii="宋体" w:hAnsi="宋体" w:cs="宋体"/>
                <w:color w:val="auto"/>
                <w:kern w:val="0"/>
                <w:sz w:val="24"/>
                <w:highlight w:val="none"/>
                <w:lang w:eastAsia="zh-CN"/>
              </w:rPr>
              <w:t>（弃方）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C2648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6B84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4C66D5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7E11E18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回填石屑</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F86A4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m3</w:t>
            </w:r>
          </w:p>
        </w:tc>
      </w:tr>
      <w:tr w14:paraId="5AFA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167103B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6FB6B0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8孔DBW-R-175×10(δ=10mm)（车行道下）</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615ED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487D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7ABD152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809-3-13</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A3B9DB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8孔MPP管(MPP-175X14)牵引管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1B6B2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776A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10BEBE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809-3-14</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D23563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16孔Φ175×4.5mm BWFRP 纤维编绕拉挤电力管</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E31DE2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1BD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4E79E90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809-3-15</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F091C1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16孔DBW-R-175×10(δ=10mm)</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88B6C8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566F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70DB66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809-3-16</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4B77F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Φ16不锈钢圆钢接地母线</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63BE8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m</w:t>
            </w:r>
          </w:p>
        </w:tc>
      </w:tr>
      <w:tr w14:paraId="2A7A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31470DC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809-3-17</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36323C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电缆工作井(L8)</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33AB6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74B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06781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809-3-18</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6E4F189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光缆盘留井(L8)</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CDBE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583E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2F3D91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809-3-19</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6F0B4C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电缆三通井(L8)</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C3D25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7506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5BBF67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809-3-20</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0AAC8E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电缆工作井(L16)</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4281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7ECF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545D4A4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809-3-21</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414271F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电缆三通井(L16)</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E7B27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r w14:paraId="5D05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14:paraId="0BF7F1E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809-3-22</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2DFA816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桥梁电力井</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A2C3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座</w:t>
            </w:r>
          </w:p>
        </w:tc>
      </w:tr>
    </w:tbl>
    <w:p w14:paraId="56358740">
      <w:pPr>
        <w:spacing w:line="225" w:lineRule="auto"/>
        <w:rPr>
          <w:rFonts w:ascii="宋体" w:hAnsi="宋体" w:eastAsia="宋体" w:cs="宋体"/>
          <w:color w:val="auto"/>
          <w:sz w:val="27"/>
          <w:szCs w:val="27"/>
          <w:highlight w:val="none"/>
        </w:rPr>
        <w:sectPr>
          <w:headerReference r:id="rId141" w:type="default"/>
          <w:footerReference r:id="rId142" w:type="default"/>
          <w:pgSz w:w="11905" w:h="16840"/>
          <w:pgMar w:top="1182" w:right="0" w:bottom="1171" w:left="0" w:header="849" w:footer="937" w:gutter="0"/>
          <w:pgNumType w:fmt="decimal"/>
          <w:cols w:space="720" w:num="1"/>
        </w:sectPr>
      </w:pPr>
    </w:p>
    <w:p w14:paraId="2A02B3ED">
      <w:pPr>
        <w:pStyle w:val="3"/>
        <w:spacing w:line="248" w:lineRule="auto"/>
        <w:rPr>
          <w:color w:val="auto"/>
          <w:highlight w:val="none"/>
        </w:rPr>
      </w:pPr>
    </w:p>
    <w:p w14:paraId="36D74FD0">
      <w:pPr>
        <w:pStyle w:val="3"/>
        <w:spacing w:line="248" w:lineRule="auto"/>
        <w:rPr>
          <w:color w:val="auto"/>
          <w:highlight w:val="none"/>
        </w:rPr>
      </w:pPr>
    </w:p>
    <w:p w14:paraId="2A7B48CA">
      <w:pPr>
        <w:pStyle w:val="3"/>
        <w:spacing w:line="248" w:lineRule="auto"/>
        <w:rPr>
          <w:color w:val="auto"/>
          <w:highlight w:val="none"/>
        </w:rPr>
      </w:pPr>
    </w:p>
    <w:p w14:paraId="6A7E93C6">
      <w:pPr>
        <w:pStyle w:val="3"/>
        <w:spacing w:line="248" w:lineRule="auto"/>
        <w:rPr>
          <w:color w:val="auto"/>
          <w:highlight w:val="none"/>
        </w:rPr>
      </w:pPr>
    </w:p>
    <w:p w14:paraId="173343FE">
      <w:pPr>
        <w:pStyle w:val="3"/>
        <w:spacing w:line="248" w:lineRule="auto"/>
        <w:rPr>
          <w:color w:val="auto"/>
          <w:highlight w:val="none"/>
        </w:rPr>
      </w:pPr>
    </w:p>
    <w:p w14:paraId="5C54677F">
      <w:pPr>
        <w:pStyle w:val="3"/>
        <w:spacing w:line="248" w:lineRule="auto"/>
        <w:rPr>
          <w:color w:val="auto"/>
          <w:highlight w:val="none"/>
        </w:rPr>
      </w:pPr>
    </w:p>
    <w:p w14:paraId="23299A55">
      <w:pPr>
        <w:pStyle w:val="3"/>
        <w:spacing w:line="248" w:lineRule="auto"/>
        <w:rPr>
          <w:color w:val="auto"/>
          <w:highlight w:val="none"/>
        </w:rPr>
      </w:pPr>
    </w:p>
    <w:p w14:paraId="53193281">
      <w:pPr>
        <w:pStyle w:val="3"/>
        <w:spacing w:line="249" w:lineRule="auto"/>
        <w:rPr>
          <w:color w:val="auto"/>
          <w:highlight w:val="none"/>
        </w:rPr>
      </w:pPr>
    </w:p>
    <w:p w14:paraId="1F6FBD6D">
      <w:pPr>
        <w:pStyle w:val="3"/>
        <w:spacing w:line="249" w:lineRule="auto"/>
        <w:rPr>
          <w:color w:val="auto"/>
          <w:highlight w:val="none"/>
        </w:rPr>
      </w:pPr>
    </w:p>
    <w:p w14:paraId="04CE85B7">
      <w:pPr>
        <w:pStyle w:val="3"/>
        <w:spacing w:line="249" w:lineRule="auto"/>
        <w:rPr>
          <w:color w:val="auto"/>
          <w:highlight w:val="none"/>
        </w:rPr>
      </w:pPr>
    </w:p>
    <w:p w14:paraId="19B5A9E6">
      <w:pPr>
        <w:pStyle w:val="3"/>
        <w:spacing w:line="249" w:lineRule="auto"/>
        <w:rPr>
          <w:color w:val="auto"/>
          <w:highlight w:val="none"/>
        </w:rPr>
      </w:pPr>
    </w:p>
    <w:p w14:paraId="4F3F3659">
      <w:pPr>
        <w:pStyle w:val="3"/>
        <w:spacing w:line="249" w:lineRule="auto"/>
        <w:rPr>
          <w:color w:val="auto"/>
          <w:highlight w:val="none"/>
        </w:rPr>
      </w:pPr>
    </w:p>
    <w:p w14:paraId="1C612A4B">
      <w:pPr>
        <w:pStyle w:val="3"/>
        <w:spacing w:line="249" w:lineRule="auto"/>
        <w:rPr>
          <w:color w:val="auto"/>
          <w:highlight w:val="none"/>
        </w:rPr>
      </w:pPr>
    </w:p>
    <w:p w14:paraId="791370C7">
      <w:pPr>
        <w:pStyle w:val="3"/>
        <w:spacing w:line="249" w:lineRule="auto"/>
        <w:rPr>
          <w:color w:val="auto"/>
          <w:highlight w:val="none"/>
        </w:rPr>
      </w:pPr>
    </w:p>
    <w:p w14:paraId="227A3DF1">
      <w:pPr>
        <w:pStyle w:val="3"/>
        <w:spacing w:line="249" w:lineRule="auto"/>
        <w:rPr>
          <w:color w:val="auto"/>
          <w:highlight w:val="none"/>
        </w:rPr>
      </w:pPr>
    </w:p>
    <w:p w14:paraId="1382A741">
      <w:pPr>
        <w:pStyle w:val="3"/>
        <w:spacing w:line="249" w:lineRule="auto"/>
        <w:rPr>
          <w:color w:val="auto"/>
          <w:highlight w:val="none"/>
        </w:rPr>
      </w:pPr>
    </w:p>
    <w:p w14:paraId="5E5F6E8E">
      <w:pPr>
        <w:pStyle w:val="3"/>
        <w:spacing w:line="249" w:lineRule="auto"/>
        <w:rPr>
          <w:color w:val="auto"/>
          <w:highlight w:val="none"/>
        </w:rPr>
      </w:pPr>
    </w:p>
    <w:p w14:paraId="2FA54EEA">
      <w:pPr>
        <w:pStyle w:val="3"/>
        <w:spacing w:line="249" w:lineRule="auto"/>
        <w:rPr>
          <w:color w:val="auto"/>
          <w:highlight w:val="none"/>
        </w:rPr>
      </w:pPr>
    </w:p>
    <w:p w14:paraId="4007E861">
      <w:pPr>
        <w:pStyle w:val="3"/>
        <w:spacing w:line="249" w:lineRule="auto"/>
        <w:rPr>
          <w:color w:val="auto"/>
          <w:highlight w:val="none"/>
        </w:rPr>
      </w:pPr>
    </w:p>
    <w:p w14:paraId="3EDF1558">
      <w:pPr>
        <w:pStyle w:val="3"/>
        <w:spacing w:line="249" w:lineRule="auto"/>
        <w:rPr>
          <w:color w:val="auto"/>
          <w:highlight w:val="none"/>
        </w:rPr>
      </w:pPr>
    </w:p>
    <w:p w14:paraId="47B1628A">
      <w:pPr>
        <w:pStyle w:val="3"/>
        <w:spacing w:line="249" w:lineRule="auto"/>
        <w:rPr>
          <w:color w:val="auto"/>
          <w:highlight w:val="none"/>
        </w:rPr>
      </w:pPr>
    </w:p>
    <w:p w14:paraId="0E461559">
      <w:pPr>
        <w:spacing w:before="234" w:line="222" w:lineRule="auto"/>
        <w:ind w:left="4540"/>
        <w:outlineLvl w:val="1"/>
        <w:rPr>
          <w:rFonts w:ascii="黑体" w:hAnsi="黑体" w:eastAsia="黑体" w:cs="黑体"/>
          <w:color w:val="auto"/>
          <w:sz w:val="72"/>
          <w:szCs w:val="72"/>
          <w:highlight w:val="none"/>
        </w:rPr>
      </w:pPr>
      <w:bookmarkStart w:id="49" w:name="bookmark17"/>
      <w:bookmarkEnd w:id="49"/>
      <w:bookmarkStart w:id="50" w:name="_Toc24956"/>
      <w:r>
        <w:rPr>
          <w:rFonts w:ascii="黑体" w:hAnsi="黑体" w:eastAsia="黑体" w:cs="黑体"/>
          <w:color w:val="auto"/>
          <w:spacing w:val="-33"/>
          <w:sz w:val="72"/>
          <w:szCs w:val="72"/>
          <w:highlight w:val="none"/>
        </w:rPr>
        <w:t>第</w:t>
      </w:r>
      <w:r>
        <w:rPr>
          <w:rFonts w:ascii="黑体" w:hAnsi="黑体" w:eastAsia="黑体" w:cs="黑体"/>
          <w:color w:val="auto"/>
          <w:spacing w:val="70"/>
          <w:sz w:val="72"/>
          <w:szCs w:val="72"/>
          <w:highlight w:val="none"/>
        </w:rPr>
        <w:t xml:space="preserve"> </w:t>
      </w:r>
      <w:r>
        <w:rPr>
          <w:rFonts w:ascii="黑体" w:hAnsi="黑体" w:eastAsia="黑体" w:cs="黑体"/>
          <w:color w:val="auto"/>
          <w:spacing w:val="-33"/>
          <w:sz w:val="72"/>
          <w:szCs w:val="72"/>
          <w:highlight w:val="none"/>
        </w:rPr>
        <w:t>四</w:t>
      </w:r>
      <w:r>
        <w:rPr>
          <w:rFonts w:ascii="黑体" w:hAnsi="黑体" w:eastAsia="黑体" w:cs="黑体"/>
          <w:color w:val="auto"/>
          <w:spacing w:val="39"/>
          <w:sz w:val="72"/>
          <w:szCs w:val="72"/>
          <w:highlight w:val="none"/>
        </w:rPr>
        <w:t xml:space="preserve"> </w:t>
      </w:r>
      <w:r>
        <w:rPr>
          <w:rFonts w:ascii="黑体" w:hAnsi="黑体" w:eastAsia="黑体" w:cs="黑体"/>
          <w:color w:val="auto"/>
          <w:spacing w:val="-33"/>
          <w:sz w:val="72"/>
          <w:szCs w:val="72"/>
          <w:highlight w:val="none"/>
        </w:rPr>
        <w:t>卷</w:t>
      </w:r>
      <w:bookmarkEnd w:id="50"/>
    </w:p>
    <w:p w14:paraId="07EC52C5">
      <w:pPr>
        <w:spacing w:line="222" w:lineRule="auto"/>
        <w:rPr>
          <w:rFonts w:ascii="黑体" w:hAnsi="黑体" w:eastAsia="黑体" w:cs="黑体"/>
          <w:color w:val="auto"/>
          <w:sz w:val="72"/>
          <w:szCs w:val="72"/>
          <w:highlight w:val="none"/>
        </w:rPr>
        <w:sectPr>
          <w:headerReference r:id="rId143" w:type="default"/>
          <w:footerReference r:id="rId144" w:type="default"/>
          <w:pgSz w:w="11905" w:h="16840"/>
          <w:pgMar w:top="1182" w:right="0" w:bottom="1171" w:left="0" w:header="849" w:footer="937" w:gutter="0"/>
          <w:pgNumType w:fmt="decimal"/>
          <w:cols w:space="720" w:num="1"/>
        </w:sectPr>
      </w:pPr>
    </w:p>
    <w:p w14:paraId="2525219C">
      <w:pPr>
        <w:pStyle w:val="3"/>
        <w:spacing w:line="241" w:lineRule="auto"/>
        <w:rPr>
          <w:color w:val="auto"/>
          <w:highlight w:val="none"/>
        </w:rPr>
      </w:pPr>
    </w:p>
    <w:p w14:paraId="1D1E35E3">
      <w:pPr>
        <w:pStyle w:val="3"/>
        <w:spacing w:line="241" w:lineRule="auto"/>
        <w:rPr>
          <w:color w:val="auto"/>
          <w:highlight w:val="none"/>
        </w:rPr>
      </w:pPr>
    </w:p>
    <w:p w14:paraId="201DD9EE">
      <w:pPr>
        <w:pStyle w:val="3"/>
        <w:spacing w:line="241" w:lineRule="auto"/>
        <w:rPr>
          <w:color w:val="auto"/>
          <w:highlight w:val="none"/>
        </w:rPr>
      </w:pPr>
    </w:p>
    <w:p w14:paraId="14331248">
      <w:pPr>
        <w:pStyle w:val="3"/>
        <w:spacing w:line="241" w:lineRule="auto"/>
        <w:rPr>
          <w:color w:val="auto"/>
          <w:highlight w:val="none"/>
        </w:rPr>
      </w:pPr>
    </w:p>
    <w:p w14:paraId="47A812D6">
      <w:pPr>
        <w:pStyle w:val="3"/>
        <w:spacing w:line="241" w:lineRule="auto"/>
        <w:rPr>
          <w:color w:val="auto"/>
          <w:highlight w:val="none"/>
        </w:rPr>
      </w:pPr>
    </w:p>
    <w:p w14:paraId="3E6A5634">
      <w:pPr>
        <w:pStyle w:val="3"/>
        <w:spacing w:line="241" w:lineRule="auto"/>
        <w:rPr>
          <w:color w:val="auto"/>
          <w:highlight w:val="none"/>
        </w:rPr>
      </w:pPr>
    </w:p>
    <w:p w14:paraId="546AF8EF">
      <w:pPr>
        <w:pStyle w:val="3"/>
        <w:spacing w:line="241" w:lineRule="auto"/>
        <w:rPr>
          <w:color w:val="auto"/>
          <w:highlight w:val="none"/>
        </w:rPr>
      </w:pPr>
    </w:p>
    <w:p w14:paraId="1D4C5BC0">
      <w:pPr>
        <w:pStyle w:val="3"/>
        <w:spacing w:line="241" w:lineRule="auto"/>
        <w:rPr>
          <w:color w:val="auto"/>
          <w:highlight w:val="none"/>
        </w:rPr>
      </w:pPr>
    </w:p>
    <w:p w14:paraId="28DCDE73">
      <w:pPr>
        <w:pStyle w:val="3"/>
        <w:spacing w:line="241" w:lineRule="auto"/>
        <w:rPr>
          <w:color w:val="auto"/>
          <w:highlight w:val="none"/>
        </w:rPr>
      </w:pPr>
    </w:p>
    <w:p w14:paraId="0344AD78">
      <w:pPr>
        <w:pStyle w:val="3"/>
        <w:spacing w:line="241" w:lineRule="auto"/>
        <w:rPr>
          <w:color w:val="auto"/>
          <w:highlight w:val="none"/>
        </w:rPr>
      </w:pPr>
    </w:p>
    <w:p w14:paraId="51D3DF94">
      <w:pPr>
        <w:pStyle w:val="3"/>
        <w:spacing w:line="241" w:lineRule="auto"/>
        <w:rPr>
          <w:color w:val="auto"/>
          <w:highlight w:val="none"/>
        </w:rPr>
      </w:pPr>
    </w:p>
    <w:p w14:paraId="39CC81F5">
      <w:pPr>
        <w:pStyle w:val="3"/>
        <w:spacing w:line="241" w:lineRule="auto"/>
        <w:rPr>
          <w:color w:val="auto"/>
          <w:highlight w:val="none"/>
        </w:rPr>
      </w:pPr>
    </w:p>
    <w:p w14:paraId="4A917760">
      <w:pPr>
        <w:pStyle w:val="3"/>
        <w:spacing w:line="241" w:lineRule="auto"/>
        <w:rPr>
          <w:color w:val="auto"/>
          <w:highlight w:val="none"/>
        </w:rPr>
      </w:pPr>
    </w:p>
    <w:p w14:paraId="4BF3C550">
      <w:pPr>
        <w:pStyle w:val="3"/>
        <w:spacing w:line="241" w:lineRule="auto"/>
        <w:rPr>
          <w:color w:val="auto"/>
          <w:highlight w:val="none"/>
        </w:rPr>
      </w:pPr>
    </w:p>
    <w:p w14:paraId="4D41F10C">
      <w:pPr>
        <w:pStyle w:val="3"/>
        <w:spacing w:line="241" w:lineRule="auto"/>
        <w:rPr>
          <w:color w:val="auto"/>
          <w:highlight w:val="none"/>
        </w:rPr>
      </w:pPr>
    </w:p>
    <w:p w14:paraId="377ADE61">
      <w:pPr>
        <w:pStyle w:val="3"/>
        <w:spacing w:line="241" w:lineRule="auto"/>
        <w:rPr>
          <w:color w:val="auto"/>
          <w:highlight w:val="none"/>
        </w:rPr>
      </w:pPr>
    </w:p>
    <w:p w14:paraId="3B5D6A14">
      <w:pPr>
        <w:pStyle w:val="3"/>
        <w:spacing w:line="241" w:lineRule="auto"/>
        <w:rPr>
          <w:color w:val="auto"/>
          <w:highlight w:val="none"/>
        </w:rPr>
      </w:pPr>
    </w:p>
    <w:p w14:paraId="6B3682EC">
      <w:pPr>
        <w:pStyle w:val="3"/>
        <w:spacing w:line="242" w:lineRule="auto"/>
        <w:rPr>
          <w:color w:val="auto"/>
          <w:highlight w:val="none"/>
        </w:rPr>
      </w:pPr>
    </w:p>
    <w:p w14:paraId="6C2FEC9B">
      <w:pPr>
        <w:spacing w:before="139" w:line="237" w:lineRule="auto"/>
        <w:ind w:left="3763"/>
        <w:outlineLvl w:val="0"/>
        <w:rPr>
          <w:rFonts w:ascii="宋体" w:hAnsi="宋体" w:eastAsia="宋体" w:cs="宋体"/>
          <w:color w:val="auto"/>
          <w:sz w:val="21"/>
          <w:szCs w:val="21"/>
          <w:highlight w:val="none"/>
        </w:rPr>
      </w:pPr>
      <w:bookmarkStart w:id="51" w:name="bookmark17"/>
      <w:bookmarkEnd w:id="51"/>
      <w:bookmarkStart w:id="52" w:name="_Toc16272"/>
      <w:r>
        <w:rPr>
          <w:rFonts w:ascii="宋体" w:hAnsi="宋体" w:eastAsia="宋体" w:cs="宋体"/>
          <w:b/>
          <w:bCs/>
          <w:color w:val="auto"/>
          <w:spacing w:val="5"/>
          <w:sz w:val="43"/>
          <w:szCs w:val="43"/>
          <w:highlight w:val="none"/>
        </w:rPr>
        <w:t>第九章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投标文件格式</w:t>
      </w:r>
      <w:bookmarkEnd w:id="52"/>
    </w:p>
    <w:p w14:paraId="65A8A032">
      <w:pPr>
        <w:pStyle w:val="3"/>
        <w:spacing w:line="246" w:lineRule="auto"/>
        <w:rPr>
          <w:color w:val="auto"/>
          <w:highlight w:val="none"/>
        </w:rPr>
      </w:pPr>
    </w:p>
    <w:p w14:paraId="4EB4F344">
      <w:pPr>
        <w:pStyle w:val="3"/>
        <w:spacing w:line="246" w:lineRule="auto"/>
        <w:rPr>
          <w:color w:val="auto"/>
          <w:highlight w:val="none"/>
        </w:rPr>
      </w:pPr>
    </w:p>
    <w:p w14:paraId="7640C0ED">
      <w:pPr>
        <w:pStyle w:val="3"/>
        <w:spacing w:line="246" w:lineRule="auto"/>
        <w:rPr>
          <w:color w:val="auto"/>
          <w:highlight w:val="none"/>
        </w:rPr>
      </w:pPr>
    </w:p>
    <w:p w14:paraId="7D274DA7">
      <w:pPr>
        <w:pStyle w:val="3"/>
        <w:spacing w:line="246" w:lineRule="auto"/>
        <w:rPr>
          <w:color w:val="auto"/>
          <w:highlight w:val="none"/>
        </w:rPr>
      </w:pPr>
    </w:p>
    <w:p w14:paraId="53CE8616">
      <w:pPr>
        <w:pStyle w:val="3"/>
        <w:spacing w:line="246" w:lineRule="auto"/>
        <w:rPr>
          <w:color w:val="auto"/>
          <w:highlight w:val="none"/>
        </w:rPr>
      </w:pPr>
    </w:p>
    <w:p w14:paraId="02139B70">
      <w:pPr>
        <w:pStyle w:val="3"/>
        <w:spacing w:line="246" w:lineRule="auto"/>
        <w:rPr>
          <w:color w:val="auto"/>
          <w:highlight w:val="none"/>
        </w:rPr>
      </w:pPr>
    </w:p>
    <w:p w14:paraId="557B00DB">
      <w:pPr>
        <w:pStyle w:val="3"/>
        <w:spacing w:line="246" w:lineRule="auto"/>
        <w:rPr>
          <w:color w:val="auto"/>
          <w:highlight w:val="none"/>
        </w:rPr>
      </w:pPr>
    </w:p>
    <w:p w14:paraId="18C83DDD">
      <w:pPr>
        <w:pStyle w:val="3"/>
        <w:spacing w:line="246" w:lineRule="auto"/>
        <w:rPr>
          <w:color w:val="auto"/>
          <w:highlight w:val="none"/>
        </w:rPr>
      </w:pPr>
    </w:p>
    <w:p w14:paraId="66BAC124">
      <w:pPr>
        <w:pStyle w:val="3"/>
        <w:spacing w:line="246" w:lineRule="auto"/>
        <w:rPr>
          <w:color w:val="auto"/>
          <w:highlight w:val="none"/>
        </w:rPr>
      </w:pPr>
    </w:p>
    <w:p w14:paraId="74452041">
      <w:pPr>
        <w:pStyle w:val="3"/>
        <w:spacing w:line="246" w:lineRule="auto"/>
        <w:rPr>
          <w:color w:val="auto"/>
          <w:highlight w:val="none"/>
        </w:rPr>
      </w:pPr>
    </w:p>
    <w:p w14:paraId="3E6DF2E6">
      <w:pPr>
        <w:pStyle w:val="3"/>
        <w:spacing w:line="246" w:lineRule="auto"/>
        <w:rPr>
          <w:color w:val="auto"/>
          <w:highlight w:val="none"/>
        </w:rPr>
      </w:pPr>
    </w:p>
    <w:p w14:paraId="4DF79335">
      <w:pPr>
        <w:pStyle w:val="3"/>
        <w:spacing w:line="246" w:lineRule="auto"/>
        <w:rPr>
          <w:color w:val="auto"/>
          <w:highlight w:val="none"/>
        </w:rPr>
      </w:pPr>
    </w:p>
    <w:p w14:paraId="769608F1">
      <w:pPr>
        <w:pStyle w:val="3"/>
        <w:spacing w:line="246" w:lineRule="auto"/>
        <w:rPr>
          <w:color w:val="auto"/>
          <w:highlight w:val="none"/>
        </w:rPr>
      </w:pPr>
    </w:p>
    <w:p w14:paraId="7072A536">
      <w:pPr>
        <w:pStyle w:val="3"/>
        <w:spacing w:line="246" w:lineRule="auto"/>
        <w:rPr>
          <w:color w:val="auto"/>
          <w:highlight w:val="none"/>
        </w:rPr>
      </w:pPr>
    </w:p>
    <w:p w14:paraId="336D25B5">
      <w:pPr>
        <w:pStyle w:val="3"/>
        <w:spacing w:line="246" w:lineRule="auto"/>
        <w:rPr>
          <w:color w:val="auto"/>
          <w:highlight w:val="none"/>
        </w:rPr>
      </w:pPr>
    </w:p>
    <w:p w14:paraId="300626D1">
      <w:pPr>
        <w:pStyle w:val="3"/>
        <w:spacing w:line="246" w:lineRule="auto"/>
        <w:rPr>
          <w:color w:val="auto"/>
          <w:highlight w:val="none"/>
        </w:rPr>
      </w:pPr>
    </w:p>
    <w:p w14:paraId="373321A2">
      <w:pPr>
        <w:pStyle w:val="3"/>
        <w:spacing w:line="246" w:lineRule="auto"/>
        <w:rPr>
          <w:color w:val="auto"/>
          <w:highlight w:val="none"/>
        </w:rPr>
      </w:pPr>
    </w:p>
    <w:p w14:paraId="210FE8AA">
      <w:pPr>
        <w:pStyle w:val="3"/>
        <w:spacing w:line="246" w:lineRule="auto"/>
        <w:rPr>
          <w:color w:val="auto"/>
          <w:highlight w:val="none"/>
        </w:rPr>
      </w:pPr>
    </w:p>
    <w:p w14:paraId="21FC97C2">
      <w:pPr>
        <w:pStyle w:val="3"/>
        <w:spacing w:line="246" w:lineRule="auto"/>
        <w:rPr>
          <w:color w:val="auto"/>
          <w:highlight w:val="none"/>
        </w:rPr>
      </w:pPr>
    </w:p>
    <w:p w14:paraId="56F01CEB">
      <w:pPr>
        <w:pStyle w:val="3"/>
        <w:spacing w:line="246" w:lineRule="auto"/>
        <w:rPr>
          <w:color w:val="auto"/>
          <w:highlight w:val="none"/>
        </w:rPr>
      </w:pPr>
    </w:p>
    <w:p w14:paraId="5179D335">
      <w:pPr>
        <w:pStyle w:val="3"/>
        <w:spacing w:line="246" w:lineRule="auto"/>
        <w:rPr>
          <w:color w:val="auto"/>
          <w:highlight w:val="none"/>
        </w:rPr>
      </w:pPr>
    </w:p>
    <w:p w14:paraId="17723F2C">
      <w:pPr>
        <w:pStyle w:val="3"/>
        <w:spacing w:line="246" w:lineRule="auto"/>
        <w:rPr>
          <w:color w:val="auto"/>
          <w:highlight w:val="none"/>
        </w:rPr>
      </w:pPr>
    </w:p>
    <w:p w14:paraId="56005BE5">
      <w:pPr>
        <w:pStyle w:val="3"/>
        <w:spacing w:line="246" w:lineRule="auto"/>
        <w:rPr>
          <w:color w:val="auto"/>
          <w:highlight w:val="none"/>
        </w:rPr>
      </w:pPr>
    </w:p>
    <w:p w14:paraId="0B0D233C">
      <w:pPr>
        <w:pStyle w:val="3"/>
        <w:spacing w:line="246" w:lineRule="auto"/>
        <w:rPr>
          <w:color w:val="auto"/>
          <w:highlight w:val="none"/>
        </w:rPr>
      </w:pPr>
    </w:p>
    <w:p w14:paraId="04DEC658">
      <w:pPr>
        <w:pStyle w:val="3"/>
        <w:spacing w:line="246" w:lineRule="auto"/>
        <w:rPr>
          <w:color w:val="auto"/>
          <w:highlight w:val="none"/>
        </w:rPr>
      </w:pPr>
    </w:p>
    <w:p w14:paraId="5E59E4E4">
      <w:pPr>
        <w:pStyle w:val="3"/>
        <w:spacing w:line="246" w:lineRule="auto"/>
        <w:rPr>
          <w:color w:val="auto"/>
          <w:highlight w:val="none"/>
        </w:rPr>
      </w:pPr>
    </w:p>
    <w:p w14:paraId="56C862E4">
      <w:pPr>
        <w:pStyle w:val="3"/>
        <w:spacing w:line="246" w:lineRule="auto"/>
        <w:rPr>
          <w:color w:val="auto"/>
          <w:highlight w:val="none"/>
        </w:rPr>
      </w:pPr>
    </w:p>
    <w:p w14:paraId="4F97EAC7">
      <w:pPr>
        <w:pStyle w:val="3"/>
        <w:spacing w:line="246" w:lineRule="auto"/>
        <w:rPr>
          <w:color w:val="auto"/>
          <w:highlight w:val="none"/>
        </w:rPr>
      </w:pPr>
    </w:p>
    <w:p w14:paraId="59826BD5">
      <w:pPr>
        <w:pStyle w:val="3"/>
        <w:spacing w:line="246" w:lineRule="auto"/>
        <w:rPr>
          <w:color w:val="auto"/>
          <w:highlight w:val="none"/>
        </w:rPr>
      </w:pPr>
    </w:p>
    <w:p w14:paraId="1CC25309">
      <w:pPr>
        <w:pStyle w:val="3"/>
        <w:spacing w:line="246" w:lineRule="auto"/>
        <w:rPr>
          <w:color w:val="auto"/>
          <w:highlight w:val="none"/>
        </w:rPr>
      </w:pPr>
    </w:p>
    <w:p w14:paraId="07DA3B21">
      <w:pPr>
        <w:pStyle w:val="3"/>
        <w:spacing w:line="246" w:lineRule="auto"/>
        <w:rPr>
          <w:color w:val="auto"/>
          <w:highlight w:val="none"/>
        </w:rPr>
      </w:pPr>
    </w:p>
    <w:p w14:paraId="0D4456D7">
      <w:pPr>
        <w:pStyle w:val="3"/>
        <w:spacing w:line="246" w:lineRule="auto"/>
        <w:rPr>
          <w:color w:val="auto"/>
          <w:highlight w:val="none"/>
        </w:rPr>
      </w:pPr>
    </w:p>
    <w:p w14:paraId="7E8CA4DB">
      <w:pPr>
        <w:pStyle w:val="3"/>
        <w:spacing w:line="247" w:lineRule="auto"/>
        <w:rPr>
          <w:color w:val="auto"/>
          <w:highlight w:val="none"/>
        </w:rPr>
      </w:pPr>
    </w:p>
    <w:p w14:paraId="23C0ACDA">
      <w:pPr>
        <w:pStyle w:val="3"/>
        <w:spacing w:line="247" w:lineRule="auto"/>
        <w:rPr>
          <w:color w:val="auto"/>
          <w:highlight w:val="none"/>
        </w:rPr>
      </w:pPr>
    </w:p>
    <w:p w14:paraId="4CE62709">
      <w:pPr>
        <w:pStyle w:val="3"/>
        <w:spacing w:line="247" w:lineRule="auto"/>
        <w:rPr>
          <w:color w:val="auto"/>
          <w:highlight w:val="none"/>
        </w:rPr>
      </w:pPr>
    </w:p>
    <w:p w14:paraId="2171487C">
      <w:pPr>
        <w:pStyle w:val="3"/>
        <w:spacing w:line="247" w:lineRule="auto"/>
        <w:rPr>
          <w:color w:val="auto"/>
          <w:highlight w:val="none"/>
        </w:rPr>
      </w:pPr>
    </w:p>
    <w:p w14:paraId="687F5A2B">
      <w:pPr>
        <w:spacing w:line="217" w:lineRule="auto"/>
        <w:rPr>
          <w:rFonts w:ascii="宋体" w:hAnsi="宋体" w:eastAsia="宋体" w:cs="宋体"/>
          <w:color w:val="auto"/>
          <w:sz w:val="18"/>
          <w:szCs w:val="18"/>
          <w:highlight w:val="none"/>
        </w:rPr>
        <w:sectPr>
          <w:headerReference r:id="rId145" w:type="default"/>
          <w:footerReference r:id="rId146" w:type="default"/>
          <w:pgSz w:w="11905" w:h="16840"/>
          <w:pgMar w:top="1182" w:right="0" w:bottom="1171" w:left="0" w:header="849" w:footer="937" w:gutter="0"/>
          <w:pgNumType w:fmt="decimal"/>
          <w:cols w:space="720" w:num="1"/>
        </w:sectPr>
      </w:pPr>
    </w:p>
    <w:p w14:paraId="5DFF5389">
      <w:pPr>
        <w:pStyle w:val="3"/>
        <w:spacing w:line="278" w:lineRule="auto"/>
        <w:rPr>
          <w:color w:val="auto"/>
          <w:highlight w:val="none"/>
        </w:rPr>
      </w:pPr>
    </w:p>
    <w:p w14:paraId="70666D33">
      <w:pPr>
        <w:pStyle w:val="3"/>
        <w:spacing w:line="278" w:lineRule="auto"/>
        <w:rPr>
          <w:color w:val="auto"/>
          <w:highlight w:val="none"/>
        </w:rPr>
      </w:pPr>
    </w:p>
    <w:p w14:paraId="03B1D253">
      <w:pPr>
        <w:pStyle w:val="3"/>
        <w:spacing w:line="279" w:lineRule="auto"/>
        <w:rPr>
          <w:color w:val="auto"/>
          <w:highlight w:val="none"/>
        </w:rPr>
      </w:pPr>
    </w:p>
    <w:p w14:paraId="72D8ED86">
      <w:pPr>
        <w:pStyle w:val="3"/>
        <w:spacing w:line="279" w:lineRule="auto"/>
        <w:rPr>
          <w:color w:val="auto"/>
          <w:highlight w:val="none"/>
        </w:rPr>
      </w:pPr>
    </w:p>
    <w:p w14:paraId="41296A94">
      <w:pPr>
        <w:spacing w:before="140" w:line="224" w:lineRule="auto"/>
        <w:ind w:left="5089"/>
        <w:rPr>
          <w:rFonts w:ascii="宋体" w:hAnsi="宋体" w:eastAsia="宋体" w:cs="宋体"/>
          <w:color w:val="auto"/>
          <w:sz w:val="43"/>
          <w:szCs w:val="43"/>
          <w:highlight w:val="none"/>
        </w:rPr>
      </w:pPr>
      <w:r>
        <w:rPr>
          <w:rFonts w:ascii="宋体" w:hAnsi="宋体" w:eastAsia="宋体" w:cs="宋体"/>
          <w:color w:val="auto"/>
          <w:spacing w:val="-10"/>
          <w:sz w:val="43"/>
          <w:szCs w:val="43"/>
          <w:highlight w:val="none"/>
        </w:rPr>
        <w:t>广</w:t>
      </w:r>
      <w:r>
        <w:rPr>
          <w:rFonts w:ascii="宋体" w:hAnsi="宋体" w:eastAsia="宋体" w:cs="宋体"/>
          <w:color w:val="auto"/>
          <w:spacing w:val="37"/>
          <w:sz w:val="43"/>
          <w:szCs w:val="43"/>
          <w:highlight w:val="none"/>
        </w:rPr>
        <w:t xml:space="preserve"> </w:t>
      </w:r>
      <w:r>
        <w:rPr>
          <w:rFonts w:ascii="宋体" w:hAnsi="宋体" w:eastAsia="宋体" w:cs="宋体"/>
          <w:color w:val="auto"/>
          <w:spacing w:val="-10"/>
          <w:sz w:val="43"/>
          <w:szCs w:val="43"/>
          <w:highlight w:val="none"/>
        </w:rPr>
        <w:t>东</w:t>
      </w:r>
      <w:r>
        <w:rPr>
          <w:rFonts w:ascii="宋体" w:hAnsi="宋体" w:eastAsia="宋体" w:cs="宋体"/>
          <w:color w:val="auto"/>
          <w:spacing w:val="29"/>
          <w:sz w:val="43"/>
          <w:szCs w:val="43"/>
          <w:highlight w:val="none"/>
        </w:rPr>
        <w:t xml:space="preserve"> </w:t>
      </w:r>
      <w:r>
        <w:rPr>
          <w:rFonts w:ascii="宋体" w:hAnsi="宋体" w:eastAsia="宋体" w:cs="宋体"/>
          <w:color w:val="auto"/>
          <w:spacing w:val="-10"/>
          <w:sz w:val="43"/>
          <w:szCs w:val="43"/>
          <w:highlight w:val="none"/>
        </w:rPr>
        <w:t>省</w:t>
      </w:r>
    </w:p>
    <w:p w14:paraId="0D664967">
      <w:pPr>
        <w:pStyle w:val="3"/>
        <w:spacing w:line="291" w:lineRule="auto"/>
        <w:rPr>
          <w:color w:val="auto"/>
          <w:highlight w:val="none"/>
        </w:rPr>
      </w:pPr>
    </w:p>
    <w:p w14:paraId="7D7D3CFB">
      <w:pPr>
        <w:pStyle w:val="3"/>
        <w:spacing w:line="291" w:lineRule="auto"/>
        <w:rPr>
          <w:color w:val="auto"/>
          <w:highlight w:val="none"/>
        </w:rPr>
      </w:pPr>
    </w:p>
    <w:p w14:paraId="151160D8">
      <w:pPr>
        <w:tabs>
          <w:tab w:val="left" w:pos="3891"/>
        </w:tabs>
        <w:spacing w:before="140" w:line="224" w:lineRule="auto"/>
        <w:ind w:left="1661" w:firstLine="1720" w:firstLineChars="400"/>
        <w:rPr>
          <w:rFonts w:ascii="宋体" w:hAnsi="宋体" w:eastAsia="宋体" w:cs="宋体"/>
          <w:color w:val="auto"/>
          <w:sz w:val="43"/>
          <w:szCs w:val="43"/>
          <w:highlight w:val="none"/>
        </w:rPr>
      </w:pPr>
      <w:r>
        <w:rPr>
          <w:rFonts w:ascii="宋体" w:hAnsi="宋体" w:eastAsia="宋体" w:cs="宋体"/>
          <w:color w:val="auto"/>
          <w:sz w:val="43"/>
          <w:szCs w:val="43"/>
          <w:highlight w:val="none"/>
          <w:u w:val="single" w:color="auto"/>
        </w:rPr>
        <w:tab/>
      </w:r>
      <w:r>
        <w:rPr>
          <w:rFonts w:ascii="宋体" w:hAnsi="宋体" w:eastAsia="宋体" w:cs="宋体"/>
          <w:color w:val="auto"/>
          <w:spacing w:val="-15"/>
          <w:sz w:val="43"/>
          <w:szCs w:val="43"/>
          <w:highlight w:val="none"/>
          <w:u w:val="single" w:color="auto"/>
        </w:rPr>
        <w:t>（项目名称</w:t>
      </w:r>
      <w:r>
        <w:rPr>
          <w:rFonts w:ascii="宋体" w:hAnsi="宋体" w:eastAsia="宋体" w:cs="宋体"/>
          <w:color w:val="auto"/>
          <w:spacing w:val="-17"/>
          <w:sz w:val="43"/>
          <w:szCs w:val="43"/>
          <w:highlight w:val="none"/>
          <w:u w:val="single" w:color="auto"/>
        </w:rPr>
        <w:t>）</w:t>
      </w:r>
      <w:r>
        <w:rPr>
          <w:rFonts w:ascii="宋体" w:hAnsi="宋体" w:eastAsia="宋体" w:cs="宋体"/>
          <w:color w:val="auto"/>
          <w:spacing w:val="8"/>
          <w:sz w:val="43"/>
          <w:szCs w:val="43"/>
          <w:highlight w:val="none"/>
          <w:u w:val="single" w:color="auto"/>
        </w:rPr>
        <w:t xml:space="preserve">   </w:t>
      </w:r>
      <w:r>
        <w:rPr>
          <w:rFonts w:ascii="宋体" w:hAnsi="宋体" w:eastAsia="宋体" w:cs="宋体"/>
          <w:color w:val="auto"/>
          <w:spacing w:val="5"/>
          <w:sz w:val="43"/>
          <w:szCs w:val="43"/>
          <w:highlight w:val="none"/>
        </w:rPr>
        <w:t>施工招标</w:t>
      </w:r>
    </w:p>
    <w:p w14:paraId="68C9F878">
      <w:pPr>
        <w:pStyle w:val="3"/>
        <w:spacing w:line="271" w:lineRule="auto"/>
        <w:rPr>
          <w:color w:val="auto"/>
          <w:highlight w:val="none"/>
        </w:rPr>
      </w:pPr>
    </w:p>
    <w:p w14:paraId="61AA8667">
      <w:pPr>
        <w:pStyle w:val="3"/>
        <w:spacing w:line="271" w:lineRule="auto"/>
        <w:rPr>
          <w:color w:val="auto"/>
          <w:highlight w:val="none"/>
        </w:rPr>
      </w:pPr>
    </w:p>
    <w:p w14:paraId="46501E88">
      <w:pPr>
        <w:pStyle w:val="3"/>
        <w:spacing w:line="271" w:lineRule="auto"/>
        <w:rPr>
          <w:color w:val="auto"/>
          <w:highlight w:val="none"/>
        </w:rPr>
      </w:pPr>
    </w:p>
    <w:p w14:paraId="6918BC32">
      <w:pPr>
        <w:pStyle w:val="3"/>
        <w:spacing w:line="271" w:lineRule="auto"/>
        <w:rPr>
          <w:color w:val="auto"/>
          <w:highlight w:val="none"/>
        </w:rPr>
      </w:pPr>
    </w:p>
    <w:p w14:paraId="0483121D">
      <w:pPr>
        <w:pStyle w:val="3"/>
        <w:spacing w:line="271" w:lineRule="auto"/>
        <w:rPr>
          <w:color w:val="auto"/>
          <w:highlight w:val="none"/>
        </w:rPr>
      </w:pPr>
    </w:p>
    <w:p w14:paraId="5397D830">
      <w:pPr>
        <w:pStyle w:val="3"/>
        <w:spacing w:line="271" w:lineRule="auto"/>
        <w:rPr>
          <w:color w:val="auto"/>
          <w:highlight w:val="none"/>
        </w:rPr>
      </w:pPr>
    </w:p>
    <w:p w14:paraId="556229C1">
      <w:pPr>
        <w:pStyle w:val="3"/>
        <w:spacing w:line="271" w:lineRule="auto"/>
        <w:rPr>
          <w:color w:val="auto"/>
          <w:highlight w:val="none"/>
        </w:rPr>
      </w:pPr>
    </w:p>
    <w:p w14:paraId="0AE7C589">
      <w:pPr>
        <w:spacing w:before="234" w:line="220" w:lineRule="auto"/>
        <w:ind w:left="4548"/>
        <w:rPr>
          <w:rFonts w:ascii="宋体" w:hAnsi="宋体" w:eastAsia="宋体" w:cs="宋体"/>
          <w:color w:val="auto"/>
          <w:sz w:val="72"/>
          <w:szCs w:val="72"/>
          <w:highlight w:val="none"/>
        </w:rPr>
      </w:pPr>
      <w:r>
        <w:rPr>
          <w:rFonts w:ascii="宋体" w:hAnsi="宋体" w:eastAsia="宋体" w:cs="宋体"/>
          <w:color w:val="auto"/>
          <w:spacing w:val="-7"/>
          <w:sz w:val="72"/>
          <w:szCs w:val="72"/>
          <w:highlight w:val="none"/>
        </w:rPr>
        <w:t>投标文件</w:t>
      </w:r>
    </w:p>
    <w:p w14:paraId="0EB90602">
      <w:pPr>
        <w:spacing w:before="375" w:line="224" w:lineRule="auto"/>
        <w:ind w:left="2686"/>
        <w:rPr>
          <w:rFonts w:ascii="宋体" w:hAnsi="宋体" w:eastAsia="宋体" w:cs="宋体"/>
          <w:color w:val="auto"/>
          <w:sz w:val="43"/>
          <w:szCs w:val="43"/>
          <w:highlight w:val="none"/>
        </w:rPr>
      </w:pPr>
      <w:r>
        <w:rPr>
          <w:rFonts w:ascii="宋体" w:hAnsi="宋体" w:eastAsia="宋体" w:cs="宋体"/>
          <w:color w:val="auto"/>
          <w:spacing w:val="5"/>
          <w:sz w:val="43"/>
          <w:szCs w:val="43"/>
          <w:highlight w:val="none"/>
        </w:rPr>
        <w:t>（第一个信封：商务及技术文件）</w:t>
      </w:r>
    </w:p>
    <w:p w14:paraId="0F8C49CC">
      <w:pPr>
        <w:pStyle w:val="3"/>
        <w:spacing w:line="248" w:lineRule="auto"/>
        <w:rPr>
          <w:color w:val="auto"/>
          <w:highlight w:val="none"/>
        </w:rPr>
      </w:pPr>
    </w:p>
    <w:p w14:paraId="1A36734E">
      <w:pPr>
        <w:pStyle w:val="3"/>
        <w:spacing w:line="248" w:lineRule="auto"/>
        <w:rPr>
          <w:color w:val="auto"/>
          <w:highlight w:val="none"/>
        </w:rPr>
      </w:pPr>
    </w:p>
    <w:p w14:paraId="5BCCDFEF">
      <w:pPr>
        <w:pStyle w:val="3"/>
        <w:spacing w:line="248" w:lineRule="auto"/>
        <w:rPr>
          <w:color w:val="auto"/>
          <w:highlight w:val="none"/>
        </w:rPr>
      </w:pPr>
    </w:p>
    <w:p w14:paraId="63011F3A">
      <w:pPr>
        <w:pStyle w:val="3"/>
        <w:spacing w:line="248" w:lineRule="auto"/>
        <w:rPr>
          <w:color w:val="auto"/>
          <w:highlight w:val="none"/>
        </w:rPr>
      </w:pPr>
    </w:p>
    <w:p w14:paraId="753A05AC">
      <w:pPr>
        <w:pStyle w:val="3"/>
        <w:spacing w:line="248" w:lineRule="auto"/>
        <w:rPr>
          <w:color w:val="auto"/>
          <w:highlight w:val="none"/>
        </w:rPr>
      </w:pPr>
    </w:p>
    <w:p w14:paraId="0A73E629">
      <w:pPr>
        <w:pStyle w:val="3"/>
        <w:spacing w:line="248" w:lineRule="auto"/>
        <w:rPr>
          <w:color w:val="auto"/>
          <w:highlight w:val="none"/>
        </w:rPr>
      </w:pPr>
    </w:p>
    <w:p w14:paraId="24E86B88">
      <w:pPr>
        <w:pStyle w:val="3"/>
        <w:spacing w:line="249" w:lineRule="auto"/>
        <w:rPr>
          <w:color w:val="auto"/>
          <w:highlight w:val="none"/>
        </w:rPr>
      </w:pPr>
    </w:p>
    <w:p w14:paraId="18241ECF">
      <w:pPr>
        <w:pStyle w:val="3"/>
        <w:spacing w:line="249" w:lineRule="auto"/>
        <w:rPr>
          <w:color w:val="auto"/>
          <w:highlight w:val="none"/>
        </w:rPr>
      </w:pPr>
    </w:p>
    <w:p w14:paraId="2D5AF199">
      <w:pPr>
        <w:pStyle w:val="3"/>
        <w:spacing w:line="249" w:lineRule="auto"/>
        <w:rPr>
          <w:color w:val="auto"/>
          <w:highlight w:val="none"/>
        </w:rPr>
      </w:pPr>
    </w:p>
    <w:p w14:paraId="659CDB1A">
      <w:pPr>
        <w:pStyle w:val="3"/>
        <w:spacing w:line="249" w:lineRule="auto"/>
        <w:rPr>
          <w:color w:val="auto"/>
          <w:highlight w:val="none"/>
        </w:rPr>
      </w:pPr>
    </w:p>
    <w:p w14:paraId="48B14C42">
      <w:pPr>
        <w:pStyle w:val="3"/>
        <w:spacing w:line="249" w:lineRule="auto"/>
        <w:rPr>
          <w:color w:val="auto"/>
          <w:highlight w:val="none"/>
        </w:rPr>
      </w:pPr>
    </w:p>
    <w:p w14:paraId="4C4F0E63">
      <w:pPr>
        <w:pStyle w:val="3"/>
        <w:spacing w:line="249" w:lineRule="auto"/>
        <w:rPr>
          <w:color w:val="auto"/>
          <w:highlight w:val="none"/>
        </w:rPr>
      </w:pPr>
    </w:p>
    <w:p w14:paraId="582005A7">
      <w:pPr>
        <w:pStyle w:val="3"/>
        <w:spacing w:line="249" w:lineRule="auto"/>
        <w:rPr>
          <w:color w:val="auto"/>
          <w:highlight w:val="none"/>
        </w:rPr>
      </w:pPr>
    </w:p>
    <w:p w14:paraId="164072EB">
      <w:pPr>
        <w:pStyle w:val="3"/>
        <w:spacing w:line="249" w:lineRule="auto"/>
        <w:rPr>
          <w:color w:val="auto"/>
          <w:highlight w:val="none"/>
        </w:rPr>
      </w:pPr>
    </w:p>
    <w:p w14:paraId="5F26A2ED">
      <w:pPr>
        <w:pStyle w:val="3"/>
        <w:spacing w:line="249" w:lineRule="auto"/>
        <w:rPr>
          <w:color w:val="auto"/>
          <w:highlight w:val="none"/>
        </w:rPr>
      </w:pPr>
    </w:p>
    <w:p w14:paraId="7878E740">
      <w:pPr>
        <w:pStyle w:val="3"/>
        <w:spacing w:line="249" w:lineRule="auto"/>
        <w:rPr>
          <w:color w:val="auto"/>
          <w:highlight w:val="none"/>
        </w:rPr>
      </w:pPr>
    </w:p>
    <w:p w14:paraId="119C6CEA">
      <w:pPr>
        <w:pStyle w:val="3"/>
        <w:spacing w:line="249" w:lineRule="auto"/>
        <w:rPr>
          <w:color w:val="auto"/>
          <w:highlight w:val="none"/>
        </w:rPr>
      </w:pPr>
    </w:p>
    <w:p w14:paraId="6D1EB109">
      <w:pPr>
        <w:pStyle w:val="3"/>
        <w:spacing w:line="249" w:lineRule="auto"/>
        <w:rPr>
          <w:color w:val="auto"/>
          <w:highlight w:val="none"/>
        </w:rPr>
      </w:pPr>
    </w:p>
    <w:p w14:paraId="1538F74F">
      <w:pPr>
        <w:pStyle w:val="3"/>
        <w:spacing w:line="249" w:lineRule="auto"/>
        <w:rPr>
          <w:color w:val="auto"/>
          <w:highlight w:val="none"/>
        </w:rPr>
      </w:pPr>
    </w:p>
    <w:p w14:paraId="5079682D">
      <w:pPr>
        <w:spacing w:before="98" w:line="219" w:lineRule="auto"/>
        <w:ind w:left="2817"/>
        <w:rPr>
          <w:rFonts w:ascii="宋体" w:hAnsi="宋体" w:eastAsia="宋体" w:cs="宋体"/>
          <w:color w:val="auto"/>
          <w:sz w:val="30"/>
          <w:szCs w:val="30"/>
          <w:highlight w:val="none"/>
        </w:rPr>
      </w:pPr>
      <w:r>
        <w:rPr>
          <w:rFonts w:ascii="宋体" w:hAnsi="宋体" w:eastAsia="宋体" w:cs="宋体"/>
          <w:color w:val="auto"/>
          <w:spacing w:val="-4"/>
          <w:sz w:val="30"/>
          <w:szCs w:val="30"/>
          <w:highlight w:val="none"/>
        </w:rPr>
        <w:t>投标人</w:t>
      </w:r>
      <w:r>
        <w:rPr>
          <w:rFonts w:ascii="宋体" w:hAnsi="宋体" w:eastAsia="宋体" w:cs="宋体"/>
          <w:color w:val="auto"/>
          <w:spacing w:val="-1"/>
          <w:sz w:val="30"/>
          <w:szCs w:val="30"/>
          <w:highlight w:val="none"/>
        </w:rPr>
        <w:t>：</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1"/>
          <w:sz w:val="30"/>
          <w:szCs w:val="30"/>
          <w:highlight w:val="none"/>
        </w:rPr>
        <w:t>（</w:t>
      </w:r>
      <w:r>
        <w:rPr>
          <w:rFonts w:ascii="宋体" w:hAnsi="宋体" w:eastAsia="宋体" w:cs="宋体"/>
          <w:color w:val="auto"/>
          <w:spacing w:val="-4"/>
          <w:sz w:val="30"/>
          <w:szCs w:val="30"/>
          <w:highlight w:val="none"/>
        </w:rPr>
        <w:t>盖单位章）</w:t>
      </w:r>
    </w:p>
    <w:p w14:paraId="302C0222">
      <w:pPr>
        <w:tabs>
          <w:tab w:val="left" w:pos="5202"/>
        </w:tabs>
        <w:spacing w:before="268" w:line="220" w:lineRule="auto"/>
        <w:ind w:left="4602"/>
        <w:rPr>
          <w:rFonts w:ascii="宋体" w:hAnsi="宋体" w:eastAsia="宋体" w:cs="宋体"/>
          <w:color w:val="auto"/>
          <w:sz w:val="30"/>
          <w:szCs w:val="30"/>
          <w:highlight w:val="none"/>
        </w:rPr>
      </w:pPr>
      <w:r>
        <w:rPr>
          <w:rFonts w:ascii="宋体" w:hAnsi="宋体" w:eastAsia="宋体" w:cs="宋体"/>
          <w:color w:val="auto"/>
          <w:sz w:val="30"/>
          <w:szCs w:val="30"/>
          <w:highlight w:val="none"/>
          <w:u w:val="single" w:color="auto"/>
        </w:rPr>
        <w:tab/>
      </w:r>
      <w:r>
        <w:rPr>
          <w:rFonts w:ascii="宋体" w:hAnsi="宋体" w:eastAsia="宋体" w:cs="宋体"/>
          <w:color w:val="auto"/>
          <w:spacing w:val="-137"/>
          <w:sz w:val="30"/>
          <w:szCs w:val="30"/>
          <w:highlight w:val="none"/>
        </w:rPr>
        <w:t xml:space="preserve"> </w:t>
      </w:r>
      <w:r>
        <w:rPr>
          <w:rFonts w:ascii="宋体" w:hAnsi="宋体" w:eastAsia="宋体" w:cs="宋体"/>
          <w:color w:val="auto"/>
          <w:spacing w:val="-11"/>
          <w:sz w:val="30"/>
          <w:szCs w:val="30"/>
          <w:highlight w:val="none"/>
        </w:rPr>
        <w:t>年</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131"/>
          <w:sz w:val="30"/>
          <w:szCs w:val="30"/>
          <w:highlight w:val="none"/>
        </w:rPr>
        <w:t xml:space="preserve"> </w:t>
      </w:r>
      <w:r>
        <w:rPr>
          <w:rFonts w:ascii="宋体" w:hAnsi="宋体" w:eastAsia="宋体" w:cs="宋体"/>
          <w:color w:val="auto"/>
          <w:spacing w:val="-11"/>
          <w:sz w:val="30"/>
          <w:szCs w:val="30"/>
          <w:highlight w:val="none"/>
        </w:rPr>
        <w:t>月</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87"/>
          <w:sz w:val="30"/>
          <w:szCs w:val="30"/>
          <w:highlight w:val="none"/>
        </w:rPr>
        <w:t xml:space="preserve"> </w:t>
      </w:r>
      <w:r>
        <w:rPr>
          <w:rFonts w:ascii="宋体" w:hAnsi="宋体" w:eastAsia="宋体" w:cs="宋体"/>
          <w:color w:val="auto"/>
          <w:spacing w:val="-11"/>
          <w:sz w:val="30"/>
          <w:szCs w:val="30"/>
          <w:highlight w:val="none"/>
        </w:rPr>
        <w:t>日</w:t>
      </w:r>
    </w:p>
    <w:p w14:paraId="0E1CD077">
      <w:pPr>
        <w:spacing w:line="220" w:lineRule="auto"/>
        <w:rPr>
          <w:rFonts w:ascii="宋体" w:hAnsi="宋体" w:eastAsia="宋体" w:cs="宋体"/>
          <w:color w:val="auto"/>
          <w:sz w:val="30"/>
          <w:szCs w:val="30"/>
          <w:highlight w:val="none"/>
        </w:rPr>
        <w:sectPr>
          <w:headerReference r:id="rId147" w:type="default"/>
          <w:footerReference r:id="rId148" w:type="default"/>
          <w:pgSz w:w="11905" w:h="16840"/>
          <w:pgMar w:top="1182" w:right="0" w:bottom="1171" w:left="0" w:header="849" w:footer="937" w:gutter="0"/>
          <w:pgNumType w:fmt="decimal"/>
          <w:cols w:space="720" w:num="1"/>
        </w:sectPr>
      </w:pPr>
    </w:p>
    <w:p w14:paraId="0A80C680">
      <w:pPr>
        <w:pStyle w:val="3"/>
        <w:spacing w:line="283" w:lineRule="auto"/>
        <w:rPr>
          <w:color w:val="auto"/>
          <w:highlight w:val="none"/>
        </w:rPr>
      </w:pPr>
    </w:p>
    <w:p w14:paraId="08373254">
      <w:pPr>
        <w:spacing w:before="101" w:line="228" w:lineRule="auto"/>
        <w:ind w:left="5544"/>
        <w:rPr>
          <w:rFonts w:ascii="宋体" w:hAnsi="宋体" w:eastAsia="宋体" w:cs="宋体"/>
          <w:color w:val="auto"/>
          <w:sz w:val="31"/>
          <w:szCs w:val="31"/>
          <w:highlight w:val="none"/>
        </w:rPr>
      </w:pPr>
      <w:r>
        <w:rPr>
          <w:rFonts w:ascii="宋体" w:hAnsi="宋体" w:eastAsia="宋体" w:cs="宋体"/>
          <w:b/>
          <w:bCs/>
          <w:color w:val="auto"/>
          <w:spacing w:val="-36"/>
          <w:sz w:val="31"/>
          <w:szCs w:val="31"/>
          <w:highlight w:val="none"/>
        </w:rPr>
        <w:t>目</w:t>
      </w:r>
      <w:r>
        <w:rPr>
          <w:rFonts w:ascii="宋体" w:hAnsi="宋体" w:eastAsia="宋体" w:cs="宋体"/>
          <w:color w:val="auto"/>
          <w:spacing w:val="13"/>
          <w:sz w:val="31"/>
          <w:szCs w:val="31"/>
          <w:highlight w:val="none"/>
        </w:rPr>
        <w:t xml:space="preserve">  </w:t>
      </w:r>
      <w:r>
        <w:rPr>
          <w:rFonts w:ascii="宋体" w:hAnsi="宋体" w:eastAsia="宋体" w:cs="宋体"/>
          <w:b/>
          <w:bCs/>
          <w:color w:val="auto"/>
          <w:spacing w:val="-36"/>
          <w:sz w:val="31"/>
          <w:szCs w:val="31"/>
          <w:highlight w:val="none"/>
        </w:rPr>
        <w:t>录</w:t>
      </w:r>
    </w:p>
    <w:p w14:paraId="21E99539">
      <w:pPr>
        <w:pStyle w:val="3"/>
        <w:rPr>
          <w:color w:val="auto"/>
          <w:highlight w:val="none"/>
        </w:rPr>
      </w:pPr>
    </w:p>
    <w:p w14:paraId="2908C37D">
      <w:pPr>
        <w:pStyle w:val="3"/>
        <w:spacing w:line="241" w:lineRule="auto"/>
        <w:rPr>
          <w:color w:val="auto"/>
          <w:highlight w:val="none"/>
        </w:rPr>
      </w:pPr>
    </w:p>
    <w:p w14:paraId="39CEEB60">
      <w:pPr>
        <w:pStyle w:val="3"/>
        <w:spacing w:line="256" w:lineRule="auto"/>
        <w:rPr>
          <w:color w:val="auto"/>
          <w:highlight w:val="none"/>
        </w:rPr>
      </w:pPr>
    </w:p>
    <w:p w14:paraId="41FBEC75">
      <w:pPr>
        <w:pStyle w:val="3"/>
        <w:spacing w:line="257" w:lineRule="auto"/>
        <w:rPr>
          <w:color w:val="auto"/>
          <w:highlight w:val="none"/>
        </w:rPr>
      </w:pPr>
    </w:p>
    <w:p w14:paraId="7F88E210">
      <w:pPr>
        <w:spacing w:before="88" w:line="226" w:lineRule="auto"/>
        <w:ind w:left="1426"/>
        <w:rPr>
          <w:rFonts w:ascii="宋体" w:hAnsi="宋体" w:eastAsia="宋体" w:cs="宋体"/>
          <w:color w:val="auto"/>
          <w:sz w:val="27"/>
          <w:szCs w:val="27"/>
          <w:highlight w:val="none"/>
        </w:rPr>
      </w:pPr>
      <w:r>
        <w:rPr>
          <w:rFonts w:ascii="宋体" w:hAnsi="宋体" w:eastAsia="宋体" w:cs="宋体"/>
          <w:color w:val="auto"/>
          <w:spacing w:val="8"/>
          <w:sz w:val="27"/>
          <w:szCs w:val="27"/>
          <w:highlight w:val="none"/>
        </w:rPr>
        <w:t>第一个信封(商务及技术文件)</w:t>
      </w:r>
    </w:p>
    <w:sdt>
      <w:sdtPr>
        <w:rPr>
          <w:rFonts w:ascii="Arial" w:hAnsi="Arial" w:eastAsia="Arial" w:cs="Arial"/>
          <w:color w:val="auto"/>
          <w:sz w:val="21"/>
          <w:szCs w:val="21"/>
          <w:highlight w:val="none"/>
        </w:rPr>
        <w:id w:val="147470982"/>
        <w:docPartObj>
          <w:docPartGallery w:val="Table of Contents"/>
          <w:docPartUnique/>
        </w:docPartObj>
      </w:sdtPr>
      <w:sdtEndPr>
        <w:rPr>
          <w:rFonts w:ascii="宋体" w:hAnsi="宋体" w:eastAsia="宋体" w:cs="宋体"/>
          <w:color w:val="auto"/>
          <w:sz w:val="27"/>
          <w:szCs w:val="27"/>
          <w:highlight w:val="none"/>
        </w:rPr>
      </w:sdtEndPr>
      <w:sdtContent>
        <w:p w14:paraId="20A2405E">
          <w:pPr>
            <w:spacing w:before="292" w:line="226" w:lineRule="auto"/>
            <w:ind w:left="1431"/>
            <w:rPr>
              <w:rFonts w:ascii="宋体" w:hAnsi="宋体" w:eastAsia="宋体" w:cs="宋体"/>
              <w:color w:val="auto"/>
              <w:sz w:val="27"/>
              <w:szCs w:val="27"/>
              <w:highlight w:val="none"/>
            </w:rPr>
          </w:pPr>
          <w:r>
            <w:rPr>
              <w:rFonts w:ascii="宋体" w:hAnsi="宋体" w:eastAsia="宋体" w:cs="宋体"/>
              <w:color w:val="auto"/>
              <w:spacing w:val="7"/>
              <w:sz w:val="27"/>
              <w:szCs w:val="27"/>
              <w:highlight w:val="none"/>
            </w:rPr>
            <w:t>一、投标函及投标函附录</w:t>
          </w:r>
        </w:p>
        <w:p w14:paraId="4A86A2CA">
          <w:pPr>
            <w:spacing w:before="293" w:line="226" w:lineRule="auto"/>
            <w:ind w:left="1431"/>
            <w:rPr>
              <w:rFonts w:ascii="宋体" w:hAnsi="宋体" w:eastAsia="宋体" w:cs="宋体"/>
              <w:color w:val="auto"/>
              <w:sz w:val="27"/>
              <w:szCs w:val="27"/>
              <w:highlight w:val="none"/>
            </w:rPr>
          </w:pPr>
          <w:r>
            <w:rPr>
              <w:rFonts w:ascii="宋体" w:hAnsi="宋体" w:eastAsia="宋体" w:cs="宋体"/>
              <w:color w:val="auto"/>
              <w:spacing w:val="9"/>
              <w:sz w:val="27"/>
              <w:szCs w:val="27"/>
              <w:highlight w:val="none"/>
            </w:rPr>
            <w:t>二、授权委托书或法定代表人身份证明</w:t>
          </w:r>
        </w:p>
        <w:p w14:paraId="516F40FF">
          <w:pPr>
            <w:spacing w:before="293" w:line="226" w:lineRule="auto"/>
            <w:ind w:left="1426"/>
            <w:rPr>
              <w:rFonts w:ascii="宋体" w:hAnsi="宋体" w:eastAsia="宋体" w:cs="宋体"/>
              <w:strike/>
              <w:dstrike w:val="0"/>
              <w:color w:val="auto"/>
              <w:sz w:val="27"/>
              <w:szCs w:val="27"/>
              <w:highlight w:val="none"/>
            </w:rPr>
          </w:pPr>
          <w:r>
            <w:rPr>
              <w:rFonts w:ascii="宋体" w:hAnsi="宋体" w:eastAsia="宋体" w:cs="宋体"/>
              <w:strike/>
              <w:dstrike w:val="0"/>
              <w:color w:val="auto"/>
              <w:spacing w:val="7"/>
              <w:sz w:val="27"/>
              <w:szCs w:val="27"/>
              <w:highlight w:val="none"/>
            </w:rPr>
            <w:t>三、联合体协议书（如有）</w:t>
          </w:r>
        </w:p>
        <w:p w14:paraId="6EAA21E6">
          <w:pPr>
            <w:spacing w:before="295" w:line="227" w:lineRule="auto"/>
            <w:ind w:left="1453"/>
            <w:rPr>
              <w:rFonts w:ascii="宋体" w:hAnsi="宋体" w:eastAsia="宋体" w:cs="宋体"/>
              <w:strike/>
              <w:dstrike w:val="0"/>
              <w:color w:val="auto"/>
              <w:sz w:val="27"/>
              <w:szCs w:val="27"/>
              <w:highlight w:val="none"/>
            </w:rPr>
          </w:pPr>
          <w:r>
            <w:rPr>
              <w:rFonts w:ascii="宋体" w:hAnsi="宋体" w:eastAsia="宋体" w:cs="宋体"/>
              <w:strike/>
              <w:dstrike w:val="0"/>
              <w:color w:val="auto"/>
              <w:spacing w:val="5"/>
              <w:sz w:val="27"/>
              <w:szCs w:val="27"/>
              <w:highlight w:val="none"/>
            </w:rPr>
            <w:t>四、投标保证金</w:t>
          </w:r>
        </w:p>
        <w:p w14:paraId="21061227">
          <w:pPr>
            <w:spacing w:before="292" w:line="226" w:lineRule="auto"/>
            <w:ind w:left="1431"/>
            <w:rPr>
              <w:rFonts w:ascii="宋体" w:hAnsi="宋体" w:eastAsia="宋体" w:cs="宋体"/>
              <w:strike/>
              <w:dstrike w:val="0"/>
              <w:color w:val="auto"/>
              <w:sz w:val="27"/>
              <w:szCs w:val="27"/>
              <w:highlight w:val="none"/>
            </w:rPr>
          </w:pPr>
          <w:r>
            <w:rPr>
              <w:rFonts w:ascii="宋体" w:hAnsi="宋体" w:eastAsia="宋体" w:cs="宋体"/>
              <w:strike w:val="0"/>
              <w:dstrike w:val="0"/>
              <w:color w:val="auto"/>
              <w:spacing w:val="9"/>
              <w:sz w:val="27"/>
              <w:szCs w:val="27"/>
              <w:highlight w:val="none"/>
            </w:rPr>
            <w:t>五、施工组织设计</w:t>
          </w:r>
          <w:r>
            <w:rPr>
              <w:rFonts w:ascii="宋体" w:hAnsi="宋体" w:eastAsia="宋体" w:cs="宋体"/>
              <w:strike/>
              <w:dstrike w:val="0"/>
              <w:color w:val="auto"/>
              <w:spacing w:val="9"/>
              <w:sz w:val="27"/>
              <w:szCs w:val="27"/>
              <w:highlight w:val="none"/>
              <w:u w:val="single" w:color="auto"/>
            </w:rPr>
            <w:t>及承包人项目管理方案</w:t>
          </w:r>
        </w:p>
        <w:p w14:paraId="5700CF6A">
          <w:pPr>
            <w:spacing w:before="293" w:line="228" w:lineRule="auto"/>
            <w:ind w:left="1431"/>
            <w:rPr>
              <w:rFonts w:ascii="宋体" w:hAnsi="宋体" w:eastAsia="宋体" w:cs="宋体"/>
              <w:color w:val="auto"/>
              <w:sz w:val="27"/>
              <w:szCs w:val="27"/>
              <w:highlight w:val="none"/>
            </w:rPr>
          </w:pPr>
          <w:r>
            <w:rPr>
              <w:rFonts w:ascii="宋体" w:hAnsi="宋体" w:eastAsia="宋体" w:cs="宋体"/>
              <w:strike/>
              <w:dstrike w:val="0"/>
              <w:color w:val="auto"/>
              <w:spacing w:val="8"/>
              <w:sz w:val="27"/>
              <w:szCs w:val="27"/>
              <w:highlight w:val="none"/>
              <w:u w:val="single" w:color="auto"/>
            </w:rPr>
            <w:t>五、</w:t>
          </w:r>
          <w:r>
            <w:rPr>
              <w:rFonts w:ascii="宋体" w:hAnsi="宋体" w:eastAsia="宋体" w:cs="宋体"/>
              <w:strike/>
              <w:dstrike w:val="0"/>
              <w:color w:val="auto"/>
              <w:spacing w:val="8"/>
              <w:sz w:val="27"/>
              <w:szCs w:val="27"/>
              <w:highlight w:val="none"/>
            </w:rPr>
            <w:t>施工组织设计</w:t>
          </w:r>
        </w:p>
        <w:p w14:paraId="4E6A91ED">
          <w:pPr>
            <w:spacing w:before="290" w:line="226" w:lineRule="auto"/>
            <w:ind w:left="1429"/>
            <w:rPr>
              <w:rFonts w:ascii="宋体" w:hAnsi="宋体" w:eastAsia="宋体" w:cs="宋体"/>
              <w:color w:val="auto"/>
              <w:sz w:val="27"/>
              <w:szCs w:val="27"/>
              <w:highlight w:val="none"/>
            </w:rPr>
          </w:pPr>
          <w:r>
            <w:rPr>
              <w:rFonts w:ascii="宋体" w:hAnsi="宋体" w:eastAsia="宋体" w:cs="宋体"/>
              <w:color w:val="auto"/>
              <w:spacing w:val="8"/>
              <w:sz w:val="27"/>
              <w:szCs w:val="27"/>
              <w:highlight w:val="none"/>
            </w:rPr>
            <w:t>六、项目管理机构</w:t>
          </w:r>
        </w:p>
        <w:p w14:paraId="440CB0A1">
          <w:pPr>
            <w:spacing w:before="294" w:line="226" w:lineRule="auto"/>
            <w:ind w:left="1425"/>
            <w:rPr>
              <w:rFonts w:ascii="宋体" w:hAnsi="宋体" w:eastAsia="宋体" w:cs="宋体"/>
              <w:strike/>
              <w:dstrike w:val="0"/>
              <w:color w:val="auto"/>
              <w:sz w:val="27"/>
              <w:szCs w:val="27"/>
              <w:highlight w:val="none"/>
            </w:rPr>
          </w:pPr>
          <w:r>
            <w:rPr>
              <w:rFonts w:ascii="宋体" w:hAnsi="宋体" w:eastAsia="宋体" w:cs="宋体"/>
              <w:strike/>
              <w:dstrike w:val="0"/>
              <w:color w:val="auto"/>
              <w:spacing w:val="9"/>
              <w:sz w:val="27"/>
              <w:szCs w:val="27"/>
              <w:highlight w:val="none"/>
            </w:rPr>
            <w:t>七、资格审查资料(适用于已进行资格预审的)</w:t>
          </w:r>
        </w:p>
        <w:p w14:paraId="74512D47">
          <w:pPr>
            <w:spacing w:before="294" w:line="226" w:lineRule="auto"/>
            <w:ind w:left="1425"/>
            <w:rPr>
              <w:rFonts w:ascii="宋体" w:hAnsi="宋体" w:eastAsia="宋体" w:cs="宋体"/>
              <w:color w:val="auto"/>
              <w:sz w:val="27"/>
              <w:szCs w:val="27"/>
              <w:highlight w:val="none"/>
            </w:rPr>
          </w:pPr>
          <w:r>
            <w:rPr>
              <w:rFonts w:ascii="宋体" w:hAnsi="宋体" w:eastAsia="宋体" w:cs="宋体"/>
              <w:color w:val="auto"/>
              <w:spacing w:val="9"/>
              <w:sz w:val="27"/>
              <w:szCs w:val="27"/>
              <w:highlight w:val="none"/>
            </w:rPr>
            <w:t>七、资格审查资料(适用于未进行资格预审的)</w:t>
          </w:r>
        </w:p>
        <w:p w14:paraId="5AD9442B">
          <w:pPr>
            <w:spacing w:before="293" w:line="227" w:lineRule="auto"/>
            <w:ind w:left="1431"/>
            <w:rPr>
              <w:rFonts w:ascii="宋体" w:hAnsi="宋体" w:eastAsia="宋体" w:cs="宋体"/>
              <w:color w:val="auto"/>
              <w:sz w:val="27"/>
              <w:szCs w:val="27"/>
              <w:highlight w:val="none"/>
            </w:rPr>
          </w:pPr>
          <w:r>
            <w:rPr>
              <w:rFonts w:ascii="宋体" w:hAnsi="宋体" w:eastAsia="宋体" w:cs="宋体"/>
              <w:color w:val="auto"/>
              <w:spacing w:val="7"/>
              <w:sz w:val="27"/>
              <w:szCs w:val="27"/>
              <w:highlight w:val="none"/>
            </w:rPr>
            <w:t>八、其他资料</w:t>
          </w:r>
        </w:p>
      </w:sdtContent>
    </w:sdt>
    <w:p w14:paraId="7D1431C3">
      <w:pPr>
        <w:pStyle w:val="3"/>
        <w:spacing w:line="333" w:lineRule="auto"/>
        <w:rPr>
          <w:color w:val="auto"/>
          <w:highlight w:val="none"/>
        </w:rPr>
      </w:pPr>
    </w:p>
    <w:p w14:paraId="318E72F2">
      <w:pPr>
        <w:pStyle w:val="3"/>
        <w:spacing w:line="334" w:lineRule="auto"/>
        <w:rPr>
          <w:color w:val="auto"/>
          <w:highlight w:val="none"/>
        </w:rPr>
      </w:pPr>
    </w:p>
    <w:p w14:paraId="4864AF2C">
      <w:pPr>
        <w:spacing w:before="88" w:line="226" w:lineRule="auto"/>
        <w:ind w:left="1426"/>
        <w:rPr>
          <w:rFonts w:ascii="宋体" w:hAnsi="宋体" w:eastAsia="宋体" w:cs="宋体"/>
          <w:color w:val="auto"/>
          <w:sz w:val="27"/>
          <w:szCs w:val="27"/>
          <w:highlight w:val="none"/>
        </w:rPr>
      </w:pPr>
      <w:r>
        <w:rPr>
          <w:rFonts w:ascii="宋体" w:hAnsi="宋体" w:eastAsia="宋体" w:cs="宋体"/>
          <w:color w:val="auto"/>
          <w:spacing w:val="9"/>
          <w:sz w:val="27"/>
          <w:szCs w:val="27"/>
          <w:highlight w:val="none"/>
        </w:rPr>
        <w:t>。</w:t>
      </w:r>
    </w:p>
    <w:p w14:paraId="29DB4011">
      <w:pPr>
        <w:spacing w:line="226" w:lineRule="auto"/>
        <w:rPr>
          <w:rFonts w:ascii="宋体" w:hAnsi="宋体" w:eastAsia="宋体" w:cs="宋体"/>
          <w:color w:val="auto"/>
          <w:sz w:val="27"/>
          <w:szCs w:val="27"/>
          <w:highlight w:val="none"/>
        </w:rPr>
        <w:sectPr>
          <w:headerReference r:id="rId149" w:type="default"/>
          <w:footerReference r:id="rId150" w:type="default"/>
          <w:pgSz w:w="11905" w:h="16840"/>
          <w:pgMar w:top="1182" w:right="0" w:bottom="1171" w:left="0" w:header="849" w:footer="937" w:gutter="0"/>
          <w:pgNumType w:fmt="decimal"/>
          <w:cols w:space="720" w:num="1"/>
        </w:sectPr>
      </w:pPr>
    </w:p>
    <w:p w14:paraId="7F18FD57">
      <w:pPr>
        <w:pStyle w:val="3"/>
        <w:spacing w:line="315" w:lineRule="auto"/>
        <w:rPr>
          <w:color w:val="auto"/>
          <w:highlight w:val="none"/>
        </w:rPr>
      </w:pPr>
    </w:p>
    <w:p w14:paraId="21F9A0F9">
      <w:pPr>
        <w:spacing w:before="88" w:line="226" w:lineRule="auto"/>
        <w:ind w:left="4421"/>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一、投标函及投标函附录</w:t>
      </w:r>
    </w:p>
    <w:p w14:paraId="172B03CF">
      <w:pPr>
        <w:spacing w:before="294" w:line="227" w:lineRule="auto"/>
        <w:ind w:left="5131"/>
        <w:rPr>
          <w:rFonts w:ascii="宋体" w:hAnsi="宋体" w:eastAsia="宋体" w:cs="宋体"/>
          <w:color w:val="auto"/>
          <w:sz w:val="27"/>
          <w:szCs w:val="27"/>
          <w:highlight w:val="none"/>
        </w:rPr>
      </w:pPr>
      <w:r>
        <w:rPr>
          <w:rFonts w:ascii="宋体" w:hAnsi="宋体" w:eastAsia="宋体" w:cs="宋体"/>
          <w:b/>
          <w:bCs/>
          <w:color w:val="auto"/>
          <w:spacing w:val="-1"/>
          <w:sz w:val="27"/>
          <w:szCs w:val="27"/>
          <w:highlight w:val="none"/>
        </w:rPr>
        <w:t>（一）投标函</w:t>
      </w:r>
    </w:p>
    <w:p w14:paraId="6CE1E2D0">
      <w:pPr>
        <w:tabs>
          <w:tab w:val="left" w:pos="3936"/>
        </w:tabs>
        <w:spacing w:before="234" w:line="220" w:lineRule="auto"/>
        <w:ind w:left="141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7"/>
          <w:sz w:val="24"/>
          <w:szCs w:val="24"/>
          <w:highlight w:val="none"/>
        </w:rPr>
        <w:t>（招标人名称</w:t>
      </w:r>
      <w:r>
        <w:rPr>
          <w:rFonts w:ascii="宋体" w:hAnsi="宋体" w:eastAsia="宋体" w:cs="宋体"/>
          <w:color w:val="auto"/>
          <w:spacing w:val="-4"/>
          <w:sz w:val="24"/>
          <w:szCs w:val="24"/>
          <w:highlight w:val="none"/>
        </w:rPr>
        <w:t>）：</w:t>
      </w:r>
    </w:p>
    <w:p w14:paraId="72A21EB7">
      <w:pPr>
        <w:spacing w:before="181" w:line="325" w:lineRule="auto"/>
        <w:ind w:left="1426" w:right="1416" w:firstLine="49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1.我方已仔细研究</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2"/>
          <w:sz w:val="24"/>
          <w:szCs w:val="24"/>
          <w:highlight w:val="none"/>
          <w:u w:val="single" w:color="auto"/>
        </w:rPr>
        <w:t>（项目名称</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21"/>
          <w:sz w:val="24"/>
          <w:szCs w:val="24"/>
          <w:highlight w:val="none"/>
          <w:u w:val="single" w:color="auto"/>
        </w:rPr>
        <w:t xml:space="preserve">     </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2"/>
          <w:sz w:val="24"/>
          <w:szCs w:val="24"/>
          <w:highlight w:val="none"/>
          <w:u w:val="single" w:color="auto"/>
        </w:rPr>
        <w:t>标类或标段）</w:t>
      </w:r>
      <w:r>
        <w:rPr>
          <w:rFonts w:ascii="宋体" w:hAnsi="宋体" w:eastAsia="宋体" w:cs="宋体"/>
          <w:color w:val="auto"/>
          <w:spacing w:val="-2"/>
          <w:sz w:val="24"/>
          <w:szCs w:val="24"/>
          <w:highlight w:val="none"/>
        </w:rPr>
        <w:t>施工招标文件的全部内容（含补遗书，如有</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u w:val="single" w:color="auto"/>
        </w:rPr>
        <w:t>在考察工程现场后（如有</w:t>
      </w:r>
      <w:r>
        <w:rPr>
          <w:rFonts w:ascii="宋体" w:hAnsi="宋体" w:eastAsia="宋体" w:cs="宋体"/>
          <w:color w:val="auto"/>
          <w:spacing w:val="-1"/>
          <w:sz w:val="24"/>
          <w:szCs w:val="24"/>
          <w:highlight w:val="none"/>
          <w:u w:val="single" w:color="auto"/>
        </w:rPr>
        <w:t>）</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愿意以第二个信封（报</w:t>
      </w:r>
      <w:r>
        <w:rPr>
          <w:rFonts w:ascii="宋体" w:hAnsi="宋体" w:eastAsia="宋体" w:cs="宋体"/>
          <w:color w:val="auto"/>
          <w:spacing w:val="-1"/>
          <w:sz w:val="24"/>
          <w:szCs w:val="24"/>
          <w:highlight w:val="none"/>
        </w:rPr>
        <w:t>价文件）中的投标总报价（或根据招标文件规定修正核实后确定的另一金额</w:t>
      </w:r>
      <w:r>
        <w:rPr>
          <w:rFonts w:ascii="宋体" w:hAnsi="宋体" w:eastAsia="宋体" w:cs="宋体"/>
          <w:color w:val="auto"/>
          <w:spacing w:val="-12"/>
          <w:sz w:val="24"/>
          <w:szCs w:val="24"/>
          <w:highlight w:val="none"/>
        </w:rPr>
        <w:t>），</w:t>
      </w:r>
      <w:r>
        <w:rPr>
          <w:rFonts w:ascii="宋体" w:hAnsi="宋体" w:eastAsia="宋体" w:cs="宋体"/>
          <w:color w:val="auto"/>
          <w:spacing w:val="-1"/>
          <w:sz w:val="24"/>
          <w:szCs w:val="24"/>
          <w:highlight w:val="none"/>
        </w:rPr>
        <w:t>按合同</w:t>
      </w:r>
      <w:r>
        <w:rPr>
          <w:rFonts w:ascii="宋体" w:hAnsi="宋体" w:eastAsia="宋体" w:cs="宋体"/>
          <w:color w:val="auto"/>
          <w:spacing w:val="-2"/>
          <w:sz w:val="24"/>
          <w:szCs w:val="24"/>
          <w:highlight w:val="none"/>
        </w:rPr>
        <w:t>约定实施和完成承包工程，修补工程中的任何缺陷。</w:t>
      </w:r>
    </w:p>
    <w:p w14:paraId="60A45596">
      <w:pPr>
        <w:spacing w:before="182" w:line="220" w:lineRule="auto"/>
        <w:ind w:left="19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2.我方承诺在招标文件规定的投标有效期内不撤销投标文件。</w:t>
      </w:r>
    </w:p>
    <w:p w14:paraId="2E6471F1">
      <w:pPr>
        <w:spacing w:before="164" w:line="234" w:lineRule="auto"/>
        <w:ind w:left="1910"/>
        <w:rPr>
          <w:rFonts w:ascii="宋体" w:hAnsi="宋体" w:eastAsia="宋体" w:cs="宋体"/>
          <w:color w:val="auto"/>
          <w:sz w:val="12"/>
          <w:szCs w:val="12"/>
          <w:highlight w:val="none"/>
        </w:rPr>
      </w:pPr>
      <w:r>
        <w:rPr>
          <w:rFonts w:ascii="宋体" w:hAnsi="宋体" w:eastAsia="宋体" w:cs="宋体"/>
          <w:color w:val="auto"/>
          <w:spacing w:val="-5"/>
          <w:sz w:val="24"/>
          <w:szCs w:val="24"/>
          <w:highlight w:val="none"/>
        </w:rPr>
        <w:t>3.工程质量</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5"/>
          <w:sz w:val="24"/>
          <w:szCs w:val="24"/>
          <w:highlight w:val="none"/>
        </w:rPr>
        <w:t>安全目标</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5"/>
          <w:sz w:val="24"/>
          <w:szCs w:val="24"/>
          <w:highlight w:val="none"/>
        </w:rPr>
        <w:t>工期</w:t>
      </w:r>
      <w:r>
        <w:rPr>
          <w:rFonts w:ascii="宋体" w:hAnsi="宋体" w:eastAsia="宋体" w:cs="宋体"/>
          <w:color w:val="auto"/>
          <w:spacing w:val="-101"/>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69"/>
          <w:sz w:val="24"/>
          <w:szCs w:val="24"/>
          <w:highlight w:val="none"/>
          <w:lang w:val="en-US" w:eastAsia="zh-CN"/>
        </w:rPr>
        <w:t>月</w:t>
      </w:r>
      <w:r>
        <w:rPr>
          <w:rFonts w:ascii="宋体" w:hAnsi="宋体" w:eastAsia="宋体" w:cs="宋体"/>
          <w:color w:val="auto"/>
          <w:spacing w:val="-5"/>
          <w:sz w:val="24"/>
          <w:szCs w:val="24"/>
          <w:highlight w:val="none"/>
        </w:rPr>
        <w:t>。</w:t>
      </w:r>
    </w:p>
    <w:p w14:paraId="17BF3C45">
      <w:pPr>
        <w:spacing w:before="181" w:line="220" w:lineRule="auto"/>
        <w:ind w:left="190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4.如我方中标，我方承诺：</w:t>
      </w:r>
    </w:p>
    <w:p w14:paraId="05346039">
      <w:pPr>
        <w:spacing w:before="182" w:line="219"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（1）在收到中标通知书后，在规定的期限内与你方签订合同；</w:t>
      </w:r>
    </w:p>
    <w:p w14:paraId="23381C9A">
      <w:pPr>
        <w:spacing w:before="183" w:line="219" w:lineRule="auto"/>
        <w:ind w:left="191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（2）在签订合同时不向你方提出附件条件；</w:t>
      </w:r>
    </w:p>
    <w:p w14:paraId="43A046B0">
      <w:pPr>
        <w:spacing w:before="183"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（3）按照招标文件要求提交履约保证金；</w:t>
      </w:r>
    </w:p>
    <w:p w14:paraId="25E58D8D">
      <w:pPr>
        <w:spacing w:before="182"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（4）在合同约定的期限内完成合同规定的全部义务；</w:t>
      </w:r>
    </w:p>
    <w:p w14:paraId="0962C254">
      <w:pPr>
        <w:spacing w:before="182" w:line="325" w:lineRule="auto"/>
        <w:ind w:left="1427" w:right="1416" w:firstLine="484"/>
        <w:rPr>
          <w:rFonts w:ascii="宋体" w:hAnsi="宋体" w:eastAsia="宋体" w:cs="宋体"/>
          <w:color w:val="auto"/>
          <w:sz w:val="12"/>
          <w:szCs w:val="12"/>
          <w:highlight w:val="none"/>
        </w:rPr>
      </w:pPr>
      <w:r>
        <w:rPr>
          <w:rFonts w:ascii="宋体" w:hAnsi="宋体" w:eastAsia="宋体" w:cs="宋体"/>
          <w:color w:val="auto"/>
          <w:spacing w:val="1"/>
          <w:sz w:val="24"/>
          <w:szCs w:val="24"/>
          <w:highlight w:val="none"/>
        </w:rPr>
        <w:t>（5）在你方和我方进行合同谈判之前，我方将按照合同附件提出的最低要求填报</w:t>
      </w:r>
      <w:r>
        <w:rPr>
          <w:rFonts w:ascii="宋体" w:hAnsi="宋体" w:eastAsia="宋体" w:cs="宋体"/>
          <w:color w:val="auto"/>
          <w:spacing w:val="-2"/>
          <w:sz w:val="24"/>
          <w:szCs w:val="24"/>
          <w:highlight w:val="none"/>
        </w:rPr>
        <w:t>派驻本标段的其他管理和技术人员及主要设备，经你方审批后作为派驻本标段的项目管理机构主要人员和主要设备且不进行更换。如我方拟派的人员和设备不满足合同附件要</w:t>
      </w:r>
      <w:r>
        <w:rPr>
          <w:rFonts w:ascii="宋体" w:hAnsi="宋体" w:eastAsia="宋体" w:cs="宋体"/>
          <w:color w:val="auto"/>
          <w:spacing w:val="-1"/>
          <w:sz w:val="24"/>
          <w:szCs w:val="24"/>
          <w:highlight w:val="none"/>
        </w:rPr>
        <w:t>求，你方有权取消我方中标资格。</w:t>
      </w:r>
    </w:p>
    <w:p w14:paraId="0415ACDD">
      <w:pPr>
        <w:spacing w:before="183" w:line="289" w:lineRule="auto"/>
        <w:ind w:left="1426" w:right="1416" w:firstLine="48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5.我方在此声明，所递交的投标文件及有关资料内容完整、真</w:t>
      </w:r>
      <w:r>
        <w:rPr>
          <w:rFonts w:ascii="宋体" w:hAnsi="宋体" w:eastAsia="宋体" w:cs="宋体"/>
          <w:color w:val="auto"/>
          <w:spacing w:val="-7"/>
          <w:sz w:val="24"/>
          <w:szCs w:val="24"/>
          <w:highlight w:val="none"/>
        </w:rPr>
        <w:t>实和准确，</w:t>
      </w:r>
      <w:r>
        <w:rPr>
          <w:rFonts w:ascii="宋体" w:hAnsi="宋体" w:eastAsia="宋体" w:cs="宋体"/>
          <w:color w:val="auto"/>
          <w:spacing w:val="47"/>
          <w:sz w:val="24"/>
          <w:szCs w:val="24"/>
          <w:highlight w:val="none"/>
        </w:rPr>
        <w:t xml:space="preserve"> </w:t>
      </w:r>
      <w:r>
        <w:rPr>
          <w:rFonts w:ascii="宋体" w:hAnsi="宋体" w:eastAsia="宋体" w:cs="宋体"/>
          <w:color w:val="auto"/>
          <w:spacing w:val="-7"/>
          <w:sz w:val="24"/>
          <w:szCs w:val="24"/>
          <w:highlight w:val="none"/>
        </w:rPr>
        <w:t>且不存在</w:t>
      </w:r>
      <w:r>
        <w:rPr>
          <w:rFonts w:ascii="宋体" w:hAnsi="宋体" w:eastAsia="宋体" w:cs="宋体"/>
          <w:color w:val="auto"/>
          <w:spacing w:val="-3"/>
          <w:sz w:val="24"/>
          <w:szCs w:val="24"/>
          <w:highlight w:val="none"/>
        </w:rPr>
        <w:t>招标文件第二章“投标人须知”第</w:t>
      </w:r>
      <w:r>
        <w:rPr>
          <w:rFonts w:ascii="宋体" w:hAnsi="宋体" w:eastAsia="宋体" w:cs="宋体"/>
          <w:color w:val="auto"/>
          <w:spacing w:val="-32"/>
          <w:sz w:val="24"/>
          <w:szCs w:val="24"/>
          <w:highlight w:val="none"/>
        </w:rPr>
        <w:t xml:space="preserve"> </w:t>
      </w:r>
      <w:r>
        <w:rPr>
          <w:rFonts w:ascii="宋体" w:hAnsi="宋体" w:eastAsia="宋体" w:cs="宋体"/>
          <w:color w:val="auto"/>
          <w:spacing w:val="-3"/>
          <w:sz w:val="24"/>
          <w:szCs w:val="24"/>
          <w:highlight w:val="none"/>
        </w:rPr>
        <w:t>1.4.3</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项和第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1.4.4</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项规定的任何一种情</w:t>
      </w:r>
      <w:r>
        <w:rPr>
          <w:rFonts w:ascii="宋体" w:hAnsi="宋体" w:eastAsia="宋体" w:cs="宋体"/>
          <w:color w:val="auto"/>
          <w:spacing w:val="-4"/>
          <w:sz w:val="24"/>
          <w:szCs w:val="24"/>
          <w:highlight w:val="none"/>
        </w:rPr>
        <w:t>形。</w:t>
      </w:r>
    </w:p>
    <w:p w14:paraId="505A99D0">
      <w:pPr>
        <w:spacing w:before="185" w:line="312" w:lineRule="auto"/>
        <w:ind w:left="1424" w:right="1416"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6.我方在此承诺：拟投入本项目的项目经理</w:t>
      </w:r>
      <w:r>
        <w:rPr>
          <w:rFonts w:ascii="宋体" w:hAnsi="宋体" w:eastAsia="宋体" w:cs="宋体"/>
          <w:color w:val="auto"/>
          <w:spacing w:val="-2"/>
          <w:sz w:val="24"/>
          <w:szCs w:val="24"/>
          <w:highlight w:val="none"/>
          <w:u w:val="single" w:color="auto"/>
        </w:rPr>
        <w:t>（以及备选人，如有）</w:t>
      </w:r>
      <w:r>
        <w:rPr>
          <w:rFonts w:ascii="宋体" w:hAnsi="宋体" w:eastAsia="宋体" w:cs="宋体"/>
          <w:color w:val="auto"/>
          <w:spacing w:val="-2"/>
          <w:sz w:val="24"/>
          <w:szCs w:val="24"/>
          <w:highlight w:val="none"/>
        </w:rPr>
        <w:t>及</w:t>
      </w:r>
      <w:r>
        <w:rPr>
          <w:rFonts w:ascii="宋体" w:hAnsi="宋体" w:eastAsia="宋体" w:cs="宋体"/>
          <w:color w:val="auto"/>
          <w:spacing w:val="-3"/>
          <w:sz w:val="24"/>
          <w:szCs w:val="24"/>
          <w:highlight w:val="none"/>
        </w:rPr>
        <w:t>项目总工</w:t>
      </w:r>
      <w:r>
        <w:rPr>
          <w:rFonts w:ascii="宋体" w:hAnsi="宋体" w:eastAsia="宋体" w:cs="宋体"/>
          <w:color w:val="auto"/>
          <w:spacing w:val="-3"/>
          <w:sz w:val="24"/>
          <w:szCs w:val="24"/>
          <w:highlight w:val="none"/>
          <w:u w:val="single" w:color="auto"/>
        </w:rPr>
        <w:t>（以</w:t>
      </w:r>
      <w:r>
        <w:rPr>
          <w:rFonts w:ascii="宋体" w:hAnsi="宋体" w:eastAsia="宋体" w:cs="宋体"/>
          <w:color w:val="auto"/>
          <w:spacing w:val="-1"/>
          <w:sz w:val="24"/>
          <w:szCs w:val="24"/>
          <w:highlight w:val="none"/>
          <w:u w:val="single" w:color="auto"/>
        </w:rPr>
        <w:t>及备选人，如有）</w:t>
      </w:r>
      <w:r>
        <w:rPr>
          <w:rFonts w:ascii="宋体" w:hAnsi="宋体" w:eastAsia="宋体" w:cs="宋体"/>
          <w:color w:val="auto"/>
          <w:spacing w:val="-1"/>
          <w:sz w:val="24"/>
          <w:szCs w:val="24"/>
          <w:highlight w:val="none"/>
        </w:rPr>
        <w:t>无在岗项目(□目前未在其</w:t>
      </w:r>
      <w:r>
        <w:rPr>
          <w:rFonts w:ascii="宋体" w:hAnsi="宋体" w:eastAsia="宋体" w:cs="宋体"/>
          <w:color w:val="auto"/>
          <w:spacing w:val="-2"/>
          <w:sz w:val="24"/>
          <w:szCs w:val="24"/>
          <w:highlight w:val="none"/>
        </w:rPr>
        <w:t>他项目上任职， □虽在其他项目上任职但</w:t>
      </w:r>
      <w:r>
        <w:rPr>
          <w:rFonts w:ascii="宋体" w:hAnsi="宋体" w:eastAsia="宋体" w:cs="宋体"/>
          <w:color w:val="auto"/>
          <w:spacing w:val="-1"/>
          <w:sz w:val="24"/>
          <w:szCs w:val="24"/>
          <w:highlight w:val="none"/>
        </w:rPr>
        <w:t>本项目中标后能够从该项目撤离）,否则自愿按照招标人的有</w:t>
      </w:r>
      <w:r>
        <w:rPr>
          <w:rFonts w:ascii="宋体" w:hAnsi="宋体" w:eastAsia="宋体" w:cs="宋体"/>
          <w:color w:val="auto"/>
          <w:spacing w:val="-2"/>
          <w:sz w:val="24"/>
          <w:szCs w:val="24"/>
          <w:highlight w:val="none"/>
        </w:rPr>
        <w:t>关规定接受处理。</w:t>
      </w:r>
    </w:p>
    <w:p w14:paraId="3622FF35">
      <w:pPr>
        <w:spacing w:before="185" w:line="220" w:lineRule="auto"/>
        <w:ind w:left="191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7.我方在此承诺：权利义务满足招标文件规定。</w:t>
      </w:r>
    </w:p>
    <w:p w14:paraId="1327C233">
      <w:pPr>
        <w:spacing w:before="182" w:line="290" w:lineRule="auto"/>
        <w:ind w:left="1426" w:right="1416"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8.在合同协议书正式签署生效之前，本投标函连同你方的中标通知书将构成我们双</w:t>
      </w:r>
      <w:r>
        <w:rPr>
          <w:rFonts w:ascii="宋体" w:hAnsi="宋体" w:eastAsia="宋体" w:cs="宋体"/>
          <w:color w:val="auto"/>
          <w:spacing w:val="-3"/>
          <w:sz w:val="24"/>
          <w:szCs w:val="24"/>
          <w:highlight w:val="none"/>
        </w:rPr>
        <w:t>方之间共同遵守的文件，对双方具有约束力。</w:t>
      </w:r>
    </w:p>
    <w:p w14:paraId="4B932012">
      <w:pPr>
        <w:spacing w:before="182" w:line="220" w:lineRule="auto"/>
        <w:ind w:left="19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9.</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rPr>
        <w:t>（其他补充说明）。</w:t>
      </w:r>
    </w:p>
    <w:p w14:paraId="75596F7A">
      <w:pPr>
        <w:pStyle w:val="3"/>
        <w:spacing w:line="310" w:lineRule="auto"/>
        <w:rPr>
          <w:color w:val="auto"/>
          <w:highlight w:val="none"/>
        </w:rPr>
      </w:pPr>
    </w:p>
    <w:p w14:paraId="4CBDF72E">
      <w:pPr>
        <w:pStyle w:val="3"/>
        <w:spacing w:line="311" w:lineRule="auto"/>
        <w:rPr>
          <w:color w:val="auto"/>
          <w:highlight w:val="none"/>
        </w:rPr>
      </w:pPr>
    </w:p>
    <w:p w14:paraId="5C83B0D0">
      <w:pPr>
        <w:spacing w:line="217" w:lineRule="auto"/>
        <w:rPr>
          <w:rFonts w:ascii="宋体" w:hAnsi="宋体" w:eastAsia="宋体" w:cs="宋体"/>
          <w:color w:val="auto"/>
          <w:sz w:val="18"/>
          <w:szCs w:val="18"/>
          <w:highlight w:val="none"/>
        </w:rPr>
        <w:sectPr>
          <w:headerReference r:id="rId151" w:type="default"/>
          <w:footerReference r:id="rId152" w:type="default"/>
          <w:pgSz w:w="11905" w:h="16840"/>
          <w:pgMar w:top="1182" w:right="0" w:bottom="1171" w:left="0" w:header="849" w:footer="937" w:gutter="0"/>
          <w:pgNumType w:fmt="decimal"/>
          <w:cols w:space="720" w:num="1"/>
        </w:sectPr>
      </w:pPr>
    </w:p>
    <w:p w14:paraId="20ECBAC7">
      <w:pPr>
        <w:pStyle w:val="3"/>
        <w:spacing w:line="249" w:lineRule="auto"/>
        <w:rPr>
          <w:color w:val="auto"/>
          <w:highlight w:val="none"/>
        </w:rPr>
      </w:pPr>
    </w:p>
    <w:p w14:paraId="24AE4061">
      <w:pPr>
        <w:spacing w:before="78" w:line="233" w:lineRule="auto"/>
        <w:ind w:left="4548"/>
        <w:rPr>
          <w:rFonts w:ascii="宋体" w:hAnsi="宋体" w:eastAsia="宋体" w:cs="宋体"/>
          <w:color w:val="auto"/>
          <w:sz w:val="12"/>
          <w:szCs w:val="12"/>
          <w:highlight w:val="none"/>
        </w:rPr>
      </w:pPr>
      <w:r>
        <w:rPr>
          <w:rFonts w:ascii="宋体" w:hAnsi="宋体" w:eastAsia="宋体" w:cs="宋体"/>
          <w:color w:val="auto"/>
          <w:spacing w:val="-1"/>
          <w:sz w:val="24"/>
          <w:szCs w:val="24"/>
          <w:highlight w:val="none"/>
        </w:rPr>
        <w:t>投标人：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（盖单位章）</w:t>
      </w:r>
      <w:r>
        <w:rPr>
          <w:rStyle w:val="15"/>
          <w:rFonts w:ascii="宋体" w:hAnsi="宋体" w:eastAsia="宋体" w:cs="宋体"/>
          <w:color w:val="auto"/>
          <w:spacing w:val="-1"/>
          <w:sz w:val="24"/>
          <w:szCs w:val="24"/>
          <w:highlight w:val="none"/>
        </w:rPr>
        <w:footnoteReference w:id="9"/>
      </w:r>
    </w:p>
    <w:p w14:paraId="78D9B7D5">
      <w:pPr>
        <w:spacing w:before="182" w:line="220" w:lineRule="auto"/>
        <w:ind w:left="454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法定代表人或其委托代理人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签字）</w:t>
      </w:r>
    </w:p>
    <w:p w14:paraId="72D9699C">
      <w:pPr>
        <w:spacing w:before="182" w:line="229" w:lineRule="auto"/>
        <w:ind w:left="454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4698981F">
      <w:pPr>
        <w:spacing w:before="170" w:line="225" w:lineRule="auto"/>
        <w:ind w:left="456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网址：</w:t>
      </w:r>
      <w:r>
        <w:rPr>
          <w:rFonts w:ascii="宋体" w:hAnsi="宋体" w:eastAsia="宋体" w:cs="宋体"/>
          <w:color w:val="auto"/>
          <w:sz w:val="24"/>
          <w:szCs w:val="24"/>
          <w:highlight w:val="none"/>
          <w:u w:val="single" w:color="auto"/>
        </w:rPr>
        <w:t xml:space="preserve">                                       </w:t>
      </w:r>
    </w:p>
    <w:p w14:paraId="4C3CC03F">
      <w:pPr>
        <w:spacing w:before="175" w:line="222" w:lineRule="auto"/>
        <w:ind w:left="457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4387C25C">
      <w:pPr>
        <w:spacing w:before="180" w:line="219" w:lineRule="auto"/>
        <w:ind w:left="454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传真：</w:t>
      </w:r>
      <w:r>
        <w:rPr>
          <w:rFonts w:ascii="宋体" w:hAnsi="宋体" w:eastAsia="宋体" w:cs="宋体"/>
          <w:color w:val="auto"/>
          <w:sz w:val="24"/>
          <w:szCs w:val="24"/>
          <w:highlight w:val="none"/>
          <w:u w:val="single" w:color="auto"/>
        </w:rPr>
        <w:t xml:space="preserve">                                       </w:t>
      </w:r>
    </w:p>
    <w:p w14:paraId="1FA7F8EC">
      <w:pPr>
        <w:tabs>
          <w:tab w:val="left" w:pos="7895"/>
        </w:tabs>
        <w:spacing w:before="184" w:line="362" w:lineRule="auto"/>
        <w:ind w:left="7415" w:right="1488" w:hanging="2852"/>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邮政编码：</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74063F73">
      <w:pPr>
        <w:pStyle w:val="3"/>
        <w:spacing w:line="245" w:lineRule="auto"/>
        <w:rPr>
          <w:color w:val="auto"/>
          <w:highlight w:val="none"/>
        </w:rPr>
      </w:pPr>
    </w:p>
    <w:p w14:paraId="7C939C98">
      <w:pPr>
        <w:pStyle w:val="3"/>
        <w:spacing w:line="245" w:lineRule="auto"/>
        <w:rPr>
          <w:color w:val="auto"/>
          <w:highlight w:val="none"/>
        </w:rPr>
      </w:pPr>
    </w:p>
    <w:p w14:paraId="02B24D53">
      <w:pPr>
        <w:pStyle w:val="3"/>
        <w:spacing w:line="245" w:lineRule="auto"/>
        <w:rPr>
          <w:color w:val="auto"/>
          <w:highlight w:val="none"/>
        </w:rPr>
      </w:pPr>
    </w:p>
    <w:p w14:paraId="1AB070D5">
      <w:pPr>
        <w:pStyle w:val="3"/>
        <w:spacing w:line="245" w:lineRule="auto"/>
        <w:rPr>
          <w:color w:val="auto"/>
          <w:highlight w:val="none"/>
        </w:rPr>
      </w:pPr>
    </w:p>
    <w:p w14:paraId="7D4DEB0C">
      <w:pPr>
        <w:pStyle w:val="3"/>
        <w:spacing w:line="245" w:lineRule="auto"/>
        <w:rPr>
          <w:color w:val="auto"/>
          <w:highlight w:val="none"/>
        </w:rPr>
      </w:pPr>
    </w:p>
    <w:p w14:paraId="06F813D6">
      <w:pPr>
        <w:pStyle w:val="3"/>
        <w:spacing w:line="245" w:lineRule="auto"/>
        <w:rPr>
          <w:color w:val="auto"/>
          <w:highlight w:val="none"/>
        </w:rPr>
      </w:pPr>
    </w:p>
    <w:p w14:paraId="158A1785">
      <w:pPr>
        <w:pStyle w:val="3"/>
        <w:spacing w:line="245" w:lineRule="auto"/>
        <w:rPr>
          <w:color w:val="auto"/>
          <w:highlight w:val="none"/>
        </w:rPr>
      </w:pPr>
    </w:p>
    <w:p w14:paraId="19D684DF">
      <w:pPr>
        <w:pStyle w:val="3"/>
        <w:spacing w:line="245" w:lineRule="auto"/>
        <w:rPr>
          <w:color w:val="auto"/>
          <w:highlight w:val="none"/>
        </w:rPr>
      </w:pPr>
    </w:p>
    <w:p w14:paraId="093FFE62">
      <w:pPr>
        <w:pStyle w:val="3"/>
        <w:spacing w:line="245" w:lineRule="auto"/>
        <w:rPr>
          <w:color w:val="auto"/>
          <w:highlight w:val="none"/>
        </w:rPr>
      </w:pPr>
    </w:p>
    <w:p w14:paraId="167F6C52">
      <w:pPr>
        <w:pStyle w:val="3"/>
        <w:spacing w:line="245" w:lineRule="auto"/>
        <w:rPr>
          <w:color w:val="auto"/>
          <w:highlight w:val="none"/>
        </w:rPr>
      </w:pPr>
    </w:p>
    <w:p w14:paraId="538ED0A5">
      <w:pPr>
        <w:pStyle w:val="3"/>
        <w:spacing w:line="245" w:lineRule="auto"/>
        <w:rPr>
          <w:color w:val="auto"/>
          <w:highlight w:val="none"/>
        </w:rPr>
      </w:pPr>
    </w:p>
    <w:p w14:paraId="6B7F74F5">
      <w:pPr>
        <w:pStyle w:val="3"/>
        <w:spacing w:line="245" w:lineRule="auto"/>
        <w:rPr>
          <w:color w:val="auto"/>
          <w:highlight w:val="none"/>
        </w:rPr>
      </w:pPr>
    </w:p>
    <w:p w14:paraId="5B61B32C">
      <w:pPr>
        <w:pStyle w:val="3"/>
        <w:spacing w:line="245" w:lineRule="auto"/>
        <w:rPr>
          <w:color w:val="auto"/>
          <w:highlight w:val="none"/>
        </w:rPr>
      </w:pPr>
    </w:p>
    <w:p w14:paraId="3950854E">
      <w:pPr>
        <w:pStyle w:val="3"/>
        <w:spacing w:line="245" w:lineRule="auto"/>
        <w:rPr>
          <w:color w:val="auto"/>
          <w:highlight w:val="none"/>
        </w:rPr>
      </w:pPr>
    </w:p>
    <w:p w14:paraId="5D38A2F1">
      <w:pPr>
        <w:pStyle w:val="3"/>
        <w:spacing w:line="245" w:lineRule="auto"/>
        <w:rPr>
          <w:color w:val="auto"/>
          <w:highlight w:val="none"/>
        </w:rPr>
      </w:pPr>
    </w:p>
    <w:p w14:paraId="11030098">
      <w:pPr>
        <w:pStyle w:val="3"/>
        <w:spacing w:line="245" w:lineRule="auto"/>
        <w:rPr>
          <w:color w:val="auto"/>
          <w:highlight w:val="none"/>
        </w:rPr>
      </w:pPr>
    </w:p>
    <w:p w14:paraId="0B354000">
      <w:pPr>
        <w:pStyle w:val="3"/>
        <w:spacing w:line="245" w:lineRule="auto"/>
        <w:rPr>
          <w:color w:val="auto"/>
          <w:highlight w:val="none"/>
        </w:rPr>
      </w:pPr>
    </w:p>
    <w:p w14:paraId="02499CED">
      <w:pPr>
        <w:pStyle w:val="3"/>
        <w:spacing w:line="245" w:lineRule="auto"/>
        <w:rPr>
          <w:color w:val="auto"/>
          <w:highlight w:val="none"/>
        </w:rPr>
      </w:pPr>
    </w:p>
    <w:p w14:paraId="5233B244">
      <w:pPr>
        <w:pStyle w:val="3"/>
        <w:spacing w:line="245" w:lineRule="auto"/>
        <w:rPr>
          <w:color w:val="auto"/>
          <w:highlight w:val="none"/>
        </w:rPr>
      </w:pPr>
    </w:p>
    <w:p w14:paraId="327EC7B9">
      <w:pPr>
        <w:pStyle w:val="3"/>
        <w:spacing w:line="245" w:lineRule="auto"/>
        <w:rPr>
          <w:color w:val="auto"/>
          <w:highlight w:val="none"/>
        </w:rPr>
      </w:pPr>
    </w:p>
    <w:p w14:paraId="6492D6DA">
      <w:pPr>
        <w:pStyle w:val="3"/>
        <w:spacing w:line="245" w:lineRule="auto"/>
        <w:rPr>
          <w:color w:val="auto"/>
          <w:highlight w:val="none"/>
        </w:rPr>
      </w:pPr>
    </w:p>
    <w:p w14:paraId="54755DAD">
      <w:pPr>
        <w:pStyle w:val="3"/>
        <w:spacing w:line="245" w:lineRule="auto"/>
        <w:rPr>
          <w:color w:val="auto"/>
          <w:highlight w:val="none"/>
        </w:rPr>
      </w:pPr>
    </w:p>
    <w:p w14:paraId="3D4826CD">
      <w:pPr>
        <w:pStyle w:val="3"/>
        <w:spacing w:line="245" w:lineRule="auto"/>
        <w:rPr>
          <w:color w:val="auto"/>
          <w:highlight w:val="none"/>
        </w:rPr>
      </w:pPr>
    </w:p>
    <w:p w14:paraId="3450FBA7">
      <w:pPr>
        <w:pStyle w:val="3"/>
        <w:spacing w:line="245" w:lineRule="auto"/>
        <w:rPr>
          <w:color w:val="auto"/>
          <w:highlight w:val="none"/>
        </w:rPr>
      </w:pPr>
    </w:p>
    <w:p w14:paraId="3208D1E0">
      <w:pPr>
        <w:pStyle w:val="3"/>
        <w:spacing w:line="245" w:lineRule="auto"/>
        <w:rPr>
          <w:color w:val="auto"/>
          <w:highlight w:val="none"/>
        </w:rPr>
      </w:pPr>
    </w:p>
    <w:p w14:paraId="7C0C455E">
      <w:pPr>
        <w:pStyle w:val="3"/>
        <w:spacing w:line="246" w:lineRule="auto"/>
        <w:rPr>
          <w:color w:val="auto"/>
          <w:highlight w:val="none"/>
        </w:rPr>
      </w:pPr>
    </w:p>
    <w:p w14:paraId="4D35DD7E">
      <w:pPr>
        <w:pStyle w:val="3"/>
        <w:spacing w:line="246" w:lineRule="auto"/>
        <w:rPr>
          <w:color w:val="auto"/>
          <w:highlight w:val="none"/>
        </w:rPr>
      </w:pPr>
    </w:p>
    <w:p w14:paraId="494E3333">
      <w:pPr>
        <w:pStyle w:val="3"/>
        <w:spacing w:line="246" w:lineRule="auto"/>
        <w:rPr>
          <w:color w:val="auto"/>
          <w:highlight w:val="none"/>
        </w:rPr>
      </w:pPr>
    </w:p>
    <w:p w14:paraId="78E6BF71">
      <w:pPr>
        <w:pStyle w:val="3"/>
        <w:spacing w:line="246" w:lineRule="auto"/>
        <w:rPr>
          <w:color w:val="auto"/>
          <w:highlight w:val="none"/>
        </w:rPr>
      </w:pPr>
    </w:p>
    <w:p w14:paraId="71C77850">
      <w:pPr>
        <w:pStyle w:val="3"/>
        <w:spacing w:line="246" w:lineRule="auto"/>
        <w:rPr>
          <w:color w:val="auto"/>
          <w:highlight w:val="none"/>
        </w:rPr>
      </w:pPr>
    </w:p>
    <w:p w14:paraId="5049C587">
      <w:pPr>
        <w:pStyle w:val="3"/>
        <w:spacing w:line="246" w:lineRule="auto"/>
        <w:rPr>
          <w:color w:val="auto"/>
          <w:highlight w:val="none"/>
        </w:rPr>
      </w:pPr>
    </w:p>
    <w:p w14:paraId="625F2749">
      <w:pPr>
        <w:pStyle w:val="3"/>
        <w:spacing w:line="246" w:lineRule="auto"/>
        <w:rPr>
          <w:color w:val="auto"/>
          <w:highlight w:val="none"/>
        </w:rPr>
      </w:pPr>
    </w:p>
    <w:p w14:paraId="0613D208">
      <w:pPr>
        <w:pStyle w:val="3"/>
        <w:spacing w:line="246" w:lineRule="auto"/>
        <w:rPr>
          <w:color w:val="auto"/>
          <w:highlight w:val="none"/>
        </w:rPr>
      </w:pPr>
    </w:p>
    <w:p w14:paraId="3BFB23A1">
      <w:pPr>
        <w:pStyle w:val="3"/>
        <w:spacing w:line="246" w:lineRule="auto"/>
        <w:rPr>
          <w:color w:val="auto"/>
          <w:highlight w:val="none"/>
        </w:rPr>
      </w:pPr>
    </w:p>
    <w:p w14:paraId="3A1EA1D2">
      <w:pPr>
        <w:pStyle w:val="3"/>
        <w:spacing w:line="246" w:lineRule="auto"/>
        <w:rPr>
          <w:color w:val="auto"/>
          <w:highlight w:val="none"/>
        </w:rPr>
      </w:pPr>
    </w:p>
    <w:p w14:paraId="7D3B2FE6">
      <w:pPr>
        <w:pStyle w:val="3"/>
        <w:spacing w:line="246" w:lineRule="auto"/>
        <w:rPr>
          <w:color w:val="auto"/>
          <w:highlight w:val="none"/>
        </w:rPr>
      </w:pPr>
    </w:p>
    <w:p w14:paraId="2E4B9B6E">
      <w:pPr>
        <w:pStyle w:val="3"/>
        <w:spacing w:line="246" w:lineRule="auto"/>
        <w:rPr>
          <w:color w:val="auto"/>
          <w:highlight w:val="none"/>
        </w:rPr>
      </w:pPr>
    </w:p>
    <w:p w14:paraId="680942E4">
      <w:pPr>
        <w:pStyle w:val="3"/>
        <w:spacing w:line="246" w:lineRule="auto"/>
        <w:rPr>
          <w:color w:val="auto"/>
          <w:highlight w:val="none"/>
        </w:rPr>
      </w:pPr>
    </w:p>
    <w:p w14:paraId="3454A20E">
      <w:pPr>
        <w:pStyle w:val="3"/>
        <w:spacing w:line="246" w:lineRule="auto"/>
        <w:rPr>
          <w:color w:val="auto"/>
          <w:highlight w:val="none"/>
        </w:rPr>
      </w:pPr>
    </w:p>
    <w:p w14:paraId="7A754042">
      <w:pPr>
        <w:spacing w:line="217" w:lineRule="auto"/>
        <w:rPr>
          <w:rFonts w:ascii="宋体" w:hAnsi="宋体" w:eastAsia="宋体" w:cs="宋体"/>
          <w:color w:val="auto"/>
          <w:sz w:val="18"/>
          <w:szCs w:val="18"/>
          <w:highlight w:val="none"/>
        </w:rPr>
        <w:sectPr>
          <w:headerReference r:id="rId153" w:type="default"/>
          <w:footerReference r:id="rId154" w:type="default"/>
          <w:footnotePr>
            <w:numFmt w:val="decimalEnclosedCircleChinese"/>
            <w:numRestart w:val="eachPage"/>
          </w:footnotePr>
          <w:pgSz w:w="11905" w:h="16840"/>
          <w:pgMar w:top="1182" w:right="0" w:bottom="1171" w:left="0" w:header="849" w:footer="937" w:gutter="0"/>
          <w:pgNumType w:fmt="decimal"/>
          <w:cols w:space="720" w:num="1"/>
        </w:sectPr>
      </w:pPr>
    </w:p>
    <w:p w14:paraId="41530E77">
      <w:pPr>
        <w:pStyle w:val="3"/>
        <w:spacing w:line="293" w:lineRule="auto"/>
        <w:rPr>
          <w:color w:val="auto"/>
          <w:highlight w:val="none"/>
        </w:rPr>
      </w:pPr>
    </w:p>
    <w:p w14:paraId="5BB0275F">
      <w:pPr>
        <w:spacing w:before="88" w:line="241" w:lineRule="auto"/>
        <w:ind w:left="4781"/>
        <w:rPr>
          <w:rFonts w:ascii="宋体" w:hAnsi="宋体" w:eastAsia="宋体" w:cs="宋体"/>
          <w:color w:val="auto"/>
          <w:sz w:val="13"/>
          <w:szCs w:val="13"/>
          <w:highlight w:val="none"/>
        </w:rPr>
      </w:pPr>
      <w:r>
        <w:rPr>
          <w:rFonts w:ascii="宋体" w:hAnsi="宋体" w:eastAsia="宋体" w:cs="宋体"/>
          <w:b/>
          <w:bCs/>
          <w:color w:val="auto"/>
          <w:spacing w:val="5"/>
          <w:sz w:val="27"/>
          <w:szCs w:val="27"/>
          <w:highlight w:val="none"/>
        </w:rPr>
        <w:t>（二）投标函附录</w:t>
      </w:r>
    </w:p>
    <w:p w14:paraId="5F3BFF91">
      <w:pPr>
        <w:spacing w:before="193"/>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338"/>
        <w:gridCol w:w="1515"/>
        <w:gridCol w:w="3058"/>
        <w:gridCol w:w="1534"/>
      </w:tblGrid>
      <w:tr w14:paraId="2D232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847" w:type="dxa"/>
            <w:vAlign w:val="top"/>
          </w:tcPr>
          <w:p w14:paraId="73603B7D">
            <w:pPr>
              <w:pStyle w:val="17"/>
              <w:spacing w:before="283" w:line="221" w:lineRule="auto"/>
              <w:ind w:left="218"/>
              <w:rPr>
                <w:color w:val="auto"/>
                <w:highlight w:val="none"/>
              </w:rPr>
            </w:pPr>
            <w:r>
              <w:rPr>
                <w:color w:val="auto"/>
                <w:spacing w:val="-2"/>
                <w:highlight w:val="none"/>
              </w:rPr>
              <w:t>序号</w:t>
            </w:r>
          </w:p>
        </w:tc>
        <w:tc>
          <w:tcPr>
            <w:tcW w:w="2338" w:type="dxa"/>
            <w:vAlign w:val="top"/>
          </w:tcPr>
          <w:p w14:paraId="1A3A1B1D">
            <w:pPr>
              <w:pStyle w:val="17"/>
              <w:spacing w:before="283" w:line="220" w:lineRule="auto"/>
              <w:ind w:left="755"/>
              <w:rPr>
                <w:color w:val="auto"/>
                <w:highlight w:val="none"/>
              </w:rPr>
            </w:pPr>
            <w:r>
              <w:rPr>
                <w:color w:val="auto"/>
                <w:spacing w:val="-2"/>
                <w:highlight w:val="none"/>
              </w:rPr>
              <w:t>条款名称</w:t>
            </w:r>
          </w:p>
        </w:tc>
        <w:tc>
          <w:tcPr>
            <w:tcW w:w="1515" w:type="dxa"/>
            <w:vAlign w:val="top"/>
          </w:tcPr>
          <w:p w14:paraId="1741105A">
            <w:pPr>
              <w:pStyle w:val="17"/>
              <w:spacing w:before="283" w:line="220" w:lineRule="auto"/>
              <w:ind w:left="237"/>
              <w:rPr>
                <w:color w:val="auto"/>
                <w:highlight w:val="none"/>
              </w:rPr>
            </w:pPr>
            <w:r>
              <w:rPr>
                <w:color w:val="auto"/>
                <w:spacing w:val="-2"/>
                <w:highlight w:val="none"/>
              </w:rPr>
              <w:t>合同条目号</w:t>
            </w:r>
          </w:p>
        </w:tc>
        <w:tc>
          <w:tcPr>
            <w:tcW w:w="3058" w:type="dxa"/>
            <w:vAlign w:val="top"/>
          </w:tcPr>
          <w:p w14:paraId="56EE6DD9">
            <w:pPr>
              <w:pStyle w:val="17"/>
              <w:spacing w:before="283" w:line="220" w:lineRule="auto"/>
              <w:ind w:left="1119"/>
              <w:rPr>
                <w:color w:val="auto"/>
                <w:highlight w:val="none"/>
              </w:rPr>
            </w:pPr>
            <w:r>
              <w:rPr>
                <w:color w:val="auto"/>
                <w:spacing w:val="-3"/>
                <w:highlight w:val="none"/>
              </w:rPr>
              <w:t>约定内容</w:t>
            </w:r>
          </w:p>
        </w:tc>
        <w:tc>
          <w:tcPr>
            <w:tcW w:w="1534" w:type="dxa"/>
            <w:vAlign w:val="top"/>
          </w:tcPr>
          <w:p w14:paraId="3148F90F">
            <w:pPr>
              <w:pStyle w:val="17"/>
              <w:spacing w:before="283" w:line="221" w:lineRule="auto"/>
              <w:ind w:left="564"/>
              <w:rPr>
                <w:color w:val="auto"/>
                <w:highlight w:val="none"/>
              </w:rPr>
            </w:pPr>
            <w:r>
              <w:rPr>
                <w:color w:val="auto"/>
                <w:spacing w:val="-3"/>
                <w:highlight w:val="none"/>
              </w:rPr>
              <w:t>备注</w:t>
            </w:r>
          </w:p>
        </w:tc>
      </w:tr>
      <w:tr w14:paraId="080C4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7" w:type="dxa"/>
            <w:vAlign w:val="top"/>
          </w:tcPr>
          <w:p w14:paraId="2637626E">
            <w:pPr>
              <w:pStyle w:val="17"/>
              <w:spacing w:before="279" w:line="241" w:lineRule="auto"/>
              <w:ind w:left="391"/>
              <w:rPr>
                <w:color w:val="auto"/>
                <w:highlight w:val="none"/>
              </w:rPr>
            </w:pPr>
            <w:r>
              <w:rPr>
                <w:color w:val="auto"/>
                <w:highlight w:val="none"/>
              </w:rPr>
              <w:t>1</w:t>
            </w:r>
          </w:p>
        </w:tc>
        <w:tc>
          <w:tcPr>
            <w:tcW w:w="2338" w:type="dxa"/>
            <w:vAlign w:val="top"/>
          </w:tcPr>
          <w:p w14:paraId="30FC229C">
            <w:pPr>
              <w:pStyle w:val="17"/>
              <w:spacing w:before="279" w:line="220" w:lineRule="auto"/>
              <w:ind w:left="647"/>
              <w:rPr>
                <w:color w:val="auto"/>
                <w:highlight w:val="none"/>
              </w:rPr>
            </w:pPr>
            <w:r>
              <w:rPr>
                <w:color w:val="auto"/>
                <w:spacing w:val="-2"/>
                <w:highlight w:val="none"/>
              </w:rPr>
              <w:t>缺陷责任期</w:t>
            </w:r>
          </w:p>
        </w:tc>
        <w:tc>
          <w:tcPr>
            <w:tcW w:w="1515" w:type="dxa"/>
            <w:vAlign w:val="top"/>
          </w:tcPr>
          <w:p w14:paraId="371CDDB9">
            <w:pPr>
              <w:pStyle w:val="17"/>
              <w:spacing w:before="279" w:line="239" w:lineRule="auto"/>
              <w:ind w:left="410"/>
              <w:rPr>
                <w:color w:val="auto"/>
                <w:highlight w:val="none"/>
              </w:rPr>
            </w:pPr>
            <w:r>
              <w:rPr>
                <w:color w:val="auto"/>
                <w:spacing w:val="-4"/>
                <w:highlight w:val="none"/>
              </w:rPr>
              <w:t>1.1.4.5</w:t>
            </w:r>
          </w:p>
        </w:tc>
        <w:tc>
          <w:tcPr>
            <w:tcW w:w="3058" w:type="dxa"/>
            <w:vAlign w:val="top"/>
          </w:tcPr>
          <w:p w14:paraId="1D7DDDA2">
            <w:pPr>
              <w:pStyle w:val="17"/>
              <w:spacing w:before="279" w:line="220" w:lineRule="auto"/>
              <w:rPr>
                <w:color w:val="auto"/>
                <w:highlight w:val="none"/>
              </w:rPr>
            </w:pPr>
            <w:r>
              <w:rPr>
                <w:color w:val="auto"/>
                <w:spacing w:val="-3"/>
                <w:highlight w:val="none"/>
              </w:rPr>
              <w:t>自实际交工日期起计算</w:t>
            </w:r>
            <w:r>
              <w:rPr>
                <w:rFonts w:hint="eastAsia" w:asciiTheme="minorEastAsia" w:hAnsiTheme="minorEastAsia" w:eastAsiaTheme="minorEastAsia" w:cstheme="minorEastAsia"/>
                <w:color w:val="auto"/>
                <w:szCs w:val="21"/>
                <w:highlight w:val="none"/>
                <w:u w:val="single"/>
                <w:lang w:val="en-US" w:eastAsia="zh-CN"/>
              </w:rPr>
              <w:t>2</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 w:val="21"/>
                <w:szCs w:val="21"/>
                <w:highlight w:val="none"/>
                <w:u w:val="single"/>
                <w:lang w:eastAsia="zh-CN"/>
              </w:rPr>
              <w:t>，</w:t>
            </w:r>
            <w:r>
              <w:rPr>
                <w:rFonts w:hint="eastAsia" w:asciiTheme="minorEastAsia" w:hAnsiTheme="minorEastAsia" w:eastAsiaTheme="minorEastAsia" w:cstheme="minorEastAsia"/>
                <w:color w:val="auto"/>
                <w:sz w:val="21"/>
                <w:szCs w:val="21"/>
                <w:highlight w:val="none"/>
                <w:u w:val="single"/>
              </w:rPr>
              <w:t>其中绿化工程自实际交工日期起计算</w:t>
            </w:r>
            <w:r>
              <w:rPr>
                <w:rFonts w:hint="eastAsia" w:asciiTheme="minorEastAsia" w:hAnsiTheme="minorEastAsia" w:eastAsiaTheme="minorEastAsia" w:cstheme="minorEastAsia"/>
                <w:color w:val="auto"/>
                <w:sz w:val="21"/>
                <w:szCs w:val="21"/>
                <w:highlight w:val="none"/>
                <w:u w:val="single"/>
                <w:lang w:val="en-US" w:eastAsia="zh-CN"/>
              </w:rPr>
              <w:t>12</w:t>
            </w:r>
            <w:r>
              <w:rPr>
                <w:rFonts w:hint="eastAsia" w:asciiTheme="minorEastAsia" w:hAnsiTheme="minorEastAsia" w:eastAsiaTheme="minorEastAsia" w:cstheme="minorEastAsia"/>
                <w:color w:val="auto"/>
                <w:sz w:val="21"/>
                <w:szCs w:val="21"/>
                <w:highlight w:val="none"/>
                <w:u w:val="single"/>
              </w:rPr>
              <w:t>个月</w:t>
            </w:r>
            <w:r>
              <w:rPr>
                <w:rFonts w:hint="eastAsia" w:asciiTheme="minorEastAsia" w:hAnsiTheme="minorEastAsia" w:eastAsiaTheme="minorEastAsia" w:cstheme="minorEastAsia"/>
                <w:color w:val="auto"/>
                <w:sz w:val="21"/>
                <w:szCs w:val="21"/>
                <w:highlight w:val="none"/>
                <w:u w:val="single"/>
                <w:lang w:eastAsia="zh-CN"/>
              </w:rPr>
              <w:t>。</w:t>
            </w:r>
          </w:p>
        </w:tc>
        <w:tc>
          <w:tcPr>
            <w:tcW w:w="1534" w:type="dxa"/>
            <w:vAlign w:val="top"/>
          </w:tcPr>
          <w:p w14:paraId="46E0A1A3">
            <w:pPr>
              <w:rPr>
                <w:rFonts w:ascii="Arial"/>
                <w:color w:val="auto"/>
                <w:sz w:val="21"/>
                <w:highlight w:val="none"/>
              </w:rPr>
            </w:pPr>
          </w:p>
        </w:tc>
      </w:tr>
      <w:tr w14:paraId="1B7BF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7" w:type="dxa"/>
            <w:vAlign w:val="top"/>
          </w:tcPr>
          <w:p w14:paraId="26308F67">
            <w:pPr>
              <w:pStyle w:val="17"/>
              <w:spacing w:before="280" w:line="241" w:lineRule="auto"/>
              <w:ind w:left="378"/>
              <w:rPr>
                <w:color w:val="auto"/>
                <w:highlight w:val="none"/>
              </w:rPr>
            </w:pPr>
            <w:r>
              <w:rPr>
                <w:color w:val="auto"/>
                <w:highlight w:val="none"/>
              </w:rPr>
              <w:t>2</w:t>
            </w:r>
          </w:p>
        </w:tc>
        <w:tc>
          <w:tcPr>
            <w:tcW w:w="2338" w:type="dxa"/>
            <w:vAlign w:val="top"/>
          </w:tcPr>
          <w:p w14:paraId="693D1ECD">
            <w:pPr>
              <w:pStyle w:val="17"/>
              <w:spacing w:before="281" w:line="220" w:lineRule="auto"/>
              <w:ind w:left="436"/>
              <w:rPr>
                <w:color w:val="auto"/>
                <w:highlight w:val="none"/>
              </w:rPr>
            </w:pPr>
            <w:r>
              <w:rPr>
                <w:color w:val="auto"/>
                <w:spacing w:val="-1"/>
                <w:highlight w:val="none"/>
              </w:rPr>
              <w:t>逾期交工违约金</w:t>
            </w:r>
          </w:p>
        </w:tc>
        <w:tc>
          <w:tcPr>
            <w:tcW w:w="1515" w:type="dxa"/>
            <w:vAlign w:val="top"/>
          </w:tcPr>
          <w:p w14:paraId="7E565A44">
            <w:pPr>
              <w:pStyle w:val="17"/>
              <w:spacing w:before="280" w:line="232" w:lineRule="auto"/>
              <w:ind w:left="305"/>
              <w:rPr>
                <w:color w:val="auto"/>
                <w:highlight w:val="none"/>
              </w:rPr>
            </w:pPr>
            <w:r>
              <w:rPr>
                <w:color w:val="auto"/>
                <w:spacing w:val="-5"/>
                <w:highlight w:val="none"/>
              </w:rPr>
              <w:t>11.5（3）</w:t>
            </w:r>
          </w:p>
        </w:tc>
        <w:tc>
          <w:tcPr>
            <w:tcW w:w="3058" w:type="dxa"/>
            <w:vAlign w:val="top"/>
          </w:tcPr>
          <w:p w14:paraId="0ACE3CE0">
            <w:pPr>
              <w:pStyle w:val="17"/>
              <w:spacing w:before="279" w:line="220" w:lineRule="auto"/>
              <w:rPr>
                <w:color w:val="auto"/>
                <w:highlight w:val="none"/>
              </w:rPr>
            </w:pPr>
            <w:r>
              <w:rPr>
                <w:rFonts w:hint="eastAsia" w:asciiTheme="minorEastAsia" w:hAnsiTheme="minorEastAsia" w:eastAsiaTheme="minorEastAsia" w:cstheme="minorEastAsia"/>
                <w:color w:val="auto"/>
                <w:sz w:val="21"/>
                <w:szCs w:val="21"/>
                <w:highlight w:val="none"/>
                <w:u w:val="single"/>
              </w:rPr>
              <w:t>超出工期在10天内的罚款为</w:t>
            </w:r>
            <w:r>
              <w:rPr>
                <w:rFonts w:hint="eastAsia" w:asciiTheme="minorEastAsia" w:hAnsiTheme="minorEastAsia" w:eastAsiaTheme="minorEastAsia" w:cstheme="minorEastAsia"/>
                <w:color w:val="auto"/>
                <w:sz w:val="21"/>
                <w:szCs w:val="21"/>
                <w:highlight w:val="none"/>
                <w:u w:val="single"/>
                <w:lang w:val="en-US" w:eastAsia="zh-CN"/>
              </w:rPr>
              <w:t>3000元</w:t>
            </w:r>
            <w:r>
              <w:rPr>
                <w:rFonts w:hint="eastAsia" w:asciiTheme="minorEastAsia" w:hAnsiTheme="minorEastAsia" w:eastAsiaTheme="minorEastAsia" w:cstheme="minorEastAsia"/>
                <w:color w:val="auto"/>
                <w:sz w:val="21"/>
                <w:szCs w:val="21"/>
                <w:highlight w:val="none"/>
                <w:u w:val="single"/>
              </w:rPr>
              <w:t>/天；超出工期在10—20天内罚款为</w:t>
            </w:r>
            <w:r>
              <w:rPr>
                <w:rFonts w:hint="eastAsia" w:asciiTheme="minorEastAsia" w:hAnsiTheme="minorEastAsia" w:eastAsiaTheme="minorEastAsia" w:cstheme="minorEastAsia"/>
                <w:color w:val="auto"/>
                <w:sz w:val="21"/>
                <w:szCs w:val="21"/>
                <w:highlight w:val="none"/>
                <w:u w:val="single"/>
                <w:lang w:val="en-US" w:eastAsia="zh-CN"/>
              </w:rPr>
              <w:t>5000元</w:t>
            </w:r>
            <w:r>
              <w:rPr>
                <w:rFonts w:hint="eastAsia" w:asciiTheme="minorEastAsia" w:hAnsiTheme="minorEastAsia" w:eastAsiaTheme="minorEastAsia" w:cstheme="minorEastAsia"/>
                <w:color w:val="auto"/>
                <w:sz w:val="21"/>
                <w:szCs w:val="21"/>
                <w:highlight w:val="none"/>
                <w:u w:val="single"/>
              </w:rPr>
              <w:t>/天；超出工期在20天以上的罚款为</w:t>
            </w:r>
            <w:r>
              <w:rPr>
                <w:rFonts w:hint="eastAsia" w:asciiTheme="minorEastAsia" w:hAnsiTheme="minorEastAsia" w:eastAsiaTheme="minorEastAsia" w:cstheme="minorEastAsia"/>
                <w:color w:val="auto"/>
                <w:sz w:val="21"/>
                <w:szCs w:val="21"/>
                <w:highlight w:val="none"/>
                <w:u w:val="single"/>
                <w:lang w:val="en-US" w:eastAsia="zh-CN"/>
              </w:rPr>
              <w:t>8000元</w:t>
            </w:r>
            <w:r>
              <w:rPr>
                <w:rFonts w:hint="eastAsia" w:asciiTheme="minorEastAsia" w:hAnsiTheme="minorEastAsia" w:eastAsiaTheme="minorEastAsia" w:cstheme="minorEastAsia"/>
                <w:color w:val="auto"/>
                <w:sz w:val="21"/>
                <w:szCs w:val="21"/>
                <w:highlight w:val="none"/>
                <w:u w:val="single"/>
              </w:rPr>
              <w:t>/天。</w:t>
            </w:r>
          </w:p>
        </w:tc>
        <w:tc>
          <w:tcPr>
            <w:tcW w:w="1534" w:type="dxa"/>
            <w:vAlign w:val="top"/>
          </w:tcPr>
          <w:p w14:paraId="67431B5B">
            <w:pPr>
              <w:rPr>
                <w:rFonts w:ascii="Arial"/>
                <w:color w:val="auto"/>
                <w:sz w:val="21"/>
                <w:highlight w:val="none"/>
              </w:rPr>
            </w:pPr>
          </w:p>
        </w:tc>
      </w:tr>
      <w:tr w14:paraId="36614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55DD2A52">
            <w:pPr>
              <w:pStyle w:val="17"/>
              <w:spacing w:before="281"/>
              <w:ind w:left="380"/>
              <w:rPr>
                <w:color w:val="auto"/>
                <w:highlight w:val="none"/>
              </w:rPr>
            </w:pPr>
            <w:r>
              <w:rPr>
                <w:color w:val="auto"/>
                <w:highlight w:val="none"/>
              </w:rPr>
              <w:t>3</w:t>
            </w:r>
          </w:p>
        </w:tc>
        <w:tc>
          <w:tcPr>
            <w:tcW w:w="2338" w:type="dxa"/>
            <w:vAlign w:val="top"/>
          </w:tcPr>
          <w:p w14:paraId="30D21D1F">
            <w:pPr>
              <w:pStyle w:val="17"/>
              <w:spacing w:before="281" w:line="220" w:lineRule="auto"/>
              <w:ind w:left="226"/>
              <w:rPr>
                <w:color w:val="auto"/>
                <w:highlight w:val="none"/>
              </w:rPr>
            </w:pPr>
            <w:r>
              <w:rPr>
                <w:color w:val="auto"/>
                <w:spacing w:val="-1"/>
                <w:highlight w:val="none"/>
              </w:rPr>
              <w:t>逾期交工违约金限额</w:t>
            </w:r>
          </w:p>
        </w:tc>
        <w:tc>
          <w:tcPr>
            <w:tcW w:w="1515" w:type="dxa"/>
            <w:vAlign w:val="top"/>
          </w:tcPr>
          <w:p w14:paraId="41425CC7">
            <w:pPr>
              <w:pStyle w:val="17"/>
              <w:spacing w:before="281" w:line="232" w:lineRule="auto"/>
              <w:ind w:left="305"/>
              <w:rPr>
                <w:color w:val="auto"/>
                <w:highlight w:val="none"/>
              </w:rPr>
            </w:pPr>
            <w:r>
              <w:rPr>
                <w:color w:val="auto"/>
                <w:spacing w:val="-5"/>
                <w:highlight w:val="none"/>
              </w:rPr>
              <w:t>11.5（3）</w:t>
            </w:r>
          </w:p>
        </w:tc>
        <w:tc>
          <w:tcPr>
            <w:tcW w:w="3058" w:type="dxa"/>
            <w:vAlign w:val="top"/>
          </w:tcPr>
          <w:p w14:paraId="2A87B06D">
            <w:pPr>
              <w:pStyle w:val="17"/>
              <w:tabs>
                <w:tab w:val="left" w:pos="1158"/>
              </w:tabs>
              <w:spacing w:before="281" w:line="218" w:lineRule="auto"/>
              <w:rPr>
                <w:color w:val="auto"/>
                <w:highlight w:val="none"/>
              </w:rPr>
            </w:pPr>
            <w:r>
              <w:rPr>
                <w:rFonts w:hint="eastAsia"/>
                <w:color w:val="auto"/>
                <w:highlight w:val="none"/>
                <w:u w:val="single" w:color="auto"/>
                <w:lang w:val="en-US" w:eastAsia="zh-CN"/>
              </w:rPr>
              <w:t>10</w:t>
            </w:r>
            <w:r>
              <w:rPr>
                <w:color w:val="auto"/>
                <w:spacing w:val="-99"/>
                <w:highlight w:val="none"/>
              </w:rPr>
              <w:t xml:space="preserve"> </w:t>
            </w:r>
            <w:r>
              <w:rPr>
                <w:color w:val="auto"/>
                <w:spacing w:val="-1"/>
                <w:highlight w:val="none"/>
              </w:rPr>
              <w:t>%签约合同价</w:t>
            </w:r>
          </w:p>
        </w:tc>
        <w:tc>
          <w:tcPr>
            <w:tcW w:w="1534" w:type="dxa"/>
            <w:vAlign w:val="top"/>
          </w:tcPr>
          <w:p w14:paraId="7A73B310">
            <w:pPr>
              <w:rPr>
                <w:rFonts w:ascii="Arial"/>
                <w:color w:val="auto"/>
                <w:sz w:val="21"/>
                <w:highlight w:val="none"/>
              </w:rPr>
            </w:pPr>
          </w:p>
        </w:tc>
      </w:tr>
      <w:tr w14:paraId="6F9DE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56B26A6C">
            <w:pPr>
              <w:pStyle w:val="17"/>
              <w:spacing w:before="281" w:line="241" w:lineRule="auto"/>
              <w:ind w:left="375"/>
              <w:rPr>
                <w:color w:val="auto"/>
                <w:highlight w:val="none"/>
              </w:rPr>
            </w:pPr>
            <w:r>
              <w:rPr>
                <w:color w:val="auto"/>
                <w:highlight w:val="none"/>
              </w:rPr>
              <w:t>4</w:t>
            </w:r>
          </w:p>
        </w:tc>
        <w:tc>
          <w:tcPr>
            <w:tcW w:w="2338" w:type="dxa"/>
            <w:vAlign w:val="top"/>
          </w:tcPr>
          <w:p w14:paraId="6C9A64CC">
            <w:pPr>
              <w:pStyle w:val="17"/>
              <w:spacing w:before="282" w:line="220" w:lineRule="auto"/>
              <w:ind w:left="438"/>
              <w:rPr>
                <w:color w:val="auto"/>
                <w:highlight w:val="none"/>
              </w:rPr>
            </w:pPr>
            <w:r>
              <w:rPr>
                <w:color w:val="auto"/>
                <w:spacing w:val="-2"/>
                <w:highlight w:val="none"/>
              </w:rPr>
              <w:t>提前交工的奖金</w:t>
            </w:r>
          </w:p>
        </w:tc>
        <w:tc>
          <w:tcPr>
            <w:tcW w:w="1515" w:type="dxa"/>
            <w:vAlign w:val="top"/>
          </w:tcPr>
          <w:p w14:paraId="4CA81DC0">
            <w:pPr>
              <w:pStyle w:val="17"/>
              <w:spacing w:before="281" w:line="239" w:lineRule="auto"/>
              <w:ind w:left="567"/>
              <w:rPr>
                <w:color w:val="auto"/>
                <w:highlight w:val="none"/>
              </w:rPr>
            </w:pPr>
            <w:r>
              <w:rPr>
                <w:color w:val="auto"/>
                <w:spacing w:val="-6"/>
                <w:highlight w:val="none"/>
              </w:rPr>
              <w:t>11.6</w:t>
            </w:r>
          </w:p>
        </w:tc>
        <w:tc>
          <w:tcPr>
            <w:tcW w:w="3058" w:type="dxa"/>
            <w:vAlign w:val="top"/>
          </w:tcPr>
          <w:p w14:paraId="343052C8">
            <w:pPr>
              <w:pStyle w:val="17"/>
              <w:tabs>
                <w:tab w:val="left" w:pos="1473"/>
              </w:tabs>
              <w:spacing w:before="282" w:line="220" w:lineRule="auto"/>
              <w:rPr>
                <w:color w:val="auto"/>
                <w:highlight w:val="none"/>
              </w:rPr>
            </w:pPr>
            <w:r>
              <w:rPr>
                <w:rFonts w:hint="eastAsia" w:asciiTheme="minorEastAsia" w:hAnsiTheme="minorEastAsia" w:eastAsiaTheme="minorEastAsia" w:cstheme="minorEastAsia"/>
                <w:color w:val="auto"/>
                <w:szCs w:val="21"/>
                <w:highlight w:val="none"/>
              </w:rPr>
              <w:t>不适用</w:t>
            </w:r>
          </w:p>
        </w:tc>
        <w:tc>
          <w:tcPr>
            <w:tcW w:w="1534" w:type="dxa"/>
            <w:vAlign w:val="top"/>
          </w:tcPr>
          <w:p w14:paraId="3050D971">
            <w:pPr>
              <w:rPr>
                <w:rFonts w:ascii="Arial"/>
                <w:color w:val="auto"/>
                <w:sz w:val="21"/>
                <w:highlight w:val="none"/>
              </w:rPr>
            </w:pPr>
          </w:p>
        </w:tc>
      </w:tr>
      <w:tr w14:paraId="6995C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6700E3F9">
            <w:pPr>
              <w:pStyle w:val="17"/>
              <w:spacing w:before="281"/>
              <w:ind w:left="380"/>
              <w:rPr>
                <w:color w:val="auto"/>
                <w:highlight w:val="none"/>
              </w:rPr>
            </w:pPr>
            <w:r>
              <w:rPr>
                <w:color w:val="auto"/>
                <w:highlight w:val="none"/>
              </w:rPr>
              <w:t>5</w:t>
            </w:r>
          </w:p>
        </w:tc>
        <w:tc>
          <w:tcPr>
            <w:tcW w:w="2338" w:type="dxa"/>
            <w:vAlign w:val="top"/>
          </w:tcPr>
          <w:p w14:paraId="0105D330">
            <w:pPr>
              <w:pStyle w:val="17"/>
              <w:spacing w:before="281" w:line="220" w:lineRule="auto"/>
              <w:ind w:left="228"/>
              <w:rPr>
                <w:color w:val="auto"/>
                <w:highlight w:val="none"/>
              </w:rPr>
            </w:pPr>
            <w:r>
              <w:rPr>
                <w:color w:val="auto"/>
                <w:spacing w:val="-1"/>
                <w:highlight w:val="none"/>
              </w:rPr>
              <w:t>提前交工的奖金限额</w:t>
            </w:r>
          </w:p>
        </w:tc>
        <w:tc>
          <w:tcPr>
            <w:tcW w:w="1515" w:type="dxa"/>
            <w:vAlign w:val="top"/>
          </w:tcPr>
          <w:p w14:paraId="023CF8CD">
            <w:pPr>
              <w:pStyle w:val="17"/>
              <w:spacing w:before="281" w:line="239" w:lineRule="auto"/>
              <w:ind w:left="567"/>
              <w:rPr>
                <w:color w:val="auto"/>
                <w:highlight w:val="none"/>
              </w:rPr>
            </w:pPr>
            <w:r>
              <w:rPr>
                <w:color w:val="auto"/>
                <w:spacing w:val="-6"/>
                <w:highlight w:val="none"/>
              </w:rPr>
              <w:t>11.6</w:t>
            </w:r>
          </w:p>
        </w:tc>
        <w:tc>
          <w:tcPr>
            <w:tcW w:w="3058" w:type="dxa"/>
            <w:vAlign w:val="top"/>
          </w:tcPr>
          <w:p w14:paraId="4161CB1D">
            <w:pPr>
              <w:pStyle w:val="17"/>
              <w:tabs>
                <w:tab w:val="left" w:pos="1158"/>
              </w:tabs>
              <w:spacing w:before="281" w:line="218" w:lineRule="auto"/>
              <w:rPr>
                <w:color w:val="auto"/>
                <w:highlight w:val="none"/>
              </w:rPr>
            </w:pPr>
            <w:r>
              <w:rPr>
                <w:rFonts w:hint="eastAsia" w:asciiTheme="minorEastAsia" w:hAnsiTheme="minorEastAsia" w:eastAsiaTheme="minorEastAsia" w:cstheme="minorEastAsia"/>
                <w:color w:val="auto"/>
                <w:szCs w:val="21"/>
                <w:highlight w:val="none"/>
              </w:rPr>
              <w:t>不适用</w:t>
            </w:r>
          </w:p>
        </w:tc>
        <w:tc>
          <w:tcPr>
            <w:tcW w:w="1534" w:type="dxa"/>
            <w:vAlign w:val="top"/>
          </w:tcPr>
          <w:p w14:paraId="705867A3">
            <w:pPr>
              <w:rPr>
                <w:rFonts w:ascii="Arial"/>
                <w:color w:val="auto"/>
                <w:sz w:val="21"/>
                <w:highlight w:val="none"/>
              </w:rPr>
            </w:pPr>
          </w:p>
        </w:tc>
      </w:tr>
      <w:tr w14:paraId="2ADB1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7" w:type="dxa"/>
            <w:vAlign w:val="top"/>
          </w:tcPr>
          <w:p w14:paraId="3C93598D">
            <w:pPr>
              <w:spacing w:line="469" w:lineRule="auto"/>
              <w:rPr>
                <w:rFonts w:ascii="Arial"/>
                <w:color w:val="auto"/>
                <w:sz w:val="21"/>
                <w:highlight w:val="none"/>
              </w:rPr>
            </w:pPr>
          </w:p>
          <w:p w14:paraId="00C3B0A4">
            <w:pPr>
              <w:pStyle w:val="17"/>
              <w:spacing w:before="68"/>
              <w:ind w:left="378"/>
              <w:rPr>
                <w:color w:val="auto"/>
                <w:highlight w:val="none"/>
              </w:rPr>
            </w:pPr>
            <w:r>
              <w:rPr>
                <w:color w:val="auto"/>
                <w:highlight w:val="none"/>
              </w:rPr>
              <w:t>6</w:t>
            </w:r>
          </w:p>
        </w:tc>
        <w:tc>
          <w:tcPr>
            <w:tcW w:w="2338" w:type="dxa"/>
            <w:vAlign w:val="top"/>
          </w:tcPr>
          <w:p w14:paraId="512A9E56">
            <w:pPr>
              <w:spacing w:line="271" w:lineRule="auto"/>
              <w:rPr>
                <w:rFonts w:ascii="Arial"/>
                <w:color w:val="auto"/>
                <w:sz w:val="21"/>
                <w:highlight w:val="none"/>
              </w:rPr>
            </w:pPr>
          </w:p>
          <w:p w14:paraId="1E4AF270">
            <w:pPr>
              <w:pStyle w:val="17"/>
              <w:spacing w:before="69" w:line="218" w:lineRule="auto"/>
              <w:ind w:left="139"/>
              <w:rPr>
                <w:color w:val="auto"/>
                <w:highlight w:val="none"/>
              </w:rPr>
            </w:pPr>
            <w:r>
              <w:rPr>
                <w:color w:val="auto"/>
                <w:spacing w:val="-3"/>
                <w:highlight w:val="none"/>
              </w:rPr>
              <w:t>因物价波动引起的价格</w:t>
            </w:r>
          </w:p>
          <w:p w14:paraId="49BC1557">
            <w:pPr>
              <w:pStyle w:val="17"/>
              <w:spacing w:before="151" w:line="222" w:lineRule="auto"/>
              <w:ind w:left="965"/>
              <w:rPr>
                <w:color w:val="auto"/>
                <w:highlight w:val="none"/>
              </w:rPr>
            </w:pPr>
            <w:r>
              <w:rPr>
                <w:color w:val="auto"/>
                <w:spacing w:val="-3"/>
                <w:highlight w:val="none"/>
              </w:rPr>
              <w:t>调整</w:t>
            </w:r>
          </w:p>
        </w:tc>
        <w:tc>
          <w:tcPr>
            <w:tcW w:w="1515" w:type="dxa"/>
            <w:vAlign w:val="top"/>
          </w:tcPr>
          <w:p w14:paraId="1D7F79C6">
            <w:pPr>
              <w:spacing w:line="469" w:lineRule="auto"/>
              <w:rPr>
                <w:rFonts w:ascii="Arial"/>
                <w:color w:val="auto"/>
                <w:sz w:val="21"/>
                <w:highlight w:val="none"/>
              </w:rPr>
            </w:pPr>
          </w:p>
          <w:p w14:paraId="57FC3778">
            <w:pPr>
              <w:pStyle w:val="17"/>
              <w:spacing w:before="69" w:line="239" w:lineRule="auto"/>
              <w:ind w:left="566"/>
              <w:rPr>
                <w:color w:val="auto"/>
                <w:highlight w:val="none"/>
              </w:rPr>
            </w:pPr>
            <w:r>
              <w:rPr>
                <w:color w:val="auto"/>
                <w:spacing w:val="-6"/>
                <w:highlight w:val="none"/>
              </w:rPr>
              <w:t>16.1</w:t>
            </w:r>
          </w:p>
        </w:tc>
        <w:tc>
          <w:tcPr>
            <w:tcW w:w="3058" w:type="dxa"/>
            <w:vAlign w:val="top"/>
          </w:tcPr>
          <w:p w14:paraId="6BDA64A8">
            <w:pPr>
              <w:pStyle w:val="17"/>
              <w:spacing w:before="142" w:line="285" w:lineRule="auto"/>
              <w:ind w:left="114" w:right="100" w:firstLine="19"/>
              <w:rPr>
                <w:color w:val="auto"/>
                <w:highlight w:val="none"/>
              </w:rPr>
            </w:pPr>
            <w:r>
              <w:rPr>
                <w:rFonts w:hint="eastAsia"/>
                <w:color w:val="auto"/>
                <w:spacing w:val="6"/>
                <w:highlight w:val="none"/>
                <w:lang w:eastAsia="zh-CN"/>
              </w:rPr>
              <w:t>☑</w:t>
            </w:r>
            <w:r>
              <w:rPr>
                <w:color w:val="auto"/>
                <w:spacing w:val="6"/>
                <w:highlight w:val="none"/>
              </w:rPr>
              <w:t>因物价波动引起的价格调整</w:t>
            </w:r>
            <w:r>
              <w:rPr>
                <w:color w:val="auto"/>
                <w:spacing w:val="-2"/>
                <w:highlight w:val="none"/>
              </w:rPr>
              <w:t>按照</w:t>
            </w:r>
            <w:r>
              <w:rPr>
                <w:rFonts w:hint="eastAsia" w:asciiTheme="minorEastAsia" w:hAnsiTheme="minorEastAsia" w:eastAsiaTheme="minorEastAsia" w:cstheme="minorEastAsia"/>
                <w:color w:val="auto"/>
                <w:sz w:val="21"/>
                <w:szCs w:val="21"/>
                <w:highlight w:val="none"/>
                <w:u w:val="single"/>
              </w:rPr>
              <w:t>第16.1.</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采用造价信息调整价格差额</w:t>
            </w:r>
            <w:r>
              <w:rPr>
                <w:color w:val="auto"/>
                <w:spacing w:val="-94"/>
                <w:highlight w:val="none"/>
              </w:rPr>
              <w:t xml:space="preserve"> </w:t>
            </w:r>
            <w:r>
              <w:rPr>
                <w:color w:val="auto"/>
                <w:spacing w:val="-2"/>
                <w:highlight w:val="none"/>
              </w:rPr>
              <w:t>项约定的原则处理</w:t>
            </w:r>
          </w:p>
          <w:p w14:paraId="0B76810A">
            <w:pPr>
              <w:pStyle w:val="17"/>
              <w:spacing w:before="151" w:line="218" w:lineRule="auto"/>
              <w:ind w:left="134"/>
              <w:rPr>
                <w:color w:val="auto"/>
                <w:highlight w:val="none"/>
              </w:rPr>
            </w:pPr>
            <w:r>
              <w:rPr>
                <w:color w:val="auto"/>
                <w:spacing w:val="-4"/>
                <w:highlight w:val="none"/>
              </w:rPr>
              <w:t>□合同期内不调价</w:t>
            </w:r>
          </w:p>
        </w:tc>
        <w:tc>
          <w:tcPr>
            <w:tcW w:w="1534" w:type="dxa"/>
            <w:vAlign w:val="top"/>
          </w:tcPr>
          <w:p w14:paraId="5430207A">
            <w:pPr>
              <w:rPr>
                <w:rFonts w:ascii="Arial"/>
                <w:color w:val="auto"/>
                <w:sz w:val="21"/>
                <w:highlight w:val="none"/>
              </w:rPr>
            </w:pPr>
          </w:p>
        </w:tc>
      </w:tr>
      <w:tr w14:paraId="66FDB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053C441C">
            <w:pPr>
              <w:pStyle w:val="17"/>
              <w:spacing w:before="281"/>
              <w:ind w:left="381"/>
              <w:rPr>
                <w:color w:val="auto"/>
                <w:highlight w:val="none"/>
              </w:rPr>
            </w:pPr>
            <w:r>
              <w:rPr>
                <w:color w:val="auto"/>
                <w:highlight w:val="none"/>
              </w:rPr>
              <w:t>7</w:t>
            </w:r>
          </w:p>
        </w:tc>
        <w:tc>
          <w:tcPr>
            <w:tcW w:w="2338" w:type="dxa"/>
            <w:vAlign w:val="top"/>
          </w:tcPr>
          <w:p w14:paraId="39EE96DD">
            <w:pPr>
              <w:pStyle w:val="17"/>
              <w:spacing w:before="280" w:line="220" w:lineRule="auto"/>
              <w:ind w:left="438"/>
              <w:rPr>
                <w:color w:val="auto"/>
                <w:highlight w:val="none"/>
              </w:rPr>
            </w:pPr>
            <w:r>
              <w:rPr>
                <w:color w:val="auto"/>
                <w:spacing w:val="-2"/>
                <w:highlight w:val="none"/>
              </w:rPr>
              <w:t>开工预付款金额</w:t>
            </w:r>
          </w:p>
        </w:tc>
        <w:tc>
          <w:tcPr>
            <w:tcW w:w="1515" w:type="dxa"/>
            <w:vAlign w:val="top"/>
          </w:tcPr>
          <w:p w14:paraId="4686788B">
            <w:pPr>
              <w:pStyle w:val="17"/>
              <w:spacing w:before="281" w:line="232" w:lineRule="auto"/>
              <w:ind w:left="200"/>
              <w:rPr>
                <w:color w:val="auto"/>
                <w:highlight w:val="none"/>
              </w:rPr>
            </w:pPr>
            <w:r>
              <w:rPr>
                <w:color w:val="auto"/>
                <w:spacing w:val="-3"/>
                <w:highlight w:val="none"/>
              </w:rPr>
              <w:t>17.2.1（1）</w:t>
            </w:r>
          </w:p>
        </w:tc>
        <w:tc>
          <w:tcPr>
            <w:tcW w:w="3058" w:type="dxa"/>
            <w:vAlign w:val="center"/>
          </w:tcPr>
          <w:p w14:paraId="3D0D250A">
            <w:pPr>
              <w:pStyle w:val="17"/>
              <w:tabs>
                <w:tab w:val="left" w:pos="1158"/>
              </w:tabs>
              <w:spacing w:before="281" w:line="218" w:lineRule="auto"/>
              <w:jc w:val="both"/>
              <w:rPr>
                <w:color w:val="auto"/>
                <w:highlight w:val="none"/>
              </w:rPr>
            </w:pPr>
            <w:r>
              <w:rPr>
                <w:rFonts w:hint="eastAsia" w:asciiTheme="minorEastAsia" w:hAnsiTheme="minorEastAsia" w:eastAsiaTheme="minorEastAsia" w:cstheme="minorEastAsia"/>
                <w:color w:val="auto"/>
                <w:szCs w:val="21"/>
                <w:highlight w:val="none"/>
                <w:lang w:val="en-US" w:eastAsia="zh-CN"/>
              </w:rPr>
              <w:t>最高不超过30%，最低不低于10%签约合同价（扣除暂列金额，具体金额以双方协商为准）</w:t>
            </w:r>
            <w:r>
              <w:rPr>
                <w:rFonts w:hint="eastAsia" w:asciiTheme="minorEastAsia" w:hAnsiTheme="minorEastAsia" w:eastAsiaTheme="minorEastAsia" w:cstheme="minorEastAsia"/>
                <w:color w:val="auto"/>
                <w:szCs w:val="21"/>
                <w:highlight w:val="none"/>
              </w:rPr>
              <w:t>，须提供等额的开工预付款保函。</w:t>
            </w:r>
          </w:p>
        </w:tc>
        <w:tc>
          <w:tcPr>
            <w:tcW w:w="1534" w:type="dxa"/>
            <w:vAlign w:val="top"/>
          </w:tcPr>
          <w:p w14:paraId="612E8ECB">
            <w:pPr>
              <w:rPr>
                <w:rFonts w:ascii="Arial"/>
                <w:color w:val="auto"/>
                <w:sz w:val="21"/>
                <w:highlight w:val="none"/>
              </w:rPr>
            </w:pPr>
          </w:p>
        </w:tc>
      </w:tr>
      <w:tr w14:paraId="2EFB2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47" w:type="dxa"/>
            <w:vAlign w:val="top"/>
          </w:tcPr>
          <w:p w14:paraId="0B6E1EF1">
            <w:pPr>
              <w:spacing w:line="271" w:lineRule="auto"/>
              <w:rPr>
                <w:rFonts w:ascii="Arial"/>
                <w:color w:val="auto"/>
                <w:sz w:val="21"/>
                <w:highlight w:val="none"/>
              </w:rPr>
            </w:pPr>
          </w:p>
          <w:p w14:paraId="5F7FC5EB">
            <w:pPr>
              <w:pStyle w:val="17"/>
              <w:spacing w:before="68"/>
              <w:ind w:left="377"/>
              <w:rPr>
                <w:color w:val="auto"/>
                <w:highlight w:val="none"/>
              </w:rPr>
            </w:pPr>
            <w:r>
              <w:rPr>
                <w:color w:val="auto"/>
                <w:highlight w:val="none"/>
              </w:rPr>
              <w:t>8</w:t>
            </w:r>
          </w:p>
        </w:tc>
        <w:tc>
          <w:tcPr>
            <w:tcW w:w="2338" w:type="dxa"/>
            <w:vAlign w:val="top"/>
          </w:tcPr>
          <w:p w14:paraId="41BC91BC">
            <w:pPr>
              <w:spacing w:line="271" w:lineRule="auto"/>
              <w:rPr>
                <w:rFonts w:ascii="Arial"/>
                <w:color w:val="auto"/>
                <w:sz w:val="21"/>
                <w:highlight w:val="none"/>
              </w:rPr>
            </w:pPr>
          </w:p>
          <w:p w14:paraId="06A7ABD2">
            <w:pPr>
              <w:pStyle w:val="17"/>
              <w:spacing w:before="68" w:line="219" w:lineRule="auto"/>
              <w:ind w:left="123"/>
              <w:rPr>
                <w:color w:val="auto"/>
                <w:highlight w:val="none"/>
              </w:rPr>
            </w:pPr>
            <w:r>
              <w:rPr>
                <w:color w:val="auto"/>
                <w:spacing w:val="-1"/>
                <w:highlight w:val="none"/>
              </w:rPr>
              <w:t>材料、设备预付款比例</w:t>
            </w:r>
          </w:p>
        </w:tc>
        <w:tc>
          <w:tcPr>
            <w:tcW w:w="1515" w:type="dxa"/>
            <w:vAlign w:val="top"/>
          </w:tcPr>
          <w:p w14:paraId="035A18CF">
            <w:pPr>
              <w:spacing w:line="271" w:lineRule="auto"/>
              <w:rPr>
                <w:rFonts w:ascii="Arial"/>
                <w:color w:val="auto"/>
                <w:sz w:val="21"/>
                <w:highlight w:val="none"/>
              </w:rPr>
            </w:pPr>
          </w:p>
          <w:p w14:paraId="2C1138FD">
            <w:pPr>
              <w:pStyle w:val="17"/>
              <w:spacing w:before="68" w:line="232" w:lineRule="auto"/>
              <w:ind w:left="200"/>
              <w:rPr>
                <w:color w:val="auto"/>
                <w:highlight w:val="none"/>
              </w:rPr>
            </w:pPr>
            <w:r>
              <w:rPr>
                <w:color w:val="auto"/>
                <w:spacing w:val="-3"/>
                <w:highlight w:val="none"/>
              </w:rPr>
              <w:t>17.2.1（2）</w:t>
            </w:r>
          </w:p>
        </w:tc>
        <w:tc>
          <w:tcPr>
            <w:tcW w:w="3058" w:type="dxa"/>
            <w:vAlign w:val="center"/>
          </w:tcPr>
          <w:p w14:paraId="3AB92E6A">
            <w:pPr>
              <w:pStyle w:val="17"/>
              <w:spacing w:before="152" w:line="220" w:lineRule="auto"/>
              <w:ind w:left="967"/>
              <w:jc w:val="both"/>
              <w:rPr>
                <w:rFonts w:hint="default" w:eastAsia="宋体"/>
                <w:color w:val="auto"/>
                <w:highlight w:val="none"/>
                <w:lang w:val="en-US" w:eastAsia="zh-CN"/>
              </w:rPr>
            </w:pPr>
            <w:r>
              <w:rPr>
                <w:rFonts w:hint="eastAsia"/>
                <w:color w:val="auto"/>
                <w:highlight w:val="none"/>
                <w:lang w:val="en-US" w:eastAsia="zh-CN"/>
              </w:rPr>
              <w:t>/</w:t>
            </w:r>
          </w:p>
        </w:tc>
        <w:tc>
          <w:tcPr>
            <w:tcW w:w="1534" w:type="dxa"/>
            <w:vAlign w:val="top"/>
          </w:tcPr>
          <w:p w14:paraId="66EF1D72">
            <w:pPr>
              <w:rPr>
                <w:rFonts w:ascii="Arial"/>
                <w:color w:val="auto"/>
                <w:sz w:val="21"/>
                <w:highlight w:val="none"/>
              </w:rPr>
            </w:pPr>
          </w:p>
        </w:tc>
      </w:tr>
      <w:tr w14:paraId="72226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04C8D1A2">
            <w:pPr>
              <w:pStyle w:val="17"/>
              <w:spacing w:before="282"/>
              <w:ind w:left="377"/>
              <w:rPr>
                <w:color w:val="auto"/>
                <w:highlight w:val="none"/>
              </w:rPr>
            </w:pPr>
            <w:r>
              <w:rPr>
                <w:color w:val="auto"/>
                <w:highlight w:val="none"/>
              </w:rPr>
              <w:t>9</w:t>
            </w:r>
          </w:p>
        </w:tc>
        <w:tc>
          <w:tcPr>
            <w:tcW w:w="2338" w:type="dxa"/>
            <w:vAlign w:val="top"/>
          </w:tcPr>
          <w:p w14:paraId="6E64C8CC">
            <w:pPr>
              <w:pStyle w:val="17"/>
              <w:spacing w:before="282" w:line="219" w:lineRule="auto"/>
              <w:ind w:left="121"/>
              <w:rPr>
                <w:color w:val="auto"/>
                <w:highlight w:val="none"/>
              </w:rPr>
            </w:pPr>
            <w:r>
              <w:rPr>
                <w:color w:val="auto"/>
                <w:spacing w:val="-1"/>
                <w:highlight w:val="none"/>
              </w:rPr>
              <w:t>进度付款证书最低限额</w:t>
            </w:r>
          </w:p>
        </w:tc>
        <w:tc>
          <w:tcPr>
            <w:tcW w:w="1515" w:type="dxa"/>
            <w:vAlign w:val="top"/>
          </w:tcPr>
          <w:p w14:paraId="4FCC1E3B">
            <w:pPr>
              <w:pStyle w:val="17"/>
              <w:spacing w:before="282" w:line="222" w:lineRule="auto"/>
              <w:ind w:left="305"/>
              <w:rPr>
                <w:color w:val="auto"/>
                <w:highlight w:val="none"/>
              </w:rPr>
            </w:pPr>
            <w:r>
              <w:rPr>
                <w:color w:val="auto"/>
                <w:spacing w:val="-3"/>
                <w:highlight w:val="none"/>
              </w:rPr>
              <w:t>17.3.3(1)</w:t>
            </w:r>
          </w:p>
        </w:tc>
        <w:tc>
          <w:tcPr>
            <w:tcW w:w="3058" w:type="dxa"/>
            <w:vAlign w:val="top"/>
          </w:tcPr>
          <w:p w14:paraId="079C055B">
            <w:pPr>
              <w:pStyle w:val="17"/>
              <w:tabs>
                <w:tab w:val="left" w:pos="1526"/>
              </w:tabs>
              <w:spacing w:before="282" w:line="220" w:lineRule="auto"/>
              <w:rPr>
                <w:color w:val="auto"/>
                <w:highlight w:val="none"/>
              </w:rPr>
            </w:pPr>
            <w:r>
              <w:rPr>
                <w:rFonts w:hint="eastAsia"/>
                <w:color w:val="auto"/>
                <w:highlight w:val="none"/>
                <w:u w:val="single" w:color="auto"/>
              </w:rPr>
              <w:t>50万元人民币</w:t>
            </w:r>
          </w:p>
        </w:tc>
        <w:tc>
          <w:tcPr>
            <w:tcW w:w="1534" w:type="dxa"/>
            <w:vAlign w:val="top"/>
          </w:tcPr>
          <w:p w14:paraId="7DF580C7">
            <w:pPr>
              <w:rPr>
                <w:rFonts w:ascii="Arial"/>
                <w:color w:val="auto"/>
                <w:sz w:val="21"/>
                <w:highlight w:val="none"/>
              </w:rPr>
            </w:pPr>
          </w:p>
        </w:tc>
      </w:tr>
      <w:tr w14:paraId="1E2C8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246CD20D">
            <w:pPr>
              <w:pStyle w:val="17"/>
              <w:spacing w:before="282"/>
              <w:ind w:left="339"/>
              <w:rPr>
                <w:color w:val="auto"/>
                <w:highlight w:val="none"/>
              </w:rPr>
            </w:pPr>
            <w:r>
              <w:rPr>
                <w:color w:val="auto"/>
                <w:spacing w:val="-11"/>
                <w:highlight w:val="none"/>
              </w:rPr>
              <w:t>10</w:t>
            </w:r>
          </w:p>
        </w:tc>
        <w:tc>
          <w:tcPr>
            <w:tcW w:w="2338" w:type="dxa"/>
            <w:vAlign w:val="top"/>
          </w:tcPr>
          <w:p w14:paraId="1A4FA51A">
            <w:pPr>
              <w:pStyle w:val="17"/>
              <w:spacing w:before="281" w:line="220" w:lineRule="auto"/>
              <w:ind w:left="121"/>
              <w:rPr>
                <w:color w:val="auto"/>
                <w:highlight w:val="none"/>
              </w:rPr>
            </w:pPr>
            <w:r>
              <w:rPr>
                <w:color w:val="auto"/>
                <w:spacing w:val="-1"/>
                <w:highlight w:val="none"/>
              </w:rPr>
              <w:t>逾期付款违约金的利率</w:t>
            </w:r>
          </w:p>
        </w:tc>
        <w:tc>
          <w:tcPr>
            <w:tcW w:w="1515" w:type="dxa"/>
            <w:vAlign w:val="top"/>
          </w:tcPr>
          <w:p w14:paraId="408E18A7">
            <w:pPr>
              <w:pStyle w:val="17"/>
              <w:spacing w:before="282" w:line="222" w:lineRule="auto"/>
              <w:ind w:left="305"/>
              <w:rPr>
                <w:color w:val="auto"/>
                <w:highlight w:val="none"/>
              </w:rPr>
            </w:pPr>
            <w:r>
              <w:rPr>
                <w:color w:val="auto"/>
                <w:spacing w:val="-3"/>
                <w:highlight w:val="none"/>
              </w:rPr>
              <w:t>17.3.3(2)</w:t>
            </w:r>
          </w:p>
        </w:tc>
        <w:tc>
          <w:tcPr>
            <w:tcW w:w="3058" w:type="dxa"/>
            <w:vAlign w:val="top"/>
          </w:tcPr>
          <w:p w14:paraId="3C6D40E2">
            <w:pPr>
              <w:pStyle w:val="17"/>
              <w:tabs>
                <w:tab w:val="left" w:pos="1473"/>
              </w:tabs>
              <w:spacing w:before="282" w:line="220" w:lineRule="auto"/>
              <w:rPr>
                <w:color w:val="auto"/>
                <w:highlight w:val="none"/>
              </w:rPr>
            </w:pPr>
            <w:r>
              <w:rPr>
                <w:rFonts w:hint="eastAsia" w:ascii="宋体" w:hAnsi="宋体" w:eastAsia="宋体" w:cs="宋体"/>
                <w:snapToGrid w:val="0"/>
                <w:color w:val="auto"/>
                <w:spacing w:val="-1"/>
                <w:kern w:val="0"/>
                <w:sz w:val="21"/>
                <w:szCs w:val="21"/>
                <w:highlight w:val="none"/>
                <w:u w:val="single" w:color="auto"/>
                <w:lang w:val="en-US" w:eastAsia="zh-CN" w:bidi="ar"/>
              </w:rPr>
              <w:t>相当于中国人民银行短期贷款利率加手续费</w:t>
            </w:r>
          </w:p>
        </w:tc>
        <w:tc>
          <w:tcPr>
            <w:tcW w:w="1534" w:type="dxa"/>
            <w:vAlign w:val="top"/>
          </w:tcPr>
          <w:p w14:paraId="545C9218">
            <w:pPr>
              <w:rPr>
                <w:rFonts w:ascii="Arial"/>
                <w:color w:val="auto"/>
                <w:sz w:val="21"/>
                <w:highlight w:val="none"/>
              </w:rPr>
            </w:pPr>
          </w:p>
        </w:tc>
      </w:tr>
      <w:tr w14:paraId="44FDC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0A03144F">
            <w:pPr>
              <w:pStyle w:val="17"/>
              <w:spacing w:before="282" w:line="241" w:lineRule="auto"/>
              <w:ind w:left="339"/>
              <w:rPr>
                <w:color w:val="auto"/>
                <w:highlight w:val="none"/>
              </w:rPr>
            </w:pPr>
            <w:r>
              <w:rPr>
                <w:color w:val="auto"/>
                <w:spacing w:val="-11"/>
                <w:highlight w:val="none"/>
              </w:rPr>
              <w:t>11</w:t>
            </w:r>
          </w:p>
        </w:tc>
        <w:tc>
          <w:tcPr>
            <w:tcW w:w="2338" w:type="dxa"/>
            <w:vAlign w:val="top"/>
          </w:tcPr>
          <w:p w14:paraId="6442C54A">
            <w:pPr>
              <w:pStyle w:val="17"/>
              <w:spacing w:before="281" w:line="220" w:lineRule="auto"/>
              <w:ind w:left="438"/>
              <w:rPr>
                <w:color w:val="auto"/>
                <w:highlight w:val="none"/>
              </w:rPr>
            </w:pPr>
            <w:r>
              <w:rPr>
                <w:color w:val="auto"/>
                <w:spacing w:val="-2"/>
                <w:highlight w:val="none"/>
              </w:rPr>
              <w:t>质量保证金限额</w:t>
            </w:r>
          </w:p>
        </w:tc>
        <w:tc>
          <w:tcPr>
            <w:tcW w:w="1515" w:type="dxa"/>
            <w:vAlign w:val="top"/>
          </w:tcPr>
          <w:p w14:paraId="0260C148">
            <w:pPr>
              <w:pStyle w:val="17"/>
              <w:spacing w:before="282" w:line="239" w:lineRule="auto"/>
              <w:ind w:left="463"/>
              <w:rPr>
                <w:color w:val="auto"/>
                <w:highlight w:val="none"/>
              </w:rPr>
            </w:pPr>
            <w:r>
              <w:rPr>
                <w:color w:val="auto"/>
                <w:spacing w:val="-4"/>
                <w:highlight w:val="none"/>
              </w:rPr>
              <w:t>17.4.1</w:t>
            </w:r>
          </w:p>
        </w:tc>
        <w:tc>
          <w:tcPr>
            <w:tcW w:w="3058" w:type="dxa"/>
            <w:vAlign w:val="top"/>
          </w:tcPr>
          <w:p w14:paraId="0214F647">
            <w:pPr>
              <w:pStyle w:val="17"/>
              <w:tabs>
                <w:tab w:val="left" w:pos="1263"/>
              </w:tabs>
              <w:spacing w:before="282" w:line="218" w:lineRule="auto"/>
              <w:rPr>
                <w:color w:val="auto"/>
                <w:highlight w:val="none"/>
              </w:rPr>
            </w:pPr>
            <w:r>
              <w:rPr>
                <w:rFonts w:hint="eastAsia"/>
                <w:color w:val="auto"/>
                <w:highlight w:val="none"/>
                <w:u w:val="single" w:color="auto"/>
                <w:lang w:val="en-US" w:eastAsia="zh-CN"/>
              </w:rPr>
              <w:t>3</w:t>
            </w:r>
            <w:r>
              <w:rPr>
                <w:color w:val="auto"/>
                <w:spacing w:val="-101"/>
                <w:highlight w:val="none"/>
              </w:rPr>
              <w:t xml:space="preserve"> </w:t>
            </w:r>
            <w:r>
              <w:rPr>
                <w:color w:val="auto"/>
                <w:spacing w:val="-1"/>
                <w:highlight w:val="none"/>
              </w:rPr>
              <w:t>%合同价格</w:t>
            </w:r>
            <w:r>
              <w:rPr>
                <w:rFonts w:hint="eastAsia"/>
                <w:color w:val="auto"/>
                <w:highlight w:val="none"/>
                <w:u w:val="none" w:color="auto"/>
              </w:rPr>
              <w:t>，采用银行保函的方式提交</w:t>
            </w:r>
          </w:p>
        </w:tc>
        <w:tc>
          <w:tcPr>
            <w:tcW w:w="1534" w:type="dxa"/>
            <w:vAlign w:val="top"/>
          </w:tcPr>
          <w:p w14:paraId="34F18A1A">
            <w:pPr>
              <w:rPr>
                <w:rFonts w:ascii="Arial"/>
                <w:color w:val="auto"/>
                <w:sz w:val="21"/>
                <w:highlight w:val="none"/>
              </w:rPr>
            </w:pPr>
          </w:p>
        </w:tc>
      </w:tr>
      <w:tr w14:paraId="647E8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47" w:type="dxa"/>
            <w:vAlign w:val="top"/>
          </w:tcPr>
          <w:p w14:paraId="5E09E22D">
            <w:pPr>
              <w:spacing w:line="272" w:lineRule="auto"/>
              <w:rPr>
                <w:rFonts w:ascii="Arial"/>
                <w:color w:val="auto"/>
                <w:sz w:val="21"/>
                <w:highlight w:val="none"/>
              </w:rPr>
            </w:pPr>
          </w:p>
          <w:p w14:paraId="6BFDBF0D">
            <w:pPr>
              <w:pStyle w:val="17"/>
              <w:spacing w:before="68" w:line="241" w:lineRule="auto"/>
              <w:ind w:left="339"/>
              <w:rPr>
                <w:color w:val="auto"/>
                <w:highlight w:val="none"/>
              </w:rPr>
            </w:pPr>
            <w:r>
              <w:rPr>
                <w:color w:val="auto"/>
                <w:spacing w:val="-6"/>
                <w:highlight w:val="none"/>
              </w:rPr>
              <w:t>12</w:t>
            </w:r>
          </w:p>
        </w:tc>
        <w:tc>
          <w:tcPr>
            <w:tcW w:w="2338" w:type="dxa"/>
            <w:vAlign w:val="top"/>
          </w:tcPr>
          <w:p w14:paraId="4DAD28BA">
            <w:pPr>
              <w:spacing w:line="271" w:lineRule="auto"/>
              <w:rPr>
                <w:rFonts w:ascii="Arial"/>
                <w:color w:val="auto"/>
                <w:sz w:val="21"/>
                <w:highlight w:val="none"/>
              </w:rPr>
            </w:pPr>
          </w:p>
          <w:p w14:paraId="5E700A00">
            <w:pPr>
              <w:pStyle w:val="17"/>
              <w:spacing w:before="69" w:line="220" w:lineRule="auto"/>
              <w:ind w:left="858"/>
              <w:rPr>
                <w:color w:val="auto"/>
                <w:highlight w:val="none"/>
              </w:rPr>
            </w:pPr>
            <w:r>
              <w:rPr>
                <w:color w:val="auto"/>
                <w:spacing w:val="-4"/>
                <w:highlight w:val="none"/>
              </w:rPr>
              <w:t>保修期</w:t>
            </w:r>
          </w:p>
        </w:tc>
        <w:tc>
          <w:tcPr>
            <w:tcW w:w="1515" w:type="dxa"/>
            <w:vAlign w:val="top"/>
          </w:tcPr>
          <w:p w14:paraId="18760F1A">
            <w:pPr>
              <w:spacing w:line="272" w:lineRule="auto"/>
              <w:rPr>
                <w:rFonts w:ascii="Arial"/>
                <w:color w:val="auto"/>
                <w:sz w:val="21"/>
                <w:highlight w:val="none"/>
              </w:rPr>
            </w:pPr>
          </w:p>
          <w:p w14:paraId="36C5C002">
            <w:pPr>
              <w:pStyle w:val="17"/>
              <w:spacing w:before="68" w:line="232" w:lineRule="auto"/>
              <w:ind w:left="305"/>
              <w:rPr>
                <w:color w:val="auto"/>
                <w:highlight w:val="none"/>
              </w:rPr>
            </w:pPr>
            <w:r>
              <w:rPr>
                <w:color w:val="auto"/>
                <w:spacing w:val="-4"/>
                <w:highlight w:val="none"/>
              </w:rPr>
              <w:t>19.7（1）</w:t>
            </w:r>
          </w:p>
        </w:tc>
        <w:tc>
          <w:tcPr>
            <w:tcW w:w="3058" w:type="dxa"/>
            <w:vAlign w:val="top"/>
          </w:tcPr>
          <w:p w14:paraId="20C8A8A3">
            <w:pPr>
              <w:pStyle w:val="17"/>
              <w:spacing w:before="151" w:line="220" w:lineRule="auto"/>
              <w:rPr>
                <w:rFonts w:hint="eastAsia"/>
                <w:color w:val="auto"/>
                <w:spacing w:val="-4"/>
                <w:highlight w:val="none"/>
              </w:rPr>
            </w:pPr>
            <w:r>
              <w:rPr>
                <w:rFonts w:hint="eastAsia"/>
                <w:color w:val="auto"/>
                <w:spacing w:val="-4"/>
                <w:highlight w:val="none"/>
              </w:rPr>
              <w:t>自实际交工日期起计算 5 年（绿化工程除外）</w:t>
            </w:r>
          </w:p>
          <w:p w14:paraId="19259CA0">
            <w:pPr>
              <w:pStyle w:val="17"/>
              <w:spacing w:before="151" w:line="220" w:lineRule="auto"/>
              <w:rPr>
                <w:color w:val="auto"/>
                <w:highlight w:val="none"/>
              </w:rPr>
            </w:pPr>
            <w:r>
              <w:rPr>
                <w:rFonts w:hint="eastAsia"/>
                <w:color w:val="auto"/>
                <w:spacing w:val="-4"/>
                <w:highlight w:val="none"/>
              </w:rPr>
              <w:t>绿化工程：自本项目实际交工日期之日起计算12个月后，移交发包人或发包人委托的养护单位进行后续的管理养护工作。</w:t>
            </w:r>
          </w:p>
        </w:tc>
        <w:tc>
          <w:tcPr>
            <w:tcW w:w="1534" w:type="dxa"/>
            <w:vAlign w:val="top"/>
          </w:tcPr>
          <w:p w14:paraId="6F9AC555">
            <w:pPr>
              <w:rPr>
                <w:rFonts w:ascii="Arial"/>
                <w:color w:val="auto"/>
                <w:sz w:val="21"/>
                <w:highlight w:val="none"/>
              </w:rPr>
            </w:pPr>
          </w:p>
        </w:tc>
      </w:tr>
    </w:tbl>
    <w:p w14:paraId="3D27DE97">
      <w:pPr>
        <w:pStyle w:val="3"/>
        <w:spacing w:line="253" w:lineRule="auto"/>
        <w:rPr>
          <w:color w:val="auto"/>
          <w:highlight w:val="none"/>
        </w:rPr>
      </w:pPr>
    </w:p>
    <w:p w14:paraId="139BDDE5">
      <w:pPr>
        <w:pStyle w:val="3"/>
        <w:spacing w:line="253" w:lineRule="auto"/>
        <w:rPr>
          <w:color w:val="auto"/>
          <w:highlight w:val="none"/>
        </w:rPr>
      </w:pPr>
    </w:p>
    <w:p w14:paraId="1E8C71D3">
      <w:pPr>
        <w:pStyle w:val="3"/>
        <w:spacing w:line="253" w:lineRule="auto"/>
        <w:rPr>
          <w:color w:val="auto"/>
          <w:highlight w:val="none"/>
        </w:rPr>
      </w:pPr>
    </w:p>
    <w:p w14:paraId="20D1EE77">
      <w:pPr>
        <w:pStyle w:val="3"/>
        <w:spacing w:line="253" w:lineRule="auto"/>
        <w:rPr>
          <w:color w:val="auto"/>
          <w:highlight w:val="none"/>
        </w:rPr>
      </w:pPr>
    </w:p>
    <w:p w14:paraId="3874442E">
      <w:pPr>
        <w:pStyle w:val="3"/>
        <w:spacing w:line="315" w:lineRule="auto"/>
        <w:rPr>
          <w:color w:val="auto"/>
          <w:highlight w:val="none"/>
        </w:rPr>
      </w:pPr>
    </w:p>
    <w:p w14:paraId="7186D596">
      <w:pPr>
        <w:spacing w:before="88" w:line="226" w:lineRule="auto"/>
        <w:ind w:left="3578"/>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二、授权委托书或法定代表人身份证明</w:t>
      </w:r>
    </w:p>
    <w:p w14:paraId="2A2C93F1">
      <w:pPr>
        <w:spacing w:before="271" w:line="241" w:lineRule="auto"/>
        <w:ind w:left="4781"/>
        <w:rPr>
          <w:rFonts w:ascii="宋体" w:hAnsi="宋体" w:eastAsia="宋体" w:cs="宋体"/>
          <w:color w:val="auto"/>
          <w:sz w:val="13"/>
          <w:szCs w:val="13"/>
          <w:highlight w:val="none"/>
        </w:rPr>
      </w:pPr>
      <w:r>
        <w:rPr>
          <w:rFonts w:ascii="宋体" w:hAnsi="宋体" w:eastAsia="宋体" w:cs="宋体"/>
          <w:b/>
          <w:bCs/>
          <w:color w:val="auto"/>
          <w:spacing w:val="5"/>
          <w:sz w:val="27"/>
          <w:szCs w:val="27"/>
          <w:highlight w:val="none"/>
        </w:rPr>
        <w:t>（一）授权委托书</w:t>
      </w:r>
      <w:r>
        <w:rPr>
          <w:rStyle w:val="15"/>
          <w:rFonts w:ascii="宋体" w:hAnsi="宋体" w:eastAsia="宋体" w:cs="宋体"/>
          <w:b/>
          <w:bCs/>
          <w:color w:val="auto"/>
          <w:spacing w:val="5"/>
          <w:sz w:val="27"/>
          <w:szCs w:val="27"/>
          <w:highlight w:val="none"/>
        </w:rPr>
        <w:footnoteReference w:id="10"/>
      </w:r>
    </w:p>
    <w:p w14:paraId="29E98F5A">
      <w:pPr>
        <w:pStyle w:val="3"/>
        <w:spacing w:line="467" w:lineRule="auto"/>
        <w:rPr>
          <w:color w:val="auto"/>
          <w:highlight w:val="none"/>
        </w:rPr>
      </w:pPr>
    </w:p>
    <w:p w14:paraId="4E8BB6DE">
      <w:pPr>
        <w:spacing w:before="78" w:line="360" w:lineRule="auto"/>
        <w:ind w:left="1425" w:right="1430"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本人</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（姓名）系</w:t>
      </w:r>
      <w:r>
        <w:rPr>
          <w:rFonts w:ascii="宋体" w:hAnsi="宋体" w:eastAsia="宋体" w:cs="宋体"/>
          <w:color w:val="auto"/>
          <w:spacing w:val="-95"/>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（投标人名称）的法定代表人，现委托</w:t>
      </w:r>
      <w:r>
        <w:rPr>
          <w:rFonts w:ascii="宋体" w:hAnsi="宋体" w:eastAsia="宋体" w:cs="宋体"/>
          <w:color w:val="auto"/>
          <w:spacing w:val="-103"/>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（姓名）为我方代理人。代理人根据授权，以我方名义签署、澄清确认、</w:t>
      </w:r>
      <w:r>
        <w:rPr>
          <w:rFonts w:ascii="宋体" w:hAnsi="宋体" w:eastAsia="宋体" w:cs="宋体"/>
          <w:color w:val="auto"/>
          <w:spacing w:val="1"/>
          <w:sz w:val="24"/>
          <w:szCs w:val="24"/>
          <w:highlight w:val="none"/>
        </w:rPr>
        <w:t>递交、撤回、修改</w:t>
      </w:r>
      <w:r>
        <w:rPr>
          <w:rFonts w:ascii="宋体" w:hAnsi="宋体" w:eastAsia="宋体" w:cs="宋体"/>
          <w:color w:val="auto"/>
          <w:spacing w:val="-117"/>
          <w:sz w:val="24"/>
          <w:szCs w:val="24"/>
          <w:highlight w:val="none"/>
        </w:rPr>
        <w:t xml:space="preserve"> </w:t>
      </w:r>
      <w:r>
        <w:rPr>
          <w:rFonts w:ascii="宋体" w:hAnsi="宋体" w:eastAsia="宋体" w:cs="宋体"/>
          <w:color w:val="auto"/>
          <w:spacing w:val="1"/>
          <w:sz w:val="24"/>
          <w:szCs w:val="24"/>
          <w:highlight w:val="none"/>
          <w:u w:val="single" w:color="auto"/>
        </w:rPr>
        <w:t xml:space="preserve">             （项目名称</w:t>
      </w:r>
      <w:r>
        <w:rPr>
          <w:rFonts w:ascii="宋体" w:hAnsi="宋体" w:eastAsia="宋体" w:cs="宋体"/>
          <w:color w:val="auto"/>
          <w:sz w:val="24"/>
          <w:szCs w:val="24"/>
          <w:highlight w:val="none"/>
          <w:u w:val="single" w:color="auto"/>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z w:val="24"/>
          <w:szCs w:val="24"/>
          <w:highlight w:val="none"/>
          <w:u w:val="single" w:color="auto"/>
        </w:rPr>
        <w:t>（</w:t>
      </w:r>
      <w:r>
        <w:rPr>
          <w:rFonts w:ascii="宋体" w:hAnsi="宋体" w:eastAsia="宋体" w:cs="宋体"/>
          <w:color w:val="auto"/>
          <w:spacing w:val="1"/>
          <w:sz w:val="24"/>
          <w:szCs w:val="24"/>
          <w:highlight w:val="none"/>
          <w:u w:val="single" w:color="auto"/>
        </w:rPr>
        <w:t>标</w:t>
      </w:r>
      <w:r>
        <w:rPr>
          <w:rFonts w:ascii="宋体" w:hAnsi="宋体" w:eastAsia="宋体" w:cs="宋体"/>
          <w:color w:val="auto"/>
          <w:sz w:val="24"/>
          <w:szCs w:val="24"/>
          <w:highlight w:val="none"/>
          <w:u w:val="single" w:color="auto"/>
        </w:rPr>
        <w:t>类或标段）</w:t>
      </w:r>
      <w:r>
        <w:rPr>
          <w:rFonts w:ascii="宋体" w:hAnsi="宋体" w:eastAsia="宋体" w:cs="宋体"/>
          <w:color w:val="auto"/>
          <w:sz w:val="24"/>
          <w:szCs w:val="24"/>
          <w:highlight w:val="none"/>
        </w:rPr>
        <w:t>施工投标文件、</w:t>
      </w:r>
      <w:r>
        <w:rPr>
          <w:rFonts w:ascii="宋体" w:hAnsi="宋体" w:eastAsia="宋体" w:cs="宋体"/>
          <w:color w:val="auto"/>
          <w:spacing w:val="-2"/>
          <w:sz w:val="24"/>
          <w:szCs w:val="24"/>
          <w:highlight w:val="none"/>
        </w:rPr>
        <w:t>签订合同和处理有关事宜，其法律后果由我方承担。</w:t>
      </w:r>
    </w:p>
    <w:p w14:paraId="34E7B43A">
      <w:pPr>
        <w:spacing w:before="1" w:line="218" w:lineRule="auto"/>
        <w:ind w:left="190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委托期限：自本委托书签署之日起至投标有效期期满。</w:t>
      </w:r>
    </w:p>
    <w:p w14:paraId="0BB0A894">
      <w:pPr>
        <w:spacing w:before="182" w:line="220" w:lineRule="auto"/>
        <w:ind w:left="190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代理人无转委托权。</w:t>
      </w:r>
    </w:p>
    <w:p w14:paraId="7EAE0468">
      <w:pPr>
        <w:pStyle w:val="3"/>
        <w:spacing w:line="284" w:lineRule="auto"/>
        <w:rPr>
          <w:color w:val="auto"/>
          <w:highlight w:val="none"/>
        </w:rPr>
      </w:pPr>
    </w:p>
    <w:p w14:paraId="51AF8A30">
      <w:pPr>
        <w:pStyle w:val="3"/>
        <w:spacing w:line="284" w:lineRule="auto"/>
        <w:rPr>
          <w:color w:val="auto"/>
          <w:highlight w:val="none"/>
        </w:rPr>
      </w:pPr>
    </w:p>
    <w:p w14:paraId="35CE0A63">
      <w:pPr>
        <w:spacing w:before="78" w:line="219" w:lineRule="auto"/>
        <w:ind w:left="192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附：法定代表人身份证扫描件及委托代理人身份证扫描件。</w:t>
      </w:r>
    </w:p>
    <w:p w14:paraId="610C0061">
      <w:pPr>
        <w:pStyle w:val="3"/>
        <w:spacing w:line="284" w:lineRule="auto"/>
        <w:rPr>
          <w:color w:val="auto"/>
          <w:highlight w:val="none"/>
        </w:rPr>
      </w:pPr>
    </w:p>
    <w:p w14:paraId="50CB2FED">
      <w:pPr>
        <w:pStyle w:val="3"/>
        <w:spacing w:line="285" w:lineRule="auto"/>
        <w:rPr>
          <w:color w:val="auto"/>
          <w:highlight w:val="none"/>
        </w:rPr>
      </w:pPr>
    </w:p>
    <w:p w14:paraId="00D3BD6F">
      <w:pPr>
        <w:spacing w:before="79" w:line="219" w:lineRule="auto"/>
        <w:ind w:left="50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盖单位章）</w:t>
      </w:r>
    </w:p>
    <w:p w14:paraId="70B4BF65">
      <w:pPr>
        <w:spacing w:before="184" w:line="360" w:lineRule="auto"/>
        <w:ind w:left="5031" w:right="2088" w:hanging="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签字）身份证号码：</w:t>
      </w:r>
      <w:r>
        <w:rPr>
          <w:rFonts w:ascii="宋体" w:hAnsi="宋体" w:eastAsia="宋体" w:cs="宋体"/>
          <w:color w:val="auto"/>
          <w:sz w:val="24"/>
          <w:szCs w:val="24"/>
          <w:highlight w:val="none"/>
          <w:u w:val="single" w:color="auto"/>
        </w:rPr>
        <w:t xml:space="preserve">                            </w:t>
      </w:r>
    </w:p>
    <w:p w14:paraId="6ACAF44D">
      <w:pPr>
        <w:spacing w:before="2" w:line="359" w:lineRule="auto"/>
        <w:ind w:left="5031" w:right="2088" w:hanging="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委托代理人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签字）身份证号码：</w:t>
      </w:r>
      <w:r>
        <w:rPr>
          <w:rFonts w:ascii="宋体" w:hAnsi="宋体" w:eastAsia="宋体" w:cs="宋体"/>
          <w:color w:val="auto"/>
          <w:sz w:val="24"/>
          <w:szCs w:val="24"/>
          <w:highlight w:val="none"/>
          <w:u w:val="single" w:color="auto"/>
        </w:rPr>
        <w:t xml:space="preserve">                            </w:t>
      </w:r>
    </w:p>
    <w:p w14:paraId="6F380D6C">
      <w:pPr>
        <w:tabs>
          <w:tab w:val="left" w:pos="7895"/>
        </w:tabs>
        <w:spacing w:before="1" w:line="219" w:lineRule="auto"/>
        <w:ind w:left="7415"/>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719B0AE0">
      <w:pPr>
        <w:pStyle w:val="3"/>
        <w:spacing w:line="244" w:lineRule="auto"/>
        <w:rPr>
          <w:color w:val="auto"/>
          <w:highlight w:val="none"/>
        </w:rPr>
      </w:pPr>
    </w:p>
    <w:p w14:paraId="20A67C60">
      <w:pPr>
        <w:pStyle w:val="3"/>
        <w:spacing w:line="245" w:lineRule="auto"/>
        <w:rPr>
          <w:color w:val="auto"/>
          <w:highlight w:val="none"/>
        </w:rPr>
      </w:pPr>
    </w:p>
    <w:p w14:paraId="46B2BB3F">
      <w:pPr>
        <w:pStyle w:val="3"/>
        <w:spacing w:line="245" w:lineRule="auto"/>
        <w:rPr>
          <w:color w:val="auto"/>
          <w:highlight w:val="none"/>
        </w:rPr>
      </w:pPr>
    </w:p>
    <w:p w14:paraId="1F72893D">
      <w:pPr>
        <w:pStyle w:val="3"/>
        <w:spacing w:line="245" w:lineRule="auto"/>
        <w:rPr>
          <w:color w:val="auto"/>
          <w:highlight w:val="none"/>
        </w:rPr>
      </w:pPr>
    </w:p>
    <w:p w14:paraId="01C971CF">
      <w:pPr>
        <w:spacing w:before="69"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19CA751C">
      <w:pPr>
        <w:spacing w:before="57" w:line="247" w:lineRule="auto"/>
        <w:ind w:left="1435" w:right="1423" w:firstLine="3"/>
        <w:rPr>
          <w:rFonts w:ascii="宋体" w:hAnsi="宋体" w:eastAsia="宋体" w:cs="宋体"/>
          <w:color w:val="auto"/>
          <w:sz w:val="21"/>
          <w:szCs w:val="21"/>
          <w:highlight w:val="none"/>
        </w:rPr>
      </w:pPr>
      <w:r>
        <w:rPr>
          <w:rFonts w:ascii="宋体" w:hAnsi="宋体" w:eastAsia="宋体" w:cs="宋体"/>
          <w:color w:val="auto"/>
          <w:sz w:val="21"/>
          <w:szCs w:val="21"/>
          <w:highlight w:val="none"/>
        </w:rPr>
        <w:t>1.法定代表人和委托代理人必须在授权书上签名；如果由投标人的委托代理人签署投标文件，则不</w:t>
      </w:r>
      <w:r>
        <w:rPr>
          <w:rFonts w:ascii="宋体" w:hAnsi="宋体" w:eastAsia="宋体" w:cs="宋体"/>
          <w:color w:val="auto"/>
          <w:spacing w:val="-3"/>
          <w:sz w:val="21"/>
          <w:szCs w:val="21"/>
          <w:highlight w:val="none"/>
        </w:rPr>
        <w:t>需提交（二）法定代表人身份证明。</w:t>
      </w:r>
    </w:p>
    <w:p w14:paraId="3C284952">
      <w:pPr>
        <w:spacing w:before="62" w:line="219" w:lineRule="auto"/>
        <w:ind w:left="1426"/>
        <w:rPr>
          <w:rFonts w:ascii="宋体" w:hAnsi="宋体" w:eastAsia="宋体" w:cs="宋体"/>
          <w:color w:val="auto"/>
          <w:sz w:val="21"/>
          <w:szCs w:val="21"/>
          <w:highlight w:val="none"/>
        </w:rPr>
      </w:pPr>
      <w:r>
        <w:rPr>
          <w:rFonts w:ascii="宋体" w:hAnsi="宋体" w:eastAsia="宋体" w:cs="宋体"/>
          <w:strike/>
          <w:dstrike w:val="0"/>
          <w:color w:val="auto"/>
          <w:spacing w:val="-1"/>
          <w:sz w:val="21"/>
          <w:szCs w:val="21"/>
          <w:highlight w:val="none"/>
        </w:rPr>
        <w:t>2.以联合体形式投标的，本授权委托书应由联合体牵头人的法定代表人按上述规定签署。</w:t>
      </w:r>
    </w:p>
    <w:p w14:paraId="51A85DF1">
      <w:pPr>
        <w:pStyle w:val="3"/>
        <w:spacing w:line="247" w:lineRule="auto"/>
        <w:rPr>
          <w:color w:val="auto"/>
          <w:highlight w:val="none"/>
        </w:rPr>
      </w:pPr>
    </w:p>
    <w:p w14:paraId="234872C5">
      <w:pPr>
        <w:pStyle w:val="3"/>
        <w:spacing w:line="247" w:lineRule="auto"/>
        <w:rPr>
          <w:color w:val="auto"/>
          <w:highlight w:val="none"/>
        </w:rPr>
      </w:pPr>
    </w:p>
    <w:p w14:paraId="1D9DD41B">
      <w:pPr>
        <w:pStyle w:val="3"/>
        <w:spacing w:line="247" w:lineRule="auto"/>
        <w:rPr>
          <w:color w:val="auto"/>
          <w:highlight w:val="none"/>
        </w:rPr>
      </w:pPr>
    </w:p>
    <w:p w14:paraId="18E0B535">
      <w:pPr>
        <w:pStyle w:val="3"/>
        <w:spacing w:line="247" w:lineRule="auto"/>
        <w:rPr>
          <w:color w:val="auto"/>
          <w:highlight w:val="none"/>
        </w:rPr>
      </w:pPr>
    </w:p>
    <w:p w14:paraId="70BCA379">
      <w:pPr>
        <w:pStyle w:val="3"/>
        <w:spacing w:line="247" w:lineRule="auto"/>
        <w:rPr>
          <w:color w:val="auto"/>
          <w:highlight w:val="none"/>
        </w:rPr>
      </w:pPr>
    </w:p>
    <w:p w14:paraId="2FBA9703">
      <w:pPr>
        <w:pStyle w:val="3"/>
        <w:spacing w:line="248" w:lineRule="auto"/>
        <w:rPr>
          <w:color w:val="auto"/>
          <w:highlight w:val="none"/>
        </w:rPr>
      </w:pPr>
    </w:p>
    <w:p w14:paraId="6DD32E3B">
      <w:pPr>
        <w:pStyle w:val="3"/>
        <w:spacing w:line="248" w:lineRule="auto"/>
        <w:rPr>
          <w:color w:val="auto"/>
          <w:highlight w:val="none"/>
        </w:rPr>
      </w:pPr>
    </w:p>
    <w:p w14:paraId="478A7E3C">
      <w:pPr>
        <w:pStyle w:val="3"/>
        <w:spacing w:line="248" w:lineRule="auto"/>
        <w:rPr>
          <w:color w:val="auto"/>
          <w:highlight w:val="none"/>
        </w:rPr>
      </w:pPr>
    </w:p>
    <w:p w14:paraId="782128CF">
      <w:pPr>
        <w:pStyle w:val="3"/>
        <w:spacing w:line="248" w:lineRule="auto"/>
        <w:rPr>
          <w:color w:val="auto"/>
          <w:highlight w:val="none"/>
        </w:rPr>
      </w:pPr>
    </w:p>
    <w:p w14:paraId="40647D1E">
      <w:pPr>
        <w:spacing w:line="217" w:lineRule="auto"/>
        <w:rPr>
          <w:rFonts w:ascii="宋体" w:hAnsi="宋体" w:eastAsia="宋体" w:cs="宋体"/>
          <w:color w:val="auto"/>
          <w:sz w:val="18"/>
          <w:szCs w:val="18"/>
          <w:highlight w:val="none"/>
        </w:rPr>
        <w:sectPr>
          <w:headerReference r:id="rId155" w:type="default"/>
          <w:footerReference r:id="rId156" w:type="default"/>
          <w:footnotePr>
            <w:numFmt w:val="decimalEnclosedCircleChinese"/>
            <w:numRestart w:val="eachPage"/>
          </w:footnotePr>
          <w:pgSz w:w="11905" w:h="16840"/>
          <w:pgMar w:top="1182" w:right="0" w:bottom="1171" w:left="0" w:header="849" w:footer="937" w:gutter="0"/>
          <w:pgNumType w:fmt="decimal"/>
          <w:cols w:space="720" w:num="1"/>
        </w:sectPr>
      </w:pPr>
    </w:p>
    <w:p w14:paraId="0AA0DCF7">
      <w:pPr>
        <w:pStyle w:val="3"/>
        <w:spacing w:line="316" w:lineRule="auto"/>
        <w:rPr>
          <w:color w:val="auto"/>
          <w:highlight w:val="none"/>
        </w:rPr>
      </w:pPr>
    </w:p>
    <w:p w14:paraId="14D1CA54">
      <w:pPr>
        <w:spacing w:before="88" w:line="226" w:lineRule="auto"/>
        <w:ind w:left="4289"/>
        <w:rPr>
          <w:rFonts w:ascii="宋体" w:hAnsi="宋体" w:eastAsia="宋体" w:cs="宋体"/>
          <w:color w:val="auto"/>
          <w:sz w:val="27"/>
          <w:szCs w:val="27"/>
          <w:highlight w:val="none"/>
        </w:rPr>
      </w:pPr>
      <w:r>
        <w:rPr>
          <w:rFonts w:ascii="宋体" w:hAnsi="宋体" w:eastAsia="宋体" w:cs="宋体"/>
          <w:b/>
          <w:bCs/>
          <w:color w:val="auto"/>
          <w:spacing w:val="3"/>
          <w:sz w:val="27"/>
          <w:szCs w:val="27"/>
          <w:highlight w:val="none"/>
        </w:rPr>
        <w:t>（二）法定代表人身份证明</w:t>
      </w:r>
    </w:p>
    <w:p w14:paraId="471A7A15">
      <w:pPr>
        <w:pStyle w:val="3"/>
        <w:spacing w:line="466" w:lineRule="auto"/>
        <w:rPr>
          <w:color w:val="auto"/>
          <w:highlight w:val="none"/>
        </w:rPr>
      </w:pPr>
    </w:p>
    <w:p w14:paraId="2A03A111">
      <w:pPr>
        <w:spacing w:before="78" w:line="220" w:lineRule="auto"/>
        <w:ind w:left="14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投标人名称：</w:t>
      </w:r>
      <w:r>
        <w:rPr>
          <w:rFonts w:ascii="宋体" w:hAnsi="宋体" w:eastAsia="宋体" w:cs="宋体"/>
          <w:color w:val="auto"/>
          <w:sz w:val="24"/>
          <w:szCs w:val="24"/>
          <w:highlight w:val="none"/>
          <w:u w:val="single" w:color="auto"/>
        </w:rPr>
        <w:t xml:space="preserve">                        </w:t>
      </w:r>
    </w:p>
    <w:p w14:paraId="6E5450CB">
      <w:pPr>
        <w:spacing w:before="181" w:line="220" w:lineRule="auto"/>
        <w:ind w:left="1425"/>
        <w:rPr>
          <w:rFonts w:ascii="宋体" w:hAnsi="宋体" w:eastAsia="宋体" w:cs="宋体"/>
          <w:color w:val="auto"/>
          <w:sz w:val="24"/>
          <w:szCs w:val="24"/>
          <w:highlight w:val="none"/>
        </w:rPr>
      </w:pPr>
      <w:r>
        <w:rPr>
          <w:rFonts w:ascii="宋体" w:hAnsi="宋体" w:eastAsia="宋体" w:cs="宋体"/>
          <w:color w:val="auto"/>
          <w:sz w:val="24"/>
          <w:szCs w:val="24"/>
          <w:highlight w:val="none"/>
        </w:rPr>
        <w:t>姓名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法定代表人签名） 性别：</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 xml:space="preserve">  年龄：</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职务：</w:t>
      </w:r>
      <w:r>
        <w:rPr>
          <w:rFonts w:ascii="宋体" w:hAnsi="宋体" w:eastAsia="宋体" w:cs="宋体"/>
          <w:color w:val="auto"/>
          <w:sz w:val="24"/>
          <w:szCs w:val="24"/>
          <w:highlight w:val="none"/>
          <w:u w:val="single" w:color="auto"/>
        </w:rPr>
        <w:t xml:space="preserve">    </w:t>
      </w:r>
    </w:p>
    <w:p w14:paraId="11B28621">
      <w:pPr>
        <w:spacing w:before="182" w:line="220" w:lineRule="auto"/>
        <w:ind w:left="143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系</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2"/>
          <w:sz w:val="24"/>
          <w:szCs w:val="24"/>
          <w:highlight w:val="none"/>
        </w:rPr>
        <w:t>（投标人名称）的法定代表人。</w:t>
      </w:r>
    </w:p>
    <w:p w14:paraId="514CCC5D">
      <w:pPr>
        <w:spacing w:before="182" w:line="220" w:lineRule="auto"/>
        <w:ind w:left="1905"/>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特此证明。</w:t>
      </w:r>
    </w:p>
    <w:p w14:paraId="2AE765D2">
      <w:pPr>
        <w:pStyle w:val="3"/>
        <w:spacing w:line="284" w:lineRule="auto"/>
        <w:rPr>
          <w:color w:val="auto"/>
          <w:highlight w:val="none"/>
        </w:rPr>
      </w:pPr>
    </w:p>
    <w:p w14:paraId="32DBBBF8">
      <w:pPr>
        <w:pStyle w:val="3"/>
        <w:spacing w:line="284" w:lineRule="auto"/>
        <w:rPr>
          <w:color w:val="auto"/>
          <w:highlight w:val="none"/>
        </w:rPr>
      </w:pPr>
    </w:p>
    <w:p w14:paraId="5823DB2C">
      <w:pPr>
        <w:spacing w:before="78" w:line="219" w:lineRule="auto"/>
        <w:ind w:left="192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附：法定代表人身份证扫描件。</w:t>
      </w:r>
    </w:p>
    <w:p w14:paraId="7FCDC822">
      <w:pPr>
        <w:pStyle w:val="3"/>
        <w:spacing w:line="285" w:lineRule="auto"/>
        <w:rPr>
          <w:color w:val="auto"/>
          <w:highlight w:val="none"/>
        </w:rPr>
      </w:pPr>
    </w:p>
    <w:p w14:paraId="42449775">
      <w:pPr>
        <w:pStyle w:val="3"/>
        <w:spacing w:line="285" w:lineRule="auto"/>
        <w:rPr>
          <w:color w:val="auto"/>
          <w:highlight w:val="none"/>
        </w:rPr>
      </w:pPr>
    </w:p>
    <w:p w14:paraId="0D51217C">
      <w:pPr>
        <w:tabs>
          <w:tab w:val="left" w:pos="8807"/>
        </w:tabs>
        <w:spacing w:before="78" w:line="362" w:lineRule="auto"/>
        <w:ind w:left="8327" w:right="1416" w:hanging="17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（盖单位章）</w:t>
      </w:r>
      <w:r>
        <w:rPr>
          <w:rFonts w:ascii="宋体" w:hAnsi="宋体" w:eastAsia="宋体" w:cs="宋体"/>
          <w:color w:val="auto"/>
          <w:sz w:val="24"/>
          <w:szCs w:val="24"/>
          <w:highlight w:val="none"/>
          <w:u w:val="single" w:color="auto"/>
        </w:rPr>
        <w:tab/>
      </w:r>
      <w:r>
        <w:rPr>
          <w:rFonts w:ascii="宋体" w:hAnsi="宋体" w:eastAsia="宋体" w:cs="宋体"/>
          <w:color w:val="auto"/>
          <w:spacing w:val="-108"/>
          <w:sz w:val="24"/>
          <w:szCs w:val="24"/>
          <w:highlight w:val="none"/>
        </w:rPr>
        <w:t xml:space="preserve"> </w:t>
      </w:r>
      <w:r>
        <w:rPr>
          <w:rFonts w:ascii="宋体" w:hAnsi="宋体" w:eastAsia="宋体" w:cs="宋体"/>
          <w:color w:val="auto"/>
          <w:spacing w:val="-26"/>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6"/>
          <w:sz w:val="24"/>
          <w:szCs w:val="24"/>
          <w:highlight w:val="none"/>
        </w:rPr>
        <w:t>日</w:t>
      </w:r>
    </w:p>
    <w:p w14:paraId="36A088F5">
      <w:pPr>
        <w:pStyle w:val="3"/>
        <w:spacing w:line="241" w:lineRule="auto"/>
        <w:rPr>
          <w:color w:val="auto"/>
          <w:highlight w:val="none"/>
        </w:rPr>
      </w:pPr>
    </w:p>
    <w:p w14:paraId="51D2353D">
      <w:pPr>
        <w:pStyle w:val="3"/>
        <w:spacing w:line="241" w:lineRule="auto"/>
        <w:rPr>
          <w:color w:val="auto"/>
          <w:highlight w:val="none"/>
        </w:rPr>
      </w:pPr>
    </w:p>
    <w:p w14:paraId="63A74FB8">
      <w:pPr>
        <w:pStyle w:val="3"/>
        <w:spacing w:line="241" w:lineRule="auto"/>
        <w:rPr>
          <w:color w:val="auto"/>
          <w:highlight w:val="none"/>
        </w:rPr>
      </w:pPr>
    </w:p>
    <w:p w14:paraId="1E68D33F">
      <w:pPr>
        <w:pStyle w:val="3"/>
        <w:spacing w:line="241" w:lineRule="auto"/>
        <w:rPr>
          <w:color w:val="auto"/>
          <w:highlight w:val="none"/>
        </w:rPr>
      </w:pPr>
    </w:p>
    <w:p w14:paraId="50E5EDE4">
      <w:pPr>
        <w:pStyle w:val="3"/>
        <w:spacing w:line="241" w:lineRule="auto"/>
        <w:rPr>
          <w:color w:val="auto"/>
          <w:highlight w:val="none"/>
        </w:rPr>
      </w:pPr>
    </w:p>
    <w:p w14:paraId="48BADE26">
      <w:pPr>
        <w:pStyle w:val="3"/>
        <w:spacing w:line="241" w:lineRule="auto"/>
        <w:rPr>
          <w:color w:val="auto"/>
          <w:highlight w:val="none"/>
        </w:rPr>
      </w:pPr>
    </w:p>
    <w:p w14:paraId="68F1328A">
      <w:pPr>
        <w:pStyle w:val="3"/>
        <w:spacing w:line="241" w:lineRule="auto"/>
        <w:rPr>
          <w:color w:val="auto"/>
          <w:highlight w:val="none"/>
        </w:rPr>
      </w:pPr>
    </w:p>
    <w:p w14:paraId="57EDB864">
      <w:pPr>
        <w:pStyle w:val="3"/>
        <w:spacing w:line="241" w:lineRule="auto"/>
        <w:rPr>
          <w:color w:val="auto"/>
          <w:highlight w:val="none"/>
        </w:rPr>
      </w:pPr>
    </w:p>
    <w:p w14:paraId="03FFDE5F">
      <w:pPr>
        <w:pStyle w:val="3"/>
        <w:spacing w:line="241" w:lineRule="auto"/>
        <w:rPr>
          <w:color w:val="auto"/>
          <w:highlight w:val="none"/>
        </w:rPr>
      </w:pPr>
    </w:p>
    <w:p w14:paraId="06BC87F4">
      <w:pPr>
        <w:pStyle w:val="3"/>
        <w:spacing w:line="242" w:lineRule="auto"/>
        <w:rPr>
          <w:color w:val="auto"/>
          <w:highlight w:val="none"/>
        </w:rPr>
      </w:pPr>
    </w:p>
    <w:p w14:paraId="6B73E128">
      <w:pPr>
        <w:pStyle w:val="3"/>
        <w:spacing w:line="242" w:lineRule="auto"/>
        <w:rPr>
          <w:color w:val="auto"/>
          <w:highlight w:val="none"/>
        </w:rPr>
      </w:pPr>
    </w:p>
    <w:p w14:paraId="7C471AC5">
      <w:pPr>
        <w:spacing w:before="68" w:line="220" w:lineRule="auto"/>
        <w:ind w:left="1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注：法定代表人必须在法定代表人身份证明上签名。</w:t>
      </w:r>
    </w:p>
    <w:p w14:paraId="2CB8B33B">
      <w:pPr>
        <w:spacing w:line="220" w:lineRule="auto"/>
        <w:rPr>
          <w:rFonts w:ascii="宋体" w:hAnsi="宋体" w:eastAsia="宋体" w:cs="宋体"/>
          <w:color w:val="auto"/>
          <w:sz w:val="21"/>
          <w:szCs w:val="21"/>
          <w:highlight w:val="none"/>
        </w:rPr>
        <w:sectPr>
          <w:headerReference r:id="rId157" w:type="default"/>
          <w:footerReference r:id="rId158" w:type="default"/>
          <w:pgSz w:w="11905" w:h="16840"/>
          <w:pgMar w:top="1182" w:right="0" w:bottom="1171" w:left="0" w:header="849" w:footer="937" w:gutter="0"/>
          <w:pgNumType w:fmt="decimal"/>
          <w:cols w:space="720" w:num="1"/>
        </w:sectPr>
      </w:pPr>
    </w:p>
    <w:p w14:paraId="09F0EE78">
      <w:pPr>
        <w:pStyle w:val="3"/>
        <w:spacing w:line="293" w:lineRule="auto"/>
        <w:rPr>
          <w:color w:val="auto"/>
          <w:highlight w:val="none"/>
        </w:rPr>
      </w:pPr>
    </w:p>
    <w:p w14:paraId="642EE31C">
      <w:pPr>
        <w:spacing w:before="88" w:line="241" w:lineRule="auto"/>
        <w:ind w:left="4768"/>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三、联合体协议书</w:t>
      </w:r>
    </w:p>
    <w:p w14:paraId="3F5304E8">
      <w:pPr>
        <w:tabs>
          <w:tab w:val="left" w:pos="4056"/>
        </w:tabs>
        <w:spacing w:before="235" w:line="360" w:lineRule="auto"/>
        <w:ind w:left="1428" w:right="1416" w:firstLine="467"/>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2"/>
          <w:sz w:val="24"/>
          <w:szCs w:val="24"/>
          <w:highlight w:val="none"/>
        </w:rPr>
        <w:t>（所有成员单位名称）自愿组成</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67"/>
          <w:sz w:val="24"/>
          <w:szCs w:val="24"/>
          <w:highlight w:val="none"/>
        </w:rPr>
        <w:t xml:space="preserve"> </w:t>
      </w:r>
      <w:r>
        <w:rPr>
          <w:rFonts w:ascii="宋体" w:hAnsi="宋体" w:eastAsia="宋体" w:cs="宋体"/>
          <w:strike/>
          <w:dstrike w:val="0"/>
          <w:color w:val="auto"/>
          <w:spacing w:val="-2"/>
          <w:sz w:val="24"/>
          <w:szCs w:val="24"/>
          <w:highlight w:val="none"/>
        </w:rPr>
        <w:t>(联合体</w:t>
      </w:r>
      <w:r>
        <w:rPr>
          <w:rFonts w:ascii="宋体" w:hAnsi="宋体" w:eastAsia="宋体" w:cs="宋体"/>
          <w:strike/>
          <w:dstrike w:val="0"/>
          <w:color w:val="auto"/>
          <w:spacing w:val="-1"/>
          <w:sz w:val="24"/>
          <w:szCs w:val="24"/>
          <w:highlight w:val="none"/>
        </w:rPr>
        <w:t>名称）联合体，共同参加</w:t>
      </w:r>
      <w:r>
        <w:rPr>
          <w:rFonts w:ascii="宋体" w:hAnsi="宋体" w:eastAsia="宋体" w:cs="宋体"/>
          <w:strike/>
          <w:dstrike w:val="0"/>
          <w:color w:val="auto"/>
          <w:spacing w:val="-1"/>
          <w:sz w:val="24"/>
          <w:szCs w:val="24"/>
          <w:highlight w:val="none"/>
          <w:u w:val="single" w:color="auto"/>
        </w:rPr>
        <w:t xml:space="preserve">     (项目名称</w:t>
      </w:r>
      <w:r>
        <w:rPr>
          <w:rFonts w:ascii="宋体" w:hAnsi="宋体" w:eastAsia="宋体" w:cs="宋体"/>
          <w:strike/>
          <w:dstrike w:val="0"/>
          <w:color w:val="auto"/>
          <w:spacing w:val="-4"/>
          <w:sz w:val="24"/>
          <w:szCs w:val="24"/>
          <w:highlight w:val="none"/>
          <w:u w:val="single" w:color="auto"/>
        </w:rPr>
        <w:t>）</w:t>
      </w:r>
      <w:r>
        <w:rPr>
          <w:rFonts w:ascii="宋体" w:hAnsi="宋体" w:eastAsia="宋体" w:cs="宋体"/>
          <w:strike/>
          <w:dstrike w:val="0"/>
          <w:color w:val="auto"/>
          <w:spacing w:val="34"/>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宋体" w:hAnsi="宋体" w:eastAsia="宋体" w:cs="宋体"/>
          <w:strike/>
          <w:dstrike w:val="0"/>
          <w:color w:val="auto"/>
          <w:spacing w:val="-1"/>
          <w:sz w:val="24"/>
          <w:szCs w:val="24"/>
          <w:highlight w:val="none"/>
          <w:u w:val="single" w:color="auto"/>
        </w:rPr>
        <w:t>标类或标段）</w:t>
      </w:r>
      <w:r>
        <w:rPr>
          <w:rFonts w:ascii="宋体" w:hAnsi="宋体" w:eastAsia="宋体" w:cs="宋体"/>
          <w:strike/>
          <w:dstrike w:val="0"/>
          <w:color w:val="auto"/>
          <w:spacing w:val="-1"/>
          <w:sz w:val="24"/>
          <w:szCs w:val="24"/>
          <w:highlight w:val="none"/>
        </w:rPr>
        <w:t>施工投标。现就联合体</w:t>
      </w:r>
      <w:r>
        <w:rPr>
          <w:rFonts w:ascii="宋体" w:hAnsi="宋体" w:eastAsia="宋体" w:cs="宋体"/>
          <w:strike/>
          <w:dstrike w:val="0"/>
          <w:color w:val="auto"/>
          <w:spacing w:val="-4"/>
          <w:sz w:val="24"/>
          <w:szCs w:val="24"/>
          <w:highlight w:val="none"/>
        </w:rPr>
        <w:t>投标事宜订立如下协议。</w:t>
      </w:r>
    </w:p>
    <w:p w14:paraId="5FC4F6CD">
      <w:pPr>
        <w:spacing w:before="1" w:line="218" w:lineRule="auto"/>
        <w:ind w:left="19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 xml:space="preserve">1. </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4"/>
          <w:sz w:val="24"/>
          <w:szCs w:val="24"/>
          <w:highlight w:val="none"/>
        </w:rPr>
        <w:t>（某成员单位名称）为</w:t>
      </w:r>
      <w:r>
        <w:rPr>
          <w:rFonts w:ascii="宋体" w:hAnsi="宋体" w:eastAsia="宋体" w:cs="宋体"/>
          <w:strike/>
          <w:dstrike w:val="0"/>
          <w:color w:val="auto"/>
          <w:spacing w:val="-99"/>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68"/>
          <w:sz w:val="24"/>
          <w:szCs w:val="24"/>
          <w:highlight w:val="none"/>
        </w:rPr>
        <w:t xml:space="preserve"> </w:t>
      </w:r>
      <w:r>
        <w:rPr>
          <w:rFonts w:ascii="宋体" w:hAnsi="宋体" w:eastAsia="宋体" w:cs="宋体"/>
          <w:strike/>
          <w:dstrike w:val="0"/>
          <w:color w:val="auto"/>
          <w:spacing w:val="-4"/>
          <w:sz w:val="24"/>
          <w:szCs w:val="24"/>
          <w:highlight w:val="none"/>
        </w:rPr>
        <w:t>(联合体名称）牵头人。</w:t>
      </w:r>
    </w:p>
    <w:p w14:paraId="06E0087E">
      <w:pPr>
        <w:spacing w:before="183" w:line="313" w:lineRule="auto"/>
        <w:ind w:left="1424" w:right="1416"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 联合体各成员授权牵头人代表联合体参加投标活动，签署文件，提交和接收相</w:t>
      </w:r>
      <w:r>
        <w:rPr>
          <w:rFonts w:ascii="宋体" w:hAnsi="宋体" w:eastAsia="宋体" w:cs="宋体"/>
          <w:strike/>
          <w:dstrike w:val="0"/>
          <w:color w:val="auto"/>
          <w:spacing w:val="-7"/>
          <w:sz w:val="24"/>
          <w:szCs w:val="24"/>
          <w:highlight w:val="none"/>
        </w:rPr>
        <w:t>关的资料、信息及指示，</w:t>
      </w:r>
      <w:r>
        <w:rPr>
          <w:rFonts w:ascii="宋体" w:hAnsi="宋体" w:eastAsia="宋体" w:cs="宋体"/>
          <w:strike/>
          <w:dstrike w:val="0"/>
          <w:color w:val="auto"/>
          <w:spacing w:val="-25"/>
          <w:sz w:val="24"/>
          <w:szCs w:val="24"/>
          <w:highlight w:val="none"/>
        </w:rPr>
        <w:t xml:space="preserve"> </w:t>
      </w:r>
      <w:r>
        <w:rPr>
          <w:rFonts w:ascii="宋体" w:hAnsi="宋体" w:eastAsia="宋体" w:cs="宋体"/>
          <w:strike/>
          <w:dstrike w:val="0"/>
          <w:color w:val="auto"/>
          <w:spacing w:val="-7"/>
          <w:sz w:val="24"/>
          <w:szCs w:val="24"/>
          <w:highlight w:val="none"/>
        </w:rPr>
        <w:t>进行合同谈判活动，负责合同实施阶段的组织和协调工作， 以</w:t>
      </w:r>
      <w:r>
        <w:rPr>
          <w:rFonts w:ascii="宋体" w:hAnsi="宋体" w:eastAsia="宋体" w:cs="宋体"/>
          <w:strike/>
          <w:dstrike w:val="0"/>
          <w:color w:val="auto"/>
          <w:spacing w:val="-3"/>
          <w:sz w:val="24"/>
          <w:szCs w:val="24"/>
          <w:highlight w:val="none"/>
        </w:rPr>
        <w:t>及处理与本招标项目有关的一切事宜。</w:t>
      </w:r>
    </w:p>
    <w:p w14:paraId="03480376">
      <w:pPr>
        <w:spacing w:before="184" w:line="313" w:lineRule="auto"/>
        <w:ind w:left="1431" w:right="1421"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 联合体牵头人在本项目中签署的一切文件和处理的一切事宜，联合体各成员均</w:t>
      </w:r>
      <w:r>
        <w:rPr>
          <w:rFonts w:ascii="宋体" w:hAnsi="宋体" w:eastAsia="宋体" w:cs="宋体"/>
          <w:strike/>
          <w:dstrike w:val="0"/>
          <w:color w:val="auto"/>
          <w:spacing w:val="-2"/>
          <w:sz w:val="24"/>
          <w:szCs w:val="24"/>
          <w:highlight w:val="none"/>
        </w:rPr>
        <w:t>予以承认。联合体各成员将严格按照招标文件、投标文件和合同的要求全面履行义务，</w:t>
      </w:r>
      <w:r>
        <w:rPr>
          <w:rFonts w:ascii="宋体" w:hAnsi="宋体" w:eastAsia="宋体" w:cs="宋体"/>
          <w:strike/>
          <w:dstrike w:val="0"/>
          <w:color w:val="auto"/>
          <w:spacing w:val="-4"/>
          <w:sz w:val="24"/>
          <w:szCs w:val="24"/>
          <w:highlight w:val="none"/>
        </w:rPr>
        <w:t>并向招标人承担连带责任。</w:t>
      </w:r>
    </w:p>
    <w:p w14:paraId="67E0AAA1">
      <w:pPr>
        <w:spacing w:before="182" w:line="290" w:lineRule="auto"/>
        <w:ind w:left="1424" w:right="1283"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4.联合体各成员单位内部的职责分工如下：</w:t>
      </w:r>
      <w:r>
        <w:rPr>
          <w:rFonts w:ascii="宋体" w:hAnsi="宋体" w:eastAsia="宋体" w:cs="宋体"/>
          <w:strike/>
          <w:dstrike w:val="0"/>
          <w:color w:val="auto"/>
          <w:spacing w:val="52"/>
          <w:sz w:val="24"/>
          <w:szCs w:val="24"/>
          <w:highlight w:val="none"/>
          <w:u w:val="single" w:color="auto"/>
        </w:rPr>
        <w:t xml:space="preserve">  </w:t>
      </w:r>
      <w:r>
        <w:rPr>
          <w:rFonts w:ascii="宋体" w:hAnsi="宋体" w:eastAsia="宋体" w:cs="宋体"/>
          <w:strike/>
          <w:dstrike w:val="0"/>
          <w:color w:val="auto"/>
          <w:spacing w:val="-1"/>
          <w:sz w:val="24"/>
          <w:szCs w:val="24"/>
          <w:highlight w:val="none"/>
          <w:u w:val="single" w:color="auto"/>
        </w:rPr>
        <w:t>（牵头人名称</w:t>
      </w:r>
      <w:r>
        <w:rPr>
          <w:rFonts w:ascii="宋体" w:hAnsi="宋体" w:eastAsia="宋体" w:cs="宋体"/>
          <w:strike/>
          <w:dstrike w:val="0"/>
          <w:color w:val="auto"/>
          <w:spacing w:val="-2"/>
          <w:sz w:val="24"/>
          <w:szCs w:val="24"/>
          <w:highlight w:val="none"/>
          <w:u w:val="single" w:color="auto"/>
        </w:rPr>
        <w:t>）</w:t>
      </w:r>
      <w:r>
        <w:rPr>
          <w:rFonts w:ascii="宋体" w:hAnsi="宋体" w:eastAsia="宋体" w:cs="宋体"/>
          <w:strike/>
          <w:dstrike w:val="0"/>
          <w:color w:val="auto"/>
          <w:spacing w:val="-2"/>
          <w:sz w:val="24"/>
          <w:szCs w:val="24"/>
          <w:highlight w:val="none"/>
        </w:rPr>
        <w:t>承担</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2"/>
          <w:sz w:val="24"/>
          <w:szCs w:val="24"/>
          <w:highlight w:val="none"/>
        </w:rPr>
        <w:t>专业工</w:t>
      </w:r>
      <w:r>
        <w:rPr>
          <w:rFonts w:ascii="宋体" w:hAnsi="宋体" w:eastAsia="宋体" w:cs="宋体"/>
          <w:strike/>
          <w:dstrike w:val="0"/>
          <w:color w:val="auto"/>
          <w:spacing w:val="-13"/>
          <w:sz w:val="24"/>
          <w:szCs w:val="24"/>
          <w:highlight w:val="none"/>
        </w:rPr>
        <w:t>程，占总工程量的</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17"/>
          <w:sz w:val="24"/>
          <w:szCs w:val="24"/>
          <w:highlight w:val="none"/>
        </w:rPr>
        <w:t xml:space="preserve"> </w:t>
      </w:r>
      <w:r>
        <w:rPr>
          <w:rFonts w:ascii="宋体" w:hAnsi="宋体" w:eastAsia="宋体" w:cs="宋体"/>
          <w:strike/>
          <w:dstrike w:val="0"/>
          <w:color w:val="auto"/>
          <w:spacing w:val="-13"/>
          <w:sz w:val="24"/>
          <w:szCs w:val="24"/>
          <w:highlight w:val="none"/>
        </w:rPr>
        <w:t>%</w:t>
      </w:r>
      <w:r>
        <w:rPr>
          <w:rFonts w:ascii="宋体" w:hAnsi="宋体" w:eastAsia="宋体" w:cs="宋体"/>
          <w:strike/>
          <w:dstrike w:val="0"/>
          <w:color w:val="auto"/>
          <w:spacing w:val="-60"/>
          <w:sz w:val="24"/>
          <w:szCs w:val="24"/>
          <w:highlight w:val="none"/>
        </w:rPr>
        <w:t>；（</w:t>
      </w:r>
      <w:r>
        <w:rPr>
          <w:rFonts w:ascii="宋体" w:hAnsi="宋体" w:eastAsia="宋体" w:cs="宋体"/>
          <w:strike/>
          <w:dstrike w:val="0"/>
          <w:color w:val="auto"/>
          <w:spacing w:val="-13"/>
          <w:sz w:val="24"/>
          <w:szCs w:val="24"/>
          <w:highlight w:val="none"/>
        </w:rPr>
        <w:t>成员一名称）承担</w:t>
      </w:r>
      <w:r>
        <w:rPr>
          <w:rFonts w:ascii="宋体" w:hAnsi="宋体" w:eastAsia="宋体" w:cs="宋体"/>
          <w:strike/>
          <w:dstrike w:val="0"/>
          <w:color w:val="auto"/>
          <w:spacing w:val="-13"/>
          <w:sz w:val="24"/>
          <w:szCs w:val="24"/>
          <w:highlight w:val="none"/>
          <w:u w:val="single" w:color="auto"/>
        </w:rPr>
        <w:t xml:space="preserve">  </w:t>
      </w:r>
      <w:r>
        <w:rPr>
          <w:rFonts w:ascii="宋体" w:hAnsi="宋体" w:eastAsia="宋体" w:cs="宋体"/>
          <w:strike/>
          <w:dstrike w:val="0"/>
          <w:color w:val="auto"/>
          <w:spacing w:val="-14"/>
          <w:sz w:val="24"/>
          <w:szCs w:val="24"/>
          <w:highlight w:val="none"/>
          <w:u w:val="single" w:color="auto"/>
        </w:rPr>
        <w:t xml:space="preserve">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14"/>
          <w:sz w:val="24"/>
          <w:szCs w:val="24"/>
          <w:highlight w:val="none"/>
        </w:rPr>
        <w:t>专业工程，占总工程量的</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17"/>
          <w:sz w:val="24"/>
          <w:szCs w:val="24"/>
          <w:highlight w:val="none"/>
        </w:rPr>
        <w:t xml:space="preserve"> </w:t>
      </w:r>
      <w:r>
        <w:rPr>
          <w:rFonts w:ascii="宋体" w:hAnsi="宋体" w:eastAsia="宋体" w:cs="宋体"/>
          <w:strike/>
          <w:dstrike w:val="0"/>
          <w:color w:val="auto"/>
          <w:spacing w:val="-14"/>
          <w:sz w:val="24"/>
          <w:szCs w:val="24"/>
          <w:highlight w:val="none"/>
        </w:rPr>
        <w:t>%；……。</w:t>
      </w:r>
    </w:p>
    <w:p w14:paraId="72B48C49">
      <w:pPr>
        <w:spacing w:before="182" w:line="290" w:lineRule="auto"/>
        <w:ind w:left="1424" w:right="1415"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5.投标工作和联合体在中标后工程实施过程中的有关费用按各自承担的工</w:t>
      </w:r>
      <w:r>
        <w:rPr>
          <w:rFonts w:ascii="宋体" w:hAnsi="宋体" w:eastAsia="宋体" w:cs="宋体"/>
          <w:strike/>
          <w:dstrike w:val="0"/>
          <w:color w:val="auto"/>
          <w:spacing w:val="4"/>
          <w:sz w:val="24"/>
          <w:szCs w:val="24"/>
          <w:highlight w:val="none"/>
        </w:rPr>
        <w:t>作量分</w:t>
      </w:r>
      <w:r>
        <w:rPr>
          <w:rFonts w:ascii="宋体" w:hAnsi="宋体" w:eastAsia="宋体" w:cs="宋体"/>
          <w:strike/>
          <w:dstrike w:val="0"/>
          <w:color w:val="auto"/>
          <w:spacing w:val="-11"/>
          <w:sz w:val="24"/>
          <w:szCs w:val="24"/>
          <w:highlight w:val="none"/>
        </w:rPr>
        <w:t>摊。</w:t>
      </w:r>
    </w:p>
    <w:p w14:paraId="769E052D">
      <w:pPr>
        <w:spacing w:before="182" w:line="290" w:lineRule="auto"/>
        <w:ind w:left="1427" w:right="1427"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6. 本协议书自所有成员单位法定代表人签字并加盖单位章之日起生效，合同履行</w:t>
      </w:r>
      <w:r>
        <w:rPr>
          <w:rFonts w:ascii="宋体" w:hAnsi="宋体" w:eastAsia="宋体" w:cs="宋体"/>
          <w:strike/>
          <w:dstrike w:val="0"/>
          <w:color w:val="auto"/>
          <w:spacing w:val="-6"/>
          <w:sz w:val="24"/>
          <w:szCs w:val="24"/>
          <w:highlight w:val="none"/>
        </w:rPr>
        <w:t>完毕后自动失效。</w:t>
      </w:r>
    </w:p>
    <w:p w14:paraId="7311200C">
      <w:pPr>
        <w:spacing w:before="182"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7.本协议书一式</w:t>
      </w:r>
      <w:r>
        <w:rPr>
          <w:rFonts w:ascii="宋体" w:hAnsi="宋体" w:eastAsia="宋体" w:cs="宋体"/>
          <w:strike/>
          <w:dstrike w:val="0"/>
          <w:color w:val="auto"/>
          <w:spacing w:val="-115"/>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11"/>
          <w:sz w:val="24"/>
          <w:szCs w:val="24"/>
          <w:highlight w:val="none"/>
        </w:rPr>
        <w:t xml:space="preserve"> </w:t>
      </w:r>
      <w:r>
        <w:rPr>
          <w:rFonts w:ascii="宋体" w:hAnsi="宋体" w:eastAsia="宋体" w:cs="宋体"/>
          <w:strike/>
          <w:dstrike w:val="0"/>
          <w:color w:val="auto"/>
          <w:spacing w:val="-2"/>
          <w:sz w:val="24"/>
          <w:szCs w:val="24"/>
          <w:highlight w:val="none"/>
        </w:rPr>
        <w:t>份，联合体成员和招标人各执一份。</w:t>
      </w:r>
    </w:p>
    <w:p w14:paraId="442D3569">
      <w:pPr>
        <w:spacing w:before="183" w:line="219"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联合体牵头人名称</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5"/>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2"/>
          <w:sz w:val="24"/>
          <w:szCs w:val="24"/>
          <w:highlight w:val="none"/>
        </w:rPr>
        <w:t>盖单位章）</w:t>
      </w:r>
    </w:p>
    <w:p w14:paraId="614C8F54">
      <w:pPr>
        <w:spacing w:before="183" w:line="220"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法定代表人</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3"/>
          <w:sz w:val="24"/>
          <w:szCs w:val="24"/>
          <w:highlight w:val="none"/>
        </w:rPr>
        <w:t>签字）</w:t>
      </w:r>
    </w:p>
    <w:p w14:paraId="3D516CDE">
      <w:pPr>
        <w:pStyle w:val="3"/>
        <w:spacing w:line="284" w:lineRule="auto"/>
        <w:rPr>
          <w:strike/>
          <w:dstrike w:val="0"/>
          <w:color w:val="auto"/>
          <w:highlight w:val="none"/>
        </w:rPr>
      </w:pPr>
    </w:p>
    <w:p w14:paraId="641B2783">
      <w:pPr>
        <w:pStyle w:val="3"/>
        <w:spacing w:line="284" w:lineRule="auto"/>
        <w:rPr>
          <w:strike/>
          <w:dstrike w:val="0"/>
          <w:color w:val="auto"/>
          <w:highlight w:val="none"/>
        </w:rPr>
      </w:pPr>
    </w:p>
    <w:p w14:paraId="7C131827">
      <w:pPr>
        <w:spacing w:before="79" w:line="219"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联合体成员一名称</w:t>
      </w:r>
      <w:r>
        <w:rPr>
          <w:rFonts w:ascii="宋体" w:hAnsi="宋体" w:eastAsia="宋体" w:cs="宋体"/>
          <w:strike/>
          <w:dstrike w:val="0"/>
          <w:color w:val="auto"/>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2"/>
          <w:sz w:val="24"/>
          <w:szCs w:val="24"/>
          <w:highlight w:val="none"/>
        </w:rPr>
        <w:t>盖单位章）</w:t>
      </w:r>
    </w:p>
    <w:p w14:paraId="2382D3FA">
      <w:pPr>
        <w:spacing w:before="183" w:line="220"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法定代表人</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3"/>
          <w:sz w:val="24"/>
          <w:szCs w:val="24"/>
          <w:highlight w:val="none"/>
        </w:rPr>
        <w:t>签字）</w:t>
      </w:r>
    </w:p>
    <w:p w14:paraId="0A85432C">
      <w:pPr>
        <w:pStyle w:val="3"/>
        <w:spacing w:line="284" w:lineRule="auto"/>
        <w:rPr>
          <w:strike/>
          <w:dstrike w:val="0"/>
          <w:color w:val="auto"/>
          <w:highlight w:val="none"/>
        </w:rPr>
      </w:pPr>
    </w:p>
    <w:p w14:paraId="3E9B2FF8">
      <w:pPr>
        <w:pStyle w:val="3"/>
        <w:spacing w:line="284" w:lineRule="auto"/>
        <w:rPr>
          <w:strike/>
          <w:dstrike w:val="0"/>
          <w:color w:val="auto"/>
          <w:highlight w:val="none"/>
        </w:rPr>
      </w:pPr>
    </w:p>
    <w:p w14:paraId="0FC1F74F">
      <w:pPr>
        <w:spacing w:before="79" w:line="219"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联合体成员二名称</w:t>
      </w:r>
      <w:r>
        <w:rPr>
          <w:rFonts w:ascii="宋体" w:hAnsi="宋体" w:eastAsia="宋体" w:cs="宋体"/>
          <w:strike/>
          <w:dstrike w:val="0"/>
          <w:color w:val="auto"/>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2"/>
          <w:sz w:val="24"/>
          <w:szCs w:val="24"/>
          <w:highlight w:val="none"/>
        </w:rPr>
        <w:t>盖单位章）</w:t>
      </w:r>
    </w:p>
    <w:p w14:paraId="0F620B1E">
      <w:pPr>
        <w:spacing w:before="183" w:line="220"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法定代表人</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strike/>
          <w:dstrike w:val="0"/>
          <w:color w:val="auto"/>
          <w:spacing w:val="-3"/>
          <w:sz w:val="24"/>
          <w:szCs w:val="24"/>
          <w:highlight w:val="none"/>
        </w:rPr>
        <w:t>签字）</w:t>
      </w:r>
    </w:p>
    <w:p w14:paraId="479A1514">
      <w:pPr>
        <w:pStyle w:val="3"/>
        <w:spacing w:line="279" w:lineRule="auto"/>
        <w:rPr>
          <w:strike/>
          <w:dstrike w:val="0"/>
          <w:color w:val="auto"/>
          <w:highlight w:val="none"/>
        </w:rPr>
      </w:pPr>
    </w:p>
    <w:p w14:paraId="2E6FD152">
      <w:pPr>
        <w:spacing w:before="79" w:line="99" w:lineRule="exact"/>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position w:val="1"/>
          <w:sz w:val="24"/>
          <w:szCs w:val="24"/>
          <w:highlight w:val="none"/>
        </w:rPr>
        <w:t>......</w:t>
      </w:r>
    </w:p>
    <w:p w14:paraId="260E2534">
      <w:pPr>
        <w:tabs>
          <w:tab w:val="left" w:pos="8015"/>
        </w:tabs>
        <w:spacing w:before="191" w:line="220" w:lineRule="auto"/>
        <w:ind w:left="741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9"/>
          <w:sz w:val="24"/>
          <w:szCs w:val="24"/>
          <w:highlight w:val="none"/>
        </w:rPr>
        <w:t>年</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9"/>
          <w:sz w:val="24"/>
          <w:szCs w:val="24"/>
          <w:highlight w:val="none"/>
        </w:rPr>
        <w:t>月</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9"/>
          <w:sz w:val="24"/>
          <w:szCs w:val="24"/>
          <w:highlight w:val="none"/>
        </w:rPr>
        <w:t>日</w:t>
      </w:r>
    </w:p>
    <w:p w14:paraId="0CFB81CC">
      <w:pPr>
        <w:pStyle w:val="3"/>
        <w:spacing w:line="311" w:lineRule="auto"/>
        <w:rPr>
          <w:strike/>
          <w:dstrike w:val="0"/>
          <w:color w:val="auto"/>
          <w:highlight w:val="none"/>
        </w:rPr>
      </w:pPr>
    </w:p>
    <w:p w14:paraId="4D3D2D74">
      <w:pPr>
        <w:spacing w:line="242" w:lineRule="auto"/>
        <w:rPr>
          <w:rFonts w:ascii="宋体" w:hAnsi="宋体" w:eastAsia="宋体" w:cs="宋体"/>
          <w:strike/>
          <w:dstrike w:val="0"/>
          <w:color w:val="auto"/>
          <w:sz w:val="18"/>
          <w:szCs w:val="18"/>
          <w:highlight w:val="none"/>
        </w:rPr>
        <w:sectPr>
          <w:headerReference r:id="rId159" w:type="default"/>
          <w:footerReference r:id="rId160" w:type="default"/>
          <w:pgSz w:w="11905" w:h="16840"/>
          <w:pgMar w:top="1182" w:right="0" w:bottom="1171" w:left="0" w:header="849" w:footer="937" w:gutter="0"/>
          <w:pgNumType w:fmt="decimal"/>
          <w:cols w:space="720" w:num="1"/>
        </w:sectPr>
      </w:pPr>
    </w:p>
    <w:p w14:paraId="6C34BD15">
      <w:pPr>
        <w:pStyle w:val="3"/>
        <w:spacing w:line="316" w:lineRule="auto"/>
        <w:rPr>
          <w:color w:val="auto"/>
          <w:highlight w:val="none"/>
        </w:rPr>
      </w:pPr>
    </w:p>
    <w:p w14:paraId="721D63C4">
      <w:pPr>
        <w:spacing w:before="87" w:line="227" w:lineRule="auto"/>
        <w:ind w:left="5005"/>
        <w:rPr>
          <w:rFonts w:ascii="宋体" w:hAnsi="宋体" w:eastAsia="宋体" w:cs="宋体"/>
          <w:strike/>
          <w:dstrike w:val="0"/>
          <w:color w:val="auto"/>
          <w:sz w:val="27"/>
          <w:szCs w:val="27"/>
          <w:highlight w:val="none"/>
        </w:rPr>
      </w:pPr>
      <w:r>
        <w:rPr>
          <w:rFonts w:ascii="宋体" w:hAnsi="宋体" w:eastAsia="宋体" w:cs="宋体"/>
          <w:b/>
          <w:bCs/>
          <w:strike/>
          <w:dstrike w:val="0"/>
          <w:color w:val="auto"/>
          <w:spacing w:val="2"/>
          <w:sz w:val="27"/>
          <w:szCs w:val="27"/>
          <w:highlight w:val="none"/>
        </w:rPr>
        <w:t>四、投标保证金</w:t>
      </w:r>
    </w:p>
    <w:p w14:paraId="0E43B333">
      <w:pPr>
        <w:pStyle w:val="3"/>
        <w:spacing w:line="464" w:lineRule="auto"/>
        <w:rPr>
          <w:strike/>
          <w:dstrike w:val="0"/>
          <w:color w:val="auto"/>
          <w:highlight w:val="none"/>
        </w:rPr>
      </w:pPr>
    </w:p>
    <w:p w14:paraId="5C3984FB">
      <w:pPr>
        <w:spacing w:before="78" w:line="219"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若采用现金或支票，投标人应在此提供汇款等相关凭证的扫描件。</w:t>
      </w:r>
    </w:p>
    <w:p w14:paraId="281604BE">
      <w:pPr>
        <w:spacing w:before="183" w:line="219" w:lineRule="auto"/>
        <w:ind w:left="190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如采用银行保函，银行保函扫描件装订在投标文件中，格式如下。</w:t>
      </w:r>
    </w:p>
    <w:p w14:paraId="76EC24A3">
      <w:pPr>
        <w:spacing w:before="183" w:line="219" w:lineRule="auto"/>
        <w:ind w:left="190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如采用其他形式提交，应满足须知前附表</w:t>
      </w:r>
      <w:r>
        <w:rPr>
          <w:rFonts w:ascii="宋体" w:hAnsi="宋体" w:eastAsia="宋体" w:cs="宋体"/>
          <w:strike/>
          <w:dstrike w:val="0"/>
          <w:color w:val="auto"/>
          <w:spacing w:val="-29"/>
          <w:sz w:val="24"/>
          <w:szCs w:val="24"/>
          <w:highlight w:val="none"/>
        </w:rPr>
        <w:t xml:space="preserve"> </w:t>
      </w:r>
      <w:r>
        <w:rPr>
          <w:rFonts w:ascii="宋体" w:hAnsi="宋体" w:eastAsia="宋体" w:cs="宋体"/>
          <w:strike/>
          <w:dstrike w:val="0"/>
          <w:color w:val="auto"/>
          <w:spacing w:val="-3"/>
          <w:sz w:val="24"/>
          <w:szCs w:val="24"/>
          <w:highlight w:val="none"/>
        </w:rPr>
        <w:t>3.4.1</w:t>
      </w:r>
      <w:r>
        <w:rPr>
          <w:rFonts w:ascii="宋体" w:hAnsi="宋体" w:eastAsia="宋体" w:cs="宋体"/>
          <w:strike/>
          <w:dstrike w:val="0"/>
          <w:color w:val="auto"/>
          <w:spacing w:val="-47"/>
          <w:sz w:val="24"/>
          <w:szCs w:val="24"/>
          <w:highlight w:val="none"/>
        </w:rPr>
        <w:t xml:space="preserve"> </w:t>
      </w:r>
      <w:r>
        <w:rPr>
          <w:rFonts w:ascii="宋体" w:hAnsi="宋体" w:eastAsia="宋体" w:cs="宋体"/>
          <w:strike/>
          <w:dstrike w:val="0"/>
          <w:color w:val="auto"/>
          <w:spacing w:val="-3"/>
          <w:sz w:val="24"/>
          <w:szCs w:val="24"/>
          <w:highlight w:val="none"/>
        </w:rPr>
        <w:t>项的规定。</w:t>
      </w:r>
    </w:p>
    <w:p w14:paraId="088F36F8">
      <w:pPr>
        <w:pStyle w:val="3"/>
        <w:spacing w:line="309" w:lineRule="auto"/>
        <w:rPr>
          <w:strike/>
          <w:dstrike w:val="0"/>
          <w:color w:val="auto"/>
          <w:highlight w:val="none"/>
        </w:rPr>
      </w:pPr>
    </w:p>
    <w:p w14:paraId="7D40CB0F">
      <w:pPr>
        <w:pStyle w:val="3"/>
        <w:spacing w:line="309" w:lineRule="auto"/>
        <w:rPr>
          <w:strike/>
          <w:dstrike w:val="0"/>
          <w:color w:val="auto"/>
          <w:highlight w:val="none"/>
        </w:rPr>
      </w:pPr>
    </w:p>
    <w:p w14:paraId="7964BE8C">
      <w:pPr>
        <w:spacing w:before="88" w:line="226" w:lineRule="auto"/>
        <w:ind w:left="4841"/>
        <w:rPr>
          <w:rFonts w:ascii="宋体" w:hAnsi="宋体" w:eastAsia="宋体" w:cs="宋体"/>
          <w:strike/>
          <w:dstrike w:val="0"/>
          <w:color w:val="auto"/>
          <w:sz w:val="27"/>
          <w:szCs w:val="27"/>
          <w:highlight w:val="none"/>
        </w:rPr>
      </w:pPr>
      <w:r>
        <w:rPr>
          <w:rFonts w:ascii="宋体" w:hAnsi="宋体" w:eastAsia="宋体" w:cs="宋体"/>
          <w:b/>
          <w:bCs/>
          <w:strike/>
          <w:dstrike w:val="0"/>
          <w:color w:val="auto"/>
          <w:spacing w:val="6"/>
          <w:sz w:val="27"/>
          <w:szCs w:val="27"/>
          <w:highlight w:val="none"/>
        </w:rPr>
        <w:t>投标银行保函格式</w:t>
      </w:r>
    </w:p>
    <w:p w14:paraId="1352F5D1">
      <w:pPr>
        <w:tabs>
          <w:tab w:val="left" w:pos="3336"/>
        </w:tabs>
        <w:spacing w:before="235" w:line="220" w:lineRule="auto"/>
        <w:ind w:left="1416"/>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7"/>
          <w:sz w:val="24"/>
          <w:szCs w:val="24"/>
          <w:highlight w:val="none"/>
        </w:rPr>
        <w:t>（招标人名称</w:t>
      </w:r>
      <w:r>
        <w:rPr>
          <w:rFonts w:ascii="宋体" w:hAnsi="宋体" w:eastAsia="宋体" w:cs="宋体"/>
          <w:strike/>
          <w:dstrike w:val="0"/>
          <w:color w:val="auto"/>
          <w:spacing w:val="-4"/>
          <w:sz w:val="24"/>
          <w:szCs w:val="24"/>
          <w:highlight w:val="none"/>
        </w:rPr>
        <w:t>）：</w:t>
      </w:r>
    </w:p>
    <w:p w14:paraId="6FD731BF">
      <w:pPr>
        <w:spacing w:before="182" w:line="360" w:lineRule="auto"/>
        <w:ind w:left="1424" w:right="1349" w:firstLine="48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鉴于</w:t>
      </w:r>
      <w:r>
        <w:rPr>
          <w:rFonts w:ascii="宋体" w:hAnsi="宋体" w:eastAsia="宋体" w:cs="宋体"/>
          <w:strike/>
          <w:dstrike w:val="0"/>
          <w:color w:val="auto"/>
          <w:spacing w:val="-3"/>
          <w:sz w:val="24"/>
          <w:szCs w:val="24"/>
          <w:highlight w:val="none"/>
          <w:u w:val="single" w:color="auto"/>
        </w:rPr>
        <w:t xml:space="preserve">           </w:t>
      </w:r>
      <w:r>
        <w:rPr>
          <w:rFonts w:ascii="宋体" w:hAnsi="宋体" w:eastAsia="宋体" w:cs="宋体"/>
          <w:strike/>
          <w:dstrike w:val="0"/>
          <w:color w:val="auto"/>
          <w:spacing w:val="-3"/>
          <w:sz w:val="24"/>
          <w:szCs w:val="24"/>
          <w:highlight w:val="none"/>
        </w:rPr>
        <w:t>（投标人名称</w:t>
      </w:r>
      <w:r>
        <w:rPr>
          <w:rFonts w:ascii="宋体" w:hAnsi="宋体" w:eastAsia="宋体" w:cs="宋体"/>
          <w:strike/>
          <w:dstrike w:val="0"/>
          <w:color w:val="auto"/>
          <w:spacing w:val="-4"/>
          <w:sz w:val="24"/>
          <w:szCs w:val="24"/>
          <w:highlight w:val="none"/>
        </w:rPr>
        <w:t>）（</w:t>
      </w:r>
      <w:r>
        <w:rPr>
          <w:rFonts w:ascii="宋体" w:hAnsi="宋体" w:eastAsia="宋体" w:cs="宋体"/>
          <w:strike/>
          <w:dstrike w:val="0"/>
          <w:color w:val="auto"/>
          <w:spacing w:val="-3"/>
          <w:sz w:val="24"/>
          <w:szCs w:val="24"/>
          <w:highlight w:val="none"/>
        </w:rPr>
        <w:t>以下称“投标人”）于</w:t>
      </w:r>
      <w:r>
        <w:rPr>
          <w:rFonts w:ascii="宋体" w:hAnsi="宋体" w:eastAsia="宋体" w:cs="宋体"/>
          <w:strike/>
          <w:dstrike w:val="0"/>
          <w:color w:val="auto"/>
          <w:spacing w:val="-3"/>
          <w:sz w:val="24"/>
          <w:szCs w:val="24"/>
          <w:highlight w:val="none"/>
          <w:u w:val="single" w:color="auto"/>
        </w:rPr>
        <w:t xml:space="preserve">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3"/>
          <w:sz w:val="24"/>
          <w:szCs w:val="24"/>
          <w:highlight w:val="none"/>
        </w:rPr>
        <w:t>年</w:t>
      </w:r>
      <w:r>
        <w:rPr>
          <w:rFonts w:ascii="宋体" w:hAnsi="宋体" w:eastAsia="宋体" w:cs="宋体"/>
          <w:strike/>
          <w:dstrike w:val="0"/>
          <w:color w:val="auto"/>
          <w:spacing w:val="-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104"/>
          <w:sz w:val="24"/>
          <w:szCs w:val="24"/>
          <w:highlight w:val="none"/>
        </w:rPr>
        <w:t xml:space="preserve"> </w:t>
      </w:r>
      <w:r>
        <w:rPr>
          <w:rFonts w:ascii="宋体" w:hAnsi="宋体" w:eastAsia="宋体" w:cs="宋体"/>
          <w:strike/>
          <w:dstrike w:val="0"/>
          <w:color w:val="auto"/>
          <w:spacing w:val="-4"/>
          <w:sz w:val="24"/>
          <w:szCs w:val="24"/>
          <w:highlight w:val="none"/>
        </w:rPr>
        <w:t>月</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70"/>
          <w:sz w:val="24"/>
          <w:szCs w:val="24"/>
          <w:highlight w:val="none"/>
        </w:rPr>
        <w:t xml:space="preserve"> </w:t>
      </w:r>
      <w:r>
        <w:rPr>
          <w:rFonts w:ascii="宋体" w:hAnsi="宋体" w:eastAsia="宋体" w:cs="宋体"/>
          <w:strike/>
          <w:dstrike w:val="0"/>
          <w:color w:val="auto"/>
          <w:spacing w:val="-4"/>
          <w:sz w:val="24"/>
          <w:szCs w:val="24"/>
          <w:highlight w:val="none"/>
        </w:rPr>
        <w:t>日</w:t>
      </w:r>
      <w:r>
        <w:rPr>
          <w:rFonts w:ascii="宋体" w:hAnsi="宋体" w:eastAsia="宋体" w:cs="宋体"/>
          <w:strike/>
          <w:dstrike w:val="0"/>
          <w:color w:val="auto"/>
          <w:spacing w:val="-2"/>
          <w:sz w:val="24"/>
          <w:szCs w:val="24"/>
          <w:highlight w:val="none"/>
        </w:rPr>
        <w:t>参加</w:t>
      </w:r>
      <w:r>
        <w:rPr>
          <w:rFonts w:ascii="宋体" w:hAnsi="宋体" w:eastAsia="宋体" w:cs="宋体"/>
          <w:strike/>
          <w:dstrike w:val="0"/>
          <w:color w:val="auto"/>
          <w:spacing w:val="-2"/>
          <w:sz w:val="24"/>
          <w:szCs w:val="24"/>
          <w:highlight w:val="none"/>
          <w:u w:val="single" w:color="auto"/>
        </w:rPr>
        <w:t xml:space="preserve">            （项目名称）</w:t>
      </w:r>
      <w:r>
        <w:rPr>
          <w:rFonts w:ascii="宋体" w:hAnsi="宋体" w:eastAsia="宋体" w:cs="宋体"/>
          <w:strike/>
          <w:dstrike w:val="0"/>
          <w:color w:val="auto"/>
          <w:spacing w:val="35"/>
          <w:sz w:val="24"/>
          <w:szCs w:val="24"/>
          <w:highlight w:val="none"/>
          <w:u w:val="single" w:color="auto"/>
        </w:rPr>
        <w:t xml:space="preserve">   </w:t>
      </w:r>
      <w:r>
        <w:rPr>
          <w:rFonts w:ascii="宋体" w:hAnsi="宋体" w:eastAsia="宋体" w:cs="宋体"/>
          <w:strike/>
          <w:dstrike w:val="0"/>
          <w:color w:val="auto"/>
          <w:spacing w:val="-2"/>
          <w:sz w:val="24"/>
          <w:szCs w:val="24"/>
          <w:highlight w:val="none"/>
          <w:u w:val="single" w:color="auto"/>
        </w:rPr>
        <w:t>（标类或标段）</w:t>
      </w:r>
      <w:r>
        <w:rPr>
          <w:rFonts w:ascii="宋体" w:hAnsi="宋体" w:eastAsia="宋体" w:cs="宋体"/>
          <w:strike/>
          <w:dstrike w:val="0"/>
          <w:color w:val="auto"/>
          <w:spacing w:val="-2"/>
          <w:sz w:val="24"/>
          <w:szCs w:val="24"/>
          <w:highlight w:val="none"/>
        </w:rPr>
        <w:t>施工的投标，</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2"/>
          <w:sz w:val="24"/>
          <w:szCs w:val="24"/>
          <w:highlight w:val="none"/>
        </w:rPr>
        <w:t>（担保人名</w:t>
      </w:r>
      <w:r>
        <w:rPr>
          <w:rFonts w:ascii="宋体" w:hAnsi="宋体" w:eastAsia="宋体" w:cs="宋体"/>
          <w:strike/>
          <w:dstrike w:val="0"/>
          <w:color w:val="auto"/>
          <w:spacing w:val="-6"/>
          <w:sz w:val="24"/>
          <w:szCs w:val="24"/>
          <w:highlight w:val="none"/>
        </w:rPr>
        <w:t>称，以下简称“我方”）无条件地、不可撤销地保证：</w:t>
      </w:r>
      <w:r>
        <w:rPr>
          <w:rFonts w:ascii="宋体" w:hAnsi="宋体" w:eastAsia="宋体" w:cs="宋体"/>
          <w:strike/>
          <w:dstrike w:val="0"/>
          <w:color w:val="auto"/>
          <w:spacing w:val="57"/>
          <w:sz w:val="24"/>
          <w:szCs w:val="24"/>
          <w:highlight w:val="none"/>
        </w:rPr>
        <w:t xml:space="preserve"> </w:t>
      </w:r>
      <w:r>
        <w:rPr>
          <w:rFonts w:ascii="宋体" w:hAnsi="宋体" w:eastAsia="宋体" w:cs="宋体"/>
          <w:strike/>
          <w:dstrike w:val="0"/>
          <w:color w:val="auto"/>
          <w:spacing w:val="-6"/>
          <w:sz w:val="24"/>
          <w:szCs w:val="24"/>
          <w:highlight w:val="none"/>
        </w:rPr>
        <w:t>若投标人在投标</w:t>
      </w:r>
      <w:r>
        <w:rPr>
          <w:rFonts w:ascii="宋体" w:hAnsi="宋体" w:eastAsia="宋体" w:cs="宋体"/>
          <w:strike/>
          <w:dstrike w:val="0"/>
          <w:color w:val="auto"/>
          <w:spacing w:val="-7"/>
          <w:sz w:val="24"/>
          <w:szCs w:val="24"/>
          <w:highlight w:val="none"/>
        </w:rPr>
        <w:t>有效期内撤销投</w:t>
      </w:r>
      <w:r>
        <w:rPr>
          <w:rFonts w:ascii="宋体" w:hAnsi="宋体" w:eastAsia="宋体" w:cs="宋体"/>
          <w:strike/>
          <w:dstrike w:val="0"/>
          <w:color w:val="auto"/>
          <w:spacing w:val="-6"/>
          <w:sz w:val="24"/>
          <w:szCs w:val="24"/>
          <w:highlight w:val="none"/>
        </w:rPr>
        <w:t>标文件，中标后无正当理由不与招标人订立合同，在签订合同时向招标人提出附加条件，</w:t>
      </w:r>
      <w:r>
        <w:rPr>
          <w:rFonts w:ascii="宋体" w:hAnsi="宋体" w:eastAsia="宋体" w:cs="宋体"/>
          <w:strike/>
          <w:dstrike w:val="0"/>
          <w:color w:val="auto"/>
          <w:spacing w:val="-2"/>
          <w:sz w:val="24"/>
          <w:szCs w:val="24"/>
          <w:highlight w:val="none"/>
        </w:rPr>
        <w:t>不按照招标文件要求提交履约保证金，或者发生招标文件明确规定可以不予退还投标保</w:t>
      </w:r>
      <w:r>
        <w:rPr>
          <w:rFonts w:ascii="宋体" w:hAnsi="宋体" w:eastAsia="宋体" w:cs="宋体"/>
          <w:strike/>
          <w:dstrike w:val="0"/>
          <w:color w:val="auto"/>
          <w:spacing w:val="-8"/>
          <w:sz w:val="24"/>
          <w:szCs w:val="24"/>
          <w:highlight w:val="none"/>
        </w:rPr>
        <w:t>证金的其他情形，我方承担保证责任。收到你方书面通知后，</w:t>
      </w:r>
      <w:r>
        <w:rPr>
          <w:rFonts w:ascii="宋体" w:hAnsi="宋体" w:eastAsia="宋体" w:cs="宋体"/>
          <w:strike/>
          <w:dstrike w:val="0"/>
          <w:color w:val="auto"/>
          <w:spacing w:val="59"/>
          <w:sz w:val="24"/>
          <w:szCs w:val="24"/>
          <w:highlight w:val="none"/>
        </w:rPr>
        <w:t xml:space="preserve"> </w:t>
      </w:r>
      <w:r>
        <w:rPr>
          <w:rFonts w:ascii="宋体" w:hAnsi="宋体" w:eastAsia="宋体" w:cs="宋体"/>
          <w:strike/>
          <w:dstrike w:val="0"/>
          <w:color w:val="auto"/>
          <w:spacing w:val="-8"/>
          <w:sz w:val="24"/>
          <w:szCs w:val="24"/>
          <w:highlight w:val="none"/>
        </w:rPr>
        <w:t>我方在</w:t>
      </w:r>
      <w:r>
        <w:rPr>
          <w:rFonts w:ascii="宋体" w:hAnsi="宋体" w:eastAsia="宋体" w:cs="宋体"/>
          <w:strike/>
          <w:dstrike w:val="0"/>
          <w:color w:val="auto"/>
          <w:spacing w:val="-45"/>
          <w:sz w:val="24"/>
          <w:szCs w:val="24"/>
          <w:highlight w:val="none"/>
        </w:rPr>
        <w:t xml:space="preserve"> </w:t>
      </w:r>
      <w:r>
        <w:rPr>
          <w:rFonts w:ascii="宋体" w:hAnsi="宋体" w:eastAsia="宋体" w:cs="宋体"/>
          <w:strike/>
          <w:dstrike w:val="0"/>
          <w:color w:val="auto"/>
          <w:spacing w:val="-8"/>
          <w:sz w:val="24"/>
          <w:szCs w:val="24"/>
          <w:highlight w:val="none"/>
        </w:rPr>
        <w:t>7 日内向你方无条</w:t>
      </w:r>
      <w:r>
        <w:rPr>
          <w:rFonts w:ascii="宋体" w:hAnsi="宋体" w:eastAsia="宋体" w:cs="宋体"/>
          <w:strike/>
          <w:dstrike w:val="0"/>
          <w:color w:val="auto"/>
          <w:spacing w:val="-2"/>
          <w:sz w:val="24"/>
          <w:szCs w:val="24"/>
          <w:highlight w:val="none"/>
        </w:rPr>
        <w:t>件支付人民币（大写）</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92"/>
          <w:sz w:val="24"/>
          <w:szCs w:val="24"/>
          <w:highlight w:val="none"/>
        </w:rPr>
        <w:t xml:space="preserve"> </w:t>
      </w:r>
      <w:r>
        <w:rPr>
          <w:rFonts w:ascii="宋体" w:hAnsi="宋体" w:eastAsia="宋体" w:cs="宋体"/>
          <w:strike/>
          <w:dstrike w:val="0"/>
          <w:color w:val="auto"/>
          <w:spacing w:val="-2"/>
          <w:sz w:val="24"/>
          <w:szCs w:val="24"/>
          <w:highlight w:val="none"/>
        </w:rPr>
        <w:t>元。</w:t>
      </w:r>
    </w:p>
    <w:p w14:paraId="7601B4C5">
      <w:pPr>
        <w:spacing w:line="362" w:lineRule="auto"/>
        <w:ind w:left="1425" w:right="1416" w:firstLine="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本保函在投标有效期或经延长的投标有效期内保持有效。要求我方承担保证责任的</w:t>
      </w:r>
      <w:r>
        <w:rPr>
          <w:rFonts w:ascii="宋体" w:hAnsi="宋体" w:eastAsia="宋体" w:cs="宋体"/>
          <w:strike/>
          <w:dstrike w:val="0"/>
          <w:color w:val="auto"/>
          <w:spacing w:val="-1"/>
          <w:sz w:val="24"/>
          <w:szCs w:val="24"/>
          <w:highlight w:val="none"/>
        </w:rPr>
        <w:t>通知应在上述期限内送达我方。你方延长投标有效</w:t>
      </w:r>
      <w:r>
        <w:rPr>
          <w:rFonts w:ascii="宋体" w:hAnsi="宋体" w:eastAsia="宋体" w:cs="宋体"/>
          <w:strike/>
          <w:dstrike w:val="0"/>
          <w:color w:val="auto"/>
          <w:spacing w:val="-2"/>
          <w:sz w:val="24"/>
          <w:szCs w:val="24"/>
          <w:highlight w:val="none"/>
        </w:rPr>
        <w:t>期的决定，应通知我方。</w:t>
      </w:r>
    </w:p>
    <w:p w14:paraId="5D0447BA">
      <w:pPr>
        <w:pStyle w:val="3"/>
        <w:spacing w:line="382" w:lineRule="auto"/>
        <w:rPr>
          <w:strike/>
          <w:dstrike w:val="0"/>
          <w:color w:val="auto"/>
          <w:highlight w:val="none"/>
        </w:rPr>
      </w:pPr>
    </w:p>
    <w:p w14:paraId="79E317F7">
      <w:pPr>
        <w:spacing w:before="78" w:line="219"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担保人名称</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pacing w:val="-2"/>
          <w:sz w:val="24"/>
          <w:szCs w:val="24"/>
          <w:highlight w:val="none"/>
        </w:rPr>
        <w:t>盖单位章）</w:t>
      </w:r>
    </w:p>
    <w:p w14:paraId="346E3857">
      <w:pPr>
        <w:spacing w:before="183" w:line="220"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pacing w:val="-2"/>
          <w:sz w:val="24"/>
          <w:szCs w:val="24"/>
          <w:highlight w:val="none"/>
        </w:rPr>
        <w:t>签字）</w:t>
      </w:r>
    </w:p>
    <w:p w14:paraId="5B6A6DA2">
      <w:pPr>
        <w:spacing w:before="183" w:line="229" w:lineRule="auto"/>
        <w:ind w:left="454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地</w:t>
      </w:r>
      <w:r>
        <w:rPr>
          <w:rFonts w:ascii="宋体" w:hAnsi="宋体" w:eastAsia="宋体" w:cs="宋体"/>
          <w:strike/>
          <w:dstrike w:val="0"/>
          <w:color w:val="auto"/>
          <w:spacing w:val="2"/>
          <w:sz w:val="24"/>
          <w:szCs w:val="24"/>
          <w:highlight w:val="none"/>
        </w:rPr>
        <w:t xml:space="preserve">    </w:t>
      </w:r>
      <w:r>
        <w:rPr>
          <w:rFonts w:ascii="宋体" w:hAnsi="宋体" w:eastAsia="宋体" w:cs="宋体"/>
          <w:strike/>
          <w:dstrike w:val="0"/>
          <w:color w:val="auto"/>
          <w:spacing w:val="-4"/>
          <w:sz w:val="24"/>
          <w:szCs w:val="24"/>
          <w:highlight w:val="none"/>
        </w:rPr>
        <w:t>址：</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             </w:t>
      </w:r>
    </w:p>
    <w:p w14:paraId="33336203">
      <w:pPr>
        <w:spacing w:before="169" w:line="220" w:lineRule="auto"/>
        <w:ind w:left="456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邮政编码：</w:t>
      </w:r>
      <w:r>
        <w:rPr>
          <w:rFonts w:ascii="宋体" w:hAnsi="宋体" w:eastAsia="宋体" w:cs="宋体"/>
          <w:strike/>
          <w:dstrike w:val="0"/>
          <w:color w:val="auto"/>
          <w:sz w:val="24"/>
          <w:szCs w:val="24"/>
          <w:highlight w:val="none"/>
          <w:u w:val="single" w:color="auto"/>
        </w:rPr>
        <w:t xml:space="preserve">                                        </w:t>
      </w:r>
    </w:p>
    <w:p w14:paraId="3501CBDD">
      <w:pPr>
        <w:spacing w:before="183" w:line="222" w:lineRule="auto"/>
        <w:ind w:left="457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6"/>
          <w:sz w:val="24"/>
          <w:szCs w:val="24"/>
          <w:highlight w:val="none"/>
        </w:rPr>
        <w:t>电</w:t>
      </w:r>
      <w:r>
        <w:rPr>
          <w:rFonts w:ascii="宋体" w:hAnsi="宋体" w:eastAsia="宋体" w:cs="宋体"/>
          <w:strike/>
          <w:dstrike w:val="0"/>
          <w:color w:val="auto"/>
          <w:spacing w:val="2"/>
          <w:sz w:val="24"/>
          <w:szCs w:val="24"/>
          <w:highlight w:val="none"/>
        </w:rPr>
        <w:t xml:space="preserve">    </w:t>
      </w:r>
      <w:r>
        <w:rPr>
          <w:rFonts w:ascii="宋体" w:hAnsi="宋体" w:eastAsia="宋体" w:cs="宋体"/>
          <w:strike/>
          <w:dstrike w:val="0"/>
          <w:color w:val="auto"/>
          <w:spacing w:val="-16"/>
          <w:sz w:val="24"/>
          <w:szCs w:val="24"/>
          <w:highlight w:val="none"/>
        </w:rPr>
        <w:t>话：</w:t>
      </w:r>
      <w:r>
        <w:rPr>
          <w:rFonts w:ascii="宋体" w:hAnsi="宋体" w:eastAsia="宋体" w:cs="宋体"/>
          <w:strike/>
          <w:dstrike w:val="0"/>
          <w:color w:val="auto"/>
          <w:sz w:val="24"/>
          <w:szCs w:val="24"/>
          <w:highlight w:val="none"/>
          <w:u w:val="single" w:color="auto"/>
        </w:rPr>
        <w:t xml:space="preserve">                                       </w:t>
      </w:r>
    </w:p>
    <w:p w14:paraId="63FE30E5">
      <w:pPr>
        <w:spacing w:before="179" w:line="219" w:lineRule="auto"/>
        <w:ind w:left="454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传</w:t>
      </w:r>
      <w:r>
        <w:rPr>
          <w:rFonts w:ascii="宋体" w:hAnsi="宋体" w:eastAsia="宋体" w:cs="宋体"/>
          <w:strike/>
          <w:dstrike w:val="0"/>
          <w:color w:val="auto"/>
          <w:spacing w:val="3"/>
          <w:sz w:val="24"/>
          <w:szCs w:val="24"/>
          <w:highlight w:val="none"/>
        </w:rPr>
        <w:t xml:space="preserve">    </w:t>
      </w:r>
      <w:r>
        <w:rPr>
          <w:rFonts w:ascii="宋体" w:hAnsi="宋体" w:eastAsia="宋体" w:cs="宋体"/>
          <w:strike/>
          <w:dstrike w:val="0"/>
          <w:color w:val="auto"/>
          <w:spacing w:val="-4"/>
          <w:sz w:val="24"/>
          <w:szCs w:val="24"/>
          <w:highlight w:val="none"/>
        </w:rPr>
        <w:t>真：</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             </w:t>
      </w:r>
    </w:p>
    <w:p w14:paraId="39E4360D">
      <w:pPr>
        <w:tabs>
          <w:tab w:val="left" w:pos="8807"/>
        </w:tabs>
        <w:spacing w:before="183" w:line="220" w:lineRule="auto"/>
        <w:ind w:left="8327"/>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9"/>
          <w:sz w:val="24"/>
          <w:szCs w:val="24"/>
          <w:highlight w:val="none"/>
        </w:rPr>
        <w:t>年</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9"/>
          <w:sz w:val="24"/>
          <w:szCs w:val="24"/>
          <w:highlight w:val="none"/>
        </w:rPr>
        <w:t>月</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9"/>
          <w:sz w:val="24"/>
          <w:szCs w:val="24"/>
          <w:highlight w:val="none"/>
        </w:rPr>
        <w:t>日</w:t>
      </w:r>
    </w:p>
    <w:p w14:paraId="164A8C04">
      <w:pPr>
        <w:pStyle w:val="3"/>
        <w:spacing w:line="257" w:lineRule="auto"/>
        <w:rPr>
          <w:strike/>
          <w:dstrike w:val="0"/>
          <w:color w:val="auto"/>
          <w:highlight w:val="none"/>
        </w:rPr>
      </w:pPr>
    </w:p>
    <w:p w14:paraId="68E00C12">
      <w:pPr>
        <w:pStyle w:val="3"/>
        <w:spacing w:line="257" w:lineRule="auto"/>
        <w:rPr>
          <w:strike/>
          <w:dstrike w:val="0"/>
          <w:color w:val="auto"/>
          <w:highlight w:val="none"/>
        </w:rPr>
      </w:pPr>
    </w:p>
    <w:p w14:paraId="24618FEE">
      <w:pPr>
        <w:spacing w:before="69" w:line="276" w:lineRule="auto"/>
        <w:ind w:left="1424" w:right="1418"/>
        <w:jc w:val="both"/>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注：本保函格式只作为参考，投标人可根据当地银行及相</w:t>
      </w:r>
      <w:r>
        <w:rPr>
          <w:rFonts w:ascii="宋体" w:hAnsi="宋体" w:eastAsia="宋体" w:cs="宋体"/>
          <w:strike/>
          <w:dstrike w:val="0"/>
          <w:color w:val="auto"/>
          <w:sz w:val="21"/>
          <w:szCs w:val="21"/>
          <w:highlight w:val="none"/>
        </w:rPr>
        <w:t>关规定的格式填写，但主要内容须与本保</w:t>
      </w:r>
      <w:r>
        <w:rPr>
          <w:rFonts w:ascii="宋体" w:hAnsi="宋体" w:eastAsia="宋体" w:cs="宋体"/>
          <w:strike/>
          <w:dstrike w:val="0"/>
          <w:color w:val="auto"/>
          <w:spacing w:val="1"/>
          <w:sz w:val="21"/>
          <w:szCs w:val="21"/>
          <w:highlight w:val="none"/>
        </w:rPr>
        <w:t>函内容原则上保持一致。如：“本保函在投标有效期或经延长的投</w:t>
      </w:r>
      <w:r>
        <w:rPr>
          <w:rFonts w:ascii="宋体" w:hAnsi="宋体" w:eastAsia="宋体" w:cs="宋体"/>
          <w:strike/>
          <w:dstrike w:val="0"/>
          <w:color w:val="auto"/>
          <w:sz w:val="21"/>
          <w:szCs w:val="21"/>
          <w:highlight w:val="none"/>
        </w:rPr>
        <w:t>标有效期内保持有效”可改为本</w:t>
      </w:r>
      <w:r>
        <w:rPr>
          <w:rFonts w:ascii="宋体" w:hAnsi="宋体" w:eastAsia="宋体" w:cs="宋体"/>
          <w:strike/>
          <w:dstrike w:val="0"/>
          <w:color w:val="auto"/>
          <w:spacing w:val="-1"/>
          <w:sz w:val="21"/>
          <w:szCs w:val="21"/>
          <w:highlight w:val="none"/>
        </w:rPr>
        <w:t>保函自</w:t>
      </w:r>
      <w:r>
        <w:rPr>
          <w:rFonts w:ascii="宋体" w:hAnsi="宋体" w:eastAsia="宋体" w:cs="宋体"/>
          <w:strike/>
          <w:dstrike w:val="0"/>
          <w:color w:val="auto"/>
          <w:spacing w:val="-1"/>
          <w:sz w:val="21"/>
          <w:szCs w:val="21"/>
          <w:highlight w:val="none"/>
          <w:u w:val="single" w:color="auto"/>
        </w:rPr>
        <w:t xml:space="preserve">     （生效日期）</w:t>
      </w:r>
      <w:r>
        <w:rPr>
          <w:rFonts w:ascii="宋体" w:hAnsi="宋体" w:eastAsia="宋体" w:cs="宋体"/>
          <w:strike/>
          <w:dstrike w:val="0"/>
          <w:color w:val="auto"/>
          <w:spacing w:val="-1"/>
          <w:sz w:val="21"/>
          <w:szCs w:val="21"/>
          <w:highlight w:val="none"/>
        </w:rPr>
        <w:t>之日起生效，至</w:t>
      </w:r>
      <w:r>
        <w:rPr>
          <w:rFonts w:ascii="宋体" w:hAnsi="宋体" w:eastAsia="宋体" w:cs="宋体"/>
          <w:strike/>
          <w:dstrike w:val="0"/>
          <w:color w:val="auto"/>
          <w:spacing w:val="-1"/>
          <w:sz w:val="21"/>
          <w:szCs w:val="21"/>
          <w:highlight w:val="none"/>
          <w:u w:val="single" w:color="auto"/>
        </w:rPr>
        <w:t xml:space="preserve">  （失效日期）</w:t>
      </w:r>
      <w:r>
        <w:rPr>
          <w:rFonts w:ascii="宋体" w:hAnsi="宋体" w:eastAsia="宋体" w:cs="宋体"/>
          <w:strike/>
          <w:dstrike w:val="0"/>
          <w:color w:val="auto"/>
          <w:spacing w:val="-1"/>
          <w:sz w:val="21"/>
          <w:szCs w:val="21"/>
          <w:highlight w:val="none"/>
        </w:rPr>
        <w:t>之日失效。</w:t>
      </w:r>
    </w:p>
    <w:p w14:paraId="674D40B0">
      <w:pPr>
        <w:spacing w:line="276" w:lineRule="auto"/>
        <w:rPr>
          <w:rFonts w:ascii="宋体" w:hAnsi="宋体" w:eastAsia="宋体" w:cs="宋体"/>
          <w:strike/>
          <w:dstrike w:val="0"/>
          <w:color w:val="auto"/>
          <w:sz w:val="21"/>
          <w:szCs w:val="21"/>
          <w:highlight w:val="none"/>
        </w:rPr>
        <w:sectPr>
          <w:headerReference r:id="rId161" w:type="default"/>
          <w:footerReference r:id="rId162" w:type="default"/>
          <w:pgSz w:w="11905" w:h="16840"/>
          <w:pgMar w:top="1182" w:right="0" w:bottom="1171" w:left="0" w:header="849" w:footer="937" w:gutter="0"/>
          <w:pgNumType w:fmt="decimal"/>
          <w:cols w:space="720" w:num="1"/>
        </w:sectPr>
      </w:pPr>
    </w:p>
    <w:p w14:paraId="5EECF066">
      <w:pPr>
        <w:pStyle w:val="3"/>
        <w:spacing w:line="293" w:lineRule="auto"/>
        <w:rPr>
          <w:color w:val="auto"/>
          <w:highlight w:val="none"/>
        </w:rPr>
      </w:pPr>
    </w:p>
    <w:p w14:paraId="0581C5FA">
      <w:pPr>
        <w:spacing w:before="88" w:line="242" w:lineRule="auto"/>
        <w:ind w:left="3368"/>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7"/>
          <w:sz w:val="27"/>
          <w:szCs w:val="27"/>
          <w:highlight w:val="none"/>
        </w:rPr>
        <w:t>五、施工组织设计</w:t>
      </w:r>
      <w:r>
        <w:rPr>
          <w:rFonts w:ascii="宋体" w:hAnsi="宋体" w:eastAsia="宋体" w:cs="宋体"/>
          <w:b/>
          <w:bCs/>
          <w:strike/>
          <w:dstrike w:val="0"/>
          <w:color w:val="auto"/>
          <w:spacing w:val="7"/>
          <w:sz w:val="27"/>
          <w:szCs w:val="27"/>
          <w:highlight w:val="none"/>
          <w:u w:val="single" w:color="auto"/>
        </w:rPr>
        <w:t>及承包人项目管理方案</w:t>
      </w:r>
    </w:p>
    <w:p w14:paraId="17515D95">
      <w:pPr>
        <w:spacing w:before="257" w:line="235" w:lineRule="auto"/>
        <w:ind w:left="5436"/>
        <w:rPr>
          <w:rFonts w:ascii="宋体" w:hAnsi="宋体" w:eastAsia="宋体" w:cs="宋体"/>
          <w:strike/>
          <w:dstrike w:val="0"/>
          <w:color w:val="auto"/>
          <w:sz w:val="15"/>
          <w:szCs w:val="15"/>
          <w:highlight w:val="none"/>
        </w:rPr>
      </w:pPr>
      <w:r>
        <w:rPr>
          <w:rFonts w:ascii="宋体" w:hAnsi="宋体" w:eastAsia="宋体" w:cs="宋体"/>
          <w:b/>
          <w:bCs/>
          <w:strike/>
          <w:dstrike w:val="0"/>
          <w:color w:val="auto"/>
          <w:spacing w:val="-6"/>
          <w:position w:val="-1"/>
          <w:sz w:val="30"/>
          <w:szCs w:val="30"/>
          <w:highlight w:val="none"/>
        </w:rPr>
        <w:t>承诺函</w:t>
      </w:r>
    </w:p>
    <w:p w14:paraId="2806380A">
      <w:pPr>
        <w:tabs>
          <w:tab w:val="left" w:pos="3336"/>
        </w:tabs>
        <w:spacing w:before="219" w:line="220" w:lineRule="auto"/>
        <w:ind w:left="1416"/>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7"/>
          <w:sz w:val="24"/>
          <w:szCs w:val="24"/>
          <w:highlight w:val="none"/>
        </w:rPr>
        <w:t>（招标人名称</w:t>
      </w:r>
      <w:r>
        <w:rPr>
          <w:rFonts w:ascii="宋体" w:hAnsi="宋体" w:eastAsia="宋体" w:cs="宋体"/>
          <w:strike/>
          <w:dstrike w:val="0"/>
          <w:color w:val="auto"/>
          <w:spacing w:val="-4"/>
          <w:sz w:val="24"/>
          <w:szCs w:val="24"/>
          <w:highlight w:val="none"/>
        </w:rPr>
        <w:t>）：</w:t>
      </w:r>
    </w:p>
    <w:p w14:paraId="526FE4E6">
      <w:pPr>
        <w:spacing w:before="181" w:line="360" w:lineRule="auto"/>
        <w:ind w:left="1425" w:right="1377" w:firstLine="481"/>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我单位在</w:t>
      </w:r>
      <w:r>
        <w:rPr>
          <w:rFonts w:ascii="宋体" w:hAnsi="宋体" w:eastAsia="宋体" w:cs="宋体"/>
          <w:strike/>
          <w:dstrike w:val="0"/>
          <w:color w:val="auto"/>
          <w:spacing w:val="10"/>
          <w:sz w:val="24"/>
          <w:szCs w:val="24"/>
          <w:highlight w:val="none"/>
          <w:u w:val="single" w:color="auto"/>
        </w:rPr>
        <w:t xml:space="preserve">           </w:t>
      </w:r>
      <w:r>
        <w:rPr>
          <w:rFonts w:ascii="宋体" w:hAnsi="宋体" w:eastAsia="宋体" w:cs="宋体"/>
          <w:strike/>
          <w:dstrike w:val="0"/>
          <w:color w:val="auto"/>
          <w:spacing w:val="-1"/>
          <w:sz w:val="24"/>
          <w:szCs w:val="24"/>
          <w:highlight w:val="none"/>
          <w:u w:val="single" w:color="auto"/>
        </w:rPr>
        <w:t>（项目名称</w:t>
      </w:r>
      <w:r>
        <w:rPr>
          <w:rFonts w:ascii="宋体" w:hAnsi="宋体" w:eastAsia="宋体" w:cs="宋体"/>
          <w:strike/>
          <w:dstrike w:val="0"/>
          <w:color w:val="auto"/>
          <w:sz w:val="24"/>
          <w:szCs w:val="24"/>
          <w:highlight w:val="none"/>
          <w:u w:val="single" w:color="auto"/>
        </w:rPr>
        <w:t>）</w:t>
      </w:r>
      <w:r>
        <w:rPr>
          <w:rFonts w:ascii="宋体" w:hAnsi="宋体" w:eastAsia="宋体" w:cs="宋体"/>
          <w:strike/>
          <w:dstrike w:val="0"/>
          <w:color w:val="auto"/>
          <w:spacing w:val="34"/>
          <w:sz w:val="24"/>
          <w:szCs w:val="24"/>
          <w:highlight w:val="none"/>
          <w:u w:val="single" w:color="auto"/>
        </w:rPr>
        <w:t xml:space="preserve">   </w:t>
      </w:r>
      <w:r>
        <w:rPr>
          <w:rFonts w:ascii="宋体" w:hAnsi="宋体" w:eastAsia="宋体" w:cs="宋体"/>
          <w:strike/>
          <w:dstrike w:val="0"/>
          <w:color w:val="auto"/>
          <w:sz w:val="24"/>
          <w:szCs w:val="24"/>
          <w:highlight w:val="none"/>
          <w:u w:val="single" w:color="auto"/>
        </w:rPr>
        <w:t>（</w:t>
      </w:r>
      <w:r>
        <w:rPr>
          <w:rFonts w:ascii="宋体" w:hAnsi="宋体" w:eastAsia="宋体" w:cs="宋体"/>
          <w:strike/>
          <w:dstrike w:val="0"/>
          <w:color w:val="auto"/>
          <w:spacing w:val="-1"/>
          <w:sz w:val="24"/>
          <w:szCs w:val="24"/>
          <w:highlight w:val="none"/>
          <w:u w:val="single" w:color="auto"/>
        </w:rPr>
        <w:t>标类或标段）</w:t>
      </w:r>
      <w:r>
        <w:rPr>
          <w:rFonts w:ascii="宋体" w:hAnsi="宋体" w:eastAsia="宋体" w:cs="宋体"/>
          <w:strike/>
          <w:dstrike w:val="0"/>
          <w:color w:val="auto"/>
          <w:spacing w:val="-1"/>
          <w:sz w:val="24"/>
          <w:szCs w:val="24"/>
          <w:highlight w:val="none"/>
        </w:rPr>
        <w:t>施工的投标</w:t>
      </w:r>
      <w:r>
        <w:rPr>
          <w:rFonts w:ascii="宋体" w:hAnsi="宋体" w:eastAsia="宋体" w:cs="宋体"/>
          <w:strike/>
          <w:dstrike w:val="0"/>
          <w:color w:val="auto"/>
          <w:spacing w:val="-2"/>
          <w:sz w:val="24"/>
          <w:szCs w:val="24"/>
          <w:highlight w:val="none"/>
        </w:rPr>
        <w:t>中，若我方被确定为中标人后，我方将结合项目标段的工程特点和合同约定等，按《广东省高速公路工程施工组织设计和施工方案标准化管理指南》《广东省公路工程施工标准化指南》及</w:t>
      </w:r>
      <w:r>
        <w:rPr>
          <w:rFonts w:ascii="宋体" w:hAnsi="宋体" w:eastAsia="宋体" w:cs="宋体"/>
          <w:strike/>
          <w:dstrike w:val="0"/>
          <w:color w:val="auto"/>
          <w:spacing w:val="-1"/>
          <w:sz w:val="24"/>
          <w:szCs w:val="24"/>
          <w:highlight w:val="none"/>
        </w:rPr>
        <w:t>《广东省高速公路工程施工安全标准化指南》《公路工程施工安全防护设施技术指南》</w:t>
      </w:r>
      <w:r>
        <w:rPr>
          <w:rFonts w:ascii="宋体" w:hAnsi="宋体" w:eastAsia="宋体" w:cs="宋体"/>
          <w:strike/>
          <w:dstrike w:val="0"/>
          <w:color w:val="auto"/>
          <w:spacing w:val="-2"/>
          <w:sz w:val="24"/>
          <w:szCs w:val="24"/>
          <w:highlight w:val="none"/>
        </w:rPr>
        <w:t>等要求制定详细的施工组织设计，</w:t>
      </w:r>
      <w:r>
        <w:rPr>
          <w:rFonts w:ascii="宋体" w:hAnsi="宋体" w:eastAsia="宋体" w:cs="宋体"/>
          <w:strike/>
          <w:dstrike w:val="0"/>
          <w:color w:val="auto"/>
          <w:spacing w:val="-2"/>
          <w:sz w:val="24"/>
          <w:szCs w:val="24"/>
          <w:highlight w:val="none"/>
          <w:u w:val="single" w:color="auto"/>
        </w:rPr>
        <w:t>按《广东省交通运输厅关于印发《关于推进公路建设</w:t>
      </w:r>
      <w:r>
        <w:rPr>
          <w:rFonts w:ascii="宋体" w:hAnsi="宋体" w:eastAsia="宋体" w:cs="宋体"/>
          <w:strike/>
          <w:dstrike w:val="0"/>
          <w:color w:val="auto"/>
          <w:spacing w:val="-5"/>
          <w:sz w:val="24"/>
          <w:szCs w:val="24"/>
          <w:highlight w:val="none"/>
          <w:u w:val="single" w:color="auto"/>
        </w:rPr>
        <w:t xml:space="preserve">项目管理改革的指导意见（试行）》的通知》等要求制定承包人项目管理方案， </w:t>
      </w:r>
      <w:r>
        <w:rPr>
          <w:rFonts w:ascii="宋体" w:hAnsi="宋体" w:eastAsia="宋体" w:cs="宋体"/>
          <w:strike/>
          <w:dstrike w:val="0"/>
          <w:color w:val="auto"/>
          <w:spacing w:val="-5"/>
          <w:sz w:val="24"/>
          <w:szCs w:val="24"/>
          <w:highlight w:val="none"/>
        </w:rPr>
        <w:t>并于收到中标通知书后</w:t>
      </w:r>
      <w:r>
        <w:rPr>
          <w:rFonts w:ascii="宋体" w:hAnsi="宋体" w:eastAsia="宋体" w:cs="宋体"/>
          <w:strike/>
          <w:dstrike w:val="0"/>
          <w:color w:val="auto"/>
          <w:spacing w:val="-45"/>
          <w:sz w:val="24"/>
          <w:szCs w:val="24"/>
          <w:highlight w:val="none"/>
        </w:rPr>
        <w:t xml:space="preserve"> </w:t>
      </w:r>
      <w:r>
        <w:rPr>
          <w:rFonts w:ascii="宋体" w:hAnsi="宋体" w:eastAsia="宋体" w:cs="宋体"/>
          <w:strike/>
          <w:dstrike w:val="0"/>
          <w:color w:val="auto"/>
          <w:spacing w:val="-5"/>
          <w:sz w:val="24"/>
          <w:szCs w:val="24"/>
          <w:highlight w:val="none"/>
        </w:rPr>
        <w:t>7</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5"/>
          <w:sz w:val="24"/>
          <w:szCs w:val="24"/>
          <w:highlight w:val="none"/>
        </w:rPr>
        <w:t>天内提交。</w:t>
      </w:r>
    </w:p>
    <w:p w14:paraId="7F5AC2AB">
      <w:pPr>
        <w:spacing w:line="219" w:lineRule="auto"/>
        <w:ind w:left="19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特此承诺</w:t>
      </w:r>
    </w:p>
    <w:p w14:paraId="279D10D2">
      <w:pPr>
        <w:pStyle w:val="3"/>
        <w:spacing w:line="284" w:lineRule="auto"/>
        <w:rPr>
          <w:strike/>
          <w:dstrike w:val="0"/>
          <w:color w:val="auto"/>
          <w:highlight w:val="none"/>
        </w:rPr>
      </w:pPr>
    </w:p>
    <w:p w14:paraId="3BE40357">
      <w:pPr>
        <w:pStyle w:val="3"/>
        <w:spacing w:line="284" w:lineRule="auto"/>
        <w:rPr>
          <w:strike/>
          <w:dstrike w:val="0"/>
          <w:color w:val="auto"/>
          <w:highlight w:val="none"/>
        </w:rPr>
      </w:pPr>
    </w:p>
    <w:p w14:paraId="1D320DF8">
      <w:pPr>
        <w:spacing w:before="79" w:line="219" w:lineRule="auto"/>
        <w:ind w:left="502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8"/>
          <w:sz w:val="24"/>
          <w:szCs w:val="24"/>
          <w:highlight w:val="none"/>
        </w:rPr>
        <w:t>投标人</w:t>
      </w:r>
      <w:r>
        <w:rPr>
          <w:rFonts w:ascii="宋体" w:hAnsi="宋体" w:eastAsia="宋体" w:cs="宋体"/>
          <w:strike/>
          <w:dstrike w:val="0"/>
          <w:color w:val="auto"/>
          <w:spacing w:val="-19"/>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9"/>
          <w:sz w:val="24"/>
          <w:szCs w:val="24"/>
          <w:highlight w:val="none"/>
        </w:rPr>
        <w:t>（</w:t>
      </w:r>
      <w:r>
        <w:rPr>
          <w:rFonts w:ascii="宋体" w:hAnsi="宋体" w:eastAsia="宋体" w:cs="宋体"/>
          <w:strike/>
          <w:dstrike w:val="0"/>
          <w:color w:val="auto"/>
          <w:spacing w:val="-18"/>
          <w:sz w:val="24"/>
          <w:szCs w:val="24"/>
          <w:highlight w:val="none"/>
        </w:rPr>
        <w:t>盖单位章）</w:t>
      </w:r>
    </w:p>
    <w:p w14:paraId="02A42765">
      <w:pPr>
        <w:tabs>
          <w:tab w:val="left" w:pos="8615"/>
        </w:tabs>
        <w:spacing w:before="184" w:line="362" w:lineRule="auto"/>
        <w:ind w:left="8135" w:right="1312" w:hanging="310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1"/>
          <w:sz w:val="24"/>
          <w:szCs w:val="24"/>
          <w:highlight w:val="none"/>
        </w:rPr>
        <w:t>法定代表人或其委托代理人</w:t>
      </w:r>
      <w:r>
        <w:rPr>
          <w:rFonts w:ascii="宋体" w:hAnsi="宋体" w:eastAsia="宋体" w:cs="宋体"/>
          <w:strike/>
          <w:dstrike w:val="0"/>
          <w:color w:val="auto"/>
          <w:spacing w:val="-16"/>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6"/>
          <w:sz w:val="24"/>
          <w:szCs w:val="24"/>
          <w:highlight w:val="none"/>
        </w:rPr>
        <w:t>（</w:t>
      </w:r>
      <w:r>
        <w:rPr>
          <w:rFonts w:ascii="宋体" w:hAnsi="宋体" w:eastAsia="宋体" w:cs="宋体"/>
          <w:strike/>
          <w:dstrike w:val="0"/>
          <w:color w:val="auto"/>
          <w:spacing w:val="-11"/>
          <w:sz w:val="24"/>
          <w:szCs w:val="24"/>
          <w:highlight w:val="none"/>
        </w:rPr>
        <w:t>签字）</w:t>
      </w: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9"/>
          <w:sz w:val="24"/>
          <w:szCs w:val="24"/>
          <w:highlight w:val="none"/>
        </w:rPr>
        <w:t>年</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9"/>
          <w:sz w:val="24"/>
          <w:szCs w:val="24"/>
          <w:highlight w:val="none"/>
        </w:rPr>
        <w:t>月</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9"/>
          <w:sz w:val="24"/>
          <w:szCs w:val="24"/>
          <w:highlight w:val="none"/>
        </w:rPr>
        <w:t>日</w:t>
      </w:r>
    </w:p>
    <w:p w14:paraId="01535295">
      <w:pPr>
        <w:pStyle w:val="3"/>
        <w:spacing w:line="248" w:lineRule="auto"/>
        <w:rPr>
          <w:strike/>
          <w:dstrike w:val="0"/>
          <w:color w:val="auto"/>
          <w:highlight w:val="none"/>
        </w:rPr>
      </w:pPr>
    </w:p>
    <w:p w14:paraId="76077E14">
      <w:pPr>
        <w:pStyle w:val="3"/>
        <w:spacing w:line="249" w:lineRule="auto"/>
        <w:rPr>
          <w:strike/>
          <w:dstrike w:val="0"/>
          <w:color w:val="auto"/>
          <w:highlight w:val="none"/>
        </w:rPr>
      </w:pPr>
    </w:p>
    <w:p w14:paraId="2973B6F8">
      <w:pPr>
        <w:pStyle w:val="3"/>
        <w:spacing w:line="249" w:lineRule="auto"/>
        <w:rPr>
          <w:strike/>
          <w:dstrike w:val="0"/>
          <w:color w:val="auto"/>
          <w:highlight w:val="none"/>
        </w:rPr>
      </w:pPr>
    </w:p>
    <w:p w14:paraId="1F4131FD">
      <w:pPr>
        <w:pStyle w:val="3"/>
        <w:spacing w:line="249" w:lineRule="auto"/>
        <w:rPr>
          <w:strike/>
          <w:dstrike w:val="0"/>
          <w:color w:val="auto"/>
          <w:highlight w:val="none"/>
        </w:rPr>
      </w:pPr>
    </w:p>
    <w:p w14:paraId="0DA4EBE6">
      <w:pPr>
        <w:pStyle w:val="3"/>
        <w:spacing w:line="249" w:lineRule="auto"/>
        <w:rPr>
          <w:strike/>
          <w:dstrike w:val="0"/>
          <w:color w:val="auto"/>
          <w:highlight w:val="none"/>
        </w:rPr>
      </w:pPr>
    </w:p>
    <w:p w14:paraId="5A7D779B">
      <w:pPr>
        <w:pStyle w:val="3"/>
        <w:spacing w:line="249" w:lineRule="auto"/>
        <w:rPr>
          <w:strike/>
          <w:dstrike w:val="0"/>
          <w:color w:val="auto"/>
          <w:highlight w:val="none"/>
        </w:rPr>
      </w:pPr>
    </w:p>
    <w:p w14:paraId="3F35F995">
      <w:pPr>
        <w:pStyle w:val="3"/>
        <w:spacing w:line="249" w:lineRule="auto"/>
        <w:rPr>
          <w:strike/>
          <w:dstrike w:val="0"/>
          <w:color w:val="auto"/>
          <w:highlight w:val="none"/>
        </w:rPr>
      </w:pPr>
    </w:p>
    <w:p w14:paraId="0AE19307">
      <w:pPr>
        <w:pStyle w:val="3"/>
        <w:spacing w:line="249" w:lineRule="auto"/>
        <w:rPr>
          <w:strike/>
          <w:dstrike w:val="0"/>
          <w:color w:val="auto"/>
          <w:highlight w:val="none"/>
        </w:rPr>
      </w:pPr>
    </w:p>
    <w:p w14:paraId="7309E399">
      <w:pPr>
        <w:pStyle w:val="3"/>
        <w:spacing w:line="249" w:lineRule="auto"/>
        <w:rPr>
          <w:strike/>
          <w:dstrike w:val="0"/>
          <w:color w:val="auto"/>
          <w:highlight w:val="none"/>
        </w:rPr>
      </w:pPr>
    </w:p>
    <w:p w14:paraId="729F7F1D">
      <w:pPr>
        <w:pStyle w:val="3"/>
        <w:spacing w:line="249" w:lineRule="auto"/>
        <w:rPr>
          <w:strike/>
          <w:dstrike w:val="0"/>
          <w:color w:val="auto"/>
          <w:highlight w:val="none"/>
        </w:rPr>
      </w:pPr>
    </w:p>
    <w:p w14:paraId="04560150">
      <w:pPr>
        <w:pStyle w:val="3"/>
        <w:spacing w:line="249" w:lineRule="auto"/>
        <w:rPr>
          <w:strike/>
          <w:dstrike w:val="0"/>
          <w:color w:val="auto"/>
          <w:highlight w:val="none"/>
        </w:rPr>
      </w:pPr>
    </w:p>
    <w:p w14:paraId="747A4B4B">
      <w:pPr>
        <w:pStyle w:val="3"/>
        <w:spacing w:line="249" w:lineRule="auto"/>
        <w:rPr>
          <w:strike/>
          <w:dstrike w:val="0"/>
          <w:color w:val="auto"/>
          <w:highlight w:val="none"/>
        </w:rPr>
      </w:pPr>
    </w:p>
    <w:p w14:paraId="40A4B0D3">
      <w:pPr>
        <w:pStyle w:val="3"/>
        <w:spacing w:line="249" w:lineRule="auto"/>
        <w:rPr>
          <w:strike/>
          <w:dstrike w:val="0"/>
          <w:color w:val="auto"/>
          <w:highlight w:val="none"/>
        </w:rPr>
      </w:pPr>
    </w:p>
    <w:p w14:paraId="64AB1F46">
      <w:pPr>
        <w:pStyle w:val="3"/>
        <w:spacing w:line="249" w:lineRule="auto"/>
        <w:rPr>
          <w:strike/>
          <w:dstrike w:val="0"/>
          <w:color w:val="auto"/>
          <w:highlight w:val="none"/>
        </w:rPr>
      </w:pPr>
    </w:p>
    <w:p w14:paraId="415BE439">
      <w:pPr>
        <w:pStyle w:val="3"/>
        <w:spacing w:line="249" w:lineRule="auto"/>
        <w:rPr>
          <w:strike/>
          <w:dstrike w:val="0"/>
          <w:color w:val="auto"/>
          <w:highlight w:val="none"/>
        </w:rPr>
      </w:pPr>
    </w:p>
    <w:p w14:paraId="5AB02A9B">
      <w:pPr>
        <w:pStyle w:val="3"/>
        <w:spacing w:line="249" w:lineRule="auto"/>
        <w:rPr>
          <w:strike/>
          <w:dstrike w:val="0"/>
          <w:color w:val="auto"/>
          <w:highlight w:val="none"/>
        </w:rPr>
      </w:pPr>
    </w:p>
    <w:p w14:paraId="1D53240C">
      <w:pPr>
        <w:pStyle w:val="3"/>
        <w:spacing w:line="249" w:lineRule="auto"/>
        <w:rPr>
          <w:strike/>
          <w:dstrike w:val="0"/>
          <w:color w:val="auto"/>
          <w:highlight w:val="none"/>
        </w:rPr>
      </w:pPr>
    </w:p>
    <w:p w14:paraId="10FD8109">
      <w:pPr>
        <w:pStyle w:val="3"/>
        <w:spacing w:line="249" w:lineRule="auto"/>
        <w:rPr>
          <w:strike/>
          <w:dstrike w:val="0"/>
          <w:color w:val="auto"/>
          <w:highlight w:val="none"/>
        </w:rPr>
      </w:pPr>
    </w:p>
    <w:p w14:paraId="55A87BAD">
      <w:pPr>
        <w:pStyle w:val="3"/>
        <w:spacing w:line="249" w:lineRule="auto"/>
        <w:rPr>
          <w:strike/>
          <w:dstrike w:val="0"/>
          <w:color w:val="auto"/>
          <w:highlight w:val="none"/>
        </w:rPr>
      </w:pPr>
    </w:p>
    <w:p w14:paraId="744AAA8D">
      <w:pPr>
        <w:pStyle w:val="3"/>
        <w:spacing w:line="249" w:lineRule="auto"/>
        <w:rPr>
          <w:strike/>
          <w:dstrike w:val="0"/>
          <w:color w:val="auto"/>
          <w:highlight w:val="none"/>
        </w:rPr>
      </w:pPr>
    </w:p>
    <w:p w14:paraId="555BE0F7">
      <w:pPr>
        <w:spacing w:before="69" w:line="276" w:lineRule="auto"/>
        <w:ind w:left="1426" w:right="1418" w:firstLine="417"/>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注：因为双信封的合理低价法规定施工组织设计</w:t>
      </w:r>
      <w:r>
        <w:rPr>
          <w:rFonts w:ascii="宋体" w:hAnsi="宋体" w:eastAsia="宋体" w:cs="宋体"/>
          <w:strike/>
          <w:dstrike w:val="0"/>
          <w:color w:val="auto"/>
          <w:spacing w:val="-83"/>
          <w:sz w:val="21"/>
          <w:szCs w:val="21"/>
          <w:highlight w:val="none"/>
        </w:rPr>
        <w:t xml:space="preserve"> </w:t>
      </w:r>
      <w:r>
        <w:rPr>
          <w:rFonts w:ascii="宋体" w:hAnsi="宋体" w:eastAsia="宋体" w:cs="宋体"/>
          <w:strike/>
          <w:dstrike w:val="0"/>
          <w:color w:val="auto"/>
          <w:spacing w:val="-98"/>
          <w:sz w:val="21"/>
          <w:szCs w:val="21"/>
          <w:highlight w:val="none"/>
          <w:u w:val="single" w:color="auto"/>
        </w:rPr>
        <w:t xml:space="preserve"> </w:t>
      </w:r>
      <w:r>
        <w:rPr>
          <w:rFonts w:ascii="宋体" w:hAnsi="宋体" w:eastAsia="宋体" w:cs="宋体"/>
          <w:strike/>
          <w:dstrike w:val="0"/>
          <w:color w:val="auto"/>
          <w:spacing w:val="1"/>
          <w:sz w:val="21"/>
          <w:szCs w:val="21"/>
          <w:highlight w:val="none"/>
          <w:u w:val="single" w:color="auto"/>
        </w:rPr>
        <w:t>及承包人项目管理方案</w:t>
      </w:r>
      <w:r>
        <w:rPr>
          <w:rFonts w:ascii="宋体" w:hAnsi="宋体" w:eastAsia="宋体" w:cs="宋体"/>
          <w:strike/>
          <w:dstrike w:val="0"/>
          <w:color w:val="auto"/>
          <w:spacing w:val="1"/>
          <w:sz w:val="21"/>
          <w:szCs w:val="21"/>
          <w:highlight w:val="none"/>
        </w:rPr>
        <w:t>的分值为</w:t>
      </w:r>
      <w:r>
        <w:rPr>
          <w:rFonts w:ascii="宋体" w:hAnsi="宋体" w:eastAsia="宋体" w:cs="宋体"/>
          <w:strike/>
          <w:dstrike w:val="0"/>
          <w:color w:val="auto"/>
          <w:spacing w:val="-40"/>
          <w:sz w:val="21"/>
          <w:szCs w:val="21"/>
          <w:highlight w:val="none"/>
        </w:rPr>
        <w:t xml:space="preserve"> </w:t>
      </w:r>
      <w:r>
        <w:rPr>
          <w:rFonts w:ascii="宋体" w:hAnsi="宋体" w:eastAsia="宋体" w:cs="宋体"/>
          <w:strike/>
          <w:dstrike w:val="0"/>
          <w:color w:val="auto"/>
          <w:spacing w:val="1"/>
          <w:sz w:val="21"/>
          <w:szCs w:val="21"/>
          <w:highlight w:val="none"/>
        </w:rPr>
        <w:t>0，故投标人</w:t>
      </w:r>
      <w:r>
        <w:rPr>
          <w:rFonts w:ascii="宋体" w:hAnsi="宋体" w:eastAsia="宋体" w:cs="宋体"/>
          <w:strike/>
          <w:dstrike w:val="0"/>
          <w:color w:val="auto"/>
          <w:spacing w:val="-1"/>
          <w:sz w:val="21"/>
          <w:szCs w:val="21"/>
          <w:highlight w:val="none"/>
        </w:rPr>
        <w:t>投标时可不提供具体的施工组织设计</w:t>
      </w:r>
      <w:r>
        <w:rPr>
          <w:rFonts w:ascii="宋体" w:hAnsi="宋体" w:eastAsia="宋体" w:cs="宋体"/>
          <w:strike/>
          <w:dstrike w:val="0"/>
          <w:color w:val="auto"/>
          <w:spacing w:val="-1"/>
          <w:sz w:val="21"/>
          <w:szCs w:val="21"/>
          <w:highlight w:val="none"/>
          <w:u w:val="single" w:color="auto"/>
        </w:rPr>
        <w:t>及承包人项目管理方案</w:t>
      </w:r>
      <w:r>
        <w:rPr>
          <w:rFonts w:ascii="宋体" w:hAnsi="宋体" w:eastAsia="宋体" w:cs="宋体"/>
          <w:strike/>
          <w:dstrike w:val="0"/>
          <w:color w:val="auto"/>
          <w:spacing w:val="-1"/>
          <w:sz w:val="21"/>
          <w:szCs w:val="21"/>
          <w:highlight w:val="none"/>
        </w:rPr>
        <w:t>，但须按此承诺函格式进行承诺。</w:t>
      </w:r>
    </w:p>
    <w:p w14:paraId="1EE008D9">
      <w:pPr>
        <w:pStyle w:val="3"/>
        <w:spacing w:line="344" w:lineRule="auto"/>
        <w:rPr>
          <w:strike/>
          <w:dstrike w:val="0"/>
          <w:color w:val="auto"/>
          <w:highlight w:val="none"/>
        </w:rPr>
      </w:pPr>
    </w:p>
    <w:p w14:paraId="2281B08C">
      <w:pPr>
        <w:spacing w:before="21" w:line="217" w:lineRule="auto"/>
        <w:ind w:left="1421"/>
        <w:rPr>
          <w:rFonts w:ascii="宋体" w:hAnsi="宋体" w:eastAsia="宋体" w:cs="宋体"/>
          <w:strike/>
          <w:dstrike w:val="0"/>
          <w:color w:val="auto"/>
          <w:sz w:val="18"/>
          <w:szCs w:val="18"/>
          <w:highlight w:val="none"/>
        </w:rPr>
      </w:pPr>
    </w:p>
    <w:p w14:paraId="4C70BAB5">
      <w:pPr>
        <w:spacing w:line="217" w:lineRule="auto"/>
        <w:rPr>
          <w:rFonts w:ascii="宋体" w:hAnsi="宋体" w:eastAsia="宋体" w:cs="宋体"/>
          <w:strike/>
          <w:dstrike w:val="0"/>
          <w:color w:val="auto"/>
          <w:sz w:val="18"/>
          <w:szCs w:val="18"/>
          <w:highlight w:val="none"/>
        </w:rPr>
        <w:sectPr>
          <w:headerReference r:id="rId163" w:type="default"/>
          <w:footerReference r:id="rId164" w:type="default"/>
          <w:pgSz w:w="11905" w:h="16840"/>
          <w:pgMar w:top="1182" w:right="0" w:bottom="1171" w:left="0" w:header="849" w:footer="937" w:gutter="0"/>
          <w:pgNumType w:fmt="decimal"/>
          <w:cols w:space="720" w:num="1"/>
        </w:sectPr>
      </w:pPr>
    </w:p>
    <w:p w14:paraId="65932578">
      <w:pPr>
        <w:pStyle w:val="3"/>
        <w:spacing w:line="293" w:lineRule="auto"/>
        <w:rPr>
          <w:color w:val="auto"/>
          <w:highlight w:val="none"/>
        </w:rPr>
      </w:pPr>
    </w:p>
    <w:p w14:paraId="5543169D">
      <w:pPr>
        <w:spacing w:before="88" w:line="242" w:lineRule="auto"/>
        <w:ind w:left="3368"/>
        <w:rPr>
          <w:rFonts w:ascii="宋体" w:hAnsi="宋体" w:eastAsia="宋体" w:cs="宋体"/>
          <w:strike/>
          <w:dstrike w:val="0"/>
          <w:color w:val="auto"/>
          <w:sz w:val="13"/>
          <w:szCs w:val="13"/>
          <w:highlight w:val="none"/>
        </w:rPr>
      </w:pPr>
      <w:r>
        <w:rPr>
          <w:rFonts w:ascii="宋体" w:hAnsi="宋体" w:eastAsia="宋体" w:cs="宋体"/>
          <w:b/>
          <w:bCs/>
          <w:strike w:val="0"/>
          <w:dstrike w:val="0"/>
          <w:color w:val="auto"/>
          <w:spacing w:val="7"/>
          <w:sz w:val="27"/>
          <w:szCs w:val="27"/>
          <w:highlight w:val="none"/>
        </w:rPr>
        <w:t>五、施工组织设计</w:t>
      </w:r>
      <w:r>
        <w:rPr>
          <w:rFonts w:ascii="宋体" w:hAnsi="宋体" w:eastAsia="宋体" w:cs="宋体"/>
          <w:b/>
          <w:bCs/>
          <w:strike/>
          <w:dstrike w:val="0"/>
          <w:color w:val="auto"/>
          <w:spacing w:val="7"/>
          <w:sz w:val="27"/>
          <w:szCs w:val="27"/>
          <w:highlight w:val="none"/>
          <w:u w:val="single" w:color="auto"/>
        </w:rPr>
        <w:t>及承包人项目管理方案</w:t>
      </w:r>
    </w:p>
    <w:p w14:paraId="53A7D066">
      <w:pPr>
        <w:pStyle w:val="3"/>
        <w:spacing w:line="257" w:lineRule="auto"/>
        <w:rPr>
          <w:strike w:val="0"/>
          <w:dstrike w:val="0"/>
          <w:color w:val="auto"/>
          <w:highlight w:val="none"/>
        </w:rPr>
      </w:pPr>
    </w:p>
    <w:p w14:paraId="532292BE">
      <w:pPr>
        <w:pStyle w:val="3"/>
        <w:spacing w:line="257" w:lineRule="auto"/>
        <w:rPr>
          <w:strike w:val="0"/>
          <w:dstrike w:val="0"/>
          <w:color w:val="auto"/>
          <w:highlight w:val="none"/>
        </w:rPr>
      </w:pPr>
    </w:p>
    <w:p w14:paraId="5C66C268">
      <w:pPr>
        <w:spacing w:before="88" w:line="226" w:lineRule="auto"/>
        <w:ind w:left="4767"/>
        <w:rPr>
          <w:rFonts w:ascii="宋体" w:hAnsi="宋体" w:eastAsia="宋体" w:cs="宋体"/>
          <w:strike w:val="0"/>
          <w:dstrike w:val="0"/>
          <w:color w:val="auto"/>
          <w:sz w:val="27"/>
          <w:szCs w:val="27"/>
          <w:highlight w:val="none"/>
        </w:rPr>
      </w:pPr>
      <w:r>
        <w:rPr>
          <w:rFonts w:ascii="宋体" w:hAnsi="宋体" w:eastAsia="宋体" w:cs="宋体"/>
          <w:b/>
          <w:bCs/>
          <w:strike w:val="0"/>
          <w:dstrike w:val="0"/>
          <w:color w:val="auto"/>
          <w:spacing w:val="6"/>
          <w:sz w:val="27"/>
          <w:szCs w:val="27"/>
          <w:highlight w:val="none"/>
        </w:rPr>
        <w:t>第一部分</w:t>
      </w:r>
      <w:r>
        <w:rPr>
          <w:rFonts w:ascii="宋体" w:hAnsi="宋体" w:eastAsia="宋体" w:cs="宋体"/>
          <w:strike w:val="0"/>
          <w:dstrike w:val="0"/>
          <w:color w:val="auto"/>
          <w:spacing w:val="6"/>
          <w:sz w:val="27"/>
          <w:szCs w:val="27"/>
          <w:highlight w:val="none"/>
        </w:rPr>
        <w:t xml:space="preserve"> </w:t>
      </w:r>
      <w:r>
        <w:rPr>
          <w:rFonts w:ascii="宋体" w:hAnsi="宋体" w:eastAsia="宋体" w:cs="宋体"/>
          <w:b/>
          <w:bCs/>
          <w:strike w:val="0"/>
          <w:dstrike w:val="0"/>
          <w:color w:val="auto"/>
          <w:spacing w:val="6"/>
          <w:sz w:val="27"/>
          <w:szCs w:val="27"/>
          <w:highlight w:val="none"/>
        </w:rPr>
        <w:t>施工组织设计</w:t>
      </w:r>
    </w:p>
    <w:p w14:paraId="5FB4F37D">
      <w:pPr>
        <w:spacing w:before="234" w:line="360" w:lineRule="auto"/>
        <w:ind w:left="1424" w:right="1416" w:firstLine="484"/>
        <w:jc w:val="both"/>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一、根据《广东省高速公路工程施工组织设计和施工方</w:t>
      </w:r>
      <w:r>
        <w:rPr>
          <w:rFonts w:ascii="宋体" w:hAnsi="宋体" w:eastAsia="宋体" w:cs="宋体"/>
          <w:strike w:val="0"/>
          <w:dstrike w:val="0"/>
          <w:color w:val="auto"/>
          <w:spacing w:val="-3"/>
          <w:sz w:val="24"/>
          <w:szCs w:val="24"/>
          <w:highlight w:val="none"/>
        </w:rPr>
        <w:t>案标准化管理指南》《广东</w:t>
      </w:r>
      <w:r>
        <w:rPr>
          <w:rFonts w:ascii="宋体" w:hAnsi="宋体" w:eastAsia="宋体" w:cs="宋体"/>
          <w:strike w:val="0"/>
          <w:dstrike w:val="0"/>
          <w:color w:val="auto"/>
          <w:spacing w:val="-2"/>
          <w:sz w:val="24"/>
          <w:szCs w:val="24"/>
          <w:highlight w:val="none"/>
        </w:rPr>
        <w:t>省公路工程施工标准化指南》及《广东省高速公路工程施工安全标准化指南》《公路工</w:t>
      </w:r>
      <w:r>
        <w:rPr>
          <w:rFonts w:ascii="宋体" w:hAnsi="宋体" w:eastAsia="宋体" w:cs="宋体"/>
          <w:strike w:val="0"/>
          <w:dstrike w:val="0"/>
          <w:color w:val="auto"/>
          <w:spacing w:val="-5"/>
          <w:sz w:val="24"/>
          <w:szCs w:val="24"/>
          <w:highlight w:val="none"/>
        </w:rPr>
        <w:t>程施工安全防护设施技术指南》， 投标人应按以下要点编制施工组织设计，契合项目实</w:t>
      </w:r>
      <w:r>
        <w:rPr>
          <w:rFonts w:ascii="宋体" w:hAnsi="宋体" w:eastAsia="宋体" w:cs="宋体"/>
          <w:strike w:val="0"/>
          <w:dstrike w:val="0"/>
          <w:color w:val="auto"/>
          <w:spacing w:val="-7"/>
          <w:sz w:val="24"/>
          <w:szCs w:val="24"/>
          <w:highlight w:val="none"/>
        </w:rPr>
        <w:t>际，突出重点，抓住关键。（文字应精炼、表述须清晰，</w:t>
      </w:r>
      <w:r>
        <w:rPr>
          <w:rFonts w:ascii="宋体" w:hAnsi="宋体" w:eastAsia="宋体" w:cs="宋体"/>
          <w:strike w:val="0"/>
          <w:dstrike w:val="0"/>
          <w:color w:val="auto"/>
          <w:spacing w:val="88"/>
          <w:sz w:val="24"/>
          <w:szCs w:val="24"/>
          <w:highlight w:val="none"/>
        </w:rPr>
        <w:t xml:space="preserve"> </w:t>
      </w:r>
      <w:r>
        <w:rPr>
          <w:rFonts w:ascii="宋体" w:hAnsi="宋体" w:eastAsia="宋体" w:cs="宋体"/>
          <w:strike w:val="0"/>
          <w:dstrike w:val="0"/>
          <w:color w:val="auto"/>
          <w:spacing w:val="-7"/>
          <w:sz w:val="24"/>
          <w:szCs w:val="24"/>
          <w:highlight w:val="none"/>
        </w:rPr>
        <w:t>内容具有针对性，总体原则上控制在</w:t>
      </w:r>
      <w:r>
        <w:rPr>
          <w:rFonts w:ascii="宋体" w:hAnsi="宋体" w:eastAsia="宋体" w:cs="宋体"/>
          <w:strike w:val="0"/>
          <w:dstrike w:val="0"/>
          <w:color w:val="auto"/>
          <w:spacing w:val="-33"/>
          <w:sz w:val="24"/>
          <w:szCs w:val="24"/>
          <w:highlight w:val="none"/>
        </w:rPr>
        <w:t xml:space="preserve"> </w:t>
      </w:r>
      <w:r>
        <w:rPr>
          <w:rFonts w:ascii="宋体" w:hAnsi="宋体" w:eastAsia="宋体" w:cs="宋体"/>
          <w:strike w:val="0"/>
          <w:dstrike w:val="0"/>
          <w:color w:val="auto"/>
          <w:spacing w:val="-7"/>
          <w:sz w:val="24"/>
          <w:szCs w:val="24"/>
          <w:highlight w:val="none"/>
        </w:rPr>
        <w:t>15000</w:t>
      </w:r>
      <w:r>
        <w:rPr>
          <w:rFonts w:ascii="宋体" w:hAnsi="宋体" w:eastAsia="宋体" w:cs="宋体"/>
          <w:strike w:val="0"/>
          <w:dstrike w:val="0"/>
          <w:color w:val="auto"/>
          <w:spacing w:val="-50"/>
          <w:sz w:val="24"/>
          <w:szCs w:val="24"/>
          <w:highlight w:val="none"/>
        </w:rPr>
        <w:t xml:space="preserve"> </w:t>
      </w:r>
      <w:r>
        <w:rPr>
          <w:rFonts w:ascii="宋体" w:hAnsi="宋体" w:eastAsia="宋体" w:cs="宋体"/>
          <w:strike w:val="0"/>
          <w:dstrike w:val="0"/>
          <w:color w:val="auto"/>
          <w:spacing w:val="-7"/>
          <w:sz w:val="24"/>
          <w:szCs w:val="24"/>
          <w:highlight w:val="none"/>
        </w:rPr>
        <w:t>字以内</w:t>
      </w:r>
      <w:r>
        <w:rPr>
          <w:rFonts w:ascii="宋体" w:hAnsi="宋体" w:eastAsia="宋体" w:cs="宋体"/>
          <w:strike w:val="0"/>
          <w:dstrike w:val="0"/>
          <w:color w:val="auto"/>
          <w:spacing w:val="-6"/>
          <w:sz w:val="24"/>
          <w:szCs w:val="24"/>
          <w:highlight w:val="none"/>
        </w:rPr>
        <w:t>）：</w:t>
      </w:r>
    </w:p>
    <w:p w14:paraId="06FD3AF5">
      <w:pPr>
        <w:spacing w:before="1" w:line="218" w:lineRule="auto"/>
        <w:ind w:left="192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1、总体施工组织布置及规划</w:t>
      </w:r>
    </w:p>
    <w:p w14:paraId="32BC501E">
      <w:pPr>
        <w:spacing w:before="182" w:line="220" w:lineRule="auto"/>
        <w:ind w:left="190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⑴工程概况</w:t>
      </w:r>
    </w:p>
    <w:p w14:paraId="4B30033A">
      <w:pPr>
        <w:spacing w:before="183" w:line="217" w:lineRule="auto"/>
        <w:ind w:left="190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①工程建设规模、数量等基本情况。</w:t>
      </w:r>
    </w:p>
    <w:p w14:paraId="19421F74">
      <w:pPr>
        <w:spacing w:before="186" w:line="289" w:lineRule="auto"/>
        <w:ind w:left="1424" w:right="1403" w:firstLine="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②施工自然条件（包括地形地貌、水文地质与工程地质条件、气</w:t>
      </w:r>
      <w:r>
        <w:rPr>
          <w:rFonts w:ascii="宋体" w:hAnsi="宋体" w:eastAsia="宋体" w:cs="宋体"/>
          <w:strike w:val="0"/>
          <w:dstrike w:val="0"/>
          <w:color w:val="auto"/>
          <w:spacing w:val="-2"/>
          <w:sz w:val="24"/>
          <w:szCs w:val="24"/>
          <w:highlight w:val="none"/>
        </w:rPr>
        <w:t>候气象条件等）、施工条件（运输条件、施工用水、用电和筑路材料等）。</w:t>
      </w:r>
    </w:p>
    <w:p w14:paraId="07E56702">
      <w:pPr>
        <w:spacing w:before="184" w:line="217" w:lineRule="auto"/>
        <w:ind w:left="190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③工程特点及重难点工程分析与说明。</w:t>
      </w:r>
    </w:p>
    <w:p w14:paraId="5A83653B">
      <w:pPr>
        <w:spacing w:before="186" w:line="221" w:lineRule="auto"/>
        <w:ind w:left="190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⑵施工组织安排</w:t>
      </w:r>
    </w:p>
    <w:p w14:paraId="69CA838F">
      <w:pPr>
        <w:spacing w:before="181" w:line="217" w:lineRule="auto"/>
        <w:ind w:left="190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4"/>
          <w:sz w:val="24"/>
          <w:szCs w:val="24"/>
          <w:highlight w:val="none"/>
        </w:rPr>
        <w:t>①施工管理组织机构。</w:t>
      </w:r>
    </w:p>
    <w:p w14:paraId="382D7079">
      <w:pPr>
        <w:spacing w:before="186" w:line="217" w:lineRule="auto"/>
        <w:ind w:left="190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②施工区域划分、作业队伍划分和作业人数配置。</w:t>
      </w:r>
    </w:p>
    <w:p w14:paraId="6CB5DDEC">
      <w:pPr>
        <w:spacing w:before="186" w:line="289" w:lineRule="auto"/>
        <w:ind w:left="1424" w:right="1416" w:firstLine="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③大型临时设施的布置规划、主要材料供应计划、临时工程用地计划、临时用电计</w:t>
      </w:r>
      <w:r>
        <w:rPr>
          <w:rFonts w:ascii="宋体" w:hAnsi="宋体" w:eastAsia="宋体" w:cs="宋体"/>
          <w:strike w:val="0"/>
          <w:dstrike w:val="0"/>
          <w:color w:val="auto"/>
          <w:spacing w:val="-4"/>
          <w:sz w:val="24"/>
          <w:szCs w:val="24"/>
          <w:highlight w:val="none"/>
        </w:rPr>
        <w:t>划及施工总平面布置等。</w:t>
      </w:r>
    </w:p>
    <w:p w14:paraId="7E6F1B25">
      <w:pPr>
        <w:spacing w:before="184" w:line="220" w:lineRule="auto"/>
        <w:ind w:left="190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⑶施工进度计划</w:t>
      </w:r>
    </w:p>
    <w:p w14:paraId="0BCF988C">
      <w:pPr>
        <w:spacing w:before="182" w:line="217" w:lineRule="auto"/>
        <w:ind w:left="190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①工期总目标及关键线路工期安排。</w:t>
      </w:r>
    </w:p>
    <w:p w14:paraId="42FAF7D0">
      <w:pPr>
        <w:spacing w:before="186" w:line="217" w:lineRule="auto"/>
        <w:ind w:left="190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4"/>
          <w:sz w:val="24"/>
          <w:szCs w:val="24"/>
          <w:highlight w:val="none"/>
        </w:rPr>
        <w:t>②各分项工程工期安排。</w:t>
      </w:r>
    </w:p>
    <w:p w14:paraId="7767DA39">
      <w:pPr>
        <w:spacing w:before="185" w:line="220" w:lineRule="auto"/>
        <w:ind w:left="1908"/>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2、主要工程项目的施工方案与技术措施</w:t>
      </w:r>
    </w:p>
    <w:p w14:paraId="15E405F8">
      <w:pPr>
        <w:spacing w:before="183" w:line="360" w:lineRule="auto"/>
        <w:ind w:left="1426" w:right="1428" w:firstLine="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⑴常规的路基、路面、桥涵、隧道工程仅说明工程概况、主要施工方法（仅明确工法，一般不写施工流程、具体工艺、质量检验等内容）。</w:t>
      </w:r>
    </w:p>
    <w:p w14:paraId="557A50BA">
      <w:pPr>
        <w:spacing w:before="1" w:line="361" w:lineRule="auto"/>
        <w:ind w:left="1427" w:right="1416" w:firstLine="478"/>
        <w:jc w:val="both"/>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7"/>
          <w:sz w:val="24"/>
          <w:szCs w:val="24"/>
          <w:highlight w:val="none"/>
        </w:rPr>
        <w:t>⑵重点、难点和关键工程应根据本单位的施工技术水平、工装设备，</w:t>
      </w:r>
      <w:r>
        <w:rPr>
          <w:rFonts w:ascii="宋体" w:hAnsi="宋体" w:eastAsia="宋体" w:cs="宋体"/>
          <w:strike w:val="0"/>
          <w:dstrike w:val="0"/>
          <w:color w:val="auto"/>
          <w:spacing w:val="58"/>
          <w:sz w:val="24"/>
          <w:szCs w:val="24"/>
          <w:highlight w:val="none"/>
        </w:rPr>
        <w:t xml:space="preserve"> </w:t>
      </w:r>
      <w:r>
        <w:rPr>
          <w:rFonts w:ascii="宋体" w:hAnsi="宋体" w:eastAsia="宋体" w:cs="宋体"/>
          <w:strike w:val="0"/>
          <w:dstrike w:val="0"/>
          <w:color w:val="auto"/>
          <w:spacing w:val="-7"/>
          <w:sz w:val="24"/>
          <w:szCs w:val="24"/>
          <w:highlight w:val="none"/>
        </w:rPr>
        <w:t>积极响应《广</w:t>
      </w:r>
      <w:r>
        <w:rPr>
          <w:rFonts w:ascii="宋体" w:hAnsi="宋体" w:eastAsia="宋体" w:cs="宋体"/>
          <w:strike w:val="0"/>
          <w:dstrike w:val="0"/>
          <w:color w:val="auto"/>
          <w:spacing w:val="-5"/>
          <w:sz w:val="24"/>
          <w:szCs w:val="24"/>
          <w:highlight w:val="none"/>
        </w:rPr>
        <w:t>东省公路工程施工标准化指南》规定， 制定针对性施工方案及技术措施，包括：工程概</w:t>
      </w:r>
      <w:r>
        <w:rPr>
          <w:rFonts w:ascii="宋体" w:hAnsi="宋体" w:eastAsia="宋体" w:cs="宋体"/>
          <w:strike w:val="0"/>
          <w:dstrike w:val="0"/>
          <w:color w:val="auto"/>
          <w:spacing w:val="-2"/>
          <w:sz w:val="24"/>
          <w:szCs w:val="24"/>
          <w:highlight w:val="none"/>
        </w:rPr>
        <w:t>况、主要设备配置、主要施工方法、组织方式、工期安排等。</w:t>
      </w:r>
    </w:p>
    <w:p w14:paraId="7AB0AABA">
      <w:pPr>
        <w:spacing w:line="242" w:lineRule="auto"/>
        <w:rPr>
          <w:rFonts w:ascii="宋体" w:hAnsi="宋体" w:eastAsia="宋体" w:cs="宋体"/>
          <w:strike w:val="0"/>
          <w:dstrike w:val="0"/>
          <w:color w:val="auto"/>
          <w:sz w:val="18"/>
          <w:szCs w:val="18"/>
          <w:highlight w:val="none"/>
        </w:rPr>
        <w:sectPr>
          <w:headerReference r:id="rId165" w:type="default"/>
          <w:footerReference r:id="rId166" w:type="default"/>
          <w:pgSz w:w="11905" w:h="16840"/>
          <w:pgMar w:top="1182" w:right="0" w:bottom="1171" w:left="0" w:header="849" w:footer="937" w:gutter="0"/>
          <w:pgNumType w:fmt="decimal"/>
          <w:cols w:space="720" w:num="1"/>
        </w:sectPr>
      </w:pPr>
    </w:p>
    <w:p w14:paraId="1243C5A1">
      <w:pPr>
        <w:pStyle w:val="3"/>
        <w:spacing w:line="268" w:lineRule="auto"/>
        <w:rPr>
          <w:strike w:val="0"/>
          <w:dstrike w:val="0"/>
          <w:color w:val="auto"/>
          <w:highlight w:val="none"/>
        </w:rPr>
      </w:pPr>
    </w:p>
    <w:p w14:paraId="5E133384">
      <w:pPr>
        <w:spacing w:before="78" w:line="360" w:lineRule="auto"/>
        <w:ind w:left="1426" w:right="1429" w:firstLine="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⑶本工程拟采用的“四新”技术可适当进行说明，特别是对《广东省公路工程施工标准化指南》附录“四新”技术的使用进行说明。</w:t>
      </w:r>
    </w:p>
    <w:p w14:paraId="4C45E2AB">
      <w:pPr>
        <w:spacing w:line="220" w:lineRule="auto"/>
        <w:ind w:left="1910"/>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3、工期保证措施</w:t>
      </w:r>
    </w:p>
    <w:p w14:paraId="79383FB2">
      <w:pPr>
        <w:spacing w:before="181" w:line="219" w:lineRule="auto"/>
        <w:ind w:left="192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围绕工期目标，简要阐述影响工期的主要因</w:t>
      </w:r>
      <w:r>
        <w:rPr>
          <w:rFonts w:ascii="宋体" w:hAnsi="宋体" w:eastAsia="宋体" w:cs="宋体"/>
          <w:strike w:val="0"/>
          <w:dstrike w:val="0"/>
          <w:color w:val="auto"/>
          <w:spacing w:val="-3"/>
          <w:sz w:val="24"/>
          <w:szCs w:val="24"/>
          <w:highlight w:val="none"/>
        </w:rPr>
        <w:t>素及相关应对措施。</w:t>
      </w:r>
    </w:p>
    <w:p w14:paraId="47A6C5AF">
      <w:pPr>
        <w:spacing w:before="183" w:line="220" w:lineRule="auto"/>
        <w:ind w:left="190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4、工程质量保证措施</w:t>
      </w:r>
    </w:p>
    <w:p w14:paraId="798D0A95">
      <w:pPr>
        <w:spacing w:before="181" w:line="360" w:lineRule="auto"/>
        <w:ind w:left="1428" w:right="1416" w:firstLine="49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明确工程质量管理目标，针对工程质量通病，简要说明拟采取</w:t>
      </w:r>
      <w:r>
        <w:rPr>
          <w:rFonts w:ascii="宋体" w:hAnsi="宋体" w:eastAsia="宋体" w:cs="宋体"/>
          <w:strike w:val="0"/>
          <w:dstrike w:val="0"/>
          <w:color w:val="auto"/>
          <w:spacing w:val="-3"/>
          <w:sz w:val="24"/>
          <w:szCs w:val="24"/>
          <w:highlight w:val="none"/>
        </w:rPr>
        <w:t>的预防控制措施。特</w:t>
      </w:r>
      <w:r>
        <w:rPr>
          <w:rFonts w:ascii="宋体" w:hAnsi="宋体" w:eastAsia="宋体" w:cs="宋体"/>
          <w:strike w:val="0"/>
          <w:dstrike w:val="0"/>
          <w:color w:val="auto"/>
          <w:spacing w:val="-1"/>
          <w:sz w:val="24"/>
          <w:szCs w:val="24"/>
          <w:highlight w:val="none"/>
        </w:rPr>
        <w:t>别是对《广东省公路工程施工标准化指南》附录主要质量通病</w:t>
      </w:r>
      <w:r>
        <w:rPr>
          <w:rFonts w:ascii="宋体" w:hAnsi="宋体" w:eastAsia="宋体" w:cs="宋体"/>
          <w:strike w:val="0"/>
          <w:dstrike w:val="0"/>
          <w:color w:val="auto"/>
          <w:spacing w:val="-2"/>
          <w:sz w:val="24"/>
          <w:szCs w:val="24"/>
          <w:highlight w:val="none"/>
        </w:rPr>
        <w:t>及防止措施进行说明。</w:t>
      </w:r>
    </w:p>
    <w:p w14:paraId="25807C6E">
      <w:pPr>
        <w:spacing w:before="1" w:line="219" w:lineRule="auto"/>
        <w:ind w:left="1910"/>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5、安全生产保证措施</w:t>
      </w:r>
    </w:p>
    <w:p w14:paraId="74009526">
      <w:pPr>
        <w:spacing w:before="182" w:line="360" w:lineRule="auto"/>
        <w:ind w:left="1424" w:right="1416" w:firstLine="503"/>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明确安全生产管理目标，针对工程主要安全风险点，简要说明</w:t>
      </w:r>
      <w:r>
        <w:rPr>
          <w:rFonts w:ascii="宋体" w:hAnsi="宋体" w:eastAsia="宋体" w:cs="宋体"/>
          <w:strike w:val="0"/>
          <w:dstrike w:val="0"/>
          <w:color w:val="auto"/>
          <w:spacing w:val="-3"/>
          <w:sz w:val="24"/>
          <w:szCs w:val="24"/>
          <w:highlight w:val="none"/>
        </w:rPr>
        <w:t>拟采取的预防保障措</w:t>
      </w:r>
      <w:r>
        <w:rPr>
          <w:rFonts w:ascii="宋体" w:hAnsi="宋体" w:eastAsia="宋体" w:cs="宋体"/>
          <w:strike w:val="0"/>
          <w:dstrike w:val="0"/>
          <w:color w:val="auto"/>
          <w:spacing w:val="-11"/>
          <w:sz w:val="24"/>
          <w:szCs w:val="24"/>
          <w:highlight w:val="none"/>
        </w:rPr>
        <w:t>施。</w:t>
      </w:r>
    </w:p>
    <w:p w14:paraId="10986A35">
      <w:pPr>
        <w:spacing w:before="1" w:line="219" w:lineRule="auto"/>
        <w:ind w:left="190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6、环境保护、水土保持保证措施</w:t>
      </w:r>
    </w:p>
    <w:p w14:paraId="06A8F7A2">
      <w:pPr>
        <w:spacing w:before="182" w:line="219" w:lineRule="auto"/>
        <w:ind w:left="190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针对项目环境保护、水土保持敏感点，简要说</w:t>
      </w:r>
      <w:r>
        <w:rPr>
          <w:rFonts w:ascii="宋体" w:hAnsi="宋体" w:eastAsia="宋体" w:cs="宋体"/>
          <w:strike w:val="0"/>
          <w:dstrike w:val="0"/>
          <w:color w:val="auto"/>
          <w:spacing w:val="-2"/>
          <w:sz w:val="24"/>
          <w:szCs w:val="24"/>
          <w:highlight w:val="none"/>
        </w:rPr>
        <w:t>明拟采取的预防保障措施。</w:t>
      </w:r>
    </w:p>
    <w:p w14:paraId="0844C6B9">
      <w:pPr>
        <w:spacing w:before="183" w:line="220" w:lineRule="auto"/>
        <w:ind w:left="1911"/>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7、文明施工、文物保护保证措施</w:t>
      </w:r>
    </w:p>
    <w:p w14:paraId="1BDA454D">
      <w:pPr>
        <w:spacing w:before="183" w:line="219" w:lineRule="auto"/>
        <w:ind w:left="1905"/>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针对文明施工和文物保护相关要求，简要说明拟采取的预防保障措施。</w:t>
      </w:r>
    </w:p>
    <w:p w14:paraId="517AA6C1">
      <w:pPr>
        <w:spacing w:before="182" w:line="220" w:lineRule="auto"/>
        <w:ind w:left="1906"/>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8、其他应说明的事项</w:t>
      </w:r>
    </w:p>
    <w:p w14:paraId="0A033616">
      <w:pPr>
        <w:spacing w:before="182" w:line="220" w:lineRule="auto"/>
        <w:ind w:left="190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可根据招标文件要求有选择地作出说明。</w:t>
      </w:r>
    </w:p>
    <w:p w14:paraId="73F54DF7">
      <w:pPr>
        <w:spacing w:before="183" w:line="360" w:lineRule="auto"/>
        <w:ind w:left="1424" w:right="1429" w:firstLine="48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7"/>
          <w:sz w:val="24"/>
          <w:szCs w:val="24"/>
          <w:highlight w:val="none"/>
        </w:rPr>
        <w:t>二、施工组织设计除采用文字表述外可附下列图表，</w:t>
      </w:r>
      <w:r>
        <w:rPr>
          <w:rFonts w:ascii="宋体" w:hAnsi="宋体" w:eastAsia="宋体" w:cs="宋体"/>
          <w:strike w:val="0"/>
          <w:dstrike w:val="0"/>
          <w:color w:val="auto"/>
          <w:spacing w:val="69"/>
          <w:sz w:val="24"/>
          <w:szCs w:val="24"/>
          <w:highlight w:val="none"/>
        </w:rPr>
        <w:t xml:space="preserve"> </w:t>
      </w:r>
      <w:r>
        <w:rPr>
          <w:rFonts w:ascii="宋体" w:hAnsi="宋体" w:eastAsia="宋体" w:cs="宋体"/>
          <w:strike w:val="0"/>
          <w:dstrike w:val="0"/>
          <w:color w:val="auto"/>
          <w:spacing w:val="-8"/>
          <w:sz w:val="24"/>
          <w:szCs w:val="24"/>
          <w:highlight w:val="none"/>
        </w:rPr>
        <w:t>图表及格式要求参见《公路工</w:t>
      </w:r>
      <w:r>
        <w:rPr>
          <w:rFonts w:ascii="宋体" w:hAnsi="宋体" w:eastAsia="宋体" w:cs="宋体"/>
          <w:strike w:val="0"/>
          <w:dstrike w:val="0"/>
          <w:color w:val="auto"/>
          <w:spacing w:val="-2"/>
          <w:sz w:val="24"/>
          <w:szCs w:val="24"/>
          <w:highlight w:val="none"/>
        </w:rPr>
        <w:t>程标准施工招标文件》(2018</w:t>
      </w:r>
      <w:r>
        <w:rPr>
          <w:rFonts w:ascii="宋体" w:hAnsi="宋体" w:eastAsia="宋体" w:cs="宋体"/>
          <w:strike w:val="0"/>
          <w:dstrike w:val="0"/>
          <w:color w:val="auto"/>
          <w:spacing w:val="-45"/>
          <w:sz w:val="24"/>
          <w:szCs w:val="24"/>
          <w:highlight w:val="none"/>
        </w:rPr>
        <w:t xml:space="preserve"> </w:t>
      </w:r>
      <w:r>
        <w:rPr>
          <w:rFonts w:ascii="宋体" w:hAnsi="宋体" w:eastAsia="宋体" w:cs="宋体"/>
          <w:strike w:val="0"/>
          <w:dstrike w:val="0"/>
          <w:color w:val="auto"/>
          <w:spacing w:val="-2"/>
          <w:sz w:val="24"/>
          <w:szCs w:val="24"/>
          <w:highlight w:val="none"/>
        </w:rPr>
        <w:t>年版)第九章相应格式内容。</w:t>
      </w:r>
    </w:p>
    <w:p w14:paraId="6AB3C05E">
      <w:pPr>
        <w:spacing w:before="1" w:line="218" w:lineRule="auto"/>
        <w:ind w:left="192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附表一  施工总体计划表</w:t>
      </w:r>
    </w:p>
    <w:p w14:paraId="0F31D4D3">
      <w:pPr>
        <w:spacing w:before="183" w:line="219" w:lineRule="auto"/>
        <w:ind w:left="192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附表二  分项工程进度率计划（斜率图）</w:t>
      </w:r>
    </w:p>
    <w:p w14:paraId="5EC2BF91">
      <w:pPr>
        <w:spacing w:before="184" w:line="219" w:lineRule="auto"/>
        <w:ind w:left="192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附表三  工程管理曲线</w:t>
      </w:r>
    </w:p>
    <w:p w14:paraId="6DD1830B">
      <w:pPr>
        <w:spacing w:before="183" w:line="219" w:lineRule="auto"/>
        <w:ind w:left="192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附表四  分项工程生产率和施工周期表</w:t>
      </w:r>
    </w:p>
    <w:p w14:paraId="75868C32">
      <w:pPr>
        <w:spacing w:before="183" w:line="219" w:lineRule="auto"/>
        <w:ind w:left="1924"/>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3"/>
          <w:sz w:val="24"/>
          <w:szCs w:val="24"/>
          <w:highlight w:val="none"/>
        </w:rPr>
        <w:t>附表五  施工总平面图</w:t>
      </w:r>
    </w:p>
    <w:p w14:paraId="3F2FFC00">
      <w:pPr>
        <w:spacing w:line="219" w:lineRule="auto"/>
        <w:rPr>
          <w:rFonts w:ascii="宋体" w:hAnsi="宋体" w:eastAsia="宋体" w:cs="宋体"/>
          <w:strike/>
          <w:dstrike w:val="0"/>
          <w:color w:val="auto"/>
          <w:sz w:val="24"/>
          <w:szCs w:val="24"/>
          <w:highlight w:val="none"/>
        </w:rPr>
        <w:sectPr>
          <w:footerReference r:id="rId167" w:type="default"/>
          <w:pgSz w:w="11905" w:h="16840"/>
          <w:pgMar w:top="1182" w:right="0" w:bottom="1171" w:left="0" w:header="849" w:footer="937" w:gutter="0"/>
          <w:pgNumType w:fmt="decimal"/>
          <w:cols w:space="720" w:num="1"/>
        </w:sectPr>
      </w:pPr>
    </w:p>
    <w:p w14:paraId="1689B81A">
      <w:pPr>
        <w:pStyle w:val="3"/>
        <w:spacing w:line="252" w:lineRule="auto"/>
        <w:rPr>
          <w:strike/>
          <w:dstrike w:val="0"/>
          <w:color w:val="auto"/>
          <w:highlight w:val="none"/>
        </w:rPr>
      </w:pPr>
    </w:p>
    <w:p w14:paraId="5EB5684B">
      <w:pPr>
        <w:pStyle w:val="3"/>
        <w:spacing w:line="253" w:lineRule="auto"/>
        <w:rPr>
          <w:strike/>
          <w:dstrike w:val="0"/>
          <w:color w:val="auto"/>
          <w:highlight w:val="none"/>
        </w:rPr>
      </w:pPr>
    </w:p>
    <w:p w14:paraId="06077CD2">
      <w:pPr>
        <w:pStyle w:val="3"/>
        <w:spacing w:line="253" w:lineRule="auto"/>
        <w:rPr>
          <w:strike/>
          <w:dstrike w:val="0"/>
          <w:color w:val="auto"/>
          <w:highlight w:val="none"/>
        </w:rPr>
      </w:pPr>
    </w:p>
    <w:p w14:paraId="62E771F9">
      <w:pPr>
        <w:spacing w:before="88" w:line="242" w:lineRule="auto"/>
        <w:ind w:left="4275"/>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7"/>
          <w:sz w:val="27"/>
          <w:szCs w:val="27"/>
          <w:highlight w:val="none"/>
        </w:rPr>
        <w:t>第二部分</w:t>
      </w:r>
      <w:r>
        <w:rPr>
          <w:rFonts w:ascii="宋体" w:hAnsi="宋体" w:eastAsia="宋体" w:cs="宋体"/>
          <w:strike/>
          <w:dstrike w:val="0"/>
          <w:color w:val="auto"/>
          <w:spacing w:val="7"/>
          <w:sz w:val="27"/>
          <w:szCs w:val="27"/>
          <w:highlight w:val="none"/>
        </w:rPr>
        <w:t xml:space="preserve"> </w:t>
      </w:r>
      <w:r>
        <w:rPr>
          <w:rFonts w:ascii="宋体" w:hAnsi="宋体" w:eastAsia="宋体" w:cs="宋体"/>
          <w:b/>
          <w:bCs/>
          <w:strike/>
          <w:dstrike w:val="0"/>
          <w:color w:val="auto"/>
          <w:spacing w:val="7"/>
          <w:sz w:val="27"/>
          <w:szCs w:val="27"/>
          <w:highlight w:val="none"/>
        </w:rPr>
        <w:t>承包人项目管理方案</w:t>
      </w:r>
    </w:p>
    <w:p w14:paraId="589D7166">
      <w:pPr>
        <w:spacing w:before="234" w:line="360" w:lineRule="auto"/>
        <w:ind w:left="1408" w:right="1248" w:firstLine="49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8"/>
          <w:sz w:val="24"/>
          <w:szCs w:val="24"/>
          <w:highlight w:val="none"/>
        </w:rPr>
        <w:t>根据《广东省交通运输厅关于印发《关于推进公路建设项</w:t>
      </w:r>
      <w:r>
        <w:rPr>
          <w:rFonts w:ascii="宋体" w:hAnsi="宋体" w:eastAsia="宋体" w:cs="宋体"/>
          <w:strike/>
          <w:dstrike w:val="0"/>
          <w:color w:val="auto"/>
          <w:spacing w:val="-9"/>
          <w:sz w:val="24"/>
          <w:szCs w:val="24"/>
          <w:highlight w:val="none"/>
        </w:rPr>
        <w:t>目管理改革的指导意见（试</w:t>
      </w:r>
      <w:r>
        <w:rPr>
          <w:rFonts w:ascii="宋体" w:hAnsi="宋体" w:eastAsia="宋体" w:cs="宋体"/>
          <w:strike/>
          <w:dstrike w:val="0"/>
          <w:color w:val="auto"/>
          <w:spacing w:val="-4"/>
          <w:sz w:val="24"/>
          <w:szCs w:val="24"/>
          <w:highlight w:val="none"/>
        </w:rPr>
        <w:t>行）》的通知》《广东省公路工程施工项目部管理指南(试行)》等要求， 全面压实</w:t>
      </w:r>
      <w:r>
        <w:rPr>
          <w:rFonts w:ascii="宋体" w:hAnsi="宋体" w:eastAsia="宋体" w:cs="宋体"/>
          <w:strike/>
          <w:dstrike w:val="0"/>
          <w:color w:val="auto"/>
          <w:spacing w:val="-5"/>
          <w:sz w:val="24"/>
          <w:szCs w:val="24"/>
          <w:highlight w:val="none"/>
        </w:rPr>
        <w:t>施工</w:t>
      </w:r>
      <w:r>
        <w:rPr>
          <w:rFonts w:ascii="宋体" w:hAnsi="宋体" w:eastAsia="宋体" w:cs="宋体"/>
          <w:strike/>
          <w:dstrike w:val="0"/>
          <w:color w:val="auto"/>
          <w:spacing w:val="-1"/>
          <w:sz w:val="24"/>
          <w:szCs w:val="24"/>
          <w:highlight w:val="none"/>
        </w:rPr>
        <w:t>单位“产品生产者”的主体责任，强化施工单位与其他建设各方命运共同体意</w:t>
      </w:r>
      <w:r>
        <w:rPr>
          <w:rFonts w:ascii="宋体" w:hAnsi="宋体" w:eastAsia="宋体" w:cs="宋体"/>
          <w:strike/>
          <w:dstrike w:val="0"/>
          <w:color w:val="auto"/>
          <w:spacing w:val="-2"/>
          <w:sz w:val="24"/>
          <w:szCs w:val="24"/>
          <w:highlight w:val="none"/>
        </w:rPr>
        <w:t>识、团队</w:t>
      </w:r>
      <w:r>
        <w:rPr>
          <w:rFonts w:ascii="宋体" w:hAnsi="宋体" w:eastAsia="宋体" w:cs="宋体"/>
          <w:strike/>
          <w:dstrike w:val="0"/>
          <w:color w:val="auto"/>
          <w:spacing w:val="-10"/>
          <w:sz w:val="24"/>
          <w:szCs w:val="24"/>
          <w:highlight w:val="none"/>
        </w:rPr>
        <w:t>协作意识、主人翁意识，</w:t>
      </w:r>
      <w:r>
        <w:rPr>
          <w:rFonts w:ascii="宋体" w:hAnsi="宋体" w:eastAsia="宋体" w:cs="宋体"/>
          <w:strike/>
          <w:dstrike w:val="0"/>
          <w:color w:val="auto"/>
          <w:spacing w:val="55"/>
          <w:sz w:val="24"/>
          <w:szCs w:val="24"/>
          <w:highlight w:val="none"/>
        </w:rPr>
        <w:t xml:space="preserve"> </w:t>
      </w:r>
      <w:r>
        <w:rPr>
          <w:rFonts w:ascii="宋体" w:hAnsi="宋体" w:eastAsia="宋体" w:cs="宋体"/>
          <w:strike/>
          <w:dstrike w:val="0"/>
          <w:color w:val="auto"/>
          <w:spacing w:val="-10"/>
          <w:sz w:val="24"/>
          <w:szCs w:val="24"/>
          <w:highlight w:val="none"/>
        </w:rPr>
        <w:t>推动诚信自律、主</w:t>
      </w:r>
      <w:r>
        <w:rPr>
          <w:rFonts w:ascii="宋体" w:hAnsi="宋体" w:eastAsia="宋体" w:cs="宋体"/>
          <w:strike/>
          <w:dstrike w:val="0"/>
          <w:color w:val="auto"/>
          <w:spacing w:val="-11"/>
          <w:sz w:val="24"/>
          <w:szCs w:val="24"/>
          <w:highlight w:val="none"/>
        </w:rPr>
        <w:t>动作为、恪尽其责，</w:t>
      </w:r>
      <w:r>
        <w:rPr>
          <w:rFonts w:ascii="宋体" w:hAnsi="宋体" w:eastAsia="宋体" w:cs="宋体"/>
          <w:strike/>
          <w:dstrike w:val="0"/>
          <w:color w:val="auto"/>
          <w:spacing w:val="63"/>
          <w:sz w:val="24"/>
          <w:szCs w:val="24"/>
          <w:highlight w:val="none"/>
        </w:rPr>
        <w:t xml:space="preserve"> </w:t>
      </w:r>
      <w:r>
        <w:rPr>
          <w:rFonts w:ascii="宋体" w:hAnsi="宋体" w:eastAsia="宋体" w:cs="宋体"/>
          <w:strike/>
          <w:dstrike w:val="0"/>
          <w:color w:val="auto"/>
          <w:spacing w:val="-11"/>
          <w:sz w:val="24"/>
          <w:szCs w:val="24"/>
          <w:highlight w:val="none"/>
        </w:rPr>
        <w:t>实现从“要我履职”到</w:t>
      </w:r>
      <w:r>
        <w:rPr>
          <w:rFonts w:ascii="宋体" w:hAnsi="宋体" w:eastAsia="宋体" w:cs="宋体"/>
          <w:strike/>
          <w:dstrike w:val="0"/>
          <w:color w:val="auto"/>
          <w:spacing w:val="-1"/>
          <w:sz w:val="24"/>
          <w:szCs w:val="24"/>
          <w:highlight w:val="none"/>
        </w:rPr>
        <w:t>“我要履职”的转变，特别是作为“产品生产者”的施工单位实现从“要我优”到</w:t>
      </w:r>
      <w:r>
        <w:rPr>
          <w:rFonts w:ascii="宋体" w:hAnsi="宋体" w:eastAsia="宋体" w:cs="宋体"/>
          <w:strike/>
          <w:dstrike w:val="0"/>
          <w:color w:val="auto"/>
          <w:spacing w:val="-2"/>
          <w:sz w:val="24"/>
          <w:szCs w:val="24"/>
          <w:highlight w:val="none"/>
        </w:rPr>
        <w:t>“我</w:t>
      </w:r>
      <w:r>
        <w:rPr>
          <w:rFonts w:ascii="宋体" w:hAnsi="宋体" w:eastAsia="宋体" w:cs="宋体"/>
          <w:strike/>
          <w:dstrike w:val="0"/>
          <w:color w:val="auto"/>
          <w:spacing w:val="-1"/>
          <w:sz w:val="24"/>
          <w:szCs w:val="24"/>
          <w:highlight w:val="none"/>
        </w:rPr>
        <w:t>要优”的转变，切实履行主体责任，形成目标一致、各方融合、规范管理、提</w:t>
      </w:r>
      <w:r>
        <w:rPr>
          <w:rFonts w:ascii="宋体" w:hAnsi="宋体" w:eastAsia="宋体" w:cs="宋体"/>
          <w:strike/>
          <w:dstrike w:val="0"/>
          <w:color w:val="auto"/>
          <w:spacing w:val="-2"/>
          <w:sz w:val="24"/>
          <w:szCs w:val="24"/>
          <w:highlight w:val="none"/>
        </w:rPr>
        <w:t>质增效的</w:t>
      </w:r>
      <w:r>
        <w:rPr>
          <w:rFonts w:ascii="宋体" w:hAnsi="宋体" w:eastAsia="宋体" w:cs="宋体"/>
          <w:strike/>
          <w:dstrike w:val="0"/>
          <w:color w:val="auto"/>
          <w:spacing w:val="-1"/>
          <w:sz w:val="24"/>
          <w:szCs w:val="24"/>
          <w:highlight w:val="none"/>
        </w:rPr>
        <w:t>建设管理模式，承包人应制定项目管理方案，构建包括项目部、分包单位、劳</w:t>
      </w:r>
      <w:r>
        <w:rPr>
          <w:rFonts w:ascii="宋体" w:hAnsi="宋体" w:eastAsia="宋体" w:cs="宋体"/>
          <w:strike/>
          <w:dstrike w:val="0"/>
          <w:color w:val="auto"/>
          <w:spacing w:val="-2"/>
          <w:sz w:val="24"/>
          <w:szCs w:val="24"/>
          <w:highlight w:val="none"/>
        </w:rPr>
        <w:t>务合作企</w:t>
      </w:r>
      <w:r>
        <w:rPr>
          <w:rFonts w:ascii="宋体" w:hAnsi="宋体" w:eastAsia="宋体" w:cs="宋体"/>
          <w:strike/>
          <w:dstrike w:val="0"/>
          <w:color w:val="auto"/>
          <w:spacing w:val="3"/>
          <w:sz w:val="24"/>
          <w:szCs w:val="24"/>
          <w:highlight w:val="none"/>
        </w:rPr>
        <w:t>业、施工班组、材料供应商与机械设备租赁商的多层级组织管理架构，建立“管、监”</w:t>
      </w:r>
      <w:r>
        <w:rPr>
          <w:rFonts w:ascii="宋体" w:hAnsi="宋体" w:eastAsia="宋体" w:cs="宋体"/>
          <w:strike/>
          <w:dstrike w:val="0"/>
          <w:color w:val="auto"/>
          <w:spacing w:val="-3"/>
          <w:sz w:val="24"/>
          <w:szCs w:val="24"/>
          <w:highlight w:val="none"/>
        </w:rPr>
        <w:t>分离的质量安全保证体系。</w:t>
      </w:r>
    </w:p>
    <w:p w14:paraId="6CEC2310">
      <w:pPr>
        <w:spacing w:line="360" w:lineRule="auto"/>
        <w:ind w:left="1428" w:right="1349"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一、根据《广东省交通运输厅关于印发《关于推进公路建设项目管</w:t>
      </w:r>
      <w:r>
        <w:rPr>
          <w:rFonts w:ascii="宋体" w:hAnsi="宋体" w:eastAsia="宋体" w:cs="宋体"/>
          <w:strike/>
          <w:dstrike w:val="0"/>
          <w:color w:val="auto"/>
          <w:spacing w:val="-3"/>
          <w:sz w:val="24"/>
          <w:szCs w:val="24"/>
          <w:highlight w:val="none"/>
        </w:rPr>
        <w:t>理改革的指导意</w:t>
      </w:r>
      <w:r>
        <w:rPr>
          <w:rFonts w:ascii="宋体" w:hAnsi="宋体" w:eastAsia="宋体" w:cs="宋体"/>
          <w:strike/>
          <w:dstrike w:val="0"/>
          <w:color w:val="auto"/>
          <w:spacing w:val="-6"/>
          <w:sz w:val="24"/>
          <w:szCs w:val="24"/>
          <w:highlight w:val="none"/>
        </w:rPr>
        <w:t>见（试行）》的通知》的精神和《广东省公路工程施工项目部管理指南(试行)》的要求，</w:t>
      </w:r>
      <w:r>
        <w:rPr>
          <w:rFonts w:ascii="宋体" w:hAnsi="宋体" w:eastAsia="宋体" w:cs="宋体"/>
          <w:strike/>
          <w:dstrike w:val="0"/>
          <w:color w:val="auto"/>
          <w:spacing w:val="-9"/>
          <w:sz w:val="24"/>
          <w:szCs w:val="24"/>
          <w:highlight w:val="none"/>
        </w:rPr>
        <w:t>投标人应按以下要点编制项目管理方案。（文字应精炼、表述须清晰， 内容具有针对性，</w:t>
      </w:r>
      <w:r>
        <w:rPr>
          <w:rFonts w:ascii="宋体" w:hAnsi="宋体" w:eastAsia="宋体" w:cs="宋体"/>
          <w:strike/>
          <w:dstrike w:val="0"/>
          <w:color w:val="auto"/>
          <w:spacing w:val="-5"/>
          <w:sz w:val="24"/>
          <w:szCs w:val="24"/>
          <w:highlight w:val="none"/>
        </w:rPr>
        <w:t>总体原则上控制在</w:t>
      </w:r>
      <w:r>
        <w:rPr>
          <w:rFonts w:ascii="宋体" w:hAnsi="宋体" w:eastAsia="宋体" w:cs="宋体"/>
          <w:strike/>
          <w:dstrike w:val="0"/>
          <w:color w:val="auto"/>
          <w:spacing w:val="-32"/>
          <w:sz w:val="24"/>
          <w:szCs w:val="24"/>
          <w:highlight w:val="none"/>
        </w:rPr>
        <w:t xml:space="preserve"> </w:t>
      </w:r>
      <w:r>
        <w:rPr>
          <w:rFonts w:ascii="宋体" w:hAnsi="宋体" w:eastAsia="宋体" w:cs="宋体"/>
          <w:strike/>
          <w:dstrike w:val="0"/>
          <w:color w:val="auto"/>
          <w:spacing w:val="-5"/>
          <w:sz w:val="24"/>
          <w:szCs w:val="24"/>
          <w:highlight w:val="none"/>
        </w:rPr>
        <w:t>10000</w:t>
      </w:r>
      <w:r>
        <w:rPr>
          <w:rFonts w:ascii="宋体" w:hAnsi="宋体" w:eastAsia="宋体" w:cs="宋体"/>
          <w:strike/>
          <w:dstrike w:val="0"/>
          <w:color w:val="auto"/>
          <w:spacing w:val="-50"/>
          <w:sz w:val="24"/>
          <w:szCs w:val="24"/>
          <w:highlight w:val="none"/>
        </w:rPr>
        <w:t xml:space="preserve"> </w:t>
      </w:r>
      <w:r>
        <w:rPr>
          <w:rFonts w:ascii="宋体" w:hAnsi="宋体" w:eastAsia="宋体" w:cs="宋体"/>
          <w:strike/>
          <w:dstrike w:val="0"/>
          <w:color w:val="auto"/>
          <w:spacing w:val="-5"/>
          <w:sz w:val="24"/>
          <w:szCs w:val="24"/>
          <w:highlight w:val="none"/>
        </w:rPr>
        <w:t>字以内</w:t>
      </w:r>
      <w:r>
        <w:rPr>
          <w:rFonts w:ascii="宋体" w:hAnsi="宋体" w:eastAsia="宋体" w:cs="宋体"/>
          <w:strike/>
          <w:dstrike w:val="0"/>
          <w:color w:val="auto"/>
          <w:spacing w:val="-7"/>
          <w:sz w:val="24"/>
          <w:szCs w:val="24"/>
          <w:highlight w:val="none"/>
        </w:rPr>
        <w:t>）：</w:t>
      </w:r>
    </w:p>
    <w:p w14:paraId="4FD4AA28">
      <w:pPr>
        <w:spacing w:line="219" w:lineRule="auto"/>
        <w:ind w:left="19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1、项目管理总体策划（如何在项目管理中落实以下要求）</w:t>
      </w:r>
    </w:p>
    <w:p w14:paraId="7EA1ECE2">
      <w:pPr>
        <w:spacing w:before="182" w:line="360" w:lineRule="auto"/>
        <w:ind w:left="1425" w:right="1416"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施工单位是公路建设生产的具体组织实施者，应依法依规和合同约定，切实履行施</w:t>
      </w:r>
      <w:r>
        <w:rPr>
          <w:rFonts w:ascii="宋体" w:hAnsi="宋体" w:eastAsia="宋体" w:cs="宋体"/>
          <w:strike/>
          <w:dstrike w:val="0"/>
          <w:color w:val="auto"/>
          <w:spacing w:val="-6"/>
          <w:sz w:val="24"/>
          <w:szCs w:val="24"/>
          <w:highlight w:val="none"/>
        </w:rPr>
        <w:t>工主体责任。施工单位应严格按照投标承诺，</w:t>
      </w:r>
      <w:r>
        <w:rPr>
          <w:rFonts w:ascii="宋体" w:hAnsi="宋体" w:eastAsia="宋体" w:cs="宋体"/>
          <w:strike/>
          <w:dstrike w:val="0"/>
          <w:color w:val="auto"/>
          <w:spacing w:val="49"/>
          <w:sz w:val="24"/>
          <w:szCs w:val="24"/>
          <w:highlight w:val="none"/>
        </w:rPr>
        <w:t xml:space="preserve"> </w:t>
      </w:r>
      <w:r>
        <w:rPr>
          <w:rFonts w:ascii="宋体" w:hAnsi="宋体" w:eastAsia="宋体" w:cs="宋体"/>
          <w:strike/>
          <w:dstrike w:val="0"/>
          <w:color w:val="auto"/>
          <w:spacing w:val="-6"/>
          <w:sz w:val="24"/>
          <w:szCs w:val="24"/>
          <w:highlight w:val="none"/>
        </w:rPr>
        <w:t>切实履行对项目部的管理职责，从资源调配、管理统筹、技术支持等方面提供全方位支持保障，</w:t>
      </w:r>
      <w:r>
        <w:rPr>
          <w:rFonts w:ascii="宋体" w:hAnsi="宋体" w:eastAsia="宋体" w:cs="宋体"/>
          <w:strike/>
          <w:dstrike w:val="0"/>
          <w:color w:val="auto"/>
          <w:spacing w:val="49"/>
          <w:sz w:val="24"/>
          <w:szCs w:val="24"/>
          <w:highlight w:val="none"/>
        </w:rPr>
        <w:t xml:space="preserve"> </w:t>
      </w:r>
      <w:r>
        <w:rPr>
          <w:rFonts w:ascii="宋体" w:hAnsi="宋体" w:eastAsia="宋体" w:cs="宋体"/>
          <w:strike/>
          <w:dstrike w:val="0"/>
          <w:color w:val="auto"/>
          <w:spacing w:val="-6"/>
          <w:sz w:val="24"/>
          <w:szCs w:val="24"/>
          <w:highlight w:val="none"/>
        </w:rPr>
        <w:t>对施工组织总体策划等重要事项</w:t>
      </w:r>
      <w:r>
        <w:rPr>
          <w:rFonts w:ascii="宋体" w:hAnsi="宋体" w:eastAsia="宋体" w:cs="宋体"/>
          <w:strike/>
          <w:dstrike w:val="0"/>
          <w:color w:val="auto"/>
          <w:spacing w:val="-2"/>
          <w:sz w:val="24"/>
          <w:szCs w:val="24"/>
          <w:highlight w:val="none"/>
        </w:rPr>
        <w:t>提级管理，建立公开透明的内部监管机制，制定过程监管措施，定期对项目部的履约情况进行检查指导，检查结果及时上报建设、监理单位。</w:t>
      </w:r>
    </w:p>
    <w:p w14:paraId="302B2A46">
      <w:pPr>
        <w:spacing w:before="1" w:line="219" w:lineRule="auto"/>
        <w:ind w:left="190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2、构建多层级项目组织管理架构（如何在项目管理中落实以下要求）</w:t>
      </w:r>
    </w:p>
    <w:p w14:paraId="4BBB791A">
      <w:pPr>
        <w:spacing w:before="182" w:line="360" w:lineRule="auto"/>
        <w:ind w:left="1425" w:right="1329"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项目部应构建包括分包单位、劳务合作企业、施工班组、材料供应商与机械设备租</w:t>
      </w:r>
      <w:r>
        <w:rPr>
          <w:rFonts w:ascii="宋体" w:hAnsi="宋体" w:eastAsia="宋体" w:cs="宋体"/>
          <w:strike/>
          <w:dstrike w:val="0"/>
          <w:color w:val="auto"/>
          <w:spacing w:val="-5"/>
          <w:sz w:val="24"/>
          <w:szCs w:val="24"/>
          <w:highlight w:val="none"/>
        </w:rPr>
        <w:t>赁商的多层级组织管理架构，建立“管、监”分离的</w:t>
      </w:r>
      <w:r>
        <w:rPr>
          <w:rFonts w:ascii="宋体" w:hAnsi="宋体" w:eastAsia="宋体" w:cs="宋体"/>
          <w:strike/>
          <w:dstrike w:val="0"/>
          <w:color w:val="auto"/>
          <w:spacing w:val="-6"/>
          <w:sz w:val="24"/>
          <w:szCs w:val="24"/>
          <w:highlight w:val="none"/>
        </w:rPr>
        <w:t>质量安全保证体系，确保在项目部、</w:t>
      </w:r>
      <w:r>
        <w:rPr>
          <w:rFonts w:ascii="宋体" w:hAnsi="宋体" w:eastAsia="宋体" w:cs="宋体"/>
          <w:strike/>
          <w:dstrike w:val="0"/>
          <w:color w:val="auto"/>
          <w:spacing w:val="-1"/>
          <w:sz w:val="24"/>
          <w:szCs w:val="24"/>
          <w:highlight w:val="none"/>
        </w:rPr>
        <w:t>分包单位以及劳务合作企业各层级均有效运行</w:t>
      </w:r>
      <w:r>
        <w:rPr>
          <w:rFonts w:ascii="宋体" w:hAnsi="宋体" w:eastAsia="宋体" w:cs="宋体"/>
          <w:strike/>
          <w:dstrike w:val="0"/>
          <w:color w:val="auto"/>
          <w:spacing w:val="-2"/>
          <w:sz w:val="24"/>
          <w:szCs w:val="24"/>
          <w:highlight w:val="none"/>
        </w:rPr>
        <w:t>，防止保证体系“空转”。</w:t>
      </w:r>
    </w:p>
    <w:p w14:paraId="797E707D">
      <w:pPr>
        <w:spacing w:before="1" w:line="219"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3、强化施工过程管理（如何在项目管理中落实以</w:t>
      </w:r>
      <w:r>
        <w:rPr>
          <w:rFonts w:ascii="宋体" w:hAnsi="宋体" w:eastAsia="宋体" w:cs="宋体"/>
          <w:strike/>
          <w:dstrike w:val="0"/>
          <w:color w:val="auto"/>
          <w:spacing w:val="-2"/>
          <w:sz w:val="24"/>
          <w:szCs w:val="24"/>
          <w:highlight w:val="none"/>
        </w:rPr>
        <w:t>下要求）</w:t>
      </w:r>
    </w:p>
    <w:p w14:paraId="64AA8E12">
      <w:pPr>
        <w:spacing w:before="182" w:line="362" w:lineRule="auto"/>
        <w:ind w:left="1426" w:right="1416" w:firstLine="47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对未分包由施工单位直接负责的工程，施工单位应强化施工自管的主体地位，实现技术、人员、材料、机械设备、资金等全要素“一竿子到底”的穿透式管控，确保质量</w:t>
      </w:r>
    </w:p>
    <w:p w14:paraId="0E85DD8E">
      <w:pPr>
        <w:spacing w:line="242" w:lineRule="auto"/>
        <w:rPr>
          <w:rFonts w:ascii="宋体" w:hAnsi="宋体" w:eastAsia="宋体" w:cs="宋体"/>
          <w:strike/>
          <w:dstrike w:val="0"/>
          <w:color w:val="auto"/>
          <w:sz w:val="18"/>
          <w:szCs w:val="18"/>
          <w:highlight w:val="none"/>
        </w:rPr>
        <w:sectPr>
          <w:headerReference r:id="rId168" w:type="default"/>
          <w:footerReference r:id="rId169" w:type="default"/>
          <w:pgSz w:w="11905" w:h="16840"/>
          <w:pgMar w:top="1182" w:right="0" w:bottom="1171" w:left="0" w:header="849" w:footer="937" w:gutter="0"/>
          <w:pgNumType w:fmt="decimal"/>
          <w:cols w:space="720" w:num="1"/>
        </w:sectPr>
      </w:pPr>
    </w:p>
    <w:p w14:paraId="6EFAA4AD">
      <w:pPr>
        <w:pStyle w:val="3"/>
        <w:spacing w:line="267" w:lineRule="auto"/>
        <w:rPr>
          <w:strike/>
          <w:dstrike w:val="0"/>
          <w:color w:val="auto"/>
          <w:highlight w:val="none"/>
        </w:rPr>
      </w:pPr>
    </w:p>
    <w:p w14:paraId="7315249A">
      <w:pPr>
        <w:spacing w:before="78" w:line="219" w:lineRule="auto"/>
        <w:ind w:left="143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安全保证体系有效运转，真正实现“自己干、自己管”。</w:t>
      </w:r>
    </w:p>
    <w:p w14:paraId="0493021C">
      <w:pPr>
        <w:spacing w:before="183" w:line="360" w:lineRule="auto"/>
        <w:ind w:left="1425" w:right="1415" w:firstLine="479"/>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切实加强对分包单位及施工班组管理的透明</w:t>
      </w:r>
      <w:r>
        <w:rPr>
          <w:rFonts w:ascii="宋体" w:hAnsi="宋体" w:eastAsia="宋体" w:cs="宋体"/>
          <w:strike/>
          <w:dstrike w:val="0"/>
          <w:color w:val="auto"/>
          <w:spacing w:val="-7"/>
          <w:sz w:val="24"/>
          <w:szCs w:val="24"/>
          <w:highlight w:val="none"/>
        </w:rPr>
        <w:t>化、规范化，</w:t>
      </w:r>
      <w:r>
        <w:rPr>
          <w:rFonts w:ascii="宋体" w:hAnsi="宋体" w:eastAsia="宋体" w:cs="宋体"/>
          <w:strike/>
          <w:dstrike w:val="0"/>
          <w:color w:val="auto"/>
          <w:spacing w:val="55"/>
          <w:sz w:val="24"/>
          <w:szCs w:val="24"/>
          <w:highlight w:val="none"/>
        </w:rPr>
        <w:t xml:space="preserve"> </w:t>
      </w:r>
      <w:r>
        <w:rPr>
          <w:rFonts w:ascii="宋体" w:hAnsi="宋体" w:eastAsia="宋体" w:cs="宋体"/>
          <w:strike/>
          <w:dstrike w:val="0"/>
          <w:color w:val="auto"/>
          <w:spacing w:val="-7"/>
          <w:sz w:val="24"/>
          <w:szCs w:val="24"/>
          <w:highlight w:val="none"/>
        </w:rPr>
        <w:t>不得“以包代管、包而不</w:t>
      </w:r>
      <w:r>
        <w:rPr>
          <w:rFonts w:ascii="宋体" w:hAnsi="宋体" w:eastAsia="宋体" w:cs="宋体"/>
          <w:strike/>
          <w:dstrike w:val="0"/>
          <w:color w:val="auto"/>
          <w:spacing w:val="-2"/>
          <w:sz w:val="24"/>
          <w:szCs w:val="24"/>
          <w:highlight w:val="none"/>
        </w:rPr>
        <w:t>管”，重点抓好对施工分包单位的分包工程质量、安全、进度、资金使用和管理行为等</w:t>
      </w:r>
      <w:r>
        <w:rPr>
          <w:rFonts w:ascii="宋体" w:hAnsi="宋体" w:eastAsia="宋体" w:cs="宋体"/>
          <w:strike/>
          <w:dstrike w:val="0"/>
          <w:color w:val="auto"/>
          <w:spacing w:val="-1"/>
          <w:sz w:val="24"/>
          <w:szCs w:val="24"/>
          <w:highlight w:val="none"/>
        </w:rPr>
        <w:t>全过程管理，加强对其内控管理体系和主要人员履约、设备、材</w:t>
      </w:r>
      <w:r>
        <w:rPr>
          <w:rFonts w:ascii="宋体" w:hAnsi="宋体" w:eastAsia="宋体" w:cs="宋体"/>
          <w:strike/>
          <w:dstrike w:val="0"/>
          <w:color w:val="auto"/>
          <w:spacing w:val="-2"/>
          <w:sz w:val="24"/>
          <w:szCs w:val="24"/>
          <w:highlight w:val="none"/>
        </w:rPr>
        <w:t>料等穿透式管理。</w:t>
      </w:r>
    </w:p>
    <w:p w14:paraId="313FD8D8">
      <w:pPr>
        <w:spacing w:line="360" w:lineRule="auto"/>
        <w:ind w:left="1425" w:right="1416" w:firstLine="479"/>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施工单位应对分包单位和劳务合作企业的失信行为负主要责任，要做好相关信用管理，按要求开展信用评价工作并建立台账，定期上报评价结果，相关信用行为纳入行业</w:t>
      </w:r>
      <w:r>
        <w:rPr>
          <w:rFonts w:ascii="宋体" w:hAnsi="宋体" w:eastAsia="宋体" w:cs="宋体"/>
          <w:strike/>
          <w:dstrike w:val="0"/>
          <w:color w:val="auto"/>
          <w:spacing w:val="-4"/>
          <w:sz w:val="24"/>
          <w:szCs w:val="24"/>
          <w:highlight w:val="none"/>
        </w:rPr>
        <w:t>信用“红黑名单”管理。</w:t>
      </w:r>
    </w:p>
    <w:p w14:paraId="732D50C8">
      <w:pPr>
        <w:spacing w:line="219" w:lineRule="auto"/>
        <w:ind w:left="190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4、强化施工组织设计和施工方案管理（如何在项目管理中落实以下要求）</w:t>
      </w:r>
    </w:p>
    <w:p w14:paraId="24765191">
      <w:pPr>
        <w:spacing w:before="182" w:line="360" w:lineRule="auto"/>
        <w:ind w:left="1426" w:right="1377" w:firstLine="47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施工单位要按照《广东省高速公路工程施工组织设计和施工方案标准化管理指南》的相关要求，确保施工组织设计、施工方案和资金安排科学合理，实施管理严肃规范，</w:t>
      </w:r>
      <w:r>
        <w:rPr>
          <w:rFonts w:ascii="宋体" w:hAnsi="宋体" w:eastAsia="宋体" w:cs="宋体"/>
          <w:strike/>
          <w:dstrike w:val="0"/>
          <w:color w:val="auto"/>
          <w:spacing w:val="-2"/>
          <w:sz w:val="24"/>
          <w:szCs w:val="24"/>
          <w:highlight w:val="none"/>
        </w:rPr>
        <w:t>严格按照经审批的施工组织设计和方案施工，不得“编一套，做一套”，坚决杜绝方案</w:t>
      </w:r>
      <w:r>
        <w:rPr>
          <w:rFonts w:ascii="宋体" w:hAnsi="宋体" w:eastAsia="宋体" w:cs="宋体"/>
          <w:strike/>
          <w:dstrike w:val="0"/>
          <w:color w:val="auto"/>
          <w:spacing w:val="-3"/>
          <w:sz w:val="24"/>
          <w:szCs w:val="24"/>
          <w:highlight w:val="none"/>
        </w:rPr>
        <w:t>编制审批与实施“两张皮”现象。</w:t>
      </w:r>
    </w:p>
    <w:p w14:paraId="5EA7963A">
      <w:pPr>
        <w:spacing w:before="1" w:line="219" w:lineRule="auto"/>
        <w:ind w:left="191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5、强化设备管理（如何在项目管理中落实以下要求）</w:t>
      </w:r>
    </w:p>
    <w:p w14:paraId="12DABA68">
      <w:pPr>
        <w:spacing w:before="183" w:line="361" w:lineRule="auto"/>
        <w:ind w:left="1430" w:right="1416" w:firstLine="47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项目部应加强对租赁及自有机械设备（含特种设备）有效管理，建立动态统一管理</w:t>
      </w:r>
      <w:r>
        <w:rPr>
          <w:rFonts w:ascii="宋体" w:hAnsi="宋体" w:eastAsia="宋体" w:cs="宋体"/>
          <w:strike/>
          <w:dstrike w:val="0"/>
          <w:color w:val="auto"/>
          <w:spacing w:val="-6"/>
          <w:sz w:val="24"/>
          <w:szCs w:val="24"/>
          <w:highlight w:val="none"/>
        </w:rPr>
        <w:t>台账，将机械设备的准入、使用、安全管理纳入项目管理体系，</w:t>
      </w:r>
      <w:r>
        <w:rPr>
          <w:rFonts w:ascii="宋体" w:hAnsi="宋体" w:eastAsia="宋体" w:cs="宋体"/>
          <w:strike/>
          <w:dstrike w:val="0"/>
          <w:color w:val="auto"/>
          <w:spacing w:val="51"/>
          <w:sz w:val="24"/>
          <w:szCs w:val="24"/>
          <w:highlight w:val="none"/>
        </w:rPr>
        <w:t xml:space="preserve"> </w:t>
      </w:r>
      <w:r>
        <w:rPr>
          <w:rFonts w:ascii="宋体" w:hAnsi="宋体" w:eastAsia="宋体" w:cs="宋体"/>
          <w:strike/>
          <w:dstrike w:val="0"/>
          <w:color w:val="auto"/>
          <w:spacing w:val="-6"/>
          <w:sz w:val="24"/>
          <w:szCs w:val="24"/>
          <w:highlight w:val="none"/>
        </w:rPr>
        <w:t>特别要</w:t>
      </w:r>
      <w:r>
        <w:rPr>
          <w:rFonts w:ascii="宋体" w:hAnsi="宋体" w:eastAsia="宋体" w:cs="宋体"/>
          <w:strike/>
          <w:dstrike w:val="0"/>
          <w:color w:val="auto"/>
          <w:spacing w:val="-7"/>
          <w:sz w:val="24"/>
          <w:szCs w:val="24"/>
          <w:highlight w:val="none"/>
        </w:rPr>
        <w:t>加强租赁设备的</w:t>
      </w:r>
      <w:r>
        <w:rPr>
          <w:rFonts w:ascii="宋体" w:hAnsi="宋体" w:eastAsia="宋体" w:cs="宋体"/>
          <w:strike/>
          <w:dstrike w:val="0"/>
          <w:color w:val="auto"/>
          <w:spacing w:val="-6"/>
          <w:sz w:val="24"/>
          <w:szCs w:val="24"/>
          <w:highlight w:val="none"/>
        </w:rPr>
        <w:t>安全监管。不得仅以完成工程量计量支付租赁设备费用，</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6"/>
          <w:sz w:val="24"/>
          <w:szCs w:val="24"/>
          <w:highlight w:val="none"/>
        </w:rPr>
        <w:t>应综合租赁时间、实际作</w:t>
      </w:r>
      <w:r>
        <w:rPr>
          <w:rFonts w:ascii="宋体" w:hAnsi="宋体" w:eastAsia="宋体" w:cs="宋体"/>
          <w:strike/>
          <w:dstrike w:val="0"/>
          <w:color w:val="auto"/>
          <w:spacing w:val="-7"/>
          <w:sz w:val="24"/>
          <w:szCs w:val="24"/>
          <w:highlight w:val="none"/>
        </w:rPr>
        <w:t>业时</w:t>
      </w:r>
      <w:r>
        <w:rPr>
          <w:rFonts w:ascii="宋体" w:hAnsi="宋体" w:eastAsia="宋体" w:cs="宋体"/>
          <w:strike/>
          <w:dstrike w:val="0"/>
          <w:color w:val="auto"/>
          <w:spacing w:val="-1"/>
          <w:sz w:val="24"/>
          <w:szCs w:val="24"/>
          <w:highlight w:val="none"/>
        </w:rPr>
        <w:t>间、实际完成工作量等计量租赁设备费用，防止“以租赁</w:t>
      </w:r>
      <w:r>
        <w:rPr>
          <w:rFonts w:ascii="宋体" w:hAnsi="宋体" w:eastAsia="宋体" w:cs="宋体"/>
          <w:strike/>
          <w:dstrike w:val="0"/>
          <w:color w:val="auto"/>
          <w:spacing w:val="-2"/>
          <w:sz w:val="24"/>
          <w:szCs w:val="24"/>
          <w:highlight w:val="none"/>
        </w:rPr>
        <w:t>设备之名，行分包之实”。</w:t>
      </w:r>
    </w:p>
    <w:p w14:paraId="6FDB26DD">
      <w:pPr>
        <w:spacing w:line="361" w:lineRule="auto"/>
        <w:rPr>
          <w:rFonts w:ascii="宋体" w:hAnsi="宋体" w:eastAsia="宋体" w:cs="宋体"/>
          <w:color w:val="auto"/>
          <w:sz w:val="24"/>
          <w:szCs w:val="24"/>
          <w:highlight w:val="none"/>
        </w:rPr>
        <w:sectPr>
          <w:headerReference r:id="rId170" w:type="default"/>
          <w:footerReference r:id="rId171" w:type="default"/>
          <w:pgSz w:w="11905" w:h="16840"/>
          <w:pgMar w:top="1182" w:right="0" w:bottom="1171" w:left="0" w:header="849" w:footer="937" w:gutter="0"/>
          <w:pgNumType w:fmt="decimal"/>
          <w:cols w:space="720" w:num="1"/>
        </w:sectPr>
      </w:pPr>
    </w:p>
    <w:p w14:paraId="65992AC8">
      <w:pPr>
        <w:pStyle w:val="3"/>
        <w:spacing w:line="293" w:lineRule="auto"/>
        <w:rPr>
          <w:color w:val="auto"/>
          <w:highlight w:val="none"/>
        </w:rPr>
      </w:pPr>
    </w:p>
    <w:p w14:paraId="2FA9A20A">
      <w:pPr>
        <w:spacing w:before="88" w:line="356" w:lineRule="exact"/>
        <w:ind w:left="4773"/>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五、施工组织设计</w:t>
      </w:r>
    </w:p>
    <w:p w14:paraId="541714F0">
      <w:pPr>
        <w:pStyle w:val="3"/>
        <w:spacing w:line="462" w:lineRule="auto"/>
        <w:rPr>
          <w:strike/>
          <w:dstrike w:val="0"/>
          <w:color w:val="auto"/>
          <w:highlight w:val="none"/>
        </w:rPr>
      </w:pPr>
    </w:p>
    <w:p w14:paraId="7D9644CC">
      <w:pPr>
        <w:spacing w:before="78" w:line="325" w:lineRule="auto"/>
        <w:ind w:left="1423" w:right="1403"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一、投标人应编制</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107"/>
          <w:sz w:val="24"/>
          <w:szCs w:val="24"/>
          <w:highlight w:val="none"/>
        </w:rPr>
        <w:t xml:space="preserve"> </w:t>
      </w:r>
      <w:r>
        <w:rPr>
          <w:rFonts w:ascii="宋体" w:hAnsi="宋体" w:eastAsia="宋体" w:cs="宋体"/>
          <w:strike/>
          <w:dstrike w:val="0"/>
          <w:color w:val="auto"/>
          <w:spacing w:val="-2"/>
          <w:sz w:val="24"/>
          <w:szCs w:val="24"/>
          <w:highlight w:val="none"/>
        </w:rPr>
        <w:t>制造工作大纲，对已有生产工艺设备情况、总体工程进度计</w:t>
      </w:r>
      <w:r>
        <w:rPr>
          <w:rFonts w:ascii="宋体" w:hAnsi="宋体" w:eastAsia="宋体" w:cs="宋体"/>
          <w:strike/>
          <w:dstrike w:val="0"/>
          <w:color w:val="auto"/>
          <w:spacing w:val="-1"/>
          <w:sz w:val="24"/>
          <w:szCs w:val="24"/>
          <w:highlight w:val="none"/>
        </w:rPr>
        <w:t>划和工艺设计方案，以表明其计划与方案能</w:t>
      </w:r>
      <w:r>
        <w:rPr>
          <w:rFonts w:ascii="宋体" w:hAnsi="宋体" w:eastAsia="宋体" w:cs="宋体"/>
          <w:strike/>
          <w:dstrike w:val="0"/>
          <w:color w:val="auto"/>
          <w:spacing w:val="-2"/>
          <w:sz w:val="24"/>
          <w:szCs w:val="24"/>
          <w:highlight w:val="none"/>
        </w:rPr>
        <w:t>符合技术规范的要求和合同要求的工期，将</w:t>
      </w:r>
      <w:r>
        <w:rPr>
          <w:rFonts w:ascii="宋体" w:hAnsi="宋体" w:eastAsia="宋体" w:cs="宋体"/>
          <w:strike/>
          <w:dstrike w:val="0"/>
          <w:color w:val="auto"/>
          <w:spacing w:val="-1"/>
          <w:sz w:val="24"/>
          <w:szCs w:val="24"/>
          <w:highlight w:val="none"/>
        </w:rPr>
        <w:t>作为评标考虑因素之一。投标人如果中标，将按照合同要求提交详细的制</w:t>
      </w:r>
      <w:r>
        <w:rPr>
          <w:rFonts w:ascii="宋体" w:hAnsi="宋体" w:eastAsia="宋体" w:cs="宋体"/>
          <w:strike/>
          <w:dstrike w:val="0"/>
          <w:color w:val="auto"/>
          <w:spacing w:val="-2"/>
          <w:sz w:val="24"/>
          <w:szCs w:val="24"/>
          <w:highlight w:val="none"/>
        </w:rPr>
        <w:t>作工作大纲、进度计划和工艺设计，但应与本建议书基本上保持一致。主要内容如下：</w:t>
      </w:r>
    </w:p>
    <w:p w14:paraId="761703FD">
      <w:pPr>
        <w:spacing w:before="183" w:line="219"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（1）总体施工组织布置及规划</w:t>
      </w:r>
    </w:p>
    <w:p w14:paraId="444D2A96">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（2）重点、难点和关键工程的施工方案与</w:t>
      </w:r>
      <w:r>
        <w:rPr>
          <w:rFonts w:ascii="宋体" w:hAnsi="宋体" w:eastAsia="宋体" w:cs="宋体"/>
          <w:strike/>
          <w:dstrike w:val="0"/>
          <w:color w:val="auto"/>
          <w:spacing w:val="-2"/>
          <w:sz w:val="24"/>
          <w:szCs w:val="24"/>
          <w:highlight w:val="none"/>
        </w:rPr>
        <w:t>技术措施</w:t>
      </w:r>
    </w:p>
    <w:p w14:paraId="00584F9C">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（3）工期、质量、安全、环保水保、文明施工保</w:t>
      </w:r>
      <w:r>
        <w:rPr>
          <w:rFonts w:ascii="宋体" w:hAnsi="宋体" w:eastAsia="宋体" w:cs="宋体"/>
          <w:strike/>
          <w:dstrike w:val="0"/>
          <w:color w:val="auto"/>
          <w:spacing w:val="-2"/>
          <w:sz w:val="24"/>
          <w:szCs w:val="24"/>
          <w:highlight w:val="none"/>
        </w:rPr>
        <w:t>证措施</w:t>
      </w:r>
    </w:p>
    <w:p w14:paraId="081DF85F">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（4）制造工艺及装备智能化</w:t>
      </w:r>
    </w:p>
    <w:p w14:paraId="403BBF6E">
      <w:pPr>
        <w:spacing w:before="181"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（5）运输方案与后续服务</w:t>
      </w:r>
    </w:p>
    <w:p w14:paraId="6262360D">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（6）安装方案（适用于特大桥梁工程中钢结构工程作为独立标段单独招标）</w:t>
      </w:r>
    </w:p>
    <w:p w14:paraId="00BD551D">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（7）制作工艺方案（适用于主缆/斜拉索/吊索制造、运输作为独立标段</w:t>
      </w:r>
      <w:r>
        <w:rPr>
          <w:rFonts w:ascii="宋体" w:hAnsi="宋体" w:eastAsia="宋体" w:cs="宋体"/>
          <w:strike/>
          <w:dstrike w:val="0"/>
          <w:color w:val="auto"/>
          <w:spacing w:val="-3"/>
          <w:sz w:val="24"/>
          <w:szCs w:val="24"/>
          <w:highlight w:val="none"/>
        </w:rPr>
        <w:t>单独招标）</w:t>
      </w:r>
    </w:p>
    <w:p w14:paraId="11F4A8ED">
      <w:pPr>
        <w:spacing w:before="182" w:line="220" w:lineRule="auto"/>
        <w:ind w:left="191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（8）其他应明确的事项。</w:t>
      </w:r>
    </w:p>
    <w:p w14:paraId="40DF257A">
      <w:pPr>
        <w:pStyle w:val="3"/>
        <w:rPr>
          <w:strike/>
          <w:dstrike w:val="0"/>
          <w:color w:val="auto"/>
          <w:highlight w:val="none"/>
        </w:rPr>
      </w:pPr>
    </w:p>
    <w:p w14:paraId="63CC69D8">
      <w:pPr>
        <w:pStyle w:val="3"/>
        <w:rPr>
          <w:color w:val="auto"/>
          <w:highlight w:val="none"/>
        </w:rPr>
      </w:pPr>
    </w:p>
    <w:p w14:paraId="3FD7FDC9">
      <w:pPr>
        <w:pStyle w:val="3"/>
        <w:rPr>
          <w:color w:val="auto"/>
          <w:highlight w:val="none"/>
        </w:rPr>
      </w:pPr>
    </w:p>
    <w:p w14:paraId="3F6FC411">
      <w:pPr>
        <w:pStyle w:val="3"/>
        <w:rPr>
          <w:color w:val="auto"/>
          <w:highlight w:val="none"/>
        </w:rPr>
      </w:pPr>
    </w:p>
    <w:p w14:paraId="2CA6C647">
      <w:pPr>
        <w:pStyle w:val="3"/>
        <w:rPr>
          <w:color w:val="auto"/>
          <w:highlight w:val="none"/>
        </w:rPr>
      </w:pPr>
    </w:p>
    <w:p w14:paraId="67B8E509">
      <w:pPr>
        <w:pStyle w:val="3"/>
        <w:rPr>
          <w:color w:val="auto"/>
          <w:highlight w:val="none"/>
        </w:rPr>
      </w:pPr>
    </w:p>
    <w:p w14:paraId="4C09514D">
      <w:pPr>
        <w:pStyle w:val="3"/>
        <w:rPr>
          <w:color w:val="auto"/>
          <w:highlight w:val="none"/>
        </w:rPr>
      </w:pPr>
    </w:p>
    <w:p w14:paraId="6429BCBF">
      <w:pPr>
        <w:pStyle w:val="3"/>
        <w:rPr>
          <w:color w:val="auto"/>
          <w:highlight w:val="none"/>
        </w:rPr>
      </w:pPr>
    </w:p>
    <w:p w14:paraId="30D5E639">
      <w:pPr>
        <w:pStyle w:val="3"/>
        <w:rPr>
          <w:color w:val="auto"/>
          <w:highlight w:val="none"/>
        </w:rPr>
      </w:pPr>
    </w:p>
    <w:p w14:paraId="5D48B4C0">
      <w:pPr>
        <w:pStyle w:val="3"/>
        <w:rPr>
          <w:color w:val="auto"/>
          <w:highlight w:val="none"/>
        </w:rPr>
      </w:pPr>
    </w:p>
    <w:p w14:paraId="4CBBB3A1">
      <w:pPr>
        <w:pStyle w:val="3"/>
        <w:rPr>
          <w:color w:val="auto"/>
          <w:highlight w:val="none"/>
        </w:rPr>
      </w:pPr>
    </w:p>
    <w:p w14:paraId="2FA37A8C">
      <w:pPr>
        <w:pStyle w:val="3"/>
        <w:spacing w:line="241" w:lineRule="auto"/>
        <w:rPr>
          <w:color w:val="auto"/>
          <w:highlight w:val="none"/>
        </w:rPr>
      </w:pPr>
    </w:p>
    <w:p w14:paraId="688BA3F3">
      <w:pPr>
        <w:pStyle w:val="3"/>
        <w:spacing w:line="241" w:lineRule="auto"/>
        <w:rPr>
          <w:color w:val="auto"/>
          <w:highlight w:val="none"/>
        </w:rPr>
      </w:pPr>
    </w:p>
    <w:p w14:paraId="19C78699">
      <w:pPr>
        <w:pStyle w:val="3"/>
        <w:spacing w:line="241" w:lineRule="auto"/>
        <w:rPr>
          <w:color w:val="auto"/>
          <w:highlight w:val="none"/>
        </w:rPr>
      </w:pPr>
    </w:p>
    <w:p w14:paraId="4E0D590B">
      <w:pPr>
        <w:pStyle w:val="3"/>
        <w:spacing w:line="241" w:lineRule="auto"/>
        <w:rPr>
          <w:color w:val="auto"/>
          <w:highlight w:val="none"/>
        </w:rPr>
      </w:pPr>
    </w:p>
    <w:p w14:paraId="38ABD8CE">
      <w:pPr>
        <w:pStyle w:val="3"/>
        <w:spacing w:line="241" w:lineRule="auto"/>
        <w:rPr>
          <w:color w:val="auto"/>
          <w:highlight w:val="none"/>
        </w:rPr>
      </w:pPr>
    </w:p>
    <w:p w14:paraId="7DBBBF5E">
      <w:pPr>
        <w:pStyle w:val="3"/>
        <w:spacing w:line="241" w:lineRule="auto"/>
        <w:rPr>
          <w:color w:val="auto"/>
          <w:highlight w:val="none"/>
        </w:rPr>
      </w:pPr>
    </w:p>
    <w:p w14:paraId="5211241A">
      <w:pPr>
        <w:pStyle w:val="3"/>
        <w:spacing w:line="241" w:lineRule="auto"/>
        <w:rPr>
          <w:color w:val="auto"/>
          <w:highlight w:val="none"/>
        </w:rPr>
      </w:pPr>
    </w:p>
    <w:p w14:paraId="0CCE6BE1">
      <w:pPr>
        <w:pStyle w:val="3"/>
        <w:spacing w:line="241" w:lineRule="auto"/>
        <w:rPr>
          <w:color w:val="auto"/>
          <w:highlight w:val="none"/>
        </w:rPr>
      </w:pPr>
    </w:p>
    <w:p w14:paraId="299D166D">
      <w:pPr>
        <w:pStyle w:val="3"/>
        <w:spacing w:line="241" w:lineRule="auto"/>
        <w:rPr>
          <w:color w:val="auto"/>
          <w:highlight w:val="none"/>
        </w:rPr>
      </w:pPr>
    </w:p>
    <w:p w14:paraId="0286D9F7">
      <w:pPr>
        <w:pStyle w:val="3"/>
        <w:spacing w:line="241" w:lineRule="auto"/>
        <w:rPr>
          <w:color w:val="auto"/>
          <w:highlight w:val="none"/>
        </w:rPr>
      </w:pPr>
    </w:p>
    <w:p w14:paraId="3199A035">
      <w:pPr>
        <w:pStyle w:val="3"/>
        <w:spacing w:line="241" w:lineRule="auto"/>
        <w:rPr>
          <w:color w:val="auto"/>
          <w:highlight w:val="none"/>
        </w:rPr>
      </w:pPr>
    </w:p>
    <w:p w14:paraId="4D1470DA">
      <w:pPr>
        <w:pStyle w:val="3"/>
        <w:spacing w:line="241" w:lineRule="auto"/>
        <w:rPr>
          <w:color w:val="auto"/>
          <w:highlight w:val="none"/>
        </w:rPr>
      </w:pPr>
    </w:p>
    <w:p w14:paraId="457676B2">
      <w:pPr>
        <w:pStyle w:val="3"/>
        <w:spacing w:line="241" w:lineRule="auto"/>
        <w:rPr>
          <w:color w:val="auto"/>
          <w:highlight w:val="none"/>
        </w:rPr>
      </w:pPr>
    </w:p>
    <w:p w14:paraId="7E5254CC">
      <w:pPr>
        <w:pStyle w:val="3"/>
        <w:spacing w:line="241" w:lineRule="auto"/>
        <w:rPr>
          <w:color w:val="auto"/>
          <w:highlight w:val="none"/>
        </w:rPr>
      </w:pPr>
    </w:p>
    <w:p w14:paraId="364E6A85">
      <w:pPr>
        <w:pStyle w:val="3"/>
        <w:spacing w:line="241" w:lineRule="auto"/>
        <w:rPr>
          <w:color w:val="auto"/>
          <w:highlight w:val="none"/>
        </w:rPr>
      </w:pPr>
    </w:p>
    <w:p w14:paraId="1221CA75">
      <w:pPr>
        <w:pStyle w:val="3"/>
        <w:spacing w:line="241" w:lineRule="auto"/>
        <w:rPr>
          <w:color w:val="auto"/>
          <w:highlight w:val="none"/>
        </w:rPr>
      </w:pPr>
    </w:p>
    <w:p w14:paraId="1624630F">
      <w:pPr>
        <w:pStyle w:val="3"/>
        <w:spacing w:line="241" w:lineRule="auto"/>
        <w:rPr>
          <w:color w:val="auto"/>
          <w:highlight w:val="none"/>
        </w:rPr>
      </w:pPr>
    </w:p>
    <w:p w14:paraId="3893F8A4">
      <w:pPr>
        <w:pStyle w:val="3"/>
        <w:spacing w:line="241" w:lineRule="auto"/>
        <w:rPr>
          <w:color w:val="auto"/>
          <w:highlight w:val="none"/>
        </w:rPr>
      </w:pPr>
    </w:p>
    <w:p w14:paraId="6B492436">
      <w:pPr>
        <w:pStyle w:val="3"/>
        <w:spacing w:line="315" w:lineRule="auto"/>
        <w:rPr>
          <w:color w:val="auto"/>
          <w:highlight w:val="none"/>
        </w:rPr>
      </w:pPr>
    </w:p>
    <w:p w14:paraId="0EE9694E">
      <w:pPr>
        <w:pStyle w:val="3"/>
        <w:spacing w:line="315" w:lineRule="auto"/>
        <w:rPr>
          <w:color w:val="auto"/>
          <w:highlight w:val="none"/>
        </w:rPr>
      </w:pPr>
    </w:p>
    <w:p w14:paraId="5F3D7BBB">
      <w:pPr>
        <w:spacing w:before="88" w:line="226" w:lineRule="auto"/>
        <w:ind w:left="4840"/>
        <w:rPr>
          <w:rFonts w:ascii="宋体" w:hAnsi="宋体" w:eastAsia="宋体" w:cs="宋体"/>
          <w:color w:val="auto"/>
          <w:sz w:val="27"/>
          <w:szCs w:val="27"/>
          <w:highlight w:val="none"/>
        </w:rPr>
      </w:pPr>
      <w:r>
        <w:rPr>
          <w:rFonts w:ascii="宋体" w:hAnsi="宋体" w:eastAsia="宋体" w:cs="宋体"/>
          <w:b/>
          <w:bCs/>
          <w:color w:val="auto"/>
          <w:spacing w:val="6"/>
          <w:sz w:val="27"/>
          <w:szCs w:val="27"/>
          <w:highlight w:val="none"/>
        </w:rPr>
        <w:t>六、项目管理机构</w:t>
      </w:r>
    </w:p>
    <w:p w14:paraId="625CDFC0">
      <w:pPr>
        <w:spacing w:before="193"/>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3B391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vAlign w:val="top"/>
          </w:tcPr>
          <w:p w14:paraId="479314CE">
            <w:pPr>
              <w:pStyle w:val="17"/>
              <w:spacing w:before="197" w:line="219" w:lineRule="auto"/>
              <w:ind w:left="117"/>
              <w:rPr>
                <w:color w:val="auto"/>
                <w:sz w:val="24"/>
                <w:szCs w:val="24"/>
                <w:highlight w:val="none"/>
              </w:rPr>
            </w:pPr>
            <w:r>
              <w:rPr>
                <w:color w:val="auto"/>
                <w:spacing w:val="-2"/>
                <w:sz w:val="24"/>
                <w:szCs w:val="24"/>
                <w:highlight w:val="none"/>
              </w:rPr>
              <w:t>拟为承包本标段工程设立的组织机构以框图方式表示。</w:t>
            </w:r>
          </w:p>
        </w:tc>
      </w:tr>
      <w:tr w14:paraId="553F2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vAlign w:val="top"/>
          </w:tcPr>
          <w:p w14:paraId="5ED0595A">
            <w:pPr>
              <w:pStyle w:val="17"/>
              <w:spacing w:before="196" w:line="220" w:lineRule="auto"/>
              <w:ind w:left="120"/>
              <w:rPr>
                <w:color w:val="auto"/>
                <w:sz w:val="24"/>
                <w:szCs w:val="24"/>
                <w:highlight w:val="none"/>
              </w:rPr>
            </w:pPr>
            <w:r>
              <w:rPr>
                <w:color w:val="auto"/>
                <w:spacing w:val="-4"/>
                <w:sz w:val="24"/>
                <w:szCs w:val="24"/>
                <w:highlight w:val="none"/>
              </w:rPr>
              <w:t>说明</w:t>
            </w:r>
          </w:p>
        </w:tc>
      </w:tr>
    </w:tbl>
    <w:p w14:paraId="69EE5422">
      <w:pPr>
        <w:pStyle w:val="3"/>
        <w:rPr>
          <w:color w:val="auto"/>
          <w:highlight w:val="none"/>
        </w:rPr>
      </w:pPr>
    </w:p>
    <w:p w14:paraId="7915D10A">
      <w:pPr>
        <w:rPr>
          <w:color w:val="auto"/>
          <w:highlight w:val="none"/>
        </w:rPr>
        <w:sectPr>
          <w:headerReference r:id="rId172" w:type="default"/>
          <w:footerReference r:id="rId173" w:type="default"/>
          <w:pgSz w:w="11905" w:h="16840"/>
          <w:pgMar w:top="1182" w:right="0" w:bottom="1171" w:left="0" w:header="849" w:footer="937" w:gutter="0"/>
          <w:pgNumType w:fmt="decimal"/>
          <w:cols w:space="720" w:num="1"/>
        </w:sectPr>
      </w:pPr>
    </w:p>
    <w:p w14:paraId="04E671D9">
      <w:pPr>
        <w:pStyle w:val="3"/>
        <w:spacing w:line="316" w:lineRule="auto"/>
        <w:rPr>
          <w:color w:val="auto"/>
          <w:highlight w:val="none"/>
        </w:rPr>
      </w:pPr>
    </w:p>
    <w:p w14:paraId="038E06A5">
      <w:pPr>
        <w:spacing w:before="88" w:line="226" w:lineRule="auto"/>
        <w:ind w:left="3150"/>
        <w:rPr>
          <w:rFonts w:ascii="宋体" w:hAnsi="宋体" w:eastAsia="宋体" w:cs="宋体"/>
          <w:strike/>
          <w:dstrike w:val="0"/>
          <w:color w:val="auto"/>
          <w:sz w:val="27"/>
          <w:szCs w:val="27"/>
          <w:highlight w:val="none"/>
        </w:rPr>
      </w:pPr>
      <w:r>
        <w:rPr>
          <w:rFonts w:ascii="宋体" w:hAnsi="宋体" w:eastAsia="宋体" w:cs="宋体"/>
          <w:b/>
          <w:bCs/>
          <w:strike/>
          <w:dstrike w:val="0"/>
          <w:color w:val="auto"/>
          <w:spacing w:val="7"/>
          <w:sz w:val="27"/>
          <w:szCs w:val="27"/>
          <w:highlight w:val="none"/>
        </w:rPr>
        <w:t>七、资格审查资料(适用于已进行资格预审的)</w:t>
      </w:r>
    </w:p>
    <w:p w14:paraId="087FE615">
      <w:pPr>
        <w:pStyle w:val="3"/>
        <w:spacing w:line="466" w:lineRule="auto"/>
        <w:rPr>
          <w:strike/>
          <w:dstrike w:val="0"/>
          <w:color w:val="auto"/>
          <w:highlight w:val="none"/>
        </w:rPr>
      </w:pPr>
    </w:p>
    <w:p w14:paraId="69226FE0">
      <w:pPr>
        <w:spacing w:before="78" w:line="360" w:lineRule="auto"/>
        <w:ind w:left="1435" w:right="1416" w:firstLine="47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投标人应按通过资格预审后的新情况及第二章“投标人须</w:t>
      </w:r>
      <w:r>
        <w:rPr>
          <w:rFonts w:ascii="宋体" w:hAnsi="宋体" w:eastAsia="宋体" w:cs="宋体"/>
          <w:strike/>
          <w:dstrike w:val="0"/>
          <w:color w:val="auto"/>
          <w:spacing w:val="-3"/>
          <w:sz w:val="24"/>
          <w:szCs w:val="24"/>
          <w:highlight w:val="none"/>
        </w:rPr>
        <w:t>知”第</w:t>
      </w:r>
      <w:r>
        <w:rPr>
          <w:rFonts w:ascii="宋体" w:hAnsi="宋体" w:eastAsia="宋体" w:cs="宋体"/>
          <w:strike/>
          <w:dstrike w:val="0"/>
          <w:color w:val="auto"/>
          <w:spacing w:val="-46"/>
          <w:sz w:val="24"/>
          <w:szCs w:val="24"/>
          <w:highlight w:val="none"/>
        </w:rPr>
        <w:t xml:space="preserve"> </w:t>
      </w:r>
      <w:r>
        <w:rPr>
          <w:rFonts w:ascii="宋体" w:hAnsi="宋体" w:eastAsia="宋体" w:cs="宋体"/>
          <w:strike/>
          <w:dstrike w:val="0"/>
          <w:color w:val="auto"/>
          <w:spacing w:val="-3"/>
          <w:sz w:val="24"/>
          <w:szCs w:val="24"/>
          <w:highlight w:val="none"/>
        </w:rPr>
        <w:t>3.5.1</w:t>
      </w:r>
      <w:r>
        <w:rPr>
          <w:rFonts w:ascii="宋体" w:hAnsi="宋体" w:eastAsia="宋体" w:cs="宋体"/>
          <w:strike/>
          <w:dstrike w:val="0"/>
          <w:color w:val="auto"/>
          <w:spacing w:val="-47"/>
          <w:sz w:val="24"/>
          <w:szCs w:val="24"/>
          <w:highlight w:val="none"/>
        </w:rPr>
        <w:t xml:space="preserve"> </w:t>
      </w:r>
      <w:r>
        <w:rPr>
          <w:rFonts w:ascii="宋体" w:hAnsi="宋体" w:eastAsia="宋体" w:cs="宋体"/>
          <w:strike/>
          <w:dstrike w:val="0"/>
          <w:color w:val="auto"/>
          <w:spacing w:val="-3"/>
          <w:sz w:val="24"/>
          <w:szCs w:val="24"/>
          <w:highlight w:val="none"/>
        </w:rPr>
        <w:t>项的规定对</w:t>
      </w:r>
      <w:r>
        <w:rPr>
          <w:rFonts w:ascii="宋体" w:hAnsi="宋体" w:eastAsia="宋体" w:cs="宋体"/>
          <w:strike/>
          <w:dstrike w:val="0"/>
          <w:color w:val="auto"/>
          <w:spacing w:val="-2"/>
          <w:sz w:val="24"/>
          <w:szCs w:val="24"/>
          <w:highlight w:val="none"/>
        </w:rPr>
        <w:t>资格预审申请文件进行更新或补充（格式参照资格预审申请文件格式）。</w:t>
      </w:r>
    </w:p>
    <w:p w14:paraId="00AEBBEF">
      <w:pPr>
        <w:spacing w:line="360" w:lineRule="auto"/>
        <w:ind w:left="1423" w:right="1416" w:firstLine="485"/>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如投标人未提供相关更新或补充资料，其人员、设备等各项投入将以其资格预审申</w:t>
      </w:r>
      <w:r>
        <w:rPr>
          <w:rFonts w:ascii="宋体" w:hAnsi="宋体" w:eastAsia="宋体" w:cs="宋体"/>
          <w:strike/>
          <w:dstrike w:val="0"/>
          <w:color w:val="auto"/>
          <w:spacing w:val="-1"/>
          <w:sz w:val="24"/>
          <w:szCs w:val="24"/>
          <w:highlight w:val="none"/>
        </w:rPr>
        <w:t>请文件为准，同时资格预审申请文件的相应</w:t>
      </w:r>
      <w:r>
        <w:rPr>
          <w:rFonts w:ascii="宋体" w:hAnsi="宋体" w:eastAsia="宋体" w:cs="宋体"/>
          <w:strike/>
          <w:dstrike w:val="0"/>
          <w:color w:val="auto"/>
          <w:spacing w:val="-2"/>
          <w:sz w:val="24"/>
          <w:szCs w:val="24"/>
          <w:highlight w:val="none"/>
        </w:rPr>
        <w:t>内容将作为合同文件的组成部分。但发包人保留要求投标人按工程实际需要增派人员和设备的权力。</w:t>
      </w:r>
    </w:p>
    <w:p w14:paraId="53FBB1D2">
      <w:pPr>
        <w:spacing w:line="219" w:lineRule="auto"/>
        <w:ind w:left="4527"/>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（一）投标资格变化情况表</w:t>
      </w:r>
    </w:p>
    <w:p w14:paraId="15A4CCCC">
      <w:pPr>
        <w:spacing w:line="225" w:lineRule="exact"/>
        <w:rPr>
          <w:strike/>
          <w:dstrike w:val="0"/>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4"/>
        <w:gridCol w:w="3099"/>
      </w:tblGrid>
      <w:tr w14:paraId="2F6FF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099" w:type="dxa"/>
            <w:vAlign w:val="top"/>
          </w:tcPr>
          <w:p w14:paraId="649CD45D">
            <w:pPr>
              <w:pStyle w:val="17"/>
              <w:spacing w:before="226" w:line="220" w:lineRule="auto"/>
              <w:ind w:left="1135"/>
              <w:rPr>
                <w:strike/>
                <w:dstrike w:val="0"/>
                <w:color w:val="auto"/>
                <w:highlight w:val="none"/>
              </w:rPr>
            </w:pPr>
            <w:r>
              <w:rPr>
                <w:strike/>
                <w:dstrike w:val="0"/>
                <w:color w:val="auto"/>
                <w:spacing w:val="-2"/>
                <w:highlight w:val="none"/>
              </w:rPr>
              <w:t>变更项目</w:t>
            </w:r>
          </w:p>
        </w:tc>
        <w:tc>
          <w:tcPr>
            <w:tcW w:w="3094" w:type="dxa"/>
            <w:vAlign w:val="top"/>
          </w:tcPr>
          <w:p w14:paraId="73198675">
            <w:pPr>
              <w:pStyle w:val="17"/>
              <w:spacing w:before="225" w:line="220" w:lineRule="auto"/>
              <w:ind w:left="722"/>
              <w:rPr>
                <w:strike/>
                <w:dstrike w:val="0"/>
                <w:color w:val="auto"/>
                <w:highlight w:val="none"/>
              </w:rPr>
            </w:pPr>
            <w:r>
              <w:rPr>
                <w:strike/>
                <w:dstrike w:val="0"/>
                <w:color w:val="auto"/>
                <w:spacing w:val="-2"/>
                <w:highlight w:val="none"/>
              </w:rPr>
              <w:t>资格预审填报情况</w:t>
            </w:r>
          </w:p>
        </w:tc>
        <w:tc>
          <w:tcPr>
            <w:tcW w:w="3099" w:type="dxa"/>
            <w:vAlign w:val="top"/>
          </w:tcPr>
          <w:p w14:paraId="04684267">
            <w:pPr>
              <w:pStyle w:val="17"/>
              <w:spacing w:before="225" w:line="220" w:lineRule="auto"/>
              <w:ind w:left="618"/>
              <w:rPr>
                <w:strike/>
                <w:dstrike w:val="0"/>
                <w:color w:val="auto"/>
                <w:highlight w:val="none"/>
              </w:rPr>
            </w:pPr>
            <w:r>
              <w:rPr>
                <w:strike/>
                <w:dstrike w:val="0"/>
                <w:color w:val="auto"/>
                <w:spacing w:val="-2"/>
                <w:highlight w:val="none"/>
              </w:rPr>
              <w:t>资格预审后变化情况</w:t>
            </w:r>
          </w:p>
        </w:tc>
      </w:tr>
      <w:tr w14:paraId="51EEC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99" w:type="dxa"/>
            <w:vAlign w:val="top"/>
          </w:tcPr>
          <w:p w14:paraId="6496501D">
            <w:pPr>
              <w:pStyle w:val="17"/>
              <w:spacing w:before="222" w:line="220" w:lineRule="auto"/>
              <w:ind w:left="1137"/>
              <w:rPr>
                <w:strike/>
                <w:dstrike w:val="0"/>
                <w:color w:val="auto"/>
                <w:highlight w:val="none"/>
              </w:rPr>
            </w:pPr>
            <w:r>
              <w:rPr>
                <w:strike/>
                <w:dstrike w:val="0"/>
                <w:color w:val="auto"/>
                <w:spacing w:val="-2"/>
                <w:highlight w:val="none"/>
              </w:rPr>
              <w:t>单位名称</w:t>
            </w:r>
          </w:p>
        </w:tc>
        <w:tc>
          <w:tcPr>
            <w:tcW w:w="3094" w:type="dxa"/>
            <w:vAlign w:val="top"/>
          </w:tcPr>
          <w:p w14:paraId="0867FC16">
            <w:pPr>
              <w:rPr>
                <w:rFonts w:ascii="Arial"/>
                <w:strike/>
                <w:dstrike w:val="0"/>
                <w:color w:val="auto"/>
                <w:sz w:val="21"/>
                <w:highlight w:val="none"/>
              </w:rPr>
            </w:pPr>
          </w:p>
        </w:tc>
        <w:tc>
          <w:tcPr>
            <w:tcW w:w="3099" w:type="dxa"/>
            <w:vAlign w:val="top"/>
          </w:tcPr>
          <w:p w14:paraId="3FEAA756">
            <w:pPr>
              <w:rPr>
                <w:rFonts w:ascii="Arial"/>
                <w:strike/>
                <w:dstrike w:val="0"/>
                <w:color w:val="auto"/>
                <w:sz w:val="21"/>
                <w:highlight w:val="none"/>
              </w:rPr>
            </w:pPr>
          </w:p>
        </w:tc>
      </w:tr>
      <w:tr w14:paraId="7A98D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468329CE">
            <w:pPr>
              <w:pStyle w:val="17"/>
              <w:spacing w:before="223" w:line="221" w:lineRule="auto"/>
              <w:ind w:left="1136"/>
              <w:rPr>
                <w:strike/>
                <w:dstrike w:val="0"/>
                <w:color w:val="auto"/>
                <w:highlight w:val="none"/>
              </w:rPr>
            </w:pPr>
            <w:r>
              <w:rPr>
                <w:strike/>
                <w:dstrike w:val="0"/>
                <w:color w:val="auto"/>
                <w:spacing w:val="-2"/>
                <w:highlight w:val="none"/>
              </w:rPr>
              <w:t>法人地位</w:t>
            </w:r>
          </w:p>
        </w:tc>
        <w:tc>
          <w:tcPr>
            <w:tcW w:w="3094" w:type="dxa"/>
            <w:vAlign w:val="top"/>
          </w:tcPr>
          <w:p w14:paraId="06D297B4">
            <w:pPr>
              <w:rPr>
                <w:rFonts w:ascii="Arial"/>
                <w:strike/>
                <w:dstrike w:val="0"/>
                <w:color w:val="auto"/>
                <w:sz w:val="21"/>
                <w:highlight w:val="none"/>
              </w:rPr>
            </w:pPr>
          </w:p>
        </w:tc>
        <w:tc>
          <w:tcPr>
            <w:tcW w:w="3099" w:type="dxa"/>
            <w:vAlign w:val="top"/>
          </w:tcPr>
          <w:p w14:paraId="2760C12A">
            <w:pPr>
              <w:rPr>
                <w:rFonts w:ascii="Arial"/>
                <w:strike/>
                <w:dstrike w:val="0"/>
                <w:color w:val="auto"/>
                <w:sz w:val="21"/>
                <w:highlight w:val="none"/>
              </w:rPr>
            </w:pPr>
          </w:p>
        </w:tc>
      </w:tr>
      <w:tr w14:paraId="47353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740E5208">
            <w:pPr>
              <w:pStyle w:val="17"/>
              <w:spacing w:before="224" w:line="220" w:lineRule="auto"/>
              <w:ind w:left="927"/>
              <w:rPr>
                <w:strike/>
                <w:dstrike w:val="0"/>
                <w:color w:val="auto"/>
                <w:highlight w:val="none"/>
              </w:rPr>
            </w:pPr>
            <w:r>
              <w:rPr>
                <w:strike/>
                <w:dstrike w:val="0"/>
                <w:color w:val="auto"/>
                <w:spacing w:val="-2"/>
                <w:highlight w:val="none"/>
              </w:rPr>
              <w:t>经营许可范围</w:t>
            </w:r>
          </w:p>
        </w:tc>
        <w:tc>
          <w:tcPr>
            <w:tcW w:w="3094" w:type="dxa"/>
            <w:vAlign w:val="top"/>
          </w:tcPr>
          <w:p w14:paraId="18FAF6B7">
            <w:pPr>
              <w:rPr>
                <w:rFonts w:ascii="Arial"/>
                <w:strike/>
                <w:dstrike w:val="0"/>
                <w:color w:val="auto"/>
                <w:sz w:val="21"/>
                <w:highlight w:val="none"/>
              </w:rPr>
            </w:pPr>
          </w:p>
        </w:tc>
        <w:tc>
          <w:tcPr>
            <w:tcW w:w="3099" w:type="dxa"/>
            <w:vAlign w:val="top"/>
          </w:tcPr>
          <w:p w14:paraId="00C3956B">
            <w:pPr>
              <w:rPr>
                <w:rFonts w:ascii="Arial"/>
                <w:strike/>
                <w:dstrike w:val="0"/>
                <w:color w:val="auto"/>
                <w:sz w:val="21"/>
                <w:highlight w:val="none"/>
              </w:rPr>
            </w:pPr>
          </w:p>
        </w:tc>
      </w:tr>
      <w:tr w14:paraId="2CB06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099" w:type="dxa"/>
            <w:vAlign w:val="top"/>
          </w:tcPr>
          <w:p w14:paraId="6B6FD952">
            <w:pPr>
              <w:pStyle w:val="17"/>
              <w:spacing w:before="223" w:line="220" w:lineRule="auto"/>
              <w:ind w:left="1135"/>
              <w:rPr>
                <w:strike/>
                <w:dstrike w:val="0"/>
                <w:color w:val="auto"/>
                <w:highlight w:val="none"/>
              </w:rPr>
            </w:pPr>
            <w:r>
              <w:rPr>
                <w:strike/>
                <w:dstrike w:val="0"/>
                <w:color w:val="auto"/>
                <w:spacing w:val="-2"/>
                <w:highlight w:val="none"/>
              </w:rPr>
              <w:t>施工资质</w:t>
            </w:r>
          </w:p>
        </w:tc>
        <w:tc>
          <w:tcPr>
            <w:tcW w:w="3094" w:type="dxa"/>
            <w:vAlign w:val="top"/>
          </w:tcPr>
          <w:p w14:paraId="7EE1D50A">
            <w:pPr>
              <w:rPr>
                <w:rFonts w:ascii="Arial"/>
                <w:strike/>
                <w:dstrike w:val="0"/>
                <w:color w:val="auto"/>
                <w:sz w:val="21"/>
                <w:highlight w:val="none"/>
              </w:rPr>
            </w:pPr>
          </w:p>
        </w:tc>
        <w:tc>
          <w:tcPr>
            <w:tcW w:w="3099" w:type="dxa"/>
            <w:vAlign w:val="top"/>
          </w:tcPr>
          <w:p w14:paraId="19E54284">
            <w:pPr>
              <w:rPr>
                <w:rFonts w:ascii="Arial"/>
                <w:strike/>
                <w:dstrike w:val="0"/>
                <w:color w:val="auto"/>
                <w:sz w:val="21"/>
                <w:highlight w:val="none"/>
              </w:rPr>
            </w:pPr>
          </w:p>
        </w:tc>
      </w:tr>
      <w:tr w14:paraId="0CF88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2B0AADFF">
            <w:pPr>
              <w:pStyle w:val="17"/>
              <w:spacing w:before="224" w:line="220" w:lineRule="auto"/>
              <w:ind w:left="1136"/>
              <w:rPr>
                <w:strike/>
                <w:dstrike w:val="0"/>
                <w:color w:val="auto"/>
                <w:highlight w:val="none"/>
              </w:rPr>
            </w:pPr>
            <w:r>
              <w:rPr>
                <w:strike/>
                <w:dstrike w:val="0"/>
                <w:color w:val="auto"/>
                <w:spacing w:val="-2"/>
                <w:highlight w:val="none"/>
              </w:rPr>
              <w:t>财务状况</w:t>
            </w:r>
          </w:p>
        </w:tc>
        <w:tc>
          <w:tcPr>
            <w:tcW w:w="3094" w:type="dxa"/>
            <w:vAlign w:val="top"/>
          </w:tcPr>
          <w:p w14:paraId="52D59975">
            <w:pPr>
              <w:rPr>
                <w:rFonts w:ascii="Arial"/>
                <w:strike/>
                <w:dstrike w:val="0"/>
                <w:color w:val="auto"/>
                <w:sz w:val="21"/>
                <w:highlight w:val="none"/>
              </w:rPr>
            </w:pPr>
          </w:p>
        </w:tc>
        <w:tc>
          <w:tcPr>
            <w:tcW w:w="3099" w:type="dxa"/>
            <w:vAlign w:val="top"/>
          </w:tcPr>
          <w:p w14:paraId="0EA30A89">
            <w:pPr>
              <w:rPr>
                <w:rFonts w:ascii="Arial"/>
                <w:strike/>
                <w:dstrike w:val="0"/>
                <w:color w:val="auto"/>
                <w:sz w:val="21"/>
                <w:highlight w:val="none"/>
              </w:rPr>
            </w:pPr>
          </w:p>
        </w:tc>
      </w:tr>
      <w:tr w14:paraId="760F2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419D2DAD">
            <w:pPr>
              <w:pStyle w:val="17"/>
              <w:spacing w:before="225" w:line="219" w:lineRule="auto"/>
              <w:ind w:left="505"/>
              <w:rPr>
                <w:strike/>
                <w:dstrike w:val="0"/>
                <w:color w:val="auto"/>
                <w:highlight w:val="none"/>
              </w:rPr>
            </w:pPr>
            <w:r>
              <w:rPr>
                <w:strike/>
                <w:dstrike w:val="0"/>
                <w:color w:val="auto"/>
                <w:spacing w:val="-1"/>
                <w:highlight w:val="none"/>
              </w:rPr>
              <w:t>拟投入本项目主要人员</w:t>
            </w:r>
          </w:p>
        </w:tc>
        <w:tc>
          <w:tcPr>
            <w:tcW w:w="3094" w:type="dxa"/>
            <w:vAlign w:val="top"/>
          </w:tcPr>
          <w:p w14:paraId="0D187C15">
            <w:pPr>
              <w:rPr>
                <w:rFonts w:ascii="Arial"/>
                <w:strike/>
                <w:dstrike w:val="0"/>
                <w:color w:val="auto"/>
                <w:sz w:val="21"/>
                <w:highlight w:val="none"/>
              </w:rPr>
            </w:pPr>
          </w:p>
        </w:tc>
        <w:tc>
          <w:tcPr>
            <w:tcW w:w="3099" w:type="dxa"/>
            <w:vAlign w:val="top"/>
          </w:tcPr>
          <w:p w14:paraId="32D13D56">
            <w:pPr>
              <w:rPr>
                <w:rFonts w:ascii="Arial"/>
                <w:strike/>
                <w:dstrike w:val="0"/>
                <w:color w:val="auto"/>
                <w:sz w:val="21"/>
                <w:highlight w:val="none"/>
              </w:rPr>
            </w:pPr>
          </w:p>
        </w:tc>
      </w:tr>
      <w:tr w14:paraId="220AE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45097FB5">
            <w:pPr>
              <w:pStyle w:val="17"/>
              <w:spacing w:before="225" w:line="219" w:lineRule="auto"/>
              <w:ind w:left="505"/>
              <w:rPr>
                <w:strike/>
                <w:dstrike w:val="0"/>
                <w:color w:val="auto"/>
                <w:highlight w:val="none"/>
              </w:rPr>
            </w:pPr>
            <w:r>
              <w:rPr>
                <w:strike/>
                <w:dstrike w:val="0"/>
                <w:color w:val="auto"/>
                <w:spacing w:val="-1"/>
                <w:highlight w:val="none"/>
              </w:rPr>
              <w:t>拟投入本项目关键设备</w:t>
            </w:r>
          </w:p>
        </w:tc>
        <w:tc>
          <w:tcPr>
            <w:tcW w:w="3094" w:type="dxa"/>
            <w:vAlign w:val="top"/>
          </w:tcPr>
          <w:p w14:paraId="2573C46C">
            <w:pPr>
              <w:rPr>
                <w:rFonts w:ascii="Arial"/>
                <w:strike/>
                <w:dstrike w:val="0"/>
                <w:color w:val="auto"/>
                <w:sz w:val="21"/>
                <w:highlight w:val="none"/>
              </w:rPr>
            </w:pPr>
          </w:p>
        </w:tc>
        <w:tc>
          <w:tcPr>
            <w:tcW w:w="3099" w:type="dxa"/>
            <w:vAlign w:val="top"/>
          </w:tcPr>
          <w:p w14:paraId="46F7FA53">
            <w:pPr>
              <w:rPr>
                <w:rFonts w:ascii="Arial"/>
                <w:strike/>
                <w:dstrike w:val="0"/>
                <w:color w:val="auto"/>
                <w:sz w:val="21"/>
                <w:highlight w:val="none"/>
              </w:rPr>
            </w:pPr>
          </w:p>
        </w:tc>
      </w:tr>
      <w:tr w14:paraId="10833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219F8B91">
            <w:pPr>
              <w:pStyle w:val="17"/>
              <w:spacing w:before="225" w:line="220" w:lineRule="auto"/>
              <w:ind w:left="1345"/>
              <w:rPr>
                <w:strike/>
                <w:dstrike w:val="0"/>
                <w:color w:val="auto"/>
                <w:highlight w:val="none"/>
              </w:rPr>
            </w:pPr>
            <w:r>
              <w:rPr>
                <w:strike/>
                <w:dstrike w:val="0"/>
                <w:color w:val="auto"/>
                <w:spacing w:val="-2"/>
                <w:highlight w:val="none"/>
              </w:rPr>
              <w:t>业绩</w:t>
            </w:r>
          </w:p>
        </w:tc>
        <w:tc>
          <w:tcPr>
            <w:tcW w:w="3094" w:type="dxa"/>
            <w:vAlign w:val="top"/>
          </w:tcPr>
          <w:p w14:paraId="06325575">
            <w:pPr>
              <w:rPr>
                <w:rFonts w:ascii="Arial"/>
                <w:strike/>
                <w:dstrike w:val="0"/>
                <w:color w:val="auto"/>
                <w:sz w:val="21"/>
                <w:highlight w:val="none"/>
              </w:rPr>
            </w:pPr>
          </w:p>
        </w:tc>
        <w:tc>
          <w:tcPr>
            <w:tcW w:w="3099" w:type="dxa"/>
            <w:vAlign w:val="top"/>
          </w:tcPr>
          <w:p w14:paraId="749D4C88">
            <w:pPr>
              <w:rPr>
                <w:rFonts w:ascii="Arial"/>
                <w:strike/>
                <w:dstrike w:val="0"/>
                <w:color w:val="auto"/>
                <w:sz w:val="21"/>
                <w:highlight w:val="none"/>
              </w:rPr>
            </w:pPr>
          </w:p>
        </w:tc>
      </w:tr>
      <w:tr w14:paraId="7D80C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99" w:type="dxa"/>
            <w:vAlign w:val="top"/>
          </w:tcPr>
          <w:p w14:paraId="3F867BAC">
            <w:pPr>
              <w:pStyle w:val="17"/>
              <w:spacing w:before="225" w:line="219" w:lineRule="auto"/>
              <w:ind w:left="1135"/>
              <w:rPr>
                <w:strike/>
                <w:dstrike w:val="0"/>
                <w:color w:val="auto"/>
                <w:highlight w:val="none"/>
              </w:rPr>
            </w:pPr>
            <w:r>
              <w:rPr>
                <w:strike/>
                <w:dstrike w:val="0"/>
                <w:color w:val="auto"/>
                <w:spacing w:val="-2"/>
                <w:highlight w:val="none"/>
              </w:rPr>
              <w:t>信誉情况</w:t>
            </w:r>
          </w:p>
        </w:tc>
        <w:tc>
          <w:tcPr>
            <w:tcW w:w="3094" w:type="dxa"/>
            <w:vAlign w:val="top"/>
          </w:tcPr>
          <w:p w14:paraId="57C269EA">
            <w:pPr>
              <w:rPr>
                <w:rFonts w:ascii="Arial"/>
                <w:strike/>
                <w:dstrike w:val="0"/>
                <w:color w:val="auto"/>
                <w:sz w:val="21"/>
                <w:highlight w:val="none"/>
              </w:rPr>
            </w:pPr>
          </w:p>
        </w:tc>
        <w:tc>
          <w:tcPr>
            <w:tcW w:w="3099" w:type="dxa"/>
            <w:vAlign w:val="top"/>
          </w:tcPr>
          <w:p w14:paraId="0D8DE968">
            <w:pPr>
              <w:rPr>
                <w:rFonts w:ascii="Arial"/>
                <w:strike/>
                <w:dstrike w:val="0"/>
                <w:color w:val="auto"/>
                <w:sz w:val="21"/>
                <w:highlight w:val="none"/>
              </w:rPr>
            </w:pPr>
          </w:p>
        </w:tc>
      </w:tr>
      <w:tr w14:paraId="7B476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099" w:type="dxa"/>
            <w:vAlign w:val="top"/>
          </w:tcPr>
          <w:p w14:paraId="7EBE2EEA">
            <w:pPr>
              <w:pStyle w:val="17"/>
              <w:spacing w:before="224" w:line="331" w:lineRule="exact"/>
              <w:ind w:left="1359"/>
              <w:rPr>
                <w:strike/>
                <w:dstrike w:val="0"/>
                <w:color w:val="auto"/>
                <w:highlight w:val="none"/>
              </w:rPr>
            </w:pPr>
            <w:r>
              <w:rPr>
                <w:strike/>
                <w:dstrike w:val="0"/>
                <w:color w:val="auto"/>
                <w:spacing w:val="-6"/>
                <w:position w:val="2"/>
                <w:highlight w:val="none"/>
              </w:rPr>
              <w:t>……</w:t>
            </w:r>
          </w:p>
        </w:tc>
        <w:tc>
          <w:tcPr>
            <w:tcW w:w="3094" w:type="dxa"/>
            <w:vAlign w:val="top"/>
          </w:tcPr>
          <w:p w14:paraId="535C9193">
            <w:pPr>
              <w:rPr>
                <w:rFonts w:ascii="Arial"/>
                <w:strike/>
                <w:dstrike w:val="0"/>
                <w:color w:val="auto"/>
                <w:sz w:val="21"/>
                <w:highlight w:val="none"/>
              </w:rPr>
            </w:pPr>
          </w:p>
        </w:tc>
        <w:tc>
          <w:tcPr>
            <w:tcW w:w="3099" w:type="dxa"/>
            <w:vAlign w:val="top"/>
          </w:tcPr>
          <w:p w14:paraId="19CE3D45">
            <w:pPr>
              <w:rPr>
                <w:rFonts w:ascii="Arial"/>
                <w:strike/>
                <w:dstrike w:val="0"/>
                <w:color w:val="auto"/>
                <w:sz w:val="21"/>
                <w:highlight w:val="none"/>
              </w:rPr>
            </w:pPr>
          </w:p>
        </w:tc>
      </w:tr>
    </w:tbl>
    <w:p w14:paraId="1BE2F38C">
      <w:pPr>
        <w:pStyle w:val="3"/>
        <w:spacing w:line="446" w:lineRule="auto"/>
        <w:rPr>
          <w:strike/>
          <w:dstrike w:val="0"/>
          <w:color w:val="auto"/>
          <w:highlight w:val="none"/>
        </w:rPr>
      </w:pPr>
    </w:p>
    <w:p w14:paraId="1AC207C5">
      <w:pPr>
        <w:spacing w:before="69"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5DE330F1">
      <w:pPr>
        <w:spacing w:before="57" w:line="247" w:lineRule="auto"/>
        <w:ind w:left="1426" w:right="1423" w:firstLine="13"/>
        <w:rPr>
          <w:rFonts w:ascii="宋体" w:hAnsi="宋体" w:eastAsia="宋体" w:cs="宋体"/>
          <w:strike/>
          <w:dstrike w:val="0"/>
          <w:color w:val="auto"/>
          <w:sz w:val="21"/>
          <w:szCs w:val="21"/>
          <w:highlight w:val="none"/>
        </w:rPr>
      </w:pPr>
      <w:r>
        <w:rPr>
          <w:rFonts w:ascii="宋体" w:hAnsi="宋体" w:eastAsia="宋体" w:cs="宋体"/>
          <w:strike/>
          <w:dstrike w:val="0"/>
          <w:color w:val="auto"/>
          <w:sz w:val="21"/>
          <w:szCs w:val="21"/>
          <w:highlight w:val="none"/>
        </w:rPr>
        <w:t>1.对资审阶段已经递交的资料，可以不再递交，仅对更新或变化情况、原未要求递交的材料进行补</w:t>
      </w:r>
      <w:r>
        <w:rPr>
          <w:rFonts w:ascii="宋体" w:hAnsi="宋体" w:eastAsia="宋体" w:cs="宋体"/>
          <w:strike/>
          <w:dstrike w:val="0"/>
          <w:color w:val="auto"/>
          <w:spacing w:val="-11"/>
          <w:sz w:val="21"/>
          <w:szCs w:val="21"/>
          <w:highlight w:val="none"/>
        </w:rPr>
        <w:t>充。</w:t>
      </w:r>
    </w:p>
    <w:p w14:paraId="1310B899">
      <w:pPr>
        <w:spacing w:before="61" w:line="220" w:lineRule="auto"/>
        <w:ind w:left="1426"/>
        <w:rPr>
          <w:rFonts w:ascii="宋体" w:hAnsi="宋体" w:eastAsia="宋体" w:cs="宋体"/>
          <w:color w:val="auto"/>
          <w:sz w:val="21"/>
          <w:szCs w:val="21"/>
          <w:highlight w:val="none"/>
        </w:rPr>
      </w:pPr>
      <w:r>
        <w:rPr>
          <w:rFonts w:ascii="宋体" w:hAnsi="宋体" w:eastAsia="宋体" w:cs="宋体"/>
          <w:strike/>
          <w:dstrike w:val="0"/>
          <w:color w:val="auto"/>
          <w:spacing w:val="-2"/>
          <w:sz w:val="21"/>
          <w:szCs w:val="21"/>
          <w:highlight w:val="none"/>
        </w:rPr>
        <w:t>2.在表中“资格预审后变化情况”列，若无变化的填“无”。</w:t>
      </w:r>
    </w:p>
    <w:p w14:paraId="695B6FC8">
      <w:pPr>
        <w:spacing w:line="220" w:lineRule="auto"/>
        <w:rPr>
          <w:rFonts w:ascii="宋体" w:hAnsi="宋体" w:eastAsia="宋体" w:cs="宋体"/>
          <w:color w:val="auto"/>
          <w:sz w:val="21"/>
          <w:szCs w:val="21"/>
          <w:highlight w:val="none"/>
        </w:rPr>
        <w:sectPr>
          <w:headerReference r:id="rId174" w:type="default"/>
          <w:footerReference r:id="rId175" w:type="default"/>
          <w:pgSz w:w="11905" w:h="16840"/>
          <w:pgMar w:top="1182" w:right="0" w:bottom="1171" w:left="0" w:header="849" w:footer="937" w:gutter="0"/>
          <w:pgNumType w:fmt="decimal"/>
          <w:cols w:space="720" w:num="1"/>
        </w:sectPr>
      </w:pPr>
    </w:p>
    <w:p w14:paraId="2C82E5F4">
      <w:pPr>
        <w:pStyle w:val="3"/>
        <w:spacing w:line="316" w:lineRule="auto"/>
        <w:rPr>
          <w:color w:val="auto"/>
          <w:highlight w:val="none"/>
        </w:rPr>
      </w:pPr>
    </w:p>
    <w:p w14:paraId="360FF139">
      <w:pPr>
        <w:spacing w:before="88" w:line="226" w:lineRule="auto"/>
        <w:ind w:left="3150"/>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七、资格审查资料(适用于未进行资格预审的)</w:t>
      </w:r>
    </w:p>
    <w:p w14:paraId="4BDDB694">
      <w:pPr>
        <w:pStyle w:val="3"/>
        <w:spacing w:line="465" w:lineRule="auto"/>
        <w:rPr>
          <w:color w:val="auto"/>
          <w:highlight w:val="none"/>
        </w:rPr>
      </w:pPr>
    </w:p>
    <w:p w14:paraId="165A5226">
      <w:pPr>
        <w:spacing w:before="78"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（一）投标人基本情况表</w:t>
      </w:r>
    </w:p>
    <w:p w14:paraId="7A9314FE">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（二）投标人企业组织机构框图</w:t>
      </w:r>
    </w:p>
    <w:p w14:paraId="6ECF6D67">
      <w:pPr>
        <w:spacing w:before="182" w:line="220"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（三）近年财务状况表</w:t>
      </w:r>
    </w:p>
    <w:p w14:paraId="68EF06EB">
      <w:pPr>
        <w:spacing w:before="182" w:line="220" w:lineRule="auto"/>
        <w:ind w:left="14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（四）近年完成的类似项目情况表</w:t>
      </w:r>
    </w:p>
    <w:p w14:paraId="3F48B39B">
      <w:pPr>
        <w:spacing w:before="182" w:line="220" w:lineRule="auto"/>
        <w:ind w:left="14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（四）-1</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完成的类似项目情况表</w:t>
      </w:r>
    </w:p>
    <w:p w14:paraId="5CC2C4C3">
      <w:pPr>
        <w:spacing w:before="182" w:line="220" w:lineRule="auto"/>
        <w:ind w:left="1431"/>
        <w:rPr>
          <w:rFonts w:ascii="宋体" w:hAnsi="宋体" w:eastAsia="宋体" w:cs="宋体"/>
          <w:strike/>
          <w:dstrike w:val="0"/>
          <w:color w:val="auto"/>
          <w:sz w:val="24"/>
          <w:szCs w:val="24"/>
          <w:highlight w:val="none"/>
        </w:rPr>
      </w:pPr>
      <w:r>
        <w:rPr>
          <w:rFonts w:ascii="宋体" w:hAnsi="宋体" w:eastAsia="宋体" w:cs="宋体"/>
          <w:strike w:val="0"/>
          <w:dstrike w:val="0"/>
          <w:color w:val="auto"/>
          <w:spacing w:val="-2"/>
          <w:sz w:val="24"/>
          <w:szCs w:val="24"/>
          <w:highlight w:val="none"/>
        </w:rPr>
        <w:t>（四）-2</w:t>
      </w:r>
      <w:r>
        <w:rPr>
          <w:rFonts w:ascii="宋体" w:hAnsi="宋体" w:eastAsia="宋体" w:cs="宋体"/>
          <w:strike w:val="0"/>
          <w:dstrike w:val="0"/>
          <w:color w:val="auto"/>
          <w:spacing w:val="-42"/>
          <w:sz w:val="24"/>
          <w:szCs w:val="24"/>
          <w:highlight w:val="none"/>
        </w:rPr>
        <w:t xml:space="preserve"> </w:t>
      </w:r>
      <w:r>
        <w:rPr>
          <w:rFonts w:ascii="宋体" w:hAnsi="宋体" w:eastAsia="宋体" w:cs="宋体"/>
          <w:strike w:val="0"/>
          <w:dstrike w:val="0"/>
          <w:color w:val="auto"/>
          <w:spacing w:val="-2"/>
          <w:sz w:val="24"/>
          <w:szCs w:val="24"/>
          <w:highlight w:val="none"/>
        </w:rPr>
        <w:t>完成的类似项目情况汇总表</w:t>
      </w:r>
    </w:p>
    <w:p w14:paraId="0A076764">
      <w:pPr>
        <w:spacing w:before="182" w:line="219" w:lineRule="auto"/>
        <w:ind w:left="143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（五）投标人的信誉情况表</w:t>
      </w:r>
    </w:p>
    <w:p w14:paraId="2F4A573E">
      <w:pPr>
        <w:spacing w:before="184" w:line="219" w:lineRule="auto"/>
        <w:ind w:left="143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（六）拟委任的项目经理和项目总工等主要管理人员情</w:t>
      </w:r>
      <w:r>
        <w:rPr>
          <w:rFonts w:ascii="宋体" w:hAnsi="宋体" w:eastAsia="宋体" w:cs="宋体"/>
          <w:color w:val="auto"/>
          <w:spacing w:val="-2"/>
          <w:sz w:val="24"/>
          <w:szCs w:val="24"/>
          <w:highlight w:val="none"/>
        </w:rPr>
        <w:t>况表</w:t>
      </w:r>
    </w:p>
    <w:p w14:paraId="0EEF1FA9">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（六）-1</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拟委任的项目经理和项目总工等主要管理人员汇总表</w:t>
      </w:r>
    </w:p>
    <w:p w14:paraId="34DB1463">
      <w:pPr>
        <w:spacing w:before="183" w:line="219" w:lineRule="auto"/>
        <w:ind w:left="143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（六）-2</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拟委任的项目经理和项目总工等主要管理人员资历表</w:t>
      </w:r>
    </w:p>
    <w:p w14:paraId="5464B414">
      <w:pPr>
        <w:spacing w:before="183" w:line="219" w:lineRule="auto"/>
        <w:ind w:left="1431"/>
        <w:rPr>
          <w:rFonts w:ascii="宋体" w:hAnsi="宋体" w:eastAsia="宋体" w:cs="宋体"/>
          <w:strike/>
          <w:dstrike w:val="0"/>
          <w:color w:val="auto"/>
          <w:sz w:val="24"/>
          <w:szCs w:val="24"/>
          <w:highlight w:val="none"/>
        </w:rPr>
      </w:pPr>
      <w:r>
        <w:rPr>
          <w:rFonts w:ascii="宋体" w:hAnsi="宋体" w:eastAsia="宋体" w:cs="宋体"/>
          <w:color w:val="auto"/>
          <w:spacing w:val="-2"/>
          <w:sz w:val="24"/>
          <w:szCs w:val="24"/>
          <w:highlight w:val="none"/>
        </w:rPr>
        <w:t>（</w:t>
      </w:r>
      <w:r>
        <w:rPr>
          <w:rFonts w:ascii="宋体" w:hAnsi="宋体" w:eastAsia="宋体" w:cs="宋体"/>
          <w:strike/>
          <w:dstrike w:val="0"/>
          <w:color w:val="auto"/>
          <w:spacing w:val="-2"/>
          <w:sz w:val="24"/>
          <w:szCs w:val="24"/>
          <w:highlight w:val="none"/>
        </w:rPr>
        <w:t>七）拟委任的其他管理和技术人员情况表</w:t>
      </w:r>
    </w:p>
    <w:p w14:paraId="0894F095">
      <w:pPr>
        <w:spacing w:before="184" w:line="219"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（七）-1</w:t>
      </w:r>
      <w:r>
        <w:rPr>
          <w:rFonts w:ascii="宋体" w:hAnsi="宋体" w:eastAsia="宋体" w:cs="宋体"/>
          <w:strike/>
          <w:dstrike w:val="0"/>
          <w:color w:val="auto"/>
          <w:spacing w:val="-35"/>
          <w:sz w:val="24"/>
          <w:szCs w:val="24"/>
          <w:highlight w:val="none"/>
        </w:rPr>
        <w:t xml:space="preserve"> </w:t>
      </w:r>
      <w:r>
        <w:rPr>
          <w:rFonts w:ascii="宋体" w:hAnsi="宋体" w:eastAsia="宋体" w:cs="宋体"/>
          <w:strike/>
          <w:dstrike w:val="0"/>
          <w:color w:val="auto"/>
          <w:spacing w:val="-2"/>
          <w:sz w:val="24"/>
          <w:szCs w:val="24"/>
          <w:highlight w:val="none"/>
        </w:rPr>
        <w:t>拟委任的其他管理和技术人员汇总表</w:t>
      </w:r>
    </w:p>
    <w:p w14:paraId="28B0F60C">
      <w:pPr>
        <w:spacing w:before="183" w:line="219"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（七）-2</w:t>
      </w:r>
      <w:r>
        <w:rPr>
          <w:rFonts w:ascii="宋体" w:hAnsi="宋体" w:eastAsia="宋体" w:cs="宋体"/>
          <w:strike/>
          <w:dstrike w:val="0"/>
          <w:color w:val="auto"/>
          <w:spacing w:val="-35"/>
          <w:sz w:val="24"/>
          <w:szCs w:val="24"/>
          <w:highlight w:val="none"/>
        </w:rPr>
        <w:t xml:space="preserve"> </w:t>
      </w:r>
      <w:r>
        <w:rPr>
          <w:rFonts w:ascii="宋体" w:hAnsi="宋体" w:eastAsia="宋体" w:cs="宋体"/>
          <w:strike/>
          <w:dstrike w:val="0"/>
          <w:color w:val="auto"/>
          <w:spacing w:val="-2"/>
          <w:sz w:val="24"/>
          <w:szCs w:val="24"/>
          <w:highlight w:val="none"/>
        </w:rPr>
        <w:t>拟委任的其他管理和技术人员资历表</w:t>
      </w:r>
    </w:p>
    <w:p w14:paraId="67E97FA7">
      <w:pPr>
        <w:spacing w:before="183" w:line="219" w:lineRule="auto"/>
        <w:ind w:left="143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（八）拟投入本标段的主要设备表</w:t>
      </w:r>
    </w:p>
    <w:p w14:paraId="51027FE2">
      <w:pPr>
        <w:spacing w:line="219" w:lineRule="auto"/>
        <w:rPr>
          <w:rFonts w:ascii="宋体" w:hAnsi="宋体" w:eastAsia="宋体" w:cs="宋体"/>
          <w:strike/>
          <w:dstrike w:val="0"/>
          <w:color w:val="auto"/>
          <w:sz w:val="24"/>
          <w:szCs w:val="24"/>
          <w:highlight w:val="none"/>
        </w:rPr>
        <w:sectPr>
          <w:headerReference r:id="rId176" w:type="default"/>
          <w:footerReference r:id="rId177" w:type="default"/>
          <w:pgSz w:w="11905" w:h="16840"/>
          <w:pgMar w:top="1182" w:right="0" w:bottom="1171" w:left="0" w:header="849" w:footer="937" w:gutter="0"/>
          <w:pgNumType w:fmt="decimal"/>
          <w:cols w:space="720" w:num="1"/>
        </w:sectPr>
      </w:pPr>
    </w:p>
    <w:p w14:paraId="6A2A2387">
      <w:pPr>
        <w:pStyle w:val="3"/>
        <w:spacing w:line="315" w:lineRule="auto"/>
        <w:rPr>
          <w:color w:val="auto"/>
          <w:highlight w:val="none"/>
        </w:rPr>
      </w:pPr>
    </w:p>
    <w:p w14:paraId="0AD41253">
      <w:pPr>
        <w:spacing w:before="88" w:line="226" w:lineRule="auto"/>
        <w:ind w:left="4429"/>
        <w:rPr>
          <w:rFonts w:ascii="宋体" w:hAnsi="宋体" w:eastAsia="宋体" w:cs="宋体"/>
          <w:color w:val="auto"/>
          <w:sz w:val="27"/>
          <w:szCs w:val="27"/>
          <w:highlight w:val="none"/>
        </w:rPr>
      </w:pPr>
      <w:r>
        <w:rPr>
          <w:rFonts w:ascii="宋体" w:hAnsi="宋体" w:eastAsia="宋体" w:cs="宋体"/>
          <w:b/>
          <w:bCs/>
          <w:color w:val="auto"/>
          <w:spacing w:val="4"/>
          <w:sz w:val="27"/>
          <w:szCs w:val="27"/>
          <w:highlight w:val="none"/>
        </w:rPr>
        <w:t>（一）投标人基本情况表</w:t>
      </w:r>
    </w:p>
    <w:p w14:paraId="7BE1E9C1">
      <w:pPr>
        <w:spacing w:before="37"/>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24"/>
        <w:gridCol w:w="1458"/>
        <w:gridCol w:w="810"/>
        <w:gridCol w:w="300"/>
        <w:gridCol w:w="1512"/>
        <w:gridCol w:w="795"/>
        <w:gridCol w:w="1698"/>
      </w:tblGrid>
      <w:tr w14:paraId="72476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95" w:type="dxa"/>
            <w:vAlign w:val="top"/>
          </w:tcPr>
          <w:p w14:paraId="3284C4D4">
            <w:pPr>
              <w:pStyle w:val="17"/>
              <w:spacing w:before="226" w:line="220" w:lineRule="auto"/>
              <w:ind w:left="280"/>
              <w:rPr>
                <w:color w:val="auto"/>
                <w:highlight w:val="none"/>
              </w:rPr>
            </w:pPr>
            <w:r>
              <w:rPr>
                <w:color w:val="auto"/>
                <w:spacing w:val="-2"/>
                <w:highlight w:val="none"/>
              </w:rPr>
              <w:t>投标人名称</w:t>
            </w:r>
          </w:p>
        </w:tc>
        <w:tc>
          <w:tcPr>
            <w:tcW w:w="3692" w:type="dxa"/>
            <w:gridSpan w:val="4"/>
            <w:vAlign w:val="top"/>
          </w:tcPr>
          <w:p w14:paraId="48E5A4F7">
            <w:pPr>
              <w:rPr>
                <w:rFonts w:ascii="Arial"/>
                <w:color w:val="auto"/>
                <w:sz w:val="21"/>
                <w:highlight w:val="none"/>
              </w:rPr>
            </w:pPr>
          </w:p>
        </w:tc>
        <w:tc>
          <w:tcPr>
            <w:tcW w:w="1512" w:type="dxa"/>
            <w:vAlign w:val="top"/>
          </w:tcPr>
          <w:p w14:paraId="6622799B">
            <w:pPr>
              <w:rPr>
                <w:rFonts w:ascii="Arial"/>
                <w:color w:val="auto"/>
                <w:sz w:val="21"/>
                <w:highlight w:val="none"/>
              </w:rPr>
            </w:pPr>
          </w:p>
        </w:tc>
        <w:tc>
          <w:tcPr>
            <w:tcW w:w="2493" w:type="dxa"/>
            <w:gridSpan w:val="2"/>
            <w:vAlign w:val="top"/>
          </w:tcPr>
          <w:p w14:paraId="7124328F">
            <w:pPr>
              <w:rPr>
                <w:rFonts w:ascii="Arial"/>
                <w:color w:val="auto"/>
                <w:sz w:val="21"/>
                <w:highlight w:val="none"/>
              </w:rPr>
            </w:pPr>
          </w:p>
        </w:tc>
      </w:tr>
      <w:tr w14:paraId="67973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274D3194">
            <w:pPr>
              <w:pStyle w:val="17"/>
              <w:spacing w:before="221" w:line="221" w:lineRule="auto"/>
              <w:ind w:left="382"/>
              <w:rPr>
                <w:color w:val="auto"/>
                <w:highlight w:val="none"/>
              </w:rPr>
            </w:pPr>
            <w:r>
              <w:rPr>
                <w:color w:val="auto"/>
                <w:spacing w:val="-2"/>
                <w:highlight w:val="none"/>
              </w:rPr>
              <w:t>注册地址</w:t>
            </w:r>
          </w:p>
        </w:tc>
        <w:tc>
          <w:tcPr>
            <w:tcW w:w="3692" w:type="dxa"/>
            <w:gridSpan w:val="4"/>
            <w:vAlign w:val="top"/>
          </w:tcPr>
          <w:p w14:paraId="3D0CC304">
            <w:pPr>
              <w:rPr>
                <w:rFonts w:ascii="Arial"/>
                <w:color w:val="auto"/>
                <w:sz w:val="21"/>
                <w:highlight w:val="none"/>
              </w:rPr>
            </w:pPr>
          </w:p>
        </w:tc>
        <w:tc>
          <w:tcPr>
            <w:tcW w:w="1512" w:type="dxa"/>
            <w:vAlign w:val="top"/>
          </w:tcPr>
          <w:p w14:paraId="794015B9">
            <w:pPr>
              <w:pStyle w:val="17"/>
              <w:spacing w:before="220" w:line="220" w:lineRule="auto"/>
              <w:ind w:left="357"/>
              <w:rPr>
                <w:color w:val="auto"/>
                <w:highlight w:val="none"/>
              </w:rPr>
            </w:pPr>
            <w:r>
              <w:rPr>
                <w:color w:val="auto"/>
                <w:spacing w:val="-5"/>
                <w:highlight w:val="none"/>
              </w:rPr>
              <w:t>邮政编码</w:t>
            </w:r>
          </w:p>
        </w:tc>
        <w:tc>
          <w:tcPr>
            <w:tcW w:w="2493" w:type="dxa"/>
            <w:gridSpan w:val="2"/>
            <w:vAlign w:val="top"/>
          </w:tcPr>
          <w:p w14:paraId="0755AC27">
            <w:pPr>
              <w:rPr>
                <w:rFonts w:ascii="Arial"/>
                <w:color w:val="auto"/>
                <w:sz w:val="21"/>
                <w:highlight w:val="none"/>
              </w:rPr>
            </w:pPr>
          </w:p>
        </w:tc>
      </w:tr>
      <w:tr w14:paraId="2CD2A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restart"/>
            <w:tcBorders>
              <w:bottom w:val="nil"/>
            </w:tcBorders>
            <w:vAlign w:val="top"/>
          </w:tcPr>
          <w:p w14:paraId="5A226109">
            <w:pPr>
              <w:spacing w:line="439" w:lineRule="auto"/>
              <w:rPr>
                <w:rFonts w:ascii="Arial"/>
                <w:color w:val="auto"/>
                <w:sz w:val="21"/>
                <w:highlight w:val="none"/>
              </w:rPr>
            </w:pPr>
          </w:p>
          <w:p w14:paraId="2C0764CB">
            <w:pPr>
              <w:pStyle w:val="17"/>
              <w:spacing w:before="69" w:line="221" w:lineRule="auto"/>
              <w:ind w:left="383"/>
              <w:rPr>
                <w:color w:val="auto"/>
                <w:highlight w:val="none"/>
              </w:rPr>
            </w:pPr>
            <w:r>
              <w:rPr>
                <w:color w:val="auto"/>
                <w:spacing w:val="-2"/>
                <w:highlight w:val="none"/>
              </w:rPr>
              <w:t>联系方式</w:t>
            </w:r>
          </w:p>
        </w:tc>
        <w:tc>
          <w:tcPr>
            <w:tcW w:w="1124" w:type="dxa"/>
            <w:vAlign w:val="top"/>
          </w:tcPr>
          <w:p w14:paraId="045F230E">
            <w:pPr>
              <w:pStyle w:val="17"/>
              <w:spacing w:before="221" w:line="222" w:lineRule="auto"/>
              <w:ind w:left="252"/>
              <w:rPr>
                <w:color w:val="auto"/>
                <w:highlight w:val="none"/>
              </w:rPr>
            </w:pPr>
            <w:r>
              <w:rPr>
                <w:color w:val="auto"/>
                <w:spacing w:val="-3"/>
                <w:highlight w:val="none"/>
              </w:rPr>
              <w:t>联系人</w:t>
            </w:r>
          </w:p>
        </w:tc>
        <w:tc>
          <w:tcPr>
            <w:tcW w:w="2568" w:type="dxa"/>
            <w:gridSpan w:val="3"/>
            <w:vAlign w:val="top"/>
          </w:tcPr>
          <w:p w14:paraId="4FBB7251">
            <w:pPr>
              <w:rPr>
                <w:rFonts w:ascii="Arial"/>
                <w:color w:val="auto"/>
                <w:sz w:val="21"/>
                <w:highlight w:val="none"/>
              </w:rPr>
            </w:pPr>
          </w:p>
        </w:tc>
        <w:tc>
          <w:tcPr>
            <w:tcW w:w="1512" w:type="dxa"/>
            <w:vAlign w:val="top"/>
          </w:tcPr>
          <w:p w14:paraId="009754F0">
            <w:pPr>
              <w:pStyle w:val="17"/>
              <w:spacing w:before="221" w:line="222" w:lineRule="auto"/>
              <w:ind w:left="576"/>
              <w:rPr>
                <w:color w:val="auto"/>
                <w:highlight w:val="none"/>
              </w:rPr>
            </w:pPr>
            <w:r>
              <w:rPr>
                <w:color w:val="auto"/>
                <w:spacing w:val="-9"/>
                <w:highlight w:val="none"/>
              </w:rPr>
              <w:t>电话</w:t>
            </w:r>
          </w:p>
        </w:tc>
        <w:tc>
          <w:tcPr>
            <w:tcW w:w="2493" w:type="dxa"/>
            <w:gridSpan w:val="2"/>
            <w:vAlign w:val="top"/>
          </w:tcPr>
          <w:p w14:paraId="1C06FC0B">
            <w:pPr>
              <w:rPr>
                <w:rFonts w:ascii="Arial"/>
                <w:color w:val="auto"/>
                <w:sz w:val="21"/>
                <w:highlight w:val="none"/>
              </w:rPr>
            </w:pPr>
          </w:p>
        </w:tc>
      </w:tr>
      <w:tr w14:paraId="416A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continue"/>
            <w:tcBorders>
              <w:top w:val="nil"/>
            </w:tcBorders>
            <w:vAlign w:val="top"/>
          </w:tcPr>
          <w:p w14:paraId="74A74F58">
            <w:pPr>
              <w:rPr>
                <w:rFonts w:ascii="Arial"/>
                <w:color w:val="auto"/>
                <w:sz w:val="21"/>
                <w:highlight w:val="none"/>
              </w:rPr>
            </w:pPr>
          </w:p>
        </w:tc>
        <w:tc>
          <w:tcPr>
            <w:tcW w:w="1124" w:type="dxa"/>
            <w:vAlign w:val="top"/>
          </w:tcPr>
          <w:p w14:paraId="32238FA4">
            <w:pPr>
              <w:pStyle w:val="17"/>
              <w:spacing w:before="221" w:line="219" w:lineRule="auto"/>
              <w:ind w:left="354"/>
              <w:rPr>
                <w:color w:val="auto"/>
                <w:highlight w:val="none"/>
              </w:rPr>
            </w:pPr>
            <w:r>
              <w:rPr>
                <w:color w:val="auto"/>
                <w:spacing w:val="-2"/>
                <w:highlight w:val="none"/>
              </w:rPr>
              <w:t>传真</w:t>
            </w:r>
          </w:p>
        </w:tc>
        <w:tc>
          <w:tcPr>
            <w:tcW w:w="2568" w:type="dxa"/>
            <w:gridSpan w:val="3"/>
            <w:vAlign w:val="top"/>
          </w:tcPr>
          <w:p w14:paraId="20DD5A8F">
            <w:pPr>
              <w:rPr>
                <w:rFonts w:ascii="Arial"/>
                <w:color w:val="auto"/>
                <w:sz w:val="21"/>
                <w:highlight w:val="none"/>
              </w:rPr>
            </w:pPr>
          </w:p>
        </w:tc>
        <w:tc>
          <w:tcPr>
            <w:tcW w:w="1512" w:type="dxa"/>
            <w:vAlign w:val="top"/>
          </w:tcPr>
          <w:p w14:paraId="1E8D7F6A">
            <w:pPr>
              <w:pStyle w:val="17"/>
              <w:spacing w:before="221" w:line="220" w:lineRule="auto"/>
              <w:ind w:left="366"/>
              <w:rPr>
                <w:color w:val="auto"/>
                <w:highlight w:val="none"/>
              </w:rPr>
            </w:pPr>
            <w:r>
              <w:rPr>
                <w:color w:val="auto"/>
                <w:spacing w:val="-7"/>
                <w:highlight w:val="none"/>
              </w:rPr>
              <w:t>电子邮件</w:t>
            </w:r>
          </w:p>
        </w:tc>
        <w:tc>
          <w:tcPr>
            <w:tcW w:w="2493" w:type="dxa"/>
            <w:gridSpan w:val="2"/>
            <w:vAlign w:val="top"/>
          </w:tcPr>
          <w:p w14:paraId="0843B34D">
            <w:pPr>
              <w:rPr>
                <w:rFonts w:ascii="Arial"/>
                <w:color w:val="auto"/>
                <w:sz w:val="21"/>
                <w:highlight w:val="none"/>
              </w:rPr>
            </w:pPr>
          </w:p>
        </w:tc>
      </w:tr>
      <w:tr w14:paraId="3AD7C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95" w:type="dxa"/>
            <w:vAlign w:val="top"/>
          </w:tcPr>
          <w:p w14:paraId="600AF9D6">
            <w:pPr>
              <w:pStyle w:val="17"/>
              <w:spacing w:before="220" w:line="220" w:lineRule="auto"/>
              <w:ind w:left="278"/>
              <w:rPr>
                <w:color w:val="auto"/>
                <w:highlight w:val="none"/>
              </w:rPr>
            </w:pPr>
            <w:r>
              <w:rPr>
                <w:color w:val="auto"/>
                <w:spacing w:val="-2"/>
                <w:highlight w:val="none"/>
              </w:rPr>
              <w:t>法定代表人</w:t>
            </w:r>
          </w:p>
        </w:tc>
        <w:tc>
          <w:tcPr>
            <w:tcW w:w="1124" w:type="dxa"/>
            <w:vAlign w:val="top"/>
          </w:tcPr>
          <w:p w14:paraId="4C281528">
            <w:pPr>
              <w:pStyle w:val="17"/>
              <w:spacing w:before="220" w:line="220" w:lineRule="auto"/>
              <w:ind w:left="355"/>
              <w:rPr>
                <w:color w:val="auto"/>
                <w:highlight w:val="none"/>
              </w:rPr>
            </w:pPr>
            <w:r>
              <w:rPr>
                <w:color w:val="auto"/>
                <w:spacing w:val="-3"/>
                <w:highlight w:val="none"/>
              </w:rPr>
              <w:t>姓名</w:t>
            </w:r>
          </w:p>
        </w:tc>
        <w:tc>
          <w:tcPr>
            <w:tcW w:w="1458" w:type="dxa"/>
            <w:vAlign w:val="top"/>
          </w:tcPr>
          <w:p w14:paraId="1E1AC122">
            <w:pPr>
              <w:rPr>
                <w:rFonts w:ascii="Arial"/>
                <w:color w:val="auto"/>
                <w:sz w:val="21"/>
                <w:highlight w:val="none"/>
              </w:rPr>
            </w:pPr>
          </w:p>
        </w:tc>
        <w:tc>
          <w:tcPr>
            <w:tcW w:w="1110" w:type="dxa"/>
            <w:gridSpan w:val="2"/>
            <w:vAlign w:val="top"/>
          </w:tcPr>
          <w:p w14:paraId="715E9A91">
            <w:pPr>
              <w:pStyle w:val="17"/>
              <w:spacing w:before="220" w:line="220" w:lineRule="auto"/>
              <w:ind w:left="141"/>
              <w:rPr>
                <w:color w:val="auto"/>
                <w:highlight w:val="none"/>
              </w:rPr>
            </w:pPr>
            <w:r>
              <w:rPr>
                <w:color w:val="auto"/>
                <w:spacing w:val="-2"/>
                <w:highlight w:val="none"/>
              </w:rPr>
              <w:t>技术职称</w:t>
            </w:r>
          </w:p>
        </w:tc>
        <w:tc>
          <w:tcPr>
            <w:tcW w:w="1512" w:type="dxa"/>
            <w:vAlign w:val="top"/>
          </w:tcPr>
          <w:p w14:paraId="10010143">
            <w:pPr>
              <w:rPr>
                <w:rFonts w:ascii="Arial"/>
                <w:color w:val="auto"/>
                <w:sz w:val="21"/>
                <w:highlight w:val="none"/>
              </w:rPr>
            </w:pPr>
          </w:p>
        </w:tc>
        <w:tc>
          <w:tcPr>
            <w:tcW w:w="795" w:type="dxa"/>
            <w:vAlign w:val="top"/>
          </w:tcPr>
          <w:p w14:paraId="2E88C048">
            <w:pPr>
              <w:pStyle w:val="17"/>
              <w:spacing w:before="220" w:line="222" w:lineRule="auto"/>
              <w:ind w:left="218"/>
              <w:rPr>
                <w:color w:val="auto"/>
                <w:highlight w:val="none"/>
              </w:rPr>
            </w:pPr>
            <w:r>
              <w:rPr>
                <w:color w:val="auto"/>
                <w:spacing w:val="-9"/>
                <w:highlight w:val="none"/>
              </w:rPr>
              <w:t>电话</w:t>
            </w:r>
          </w:p>
        </w:tc>
        <w:tc>
          <w:tcPr>
            <w:tcW w:w="1698" w:type="dxa"/>
            <w:vAlign w:val="top"/>
          </w:tcPr>
          <w:p w14:paraId="2871E4EF">
            <w:pPr>
              <w:rPr>
                <w:rFonts w:ascii="Arial"/>
                <w:color w:val="auto"/>
                <w:sz w:val="21"/>
                <w:highlight w:val="none"/>
              </w:rPr>
            </w:pPr>
          </w:p>
        </w:tc>
      </w:tr>
      <w:tr w14:paraId="3F398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2EAB4337">
            <w:pPr>
              <w:pStyle w:val="17"/>
              <w:spacing w:before="221" w:line="220" w:lineRule="auto"/>
              <w:ind w:left="278"/>
              <w:rPr>
                <w:color w:val="auto"/>
                <w:highlight w:val="none"/>
              </w:rPr>
            </w:pPr>
            <w:r>
              <w:rPr>
                <w:color w:val="auto"/>
                <w:spacing w:val="-2"/>
                <w:highlight w:val="none"/>
              </w:rPr>
              <w:t>技术负责人</w:t>
            </w:r>
          </w:p>
        </w:tc>
        <w:tc>
          <w:tcPr>
            <w:tcW w:w="1124" w:type="dxa"/>
            <w:vAlign w:val="top"/>
          </w:tcPr>
          <w:p w14:paraId="5587A984">
            <w:pPr>
              <w:pStyle w:val="17"/>
              <w:spacing w:before="221" w:line="220" w:lineRule="auto"/>
              <w:ind w:left="355"/>
              <w:rPr>
                <w:color w:val="auto"/>
                <w:highlight w:val="none"/>
              </w:rPr>
            </w:pPr>
            <w:r>
              <w:rPr>
                <w:color w:val="auto"/>
                <w:spacing w:val="-3"/>
                <w:highlight w:val="none"/>
              </w:rPr>
              <w:t>姓名</w:t>
            </w:r>
          </w:p>
        </w:tc>
        <w:tc>
          <w:tcPr>
            <w:tcW w:w="1458" w:type="dxa"/>
            <w:vAlign w:val="top"/>
          </w:tcPr>
          <w:p w14:paraId="504E6FA7">
            <w:pPr>
              <w:rPr>
                <w:rFonts w:ascii="Arial"/>
                <w:color w:val="auto"/>
                <w:sz w:val="21"/>
                <w:highlight w:val="none"/>
              </w:rPr>
            </w:pPr>
          </w:p>
        </w:tc>
        <w:tc>
          <w:tcPr>
            <w:tcW w:w="1110" w:type="dxa"/>
            <w:gridSpan w:val="2"/>
            <w:vAlign w:val="top"/>
          </w:tcPr>
          <w:p w14:paraId="690A54F9">
            <w:pPr>
              <w:pStyle w:val="17"/>
              <w:spacing w:before="221" w:line="220" w:lineRule="auto"/>
              <w:ind w:left="141"/>
              <w:rPr>
                <w:color w:val="auto"/>
                <w:highlight w:val="none"/>
              </w:rPr>
            </w:pPr>
            <w:r>
              <w:rPr>
                <w:color w:val="auto"/>
                <w:spacing w:val="-2"/>
                <w:highlight w:val="none"/>
              </w:rPr>
              <w:t>技术职称</w:t>
            </w:r>
          </w:p>
        </w:tc>
        <w:tc>
          <w:tcPr>
            <w:tcW w:w="1512" w:type="dxa"/>
            <w:vAlign w:val="top"/>
          </w:tcPr>
          <w:p w14:paraId="596B549A">
            <w:pPr>
              <w:rPr>
                <w:rFonts w:ascii="Arial"/>
                <w:color w:val="auto"/>
                <w:sz w:val="21"/>
                <w:highlight w:val="none"/>
              </w:rPr>
            </w:pPr>
          </w:p>
        </w:tc>
        <w:tc>
          <w:tcPr>
            <w:tcW w:w="795" w:type="dxa"/>
            <w:vAlign w:val="top"/>
          </w:tcPr>
          <w:p w14:paraId="5D170B90">
            <w:pPr>
              <w:pStyle w:val="17"/>
              <w:spacing w:before="221" w:line="222" w:lineRule="auto"/>
              <w:ind w:left="218"/>
              <w:rPr>
                <w:color w:val="auto"/>
                <w:highlight w:val="none"/>
              </w:rPr>
            </w:pPr>
            <w:r>
              <w:rPr>
                <w:color w:val="auto"/>
                <w:spacing w:val="-9"/>
                <w:highlight w:val="none"/>
              </w:rPr>
              <w:t>电话</w:t>
            </w:r>
          </w:p>
        </w:tc>
        <w:tc>
          <w:tcPr>
            <w:tcW w:w="1698" w:type="dxa"/>
            <w:vAlign w:val="top"/>
          </w:tcPr>
          <w:p w14:paraId="530C113E">
            <w:pPr>
              <w:rPr>
                <w:rFonts w:ascii="Arial"/>
                <w:color w:val="auto"/>
                <w:sz w:val="21"/>
                <w:highlight w:val="none"/>
              </w:rPr>
            </w:pPr>
          </w:p>
        </w:tc>
      </w:tr>
      <w:tr w14:paraId="7DD3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48C7A818">
            <w:pPr>
              <w:pStyle w:val="17"/>
              <w:spacing w:before="221" w:line="220" w:lineRule="auto"/>
              <w:ind w:left="284"/>
              <w:rPr>
                <w:color w:val="auto"/>
                <w:highlight w:val="none"/>
              </w:rPr>
            </w:pPr>
            <w:r>
              <w:rPr>
                <w:color w:val="auto"/>
                <w:spacing w:val="-3"/>
                <w:highlight w:val="none"/>
              </w:rPr>
              <w:t>营业执照号</w:t>
            </w:r>
          </w:p>
        </w:tc>
        <w:tc>
          <w:tcPr>
            <w:tcW w:w="2582" w:type="dxa"/>
            <w:gridSpan w:val="2"/>
            <w:vAlign w:val="top"/>
          </w:tcPr>
          <w:p w14:paraId="5CC42065">
            <w:pPr>
              <w:rPr>
                <w:rFonts w:ascii="Arial"/>
                <w:color w:val="auto"/>
                <w:sz w:val="21"/>
                <w:highlight w:val="none"/>
              </w:rPr>
            </w:pPr>
          </w:p>
        </w:tc>
        <w:tc>
          <w:tcPr>
            <w:tcW w:w="2622" w:type="dxa"/>
            <w:gridSpan w:val="3"/>
            <w:vAlign w:val="top"/>
          </w:tcPr>
          <w:p w14:paraId="7A49B684">
            <w:pPr>
              <w:pStyle w:val="17"/>
              <w:spacing w:before="221" w:line="220" w:lineRule="auto"/>
              <w:ind w:left="747"/>
              <w:rPr>
                <w:color w:val="auto"/>
                <w:highlight w:val="none"/>
              </w:rPr>
            </w:pPr>
            <w:r>
              <w:rPr>
                <w:color w:val="auto"/>
                <w:spacing w:val="-3"/>
                <w:highlight w:val="none"/>
              </w:rPr>
              <w:t>员工总人数:</w:t>
            </w:r>
          </w:p>
        </w:tc>
        <w:tc>
          <w:tcPr>
            <w:tcW w:w="2493" w:type="dxa"/>
            <w:gridSpan w:val="2"/>
            <w:vAlign w:val="top"/>
          </w:tcPr>
          <w:p w14:paraId="74B03FBB">
            <w:pPr>
              <w:rPr>
                <w:rFonts w:ascii="Arial"/>
                <w:color w:val="auto"/>
                <w:sz w:val="21"/>
                <w:highlight w:val="none"/>
              </w:rPr>
            </w:pPr>
          </w:p>
        </w:tc>
      </w:tr>
      <w:tr w14:paraId="2702C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vAlign w:val="top"/>
          </w:tcPr>
          <w:p w14:paraId="0084A9C1">
            <w:pPr>
              <w:pStyle w:val="17"/>
              <w:spacing w:before="138" w:line="288" w:lineRule="auto"/>
              <w:ind w:left="119" w:right="26" w:firstLine="56"/>
              <w:rPr>
                <w:color w:val="auto"/>
                <w:highlight w:val="none"/>
              </w:rPr>
            </w:pPr>
            <w:r>
              <w:rPr>
                <w:color w:val="auto"/>
                <w:spacing w:val="-2"/>
                <w:highlight w:val="none"/>
              </w:rPr>
              <w:t>企业资质（等</w:t>
            </w:r>
            <w:r>
              <w:rPr>
                <w:color w:val="auto"/>
                <w:spacing w:val="-4"/>
                <w:highlight w:val="none"/>
              </w:rPr>
              <w:t>级、发证机关）</w:t>
            </w:r>
          </w:p>
        </w:tc>
        <w:tc>
          <w:tcPr>
            <w:tcW w:w="2582" w:type="dxa"/>
            <w:gridSpan w:val="2"/>
            <w:vAlign w:val="top"/>
          </w:tcPr>
          <w:p w14:paraId="78FE418C">
            <w:pPr>
              <w:rPr>
                <w:rFonts w:ascii="Arial"/>
                <w:color w:val="auto"/>
                <w:sz w:val="21"/>
                <w:highlight w:val="none"/>
              </w:rPr>
            </w:pPr>
          </w:p>
        </w:tc>
        <w:tc>
          <w:tcPr>
            <w:tcW w:w="810" w:type="dxa"/>
            <w:vMerge w:val="restart"/>
            <w:tcBorders>
              <w:bottom w:val="nil"/>
            </w:tcBorders>
            <w:vAlign w:val="top"/>
          </w:tcPr>
          <w:p w14:paraId="54420D82">
            <w:pPr>
              <w:spacing w:line="251" w:lineRule="auto"/>
              <w:rPr>
                <w:rFonts w:ascii="Arial"/>
                <w:color w:val="auto"/>
                <w:sz w:val="21"/>
                <w:highlight w:val="none"/>
              </w:rPr>
            </w:pPr>
          </w:p>
          <w:p w14:paraId="74004793">
            <w:pPr>
              <w:spacing w:line="251" w:lineRule="auto"/>
              <w:rPr>
                <w:rFonts w:ascii="Arial"/>
                <w:color w:val="auto"/>
                <w:sz w:val="21"/>
                <w:highlight w:val="none"/>
              </w:rPr>
            </w:pPr>
          </w:p>
          <w:p w14:paraId="68AB9C77">
            <w:pPr>
              <w:spacing w:line="251" w:lineRule="auto"/>
              <w:rPr>
                <w:rFonts w:ascii="Arial"/>
                <w:color w:val="auto"/>
                <w:sz w:val="21"/>
                <w:highlight w:val="none"/>
              </w:rPr>
            </w:pPr>
          </w:p>
          <w:p w14:paraId="0524152B">
            <w:pPr>
              <w:spacing w:line="251" w:lineRule="auto"/>
              <w:rPr>
                <w:rFonts w:ascii="Arial"/>
                <w:color w:val="auto"/>
                <w:sz w:val="21"/>
                <w:highlight w:val="none"/>
              </w:rPr>
            </w:pPr>
          </w:p>
          <w:p w14:paraId="258A69F1">
            <w:pPr>
              <w:spacing w:line="252" w:lineRule="auto"/>
              <w:rPr>
                <w:rFonts w:ascii="Arial"/>
                <w:color w:val="auto"/>
                <w:sz w:val="21"/>
                <w:highlight w:val="none"/>
              </w:rPr>
            </w:pPr>
          </w:p>
          <w:p w14:paraId="21DAA854">
            <w:pPr>
              <w:spacing w:line="252" w:lineRule="auto"/>
              <w:rPr>
                <w:rFonts w:ascii="Arial"/>
                <w:color w:val="auto"/>
                <w:sz w:val="21"/>
                <w:highlight w:val="none"/>
              </w:rPr>
            </w:pPr>
          </w:p>
          <w:p w14:paraId="4148A3BB">
            <w:pPr>
              <w:spacing w:line="252" w:lineRule="auto"/>
              <w:rPr>
                <w:rFonts w:ascii="Arial"/>
                <w:color w:val="auto"/>
                <w:sz w:val="21"/>
                <w:highlight w:val="none"/>
              </w:rPr>
            </w:pPr>
          </w:p>
          <w:p w14:paraId="119E2FA8">
            <w:pPr>
              <w:pStyle w:val="17"/>
              <w:spacing w:before="68" w:line="220" w:lineRule="auto"/>
              <w:ind w:left="200"/>
              <w:rPr>
                <w:color w:val="auto"/>
                <w:highlight w:val="none"/>
              </w:rPr>
            </w:pPr>
            <w:r>
              <w:rPr>
                <w:color w:val="auto"/>
                <w:spacing w:val="-3"/>
                <w:highlight w:val="none"/>
              </w:rPr>
              <w:t>其中</w:t>
            </w:r>
          </w:p>
        </w:tc>
        <w:tc>
          <w:tcPr>
            <w:tcW w:w="1812" w:type="dxa"/>
            <w:gridSpan w:val="2"/>
            <w:vAlign w:val="top"/>
          </w:tcPr>
          <w:p w14:paraId="657DB53C">
            <w:pPr>
              <w:spacing w:line="269" w:lineRule="auto"/>
              <w:rPr>
                <w:rFonts w:ascii="Arial"/>
                <w:color w:val="auto"/>
                <w:sz w:val="21"/>
                <w:highlight w:val="none"/>
              </w:rPr>
            </w:pPr>
          </w:p>
          <w:p w14:paraId="784AD858">
            <w:pPr>
              <w:pStyle w:val="17"/>
              <w:spacing w:before="68" w:line="220" w:lineRule="auto"/>
              <w:ind w:left="495"/>
              <w:rPr>
                <w:color w:val="auto"/>
                <w:highlight w:val="none"/>
              </w:rPr>
            </w:pPr>
            <w:r>
              <w:rPr>
                <w:color w:val="auto"/>
                <w:spacing w:val="-3"/>
                <w:highlight w:val="none"/>
              </w:rPr>
              <w:t>项目经理</w:t>
            </w:r>
          </w:p>
        </w:tc>
        <w:tc>
          <w:tcPr>
            <w:tcW w:w="2493" w:type="dxa"/>
            <w:gridSpan w:val="2"/>
            <w:vAlign w:val="top"/>
          </w:tcPr>
          <w:p w14:paraId="053FFA20">
            <w:pPr>
              <w:rPr>
                <w:rFonts w:ascii="Arial"/>
                <w:color w:val="auto"/>
                <w:sz w:val="21"/>
                <w:highlight w:val="none"/>
              </w:rPr>
            </w:pPr>
          </w:p>
        </w:tc>
      </w:tr>
      <w:tr w14:paraId="774B5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vAlign w:val="top"/>
          </w:tcPr>
          <w:p w14:paraId="6594844F">
            <w:pPr>
              <w:pStyle w:val="17"/>
              <w:spacing w:before="279" w:line="219" w:lineRule="auto"/>
              <w:ind w:left="382"/>
              <w:rPr>
                <w:color w:val="auto"/>
                <w:highlight w:val="none"/>
              </w:rPr>
            </w:pPr>
            <w:r>
              <w:rPr>
                <w:color w:val="auto"/>
                <w:spacing w:val="-2"/>
                <w:highlight w:val="none"/>
              </w:rPr>
              <w:t>注册资本</w:t>
            </w:r>
          </w:p>
        </w:tc>
        <w:tc>
          <w:tcPr>
            <w:tcW w:w="2582" w:type="dxa"/>
            <w:gridSpan w:val="2"/>
            <w:vAlign w:val="top"/>
          </w:tcPr>
          <w:p w14:paraId="7EA30AF9">
            <w:pPr>
              <w:rPr>
                <w:rFonts w:ascii="Arial"/>
                <w:color w:val="auto"/>
                <w:sz w:val="21"/>
                <w:highlight w:val="none"/>
              </w:rPr>
            </w:pPr>
          </w:p>
        </w:tc>
        <w:tc>
          <w:tcPr>
            <w:tcW w:w="810" w:type="dxa"/>
            <w:vMerge w:val="continue"/>
            <w:tcBorders>
              <w:top w:val="nil"/>
              <w:bottom w:val="nil"/>
            </w:tcBorders>
            <w:vAlign w:val="top"/>
          </w:tcPr>
          <w:p w14:paraId="250E2AFF">
            <w:pPr>
              <w:rPr>
                <w:rFonts w:ascii="Arial"/>
                <w:color w:val="auto"/>
                <w:sz w:val="21"/>
                <w:highlight w:val="none"/>
              </w:rPr>
            </w:pPr>
          </w:p>
        </w:tc>
        <w:tc>
          <w:tcPr>
            <w:tcW w:w="1812" w:type="dxa"/>
            <w:gridSpan w:val="2"/>
            <w:vAlign w:val="top"/>
          </w:tcPr>
          <w:p w14:paraId="7F10B9D8">
            <w:pPr>
              <w:pStyle w:val="17"/>
              <w:spacing w:before="279" w:line="220" w:lineRule="auto"/>
              <w:ind w:left="287"/>
              <w:rPr>
                <w:color w:val="auto"/>
                <w:highlight w:val="none"/>
              </w:rPr>
            </w:pPr>
            <w:r>
              <w:rPr>
                <w:color w:val="auto"/>
                <w:spacing w:val="-2"/>
                <w:highlight w:val="none"/>
              </w:rPr>
              <w:t>高级职称人员</w:t>
            </w:r>
          </w:p>
        </w:tc>
        <w:tc>
          <w:tcPr>
            <w:tcW w:w="2493" w:type="dxa"/>
            <w:gridSpan w:val="2"/>
            <w:vAlign w:val="top"/>
          </w:tcPr>
          <w:p w14:paraId="5CCDDBD2">
            <w:pPr>
              <w:rPr>
                <w:rFonts w:ascii="Arial"/>
                <w:color w:val="auto"/>
                <w:sz w:val="21"/>
                <w:highlight w:val="none"/>
              </w:rPr>
            </w:pPr>
          </w:p>
        </w:tc>
      </w:tr>
      <w:tr w14:paraId="47254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vAlign w:val="top"/>
          </w:tcPr>
          <w:p w14:paraId="2B2D3A9A">
            <w:pPr>
              <w:pStyle w:val="17"/>
              <w:spacing w:before="280" w:line="220" w:lineRule="auto"/>
              <w:ind w:left="384"/>
              <w:rPr>
                <w:color w:val="auto"/>
                <w:highlight w:val="none"/>
              </w:rPr>
            </w:pPr>
            <w:r>
              <w:rPr>
                <w:color w:val="auto"/>
                <w:spacing w:val="-2"/>
                <w:highlight w:val="none"/>
              </w:rPr>
              <w:t>成立日期</w:t>
            </w:r>
          </w:p>
        </w:tc>
        <w:tc>
          <w:tcPr>
            <w:tcW w:w="2582" w:type="dxa"/>
            <w:gridSpan w:val="2"/>
            <w:vAlign w:val="top"/>
          </w:tcPr>
          <w:p w14:paraId="60FC0B25">
            <w:pPr>
              <w:rPr>
                <w:rFonts w:ascii="Arial"/>
                <w:color w:val="auto"/>
                <w:sz w:val="21"/>
                <w:highlight w:val="none"/>
              </w:rPr>
            </w:pPr>
          </w:p>
        </w:tc>
        <w:tc>
          <w:tcPr>
            <w:tcW w:w="810" w:type="dxa"/>
            <w:vMerge w:val="continue"/>
            <w:tcBorders>
              <w:top w:val="nil"/>
              <w:bottom w:val="nil"/>
            </w:tcBorders>
            <w:vAlign w:val="top"/>
          </w:tcPr>
          <w:p w14:paraId="5B32D2AB">
            <w:pPr>
              <w:rPr>
                <w:rFonts w:ascii="Arial"/>
                <w:color w:val="auto"/>
                <w:sz w:val="21"/>
                <w:highlight w:val="none"/>
              </w:rPr>
            </w:pPr>
          </w:p>
        </w:tc>
        <w:tc>
          <w:tcPr>
            <w:tcW w:w="1812" w:type="dxa"/>
            <w:gridSpan w:val="2"/>
            <w:vAlign w:val="top"/>
          </w:tcPr>
          <w:p w14:paraId="51749597">
            <w:pPr>
              <w:pStyle w:val="17"/>
              <w:spacing w:before="280" w:line="220" w:lineRule="auto"/>
              <w:ind w:left="301"/>
              <w:rPr>
                <w:color w:val="auto"/>
                <w:highlight w:val="none"/>
              </w:rPr>
            </w:pPr>
            <w:r>
              <w:rPr>
                <w:color w:val="auto"/>
                <w:spacing w:val="-4"/>
                <w:highlight w:val="none"/>
              </w:rPr>
              <w:t>中级职称人员</w:t>
            </w:r>
          </w:p>
        </w:tc>
        <w:tc>
          <w:tcPr>
            <w:tcW w:w="2493" w:type="dxa"/>
            <w:gridSpan w:val="2"/>
            <w:vAlign w:val="top"/>
          </w:tcPr>
          <w:p w14:paraId="2658A945">
            <w:pPr>
              <w:rPr>
                <w:rFonts w:ascii="Arial"/>
                <w:color w:val="auto"/>
                <w:sz w:val="21"/>
                <w:highlight w:val="none"/>
              </w:rPr>
            </w:pPr>
          </w:p>
        </w:tc>
      </w:tr>
      <w:tr w14:paraId="335D7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vAlign w:val="top"/>
          </w:tcPr>
          <w:p w14:paraId="6BC746DB">
            <w:pPr>
              <w:pStyle w:val="17"/>
              <w:spacing w:before="140" w:line="219" w:lineRule="auto"/>
              <w:ind w:left="382"/>
              <w:rPr>
                <w:color w:val="auto"/>
                <w:highlight w:val="none"/>
              </w:rPr>
            </w:pPr>
            <w:r>
              <w:rPr>
                <w:color w:val="auto"/>
                <w:spacing w:val="-2"/>
                <w:highlight w:val="none"/>
              </w:rPr>
              <w:t>基本账户</w:t>
            </w:r>
          </w:p>
          <w:p w14:paraId="685D2A1A">
            <w:pPr>
              <w:pStyle w:val="17"/>
              <w:spacing w:before="150" w:line="220" w:lineRule="auto"/>
              <w:ind w:left="383"/>
              <w:rPr>
                <w:color w:val="auto"/>
                <w:highlight w:val="none"/>
              </w:rPr>
            </w:pPr>
            <w:r>
              <w:rPr>
                <w:color w:val="auto"/>
                <w:spacing w:val="-2"/>
                <w:highlight w:val="none"/>
              </w:rPr>
              <w:t>开户银行</w:t>
            </w:r>
          </w:p>
        </w:tc>
        <w:tc>
          <w:tcPr>
            <w:tcW w:w="2582" w:type="dxa"/>
            <w:gridSpan w:val="2"/>
            <w:vAlign w:val="top"/>
          </w:tcPr>
          <w:p w14:paraId="209E8AAD">
            <w:pPr>
              <w:rPr>
                <w:rFonts w:ascii="Arial"/>
                <w:color w:val="auto"/>
                <w:sz w:val="21"/>
                <w:highlight w:val="none"/>
              </w:rPr>
            </w:pPr>
          </w:p>
        </w:tc>
        <w:tc>
          <w:tcPr>
            <w:tcW w:w="810" w:type="dxa"/>
            <w:vMerge w:val="continue"/>
            <w:tcBorders>
              <w:top w:val="nil"/>
              <w:bottom w:val="nil"/>
            </w:tcBorders>
            <w:vAlign w:val="top"/>
          </w:tcPr>
          <w:p w14:paraId="706465D1">
            <w:pPr>
              <w:rPr>
                <w:rFonts w:ascii="Arial"/>
                <w:color w:val="auto"/>
                <w:sz w:val="21"/>
                <w:highlight w:val="none"/>
              </w:rPr>
            </w:pPr>
          </w:p>
        </w:tc>
        <w:tc>
          <w:tcPr>
            <w:tcW w:w="1812" w:type="dxa"/>
            <w:gridSpan w:val="2"/>
            <w:vAlign w:val="top"/>
          </w:tcPr>
          <w:p w14:paraId="7A5709E3">
            <w:pPr>
              <w:spacing w:line="269" w:lineRule="auto"/>
              <w:rPr>
                <w:rFonts w:ascii="Arial"/>
                <w:color w:val="auto"/>
                <w:sz w:val="21"/>
                <w:highlight w:val="none"/>
              </w:rPr>
            </w:pPr>
          </w:p>
          <w:p w14:paraId="0D04E68D">
            <w:pPr>
              <w:pStyle w:val="17"/>
              <w:spacing w:before="69" w:line="221" w:lineRule="auto"/>
              <w:ind w:left="280"/>
              <w:rPr>
                <w:color w:val="auto"/>
                <w:highlight w:val="none"/>
              </w:rPr>
            </w:pPr>
            <w:r>
              <w:rPr>
                <w:color w:val="auto"/>
                <w:spacing w:val="-2"/>
                <w:highlight w:val="none"/>
              </w:rPr>
              <w:t>初级职称人员</w:t>
            </w:r>
          </w:p>
        </w:tc>
        <w:tc>
          <w:tcPr>
            <w:tcW w:w="2493" w:type="dxa"/>
            <w:gridSpan w:val="2"/>
            <w:vAlign w:val="top"/>
          </w:tcPr>
          <w:p w14:paraId="0CC748BB">
            <w:pPr>
              <w:rPr>
                <w:rFonts w:ascii="Arial"/>
                <w:color w:val="auto"/>
                <w:sz w:val="21"/>
                <w:highlight w:val="none"/>
              </w:rPr>
            </w:pPr>
          </w:p>
        </w:tc>
      </w:tr>
      <w:tr w14:paraId="4EFA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595" w:type="dxa"/>
            <w:vAlign w:val="top"/>
          </w:tcPr>
          <w:p w14:paraId="5E7B808E">
            <w:pPr>
              <w:pStyle w:val="17"/>
              <w:spacing w:before="141" w:line="219" w:lineRule="auto"/>
              <w:ind w:left="382"/>
              <w:rPr>
                <w:color w:val="auto"/>
                <w:highlight w:val="none"/>
              </w:rPr>
            </w:pPr>
            <w:r>
              <w:rPr>
                <w:color w:val="auto"/>
                <w:spacing w:val="-2"/>
                <w:highlight w:val="none"/>
              </w:rPr>
              <w:t>基本账户</w:t>
            </w:r>
          </w:p>
          <w:p w14:paraId="3E0EBC0A">
            <w:pPr>
              <w:pStyle w:val="17"/>
              <w:spacing w:before="150" w:line="220" w:lineRule="auto"/>
              <w:ind w:left="383"/>
              <w:rPr>
                <w:color w:val="auto"/>
                <w:highlight w:val="none"/>
              </w:rPr>
            </w:pPr>
            <w:r>
              <w:rPr>
                <w:color w:val="auto"/>
                <w:spacing w:val="-2"/>
                <w:highlight w:val="none"/>
              </w:rPr>
              <w:t>银行账号</w:t>
            </w:r>
          </w:p>
        </w:tc>
        <w:tc>
          <w:tcPr>
            <w:tcW w:w="2582" w:type="dxa"/>
            <w:gridSpan w:val="2"/>
            <w:vAlign w:val="top"/>
          </w:tcPr>
          <w:p w14:paraId="0ABD5683">
            <w:pPr>
              <w:rPr>
                <w:rFonts w:ascii="Arial"/>
                <w:color w:val="auto"/>
                <w:sz w:val="21"/>
                <w:highlight w:val="none"/>
              </w:rPr>
            </w:pPr>
          </w:p>
        </w:tc>
        <w:tc>
          <w:tcPr>
            <w:tcW w:w="810" w:type="dxa"/>
            <w:vMerge w:val="continue"/>
            <w:tcBorders>
              <w:top w:val="nil"/>
            </w:tcBorders>
            <w:vAlign w:val="top"/>
          </w:tcPr>
          <w:p w14:paraId="559535A5">
            <w:pPr>
              <w:rPr>
                <w:rFonts w:ascii="Arial"/>
                <w:color w:val="auto"/>
                <w:sz w:val="21"/>
                <w:highlight w:val="none"/>
              </w:rPr>
            </w:pPr>
          </w:p>
        </w:tc>
        <w:tc>
          <w:tcPr>
            <w:tcW w:w="1812" w:type="dxa"/>
            <w:gridSpan w:val="2"/>
            <w:vAlign w:val="top"/>
          </w:tcPr>
          <w:p w14:paraId="3A0687DB">
            <w:pPr>
              <w:spacing w:line="270" w:lineRule="auto"/>
              <w:rPr>
                <w:rFonts w:ascii="Arial"/>
                <w:color w:val="auto"/>
                <w:sz w:val="21"/>
                <w:highlight w:val="none"/>
              </w:rPr>
            </w:pPr>
          </w:p>
          <w:p w14:paraId="01D5D3B0">
            <w:pPr>
              <w:pStyle w:val="17"/>
              <w:spacing w:before="69" w:line="221" w:lineRule="auto"/>
              <w:ind w:left="702"/>
              <w:rPr>
                <w:color w:val="auto"/>
                <w:highlight w:val="none"/>
              </w:rPr>
            </w:pPr>
            <w:r>
              <w:rPr>
                <w:color w:val="auto"/>
                <w:spacing w:val="-3"/>
                <w:highlight w:val="none"/>
              </w:rPr>
              <w:t>技工</w:t>
            </w:r>
          </w:p>
        </w:tc>
        <w:tc>
          <w:tcPr>
            <w:tcW w:w="2493" w:type="dxa"/>
            <w:gridSpan w:val="2"/>
            <w:vAlign w:val="top"/>
          </w:tcPr>
          <w:p w14:paraId="52B4FEFE">
            <w:pPr>
              <w:rPr>
                <w:rFonts w:ascii="Arial"/>
                <w:color w:val="auto"/>
                <w:sz w:val="21"/>
                <w:highlight w:val="none"/>
              </w:rPr>
            </w:pPr>
          </w:p>
        </w:tc>
      </w:tr>
      <w:tr w14:paraId="27F1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1595" w:type="dxa"/>
            <w:vAlign w:val="top"/>
          </w:tcPr>
          <w:p w14:paraId="0B6DF4F0">
            <w:pPr>
              <w:spacing w:line="419" w:lineRule="auto"/>
              <w:rPr>
                <w:rFonts w:ascii="Arial"/>
                <w:color w:val="auto"/>
                <w:sz w:val="21"/>
                <w:highlight w:val="none"/>
              </w:rPr>
            </w:pPr>
          </w:p>
          <w:p w14:paraId="1918F1A7">
            <w:pPr>
              <w:pStyle w:val="17"/>
              <w:spacing w:before="68" w:line="220" w:lineRule="auto"/>
              <w:ind w:left="384"/>
              <w:rPr>
                <w:color w:val="auto"/>
                <w:highlight w:val="none"/>
              </w:rPr>
            </w:pPr>
            <w:r>
              <w:rPr>
                <w:color w:val="auto"/>
                <w:spacing w:val="-2"/>
                <w:highlight w:val="none"/>
              </w:rPr>
              <w:t>经营范围</w:t>
            </w:r>
          </w:p>
        </w:tc>
        <w:tc>
          <w:tcPr>
            <w:tcW w:w="7697" w:type="dxa"/>
            <w:gridSpan w:val="7"/>
            <w:vAlign w:val="top"/>
          </w:tcPr>
          <w:p w14:paraId="0E83B599">
            <w:pPr>
              <w:rPr>
                <w:rFonts w:ascii="Arial"/>
                <w:color w:val="auto"/>
                <w:sz w:val="21"/>
                <w:highlight w:val="none"/>
              </w:rPr>
            </w:pPr>
          </w:p>
        </w:tc>
      </w:tr>
      <w:tr w14:paraId="1ACC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95" w:type="dxa"/>
            <w:vAlign w:val="top"/>
          </w:tcPr>
          <w:p w14:paraId="1672EDC1">
            <w:pPr>
              <w:spacing w:line="334" w:lineRule="auto"/>
              <w:rPr>
                <w:rFonts w:ascii="Arial"/>
                <w:color w:val="auto"/>
                <w:sz w:val="21"/>
                <w:highlight w:val="none"/>
              </w:rPr>
            </w:pPr>
          </w:p>
          <w:p w14:paraId="3168006B">
            <w:pPr>
              <w:spacing w:line="334" w:lineRule="auto"/>
              <w:rPr>
                <w:rFonts w:ascii="Arial"/>
                <w:color w:val="auto"/>
                <w:sz w:val="21"/>
                <w:highlight w:val="none"/>
              </w:rPr>
            </w:pPr>
          </w:p>
          <w:p w14:paraId="1F4E0AF1">
            <w:pPr>
              <w:pStyle w:val="17"/>
              <w:spacing w:before="68" w:line="355" w:lineRule="auto"/>
              <w:ind w:left="486" w:right="165" w:hanging="312"/>
              <w:rPr>
                <w:color w:val="auto"/>
                <w:highlight w:val="none"/>
              </w:rPr>
            </w:pPr>
            <w:r>
              <w:rPr>
                <w:color w:val="auto"/>
                <w:spacing w:val="-2"/>
                <w:highlight w:val="none"/>
              </w:rPr>
              <w:t>投标人关联企业情况</w:t>
            </w:r>
          </w:p>
        </w:tc>
        <w:tc>
          <w:tcPr>
            <w:tcW w:w="7697" w:type="dxa"/>
            <w:gridSpan w:val="7"/>
            <w:vAlign w:val="top"/>
          </w:tcPr>
          <w:p w14:paraId="2236C5C6">
            <w:pPr>
              <w:pStyle w:val="17"/>
              <w:spacing w:before="140" w:line="219" w:lineRule="auto"/>
              <w:ind w:left="114"/>
              <w:rPr>
                <w:color w:val="auto"/>
                <w:highlight w:val="none"/>
              </w:rPr>
            </w:pPr>
            <w:r>
              <w:rPr>
                <w:color w:val="auto"/>
                <w:spacing w:val="-4"/>
                <w:highlight w:val="none"/>
              </w:rPr>
              <w:t>投标人应提供关联企业情况，包括：</w:t>
            </w:r>
          </w:p>
          <w:p w14:paraId="183D9B5D">
            <w:pPr>
              <w:pStyle w:val="17"/>
              <w:spacing w:before="152" w:line="285" w:lineRule="auto"/>
              <w:ind w:left="114" w:right="158" w:firstLine="3"/>
              <w:rPr>
                <w:color w:val="auto"/>
                <w:highlight w:val="none"/>
              </w:rPr>
            </w:pPr>
            <w:r>
              <w:rPr>
                <w:color w:val="auto"/>
                <w:spacing w:val="-1"/>
                <w:highlight w:val="none"/>
              </w:rPr>
              <w:t>（1）投标人的所有股东名称及相应股权（出资额）比例；如投标人为</w:t>
            </w:r>
            <w:r>
              <w:rPr>
                <w:color w:val="auto"/>
                <w:spacing w:val="-2"/>
                <w:highlight w:val="none"/>
              </w:rPr>
              <w:t>上市公司，投标人应提供股权占公司股份总数</w:t>
            </w:r>
            <w:r>
              <w:rPr>
                <w:color w:val="auto"/>
                <w:spacing w:val="-2"/>
                <w:highlight w:val="none"/>
                <w:u w:val="single" w:color="auto"/>
              </w:rPr>
              <w:t xml:space="preserve"> 5 </w:t>
            </w:r>
            <w:r>
              <w:rPr>
                <w:color w:val="auto"/>
                <w:spacing w:val="-2"/>
                <w:highlight w:val="none"/>
              </w:rPr>
              <w:t>%以上的所有股东名称及相应股权比例；</w:t>
            </w:r>
          </w:p>
          <w:p w14:paraId="5ADD773C">
            <w:pPr>
              <w:pStyle w:val="17"/>
              <w:spacing w:before="150" w:line="220" w:lineRule="auto"/>
              <w:ind w:left="117"/>
              <w:rPr>
                <w:color w:val="auto"/>
                <w:highlight w:val="none"/>
              </w:rPr>
            </w:pPr>
            <w:r>
              <w:rPr>
                <w:color w:val="auto"/>
                <w:spacing w:val="-2"/>
                <w:highlight w:val="none"/>
              </w:rPr>
              <w:t>（2）投标人投资（控股）或管理的下属企业名称、持有股权（出资额）比例；</w:t>
            </w:r>
          </w:p>
          <w:p w14:paraId="1D116AC0">
            <w:pPr>
              <w:pStyle w:val="17"/>
              <w:spacing w:before="150" w:line="220" w:lineRule="auto"/>
              <w:ind w:left="117"/>
              <w:rPr>
                <w:color w:val="auto"/>
                <w:highlight w:val="none"/>
              </w:rPr>
            </w:pPr>
            <w:r>
              <w:rPr>
                <w:color w:val="auto"/>
                <w:spacing w:val="-1"/>
                <w:highlight w:val="none"/>
              </w:rPr>
              <w:t>（3）与投标人单位负责人（即法定代表人）为</w:t>
            </w:r>
            <w:r>
              <w:rPr>
                <w:color w:val="auto"/>
                <w:spacing w:val="-2"/>
                <w:highlight w:val="none"/>
              </w:rPr>
              <w:t>同一人的其他单位名称。</w:t>
            </w:r>
          </w:p>
        </w:tc>
      </w:tr>
      <w:tr w14:paraId="40D2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95" w:type="dxa"/>
            <w:vAlign w:val="top"/>
          </w:tcPr>
          <w:p w14:paraId="58EEC62C">
            <w:pPr>
              <w:pStyle w:val="17"/>
              <w:spacing w:before="224" w:line="221" w:lineRule="auto"/>
              <w:ind w:left="594"/>
              <w:rPr>
                <w:color w:val="auto"/>
                <w:highlight w:val="none"/>
              </w:rPr>
            </w:pPr>
            <w:r>
              <w:rPr>
                <w:color w:val="auto"/>
                <w:spacing w:val="-3"/>
                <w:highlight w:val="none"/>
              </w:rPr>
              <w:t>备注</w:t>
            </w:r>
          </w:p>
        </w:tc>
        <w:tc>
          <w:tcPr>
            <w:tcW w:w="7697" w:type="dxa"/>
            <w:gridSpan w:val="7"/>
            <w:vAlign w:val="top"/>
          </w:tcPr>
          <w:p w14:paraId="49458D47">
            <w:pPr>
              <w:rPr>
                <w:rFonts w:ascii="Arial"/>
                <w:color w:val="auto"/>
                <w:sz w:val="21"/>
                <w:highlight w:val="none"/>
              </w:rPr>
            </w:pPr>
          </w:p>
        </w:tc>
      </w:tr>
    </w:tbl>
    <w:p w14:paraId="1632B6C7">
      <w:pPr>
        <w:spacing w:before="49"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0836EF67">
      <w:pPr>
        <w:spacing w:before="57" w:line="219" w:lineRule="auto"/>
        <w:ind w:left="1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 投标人应根据招标文件第二章“投标人须知”第</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3.5.1</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项的要求在本表后附相关证明材料。</w:t>
      </w:r>
    </w:p>
    <w:p w14:paraId="29D3D6D6">
      <w:pPr>
        <w:spacing w:before="63" w:line="220" w:lineRule="auto"/>
        <w:ind w:left="1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2.以联合体形式投标的，联合体各成员应分别填写。</w:t>
      </w:r>
    </w:p>
    <w:p w14:paraId="252AD46C">
      <w:pPr>
        <w:spacing w:before="61" w:line="219" w:lineRule="auto"/>
        <w:ind w:left="14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3.上述信息如经调查核实未如实填写的，按提供虚假材料对待。</w:t>
      </w:r>
    </w:p>
    <w:p w14:paraId="47DB8EE8">
      <w:pPr>
        <w:spacing w:line="219" w:lineRule="auto"/>
        <w:rPr>
          <w:rFonts w:ascii="宋体" w:hAnsi="宋体" w:eastAsia="宋体" w:cs="宋体"/>
          <w:color w:val="auto"/>
          <w:sz w:val="21"/>
          <w:szCs w:val="21"/>
          <w:highlight w:val="none"/>
        </w:rPr>
        <w:sectPr>
          <w:headerReference r:id="rId178" w:type="default"/>
          <w:footerReference r:id="rId179" w:type="default"/>
          <w:pgSz w:w="11905" w:h="16840"/>
          <w:pgMar w:top="1182" w:right="0" w:bottom="1171" w:left="0" w:header="849" w:footer="937" w:gutter="0"/>
          <w:pgNumType w:fmt="decimal"/>
          <w:cols w:space="720" w:num="1"/>
        </w:sectPr>
      </w:pPr>
    </w:p>
    <w:p w14:paraId="39E4DC45">
      <w:pPr>
        <w:pStyle w:val="3"/>
        <w:spacing w:line="315" w:lineRule="auto"/>
        <w:rPr>
          <w:color w:val="auto"/>
          <w:highlight w:val="none"/>
        </w:rPr>
      </w:pPr>
    </w:p>
    <w:p w14:paraId="4E788009">
      <w:pPr>
        <w:spacing w:before="88" w:line="226" w:lineRule="auto"/>
        <w:ind w:left="4008"/>
        <w:rPr>
          <w:rFonts w:ascii="宋体" w:hAnsi="宋体" w:eastAsia="宋体" w:cs="宋体"/>
          <w:color w:val="auto"/>
          <w:sz w:val="27"/>
          <w:szCs w:val="27"/>
          <w:highlight w:val="none"/>
        </w:rPr>
      </w:pPr>
      <w:r>
        <w:rPr>
          <w:rFonts w:ascii="宋体" w:hAnsi="宋体" w:eastAsia="宋体" w:cs="宋体"/>
          <w:b/>
          <w:bCs/>
          <w:color w:val="auto"/>
          <w:spacing w:val="4"/>
          <w:sz w:val="27"/>
          <w:szCs w:val="27"/>
          <w:highlight w:val="none"/>
        </w:rPr>
        <w:t>（二）投标人企业组织机构框图</w:t>
      </w:r>
    </w:p>
    <w:p w14:paraId="216DF10A">
      <w:pPr>
        <w:spacing w:before="37"/>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2F6EF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vAlign w:val="top"/>
          </w:tcPr>
          <w:p w14:paraId="38759A22">
            <w:pPr>
              <w:pStyle w:val="17"/>
              <w:spacing w:before="197" w:line="220" w:lineRule="auto"/>
              <w:ind w:left="144"/>
              <w:rPr>
                <w:color w:val="auto"/>
                <w:sz w:val="24"/>
                <w:szCs w:val="24"/>
                <w:highlight w:val="none"/>
              </w:rPr>
            </w:pPr>
            <w:r>
              <w:rPr>
                <w:color w:val="auto"/>
                <w:spacing w:val="-8"/>
                <w:sz w:val="24"/>
                <w:szCs w:val="24"/>
                <w:highlight w:val="none"/>
              </w:rPr>
              <w:t>以框图方式表示。</w:t>
            </w:r>
          </w:p>
        </w:tc>
      </w:tr>
      <w:tr w14:paraId="4EFFE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vAlign w:val="top"/>
          </w:tcPr>
          <w:p w14:paraId="470A846A">
            <w:pPr>
              <w:pStyle w:val="17"/>
              <w:spacing w:before="196" w:line="220" w:lineRule="auto"/>
              <w:ind w:left="120"/>
              <w:rPr>
                <w:color w:val="auto"/>
                <w:sz w:val="24"/>
                <w:szCs w:val="24"/>
                <w:highlight w:val="none"/>
              </w:rPr>
            </w:pPr>
            <w:r>
              <w:rPr>
                <w:color w:val="auto"/>
                <w:spacing w:val="-4"/>
                <w:sz w:val="24"/>
                <w:szCs w:val="24"/>
                <w:highlight w:val="none"/>
              </w:rPr>
              <w:t>说明</w:t>
            </w:r>
          </w:p>
        </w:tc>
      </w:tr>
    </w:tbl>
    <w:p w14:paraId="043B8799">
      <w:pPr>
        <w:pStyle w:val="3"/>
        <w:rPr>
          <w:color w:val="auto"/>
          <w:highlight w:val="none"/>
        </w:rPr>
      </w:pPr>
    </w:p>
    <w:p w14:paraId="4DD05EAF">
      <w:pPr>
        <w:rPr>
          <w:color w:val="auto"/>
          <w:highlight w:val="none"/>
        </w:rPr>
        <w:sectPr>
          <w:headerReference r:id="rId180" w:type="default"/>
          <w:footerReference r:id="rId181" w:type="default"/>
          <w:pgSz w:w="11905" w:h="16840"/>
          <w:pgMar w:top="1182" w:right="0" w:bottom="1171" w:left="0" w:header="849" w:footer="937" w:gutter="0"/>
          <w:pgNumType w:fmt="decimal"/>
          <w:cols w:space="720" w:num="1"/>
        </w:sectPr>
      </w:pPr>
    </w:p>
    <w:p w14:paraId="6806B11A">
      <w:pPr>
        <w:pStyle w:val="3"/>
        <w:spacing w:line="316" w:lineRule="auto"/>
        <w:rPr>
          <w:color w:val="auto"/>
          <w:highlight w:val="none"/>
        </w:rPr>
      </w:pPr>
    </w:p>
    <w:p w14:paraId="572BB9A8">
      <w:pPr>
        <w:spacing w:before="88" w:line="226" w:lineRule="auto"/>
        <w:ind w:left="4570"/>
        <w:rPr>
          <w:rFonts w:ascii="宋体" w:hAnsi="宋体" w:eastAsia="宋体" w:cs="宋体"/>
          <w:strike/>
          <w:dstrike w:val="0"/>
          <w:color w:val="auto"/>
          <w:sz w:val="27"/>
          <w:szCs w:val="27"/>
          <w:highlight w:val="none"/>
        </w:rPr>
      </w:pPr>
      <w:r>
        <w:rPr>
          <w:rFonts w:ascii="宋体" w:hAnsi="宋体" w:eastAsia="宋体" w:cs="宋体"/>
          <w:b/>
          <w:bCs/>
          <w:strike/>
          <w:dstrike w:val="0"/>
          <w:color w:val="auto"/>
          <w:spacing w:val="4"/>
          <w:sz w:val="27"/>
          <w:szCs w:val="27"/>
          <w:highlight w:val="none"/>
        </w:rPr>
        <w:t>（三）近年财务状况表</w:t>
      </w:r>
    </w:p>
    <w:p w14:paraId="4DBA2CDB">
      <w:pPr>
        <w:spacing w:before="36"/>
        <w:rPr>
          <w:strike/>
          <w:dstrike w:val="0"/>
          <w:color w:val="auto"/>
          <w:highlight w:val="none"/>
        </w:rPr>
      </w:pPr>
    </w:p>
    <w:tbl>
      <w:tblPr>
        <w:tblStyle w:val="16"/>
        <w:tblW w:w="8915" w:type="dxa"/>
        <w:tblInd w:w="16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6"/>
        <w:gridCol w:w="1136"/>
        <w:gridCol w:w="1215"/>
        <w:gridCol w:w="1171"/>
        <w:gridCol w:w="1217"/>
      </w:tblGrid>
      <w:tr w14:paraId="0270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176" w:type="dxa"/>
            <w:vAlign w:val="top"/>
          </w:tcPr>
          <w:p w14:paraId="5F551632">
            <w:pPr>
              <w:pStyle w:val="17"/>
              <w:spacing w:before="226" w:line="220" w:lineRule="auto"/>
              <w:ind w:left="1571"/>
              <w:rPr>
                <w:strike/>
                <w:dstrike w:val="0"/>
                <w:color w:val="auto"/>
                <w:highlight w:val="none"/>
              </w:rPr>
            </w:pPr>
            <w:r>
              <w:rPr>
                <w:strike/>
                <w:dstrike w:val="0"/>
                <w:color w:val="auto"/>
                <w:spacing w:val="-2"/>
                <w:highlight w:val="none"/>
              </w:rPr>
              <w:t>项目或指标</w:t>
            </w:r>
          </w:p>
        </w:tc>
        <w:tc>
          <w:tcPr>
            <w:tcW w:w="1136" w:type="dxa"/>
            <w:vAlign w:val="top"/>
          </w:tcPr>
          <w:p w14:paraId="358539BE">
            <w:pPr>
              <w:pStyle w:val="17"/>
              <w:spacing w:before="226" w:line="220" w:lineRule="auto"/>
              <w:ind w:left="363"/>
              <w:rPr>
                <w:strike/>
                <w:dstrike w:val="0"/>
                <w:color w:val="auto"/>
                <w:highlight w:val="none"/>
              </w:rPr>
            </w:pPr>
            <w:r>
              <w:rPr>
                <w:strike/>
                <w:dstrike w:val="0"/>
                <w:color w:val="auto"/>
                <w:spacing w:val="-3"/>
                <w:highlight w:val="none"/>
              </w:rPr>
              <w:t>单位</w:t>
            </w:r>
          </w:p>
        </w:tc>
        <w:tc>
          <w:tcPr>
            <w:tcW w:w="1215" w:type="dxa"/>
            <w:vAlign w:val="top"/>
          </w:tcPr>
          <w:p w14:paraId="0E9E66F2">
            <w:pPr>
              <w:pStyle w:val="17"/>
              <w:tabs>
                <w:tab w:val="left" w:pos="709"/>
              </w:tabs>
              <w:spacing w:before="225" w:line="220" w:lineRule="auto"/>
              <w:ind w:left="289"/>
              <w:rPr>
                <w:strike/>
                <w:dstrike w:val="0"/>
                <w:color w:val="auto"/>
                <w:highlight w:val="none"/>
              </w:rPr>
            </w:pPr>
            <w:r>
              <w:rPr>
                <w:strike/>
                <w:dstrike w:val="0"/>
                <w:color w:val="auto"/>
                <w:highlight w:val="none"/>
                <w:u w:val="single" w:color="auto"/>
              </w:rPr>
              <w:tab/>
            </w:r>
            <w:r>
              <w:rPr>
                <w:strike/>
                <w:dstrike w:val="0"/>
                <w:color w:val="auto"/>
                <w:spacing w:val="-96"/>
                <w:highlight w:val="none"/>
              </w:rPr>
              <w:t xml:space="preserve"> </w:t>
            </w:r>
            <w:r>
              <w:rPr>
                <w:strike/>
                <w:dstrike w:val="0"/>
                <w:color w:val="auto"/>
                <w:highlight w:val="none"/>
              </w:rPr>
              <w:t>年</w:t>
            </w:r>
          </w:p>
        </w:tc>
        <w:tc>
          <w:tcPr>
            <w:tcW w:w="1171" w:type="dxa"/>
            <w:vAlign w:val="top"/>
          </w:tcPr>
          <w:p w14:paraId="2B286A4F">
            <w:pPr>
              <w:pStyle w:val="17"/>
              <w:tabs>
                <w:tab w:val="left" w:pos="688"/>
              </w:tabs>
              <w:spacing w:before="225" w:line="220" w:lineRule="auto"/>
              <w:ind w:left="268"/>
              <w:rPr>
                <w:strike/>
                <w:dstrike w:val="0"/>
                <w:color w:val="auto"/>
                <w:highlight w:val="none"/>
              </w:rPr>
            </w:pPr>
            <w:r>
              <w:rPr>
                <w:strike/>
                <w:dstrike w:val="0"/>
                <w:color w:val="auto"/>
                <w:highlight w:val="none"/>
                <w:u w:val="single" w:color="auto"/>
              </w:rPr>
              <w:tab/>
            </w:r>
            <w:r>
              <w:rPr>
                <w:strike/>
                <w:dstrike w:val="0"/>
                <w:color w:val="auto"/>
                <w:spacing w:val="-96"/>
                <w:highlight w:val="none"/>
              </w:rPr>
              <w:t xml:space="preserve"> </w:t>
            </w:r>
            <w:r>
              <w:rPr>
                <w:strike/>
                <w:dstrike w:val="0"/>
                <w:color w:val="auto"/>
                <w:highlight w:val="none"/>
              </w:rPr>
              <w:t>年</w:t>
            </w:r>
          </w:p>
        </w:tc>
        <w:tc>
          <w:tcPr>
            <w:tcW w:w="1217" w:type="dxa"/>
            <w:vAlign w:val="top"/>
          </w:tcPr>
          <w:p w14:paraId="5DA139ED">
            <w:pPr>
              <w:pStyle w:val="17"/>
              <w:tabs>
                <w:tab w:val="left" w:pos="710"/>
              </w:tabs>
              <w:spacing w:before="225" w:line="220" w:lineRule="auto"/>
              <w:ind w:left="290"/>
              <w:rPr>
                <w:strike/>
                <w:dstrike w:val="0"/>
                <w:color w:val="auto"/>
                <w:highlight w:val="none"/>
              </w:rPr>
            </w:pPr>
            <w:r>
              <w:rPr>
                <w:strike/>
                <w:dstrike w:val="0"/>
                <w:color w:val="auto"/>
                <w:highlight w:val="none"/>
                <w:u w:val="single" w:color="auto"/>
              </w:rPr>
              <w:tab/>
            </w:r>
            <w:r>
              <w:rPr>
                <w:strike/>
                <w:dstrike w:val="0"/>
                <w:color w:val="auto"/>
                <w:spacing w:val="-96"/>
                <w:highlight w:val="none"/>
              </w:rPr>
              <w:t xml:space="preserve"> </w:t>
            </w:r>
            <w:r>
              <w:rPr>
                <w:strike/>
                <w:dstrike w:val="0"/>
                <w:color w:val="auto"/>
                <w:highlight w:val="none"/>
              </w:rPr>
              <w:t>年</w:t>
            </w:r>
          </w:p>
        </w:tc>
      </w:tr>
      <w:tr w14:paraId="55B6F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5EE3FE6C">
            <w:pPr>
              <w:pStyle w:val="17"/>
              <w:spacing w:before="221" w:line="219" w:lineRule="auto"/>
              <w:ind w:left="119"/>
              <w:rPr>
                <w:strike/>
                <w:dstrike w:val="0"/>
                <w:color w:val="auto"/>
                <w:highlight w:val="none"/>
              </w:rPr>
            </w:pPr>
            <w:r>
              <w:rPr>
                <w:strike/>
                <w:dstrike w:val="0"/>
                <w:color w:val="auto"/>
                <w:spacing w:val="-9"/>
                <w:highlight w:val="none"/>
              </w:rPr>
              <w:t>一</w:t>
            </w:r>
            <w:r>
              <w:rPr>
                <w:strike/>
                <w:dstrike w:val="0"/>
                <w:color w:val="auto"/>
                <w:spacing w:val="27"/>
                <w:highlight w:val="none"/>
              </w:rPr>
              <w:t xml:space="preserve"> </w:t>
            </w:r>
            <w:r>
              <w:rPr>
                <w:strike/>
                <w:dstrike w:val="0"/>
                <w:color w:val="auto"/>
                <w:spacing w:val="-9"/>
                <w:highlight w:val="none"/>
              </w:rPr>
              <w:t>、</w:t>
            </w:r>
            <w:r>
              <w:rPr>
                <w:strike/>
                <w:dstrike w:val="0"/>
                <w:color w:val="auto"/>
                <w:spacing w:val="9"/>
                <w:highlight w:val="none"/>
              </w:rPr>
              <w:t xml:space="preserve"> </w:t>
            </w:r>
            <w:r>
              <w:rPr>
                <w:strike/>
                <w:dstrike w:val="0"/>
                <w:color w:val="auto"/>
                <w:spacing w:val="-9"/>
                <w:highlight w:val="none"/>
              </w:rPr>
              <w:t>注册资本</w:t>
            </w:r>
          </w:p>
        </w:tc>
        <w:tc>
          <w:tcPr>
            <w:tcW w:w="1136" w:type="dxa"/>
            <w:vAlign w:val="top"/>
          </w:tcPr>
          <w:p w14:paraId="39DE41FE">
            <w:pPr>
              <w:pStyle w:val="17"/>
              <w:spacing w:before="221"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618FA0B3">
            <w:pPr>
              <w:rPr>
                <w:rFonts w:ascii="Arial"/>
                <w:strike/>
                <w:dstrike w:val="0"/>
                <w:color w:val="auto"/>
                <w:sz w:val="21"/>
                <w:highlight w:val="none"/>
              </w:rPr>
            </w:pPr>
          </w:p>
        </w:tc>
        <w:tc>
          <w:tcPr>
            <w:tcW w:w="1171" w:type="dxa"/>
            <w:vAlign w:val="top"/>
          </w:tcPr>
          <w:p w14:paraId="5D7F012B">
            <w:pPr>
              <w:rPr>
                <w:rFonts w:ascii="Arial"/>
                <w:strike/>
                <w:dstrike w:val="0"/>
                <w:color w:val="auto"/>
                <w:sz w:val="21"/>
                <w:highlight w:val="none"/>
              </w:rPr>
            </w:pPr>
          </w:p>
        </w:tc>
        <w:tc>
          <w:tcPr>
            <w:tcW w:w="1217" w:type="dxa"/>
            <w:vAlign w:val="top"/>
          </w:tcPr>
          <w:p w14:paraId="22CFD23F">
            <w:pPr>
              <w:rPr>
                <w:rFonts w:ascii="Arial"/>
                <w:strike/>
                <w:dstrike w:val="0"/>
                <w:color w:val="auto"/>
                <w:sz w:val="21"/>
                <w:highlight w:val="none"/>
              </w:rPr>
            </w:pPr>
          </w:p>
        </w:tc>
      </w:tr>
      <w:tr w14:paraId="1E2CC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36A92985">
            <w:pPr>
              <w:pStyle w:val="17"/>
              <w:spacing w:before="221" w:line="220" w:lineRule="auto"/>
              <w:ind w:left="119"/>
              <w:rPr>
                <w:strike/>
                <w:dstrike w:val="0"/>
                <w:color w:val="auto"/>
                <w:highlight w:val="none"/>
              </w:rPr>
            </w:pPr>
            <w:r>
              <w:rPr>
                <w:strike/>
                <w:dstrike w:val="0"/>
                <w:color w:val="auto"/>
                <w:spacing w:val="-4"/>
                <w:highlight w:val="none"/>
              </w:rPr>
              <w:t>二、</w:t>
            </w:r>
            <w:r>
              <w:rPr>
                <w:strike/>
                <w:dstrike w:val="0"/>
                <w:color w:val="auto"/>
                <w:spacing w:val="10"/>
                <w:highlight w:val="none"/>
              </w:rPr>
              <w:t xml:space="preserve"> </w:t>
            </w:r>
            <w:r>
              <w:rPr>
                <w:strike/>
                <w:dstrike w:val="0"/>
                <w:color w:val="auto"/>
                <w:spacing w:val="-4"/>
                <w:highlight w:val="none"/>
              </w:rPr>
              <w:t>净资产</w:t>
            </w:r>
          </w:p>
        </w:tc>
        <w:tc>
          <w:tcPr>
            <w:tcW w:w="1136" w:type="dxa"/>
            <w:vAlign w:val="top"/>
          </w:tcPr>
          <w:p w14:paraId="4AC09440">
            <w:pPr>
              <w:pStyle w:val="17"/>
              <w:spacing w:before="221"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69852698">
            <w:pPr>
              <w:rPr>
                <w:rFonts w:ascii="Arial"/>
                <w:strike/>
                <w:dstrike w:val="0"/>
                <w:color w:val="auto"/>
                <w:sz w:val="21"/>
                <w:highlight w:val="none"/>
              </w:rPr>
            </w:pPr>
          </w:p>
        </w:tc>
        <w:tc>
          <w:tcPr>
            <w:tcW w:w="1171" w:type="dxa"/>
            <w:vAlign w:val="top"/>
          </w:tcPr>
          <w:p w14:paraId="042182BC">
            <w:pPr>
              <w:rPr>
                <w:rFonts w:ascii="Arial"/>
                <w:strike/>
                <w:dstrike w:val="0"/>
                <w:color w:val="auto"/>
                <w:sz w:val="21"/>
                <w:highlight w:val="none"/>
              </w:rPr>
            </w:pPr>
          </w:p>
        </w:tc>
        <w:tc>
          <w:tcPr>
            <w:tcW w:w="1217" w:type="dxa"/>
            <w:vAlign w:val="top"/>
          </w:tcPr>
          <w:p w14:paraId="63A4D2D4">
            <w:pPr>
              <w:rPr>
                <w:rFonts w:ascii="Arial"/>
                <w:strike/>
                <w:dstrike w:val="0"/>
                <w:color w:val="auto"/>
                <w:sz w:val="21"/>
                <w:highlight w:val="none"/>
              </w:rPr>
            </w:pPr>
          </w:p>
        </w:tc>
      </w:tr>
      <w:tr w14:paraId="17815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7341263A">
            <w:pPr>
              <w:pStyle w:val="17"/>
              <w:spacing w:before="221" w:line="220" w:lineRule="auto"/>
              <w:ind w:left="115"/>
              <w:rPr>
                <w:strike/>
                <w:dstrike w:val="0"/>
                <w:color w:val="auto"/>
                <w:highlight w:val="none"/>
              </w:rPr>
            </w:pPr>
            <w:r>
              <w:rPr>
                <w:strike/>
                <w:dstrike w:val="0"/>
                <w:color w:val="auto"/>
                <w:spacing w:val="-4"/>
                <w:highlight w:val="none"/>
              </w:rPr>
              <w:t>三、</w:t>
            </w:r>
            <w:r>
              <w:rPr>
                <w:strike/>
                <w:dstrike w:val="0"/>
                <w:color w:val="auto"/>
                <w:spacing w:val="14"/>
                <w:highlight w:val="none"/>
              </w:rPr>
              <w:t xml:space="preserve"> </w:t>
            </w:r>
            <w:r>
              <w:rPr>
                <w:strike/>
                <w:dstrike w:val="0"/>
                <w:color w:val="auto"/>
                <w:spacing w:val="-4"/>
                <w:highlight w:val="none"/>
              </w:rPr>
              <w:t>总资产</w:t>
            </w:r>
          </w:p>
        </w:tc>
        <w:tc>
          <w:tcPr>
            <w:tcW w:w="1136" w:type="dxa"/>
            <w:vAlign w:val="top"/>
          </w:tcPr>
          <w:p w14:paraId="33D50E91">
            <w:pPr>
              <w:pStyle w:val="17"/>
              <w:spacing w:before="222"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263D3468">
            <w:pPr>
              <w:rPr>
                <w:rFonts w:ascii="Arial"/>
                <w:strike/>
                <w:dstrike w:val="0"/>
                <w:color w:val="auto"/>
                <w:sz w:val="21"/>
                <w:highlight w:val="none"/>
              </w:rPr>
            </w:pPr>
          </w:p>
        </w:tc>
        <w:tc>
          <w:tcPr>
            <w:tcW w:w="1171" w:type="dxa"/>
            <w:vAlign w:val="top"/>
          </w:tcPr>
          <w:p w14:paraId="79C99248">
            <w:pPr>
              <w:rPr>
                <w:rFonts w:ascii="Arial"/>
                <w:strike/>
                <w:dstrike w:val="0"/>
                <w:color w:val="auto"/>
                <w:sz w:val="21"/>
                <w:highlight w:val="none"/>
              </w:rPr>
            </w:pPr>
          </w:p>
        </w:tc>
        <w:tc>
          <w:tcPr>
            <w:tcW w:w="1217" w:type="dxa"/>
            <w:vAlign w:val="top"/>
          </w:tcPr>
          <w:p w14:paraId="16B7335D">
            <w:pPr>
              <w:rPr>
                <w:rFonts w:ascii="Arial"/>
                <w:strike/>
                <w:dstrike w:val="0"/>
                <w:color w:val="auto"/>
                <w:sz w:val="21"/>
                <w:highlight w:val="none"/>
              </w:rPr>
            </w:pPr>
          </w:p>
        </w:tc>
      </w:tr>
      <w:tr w14:paraId="00799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176" w:type="dxa"/>
            <w:vAlign w:val="top"/>
          </w:tcPr>
          <w:p w14:paraId="43B85937">
            <w:pPr>
              <w:pStyle w:val="17"/>
              <w:spacing w:before="220" w:line="220" w:lineRule="auto"/>
              <w:ind w:left="135"/>
              <w:rPr>
                <w:strike/>
                <w:dstrike w:val="0"/>
                <w:color w:val="auto"/>
                <w:highlight w:val="none"/>
              </w:rPr>
            </w:pPr>
            <w:r>
              <w:rPr>
                <w:strike/>
                <w:dstrike w:val="0"/>
                <w:color w:val="auto"/>
                <w:spacing w:val="-8"/>
                <w:highlight w:val="none"/>
              </w:rPr>
              <w:t>四、</w:t>
            </w:r>
            <w:r>
              <w:rPr>
                <w:strike/>
                <w:dstrike w:val="0"/>
                <w:color w:val="auto"/>
                <w:spacing w:val="25"/>
                <w:highlight w:val="none"/>
              </w:rPr>
              <w:t xml:space="preserve"> </w:t>
            </w:r>
            <w:r>
              <w:rPr>
                <w:strike/>
                <w:dstrike w:val="0"/>
                <w:color w:val="auto"/>
                <w:spacing w:val="-8"/>
                <w:highlight w:val="none"/>
              </w:rPr>
              <w:t>固定资产</w:t>
            </w:r>
          </w:p>
        </w:tc>
        <w:tc>
          <w:tcPr>
            <w:tcW w:w="1136" w:type="dxa"/>
            <w:vAlign w:val="top"/>
          </w:tcPr>
          <w:p w14:paraId="6D7133CA">
            <w:pPr>
              <w:pStyle w:val="17"/>
              <w:spacing w:before="221"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0385E4E5">
            <w:pPr>
              <w:rPr>
                <w:rFonts w:ascii="Arial"/>
                <w:strike/>
                <w:dstrike w:val="0"/>
                <w:color w:val="auto"/>
                <w:sz w:val="21"/>
                <w:highlight w:val="none"/>
              </w:rPr>
            </w:pPr>
          </w:p>
        </w:tc>
        <w:tc>
          <w:tcPr>
            <w:tcW w:w="1171" w:type="dxa"/>
            <w:vAlign w:val="top"/>
          </w:tcPr>
          <w:p w14:paraId="43E38847">
            <w:pPr>
              <w:rPr>
                <w:rFonts w:ascii="Arial"/>
                <w:strike/>
                <w:dstrike w:val="0"/>
                <w:color w:val="auto"/>
                <w:sz w:val="21"/>
                <w:highlight w:val="none"/>
              </w:rPr>
            </w:pPr>
          </w:p>
        </w:tc>
        <w:tc>
          <w:tcPr>
            <w:tcW w:w="1217" w:type="dxa"/>
            <w:vAlign w:val="top"/>
          </w:tcPr>
          <w:p w14:paraId="65E86149">
            <w:pPr>
              <w:rPr>
                <w:rFonts w:ascii="Arial"/>
                <w:strike/>
                <w:dstrike w:val="0"/>
                <w:color w:val="auto"/>
                <w:sz w:val="21"/>
                <w:highlight w:val="none"/>
              </w:rPr>
            </w:pPr>
          </w:p>
        </w:tc>
      </w:tr>
      <w:tr w14:paraId="38621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1F25A963">
            <w:pPr>
              <w:pStyle w:val="17"/>
              <w:spacing w:before="222" w:line="220" w:lineRule="auto"/>
              <w:ind w:left="119"/>
              <w:rPr>
                <w:strike/>
                <w:dstrike w:val="0"/>
                <w:color w:val="auto"/>
                <w:highlight w:val="none"/>
              </w:rPr>
            </w:pPr>
            <w:r>
              <w:rPr>
                <w:strike/>
                <w:dstrike w:val="0"/>
                <w:color w:val="auto"/>
                <w:spacing w:val="-2"/>
                <w:highlight w:val="none"/>
              </w:rPr>
              <w:t>五、 流动资产</w:t>
            </w:r>
          </w:p>
        </w:tc>
        <w:tc>
          <w:tcPr>
            <w:tcW w:w="1136" w:type="dxa"/>
            <w:vAlign w:val="top"/>
          </w:tcPr>
          <w:p w14:paraId="475B8BFC">
            <w:pPr>
              <w:pStyle w:val="17"/>
              <w:spacing w:before="223"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7C01D049">
            <w:pPr>
              <w:rPr>
                <w:rFonts w:ascii="Arial"/>
                <w:strike/>
                <w:dstrike w:val="0"/>
                <w:color w:val="auto"/>
                <w:sz w:val="21"/>
                <w:highlight w:val="none"/>
              </w:rPr>
            </w:pPr>
          </w:p>
        </w:tc>
        <w:tc>
          <w:tcPr>
            <w:tcW w:w="1171" w:type="dxa"/>
            <w:vAlign w:val="top"/>
          </w:tcPr>
          <w:p w14:paraId="11873870">
            <w:pPr>
              <w:rPr>
                <w:rFonts w:ascii="Arial"/>
                <w:strike/>
                <w:dstrike w:val="0"/>
                <w:color w:val="auto"/>
                <w:sz w:val="21"/>
                <w:highlight w:val="none"/>
              </w:rPr>
            </w:pPr>
          </w:p>
        </w:tc>
        <w:tc>
          <w:tcPr>
            <w:tcW w:w="1217" w:type="dxa"/>
            <w:vAlign w:val="top"/>
          </w:tcPr>
          <w:p w14:paraId="13F373E1">
            <w:pPr>
              <w:rPr>
                <w:rFonts w:ascii="Arial"/>
                <w:strike/>
                <w:dstrike w:val="0"/>
                <w:color w:val="auto"/>
                <w:sz w:val="21"/>
                <w:highlight w:val="none"/>
              </w:rPr>
            </w:pPr>
          </w:p>
        </w:tc>
      </w:tr>
      <w:tr w14:paraId="21F98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F533340">
            <w:pPr>
              <w:pStyle w:val="17"/>
              <w:spacing w:before="222" w:line="220" w:lineRule="auto"/>
              <w:ind w:left="117"/>
              <w:rPr>
                <w:strike/>
                <w:dstrike w:val="0"/>
                <w:color w:val="auto"/>
                <w:highlight w:val="none"/>
              </w:rPr>
            </w:pPr>
            <w:r>
              <w:rPr>
                <w:strike/>
                <w:dstrike w:val="0"/>
                <w:color w:val="auto"/>
                <w:spacing w:val="-2"/>
                <w:highlight w:val="none"/>
              </w:rPr>
              <w:t>六、 流动负债</w:t>
            </w:r>
          </w:p>
        </w:tc>
        <w:tc>
          <w:tcPr>
            <w:tcW w:w="1136" w:type="dxa"/>
            <w:vAlign w:val="top"/>
          </w:tcPr>
          <w:p w14:paraId="131CD46F">
            <w:pPr>
              <w:pStyle w:val="17"/>
              <w:spacing w:before="223"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5F96F59F">
            <w:pPr>
              <w:rPr>
                <w:rFonts w:ascii="Arial"/>
                <w:strike/>
                <w:dstrike w:val="0"/>
                <w:color w:val="auto"/>
                <w:sz w:val="21"/>
                <w:highlight w:val="none"/>
              </w:rPr>
            </w:pPr>
          </w:p>
        </w:tc>
        <w:tc>
          <w:tcPr>
            <w:tcW w:w="1171" w:type="dxa"/>
            <w:vAlign w:val="top"/>
          </w:tcPr>
          <w:p w14:paraId="75DE1439">
            <w:pPr>
              <w:rPr>
                <w:rFonts w:ascii="Arial"/>
                <w:strike/>
                <w:dstrike w:val="0"/>
                <w:color w:val="auto"/>
                <w:sz w:val="21"/>
                <w:highlight w:val="none"/>
              </w:rPr>
            </w:pPr>
          </w:p>
        </w:tc>
        <w:tc>
          <w:tcPr>
            <w:tcW w:w="1217" w:type="dxa"/>
            <w:vAlign w:val="top"/>
          </w:tcPr>
          <w:p w14:paraId="47C9712D">
            <w:pPr>
              <w:rPr>
                <w:rFonts w:ascii="Arial"/>
                <w:strike/>
                <w:dstrike w:val="0"/>
                <w:color w:val="auto"/>
                <w:sz w:val="21"/>
                <w:highlight w:val="none"/>
              </w:rPr>
            </w:pPr>
          </w:p>
        </w:tc>
      </w:tr>
      <w:tr w14:paraId="5965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4B345CE4">
            <w:pPr>
              <w:pStyle w:val="17"/>
              <w:spacing w:before="222" w:line="220" w:lineRule="auto"/>
              <w:ind w:left="115"/>
              <w:rPr>
                <w:strike/>
                <w:dstrike w:val="0"/>
                <w:color w:val="auto"/>
                <w:highlight w:val="none"/>
              </w:rPr>
            </w:pPr>
            <w:r>
              <w:rPr>
                <w:strike/>
                <w:dstrike w:val="0"/>
                <w:color w:val="auto"/>
                <w:spacing w:val="-4"/>
                <w:highlight w:val="none"/>
              </w:rPr>
              <w:t>七、</w:t>
            </w:r>
            <w:r>
              <w:rPr>
                <w:strike/>
                <w:dstrike w:val="0"/>
                <w:color w:val="auto"/>
                <w:spacing w:val="19"/>
                <w:highlight w:val="none"/>
              </w:rPr>
              <w:t xml:space="preserve"> </w:t>
            </w:r>
            <w:r>
              <w:rPr>
                <w:strike/>
                <w:dstrike w:val="0"/>
                <w:color w:val="auto"/>
                <w:spacing w:val="-4"/>
                <w:highlight w:val="none"/>
              </w:rPr>
              <w:t>负债合计</w:t>
            </w:r>
          </w:p>
        </w:tc>
        <w:tc>
          <w:tcPr>
            <w:tcW w:w="1136" w:type="dxa"/>
            <w:vAlign w:val="top"/>
          </w:tcPr>
          <w:p w14:paraId="4F44EF67">
            <w:pPr>
              <w:pStyle w:val="17"/>
              <w:spacing w:before="223"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22456259">
            <w:pPr>
              <w:rPr>
                <w:rFonts w:ascii="Arial"/>
                <w:strike/>
                <w:dstrike w:val="0"/>
                <w:color w:val="auto"/>
                <w:sz w:val="21"/>
                <w:highlight w:val="none"/>
              </w:rPr>
            </w:pPr>
          </w:p>
        </w:tc>
        <w:tc>
          <w:tcPr>
            <w:tcW w:w="1171" w:type="dxa"/>
            <w:vAlign w:val="top"/>
          </w:tcPr>
          <w:p w14:paraId="0B8902AB">
            <w:pPr>
              <w:rPr>
                <w:rFonts w:ascii="Arial"/>
                <w:strike/>
                <w:dstrike w:val="0"/>
                <w:color w:val="auto"/>
                <w:sz w:val="21"/>
                <w:highlight w:val="none"/>
              </w:rPr>
            </w:pPr>
          </w:p>
        </w:tc>
        <w:tc>
          <w:tcPr>
            <w:tcW w:w="1217" w:type="dxa"/>
            <w:vAlign w:val="top"/>
          </w:tcPr>
          <w:p w14:paraId="6DB28D1A">
            <w:pPr>
              <w:rPr>
                <w:rFonts w:ascii="Arial"/>
                <w:strike/>
                <w:dstrike w:val="0"/>
                <w:color w:val="auto"/>
                <w:sz w:val="21"/>
                <w:highlight w:val="none"/>
              </w:rPr>
            </w:pPr>
          </w:p>
        </w:tc>
      </w:tr>
      <w:tr w14:paraId="67527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1BE550E8">
            <w:pPr>
              <w:pStyle w:val="17"/>
              <w:spacing w:before="223" w:line="220" w:lineRule="auto"/>
              <w:ind w:left="119"/>
              <w:rPr>
                <w:strike/>
                <w:dstrike w:val="0"/>
                <w:color w:val="auto"/>
                <w:highlight w:val="none"/>
              </w:rPr>
            </w:pPr>
            <w:r>
              <w:rPr>
                <w:strike/>
                <w:dstrike w:val="0"/>
                <w:color w:val="auto"/>
                <w:spacing w:val="-4"/>
                <w:highlight w:val="none"/>
              </w:rPr>
              <w:t>八、</w:t>
            </w:r>
            <w:r>
              <w:rPr>
                <w:strike/>
                <w:dstrike w:val="0"/>
                <w:color w:val="auto"/>
                <w:spacing w:val="14"/>
                <w:highlight w:val="none"/>
              </w:rPr>
              <w:t xml:space="preserve"> </w:t>
            </w:r>
            <w:r>
              <w:rPr>
                <w:strike/>
                <w:dstrike w:val="0"/>
                <w:color w:val="auto"/>
                <w:spacing w:val="-4"/>
                <w:highlight w:val="none"/>
              </w:rPr>
              <w:t>营业收入</w:t>
            </w:r>
          </w:p>
        </w:tc>
        <w:tc>
          <w:tcPr>
            <w:tcW w:w="1136" w:type="dxa"/>
            <w:vAlign w:val="top"/>
          </w:tcPr>
          <w:p w14:paraId="0122FE0E">
            <w:pPr>
              <w:pStyle w:val="17"/>
              <w:spacing w:before="223"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3722BB89">
            <w:pPr>
              <w:rPr>
                <w:rFonts w:ascii="Arial"/>
                <w:strike/>
                <w:dstrike w:val="0"/>
                <w:color w:val="auto"/>
                <w:sz w:val="21"/>
                <w:highlight w:val="none"/>
              </w:rPr>
            </w:pPr>
          </w:p>
        </w:tc>
        <w:tc>
          <w:tcPr>
            <w:tcW w:w="1171" w:type="dxa"/>
            <w:vAlign w:val="top"/>
          </w:tcPr>
          <w:p w14:paraId="3BE33DB2">
            <w:pPr>
              <w:rPr>
                <w:rFonts w:ascii="Arial"/>
                <w:strike/>
                <w:dstrike w:val="0"/>
                <w:color w:val="auto"/>
                <w:sz w:val="21"/>
                <w:highlight w:val="none"/>
              </w:rPr>
            </w:pPr>
          </w:p>
        </w:tc>
        <w:tc>
          <w:tcPr>
            <w:tcW w:w="1217" w:type="dxa"/>
            <w:vAlign w:val="top"/>
          </w:tcPr>
          <w:p w14:paraId="4588DCC4">
            <w:pPr>
              <w:rPr>
                <w:rFonts w:ascii="Arial"/>
                <w:strike/>
                <w:dstrike w:val="0"/>
                <w:color w:val="auto"/>
                <w:sz w:val="21"/>
                <w:highlight w:val="none"/>
              </w:rPr>
            </w:pPr>
          </w:p>
        </w:tc>
      </w:tr>
      <w:tr w14:paraId="0FF16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0AC9D50C">
            <w:pPr>
              <w:pStyle w:val="17"/>
              <w:spacing w:before="224" w:line="220" w:lineRule="auto"/>
              <w:ind w:left="121"/>
              <w:rPr>
                <w:strike/>
                <w:dstrike w:val="0"/>
                <w:color w:val="auto"/>
                <w:highlight w:val="none"/>
              </w:rPr>
            </w:pPr>
            <w:r>
              <w:rPr>
                <w:strike/>
                <w:dstrike w:val="0"/>
                <w:color w:val="auto"/>
                <w:spacing w:val="-5"/>
                <w:highlight w:val="none"/>
              </w:rPr>
              <w:t>九、</w:t>
            </w:r>
            <w:r>
              <w:rPr>
                <w:strike/>
                <w:dstrike w:val="0"/>
                <w:color w:val="auto"/>
                <w:spacing w:val="13"/>
                <w:highlight w:val="none"/>
              </w:rPr>
              <w:t xml:space="preserve"> </w:t>
            </w:r>
            <w:r>
              <w:rPr>
                <w:strike/>
                <w:dstrike w:val="0"/>
                <w:color w:val="auto"/>
                <w:spacing w:val="-5"/>
                <w:highlight w:val="none"/>
              </w:rPr>
              <w:t>净利润</w:t>
            </w:r>
          </w:p>
        </w:tc>
        <w:tc>
          <w:tcPr>
            <w:tcW w:w="1136" w:type="dxa"/>
            <w:vAlign w:val="top"/>
          </w:tcPr>
          <w:p w14:paraId="64144DEE">
            <w:pPr>
              <w:pStyle w:val="17"/>
              <w:spacing w:before="224"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732654B2">
            <w:pPr>
              <w:rPr>
                <w:rFonts w:ascii="Arial"/>
                <w:strike/>
                <w:dstrike w:val="0"/>
                <w:color w:val="auto"/>
                <w:sz w:val="21"/>
                <w:highlight w:val="none"/>
              </w:rPr>
            </w:pPr>
          </w:p>
        </w:tc>
        <w:tc>
          <w:tcPr>
            <w:tcW w:w="1171" w:type="dxa"/>
            <w:vAlign w:val="top"/>
          </w:tcPr>
          <w:p w14:paraId="7FB563DC">
            <w:pPr>
              <w:rPr>
                <w:rFonts w:ascii="Arial"/>
                <w:strike/>
                <w:dstrike w:val="0"/>
                <w:color w:val="auto"/>
                <w:sz w:val="21"/>
                <w:highlight w:val="none"/>
              </w:rPr>
            </w:pPr>
          </w:p>
        </w:tc>
        <w:tc>
          <w:tcPr>
            <w:tcW w:w="1217" w:type="dxa"/>
            <w:vAlign w:val="top"/>
          </w:tcPr>
          <w:p w14:paraId="7BE77B68">
            <w:pPr>
              <w:rPr>
                <w:rFonts w:ascii="Arial"/>
                <w:strike/>
                <w:dstrike w:val="0"/>
                <w:color w:val="auto"/>
                <w:sz w:val="21"/>
                <w:highlight w:val="none"/>
              </w:rPr>
            </w:pPr>
          </w:p>
        </w:tc>
      </w:tr>
      <w:tr w14:paraId="3DE4F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176" w:type="dxa"/>
            <w:vAlign w:val="top"/>
          </w:tcPr>
          <w:p w14:paraId="262D9E92">
            <w:pPr>
              <w:pStyle w:val="17"/>
              <w:spacing w:before="222" w:line="220" w:lineRule="auto"/>
              <w:ind w:left="116"/>
              <w:rPr>
                <w:strike/>
                <w:dstrike w:val="0"/>
                <w:color w:val="auto"/>
                <w:highlight w:val="none"/>
              </w:rPr>
            </w:pPr>
            <w:r>
              <w:rPr>
                <w:strike/>
                <w:dstrike w:val="0"/>
                <w:color w:val="auto"/>
                <w:spacing w:val="-1"/>
                <w:highlight w:val="none"/>
              </w:rPr>
              <w:t>十、 现金流量净额</w:t>
            </w:r>
          </w:p>
        </w:tc>
        <w:tc>
          <w:tcPr>
            <w:tcW w:w="1136" w:type="dxa"/>
            <w:vAlign w:val="top"/>
          </w:tcPr>
          <w:p w14:paraId="5A686955">
            <w:pPr>
              <w:pStyle w:val="17"/>
              <w:spacing w:before="223"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2BEE4866">
            <w:pPr>
              <w:rPr>
                <w:rFonts w:ascii="Arial"/>
                <w:strike/>
                <w:dstrike w:val="0"/>
                <w:color w:val="auto"/>
                <w:sz w:val="21"/>
                <w:highlight w:val="none"/>
              </w:rPr>
            </w:pPr>
          </w:p>
        </w:tc>
        <w:tc>
          <w:tcPr>
            <w:tcW w:w="1171" w:type="dxa"/>
            <w:vAlign w:val="top"/>
          </w:tcPr>
          <w:p w14:paraId="2552E664">
            <w:pPr>
              <w:rPr>
                <w:rFonts w:ascii="Arial"/>
                <w:strike/>
                <w:dstrike w:val="0"/>
                <w:color w:val="auto"/>
                <w:sz w:val="21"/>
                <w:highlight w:val="none"/>
              </w:rPr>
            </w:pPr>
          </w:p>
        </w:tc>
        <w:tc>
          <w:tcPr>
            <w:tcW w:w="1217" w:type="dxa"/>
            <w:vAlign w:val="top"/>
          </w:tcPr>
          <w:p w14:paraId="19401885">
            <w:pPr>
              <w:rPr>
                <w:rFonts w:ascii="Arial"/>
                <w:strike/>
                <w:dstrike w:val="0"/>
                <w:color w:val="auto"/>
                <w:sz w:val="21"/>
                <w:highlight w:val="none"/>
              </w:rPr>
            </w:pPr>
          </w:p>
        </w:tc>
      </w:tr>
      <w:tr w14:paraId="112CA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41F1BA63">
            <w:pPr>
              <w:pStyle w:val="17"/>
              <w:spacing w:before="224" w:line="220" w:lineRule="auto"/>
              <w:ind w:left="116"/>
              <w:rPr>
                <w:strike/>
                <w:dstrike w:val="0"/>
                <w:color w:val="auto"/>
                <w:highlight w:val="none"/>
              </w:rPr>
            </w:pPr>
            <w:r>
              <w:rPr>
                <w:strike/>
                <w:dstrike w:val="0"/>
                <w:color w:val="auto"/>
                <w:spacing w:val="-2"/>
                <w:highlight w:val="none"/>
              </w:rPr>
              <w:t>十一、 主要财务指标</w:t>
            </w:r>
          </w:p>
        </w:tc>
        <w:tc>
          <w:tcPr>
            <w:tcW w:w="1136" w:type="dxa"/>
            <w:vAlign w:val="top"/>
          </w:tcPr>
          <w:p w14:paraId="1B2B8645">
            <w:pPr>
              <w:rPr>
                <w:rFonts w:ascii="Arial"/>
                <w:strike/>
                <w:dstrike w:val="0"/>
                <w:color w:val="auto"/>
                <w:sz w:val="21"/>
                <w:highlight w:val="none"/>
              </w:rPr>
            </w:pPr>
          </w:p>
        </w:tc>
        <w:tc>
          <w:tcPr>
            <w:tcW w:w="1215" w:type="dxa"/>
            <w:vAlign w:val="top"/>
          </w:tcPr>
          <w:p w14:paraId="5B11E2B2">
            <w:pPr>
              <w:rPr>
                <w:rFonts w:ascii="Arial"/>
                <w:strike/>
                <w:dstrike w:val="0"/>
                <w:color w:val="auto"/>
                <w:sz w:val="21"/>
                <w:highlight w:val="none"/>
              </w:rPr>
            </w:pPr>
          </w:p>
        </w:tc>
        <w:tc>
          <w:tcPr>
            <w:tcW w:w="1171" w:type="dxa"/>
            <w:vAlign w:val="top"/>
          </w:tcPr>
          <w:p w14:paraId="3CFAB31D">
            <w:pPr>
              <w:rPr>
                <w:rFonts w:ascii="Arial"/>
                <w:strike/>
                <w:dstrike w:val="0"/>
                <w:color w:val="auto"/>
                <w:sz w:val="21"/>
                <w:highlight w:val="none"/>
              </w:rPr>
            </w:pPr>
          </w:p>
        </w:tc>
        <w:tc>
          <w:tcPr>
            <w:tcW w:w="1217" w:type="dxa"/>
            <w:vAlign w:val="top"/>
          </w:tcPr>
          <w:p w14:paraId="6C983497">
            <w:pPr>
              <w:rPr>
                <w:rFonts w:ascii="Arial"/>
                <w:strike/>
                <w:dstrike w:val="0"/>
                <w:color w:val="auto"/>
                <w:sz w:val="21"/>
                <w:highlight w:val="none"/>
              </w:rPr>
            </w:pPr>
          </w:p>
        </w:tc>
      </w:tr>
      <w:tr w14:paraId="07CDC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5C11D03C">
            <w:pPr>
              <w:pStyle w:val="17"/>
              <w:spacing w:before="224" w:line="220" w:lineRule="auto"/>
              <w:ind w:left="131"/>
              <w:rPr>
                <w:strike/>
                <w:dstrike w:val="0"/>
                <w:color w:val="auto"/>
                <w:highlight w:val="none"/>
              </w:rPr>
            </w:pPr>
            <w:r>
              <w:rPr>
                <w:strike/>
                <w:dstrike w:val="0"/>
                <w:color w:val="auto"/>
                <w:spacing w:val="-3"/>
                <w:highlight w:val="none"/>
              </w:rPr>
              <w:t>1. 净资产收益率</w:t>
            </w:r>
          </w:p>
        </w:tc>
        <w:tc>
          <w:tcPr>
            <w:tcW w:w="1136" w:type="dxa"/>
            <w:vAlign w:val="top"/>
          </w:tcPr>
          <w:p w14:paraId="2001E3A8">
            <w:pPr>
              <w:pStyle w:val="17"/>
              <w:spacing w:before="224"/>
              <w:ind w:left="515"/>
              <w:rPr>
                <w:strike/>
                <w:dstrike w:val="0"/>
                <w:color w:val="auto"/>
                <w:highlight w:val="none"/>
              </w:rPr>
            </w:pPr>
            <w:r>
              <w:rPr>
                <w:strike/>
                <w:dstrike w:val="0"/>
                <w:color w:val="auto"/>
                <w:highlight w:val="none"/>
              </w:rPr>
              <w:t>%</w:t>
            </w:r>
          </w:p>
        </w:tc>
        <w:tc>
          <w:tcPr>
            <w:tcW w:w="1215" w:type="dxa"/>
            <w:vAlign w:val="top"/>
          </w:tcPr>
          <w:p w14:paraId="4E22057E">
            <w:pPr>
              <w:rPr>
                <w:rFonts w:ascii="Arial"/>
                <w:strike/>
                <w:dstrike w:val="0"/>
                <w:color w:val="auto"/>
                <w:sz w:val="21"/>
                <w:highlight w:val="none"/>
              </w:rPr>
            </w:pPr>
          </w:p>
        </w:tc>
        <w:tc>
          <w:tcPr>
            <w:tcW w:w="1171" w:type="dxa"/>
            <w:vAlign w:val="top"/>
          </w:tcPr>
          <w:p w14:paraId="3C8A678E">
            <w:pPr>
              <w:rPr>
                <w:rFonts w:ascii="Arial"/>
                <w:strike/>
                <w:dstrike w:val="0"/>
                <w:color w:val="auto"/>
                <w:sz w:val="21"/>
                <w:highlight w:val="none"/>
              </w:rPr>
            </w:pPr>
          </w:p>
        </w:tc>
        <w:tc>
          <w:tcPr>
            <w:tcW w:w="1217" w:type="dxa"/>
            <w:vAlign w:val="top"/>
          </w:tcPr>
          <w:p w14:paraId="0C013DAA">
            <w:pPr>
              <w:rPr>
                <w:rFonts w:ascii="Arial"/>
                <w:strike/>
                <w:dstrike w:val="0"/>
                <w:color w:val="auto"/>
                <w:sz w:val="21"/>
                <w:highlight w:val="none"/>
              </w:rPr>
            </w:pPr>
          </w:p>
        </w:tc>
      </w:tr>
      <w:tr w14:paraId="4264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48401320">
            <w:pPr>
              <w:pStyle w:val="17"/>
              <w:spacing w:before="224" w:line="220" w:lineRule="auto"/>
              <w:ind w:left="118"/>
              <w:rPr>
                <w:strike/>
                <w:dstrike w:val="0"/>
                <w:color w:val="auto"/>
                <w:highlight w:val="none"/>
              </w:rPr>
            </w:pPr>
            <w:r>
              <w:rPr>
                <w:strike/>
                <w:dstrike w:val="0"/>
                <w:color w:val="auto"/>
                <w:spacing w:val="-3"/>
                <w:highlight w:val="none"/>
              </w:rPr>
              <w:t>2.</w:t>
            </w:r>
            <w:r>
              <w:rPr>
                <w:strike/>
                <w:dstrike w:val="0"/>
                <w:color w:val="auto"/>
                <w:spacing w:val="14"/>
                <w:highlight w:val="none"/>
              </w:rPr>
              <w:t xml:space="preserve"> </w:t>
            </w:r>
            <w:r>
              <w:rPr>
                <w:strike/>
                <w:dstrike w:val="0"/>
                <w:color w:val="auto"/>
                <w:spacing w:val="-3"/>
                <w:highlight w:val="none"/>
              </w:rPr>
              <w:t>总资产报酬率</w:t>
            </w:r>
          </w:p>
        </w:tc>
        <w:tc>
          <w:tcPr>
            <w:tcW w:w="1136" w:type="dxa"/>
            <w:vAlign w:val="top"/>
          </w:tcPr>
          <w:p w14:paraId="66569FD1">
            <w:pPr>
              <w:pStyle w:val="17"/>
              <w:spacing w:before="225"/>
              <w:ind w:left="515"/>
              <w:rPr>
                <w:strike/>
                <w:dstrike w:val="0"/>
                <w:color w:val="auto"/>
                <w:highlight w:val="none"/>
              </w:rPr>
            </w:pPr>
            <w:r>
              <w:rPr>
                <w:strike/>
                <w:dstrike w:val="0"/>
                <w:color w:val="auto"/>
                <w:highlight w:val="none"/>
              </w:rPr>
              <w:t>%</w:t>
            </w:r>
          </w:p>
        </w:tc>
        <w:tc>
          <w:tcPr>
            <w:tcW w:w="1215" w:type="dxa"/>
            <w:vAlign w:val="top"/>
          </w:tcPr>
          <w:p w14:paraId="4963FC23">
            <w:pPr>
              <w:rPr>
                <w:rFonts w:ascii="Arial"/>
                <w:strike/>
                <w:dstrike w:val="0"/>
                <w:color w:val="auto"/>
                <w:sz w:val="21"/>
                <w:highlight w:val="none"/>
              </w:rPr>
            </w:pPr>
          </w:p>
        </w:tc>
        <w:tc>
          <w:tcPr>
            <w:tcW w:w="1171" w:type="dxa"/>
            <w:vAlign w:val="top"/>
          </w:tcPr>
          <w:p w14:paraId="5CE23F70">
            <w:pPr>
              <w:rPr>
                <w:rFonts w:ascii="Arial"/>
                <w:strike/>
                <w:dstrike w:val="0"/>
                <w:color w:val="auto"/>
                <w:sz w:val="21"/>
                <w:highlight w:val="none"/>
              </w:rPr>
            </w:pPr>
          </w:p>
        </w:tc>
        <w:tc>
          <w:tcPr>
            <w:tcW w:w="1217" w:type="dxa"/>
            <w:vAlign w:val="top"/>
          </w:tcPr>
          <w:p w14:paraId="0DB18D66">
            <w:pPr>
              <w:rPr>
                <w:rFonts w:ascii="Arial"/>
                <w:strike/>
                <w:dstrike w:val="0"/>
                <w:color w:val="auto"/>
                <w:sz w:val="21"/>
                <w:highlight w:val="none"/>
              </w:rPr>
            </w:pPr>
          </w:p>
        </w:tc>
      </w:tr>
      <w:tr w14:paraId="61A48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531E281F">
            <w:pPr>
              <w:pStyle w:val="17"/>
              <w:spacing w:before="225" w:line="220" w:lineRule="auto"/>
              <w:ind w:left="120"/>
              <w:rPr>
                <w:strike/>
                <w:dstrike w:val="0"/>
                <w:color w:val="auto"/>
                <w:highlight w:val="none"/>
              </w:rPr>
            </w:pPr>
            <w:r>
              <w:rPr>
                <w:strike/>
                <w:dstrike w:val="0"/>
                <w:color w:val="auto"/>
                <w:spacing w:val="-2"/>
                <w:highlight w:val="none"/>
              </w:rPr>
              <w:t>3. 主营业务利润率</w:t>
            </w:r>
          </w:p>
        </w:tc>
        <w:tc>
          <w:tcPr>
            <w:tcW w:w="1136" w:type="dxa"/>
            <w:vAlign w:val="top"/>
          </w:tcPr>
          <w:p w14:paraId="18E7B1DC">
            <w:pPr>
              <w:pStyle w:val="17"/>
              <w:spacing w:before="225"/>
              <w:ind w:left="515"/>
              <w:rPr>
                <w:strike/>
                <w:dstrike w:val="0"/>
                <w:color w:val="auto"/>
                <w:highlight w:val="none"/>
              </w:rPr>
            </w:pPr>
            <w:r>
              <w:rPr>
                <w:strike/>
                <w:dstrike w:val="0"/>
                <w:color w:val="auto"/>
                <w:highlight w:val="none"/>
              </w:rPr>
              <w:t>%</w:t>
            </w:r>
          </w:p>
        </w:tc>
        <w:tc>
          <w:tcPr>
            <w:tcW w:w="1215" w:type="dxa"/>
            <w:vAlign w:val="top"/>
          </w:tcPr>
          <w:p w14:paraId="41E35235">
            <w:pPr>
              <w:rPr>
                <w:rFonts w:ascii="Arial"/>
                <w:strike/>
                <w:dstrike w:val="0"/>
                <w:color w:val="auto"/>
                <w:sz w:val="21"/>
                <w:highlight w:val="none"/>
              </w:rPr>
            </w:pPr>
          </w:p>
        </w:tc>
        <w:tc>
          <w:tcPr>
            <w:tcW w:w="1171" w:type="dxa"/>
            <w:vAlign w:val="top"/>
          </w:tcPr>
          <w:p w14:paraId="6BF2AABF">
            <w:pPr>
              <w:rPr>
                <w:rFonts w:ascii="Arial"/>
                <w:strike/>
                <w:dstrike w:val="0"/>
                <w:color w:val="auto"/>
                <w:sz w:val="21"/>
                <w:highlight w:val="none"/>
              </w:rPr>
            </w:pPr>
          </w:p>
        </w:tc>
        <w:tc>
          <w:tcPr>
            <w:tcW w:w="1217" w:type="dxa"/>
            <w:vAlign w:val="top"/>
          </w:tcPr>
          <w:p w14:paraId="31CB582C">
            <w:pPr>
              <w:rPr>
                <w:rFonts w:ascii="Arial"/>
                <w:strike/>
                <w:dstrike w:val="0"/>
                <w:color w:val="auto"/>
                <w:sz w:val="21"/>
                <w:highlight w:val="none"/>
              </w:rPr>
            </w:pPr>
          </w:p>
        </w:tc>
      </w:tr>
      <w:tr w14:paraId="2C251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C05E1E0">
            <w:pPr>
              <w:pStyle w:val="17"/>
              <w:spacing w:before="225" w:line="220" w:lineRule="auto"/>
              <w:ind w:left="115"/>
              <w:rPr>
                <w:strike/>
                <w:dstrike w:val="0"/>
                <w:color w:val="auto"/>
                <w:highlight w:val="none"/>
              </w:rPr>
            </w:pPr>
            <w:r>
              <w:rPr>
                <w:strike/>
                <w:dstrike w:val="0"/>
                <w:color w:val="auto"/>
                <w:spacing w:val="-3"/>
                <w:highlight w:val="none"/>
              </w:rPr>
              <w:t>4.</w:t>
            </w:r>
            <w:r>
              <w:rPr>
                <w:strike/>
                <w:dstrike w:val="0"/>
                <w:color w:val="auto"/>
                <w:spacing w:val="16"/>
                <w:highlight w:val="none"/>
              </w:rPr>
              <w:t xml:space="preserve"> </w:t>
            </w:r>
            <w:r>
              <w:rPr>
                <w:strike/>
                <w:dstrike w:val="0"/>
                <w:color w:val="auto"/>
                <w:spacing w:val="-3"/>
                <w:highlight w:val="none"/>
              </w:rPr>
              <w:t>资产负债率</w:t>
            </w:r>
          </w:p>
        </w:tc>
        <w:tc>
          <w:tcPr>
            <w:tcW w:w="1136" w:type="dxa"/>
            <w:vAlign w:val="top"/>
          </w:tcPr>
          <w:p w14:paraId="14411880">
            <w:pPr>
              <w:pStyle w:val="17"/>
              <w:spacing w:before="225"/>
              <w:ind w:left="514"/>
              <w:rPr>
                <w:strike/>
                <w:dstrike w:val="0"/>
                <w:color w:val="auto"/>
                <w:highlight w:val="none"/>
              </w:rPr>
            </w:pPr>
            <w:r>
              <w:rPr>
                <w:strike/>
                <w:dstrike w:val="0"/>
                <w:color w:val="auto"/>
                <w:highlight w:val="none"/>
              </w:rPr>
              <w:t>%</w:t>
            </w:r>
          </w:p>
        </w:tc>
        <w:tc>
          <w:tcPr>
            <w:tcW w:w="1215" w:type="dxa"/>
            <w:vAlign w:val="top"/>
          </w:tcPr>
          <w:p w14:paraId="233908F4">
            <w:pPr>
              <w:rPr>
                <w:rFonts w:ascii="Arial"/>
                <w:strike/>
                <w:dstrike w:val="0"/>
                <w:color w:val="auto"/>
                <w:sz w:val="21"/>
                <w:highlight w:val="none"/>
              </w:rPr>
            </w:pPr>
          </w:p>
        </w:tc>
        <w:tc>
          <w:tcPr>
            <w:tcW w:w="1171" w:type="dxa"/>
            <w:vAlign w:val="top"/>
          </w:tcPr>
          <w:p w14:paraId="08CDF0F9">
            <w:pPr>
              <w:rPr>
                <w:rFonts w:ascii="Arial"/>
                <w:strike/>
                <w:dstrike w:val="0"/>
                <w:color w:val="auto"/>
                <w:sz w:val="21"/>
                <w:highlight w:val="none"/>
              </w:rPr>
            </w:pPr>
          </w:p>
        </w:tc>
        <w:tc>
          <w:tcPr>
            <w:tcW w:w="1217" w:type="dxa"/>
            <w:vAlign w:val="top"/>
          </w:tcPr>
          <w:p w14:paraId="49ADD098">
            <w:pPr>
              <w:rPr>
                <w:rFonts w:ascii="Arial"/>
                <w:strike/>
                <w:dstrike w:val="0"/>
                <w:color w:val="auto"/>
                <w:sz w:val="21"/>
                <w:highlight w:val="none"/>
              </w:rPr>
            </w:pPr>
          </w:p>
        </w:tc>
      </w:tr>
      <w:tr w14:paraId="60BAA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vAlign w:val="top"/>
          </w:tcPr>
          <w:p w14:paraId="3A127D26">
            <w:pPr>
              <w:pStyle w:val="17"/>
              <w:spacing w:before="224" w:line="220" w:lineRule="auto"/>
              <w:ind w:left="120"/>
              <w:rPr>
                <w:strike/>
                <w:dstrike w:val="0"/>
                <w:color w:val="auto"/>
                <w:highlight w:val="none"/>
              </w:rPr>
            </w:pPr>
            <w:r>
              <w:rPr>
                <w:strike/>
                <w:dstrike w:val="0"/>
                <w:color w:val="auto"/>
                <w:spacing w:val="-2"/>
                <w:highlight w:val="none"/>
              </w:rPr>
              <w:t>5. 流动比率</w:t>
            </w:r>
          </w:p>
        </w:tc>
        <w:tc>
          <w:tcPr>
            <w:tcW w:w="1136" w:type="dxa"/>
            <w:vAlign w:val="top"/>
          </w:tcPr>
          <w:p w14:paraId="59270668">
            <w:pPr>
              <w:pStyle w:val="17"/>
              <w:spacing w:before="224"/>
              <w:ind w:left="514"/>
              <w:rPr>
                <w:strike/>
                <w:dstrike w:val="0"/>
                <w:color w:val="auto"/>
                <w:highlight w:val="none"/>
              </w:rPr>
            </w:pPr>
            <w:r>
              <w:rPr>
                <w:strike/>
                <w:dstrike w:val="0"/>
                <w:color w:val="auto"/>
                <w:highlight w:val="none"/>
              </w:rPr>
              <w:t>%</w:t>
            </w:r>
          </w:p>
        </w:tc>
        <w:tc>
          <w:tcPr>
            <w:tcW w:w="1215" w:type="dxa"/>
            <w:vAlign w:val="top"/>
          </w:tcPr>
          <w:p w14:paraId="420351E4">
            <w:pPr>
              <w:rPr>
                <w:rFonts w:ascii="Arial"/>
                <w:strike/>
                <w:dstrike w:val="0"/>
                <w:color w:val="auto"/>
                <w:sz w:val="21"/>
                <w:highlight w:val="none"/>
              </w:rPr>
            </w:pPr>
          </w:p>
        </w:tc>
        <w:tc>
          <w:tcPr>
            <w:tcW w:w="1171" w:type="dxa"/>
            <w:vAlign w:val="top"/>
          </w:tcPr>
          <w:p w14:paraId="7D6C61F0">
            <w:pPr>
              <w:rPr>
                <w:rFonts w:ascii="Arial"/>
                <w:strike/>
                <w:dstrike w:val="0"/>
                <w:color w:val="auto"/>
                <w:sz w:val="21"/>
                <w:highlight w:val="none"/>
              </w:rPr>
            </w:pPr>
          </w:p>
        </w:tc>
        <w:tc>
          <w:tcPr>
            <w:tcW w:w="1217" w:type="dxa"/>
            <w:vAlign w:val="top"/>
          </w:tcPr>
          <w:p w14:paraId="6B21D1C4">
            <w:pPr>
              <w:rPr>
                <w:rFonts w:ascii="Arial"/>
                <w:strike/>
                <w:dstrike w:val="0"/>
                <w:color w:val="auto"/>
                <w:sz w:val="21"/>
                <w:highlight w:val="none"/>
              </w:rPr>
            </w:pPr>
          </w:p>
        </w:tc>
      </w:tr>
      <w:tr w14:paraId="1589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4CDDD64F">
            <w:pPr>
              <w:pStyle w:val="17"/>
              <w:spacing w:before="225" w:line="220" w:lineRule="auto"/>
              <w:ind w:left="117"/>
              <w:rPr>
                <w:strike/>
                <w:dstrike w:val="0"/>
                <w:color w:val="auto"/>
                <w:highlight w:val="none"/>
              </w:rPr>
            </w:pPr>
            <w:r>
              <w:rPr>
                <w:strike/>
                <w:dstrike w:val="0"/>
                <w:color w:val="auto"/>
                <w:spacing w:val="-2"/>
                <w:highlight w:val="none"/>
              </w:rPr>
              <w:t>6. 速动比率</w:t>
            </w:r>
          </w:p>
        </w:tc>
        <w:tc>
          <w:tcPr>
            <w:tcW w:w="1136" w:type="dxa"/>
            <w:vAlign w:val="top"/>
          </w:tcPr>
          <w:p w14:paraId="79BC7419">
            <w:pPr>
              <w:pStyle w:val="17"/>
              <w:spacing w:before="225"/>
              <w:ind w:left="514"/>
              <w:rPr>
                <w:strike/>
                <w:dstrike w:val="0"/>
                <w:color w:val="auto"/>
                <w:highlight w:val="none"/>
              </w:rPr>
            </w:pPr>
            <w:r>
              <w:rPr>
                <w:strike/>
                <w:dstrike w:val="0"/>
                <w:color w:val="auto"/>
                <w:highlight w:val="none"/>
              </w:rPr>
              <w:t>%</w:t>
            </w:r>
          </w:p>
        </w:tc>
        <w:tc>
          <w:tcPr>
            <w:tcW w:w="1215" w:type="dxa"/>
            <w:vAlign w:val="top"/>
          </w:tcPr>
          <w:p w14:paraId="6A5B047A">
            <w:pPr>
              <w:rPr>
                <w:rFonts w:ascii="Arial"/>
                <w:strike/>
                <w:dstrike w:val="0"/>
                <w:color w:val="auto"/>
                <w:sz w:val="21"/>
                <w:highlight w:val="none"/>
              </w:rPr>
            </w:pPr>
          </w:p>
        </w:tc>
        <w:tc>
          <w:tcPr>
            <w:tcW w:w="1171" w:type="dxa"/>
            <w:vAlign w:val="top"/>
          </w:tcPr>
          <w:p w14:paraId="1EB065EB">
            <w:pPr>
              <w:rPr>
                <w:rFonts w:ascii="Arial"/>
                <w:strike/>
                <w:dstrike w:val="0"/>
                <w:color w:val="auto"/>
                <w:sz w:val="21"/>
                <w:highlight w:val="none"/>
              </w:rPr>
            </w:pPr>
          </w:p>
        </w:tc>
        <w:tc>
          <w:tcPr>
            <w:tcW w:w="1217" w:type="dxa"/>
            <w:vAlign w:val="top"/>
          </w:tcPr>
          <w:p w14:paraId="3C5FB7E9">
            <w:pPr>
              <w:rPr>
                <w:rFonts w:ascii="Arial"/>
                <w:strike/>
                <w:dstrike w:val="0"/>
                <w:color w:val="auto"/>
                <w:sz w:val="21"/>
                <w:highlight w:val="none"/>
              </w:rPr>
            </w:pPr>
          </w:p>
        </w:tc>
      </w:tr>
      <w:tr w14:paraId="3A740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71043EA">
            <w:pPr>
              <w:pStyle w:val="17"/>
              <w:spacing w:before="225" w:line="220" w:lineRule="auto"/>
              <w:ind w:left="622"/>
              <w:rPr>
                <w:strike/>
                <w:dstrike w:val="0"/>
                <w:color w:val="auto"/>
                <w:highlight w:val="none"/>
              </w:rPr>
            </w:pPr>
            <w:r>
              <w:rPr>
                <w:strike/>
                <w:dstrike w:val="0"/>
                <w:color w:val="auto"/>
                <w:spacing w:val="-1"/>
                <w:highlight w:val="none"/>
              </w:rPr>
              <w:t>近三个年度的年平均营业总收入</w:t>
            </w:r>
          </w:p>
        </w:tc>
        <w:tc>
          <w:tcPr>
            <w:tcW w:w="1136" w:type="dxa"/>
            <w:vAlign w:val="top"/>
          </w:tcPr>
          <w:p w14:paraId="595E7CF5">
            <w:pPr>
              <w:pStyle w:val="17"/>
              <w:spacing w:before="226"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01B85B1B">
            <w:pPr>
              <w:rPr>
                <w:rFonts w:ascii="Arial"/>
                <w:strike/>
                <w:dstrike w:val="0"/>
                <w:color w:val="auto"/>
                <w:sz w:val="21"/>
                <w:highlight w:val="none"/>
              </w:rPr>
            </w:pPr>
          </w:p>
        </w:tc>
        <w:tc>
          <w:tcPr>
            <w:tcW w:w="1171" w:type="dxa"/>
            <w:vAlign w:val="top"/>
          </w:tcPr>
          <w:p w14:paraId="45B457A1">
            <w:pPr>
              <w:rPr>
                <w:rFonts w:ascii="Arial"/>
                <w:strike/>
                <w:dstrike w:val="0"/>
                <w:color w:val="auto"/>
                <w:sz w:val="21"/>
                <w:highlight w:val="none"/>
              </w:rPr>
            </w:pPr>
          </w:p>
        </w:tc>
        <w:tc>
          <w:tcPr>
            <w:tcW w:w="1217" w:type="dxa"/>
            <w:vAlign w:val="top"/>
          </w:tcPr>
          <w:p w14:paraId="00AFA177">
            <w:pPr>
              <w:rPr>
                <w:rFonts w:ascii="Arial"/>
                <w:strike/>
                <w:dstrike w:val="0"/>
                <w:color w:val="auto"/>
                <w:sz w:val="21"/>
                <w:highlight w:val="none"/>
              </w:rPr>
            </w:pPr>
          </w:p>
        </w:tc>
      </w:tr>
      <w:tr w14:paraId="21357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4176" w:type="dxa"/>
            <w:vAlign w:val="top"/>
          </w:tcPr>
          <w:p w14:paraId="7DCAEFB4">
            <w:pPr>
              <w:pStyle w:val="17"/>
              <w:spacing w:before="143" w:line="220" w:lineRule="auto"/>
              <w:ind w:left="154"/>
              <w:rPr>
                <w:strike/>
                <w:dstrike w:val="0"/>
                <w:color w:val="auto"/>
                <w:highlight w:val="none"/>
              </w:rPr>
            </w:pPr>
            <w:r>
              <w:rPr>
                <w:strike/>
                <w:dstrike w:val="0"/>
                <w:color w:val="auto"/>
                <w:spacing w:val="-1"/>
                <w:highlight w:val="none"/>
              </w:rPr>
              <w:t>最新年度具有的营运资金（流动资产-流动</w:t>
            </w:r>
          </w:p>
          <w:p w14:paraId="6BCE444D">
            <w:pPr>
              <w:pStyle w:val="17"/>
              <w:spacing w:before="149" w:line="220" w:lineRule="auto"/>
              <w:ind w:left="1786"/>
              <w:rPr>
                <w:strike/>
                <w:dstrike w:val="0"/>
                <w:color w:val="auto"/>
                <w:highlight w:val="none"/>
              </w:rPr>
            </w:pPr>
            <w:r>
              <w:rPr>
                <w:strike/>
                <w:dstrike w:val="0"/>
                <w:color w:val="auto"/>
                <w:spacing w:val="-7"/>
                <w:highlight w:val="none"/>
              </w:rPr>
              <w:t>负债）</w:t>
            </w:r>
          </w:p>
        </w:tc>
        <w:tc>
          <w:tcPr>
            <w:tcW w:w="1136" w:type="dxa"/>
            <w:vAlign w:val="top"/>
          </w:tcPr>
          <w:p w14:paraId="5813DDB6">
            <w:pPr>
              <w:spacing w:line="273" w:lineRule="auto"/>
              <w:rPr>
                <w:rFonts w:ascii="Arial"/>
                <w:strike/>
                <w:dstrike w:val="0"/>
                <w:color w:val="auto"/>
                <w:sz w:val="21"/>
                <w:highlight w:val="none"/>
              </w:rPr>
            </w:pPr>
          </w:p>
          <w:p w14:paraId="59BC0926">
            <w:pPr>
              <w:pStyle w:val="17"/>
              <w:spacing w:before="68" w:line="220" w:lineRule="auto"/>
              <w:ind w:left="367"/>
              <w:rPr>
                <w:strike/>
                <w:dstrike w:val="0"/>
                <w:color w:val="auto"/>
                <w:highlight w:val="none"/>
              </w:rPr>
            </w:pPr>
            <w:r>
              <w:rPr>
                <w:strike/>
                <w:dstrike w:val="0"/>
                <w:color w:val="auto"/>
                <w:spacing w:val="-4"/>
                <w:highlight w:val="none"/>
              </w:rPr>
              <w:t>万元</w:t>
            </w:r>
          </w:p>
        </w:tc>
        <w:tc>
          <w:tcPr>
            <w:tcW w:w="1215" w:type="dxa"/>
            <w:vAlign w:val="top"/>
          </w:tcPr>
          <w:p w14:paraId="5B04F5CC">
            <w:pPr>
              <w:rPr>
                <w:rFonts w:ascii="Arial"/>
                <w:strike/>
                <w:dstrike w:val="0"/>
                <w:color w:val="auto"/>
                <w:sz w:val="21"/>
                <w:highlight w:val="none"/>
              </w:rPr>
            </w:pPr>
          </w:p>
        </w:tc>
        <w:tc>
          <w:tcPr>
            <w:tcW w:w="1171" w:type="dxa"/>
            <w:vAlign w:val="top"/>
          </w:tcPr>
          <w:p w14:paraId="6003C5AA">
            <w:pPr>
              <w:rPr>
                <w:rFonts w:ascii="Arial"/>
                <w:strike/>
                <w:dstrike w:val="0"/>
                <w:color w:val="auto"/>
                <w:sz w:val="21"/>
                <w:highlight w:val="none"/>
              </w:rPr>
            </w:pPr>
          </w:p>
        </w:tc>
        <w:tc>
          <w:tcPr>
            <w:tcW w:w="1217" w:type="dxa"/>
            <w:vAlign w:val="top"/>
          </w:tcPr>
          <w:p w14:paraId="04C4F459">
            <w:pPr>
              <w:rPr>
                <w:rFonts w:ascii="Arial"/>
                <w:strike/>
                <w:dstrike w:val="0"/>
                <w:color w:val="auto"/>
                <w:sz w:val="21"/>
                <w:highlight w:val="none"/>
              </w:rPr>
            </w:pPr>
          </w:p>
        </w:tc>
      </w:tr>
    </w:tbl>
    <w:p w14:paraId="131DC422">
      <w:pPr>
        <w:spacing w:before="49"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0EB5FDA5">
      <w:pPr>
        <w:spacing w:before="57" w:line="219" w:lineRule="auto"/>
        <w:ind w:left="1439"/>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1. 投标人应根据招标文件第二章“投标人须知”第</w:t>
      </w:r>
      <w:r>
        <w:rPr>
          <w:rFonts w:ascii="宋体" w:hAnsi="宋体" w:eastAsia="宋体" w:cs="宋体"/>
          <w:strike/>
          <w:dstrike w:val="0"/>
          <w:color w:val="auto"/>
          <w:spacing w:val="-27"/>
          <w:sz w:val="21"/>
          <w:szCs w:val="21"/>
          <w:highlight w:val="none"/>
        </w:rPr>
        <w:t xml:space="preserve"> </w:t>
      </w:r>
      <w:r>
        <w:rPr>
          <w:rFonts w:ascii="宋体" w:hAnsi="宋体" w:eastAsia="宋体" w:cs="宋体"/>
          <w:strike/>
          <w:dstrike w:val="0"/>
          <w:color w:val="auto"/>
          <w:spacing w:val="-2"/>
          <w:sz w:val="21"/>
          <w:szCs w:val="21"/>
          <w:highlight w:val="none"/>
        </w:rPr>
        <w:t>3.5.2</w:t>
      </w:r>
      <w:r>
        <w:rPr>
          <w:rFonts w:ascii="宋体" w:hAnsi="宋体" w:eastAsia="宋体" w:cs="宋体"/>
          <w:strike/>
          <w:dstrike w:val="0"/>
          <w:color w:val="auto"/>
          <w:spacing w:val="-41"/>
          <w:sz w:val="21"/>
          <w:szCs w:val="21"/>
          <w:highlight w:val="none"/>
        </w:rPr>
        <w:t xml:space="preserve"> </w:t>
      </w:r>
      <w:r>
        <w:rPr>
          <w:rFonts w:ascii="宋体" w:hAnsi="宋体" w:eastAsia="宋体" w:cs="宋体"/>
          <w:strike/>
          <w:dstrike w:val="0"/>
          <w:color w:val="auto"/>
          <w:spacing w:val="-2"/>
          <w:sz w:val="21"/>
          <w:szCs w:val="21"/>
          <w:highlight w:val="none"/>
        </w:rPr>
        <w:t>项的要求在本表后附相关证明材料。</w:t>
      </w:r>
    </w:p>
    <w:p w14:paraId="28CACBFD">
      <w:pPr>
        <w:spacing w:before="63" w:line="220" w:lineRule="auto"/>
        <w:ind w:left="1426"/>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2.以联合体形式投标的，联合体各成员应分别填写。</w:t>
      </w:r>
    </w:p>
    <w:p w14:paraId="31537F79">
      <w:pPr>
        <w:spacing w:line="220" w:lineRule="auto"/>
        <w:rPr>
          <w:rFonts w:ascii="宋体" w:hAnsi="宋体" w:eastAsia="宋体" w:cs="宋体"/>
          <w:strike/>
          <w:dstrike w:val="0"/>
          <w:color w:val="auto"/>
          <w:sz w:val="21"/>
          <w:szCs w:val="21"/>
          <w:highlight w:val="none"/>
        </w:rPr>
        <w:sectPr>
          <w:headerReference r:id="rId182" w:type="default"/>
          <w:footerReference r:id="rId183" w:type="default"/>
          <w:pgSz w:w="11905" w:h="16840"/>
          <w:pgMar w:top="1182" w:right="0" w:bottom="1171" w:left="0" w:header="849" w:footer="937" w:gutter="0"/>
          <w:pgNumType w:fmt="decimal"/>
          <w:cols w:space="720" w:num="1"/>
        </w:sectPr>
      </w:pPr>
    </w:p>
    <w:p w14:paraId="6108A03A">
      <w:pPr>
        <w:pStyle w:val="3"/>
        <w:spacing w:line="293" w:lineRule="auto"/>
        <w:rPr>
          <w:color w:val="auto"/>
          <w:highlight w:val="none"/>
        </w:rPr>
      </w:pPr>
    </w:p>
    <w:p w14:paraId="19B84AB7">
      <w:pPr>
        <w:spacing w:before="88" w:line="242" w:lineRule="auto"/>
        <w:ind w:left="5050"/>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银行信贷证明</w:t>
      </w:r>
      <w:r>
        <w:rPr>
          <w:rFonts w:ascii="宋体" w:hAnsi="宋体" w:eastAsia="宋体" w:cs="宋体"/>
          <w:b/>
          <w:bCs/>
          <w:strike/>
          <w:dstrike w:val="0"/>
          <w:color w:val="auto"/>
          <w:spacing w:val="6"/>
          <w:position w:val="13"/>
          <w:sz w:val="13"/>
          <w:szCs w:val="13"/>
          <w:highlight w:val="none"/>
        </w:rPr>
        <w:t>①</w:t>
      </w:r>
    </w:p>
    <w:p w14:paraId="5A39578C">
      <w:pPr>
        <w:pStyle w:val="3"/>
        <w:spacing w:line="311" w:lineRule="auto"/>
        <w:rPr>
          <w:strike/>
          <w:dstrike w:val="0"/>
          <w:color w:val="auto"/>
          <w:highlight w:val="none"/>
        </w:rPr>
      </w:pPr>
    </w:p>
    <w:p w14:paraId="360D3E55">
      <w:pPr>
        <w:spacing w:before="78" w:line="220" w:lineRule="auto"/>
        <w:ind w:left="142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银行名称：</w:t>
      </w:r>
      <w:r>
        <w:rPr>
          <w:rFonts w:ascii="宋体" w:hAnsi="宋体" w:eastAsia="宋体" w:cs="宋体"/>
          <w:strike/>
          <w:dstrike w:val="0"/>
          <w:color w:val="auto"/>
          <w:sz w:val="24"/>
          <w:szCs w:val="24"/>
          <w:highlight w:val="none"/>
          <w:u w:val="single" w:color="auto"/>
        </w:rPr>
        <w:t xml:space="preserve">                    </w:t>
      </w:r>
    </w:p>
    <w:p w14:paraId="5359A213">
      <w:pPr>
        <w:spacing w:before="181" w:line="229" w:lineRule="auto"/>
        <w:ind w:left="142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地</w:t>
      </w:r>
      <w:r>
        <w:rPr>
          <w:rFonts w:ascii="宋体" w:hAnsi="宋体" w:eastAsia="宋体" w:cs="宋体"/>
          <w:strike/>
          <w:dstrike w:val="0"/>
          <w:color w:val="auto"/>
          <w:spacing w:val="2"/>
          <w:sz w:val="24"/>
          <w:szCs w:val="24"/>
          <w:highlight w:val="none"/>
        </w:rPr>
        <w:t xml:space="preserve">    </w:t>
      </w:r>
      <w:r>
        <w:rPr>
          <w:rFonts w:ascii="宋体" w:hAnsi="宋体" w:eastAsia="宋体" w:cs="宋体"/>
          <w:strike/>
          <w:dstrike w:val="0"/>
          <w:color w:val="auto"/>
          <w:spacing w:val="-7"/>
          <w:sz w:val="24"/>
          <w:szCs w:val="24"/>
          <w:highlight w:val="none"/>
        </w:rPr>
        <w:t>址：</w:t>
      </w:r>
      <w:r>
        <w:rPr>
          <w:rFonts w:ascii="宋体" w:hAnsi="宋体" w:eastAsia="宋体" w:cs="宋体"/>
          <w:strike/>
          <w:dstrike w:val="0"/>
          <w:color w:val="auto"/>
          <w:sz w:val="24"/>
          <w:szCs w:val="24"/>
          <w:highlight w:val="none"/>
          <w:u w:val="single" w:color="auto"/>
        </w:rPr>
        <w:t xml:space="preserve">                    </w:t>
      </w:r>
    </w:p>
    <w:p w14:paraId="13B1BF04">
      <w:pPr>
        <w:spacing w:before="170" w:line="220" w:lineRule="auto"/>
        <w:ind w:left="146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7"/>
          <w:sz w:val="24"/>
          <w:szCs w:val="24"/>
          <w:highlight w:val="none"/>
        </w:rPr>
        <w:t>日期：</w:t>
      </w:r>
      <w:r>
        <w:rPr>
          <w:rFonts w:ascii="宋体" w:hAnsi="宋体" w:eastAsia="宋体" w:cs="宋体"/>
          <w:strike/>
          <w:dstrike w:val="0"/>
          <w:color w:val="auto"/>
          <w:sz w:val="24"/>
          <w:szCs w:val="24"/>
          <w:highlight w:val="none"/>
          <w:u w:val="single" w:color="auto"/>
        </w:rPr>
        <w:t xml:space="preserve">                  </w:t>
      </w:r>
    </w:p>
    <w:p w14:paraId="23297E8F">
      <w:pPr>
        <w:pStyle w:val="3"/>
        <w:spacing w:line="413" w:lineRule="auto"/>
        <w:rPr>
          <w:strike/>
          <w:dstrike w:val="0"/>
          <w:color w:val="auto"/>
          <w:highlight w:val="none"/>
        </w:rPr>
      </w:pPr>
    </w:p>
    <w:p w14:paraId="24459D28">
      <w:pPr>
        <w:spacing w:before="78" w:line="220" w:lineRule="auto"/>
        <w:ind w:left="142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致</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2"/>
          <w:sz w:val="24"/>
          <w:szCs w:val="24"/>
          <w:highlight w:val="none"/>
          <w:u w:val="single" w:color="auto"/>
        </w:rPr>
        <w:t>（</w:t>
      </w:r>
      <w:r>
        <w:rPr>
          <w:rFonts w:ascii="宋体" w:hAnsi="宋体" w:eastAsia="宋体" w:cs="宋体"/>
          <w:strike/>
          <w:dstrike w:val="0"/>
          <w:color w:val="auto"/>
          <w:spacing w:val="-1"/>
          <w:sz w:val="24"/>
          <w:szCs w:val="24"/>
          <w:highlight w:val="none"/>
          <w:u w:val="single" w:color="auto"/>
        </w:rPr>
        <w:t>招标人全称）</w:t>
      </w:r>
    </w:p>
    <w:p w14:paraId="2A4B7F0C">
      <w:pPr>
        <w:tabs>
          <w:tab w:val="left" w:pos="10485"/>
        </w:tabs>
        <w:spacing w:before="181" w:line="360" w:lineRule="auto"/>
        <w:ind w:left="1425" w:right="1416" w:firstLine="483"/>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兹开具最高限额为人民币</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4"/>
          <w:sz w:val="24"/>
          <w:szCs w:val="24"/>
          <w:highlight w:val="none"/>
        </w:rPr>
        <w:t>万元的银行信贷，</w:t>
      </w:r>
      <w:r>
        <w:rPr>
          <w:rFonts w:ascii="宋体" w:hAnsi="宋体" w:eastAsia="宋体" w:cs="宋体"/>
          <w:strike/>
          <w:dstrike w:val="0"/>
          <w:color w:val="auto"/>
          <w:spacing w:val="-5"/>
          <w:sz w:val="24"/>
          <w:szCs w:val="24"/>
          <w:highlight w:val="none"/>
        </w:rPr>
        <w:t>供</w:t>
      </w:r>
      <w:r>
        <w:rPr>
          <w:rFonts w:ascii="宋体" w:hAnsi="宋体" w:eastAsia="宋体" w:cs="宋体"/>
          <w:strike/>
          <w:dstrike w:val="0"/>
          <w:color w:val="auto"/>
          <w:spacing w:val="17"/>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(投标人注册地点)     </w:t>
      </w:r>
      <w:r>
        <w:rPr>
          <w:rFonts w:ascii="宋体" w:hAnsi="宋体" w:eastAsia="宋体" w:cs="宋体"/>
          <w:strike/>
          <w:dstrike w:val="0"/>
          <w:color w:val="auto"/>
          <w:spacing w:val="-68"/>
          <w:sz w:val="24"/>
          <w:szCs w:val="24"/>
          <w:highlight w:val="none"/>
        </w:rPr>
        <w:t xml:space="preserve"> </w:t>
      </w:r>
      <w:r>
        <w:rPr>
          <w:rFonts w:ascii="宋体" w:hAnsi="宋体" w:eastAsia="宋体" w:cs="宋体"/>
          <w:strike/>
          <w:dstrike w:val="0"/>
          <w:color w:val="auto"/>
          <w:spacing w:val="-5"/>
          <w:sz w:val="24"/>
          <w:szCs w:val="24"/>
          <w:highlight w:val="none"/>
        </w:rPr>
        <w:t>(投</w:t>
      </w:r>
      <w:r>
        <w:rPr>
          <w:rFonts w:ascii="宋体" w:hAnsi="宋体" w:eastAsia="宋体" w:cs="宋体"/>
          <w:strike/>
          <w:dstrike w:val="0"/>
          <w:color w:val="auto"/>
          <w:spacing w:val="-6"/>
          <w:sz w:val="24"/>
          <w:szCs w:val="24"/>
          <w:highlight w:val="none"/>
        </w:rPr>
        <w:t>标人名称)于</w:t>
      </w:r>
      <w:r>
        <w:rPr>
          <w:rFonts w:ascii="宋体" w:hAnsi="宋体" w:eastAsia="宋体" w:cs="宋体"/>
          <w:strike/>
          <w:dstrike w:val="0"/>
          <w:color w:val="auto"/>
          <w:spacing w:val="-118"/>
          <w:sz w:val="24"/>
          <w:szCs w:val="24"/>
          <w:highlight w:val="none"/>
        </w:rPr>
        <w:t xml:space="preserve"> </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108"/>
          <w:sz w:val="24"/>
          <w:szCs w:val="24"/>
          <w:highlight w:val="none"/>
        </w:rPr>
        <w:t xml:space="preserve"> </w:t>
      </w:r>
      <w:r>
        <w:rPr>
          <w:rFonts w:ascii="宋体" w:hAnsi="宋体" w:eastAsia="宋体" w:cs="宋体"/>
          <w:strike/>
          <w:dstrike w:val="0"/>
          <w:color w:val="auto"/>
          <w:spacing w:val="-6"/>
          <w:sz w:val="24"/>
          <w:szCs w:val="24"/>
          <w:highlight w:val="none"/>
        </w:rPr>
        <w:t>年</w:t>
      </w:r>
      <w:r>
        <w:rPr>
          <w:rFonts w:ascii="宋体" w:hAnsi="宋体" w:eastAsia="宋体" w:cs="宋体"/>
          <w:strike/>
          <w:dstrike w:val="0"/>
          <w:color w:val="auto"/>
          <w:spacing w:val="-6"/>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6"/>
          <w:sz w:val="24"/>
          <w:szCs w:val="24"/>
          <w:highlight w:val="none"/>
        </w:rPr>
        <w:t>月</w:t>
      </w:r>
      <w:r>
        <w:rPr>
          <w:rFonts w:ascii="宋体" w:hAnsi="宋体" w:eastAsia="宋体" w:cs="宋体"/>
          <w:strike/>
          <w:dstrike w:val="0"/>
          <w:color w:val="auto"/>
          <w:spacing w:val="-118"/>
          <w:sz w:val="24"/>
          <w:szCs w:val="24"/>
          <w:highlight w:val="none"/>
        </w:rPr>
        <w:t xml:space="preserve"> </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68"/>
          <w:sz w:val="24"/>
          <w:szCs w:val="24"/>
          <w:highlight w:val="none"/>
        </w:rPr>
        <w:t xml:space="preserve"> </w:t>
      </w:r>
      <w:r>
        <w:rPr>
          <w:rFonts w:ascii="宋体" w:hAnsi="宋体" w:eastAsia="宋体" w:cs="宋体"/>
          <w:strike/>
          <w:dstrike w:val="0"/>
          <w:color w:val="auto"/>
          <w:spacing w:val="-6"/>
          <w:sz w:val="24"/>
          <w:szCs w:val="24"/>
          <w:highlight w:val="none"/>
        </w:rPr>
        <w:t>日之前，在</w:t>
      </w:r>
      <w:r>
        <w:rPr>
          <w:rFonts w:ascii="宋体" w:hAnsi="宋体" w:eastAsia="宋体" w:cs="宋体"/>
          <w:strike/>
          <w:dstrike w:val="0"/>
          <w:color w:val="auto"/>
          <w:spacing w:val="-6"/>
          <w:sz w:val="24"/>
          <w:szCs w:val="24"/>
          <w:highlight w:val="none"/>
          <w:u w:val="single" w:color="auto"/>
        </w:rPr>
        <w:t xml:space="preserve">           </w:t>
      </w:r>
      <w:r>
        <w:rPr>
          <w:rFonts w:ascii="宋体" w:hAnsi="宋体" w:eastAsia="宋体" w:cs="宋体"/>
          <w:strike/>
          <w:dstrike w:val="0"/>
          <w:color w:val="auto"/>
          <w:spacing w:val="-7"/>
          <w:sz w:val="24"/>
          <w:szCs w:val="24"/>
          <w:highlight w:val="none"/>
          <w:u w:val="single" w:color="auto"/>
        </w:rPr>
        <w:t>(项目名称)    （标类或标段）</w:t>
      </w: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2"/>
          <w:sz w:val="24"/>
          <w:szCs w:val="24"/>
          <w:highlight w:val="none"/>
        </w:rPr>
        <w:t>需要时使用。我行保证由</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3"/>
          <w:sz w:val="24"/>
          <w:szCs w:val="24"/>
          <w:highlight w:val="none"/>
        </w:rPr>
        <w:t>(投标人名称)提供的财务报表中所开列的作为流动资</w:t>
      </w:r>
      <w:r>
        <w:rPr>
          <w:rFonts w:ascii="宋体" w:hAnsi="宋体" w:eastAsia="宋体" w:cs="宋体"/>
          <w:strike/>
          <w:dstrike w:val="0"/>
          <w:color w:val="auto"/>
          <w:spacing w:val="-2"/>
          <w:sz w:val="24"/>
          <w:szCs w:val="24"/>
          <w:highlight w:val="none"/>
        </w:rPr>
        <w:t>产的各项中无一项包含在上述提到的银行信贷中。</w:t>
      </w:r>
    </w:p>
    <w:p w14:paraId="17744828">
      <w:pPr>
        <w:spacing w:before="1" w:line="219" w:lineRule="auto"/>
        <w:ind w:left="190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此项目若未中标，该信贷证明自动失效，无需退回我行。</w:t>
      </w:r>
    </w:p>
    <w:p w14:paraId="26D6F8E3">
      <w:pPr>
        <w:pStyle w:val="3"/>
        <w:spacing w:line="284" w:lineRule="auto"/>
        <w:rPr>
          <w:strike/>
          <w:dstrike w:val="0"/>
          <w:color w:val="auto"/>
          <w:highlight w:val="none"/>
        </w:rPr>
      </w:pPr>
    </w:p>
    <w:p w14:paraId="775A3E8D">
      <w:pPr>
        <w:pStyle w:val="3"/>
        <w:spacing w:line="284" w:lineRule="auto"/>
        <w:rPr>
          <w:strike/>
          <w:dstrike w:val="0"/>
          <w:color w:val="auto"/>
          <w:highlight w:val="none"/>
        </w:rPr>
      </w:pPr>
    </w:p>
    <w:p w14:paraId="1DD20C73">
      <w:pPr>
        <w:spacing w:before="79" w:line="219"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银      行(盖单位章)：</w:t>
      </w:r>
      <w:r>
        <w:rPr>
          <w:rFonts w:ascii="宋体" w:hAnsi="宋体" w:eastAsia="宋体" w:cs="宋体"/>
          <w:strike/>
          <w:dstrike w:val="0"/>
          <w:color w:val="auto"/>
          <w:sz w:val="24"/>
          <w:szCs w:val="24"/>
          <w:highlight w:val="none"/>
          <w:u w:val="single" w:color="auto"/>
        </w:rPr>
        <w:t xml:space="preserve">                        </w:t>
      </w:r>
    </w:p>
    <w:p w14:paraId="185FBF6D">
      <w:pPr>
        <w:spacing w:before="183" w:line="360" w:lineRule="auto"/>
        <w:ind w:left="4546" w:right="1848"/>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银行主要负责人(签字)：</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2"/>
          <w:sz w:val="24"/>
          <w:szCs w:val="24"/>
          <w:highlight w:val="none"/>
        </w:rPr>
        <w:t>银行主要负责人的姓名、职务：</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3"/>
          <w:sz w:val="24"/>
          <w:szCs w:val="24"/>
          <w:highlight w:val="none"/>
        </w:rPr>
        <w:t>打印)</w:t>
      </w:r>
    </w:p>
    <w:p w14:paraId="3BF1CCE5">
      <w:pPr>
        <w:spacing w:before="1" w:line="220"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5"/>
          <w:sz w:val="24"/>
          <w:szCs w:val="24"/>
          <w:highlight w:val="none"/>
        </w:rPr>
        <w:t>银</w:t>
      </w:r>
      <w:r>
        <w:rPr>
          <w:rFonts w:ascii="宋体" w:hAnsi="宋体" w:eastAsia="宋体" w:cs="宋体"/>
          <w:strike/>
          <w:dstrike w:val="0"/>
          <w:color w:val="auto"/>
          <w:spacing w:val="8"/>
          <w:sz w:val="24"/>
          <w:szCs w:val="24"/>
          <w:highlight w:val="none"/>
        </w:rPr>
        <w:t xml:space="preserve">  </w:t>
      </w:r>
      <w:r>
        <w:rPr>
          <w:rFonts w:ascii="宋体" w:hAnsi="宋体" w:eastAsia="宋体" w:cs="宋体"/>
          <w:strike/>
          <w:dstrike w:val="0"/>
          <w:color w:val="auto"/>
          <w:spacing w:val="-15"/>
          <w:sz w:val="24"/>
          <w:szCs w:val="24"/>
          <w:highlight w:val="none"/>
        </w:rPr>
        <w:t>行</w:t>
      </w:r>
      <w:r>
        <w:rPr>
          <w:rFonts w:ascii="宋体" w:hAnsi="宋体" w:eastAsia="宋体" w:cs="宋体"/>
          <w:strike/>
          <w:dstrike w:val="0"/>
          <w:color w:val="auto"/>
          <w:spacing w:val="19"/>
          <w:sz w:val="24"/>
          <w:szCs w:val="24"/>
          <w:highlight w:val="none"/>
        </w:rPr>
        <w:t xml:space="preserve">  </w:t>
      </w:r>
      <w:r>
        <w:rPr>
          <w:rFonts w:ascii="宋体" w:hAnsi="宋体" w:eastAsia="宋体" w:cs="宋体"/>
          <w:strike/>
          <w:dstrike w:val="0"/>
          <w:color w:val="auto"/>
          <w:spacing w:val="-15"/>
          <w:sz w:val="24"/>
          <w:szCs w:val="24"/>
          <w:highlight w:val="none"/>
        </w:rPr>
        <w:t>电</w:t>
      </w:r>
      <w:r>
        <w:rPr>
          <w:rFonts w:ascii="宋体" w:hAnsi="宋体" w:eastAsia="宋体" w:cs="宋体"/>
          <w:strike/>
          <w:dstrike w:val="0"/>
          <w:color w:val="auto"/>
          <w:spacing w:val="4"/>
          <w:sz w:val="24"/>
          <w:szCs w:val="24"/>
          <w:highlight w:val="none"/>
        </w:rPr>
        <w:t xml:space="preserve">  </w:t>
      </w:r>
      <w:r>
        <w:rPr>
          <w:rFonts w:ascii="宋体" w:hAnsi="宋体" w:eastAsia="宋体" w:cs="宋体"/>
          <w:strike/>
          <w:dstrike w:val="0"/>
          <w:color w:val="auto"/>
          <w:spacing w:val="-15"/>
          <w:sz w:val="24"/>
          <w:szCs w:val="24"/>
          <w:highlight w:val="none"/>
        </w:rPr>
        <w:t>话：</w:t>
      </w:r>
      <w:r>
        <w:rPr>
          <w:rFonts w:ascii="宋体" w:hAnsi="宋体" w:eastAsia="宋体" w:cs="宋体"/>
          <w:strike/>
          <w:dstrike w:val="0"/>
          <w:color w:val="auto"/>
          <w:sz w:val="24"/>
          <w:szCs w:val="24"/>
          <w:highlight w:val="none"/>
          <w:u w:val="single" w:color="auto"/>
        </w:rPr>
        <w:t xml:space="preserve">                           </w:t>
      </w:r>
    </w:p>
    <w:p w14:paraId="3C21D829">
      <w:pPr>
        <w:spacing w:before="181" w:line="219"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9"/>
          <w:sz w:val="24"/>
          <w:szCs w:val="24"/>
          <w:highlight w:val="none"/>
        </w:rPr>
        <w:t>银</w:t>
      </w:r>
      <w:r>
        <w:rPr>
          <w:rFonts w:ascii="宋体" w:hAnsi="宋体" w:eastAsia="宋体" w:cs="宋体"/>
          <w:strike/>
          <w:dstrike w:val="0"/>
          <w:color w:val="auto"/>
          <w:spacing w:val="6"/>
          <w:sz w:val="24"/>
          <w:szCs w:val="24"/>
          <w:highlight w:val="none"/>
        </w:rPr>
        <w:t xml:space="preserve">  </w:t>
      </w:r>
      <w:r>
        <w:rPr>
          <w:rFonts w:ascii="宋体" w:hAnsi="宋体" w:eastAsia="宋体" w:cs="宋体"/>
          <w:strike/>
          <w:dstrike w:val="0"/>
          <w:color w:val="auto"/>
          <w:spacing w:val="-9"/>
          <w:sz w:val="24"/>
          <w:szCs w:val="24"/>
          <w:highlight w:val="none"/>
        </w:rPr>
        <w:t>行</w:t>
      </w:r>
      <w:r>
        <w:rPr>
          <w:rFonts w:ascii="宋体" w:hAnsi="宋体" w:eastAsia="宋体" w:cs="宋体"/>
          <w:strike/>
          <w:dstrike w:val="0"/>
          <w:color w:val="auto"/>
          <w:spacing w:val="4"/>
          <w:sz w:val="24"/>
          <w:szCs w:val="24"/>
          <w:highlight w:val="none"/>
        </w:rPr>
        <w:t xml:space="preserve">  </w:t>
      </w:r>
      <w:r>
        <w:rPr>
          <w:rFonts w:ascii="宋体" w:hAnsi="宋体" w:eastAsia="宋体" w:cs="宋体"/>
          <w:strike/>
          <w:dstrike w:val="0"/>
          <w:color w:val="auto"/>
          <w:spacing w:val="-9"/>
          <w:sz w:val="24"/>
          <w:szCs w:val="24"/>
          <w:highlight w:val="none"/>
        </w:rPr>
        <w:t>传</w:t>
      </w:r>
      <w:r>
        <w:rPr>
          <w:rFonts w:ascii="宋体" w:hAnsi="宋体" w:eastAsia="宋体" w:cs="宋体"/>
          <w:strike/>
          <w:dstrike w:val="0"/>
          <w:color w:val="auto"/>
          <w:spacing w:val="6"/>
          <w:sz w:val="24"/>
          <w:szCs w:val="24"/>
          <w:highlight w:val="none"/>
        </w:rPr>
        <w:t xml:space="preserve">  </w:t>
      </w:r>
      <w:r>
        <w:rPr>
          <w:rFonts w:ascii="宋体" w:hAnsi="宋体" w:eastAsia="宋体" w:cs="宋体"/>
          <w:strike/>
          <w:dstrike w:val="0"/>
          <w:color w:val="auto"/>
          <w:spacing w:val="-9"/>
          <w:sz w:val="24"/>
          <w:szCs w:val="24"/>
          <w:highlight w:val="none"/>
        </w:rPr>
        <w:t>真：</w:t>
      </w:r>
      <w:r>
        <w:rPr>
          <w:rFonts w:ascii="宋体" w:hAnsi="宋体" w:eastAsia="宋体" w:cs="宋体"/>
          <w:strike/>
          <w:dstrike w:val="0"/>
          <w:color w:val="auto"/>
          <w:sz w:val="24"/>
          <w:szCs w:val="24"/>
          <w:highlight w:val="none"/>
          <w:u w:val="single" w:color="auto"/>
        </w:rPr>
        <w:t xml:space="preserve">                            </w:t>
      </w:r>
    </w:p>
    <w:p w14:paraId="6F25C5D1">
      <w:pPr>
        <w:pStyle w:val="3"/>
        <w:spacing w:line="245" w:lineRule="auto"/>
        <w:rPr>
          <w:strike/>
          <w:dstrike w:val="0"/>
          <w:color w:val="auto"/>
          <w:highlight w:val="none"/>
        </w:rPr>
      </w:pPr>
    </w:p>
    <w:p w14:paraId="0AE3BA2D">
      <w:pPr>
        <w:pStyle w:val="3"/>
        <w:spacing w:line="245" w:lineRule="auto"/>
        <w:rPr>
          <w:strike/>
          <w:dstrike w:val="0"/>
          <w:color w:val="auto"/>
          <w:highlight w:val="none"/>
        </w:rPr>
      </w:pPr>
    </w:p>
    <w:p w14:paraId="2776833D">
      <w:pPr>
        <w:pStyle w:val="3"/>
        <w:spacing w:line="245" w:lineRule="auto"/>
        <w:rPr>
          <w:strike/>
          <w:dstrike w:val="0"/>
          <w:color w:val="auto"/>
          <w:highlight w:val="none"/>
        </w:rPr>
      </w:pPr>
    </w:p>
    <w:p w14:paraId="666CC25C">
      <w:pPr>
        <w:pStyle w:val="3"/>
        <w:spacing w:line="245" w:lineRule="auto"/>
        <w:rPr>
          <w:strike/>
          <w:dstrike w:val="0"/>
          <w:color w:val="auto"/>
          <w:highlight w:val="none"/>
        </w:rPr>
      </w:pPr>
    </w:p>
    <w:p w14:paraId="3E29A4AF">
      <w:pPr>
        <w:spacing w:before="69"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35FBEF23">
      <w:pPr>
        <w:spacing w:before="57" w:line="247" w:lineRule="auto"/>
        <w:ind w:left="1425" w:right="1878" w:firstLine="1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1.允许投标人实际开具的银行信贷证明的格式与本表格式有所不同，但不得更改本表格中的实</w:t>
      </w:r>
      <w:r>
        <w:rPr>
          <w:rFonts w:ascii="宋体" w:hAnsi="宋体" w:eastAsia="宋体" w:cs="宋体"/>
          <w:strike/>
          <w:dstrike w:val="0"/>
          <w:color w:val="auto"/>
          <w:spacing w:val="-7"/>
          <w:sz w:val="21"/>
          <w:szCs w:val="21"/>
          <w:highlight w:val="none"/>
        </w:rPr>
        <w:t>质性内容。</w:t>
      </w:r>
    </w:p>
    <w:p w14:paraId="4036664C">
      <w:pPr>
        <w:spacing w:before="63" w:line="219" w:lineRule="auto"/>
        <w:ind w:left="1426"/>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2.银行主要负责人应亲笔签名，不得使用印章、签名章或其他电子制版签名，否则，视为无效。</w:t>
      </w:r>
    </w:p>
    <w:p w14:paraId="058086DC">
      <w:pPr>
        <w:pStyle w:val="3"/>
        <w:spacing w:line="247" w:lineRule="auto"/>
        <w:rPr>
          <w:strike/>
          <w:dstrike w:val="0"/>
          <w:color w:val="auto"/>
          <w:highlight w:val="none"/>
        </w:rPr>
      </w:pPr>
    </w:p>
    <w:p w14:paraId="41A924BF">
      <w:pPr>
        <w:pStyle w:val="3"/>
        <w:spacing w:line="247" w:lineRule="auto"/>
        <w:rPr>
          <w:strike/>
          <w:dstrike w:val="0"/>
          <w:color w:val="auto"/>
          <w:highlight w:val="none"/>
        </w:rPr>
      </w:pPr>
    </w:p>
    <w:p w14:paraId="4CB90C57">
      <w:pPr>
        <w:pStyle w:val="3"/>
        <w:spacing w:line="247" w:lineRule="auto"/>
        <w:rPr>
          <w:strike/>
          <w:dstrike w:val="0"/>
          <w:color w:val="auto"/>
          <w:highlight w:val="none"/>
        </w:rPr>
      </w:pPr>
    </w:p>
    <w:p w14:paraId="214C9391">
      <w:pPr>
        <w:pStyle w:val="3"/>
        <w:spacing w:line="247" w:lineRule="auto"/>
        <w:rPr>
          <w:strike/>
          <w:dstrike w:val="0"/>
          <w:color w:val="auto"/>
          <w:highlight w:val="none"/>
        </w:rPr>
      </w:pPr>
    </w:p>
    <w:p w14:paraId="6CD6F95B">
      <w:pPr>
        <w:pStyle w:val="3"/>
        <w:spacing w:line="247" w:lineRule="auto"/>
        <w:rPr>
          <w:strike/>
          <w:dstrike w:val="0"/>
          <w:color w:val="auto"/>
          <w:highlight w:val="none"/>
        </w:rPr>
      </w:pPr>
    </w:p>
    <w:p w14:paraId="275A6112">
      <w:pPr>
        <w:pStyle w:val="3"/>
        <w:spacing w:line="247" w:lineRule="auto"/>
        <w:rPr>
          <w:strike/>
          <w:dstrike w:val="0"/>
          <w:color w:val="auto"/>
          <w:highlight w:val="none"/>
        </w:rPr>
      </w:pPr>
    </w:p>
    <w:p w14:paraId="67FED92D">
      <w:pPr>
        <w:pStyle w:val="3"/>
        <w:spacing w:line="248" w:lineRule="auto"/>
        <w:rPr>
          <w:strike/>
          <w:dstrike w:val="0"/>
          <w:color w:val="auto"/>
          <w:highlight w:val="none"/>
        </w:rPr>
      </w:pPr>
    </w:p>
    <w:p w14:paraId="543D7151">
      <w:pPr>
        <w:pStyle w:val="3"/>
        <w:spacing w:line="248" w:lineRule="auto"/>
        <w:rPr>
          <w:strike/>
          <w:dstrike w:val="0"/>
          <w:color w:val="auto"/>
          <w:highlight w:val="none"/>
        </w:rPr>
      </w:pPr>
    </w:p>
    <w:p w14:paraId="2AE7971D">
      <w:pPr>
        <w:pStyle w:val="3"/>
        <w:spacing w:line="248" w:lineRule="auto"/>
        <w:rPr>
          <w:strike/>
          <w:dstrike w:val="0"/>
          <w:color w:val="auto"/>
          <w:highlight w:val="none"/>
        </w:rPr>
      </w:pPr>
    </w:p>
    <w:p w14:paraId="03E1FB49">
      <w:pPr>
        <w:pStyle w:val="3"/>
        <w:spacing w:line="248" w:lineRule="auto"/>
        <w:rPr>
          <w:strike/>
          <w:dstrike w:val="0"/>
          <w:color w:val="auto"/>
          <w:highlight w:val="none"/>
        </w:rPr>
      </w:pPr>
    </w:p>
    <w:p w14:paraId="4869694F">
      <w:pPr>
        <w:pStyle w:val="3"/>
        <w:spacing w:line="248" w:lineRule="auto"/>
        <w:rPr>
          <w:strike/>
          <w:dstrike w:val="0"/>
          <w:color w:val="auto"/>
          <w:highlight w:val="none"/>
        </w:rPr>
      </w:pPr>
    </w:p>
    <w:p w14:paraId="1568AC6C">
      <w:pPr>
        <w:pStyle w:val="3"/>
        <w:spacing w:line="248" w:lineRule="auto"/>
        <w:rPr>
          <w:strike/>
          <w:dstrike w:val="0"/>
          <w:color w:val="auto"/>
          <w:highlight w:val="none"/>
        </w:rPr>
      </w:pPr>
    </w:p>
    <w:p w14:paraId="1A5A7747">
      <w:pPr>
        <w:spacing w:before="59" w:line="241" w:lineRule="auto"/>
        <w:ind w:left="1423" w:right="1416" w:hanging="1"/>
        <w:jc w:val="both"/>
        <w:rPr>
          <w:rFonts w:ascii="宋体" w:hAnsi="宋体" w:eastAsia="宋体" w:cs="宋体"/>
          <w:strike/>
          <w:dstrike w:val="0"/>
          <w:color w:val="auto"/>
          <w:sz w:val="18"/>
          <w:szCs w:val="18"/>
          <w:highlight w:val="none"/>
        </w:rPr>
      </w:pPr>
      <w:r>
        <w:rPr>
          <w:rFonts w:ascii="宋体" w:hAnsi="宋体" w:eastAsia="宋体" w:cs="宋体"/>
          <w:strike/>
          <w:dstrike w:val="0"/>
          <w:color w:val="auto"/>
          <w:sz w:val="18"/>
          <w:szCs w:val="18"/>
          <w:highlight w:val="none"/>
        </w:rPr>
        <w:t>① 招标人要求投标人提供银行信贷证明是为了避免投标</w:t>
      </w:r>
      <w:r>
        <w:rPr>
          <w:rFonts w:ascii="宋体" w:hAnsi="宋体" w:eastAsia="宋体" w:cs="宋体"/>
          <w:strike/>
          <w:dstrike w:val="0"/>
          <w:color w:val="auto"/>
          <w:spacing w:val="-1"/>
          <w:sz w:val="18"/>
          <w:szCs w:val="18"/>
          <w:highlight w:val="none"/>
        </w:rPr>
        <w:t>人中标后因流动资金不足影响工程施工的情况发生，招标人</w:t>
      </w:r>
      <w:r>
        <w:rPr>
          <w:rFonts w:ascii="宋体" w:hAnsi="宋体" w:eastAsia="宋体" w:cs="宋体"/>
          <w:strike/>
          <w:dstrike w:val="0"/>
          <w:color w:val="auto"/>
          <w:sz w:val="18"/>
          <w:szCs w:val="18"/>
          <w:highlight w:val="none"/>
        </w:rPr>
        <w:t>可根据招标项目具体特点和实际情况选择是否要求投标人提供银行信贷证明。如采用银行信贷</w:t>
      </w:r>
      <w:r>
        <w:rPr>
          <w:rFonts w:ascii="宋体" w:hAnsi="宋体" w:eastAsia="宋体" w:cs="宋体"/>
          <w:strike/>
          <w:dstrike w:val="0"/>
          <w:color w:val="auto"/>
          <w:spacing w:val="-1"/>
          <w:sz w:val="18"/>
          <w:szCs w:val="18"/>
          <w:highlight w:val="none"/>
        </w:rPr>
        <w:t>证明，招标人应在此</w:t>
      </w:r>
      <w:r>
        <w:rPr>
          <w:rFonts w:ascii="宋体" w:hAnsi="宋体" w:eastAsia="宋体" w:cs="宋体"/>
          <w:strike/>
          <w:dstrike w:val="0"/>
          <w:color w:val="auto"/>
          <w:spacing w:val="-2"/>
          <w:sz w:val="18"/>
          <w:szCs w:val="18"/>
          <w:highlight w:val="none"/>
        </w:rPr>
        <w:t>规定开具银行信贷证明的银行的级别。</w:t>
      </w:r>
    </w:p>
    <w:p w14:paraId="387E42F4">
      <w:pPr>
        <w:spacing w:line="241" w:lineRule="auto"/>
        <w:rPr>
          <w:rFonts w:ascii="宋体" w:hAnsi="宋体" w:eastAsia="宋体" w:cs="宋体"/>
          <w:strike/>
          <w:dstrike w:val="0"/>
          <w:color w:val="auto"/>
          <w:sz w:val="18"/>
          <w:szCs w:val="18"/>
          <w:highlight w:val="none"/>
        </w:rPr>
        <w:sectPr>
          <w:headerReference r:id="rId184" w:type="default"/>
          <w:footerReference r:id="rId185" w:type="default"/>
          <w:pgSz w:w="11905" w:h="16840"/>
          <w:pgMar w:top="1182" w:right="0" w:bottom="1171" w:left="0" w:header="849" w:footer="937" w:gutter="0"/>
          <w:pgNumType w:fmt="decimal"/>
          <w:cols w:space="720" w:num="1"/>
        </w:sectPr>
      </w:pPr>
    </w:p>
    <w:p w14:paraId="4EC9BE2D">
      <w:pPr>
        <w:pStyle w:val="3"/>
        <w:spacing w:line="316" w:lineRule="auto"/>
        <w:rPr>
          <w:color w:val="auto"/>
          <w:highlight w:val="none"/>
        </w:rPr>
      </w:pPr>
    </w:p>
    <w:p w14:paraId="5EAD0F8B">
      <w:pPr>
        <w:spacing w:before="88" w:line="226" w:lineRule="auto"/>
        <w:ind w:left="3867"/>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（四）近年完成的类似项目情况表</w:t>
      </w:r>
    </w:p>
    <w:p w14:paraId="47BF9033">
      <w:pPr>
        <w:spacing w:before="293" w:line="226" w:lineRule="auto"/>
        <w:ind w:left="3972"/>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（四）-1</w:t>
      </w:r>
      <w:r>
        <w:rPr>
          <w:rFonts w:ascii="宋体" w:hAnsi="宋体" w:eastAsia="宋体" w:cs="宋体"/>
          <w:color w:val="auto"/>
          <w:spacing w:val="-52"/>
          <w:sz w:val="27"/>
          <w:szCs w:val="27"/>
          <w:highlight w:val="none"/>
        </w:rPr>
        <w:t xml:space="preserve"> </w:t>
      </w:r>
      <w:r>
        <w:rPr>
          <w:rFonts w:ascii="宋体" w:hAnsi="宋体" w:eastAsia="宋体" w:cs="宋体"/>
          <w:b/>
          <w:bCs/>
          <w:color w:val="auto"/>
          <w:spacing w:val="5"/>
          <w:sz w:val="27"/>
          <w:szCs w:val="27"/>
          <w:highlight w:val="none"/>
        </w:rPr>
        <w:t>完成的类似项目情况表</w:t>
      </w:r>
    </w:p>
    <w:p w14:paraId="28721D28">
      <w:pPr>
        <w:spacing w:before="36"/>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1"/>
        <w:gridCol w:w="6211"/>
      </w:tblGrid>
      <w:tr w14:paraId="22EC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3081" w:type="dxa"/>
            <w:vAlign w:val="top"/>
          </w:tcPr>
          <w:p w14:paraId="3243B5C4">
            <w:pPr>
              <w:pStyle w:val="17"/>
              <w:spacing w:before="254" w:line="221" w:lineRule="auto"/>
              <w:ind w:left="1335"/>
              <w:rPr>
                <w:color w:val="auto"/>
                <w:highlight w:val="none"/>
              </w:rPr>
            </w:pPr>
            <w:r>
              <w:rPr>
                <w:color w:val="auto"/>
                <w:spacing w:val="-2"/>
                <w:highlight w:val="none"/>
              </w:rPr>
              <w:t>序号</w:t>
            </w:r>
          </w:p>
        </w:tc>
        <w:tc>
          <w:tcPr>
            <w:tcW w:w="6211" w:type="dxa"/>
            <w:vAlign w:val="top"/>
          </w:tcPr>
          <w:p w14:paraId="7A8575AA">
            <w:pPr>
              <w:rPr>
                <w:rFonts w:ascii="Arial"/>
                <w:color w:val="auto"/>
                <w:sz w:val="21"/>
                <w:highlight w:val="none"/>
              </w:rPr>
            </w:pPr>
          </w:p>
        </w:tc>
      </w:tr>
      <w:tr w14:paraId="299A4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481B0CCE">
            <w:pPr>
              <w:pStyle w:val="17"/>
              <w:spacing w:before="251" w:line="220" w:lineRule="auto"/>
              <w:ind w:left="1129"/>
              <w:rPr>
                <w:color w:val="auto"/>
                <w:highlight w:val="none"/>
              </w:rPr>
            </w:pPr>
            <w:r>
              <w:rPr>
                <w:color w:val="auto"/>
                <w:spacing w:val="-3"/>
                <w:highlight w:val="none"/>
              </w:rPr>
              <w:t>项目名称</w:t>
            </w:r>
          </w:p>
        </w:tc>
        <w:tc>
          <w:tcPr>
            <w:tcW w:w="6211" w:type="dxa"/>
            <w:vAlign w:val="top"/>
          </w:tcPr>
          <w:p w14:paraId="115D56AA">
            <w:pPr>
              <w:rPr>
                <w:rFonts w:ascii="Arial"/>
                <w:color w:val="auto"/>
                <w:sz w:val="21"/>
                <w:highlight w:val="none"/>
              </w:rPr>
            </w:pPr>
          </w:p>
        </w:tc>
      </w:tr>
      <w:tr w14:paraId="1CF01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157C21F7">
            <w:pPr>
              <w:pStyle w:val="17"/>
              <w:spacing w:before="251" w:line="220" w:lineRule="auto"/>
              <w:ind w:left="1024"/>
              <w:rPr>
                <w:color w:val="auto"/>
                <w:highlight w:val="none"/>
              </w:rPr>
            </w:pPr>
            <w:r>
              <w:rPr>
                <w:color w:val="auto"/>
                <w:spacing w:val="-2"/>
                <w:highlight w:val="none"/>
              </w:rPr>
              <w:t>项目所在地</w:t>
            </w:r>
          </w:p>
        </w:tc>
        <w:tc>
          <w:tcPr>
            <w:tcW w:w="6211" w:type="dxa"/>
            <w:vAlign w:val="top"/>
          </w:tcPr>
          <w:p w14:paraId="229C2B17">
            <w:pPr>
              <w:rPr>
                <w:rFonts w:ascii="Arial"/>
                <w:color w:val="auto"/>
                <w:sz w:val="21"/>
                <w:highlight w:val="none"/>
              </w:rPr>
            </w:pPr>
          </w:p>
        </w:tc>
      </w:tr>
      <w:tr w14:paraId="72651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15F3A6B4">
            <w:pPr>
              <w:pStyle w:val="17"/>
              <w:spacing w:before="252" w:line="220" w:lineRule="auto"/>
              <w:ind w:left="1024"/>
              <w:rPr>
                <w:color w:val="auto"/>
                <w:highlight w:val="none"/>
              </w:rPr>
            </w:pPr>
            <w:r>
              <w:rPr>
                <w:color w:val="auto"/>
                <w:spacing w:val="-2"/>
                <w:highlight w:val="none"/>
              </w:rPr>
              <w:t>发包人名称</w:t>
            </w:r>
          </w:p>
        </w:tc>
        <w:tc>
          <w:tcPr>
            <w:tcW w:w="6211" w:type="dxa"/>
            <w:vAlign w:val="top"/>
          </w:tcPr>
          <w:p w14:paraId="6E2E5FAB">
            <w:pPr>
              <w:rPr>
                <w:rFonts w:ascii="Arial"/>
                <w:color w:val="auto"/>
                <w:sz w:val="21"/>
                <w:highlight w:val="none"/>
              </w:rPr>
            </w:pPr>
          </w:p>
        </w:tc>
      </w:tr>
      <w:tr w14:paraId="17019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7BACDAFC">
            <w:pPr>
              <w:pStyle w:val="17"/>
              <w:spacing w:before="252" w:line="220" w:lineRule="auto"/>
              <w:ind w:left="1024"/>
              <w:rPr>
                <w:color w:val="auto"/>
                <w:highlight w:val="none"/>
              </w:rPr>
            </w:pPr>
            <w:r>
              <w:rPr>
                <w:color w:val="auto"/>
                <w:spacing w:val="-2"/>
                <w:highlight w:val="none"/>
              </w:rPr>
              <w:t>发包人地址</w:t>
            </w:r>
          </w:p>
        </w:tc>
        <w:tc>
          <w:tcPr>
            <w:tcW w:w="6211" w:type="dxa"/>
            <w:vAlign w:val="top"/>
          </w:tcPr>
          <w:p w14:paraId="0490A657">
            <w:pPr>
              <w:rPr>
                <w:rFonts w:ascii="Arial"/>
                <w:color w:val="auto"/>
                <w:sz w:val="21"/>
                <w:highlight w:val="none"/>
              </w:rPr>
            </w:pPr>
          </w:p>
        </w:tc>
      </w:tr>
      <w:tr w14:paraId="25F91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2103588E">
            <w:pPr>
              <w:pStyle w:val="17"/>
              <w:spacing w:before="252" w:line="220" w:lineRule="auto"/>
              <w:ind w:left="1024"/>
              <w:rPr>
                <w:color w:val="auto"/>
                <w:highlight w:val="none"/>
              </w:rPr>
            </w:pPr>
            <w:r>
              <w:rPr>
                <w:color w:val="auto"/>
                <w:spacing w:val="-2"/>
                <w:highlight w:val="none"/>
              </w:rPr>
              <w:t>发包人电话</w:t>
            </w:r>
          </w:p>
        </w:tc>
        <w:tc>
          <w:tcPr>
            <w:tcW w:w="6211" w:type="dxa"/>
            <w:vAlign w:val="top"/>
          </w:tcPr>
          <w:p w14:paraId="5BC25E3D">
            <w:pPr>
              <w:rPr>
                <w:rFonts w:ascii="Arial"/>
                <w:color w:val="auto"/>
                <w:sz w:val="21"/>
                <w:highlight w:val="none"/>
              </w:rPr>
            </w:pPr>
          </w:p>
        </w:tc>
      </w:tr>
      <w:tr w14:paraId="2629E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58F2222A">
            <w:pPr>
              <w:pStyle w:val="17"/>
              <w:spacing w:before="253" w:line="218" w:lineRule="auto"/>
              <w:ind w:left="1127"/>
              <w:rPr>
                <w:color w:val="auto"/>
                <w:highlight w:val="none"/>
              </w:rPr>
            </w:pPr>
            <w:r>
              <w:rPr>
                <w:color w:val="auto"/>
                <w:spacing w:val="-2"/>
                <w:highlight w:val="none"/>
              </w:rPr>
              <w:t>合同价格</w:t>
            </w:r>
          </w:p>
        </w:tc>
        <w:tc>
          <w:tcPr>
            <w:tcW w:w="6211" w:type="dxa"/>
            <w:vAlign w:val="top"/>
          </w:tcPr>
          <w:p w14:paraId="68B317CB">
            <w:pPr>
              <w:rPr>
                <w:rFonts w:ascii="Arial"/>
                <w:color w:val="auto"/>
                <w:sz w:val="21"/>
                <w:highlight w:val="none"/>
              </w:rPr>
            </w:pPr>
          </w:p>
        </w:tc>
      </w:tr>
      <w:tr w14:paraId="381BF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00016E41">
            <w:pPr>
              <w:pStyle w:val="17"/>
              <w:spacing w:before="253" w:line="220" w:lineRule="auto"/>
              <w:ind w:left="1127"/>
              <w:rPr>
                <w:color w:val="auto"/>
                <w:highlight w:val="none"/>
              </w:rPr>
            </w:pPr>
            <w:r>
              <w:rPr>
                <w:color w:val="auto"/>
                <w:spacing w:val="-2"/>
                <w:highlight w:val="none"/>
              </w:rPr>
              <w:t>开工日期</w:t>
            </w:r>
          </w:p>
        </w:tc>
        <w:tc>
          <w:tcPr>
            <w:tcW w:w="6211" w:type="dxa"/>
            <w:vAlign w:val="top"/>
          </w:tcPr>
          <w:p w14:paraId="3F4E25B6">
            <w:pPr>
              <w:rPr>
                <w:rFonts w:ascii="Arial"/>
                <w:color w:val="auto"/>
                <w:sz w:val="21"/>
                <w:highlight w:val="none"/>
              </w:rPr>
            </w:pPr>
          </w:p>
        </w:tc>
      </w:tr>
      <w:tr w14:paraId="1EEB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39583395">
            <w:pPr>
              <w:pStyle w:val="17"/>
              <w:spacing w:before="252" w:line="220" w:lineRule="auto"/>
              <w:ind w:left="290"/>
              <w:rPr>
                <w:color w:val="auto"/>
                <w:highlight w:val="none"/>
              </w:rPr>
            </w:pPr>
            <w:r>
              <w:rPr>
                <w:color w:val="auto"/>
                <w:spacing w:val="-2"/>
                <w:highlight w:val="none"/>
              </w:rPr>
              <w:t>交工（或一次性竣工）日期</w:t>
            </w:r>
          </w:p>
        </w:tc>
        <w:tc>
          <w:tcPr>
            <w:tcW w:w="6211" w:type="dxa"/>
            <w:vAlign w:val="top"/>
          </w:tcPr>
          <w:p w14:paraId="7EC377B2">
            <w:pPr>
              <w:rPr>
                <w:rFonts w:ascii="Arial"/>
                <w:color w:val="auto"/>
                <w:sz w:val="21"/>
                <w:highlight w:val="none"/>
              </w:rPr>
            </w:pPr>
          </w:p>
        </w:tc>
      </w:tr>
      <w:tr w14:paraId="637D6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239A4C55">
            <w:pPr>
              <w:pStyle w:val="17"/>
              <w:spacing w:before="253" w:line="220" w:lineRule="auto"/>
              <w:ind w:left="1020"/>
              <w:rPr>
                <w:color w:val="auto"/>
                <w:highlight w:val="none"/>
              </w:rPr>
            </w:pPr>
            <w:r>
              <w:rPr>
                <w:color w:val="auto"/>
                <w:spacing w:val="-2"/>
                <w:highlight w:val="none"/>
              </w:rPr>
              <w:t>承担的工作</w:t>
            </w:r>
          </w:p>
        </w:tc>
        <w:tc>
          <w:tcPr>
            <w:tcW w:w="6211" w:type="dxa"/>
            <w:vAlign w:val="top"/>
          </w:tcPr>
          <w:p w14:paraId="0A64D33D">
            <w:pPr>
              <w:rPr>
                <w:rFonts w:ascii="Arial"/>
                <w:color w:val="auto"/>
                <w:sz w:val="21"/>
                <w:highlight w:val="none"/>
              </w:rPr>
            </w:pPr>
          </w:p>
        </w:tc>
      </w:tr>
      <w:tr w14:paraId="4E38E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6D91DFF4">
            <w:pPr>
              <w:pStyle w:val="17"/>
              <w:spacing w:before="253" w:line="220" w:lineRule="auto"/>
              <w:ind w:left="393"/>
              <w:rPr>
                <w:color w:val="auto"/>
                <w:highlight w:val="none"/>
              </w:rPr>
            </w:pPr>
            <w:r>
              <w:rPr>
                <w:color w:val="auto"/>
                <w:spacing w:val="-3"/>
                <w:highlight w:val="none"/>
              </w:rPr>
              <w:t>工程质量评分（或等级）</w:t>
            </w:r>
          </w:p>
        </w:tc>
        <w:tc>
          <w:tcPr>
            <w:tcW w:w="6211" w:type="dxa"/>
            <w:vAlign w:val="top"/>
          </w:tcPr>
          <w:p w14:paraId="61D1B6E3">
            <w:pPr>
              <w:rPr>
                <w:rFonts w:ascii="Arial"/>
                <w:color w:val="auto"/>
                <w:sz w:val="21"/>
                <w:highlight w:val="none"/>
              </w:rPr>
            </w:pPr>
          </w:p>
        </w:tc>
      </w:tr>
      <w:tr w14:paraId="0AEB5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34B2C974">
            <w:pPr>
              <w:pStyle w:val="17"/>
              <w:spacing w:before="254" w:line="220" w:lineRule="auto"/>
              <w:ind w:left="1129"/>
              <w:rPr>
                <w:color w:val="auto"/>
                <w:highlight w:val="none"/>
              </w:rPr>
            </w:pPr>
            <w:r>
              <w:rPr>
                <w:color w:val="auto"/>
                <w:spacing w:val="-3"/>
                <w:highlight w:val="none"/>
              </w:rPr>
              <w:t>项目经理</w:t>
            </w:r>
          </w:p>
        </w:tc>
        <w:tc>
          <w:tcPr>
            <w:tcW w:w="6211" w:type="dxa"/>
            <w:vAlign w:val="top"/>
          </w:tcPr>
          <w:p w14:paraId="4430B93D">
            <w:pPr>
              <w:rPr>
                <w:rFonts w:ascii="Arial"/>
                <w:color w:val="auto"/>
                <w:sz w:val="21"/>
                <w:highlight w:val="none"/>
              </w:rPr>
            </w:pPr>
          </w:p>
        </w:tc>
      </w:tr>
      <w:tr w14:paraId="14168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30BDC54F">
            <w:pPr>
              <w:pStyle w:val="17"/>
              <w:spacing w:before="255" w:line="220" w:lineRule="auto"/>
              <w:ind w:left="1129"/>
              <w:rPr>
                <w:color w:val="auto"/>
                <w:highlight w:val="none"/>
              </w:rPr>
            </w:pPr>
            <w:r>
              <w:rPr>
                <w:color w:val="auto"/>
                <w:spacing w:val="-3"/>
                <w:highlight w:val="none"/>
              </w:rPr>
              <w:t>项目总工</w:t>
            </w:r>
          </w:p>
        </w:tc>
        <w:tc>
          <w:tcPr>
            <w:tcW w:w="6211" w:type="dxa"/>
            <w:vAlign w:val="top"/>
          </w:tcPr>
          <w:p w14:paraId="4E9BCAF0">
            <w:pPr>
              <w:rPr>
                <w:rFonts w:ascii="Arial"/>
                <w:color w:val="auto"/>
                <w:sz w:val="21"/>
                <w:highlight w:val="none"/>
              </w:rPr>
            </w:pPr>
          </w:p>
        </w:tc>
      </w:tr>
      <w:tr w14:paraId="7031A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26B80C0F">
            <w:pPr>
              <w:pStyle w:val="17"/>
              <w:spacing w:before="254" w:line="220" w:lineRule="auto"/>
              <w:ind w:left="606"/>
              <w:rPr>
                <w:color w:val="auto"/>
                <w:highlight w:val="none"/>
              </w:rPr>
            </w:pPr>
            <w:r>
              <w:rPr>
                <w:color w:val="auto"/>
                <w:spacing w:val="-2"/>
                <w:highlight w:val="none"/>
              </w:rPr>
              <w:t>总监理工程师及电话</w:t>
            </w:r>
          </w:p>
        </w:tc>
        <w:tc>
          <w:tcPr>
            <w:tcW w:w="6211" w:type="dxa"/>
            <w:vAlign w:val="top"/>
          </w:tcPr>
          <w:p w14:paraId="3DB6AC04">
            <w:pPr>
              <w:rPr>
                <w:rFonts w:ascii="Arial"/>
                <w:color w:val="auto"/>
                <w:sz w:val="21"/>
                <w:highlight w:val="none"/>
              </w:rPr>
            </w:pPr>
          </w:p>
        </w:tc>
      </w:tr>
      <w:tr w14:paraId="494EF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1" w:type="dxa"/>
            <w:vAlign w:val="top"/>
          </w:tcPr>
          <w:p w14:paraId="0247C8FF">
            <w:pPr>
              <w:pStyle w:val="17"/>
              <w:spacing w:before="255" w:line="220" w:lineRule="auto"/>
              <w:ind w:left="1129"/>
              <w:rPr>
                <w:color w:val="auto"/>
                <w:highlight w:val="none"/>
              </w:rPr>
            </w:pPr>
            <w:r>
              <w:rPr>
                <w:color w:val="auto"/>
                <w:spacing w:val="-3"/>
                <w:highlight w:val="none"/>
              </w:rPr>
              <w:t>项目描述</w:t>
            </w:r>
          </w:p>
        </w:tc>
        <w:tc>
          <w:tcPr>
            <w:tcW w:w="6211" w:type="dxa"/>
            <w:vAlign w:val="top"/>
          </w:tcPr>
          <w:p w14:paraId="1817C6FD">
            <w:pPr>
              <w:rPr>
                <w:rFonts w:ascii="Arial"/>
                <w:color w:val="auto"/>
                <w:sz w:val="21"/>
                <w:highlight w:val="none"/>
              </w:rPr>
            </w:pPr>
          </w:p>
        </w:tc>
      </w:tr>
      <w:tr w14:paraId="76FD0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3081" w:type="dxa"/>
            <w:vAlign w:val="top"/>
          </w:tcPr>
          <w:p w14:paraId="314E8CB4">
            <w:pPr>
              <w:pStyle w:val="17"/>
              <w:spacing w:before="254" w:line="221" w:lineRule="auto"/>
              <w:ind w:left="1338"/>
              <w:rPr>
                <w:color w:val="auto"/>
                <w:highlight w:val="none"/>
              </w:rPr>
            </w:pPr>
            <w:r>
              <w:rPr>
                <w:color w:val="auto"/>
                <w:spacing w:val="-3"/>
                <w:highlight w:val="none"/>
              </w:rPr>
              <w:t>备注</w:t>
            </w:r>
          </w:p>
        </w:tc>
        <w:tc>
          <w:tcPr>
            <w:tcW w:w="6211" w:type="dxa"/>
            <w:vAlign w:val="top"/>
          </w:tcPr>
          <w:p w14:paraId="5A5FF028">
            <w:pPr>
              <w:rPr>
                <w:rFonts w:ascii="Arial"/>
                <w:color w:val="auto"/>
                <w:sz w:val="21"/>
                <w:highlight w:val="none"/>
              </w:rPr>
            </w:pPr>
          </w:p>
        </w:tc>
      </w:tr>
    </w:tbl>
    <w:p w14:paraId="6F80A793">
      <w:pPr>
        <w:spacing w:before="4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2B1F1CFF">
      <w:pPr>
        <w:spacing w:before="56" w:line="220" w:lineRule="auto"/>
        <w:ind w:left="1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1.每张表格只填写一个项目，并标明序号。</w:t>
      </w:r>
    </w:p>
    <w:p w14:paraId="610385B7">
      <w:pPr>
        <w:spacing w:before="62" w:line="219" w:lineRule="auto"/>
        <w:ind w:left="1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 投标人应根据招标文件第二章“投标人须知”第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2"/>
          <w:sz w:val="21"/>
          <w:szCs w:val="21"/>
          <w:highlight w:val="none"/>
        </w:rPr>
        <w:t>5.3</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项的要求在本表后附相关证明材料。</w:t>
      </w:r>
    </w:p>
    <w:p w14:paraId="6781DC48">
      <w:pPr>
        <w:spacing w:before="64" w:line="220" w:lineRule="auto"/>
        <w:ind w:left="1428"/>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3.以联合体形式投标的，联合体各成员应分别填写。</w:t>
      </w:r>
    </w:p>
    <w:p w14:paraId="61DFB488">
      <w:pPr>
        <w:spacing w:line="220" w:lineRule="auto"/>
        <w:rPr>
          <w:rFonts w:ascii="宋体" w:hAnsi="宋体" w:eastAsia="宋体" w:cs="宋体"/>
          <w:color w:val="auto"/>
          <w:sz w:val="21"/>
          <w:szCs w:val="21"/>
          <w:highlight w:val="none"/>
        </w:rPr>
        <w:sectPr>
          <w:headerReference r:id="rId186" w:type="default"/>
          <w:footerReference r:id="rId187" w:type="default"/>
          <w:pgSz w:w="11905" w:h="16840"/>
          <w:pgMar w:top="1182" w:right="0" w:bottom="1171" w:left="0" w:header="849" w:footer="937" w:gutter="0"/>
          <w:pgNumType w:fmt="decimal"/>
          <w:cols w:space="720" w:num="1"/>
        </w:sectPr>
      </w:pPr>
    </w:p>
    <w:p w14:paraId="5F6DA731">
      <w:pPr>
        <w:pStyle w:val="3"/>
        <w:spacing w:line="316" w:lineRule="auto"/>
        <w:rPr>
          <w:color w:val="auto"/>
          <w:highlight w:val="none"/>
        </w:rPr>
      </w:pPr>
    </w:p>
    <w:p w14:paraId="4872B318">
      <w:pPr>
        <w:spacing w:before="88" w:line="226" w:lineRule="auto"/>
        <w:ind w:left="3691"/>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（四）-2</w:t>
      </w:r>
      <w:r>
        <w:rPr>
          <w:rFonts w:ascii="宋体" w:hAnsi="宋体" w:eastAsia="宋体" w:cs="宋体"/>
          <w:color w:val="auto"/>
          <w:spacing w:val="-46"/>
          <w:sz w:val="27"/>
          <w:szCs w:val="27"/>
          <w:highlight w:val="none"/>
        </w:rPr>
        <w:t xml:space="preserve"> </w:t>
      </w:r>
      <w:r>
        <w:rPr>
          <w:rFonts w:ascii="宋体" w:hAnsi="宋体" w:eastAsia="宋体" w:cs="宋体"/>
          <w:b/>
          <w:bCs/>
          <w:color w:val="auto"/>
          <w:spacing w:val="5"/>
          <w:sz w:val="27"/>
          <w:szCs w:val="27"/>
          <w:highlight w:val="none"/>
        </w:rPr>
        <w:t>完成的类似项目情况汇总表</w:t>
      </w:r>
    </w:p>
    <w:p w14:paraId="51C998C7">
      <w:pPr>
        <w:spacing w:before="36"/>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484"/>
        <w:gridCol w:w="1019"/>
        <w:gridCol w:w="1109"/>
        <w:gridCol w:w="885"/>
        <w:gridCol w:w="929"/>
        <w:gridCol w:w="870"/>
        <w:gridCol w:w="944"/>
        <w:gridCol w:w="570"/>
        <w:gridCol w:w="740"/>
      </w:tblGrid>
      <w:tr w14:paraId="3DFE5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42" w:type="dxa"/>
            <w:vAlign w:val="top"/>
          </w:tcPr>
          <w:p w14:paraId="005F34C5">
            <w:pPr>
              <w:spacing w:line="351" w:lineRule="auto"/>
              <w:rPr>
                <w:rFonts w:ascii="Arial"/>
                <w:color w:val="auto"/>
                <w:sz w:val="21"/>
                <w:highlight w:val="none"/>
              </w:rPr>
            </w:pPr>
          </w:p>
          <w:p w14:paraId="4B87D90D">
            <w:pPr>
              <w:pStyle w:val="17"/>
              <w:spacing w:before="68" w:line="221" w:lineRule="auto"/>
              <w:ind w:left="165"/>
              <w:rPr>
                <w:color w:val="auto"/>
                <w:highlight w:val="none"/>
              </w:rPr>
            </w:pPr>
            <w:r>
              <w:rPr>
                <w:color w:val="auto"/>
                <w:spacing w:val="-2"/>
                <w:highlight w:val="none"/>
              </w:rPr>
              <w:t>序号</w:t>
            </w:r>
          </w:p>
        </w:tc>
        <w:tc>
          <w:tcPr>
            <w:tcW w:w="1484" w:type="dxa"/>
            <w:vAlign w:val="top"/>
          </w:tcPr>
          <w:p w14:paraId="71FD433E">
            <w:pPr>
              <w:spacing w:line="351" w:lineRule="auto"/>
              <w:rPr>
                <w:rFonts w:ascii="Arial"/>
                <w:color w:val="auto"/>
                <w:sz w:val="21"/>
                <w:highlight w:val="none"/>
              </w:rPr>
            </w:pPr>
          </w:p>
          <w:p w14:paraId="22679A87">
            <w:pPr>
              <w:pStyle w:val="17"/>
              <w:spacing w:before="68" w:line="220" w:lineRule="auto"/>
              <w:ind w:left="327"/>
              <w:rPr>
                <w:color w:val="auto"/>
                <w:highlight w:val="none"/>
              </w:rPr>
            </w:pPr>
            <w:r>
              <w:rPr>
                <w:color w:val="auto"/>
                <w:spacing w:val="-3"/>
                <w:highlight w:val="none"/>
              </w:rPr>
              <w:t>项目名称</w:t>
            </w:r>
          </w:p>
        </w:tc>
        <w:tc>
          <w:tcPr>
            <w:tcW w:w="1019" w:type="dxa"/>
            <w:vAlign w:val="top"/>
          </w:tcPr>
          <w:p w14:paraId="1AE3B6D6">
            <w:pPr>
              <w:pStyle w:val="17"/>
              <w:spacing w:before="109" w:line="220" w:lineRule="auto"/>
              <w:ind w:left="200"/>
              <w:rPr>
                <w:color w:val="auto"/>
                <w:highlight w:val="none"/>
              </w:rPr>
            </w:pPr>
            <w:r>
              <w:rPr>
                <w:color w:val="auto"/>
                <w:spacing w:val="-3"/>
                <w:highlight w:val="none"/>
              </w:rPr>
              <w:t>路基桥</w:t>
            </w:r>
          </w:p>
          <w:p w14:paraId="366E8DAB">
            <w:pPr>
              <w:pStyle w:val="17"/>
              <w:spacing w:before="62" w:line="274" w:lineRule="auto"/>
              <w:ind w:left="203" w:right="193" w:hanging="4"/>
              <w:rPr>
                <w:color w:val="auto"/>
                <w:highlight w:val="none"/>
              </w:rPr>
            </w:pPr>
            <w:r>
              <w:rPr>
                <w:color w:val="auto"/>
                <w:spacing w:val="-4"/>
                <w:highlight w:val="none"/>
              </w:rPr>
              <w:t>涵里程</w:t>
            </w:r>
            <w:r>
              <w:rPr>
                <w:color w:val="auto"/>
                <w:spacing w:val="-7"/>
                <w:highlight w:val="none"/>
              </w:rPr>
              <w:t>（km）</w:t>
            </w:r>
          </w:p>
        </w:tc>
        <w:tc>
          <w:tcPr>
            <w:tcW w:w="1109" w:type="dxa"/>
            <w:vAlign w:val="top"/>
          </w:tcPr>
          <w:p w14:paraId="113F0662">
            <w:pPr>
              <w:pStyle w:val="17"/>
              <w:spacing w:before="109" w:line="274" w:lineRule="auto"/>
              <w:ind w:left="244" w:right="132" w:hanging="103"/>
              <w:jc w:val="both"/>
              <w:rPr>
                <w:color w:val="auto"/>
                <w:highlight w:val="none"/>
              </w:rPr>
            </w:pPr>
            <w:r>
              <w:rPr>
                <w:color w:val="auto"/>
                <w:spacing w:val="-3"/>
                <w:highlight w:val="none"/>
              </w:rPr>
              <w:t>路面类型及里程</w:t>
            </w:r>
            <w:r>
              <w:rPr>
                <w:color w:val="auto"/>
                <w:spacing w:val="-4"/>
                <w:highlight w:val="none"/>
              </w:rPr>
              <w:t>（km）</w:t>
            </w:r>
          </w:p>
        </w:tc>
        <w:tc>
          <w:tcPr>
            <w:tcW w:w="885" w:type="dxa"/>
            <w:vAlign w:val="top"/>
          </w:tcPr>
          <w:p w14:paraId="4009DA93">
            <w:pPr>
              <w:pStyle w:val="17"/>
              <w:spacing w:before="266" w:line="277" w:lineRule="auto"/>
              <w:ind w:left="138" w:right="139" w:firstLine="102"/>
              <w:rPr>
                <w:color w:val="auto"/>
                <w:highlight w:val="none"/>
              </w:rPr>
            </w:pPr>
            <w:r>
              <w:rPr>
                <w:color w:val="auto"/>
                <w:spacing w:val="-6"/>
                <w:highlight w:val="none"/>
              </w:rPr>
              <w:t>大桥</w:t>
            </w:r>
            <w:r>
              <w:rPr>
                <w:color w:val="auto"/>
                <w:spacing w:val="-10"/>
                <w:highlight w:val="none"/>
              </w:rPr>
              <w:t>（座）</w:t>
            </w:r>
          </w:p>
        </w:tc>
        <w:tc>
          <w:tcPr>
            <w:tcW w:w="929" w:type="dxa"/>
            <w:vAlign w:val="top"/>
          </w:tcPr>
          <w:p w14:paraId="7DA0D277">
            <w:pPr>
              <w:pStyle w:val="17"/>
              <w:spacing w:before="266" w:line="277" w:lineRule="auto"/>
              <w:ind w:left="160" w:right="146" w:hanging="5"/>
              <w:rPr>
                <w:color w:val="auto"/>
                <w:highlight w:val="none"/>
              </w:rPr>
            </w:pPr>
            <w:r>
              <w:rPr>
                <w:color w:val="auto"/>
                <w:spacing w:val="-3"/>
                <w:highlight w:val="none"/>
              </w:rPr>
              <w:t>特大桥</w:t>
            </w:r>
            <w:r>
              <w:rPr>
                <w:color w:val="auto"/>
                <w:spacing w:val="-7"/>
                <w:highlight w:val="none"/>
              </w:rPr>
              <w:t>（座）</w:t>
            </w:r>
          </w:p>
        </w:tc>
        <w:tc>
          <w:tcPr>
            <w:tcW w:w="870" w:type="dxa"/>
            <w:vAlign w:val="top"/>
          </w:tcPr>
          <w:p w14:paraId="3E5A30ED">
            <w:pPr>
              <w:pStyle w:val="17"/>
              <w:spacing w:before="266" w:line="277" w:lineRule="auto"/>
              <w:ind w:left="131" w:right="116" w:hanging="4"/>
              <w:rPr>
                <w:color w:val="auto"/>
                <w:highlight w:val="none"/>
              </w:rPr>
            </w:pPr>
            <w:r>
              <w:rPr>
                <w:color w:val="auto"/>
                <w:spacing w:val="-4"/>
                <w:highlight w:val="none"/>
              </w:rPr>
              <w:t>长隧道</w:t>
            </w:r>
            <w:r>
              <w:rPr>
                <w:color w:val="auto"/>
                <w:spacing w:val="-7"/>
                <w:highlight w:val="none"/>
              </w:rPr>
              <w:t>（座）</w:t>
            </w:r>
          </w:p>
        </w:tc>
        <w:tc>
          <w:tcPr>
            <w:tcW w:w="944" w:type="dxa"/>
            <w:vAlign w:val="top"/>
          </w:tcPr>
          <w:p w14:paraId="6D274866">
            <w:pPr>
              <w:pStyle w:val="17"/>
              <w:spacing w:before="266" w:line="277" w:lineRule="auto"/>
              <w:ind w:left="113" w:right="12" w:firstLine="50"/>
              <w:rPr>
                <w:color w:val="auto"/>
                <w:highlight w:val="none"/>
              </w:rPr>
            </w:pPr>
            <w:r>
              <w:rPr>
                <w:color w:val="auto"/>
                <w:spacing w:val="-3"/>
                <w:highlight w:val="none"/>
              </w:rPr>
              <w:t>特长隧</w:t>
            </w:r>
            <w:r>
              <w:rPr>
                <w:color w:val="auto"/>
                <w:spacing w:val="-7"/>
                <w:highlight w:val="none"/>
              </w:rPr>
              <w:t>道（座）</w:t>
            </w:r>
          </w:p>
        </w:tc>
        <w:tc>
          <w:tcPr>
            <w:tcW w:w="570" w:type="dxa"/>
            <w:vAlign w:val="top"/>
          </w:tcPr>
          <w:p w14:paraId="4110D7B1">
            <w:pPr>
              <w:spacing w:line="252" w:lineRule="auto"/>
              <w:rPr>
                <w:rFonts w:ascii="Arial"/>
                <w:color w:val="auto"/>
                <w:sz w:val="21"/>
                <w:highlight w:val="none"/>
              </w:rPr>
            </w:pPr>
          </w:p>
          <w:p w14:paraId="7CDC28E8">
            <w:pPr>
              <w:spacing w:line="253" w:lineRule="auto"/>
              <w:rPr>
                <w:rFonts w:ascii="Arial"/>
                <w:color w:val="auto"/>
                <w:sz w:val="21"/>
                <w:highlight w:val="none"/>
              </w:rPr>
            </w:pPr>
          </w:p>
          <w:p w14:paraId="7D8E9EB1">
            <w:pPr>
              <w:pStyle w:val="17"/>
              <w:spacing w:before="68" w:line="87" w:lineRule="exact"/>
              <w:ind w:left="140"/>
              <w:rPr>
                <w:color w:val="auto"/>
                <w:highlight w:val="none"/>
              </w:rPr>
            </w:pPr>
            <w:r>
              <w:rPr>
                <w:color w:val="auto"/>
                <w:position w:val="1"/>
                <w:highlight w:val="none"/>
              </w:rPr>
              <w:t>...</w:t>
            </w:r>
          </w:p>
        </w:tc>
        <w:tc>
          <w:tcPr>
            <w:tcW w:w="740" w:type="dxa"/>
            <w:vAlign w:val="top"/>
          </w:tcPr>
          <w:p w14:paraId="16E762F3">
            <w:pPr>
              <w:spacing w:line="351" w:lineRule="auto"/>
              <w:rPr>
                <w:rFonts w:ascii="Arial"/>
                <w:color w:val="auto"/>
                <w:sz w:val="21"/>
                <w:highlight w:val="none"/>
              </w:rPr>
            </w:pPr>
          </w:p>
          <w:p w14:paraId="1654156A">
            <w:pPr>
              <w:pStyle w:val="17"/>
              <w:spacing w:before="68" w:line="221" w:lineRule="auto"/>
              <w:ind w:left="168"/>
              <w:rPr>
                <w:color w:val="auto"/>
                <w:highlight w:val="none"/>
              </w:rPr>
            </w:pPr>
            <w:r>
              <w:rPr>
                <w:color w:val="auto"/>
                <w:spacing w:val="-6"/>
                <w:highlight w:val="none"/>
              </w:rPr>
              <w:t>备注</w:t>
            </w:r>
          </w:p>
        </w:tc>
      </w:tr>
      <w:tr w14:paraId="2A9AB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50D4DFFC">
            <w:pPr>
              <w:pStyle w:val="17"/>
              <w:spacing w:before="307" w:line="241" w:lineRule="auto"/>
              <w:ind w:left="339"/>
              <w:rPr>
                <w:color w:val="auto"/>
                <w:highlight w:val="none"/>
              </w:rPr>
            </w:pPr>
            <w:r>
              <w:rPr>
                <w:color w:val="auto"/>
                <w:highlight w:val="none"/>
              </w:rPr>
              <w:t>1</w:t>
            </w:r>
          </w:p>
        </w:tc>
        <w:tc>
          <w:tcPr>
            <w:tcW w:w="1484" w:type="dxa"/>
            <w:vAlign w:val="top"/>
          </w:tcPr>
          <w:p w14:paraId="0C0CF4ED">
            <w:pPr>
              <w:rPr>
                <w:rFonts w:ascii="Arial"/>
                <w:color w:val="auto"/>
                <w:sz w:val="21"/>
                <w:highlight w:val="none"/>
              </w:rPr>
            </w:pPr>
          </w:p>
        </w:tc>
        <w:tc>
          <w:tcPr>
            <w:tcW w:w="1019" w:type="dxa"/>
            <w:vAlign w:val="top"/>
          </w:tcPr>
          <w:p w14:paraId="127058B2">
            <w:pPr>
              <w:rPr>
                <w:rFonts w:ascii="Arial"/>
                <w:color w:val="auto"/>
                <w:sz w:val="21"/>
                <w:highlight w:val="none"/>
              </w:rPr>
            </w:pPr>
          </w:p>
        </w:tc>
        <w:tc>
          <w:tcPr>
            <w:tcW w:w="1109" w:type="dxa"/>
            <w:vAlign w:val="top"/>
          </w:tcPr>
          <w:p w14:paraId="071E72AF">
            <w:pPr>
              <w:rPr>
                <w:rFonts w:ascii="Arial"/>
                <w:color w:val="auto"/>
                <w:sz w:val="21"/>
                <w:highlight w:val="none"/>
              </w:rPr>
            </w:pPr>
          </w:p>
        </w:tc>
        <w:tc>
          <w:tcPr>
            <w:tcW w:w="885" w:type="dxa"/>
            <w:vAlign w:val="top"/>
          </w:tcPr>
          <w:p w14:paraId="28C8D0F8">
            <w:pPr>
              <w:rPr>
                <w:rFonts w:ascii="Arial"/>
                <w:color w:val="auto"/>
                <w:sz w:val="21"/>
                <w:highlight w:val="none"/>
              </w:rPr>
            </w:pPr>
          </w:p>
        </w:tc>
        <w:tc>
          <w:tcPr>
            <w:tcW w:w="929" w:type="dxa"/>
            <w:vAlign w:val="top"/>
          </w:tcPr>
          <w:p w14:paraId="6B6CAE88">
            <w:pPr>
              <w:rPr>
                <w:rFonts w:ascii="Arial"/>
                <w:color w:val="auto"/>
                <w:sz w:val="21"/>
                <w:highlight w:val="none"/>
              </w:rPr>
            </w:pPr>
          </w:p>
        </w:tc>
        <w:tc>
          <w:tcPr>
            <w:tcW w:w="870" w:type="dxa"/>
            <w:vAlign w:val="top"/>
          </w:tcPr>
          <w:p w14:paraId="58F4213D">
            <w:pPr>
              <w:rPr>
                <w:rFonts w:ascii="Arial"/>
                <w:color w:val="auto"/>
                <w:sz w:val="21"/>
                <w:highlight w:val="none"/>
              </w:rPr>
            </w:pPr>
          </w:p>
        </w:tc>
        <w:tc>
          <w:tcPr>
            <w:tcW w:w="944" w:type="dxa"/>
            <w:vAlign w:val="top"/>
          </w:tcPr>
          <w:p w14:paraId="24D8D6B7">
            <w:pPr>
              <w:rPr>
                <w:rFonts w:ascii="Arial"/>
                <w:color w:val="auto"/>
                <w:sz w:val="21"/>
                <w:highlight w:val="none"/>
              </w:rPr>
            </w:pPr>
          </w:p>
        </w:tc>
        <w:tc>
          <w:tcPr>
            <w:tcW w:w="570" w:type="dxa"/>
            <w:vAlign w:val="top"/>
          </w:tcPr>
          <w:p w14:paraId="01DC94FC">
            <w:pPr>
              <w:rPr>
                <w:rFonts w:ascii="Arial"/>
                <w:color w:val="auto"/>
                <w:sz w:val="21"/>
                <w:highlight w:val="none"/>
              </w:rPr>
            </w:pPr>
          </w:p>
        </w:tc>
        <w:tc>
          <w:tcPr>
            <w:tcW w:w="740" w:type="dxa"/>
            <w:vAlign w:val="top"/>
          </w:tcPr>
          <w:p w14:paraId="3863CA45">
            <w:pPr>
              <w:rPr>
                <w:rFonts w:ascii="Arial"/>
                <w:color w:val="auto"/>
                <w:sz w:val="21"/>
                <w:highlight w:val="none"/>
              </w:rPr>
            </w:pPr>
          </w:p>
        </w:tc>
      </w:tr>
      <w:tr w14:paraId="0DD7F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6A6DB0AB">
            <w:pPr>
              <w:pStyle w:val="17"/>
              <w:spacing w:before="306" w:line="241" w:lineRule="auto"/>
              <w:ind w:left="326"/>
              <w:rPr>
                <w:color w:val="auto"/>
                <w:highlight w:val="none"/>
              </w:rPr>
            </w:pPr>
            <w:r>
              <w:rPr>
                <w:color w:val="auto"/>
                <w:highlight w:val="none"/>
              </w:rPr>
              <w:t>2</w:t>
            </w:r>
          </w:p>
        </w:tc>
        <w:tc>
          <w:tcPr>
            <w:tcW w:w="1484" w:type="dxa"/>
            <w:vAlign w:val="top"/>
          </w:tcPr>
          <w:p w14:paraId="4B4AED1D">
            <w:pPr>
              <w:rPr>
                <w:rFonts w:ascii="Arial"/>
                <w:color w:val="auto"/>
                <w:sz w:val="21"/>
                <w:highlight w:val="none"/>
              </w:rPr>
            </w:pPr>
          </w:p>
        </w:tc>
        <w:tc>
          <w:tcPr>
            <w:tcW w:w="1019" w:type="dxa"/>
            <w:vAlign w:val="top"/>
          </w:tcPr>
          <w:p w14:paraId="01BAEFEE">
            <w:pPr>
              <w:rPr>
                <w:rFonts w:ascii="Arial"/>
                <w:color w:val="auto"/>
                <w:sz w:val="21"/>
                <w:highlight w:val="none"/>
              </w:rPr>
            </w:pPr>
          </w:p>
        </w:tc>
        <w:tc>
          <w:tcPr>
            <w:tcW w:w="1109" w:type="dxa"/>
            <w:vAlign w:val="top"/>
          </w:tcPr>
          <w:p w14:paraId="79173479">
            <w:pPr>
              <w:rPr>
                <w:rFonts w:ascii="Arial"/>
                <w:color w:val="auto"/>
                <w:sz w:val="21"/>
                <w:highlight w:val="none"/>
              </w:rPr>
            </w:pPr>
          </w:p>
        </w:tc>
        <w:tc>
          <w:tcPr>
            <w:tcW w:w="885" w:type="dxa"/>
            <w:vAlign w:val="top"/>
          </w:tcPr>
          <w:p w14:paraId="3977FE74">
            <w:pPr>
              <w:rPr>
                <w:rFonts w:ascii="Arial"/>
                <w:color w:val="auto"/>
                <w:sz w:val="21"/>
                <w:highlight w:val="none"/>
              </w:rPr>
            </w:pPr>
          </w:p>
        </w:tc>
        <w:tc>
          <w:tcPr>
            <w:tcW w:w="929" w:type="dxa"/>
            <w:vAlign w:val="top"/>
          </w:tcPr>
          <w:p w14:paraId="05781CEF">
            <w:pPr>
              <w:rPr>
                <w:rFonts w:ascii="Arial"/>
                <w:color w:val="auto"/>
                <w:sz w:val="21"/>
                <w:highlight w:val="none"/>
              </w:rPr>
            </w:pPr>
          </w:p>
        </w:tc>
        <w:tc>
          <w:tcPr>
            <w:tcW w:w="870" w:type="dxa"/>
            <w:vAlign w:val="top"/>
          </w:tcPr>
          <w:p w14:paraId="7E310453">
            <w:pPr>
              <w:rPr>
                <w:rFonts w:ascii="Arial"/>
                <w:color w:val="auto"/>
                <w:sz w:val="21"/>
                <w:highlight w:val="none"/>
              </w:rPr>
            </w:pPr>
          </w:p>
        </w:tc>
        <w:tc>
          <w:tcPr>
            <w:tcW w:w="944" w:type="dxa"/>
            <w:vAlign w:val="top"/>
          </w:tcPr>
          <w:p w14:paraId="43C750F1">
            <w:pPr>
              <w:rPr>
                <w:rFonts w:ascii="Arial"/>
                <w:color w:val="auto"/>
                <w:sz w:val="21"/>
                <w:highlight w:val="none"/>
              </w:rPr>
            </w:pPr>
          </w:p>
        </w:tc>
        <w:tc>
          <w:tcPr>
            <w:tcW w:w="570" w:type="dxa"/>
            <w:vAlign w:val="top"/>
          </w:tcPr>
          <w:p w14:paraId="38F4C43B">
            <w:pPr>
              <w:rPr>
                <w:rFonts w:ascii="Arial"/>
                <w:color w:val="auto"/>
                <w:sz w:val="21"/>
                <w:highlight w:val="none"/>
              </w:rPr>
            </w:pPr>
          </w:p>
        </w:tc>
        <w:tc>
          <w:tcPr>
            <w:tcW w:w="740" w:type="dxa"/>
            <w:vAlign w:val="top"/>
          </w:tcPr>
          <w:p w14:paraId="1D45CCF6">
            <w:pPr>
              <w:rPr>
                <w:rFonts w:ascii="Arial"/>
                <w:color w:val="auto"/>
                <w:sz w:val="21"/>
                <w:highlight w:val="none"/>
              </w:rPr>
            </w:pPr>
          </w:p>
        </w:tc>
      </w:tr>
      <w:tr w14:paraId="37C4B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4D34113C">
            <w:pPr>
              <w:pStyle w:val="17"/>
              <w:spacing w:before="308"/>
              <w:ind w:left="327"/>
              <w:rPr>
                <w:color w:val="auto"/>
                <w:highlight w:val="none"/>
              </w:rPr>
            </w:pPr>
            <w:r>
              <w:rPr>
                <w:color w:val="auto"/>
                <w:highlight w:val="none"/>
              </w:rPr>
              <w:t>3</w:t>
            </w:r>
          </w:p>
        </w:tc>
        <w:tc>
          <w:tcPr>
            <w:tcW w:w="1484" w:type="dxa"/>
            <w:vAlign w:val="top"/>
          </w:tcPr>
          <w:p w14:paraId="45A3B325">
            <w:pPr>
              <w:rPr>
                <w:rFonts w:ascii="Arial"/>
                <w:color w:val="auto"/>
                <w:sz w:val="21"/>
                <w:highlight w:val="none"/>
              </w:rPr>
            </w:pPr>
          </w:p>
        </w:tc>
        <w:tc>
          <w:tcPr>
            <w:tcW w:w="1019" w:type="dxa"/>
            <w:vAlign w:val="top"/>
          </w:tcPr>
          <w:p w14:paraId="1CFDA24C">
            <w:pPr>
              <w:rPr>
                <w:rFonts w:ascii="Arial"/>
                <w:color w:val="auto"/>
                <w:sz w:val="21"/>
                <w:highlight w:val="none"/>
              </w:rPr>
            </w:pPr>
          </w:p>
        </w:tc>
        <w:tc>
          <w:tcPr>
            <w:tcW w:w="1109" w:type="dxa"/>
            <w:vAlign w:val="top"/>
          </w:tcPr>
          <w:p w14:paraId="28918856">
            <w:pPr>
              <w:rPr>
                <w:rFonts w:ascii="Arial"/>
                <w:color w:val="auto"/>
                <w:sz w:val="21"/>
                <w:highlight w:val="none"/>
              </w:rPr>
            </w:pPr>
          </w:p>
        </w:tc>
        <w:tc>
          <w:tcPr>
            <w:tcW w:w="885" w:type="dxa"/>
            <w:vAlign w:val="top"/>
          </w:tcPr>
          <w:p w14:paraId="2B3A8142">
            <w:pPr>
              <w:rPr>
                <w:rFonts w:ascii="Arial"/>
                <w:color w:val="auto"/>
                <w:sz w:val="21"/>
                <w:highlight w:val="none"/>
              </w:rPr>
            </w:pPr>
          </w:p>
        </w:tc>
        <w:tc>
          <w:tcPr>
            <w:tcW w:w="929" w:type="dxa"/>
            <w:vAlign w:val="top"/>
          </w:tcPr>
          <w:p w14:paraId="6E03D567">
            <w:pPr>
              <w:rPr>
                <w:rFonts w:ascii="Arial"/>
                <w:color w:val="auto"/>
                <w:sz w:val="21"/>
                <w:highlight w:val="none"/>
              </w:rPr>
            </w:pPr>
          </w:p>
        </w:tc>
        <w:tc>
          <w:tcPr>
            <w:tcW w:w="870" w:type="dxa"/>
            <w:vAlign w:val="top"/>
          </w:tcPr>
          <w:p w14:paraId="7E9B8D8F">
            <w:pPr>
              <w:rPr>
                <w:rFonts w:ascii="Arial"/>
                <w:color w:val="auto"/>
                <w:sz w:val="21"/>
                <w:highlight w:val="none"/>
              </w:rPr>
            </w:pPr>
          </w:p>
        </w:tc>
        <w:tc>
          <w:tcPr>
            <w:tcW w:w="944" w:type="dxa"/>
            <w:vAlign w:val="top"/>
          </w:tcPr>
          <w:p w14:paraId="3062701A">
            <w:pPr>
              <w:rPr>
                <w:rFonts w:ascii="Arial"/>
                <w:color w:val="auto"/>
                <w:sz w:val="21"/>
                <w:highlight w:val="none"/>
              </w:rPr>
            </w:pPr>
          </w:p>
        </w:tc>
        <w:tc>
          <w:tcPr>
            <w:tcW w:w="570" w:type="dxa"/>
            <w:vAlign w:val="top"/>
          </w:tcPr>
          <w:p w14:paraId="3D5C5938">
            <w:pPr>
              <w:rPr>
                <w:rFonts w:ascii="Arial"/>
                <w:color w:val="auto"/>
                <w:sz w:val="21"/>
                <w:highlight w:val="none"/>
              </w:rPr>
            </w:pPr>
          </w:p>
        </w:tc>
        <w:tc>
          <w:tcPr>
            <w:tcW w:w="740" w:type="dxa"/>
            <w:vAlign w:val="top"/>
          </w:tcPr>
          <w:p w14:paraId="2CDB3A02">
            <w:pPr>
              <w:rPr>
                <w:rFonts w:ascii="Arial"/>
                <w:color w:val="auto"/>
                <w:sz w:val="21"/>
                <w:highlight w:val="none"/>
              </w:rPr>
            </w:pPr>
          </w:p>
        </w:tc>
      </w:tr>
      <w:tr w14:paraId="0B7E9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1E9A9F78">
            <w:pPr>
              <w:pStyle w:val="17"/>
              <w:spacing w:before="307" w:line="241" w:lineRule="auto"/>
              <w:ind w:left="322"/>
              <w:rPr>
                <w:color w:val="auto"/>
                <w:highlight w:val="none"/>
              </w:rPr>
            </w:pPr>
            <w:r>
              <w:rPr>
                <w:color w:val="auto"/>
                <w:highlight w:val="none"/>
              </w:rPr>
              <w:t>4</w:t>
            </w:r>
          </w:p>
        </w:tc>
        <w:tc>
          <w:tcPr>
            <w:tcW w:w="1484" w:type="dxa"/>
            <w:vAlign w:val="top"/>
          </w:tcPr>
          <w:p w14:paraId="0A1DF86A">
            <w:pPr>
              <w:rPr>
                <w:rFonts w:ascii="Arial"/>
                <w:color w:val="auto"/>
                <w:sz w:val="21"/>
                <w:highlight w:val="none"/>
              </w:rPr>
            </w:pPr>
          </w:p>
        </w:tc>
        <w:tc>
          <w:tcPr>
            <w:tcW w:w="1019" w:type="dxa"/>
            <w:vAlign w:val="top"/>
          </w:tcPr>
          <w:p w14:paraId="368114EF">
            <w:pPr>
              <w:rPr>
                <w:rFonts w:ascii="Arial"/>
                <w:color w:val="auto"/>
                <w:sz w:val="21"/>
                <w:highlight w:val="none"/>
              </w:rPr>
            </w:pPr>
          </w:p>
        </w:tc>
        <w:tc>
          <w:tcPr>
            <w:tcW w:w="1109" w:type="dxa"/>
            <w:vAlign w:val="top"/>
          </w:tcPr>
          <w:p w14:paraId="050DCD71">
            <w:pPr>
              <w:rPr>
                <w:rFonts w:ascii="Arial"/>
                <w:color w:val="auto"/>
                <w:sz w:val="21"/>
                <w:highlight w:val="none"/>
              </w:rPr>
            </w:pPr>
          </w:p>
        </w:tc>
        <w:tc>
          <w:tcPr>
            <w:tcW w:w="885" w:type="dxa"/>
            <w:vAlign w:val="top"/>
          </w:tcPr>
          <w:p w14:paraId="2DCA4E04">
            <w:pPr>
              <w:rPr>
                <w:rFonts w:ascii="Arial"/>
                <w:color w:val="auto"/>
                <w:sz w:val="21"/>
                <w:highlight w:val="none"/>
              </w:rPr>
            </w:pPr>
          </w:p>
        </w:tc>
        <w:tc>
          <w:tcPr>
            <w:tcW w:w="929" w:type="dxa"/>
            <w:vAlign w:val="top"/>
          </w:tcPr>
          <w:p w14:paraId="7AFD8759">
            <w:pPr>
              <w:rPr>
                <w:rFonts w:ascii="Arial"/>
                <w:color w:val="auto"/>
                <w:sz w:val="21"/>
                <w:highlight w:val="none"/>
              </w:rPr>
            </w:pPr>
          </w:p>
        </w:tc>
        <w:tc>
          <w:tcPr>
            <w:tcW w:w="870" w:type="dxa"/>
            <w:vAlign w:val="top"/>
          </w:tcPr>
          <w:p w14:paraId="369B4636">
            <w:pPr>
              <w:rPr>
                <w:rFonts w:ascii="Arial"/>
                <w:color w:val="auto"/>
                <w:sz w:val="21"/>
                <w:highlight w:val="none"/>
              </w:rPr>
            </w:pPr>
          </w:p>
        </w:tc>
        <w:tc>
          <w:tcPr>
            <w:tcW w:w="944" w:type="dxa"/>
            <w:vAlign w:val="top"/>
          </w:tcPr>
          <w:p w14:paraId="156DF6BE">
            <w:pPr>
              <w:rPr>
                <w:rFonts w:ascii="Arial"/>
                <w:color w:val="auto"/>
                <w:sz w:val="21"/>
                <w:highlight w:val="none"/>
              </w:rPr>
            </w:pPr>
          </w:p>
        </w:tc>
        <w:tc>
          <w:tcPr>
            <w:tcW w:w="570" w:type="dxa"/>
            <w:vAlign w:val="top"/>
          </w:tcPr>
          <w:p w14:paraId="1915F257">
            <w:pPr>
              <w:rPr>
                <w:rFonts w:ascii="Arial"/>
                <w:color w:val="auto"/>
                <w:sz w:val="21"/>
                <w:highlight w:val="none"/>
              </w:rPr>
            </w:pPr>
          </w:p>
        </w:tc>
        <w:tc>
          <w:tcPr>
            <w:tcW w:w="740" w:type="dxa"/>
            <w:vAlign w:val="top"/>
          </w:tcPr>
          <w:p w14:paraId="4976093B">
            <w:pPr>
              <w:rPr>
                <w:rFonts w:ascii="Arial"/>
                <w:color w:val="auto"/>
                <w:sz w:val="21"/>
                <w:highlight w:val="none"/>
              </w:rPr>
            </w:pPr>
          </w:p>
        </w:tc>
      </w:tr>
      <w:tr w14:paraId="4AEF3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0CF127F4">
            <w:pPr>
              <w:pStyle w:val="17"/>
              <w:spacing w:before="309"/>
              <w:ind w:left="327"/>
              <w:rPr>
                <w:color w:val="auto"/>
                <w:highlight w:val="none"/>
              </w:rPr>
            </w:pPr>
            <w:r>
              <w:rPr>
                <w:color w:val="auto"/>
                <w:highlight w:val="none"/>
              </w:rPr>
              <w:t>5</w:t>
            </w:r>
          </w:p>
        </w:tc>
        <w:tc>
          <w:tcPr>
            <w:tcW w:w="1484" w:type="dxa"/>
            <w:vAlign w:val="top"/>
          </w:tcPr>
          <w:p w14:paraId="65DEB2AF">
            <w:pPr>
              <w:rPr>
                <w:rFonts w:ascii="Arial"/>
                <w:color w:val="auto"/>
                <w:sz w:val="21"/>
                <w:highlight w:val="none"/>
              </w:rPr>
            </w:pPr>
          </w:p>
        </w:tc>
        <w:tc>
          <w:tcPr>
            <w:tcW w:w="1019" w:type="dxa"/>
            <w:vAlign w:val="top"/>
          </w:tcPr>
          <w:p w14:paraId="70D8D141">
            <w:pPr>
              <w:rPr>
                <w:rFonts w:ascii="Arial"/>
                <w:color w:val="auto"/>
                <w:sz w:val="21"/>
                <w:highlight w:val="none"/>
              </w:rPr>
            </w:pPr>
          </w:p>
        </w:tc>
        <w:tc>
          <w:tcPr>
            <w:tcW w:w="1109" w:type="dxa"/>
            <w:vAlign w:val="top"/>
          </w:tcPr>
          <w:p w14:paraId="39C12D69">
            <w:pPr>
              <w:rPr>
                <w:rFonts w:ascii="Arial"/>
                <w:color w:val="auto"/>
                <w:sz w:val="21"/>
                <w:highlight w:val="none"/>
              </w:rPr>
            </w:pPr>
          </w:p>
        </w:tc>
        <w:tc>
          <w:tcPr>
            <w:tcW w:w="885" w:type="dxa"/>
            <w:vAlign w:val="top"/>
          </w:tcPr>
          <w:p w14:paraId="070B8D3F">
            <w:pPr>
              <w:rPr>
                <w:rFonts w:ascii="Arial"/>
                <w:color w:val="auto"/>
                <w:sz w:val="21"/>
                <w:highlight w:val="none"/>
              </w:rPr>
            </w:pPr>
          </w:p>
        </w:tc>
        <w:tc>
          <w:tcPr>
            <w:tcW w:w="929" w:type="dxa"/>
            <w:vAlign w:val="top"/>
          </w:tcPr>
          <w:p w14:paraId="75457683">
            <w:pPr>
              <w:rPr>
                <w:rFonts w:ascii="Arial"/>
                <w:color w:val="auto"/>
                <w:sz w:val="21"/>
                <w:highlight w:val="none"/>
              </w:rPr>
            </w:pPr>
          </w:p>
        </w:tc>
        <w:tc>
          <w:tcPr>
            <w:tcW w:w="870" w:type="dxa"/>
            <w:vAlign w:val="top"/>
          </w:tcPr>
          <w:p w14:paraId="2F9C7488">
            <w:pPr>
              <w:rPr>
                <w:rFonts w:ascii="Arial"/>
                <w:color w:val="auto"/>
                <w:sz w:val="21"/>
                <w:highlight w:val="none"/>
              </w:rPr>
            </w:pPr>
          </w:p>
        </w:tc>
        <w:tc>
          <w:tcPr>
            <w:tcW w:w="944" w:type="dxa"/>
            <w:vAlign w:val="top"/>
          </w:tcPr>
          <w:p w14:paraId="119F1EC7">
            <w:pPr>
              <w:rPr>
                <w:rFonts w:ascii="Arial"/>
                <w:color w:val="auto"/>
                <w:sz w:val="21"/>
                <w:highlight w:val="none"/>
              </w:rPr>
            </w:pPr>
          </w:p>
        </w:tc>
        <w:tc>
          <w:tcPr>
            <w:tcW w:w="570" w:type="dxa"/>
            <w:vAlign w:val="top"/>
          </w:tcPr>
          <w:p w14:paraId="537DF2D5">
            <w:pPr>
              <w:rPr>
                <w:rFonts w:ascii="Arial"/>
                <w:color w:val="auto"/>
                <w:sz w:val="21"/>
                <w:highlight w:val="none"/>
              </w:rPr>
            </w:pPr>
          </w:p>
        </w:tc>
        <w:tc>
          <w:tcPr>
            <w:tcW w:w="740" w:type="dxa"/>
            <w:vAlign w:val="top"/>
          </w:tcPr>
          <w:p w14:paraId="01199103">
            <w:pPr>
              <w:rPr>
                <w:rFonts w:ascii="Arial"/>
                <w:color w:val="auto"/>
                <w:sz w:val="21"/>
                <w:highlight w:val="none"/>
              </w:rPr>
            </w:pPr>
          </w:p>
        </w:tc>
      </w:tr>
      <w:tr w14:paraId="390A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19052CC0">
            <w:pPr>
              <w:pStyle w:val="17"/>
              <w:spacing w:before="308"/>
              <w:ind w:left="325"/>
              <w:rPr>
                <w:color w:val="auto"/>
                <w:highlight w:val="none"/>
              </w:rPr>
            </w:pPr>
            <w:r>
              <w:rPr>
                <w:color w:val="auto"/>
                <w:highlight w:val="none"/>
              </w:rPr>
              <w:t>6</w:t>
            </w:r>
          </w:p>
        </w:tc>
        <w:tc>
          <w:tcPr>
            <w:tcW w:w="1484" w:type="dxa"/>
            <w:vAlign w:val="top"/>
          </w:tcPr>
          <w:p w14:paraId="4A930C00">
            <w:pPr>
              <w:rPr>
                <w:rFonts w:ascii="Arial"/>
                <w:color w:val="auto"/>
                <w:sz w:val="21"/>
                <w:highlight w:val="none"/>
              </w:rPr>
            </w:pPr>
          </w:p>
        </w:tc>
        <w:tc>
          <w:tcPr>
            <w:tcW w:w="1019" w:type="dxa"/>
            <w:vAlign w:val="top"/>
          </w:tcPr>
          <w:p w14:paraId="65A2A90E">
            <w:pPr>
              <w:rPr>
                <w:rFonts w:ascii="Arial"/>
                <w:color w:val="auto"/>
                <w:sz w:val="21"/>
                <w:highlight w:val="none"/>
              </w:rPr>
            </w:pPr>
          </w:p>
        </w:tc>
        <w:tc>
          <w:tcPr>
            <w:tcW w:w="1109" w:type="dxa"/>
            <w:vAlign w:val="top"/>
          </w:tcPr>
          <w:p w14:paraId="7F79476D">
            <w:pPr>
              <w:rPr>
                <w:rFonts w:ascii="Arial"/>
                <w:color w:val="auto"/>
                <w:sz w:val="21"/>
                <w:highlight w:val="none"/>
              </w:rPr>
            </w:pPr>
          </w:p>
        </w:tc>
        <w:tc>
          <w:tcPr>
            <w:tcW w:w="885" w:type="dxa"/>
            <w:vAlign w:val="top"/>
          </w:tcPr>
          <w:p w14:paraId="1BE91614">
            <w:pPr>
              <w:rPr>
                <w:rFonts w:ascii="Arial"/>
                <w:color w:val="auto"/>
                <w:sz w:val="21"/>
                <w:highlight w:val="none"/>
              </w:rPr>
            </w:pPr>
          </w:p>
        </w:tc>
        <w:tc>
          <w:tcPr>
            <w:tcW w:w="929" w:type="dxa"/>
            <w:vAlign w:val="top"/>
          </w:tcPr>
          <w:p w14:paraId="4ED35063">
            <w:pPr>
              <w:rPr>
                <w:rFonts w:ascii="Arial"/>
                <w:color w:val="auto"/>
                <w:sz w:val="21"/>
                <w:highlight w:val="none"/>
              </w:rPr>
            </w:pPr>
          </w:p>
        </w:tc>
        <w:tc>
          <w:tcPr>
            <w:tcW w:w="870" w:type="dxa"/>
            <w:vAlign w:val="top"/>
          </w:tcPr>
          <w:p w14:paraId="62C4BC1A">
            <w:pPr>
              <w:rPr>
                <w:rFonts w:ascii="Arial"/>
                <w:color w:val="auto"/>
                <w:sz w:val="21"/>
                <w:highlight w:val="none"/>
              </w:rPr>
            </w:pPr>
          </w:p>
        </w:tc>
        <w:tc>
          <w:tcPr>
            <w:tcW w:w="944" w:type="dxa"/>
            <w:vAlign w:val="top"/>
          </w:tcPr>
          <w:p w14:paraId="4A1C65DE">
            <w:pPr>
              <w:rPr>
                <w:rFonts w:ascii="Arial"/>
                <w:color w:val="auto"/>
                <w:sz w:val="21"/>
                <w:highlight w:val="none"/>
              </w:rPr>
            </w:pPr>
          </w:p>
        </w:tc>
        <w:tc>
          <w:tcPr>
            <w:tcW w:w="570" w:type="dxa"/>
            <w:vAlign w:val="top"/>
          </w:tcPr>
          <w:p w14:paraId="4CDCD3A9">
            <w:pPr>
              <w:rPr>
                <w:rFonts w:ascii="Arial"/>
                <w:color w:val="auto"/>
                <w:sz w:val="21"/>
                <w:highlight w:val="none"/>
              </w:rPr>
            </w:pPr>
          </w:p>
        </w:tc>
        <w:tc>
          <w:tcPr>
            <w:tcW w:w="740" w:type="dxa"/>
            <w:vAlign w:val="top"/>
          </w:tcPr>
          <w:p w14:paraId="2BD09DA0">
            <w:pPr>
              <w:rPr>
                <w:rFonts w:ascii="Arial"/>
                <w:color w:val="auto"/>
                <w:sz w:val="21"/>
                <w:highlight w:val="none"/>
              </w:rPr>
            </w:pPr>
          </w:p>
        </w:tc>
      </w:tr>
      <w:tr w14:paraId="337D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0A81C0EC">
            <w:pPr>
              <w:rPr>
                <w:rFonts w:ascii="Arial"/>
                <w:color w:val="auto"/>
                <w:sz w:val="21"/>
                <w:highlight w:val="none"/>
              </w:rPr>
            </w:pPr>
          </w:p>
          <w:p w14:paraId="5F76FAE3">
            <w:pPr>
              <w:pStyle w:val="17"/>
              <w:spacing w:before="68"/>
              <w:ind w:left="328"/>
              <w:rPr>
                <w:color w:val="auto"/>
                <w:highlight w:val="none"/>
              </w:rPr>
            </w:pPr>
            <w:r>
              <w:rPr>
                <w:color w:val="auto"/>
                <w:highlight w:val="none"/>
              </w:rPr>
              <w:t>7</w:t>
            </w:r>
          </w:p>
        </w:tc>
        <w:tc>
          <w:tcPr>
            <w:tcW w:w="1484" w:type="dxa"/>
            <w:vAlign w:val="top"/>
          </w:tcPr>
          <w:p w14:paraId="42ABFBE6">
            <w:pPr>
              <w:rPr>
                <w:rFonts w:ascii="Arial"/>
                <w:color w:val="auto"/>
                <w:sz w:val="21"/>
                <w:highlight w:val="none"/>
              </w:rPr>
            </w:pPr>
          </w:p>
        </w:tc>
        <w:tc>
          <w:tcPr>
            <w:tcW w:w="1019" w:type="dxa"/>
            <w:vAlign w:val="top"/>
          </w:tcPr>
          <w:p w14:paraId="753DC00F">
            <w:pPr>
              <w:rPr>
                <w:rFonts w:ascii="Arial"/>
                <w:color w:val="auto"/>
                <w:sz w:val="21"/>
                <w:highlight w:val="none"/>
              </w:rPr>
            </w:pPr>
          </w:p>
        </w:tc>
        <w:tc>
          <w:tcPr>
            <w:tcW w:w="1109" w:type="dxa"/>
            <w:vAlign w:val="top"/>
          </w:tcPr>
          <w:p w14:paraId="6B3E5BC1">
            <w:pPr>
              <w:rPr>
                <w:rFonts w:ascii="Arial"/>
                <w:color w:val="auto"/>
                <w:sz w:val="21"/>
                <w:highlight w:val="none"/>
              </w:rPr>
            </w:pPr>
          </w:p>
        </w:tc>
        <w:tc>
          <w:tcPr>
            <w:tcW w:w="885" w:type="dxa"/>
            <w:vAlign w:val="top"/>
          </w:tcPr>
          <w:p w14:paraId="57476B77">
            <w:pPr>
              <w:rPr>
                <w:rFonts w:ascii="Arial"/>
                <w:color w:val="auto"/>
                <w:sz w:val="21"/>
                <w:highlight w:val="none"/>
              </w:rPr>
            </w:pPr>
          </w:p>
        </w:tc>
        <w:tc>
          <w:tcPr>
            <w:tcW w:w="929" w:type="dxa"/>
            <w:vAlign w:val="top"/>
          </w:tcPr>
          <w:p w14:paraId="470E12A8">
            <w:pPr>
              <w:rPr>
                <w:rFonts w:ascii="Arial"/>
                <w:color w:val="auto"/>
                <w:sz w:val="21"/>
                <w:highlight w:val="none"/>
              </w:rPr>
            </w:pPr>
          </w:p>
        </w:tc>
        <w:tc>
          <w:tcPr>
            <w:tcW w:w="870" w:type="dxa"/>
            <w:vAlign w:val="top"/>
          </w:tcPr>
          <w:p w14:paraId="756E82FC">
            <w:pPr>
              <w:rPr>
                <w:rFonts w:ascii="Arial"/>
                <w:color w:val="auto"/>
                <w:sz w:val="21"/>
                <w:highlight w:val="none"/>
              </w:rPr>
            </w:pPr>
          </w:p>
        </w:tc>
        <w:tc>
          <w:tcPr>
            <w:tcW w:w="944" w:type="dxa"/>
            <w:vAlign w:val="top"/>
          </w:tcPr>
          <w:p w14:paraId="449ACFCD">
            <w:pPr>
              <w:rPr>
                <w:rFonts w:ascii="Arial"/>
                <w:color w:val="auto"/>
                <w:sz w:val="21"/>
                <w:highlight w:val="none"/>
              </w:rPr>
            </w:pPr>
          </w:p>
        </w:tc>
        <w:tc>
          <w:tcPr>
            <w:tcW w:w="570" w:type="dxa"/>
            <w:vAlign w:val="top"/>
          </w:tcPr>
          <w:p w14:paraId="78FC48A7">
            <w:pPr>
              <w:rPr>
                <w:rFonts w:ascii="Arial"/>
                <w:color w:val="auto"/>
                <w:sz w:val="21"/>
                <w:highlight w:val="none"/>
              </w:rPr>
            </w:pPr>
          </w:p>
        </w:tc>
        <w:tc>
          <w:tcPr>
            <w:tcW w:w="740" w:type="dxa"/>
            <w:vAlign w:val="top"/>
          </w:tcPr>
          <w:p w14:paraId="41880445">
            <w:pPr>
              <w:rPr>
                <w:rFonts w:ascii="Arial"/>
                <w:color w:val="auto"/>
                <w:sz w:val="21"/>
                <w:highlight w:val="none"/>
              </w:rPr>
            </w:pPr>
          </w:p>
        </w:tc>
      </w:tr>
      <w:tr w14:paraId="74A85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63BA53A6">
            <w:pPr>
              <w:spacing w:line="393" w:lineRule="auto"/>
              <w:rPr>
                <w:rFonts w:ascii="Arial"/>
                <w:color w:val="auto"/>
                <w:sz w:val="21"/>
                <w:highlight w:val="none"/>
              </w:rPr>
            </w:pPr>
          </w:p>
          <w:p w14:paraId="7FC4C7A0">
            <w:pPr>
              <w:pStyle w:val="17"/>
              <w:spacing w:before="69" w:line="86" w:lineRule="exact"/>
              <w:ind w:left="224"/>
              <w:rPr>
                <w:color w:val="auto"/>
                <w:highlight w:val="none"/>
              </w:rPr>
            </w:pPr>
            <w:r>
              <w:rPr>
                <w:color w:val="auto"/>
                <w:spacing w:val="-5"/>
                <w:position w:val="1"/>
                <w:highlight w:val="none"/>
              </w:rPr>
              <w:t>...</w:t>
            </w:r>
          </w:p>
        </w:tc>
        <w:tc>
          <w:tcPr>
            <w:tcW w:w="1484" w:type="dxa"/>
            <w:vAlign w:val="top"/>
          </w:tcPr>
          <w:p w14:paraId="3A9EDC7E">
            <w:pPr>
              <w:rPr>
                <w:rFonts w:ascii="Arial"/>
                <w:color w:val="auto"/>
                <w:sz w:val="21"/>
                <w:highlight w:val="none"/>
              </w:rPr>
            </w:pPr>
          </w:p>
        </w:tc>
        <w:tc>
          <w:tcPr>
            <w:tcW w:w="1019" w:type="dxa"/>
            <w:vAlign w:val="top"/>
          </w:tcPr>
          <w:p w14:paraId="17E71647">
            <w:pPr>
              <w:rPr>
                <w:rFonts w:ascii="Arial"/>
                <w:color w:val="auto"/>
                <w:sz w:val="21"/>
                <w:highlight w:val="none"/>
              </w:rPr>
            </w:pPr>
          </w:p>
        </w:tc>
        <w:tc>
          <w:tcPr>
            <w:tcW w:w="1109" w:type="dxa"/>
            <w:vAlign w:val="top"/>
          </w:tcPr>
          <w:p w14:paraId="5A295A0F">
            <w:pPr>
              <w:rPr>
                <w:rFonts w:ascii="Arial"/>
                <w:color w:val="auto"/>
                <w:sz w:val="21"/>
                <w:highlight w:val="none"/>
              </w:rPr>
            </w:pPr>
          </w:p>
        </w:tc>
        <w:tc>
          <w:tcPr>
            <w:tcW w:w="885" w:type="dxa"/>
            <w:vAlign w:val="top"/>
          </w:tcPr>
          <w:p w14:paraId="00B35E28">
            <w:pPr>
              <w:rPr>
                <w:rFonts w:ascii="Arial"/>
                <w:color w:val="auto"/>
                <w:sz w:val="21"/>
                <w:highlight w:val="none"/>
              </w:rPr>
            </w:pPr>
          </w:p>
        </w:tc>
        <w:tc>
          <w:tcPr>
            <w:tcW w:w="929" w:type="dxa"/>
            <w:vAlign w:val="top"/>
          </w:tcPr>
          <w:p w14:paraId="6A57F757">
            <w:pPr>
              <w:rPr>
                <w:rFonts w:ascii="Arial"/>
                <w:color w:val="auto"/>
                <w:sz w:val="21"/>
                <w:highlight w:val="none"/>
              </w:rPr>
            </w:pPr>
          </w:p>
        </w:tc>
        <w:tc>
          <w:tcPr>
            <w:tcW w:w="870" w:type="dxa"/>
            <w:vAlign w:val="top"/>
          </w:tcPr>
          <w:p w14:paraId="37756061">
            <w:pPr>
              <w:rPr>
                <w:rFonts w:ascii="Arial"/>
                <w:color w:val="auto"/>
                <w:sz w:val="21"/>
                <w:highlight w:val="none"/>
              </w:rPr>
            </w:pPr>
          </w:p>
        </w:tc>
        <w:tc>
          <w:tcPr>
            <w:tcW w:w="944" w:type="dxa"/>
            <w:vAlign w:val="top"/>
          </w:tcPr>
          <w:p w14:paraId="3540F95D">
            <w:pPr>
              <w:rPr>
                <w:rFonts w:ascii="Arial"/>
                <w:color w:val="auto"/>
                <w:sz w:val="21"/>
                <w:highlight w:val="none"/>
              </w:rPr>
            </w:pPr>
          </w:p>
        </w:tc>
        <w:tc>
          <w:tcPr>
            <w:tcW w:w="570" w:type="dxa"/>
            <w:vAlign w:val="top"/>
          </w:tcPr>
          <w:p w14:paraId="4E218279">
            <w:pPr>
              <w:rPr>
                <w:rFonts w:ascii="Arial"/>
                <w:color w:val="auto"/>
                <w:sz w:val="21"/>
                <w:highlight w:val="none"/>
              </w:rPr>
            </w:pPr>
          </w:p>
        </w:tc>
        <w:tc>
          <w:tcPr>
            <w:tcW w:w="740" w:type="dxa"/>
            <w:vAlign w:val="top"/>
          </w:tcPr>
          <w:p w14:paraId="63E782C7">
            <w:pPr>
              <w:rPr>
                <w:rFonts w:ascii="Arial"/>
                <w:color w:val="auto"/>
                <w:sz w:val="21"/>
                <w:highlight w:val="none"/>
              </w:rPr>
            </w:pPr>
          </w:p>
        </w:tc>
      </w:tr>
      <w:tr w14:paraId="411D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2226" w:type="dxa"/>
            <w:gridSpan w:val="2"/>
            <w:vAlign w:val="top"/>
          </w:tcPr>
          <w:p w14:paraId="6E3D60DE">
            <w:pPr>
              <w:spacing w:line="241" w:lineRule="auto"/>
              <w:rPr>
                <w:rFonts w:ascii="Arial"/>
                <w:color w:val="auto"/>
                <w:sz w:val="21"/>
                <w:highlight w:val="none"/>
              </w:rPr>
            </w:pPr>
          </w:p>
          <w:p w14:paraId="643A371F">
            <w:pPr>
              <w:pStyle w:val="17"/>
              <w:spacing w:before="69" w:line="220" w:lineRule="auto"/>
              <w:ind w:left="698"/>
              <w:rPr>
                <w:color w:val="auto"/>
                <w:highlight w:val="none"/>
              </w:rPr>
            </w:pPr>
            <w:r>
              <w:rPr>
                <w:color w:val="auto"/>
                <w:spacing w:val="-2"/>
                <w:highlight w:val="none"/>
              </w:rPr>
              <w:t>业绩合计</w:t>
            </w:r>
          </w:p>
        </w:tc>
        <w:tc>
          <w:tcPr>
            <w:tcW w:w="1019" w:type="dxa"/>
            <w:vAlign w:val="top"/>
          </w:tcPr>
          <w:p w14:paraId="2B9C0B56">
            <w:pPr>
              <w:rPr>
                <w:rFonts w:ascii="Arial"/>
                <w:color w:val="auto"/>
                <w:sz w:val="21"/>
                <w:highlight w:val="none"/>
              </w:rPr>
            </w:pPr>
          </w:p>
        </w:tc>
        <w:tc>
          <w:tcPr>
            <w:tcW w:w="1109" w:type="dxa"/>
            <w:vAlign w:val="top"/>
          </w:tcPr>
          <w:p w14:paraId="5547B418">
            <w:pPr>
              <w:rPr>
                <w:rFonts w:ascii="Arial"/>
                <w:color w:val="auto"/>
                <w:sz w:val="21"/>
                <w:highlight w:val="none"/>
              </w:rPr>
            </w:pPr>
          </w:p>
        </w:tc>
        <w:tc>
          <w:tcPr>
            <w:tcW w:w="885" w:type="dxa"/>
            <w:vAlign w:val="top"/>
          </w:tcPr>
          <w:p w14:paraId="3922F461">
            <w:pPr>
              <w:rPr>
                <w:rFonts w:ascii="Arial"/>
                <w:color w:val="auto"/>
                <w:sz w:val="21"/>
                <w:highlight w:val="none"/>
              </w:rPr>
            </w:pPr>
          </w:p>
        </w:tc>
        <w:tc>
          <w:tcPr>
            <w:tcW w:w="929" w:type="dxa"/>
            <w:vAlign w:val="top"/>
          </w:tcPr>
          <w:p w14:paraId="075E9BEF">
            <w:pPr>
              <w:rPr>
                <w:rFonts w:ascii="Arial"/>
                <w:color w:val="auto"/>
                <w:sz w:val="21"/>
                <w:highlight w:val="none"/>
              </w:rPr>
            </w:pPr>
          </w:p>
        </w:tc>
        <w:tc>
          <w:tcPr>
            <w:tcW w:w="870" w:type="dxa"/>
            <w:vAlign w:val="top"/>
          </w:tcPr>
          <w:p w14:paraId="7F0228F9">
            <w:pPr>
              <w:rPr>
                <w:rFonts w:ascii="Arial"/>
                <w:color w:val="auto"/>
                <w:sz w:val="21"/>
                <w:highlight w:val="none"/>
              </w:rPr>
            </w:pPr>
          </w:p>
        </w:tc>
        <w:tc>
          <w:tcPr>
            <w:tcW w:w="944" w:type="dxa"/>
            <w:vAlign w:val="top"/>
          </w:tcPr>
          <w:p w14:paraId="4C95CAF1">
            <w:pPr>
              <w:rPr>
                <w:rFonts w:ascii="Arial"/>
                <w:color w:val="auto"/>
                <w:sz w:val="21"/>
                <w:highlight w:val="none"/>
              </w:rPr>
            </w:pPr>
          </w:p>
        </w:tc>
        <w:tc>
          <w:tcPr>
            <w:tcW w:w="570" w:type="dxa"/>
            <w:vAlign w:val="top"/>
          </w:tcPr>
          <w:p w14:paraId="7F46DA5F">
            <w:pPr>
              <w:rPr>
                <w:rFonts w:ascii="Arial"/>
                <w:color w:val="auto"/>
                <w:sz w:val="21"/>
                <w:highlight w:val="none"/>
              </w:rPr>
            </w:pPr>
          </w:p>
        </w:tc>
        <w:tc>
          <w:tcPr>
            <w:tcW w:w="740" w:type="dxa"/>
            <w:vAlign w:val="top"/>
          </w:tcPr>
          <w:p w14:paraId="66F9428C">
            <w:pPr>
              <w:rPr>
                <w:rFonts w:ascii="Arial"/>
                <w:color w:val="auto"/>
                <w:sz w:val="21"/>
                <w:highlight w:val="none"/>
              </w:rPr>
            </w:pPr>
          </w:p>
        </w:tc>
      </w:tr>
    </w:tbl>
    <w:p w14:paraId="398252A2">
      <w:pPr>
        <w:spacing w:before="48" w:line="219" w:lineRule="auto"/>
        <w:ind w:left="1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注：业绩要求应符合投标人须知前附表</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3.5.3、10.6</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及</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10</w:t>
      </w:r>
      <w:r>
        <w:rPr>
          <w:rFonts w:ascii="宋体" w:hAnsi="宋体" w:eastAsia="宋体" w:cs="宋体"/>
          <w:color w:val="auto"/>
          <w:spacing w:val="-3"/>
          <w:sz w:val="21"/>
          <w:szCs w:val="21"/>
          <w:highlight w:val="none"/>
        </w:rPr>
        <w:t>.7</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款的要求。</w:t>
      </w:r>
    </w:p>
    <w:p w14:paraId="245EA649">
      <w:pPr>
        <w:spacing w:line="219" w:lineRule="auto"/>
        <w:rPr>
          <w:rFonts w:ascii="宋体" w:hAnsi="宋体" w:eastAsia="宋体" w:cs="宋体"/>
          <w:color w:val="auto"/>
          <w:sz w:val="21"/>
          <w:szCs w:val="21"/>
          <w:highlight w:val="none"/>
        </w:rPr>
        <w:sectPr>
          <w:headerReference r:id="rId188" w:type="default"/>
          <w:footerReference r:id="rId189" w:type="default"/>
          <w:pgSz w:w="11905" w:h="16840"/>
          <w:pgMar w:top="1182" w:right="0" w:bottom="1171" w:left="0" w:header="849" w:footer="937" w:gutter="0"/>
          <w:pgNumType w:fmt="decimal"/>
          <w:cols w:space="720" w:num="1"/>
        </w:sectPr>
      </w:pPr>
    </w:p>
    <w:p w14:paraId="0D9A5A2D">
      <w:pPr>
        <w:pStyle w:val="3"/>
        <w:spacing w:line="293" w:lineRule="auto"/>
        <w:rPr>
          <w:color w:val="auto"/>
          <w:highlight w:val="none"/>
        </w:rPr>
      </w:pPr>
    </w:p>
    <w:p w14:paraId="080D0071">
      <w:pPr>
        <w:spacing w:before="88" w:line="242" w:lineRule="auto"/>
        <w:ind w:left="3621"/>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5"/>
          <w:sz w:val="27"/>
          <w:szCs w:val="27"/>
          <w:highlight w:val="none"/>
        </w:rPr>
        <w:t>（四）-2</w:t>
      </w:r>
      <w:r>
        <w:rPr>
          <w:rFonts w:ascii="宋体" w:hAnsi="宋体" w:eastAsia="宋体" w:cs="宋体"/>
          <w:strike/>
          <w:dstrike w:val="0"/>
          <w:color w:val="auto"/>
          <w:spacing w:val="-41"/>
          <w:sz w:val="27"/>
          <w:szCs w:val="27"/>
          <w:highlight w:val="none"/>
        </w:rPr>
        <w:t xml:space="preserve"> </w:t>
      </w:r>
      <w:r>
        <w:rPr>
          <w:rFonts w:ascii="宋体" w:hAnsi="宋体" w:eastAsia="宋体" w:cs="宋体"/>
          <w:b/>
          <w:bCs/>
          <w:strike/>
          <w:dstrike w:val="0"/>
          <w:color w:val="auto"/>
          <w:spacing w:val="5"/>
          <w:sz w:val="27"/>
          <w:szCs w:val="27"/>
          <w:highlight w:val="none"/>
        </w:rPr>
        <w:t>完成的类似项目情况汇总表</w:t>
      </w:r>
      <w:r>
        <w:rPr>
          <w:rFonts w:ascii="宋体" w:hAnsi="宋体" w:eastAsia="宋体" w:cs="宋体"/>
          <w:b/>
          <w:bCs/>
          <w:strike/>
          <w:dstrike w:val="0"/>
          <w:color w:val="auto"/>
          <w:spacing w:val="5"/>
          <w:position w:val="14"/>
          <w:sz w:val="13"/>
          <w:szCs w:val="13"/>
          <w:highlight w:val="none"/>
        </w:rPr>
        <w:t>①</w:t>
      </w:r>
    </w:p>
    <w:p w14:paraId="250AAEED">
      <w:pPr>
        <w:spacing w:before="36"/>
        <w:rPr>
          <w:strike/>
          <w:dstrike w:val="0"/>
          <w:color w:val="auto"/>
          <w:highlight w:val="none"/>
        </w:rPr>
      </w:pPr>
    </w:p>
    <w:tbl>
      <w:tblPr>
        <w:tblStyle w:val="16"/>
        <w:tblW w:w="9307"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2009"/>
        <w:gridCol w:w="1184"/>
        <w:gridCol w:w="1469"/>
        <w:gridCol w:w="1859"/>
        <w:gridCol w:w="855"/>
        <w:gridCol w:w="1129"/>
      </w:tblGrid>
      <w:tr w14:paraId="048F9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02" w:type="dxa"/>
            <w:vAlign w:val="top"/>
          </w:tcPr>
          <w:p w14:paraId="1AA25A9C">
            <w:pPr>
              <w:spacing w:line="395" w:lineRule="auto"/>
              <w:rPr>
                <w:rFonts w:ascii="Arial"/>
                <w:strike/>
                <w:dstrike w:val="0"/>
                <w:color w:val="auto"/>
                <w:sz w:val="21"/>
                <w:highlight w:val="none"/>
              </w:rPr>
            </w:pPr>
          </w:p>
          <w:p w14:paraId="788B9D6D">
            <w:pPr>
              <w:pStyle w:val="17"/>
              <w:spacing w:before="68" w:line="221" w:lineRule="auto"/>
              <w:ind w:left="195"/>
              <w:rPr>
                <w:strike/>
                <w:dstrike w:val="0"/>
                <w:color w:val="auto"/>
                <w:highlight w:val="none"/>
              </w:rPr>
            </w:pPr>
            <w:r>
              <w:rPr>
                <w:strike/>
                <w:dstrike w:val="0"/>
                <w:color w:val="auto"/>
                <w:spacing w:val="-2"/>
                <w:highlight w:val="none"/>
              </w:rPr>
              <w:t>序号</w:t>
            </w:r>
          </w:p>
        </w:tc>
        <w:tc>
          <w:tcPr>
            <w:tcW w:w="2009" w:type="dxa"/>
            <w:vAlign w:val="top"/>
          </w:tcPr>
          <w:p w14:paraId="27E883BD">
            <w:pPr>
              <w:spacing w:line="395" w:lineRule="auto"/>
              <w:rPr>
                <w:rFonts w:ascii="Arial"/>
                <w:strike/>
                <w:dstrike w:val="0"/>
                <w:color w:val="auto"/>
                <w:sz w:val="21"/>
                <w:highlight w:val="none"/>
              </w:rPr>
            </w:pPr>
          </w:p>
          <w:p w14:paraId="0C9842DC">
            <w:pPr>
              <w:pStyle w:val="17"/>
              <w:spacing w:before="69" w:line="220" w:lineRule="auto"/>
              <w:ind w:left="591"/>
              <w:rPr>
                <w:strike/>
                <w:dstrike w:val="0"/>
                <w:color w:val="auto"/>
                <w:highlight w:val="none"/>
              </w:rPr>
            </w:pPr>
            <w:r>
              <w:rPr>
                <w:strike/>
                <w:dstrike w:val="0"/>
                <w:color w:val="auto"/>
                <w:spacing w:val="-3"/>
                <w:highlight w:val="none"/>
              </w:rPr>
              <w:t>项目名称</w:t>
            </w:r>
          </w:p>
        </w:tc>
        <w:tc>
          <w:tcPr>
            <w:tcW w:w="1184" w:type="dxa"/>
            <w:vAlign w:val="top"/>
          </w:tcPr>
          <w:p w14:paraId="4E632DE4">
            <w:pPr>
              <w:rPr>
                <w:rFonts w:ascii="Arial"/>
                <w:strike/>
                <w:dstrike w:val="0"/>
                <w:color w:val="auto"/>
                <w:sz w:val="21"/>
                <w:highlight w:val="none"/>
              </w:rPr>
            </w:pPr>
          </w:p>
          <w:p w14:paraId="71073EF6">
            <w:pPr>
              <w:pStyle w:val="17"/>
              <w:spacing w:before="69" w:line="279" w:lineRule="auto"/>
              <w:ind w:left="112" w:right="39" w:firstLine="61"/>
              <w:rPr>
                <w:strike/>
                <w:dstrike w:val="0"/>
                <w:color w:val="auto"/>
                <w:highlight w:val="none"/>
              </w:rPr>
            </w:pPr>
            <w:r>
              <w:rPr>
                <w:strike/>
                <w:dstrike w:val="0"/>
                <w:color w:val="auto"/>
                <w:spacing w:val="-2"/>
                <w:highlight w:val="none"/>
              </w:rPr>
              <w:t>钢结构总</w:t>
            </w:r>
            <w:r>
              <w:rPr>
                <w:strike/>
                <w:dstrike w:val="0"/>
                <w:color w:val="auto"/>
                <w:spacing w:val="-5"/>
                <w:highlight w:val="none"/>
              </w:rPr>
              <w:t>重量（吨）</w:t>
            </w:r>
          </w:p>
        </w:tc>
        <w:tc>
          <w:tcPr>
            <w:tcW w:w="1469" w:type="dxa"/>
            <w:vAlign w:val="top"/>
          </w:tcPr>
          <w:p w14:paraId="48B31379">
            <w:pPr>
              <w:pStyle w:val="17"/>
              <w:spacing w:before="153" w:line="220" w:lineRule="auto"/>
              <w:ind w:left="215"/>
              <w:rPr>
                <w:strike/>
                <w:dstrike w:val="0"/>
                <w:color w:val="auto"/>
                <w:highlight w:val="none"/>
              </w:rPr>
            </w:pPr>
            <w:r>
              <w:rPr>
                <w:strike/>
                <w:dstrike w:val="0"/>
                <w:color w:val="auto"/>
                <w:spacing w:val="-2"/>
                <w:highlight w:val="none"/>
              </w:rPr>
              <w:t>桥梁钢结构</w:t>
            </w:r>
          </w:p>
          <w:p w14:paraId="3117FC67">
            <w:pPr>
              <w:pStyle w:val="17"/>
              <w:spacing w:before="62" w:line="220" w:lineRule="auto"/>
              <w:ind w:left="114"/>
              <w:rPr>
                <w:strike/>
                <w:dstrike w:val="0"/>
                <w:color w:val="auto"/>
                <w:highlight w:val="none"/>
              </w:rPr>
            </w:pPr>
            <w:r>
              <w:rPr>
                <w:strike/>
                <w:dstrike w:val="0"/>
                <w:color w:val="auto"/>
                <w:spacing w:val="-4"/>
                <w:highlight w:val="none"/>
              </w:rPr>
              <w:t>制造（单孔跨</w:t>
            </w:r>
          </w:p>
          <w:p w14:paraId="2A7D2DC1">
            <w:pPr>
              <w:pStyle w:val="17"/>
              <w:spacing w:before="60" w:line="220" w:lineRule="auto"/>
              <w:ind w:left="450"/>
              <w:rPr>
                <w:strike/>
                <w:dstrike w:val="0"/>
                <w:color w:val="auto"/>
                <w:highlight w:val="none"/>
              </w:rPr>
            </w:pPr>
            <w:r>
              <w:rPr>
                <w:strike/>
                <w:dstrike w:val="0"/>
                <w:color w:val="auto"/>
                <w:spacing w:val="14"/>
                <w:highlight w:val="none"/>
              </w:rPr>
              <w:t>径m）</w:t>
            </w:r>
          </w:p>
        </w:tc>
        <w:tc>
          <w:tcPr>
            <w:tcW w:w="1859" w:type="dxa"/>
            <w:vAlign w:val="top"/>
          </w:tcPr>
          <w:p w14:paraId="15F0AB3F">
            <w:pPr>
              <w:pStyle w:val="17"/>
              <w:spacing w:before="153" w:line="220" w:lineRule="auto"/>
              <w:ind w:left="114"/>
              <w:rPr>
                <w:strike/>
                <w:dstrike w:val="0"/>
                <w:color w:val="auto"/>
                <w:highlight w:val="none"/>
              </w:rPr>
            </w:pPr>
            <w:r>
              <w:rPr>
                <w:strike/>
                <w:dstrike w:val="0"/>
                <w:color w:val="auto"/>
                <w:spacing w:val="-2"/>
                <w:highlight w:val="none"/>
              </w:rPr>
              <w:t>桥梁</w:t>
            </w:r>
            <w:r>
              <w:rPr>
                <w:strike/>
                <w:dstrike w:val="0"/>
                <w:color w:val="auto"/>
                <w:spacing w:val="-35"/>
                <w:highlight w:val="none"/>
              </w:rPr>
              <w:t xml:space="preserve"> </w:t>
            </w:r>
            <w:r>
              <w:rPr>
                <w:strike/>
                <w:dstrike w:val="0"/>
                <w:color w:val="auto"/>
                <w:spacing w:val="-2"/>
                <w:highlight w:val="none"/>
              </w:rPr>
              <w:t>（主缆/斜拉</w:t>
            </w:r>
          </w:p>
          <w:p w14:paraId="38C32B3A">
            <w:pPr>
              <w:pStyle w:val="17"/>
              <w:spacing w:before="62" w:line="220" w:lineRule="auto"/>
              <w:ind w:left="118"/>
              <w:rPr>
                <w:strike/>
                <w:dstrike w:val="0"/>
                <w:color w:val="auto"/>
                <w:highlight w:val="none"/>
              </w:rPr>
            </w:pPr>
            <w:r>
              <w:rPr>
                <w:strike/>
                <w:dstrike w:val="0"/>
                <w:color w:val="auto"/>
                <w:spacing w:val="-4"/>
                <w:highlight w:val="none"/>
              </w:rPr>
              <w:t>索/吊索)制造（单</w:t>
            </w:r>
          </w:p>
          <w:p w14:paraId="4C7F2627">
            <w:pPr>
              <w:pStyle w:val="17"/>
              <w:spacing w:before="60" w:line="220" w:lineRule="auto"/>
              <w:ind w:left="438"/>
              <w:rPr>
                <w:strike/>
                <w:dstrike w:val="0"/>
                <w:color w:val="auto"/>
                <w:highlight w:val="none"/>
              </w:rPr>
            </w:pPr>
            <w:r>
              <w:rPr>
                <w:strike/>
                <w:dstrike w:val="0"/>
                <w:color w:val="auto"/>
                <w:spacing w:val="-3"/>
                <w:highlight w:val="none"/>
              </w:rPr>
              <w:t>孔跨径</w:t>
            </w:r>
            <w:r>
              <w:rPr>
                <w:strike/>
                <w:dstrike w:val="0"/>
                <w:color w:val="auto"/>
                <w:spacing w:val="-51"/>
                <w:highlight w:val="none"/>
              </w:rPr>
              <w:t xml:space="preserve"> </w:t>
            </w:r>
            <w:r>
              <w:rPr>
                <w:strike/>
                <w:dstrike w:val="0"/>
                <w:color w:val="auto"/>
                <w:spacing w:val="-3"/>
                <w:highlight w:val="none"/>
              </w:rPr>
              <w:t>m）</w:t>
            </w:r>
          </w:p>
        </w:tc>
        <w:tc>
          <w:tcPr>
            <w:tcW w:w="855" w:type="dxa"/>
            <w:vAlign w:val="top"/>
          </w:tcPr>
          <w:p w14:paraId="2C7E1F39">
            <w:pPr>
              <w:spacing w:line="274" w:lineRule="auto"/>
              <w:rPr>
                <w:rFonts w:ascii="Arial"/>
                <w:strike/>
                <w:dstrike w:val="0"/>
                <w:color w:val="auto"/>
                <w:sz w:val="21"/>
                <w:highlight w:val="none"/>
              </w:rPr>
            </w:pPr>
          </w:p>
          <w:p w14:paraId="5BC0139B">
            <w:pPr>
              <w:spacing w:line="275" w:lineRule="auto"/>
              <w:rPr>
                <w:rFonts w:ascii="Arial"/>
                <w:strike/>
                <w:dstrike w:val="0"/>
                <w:color w:val="auto"/>
                <w:sz w:val="21"/>
                <w:highlight w:val="none"/>
              </w:rPr>
            </w:pPr>
          </w:p>
          <w:p w14:paraId="3AA02788">
            <w:pPr>
              <w:pStyle w:val="17"/>
              <w:spacing w:before="68" w:line="87" w:lineRule="exact"/>
              <w:ind w:left="283"/>
              <w:rPr>
                <w:strike/>
                <w:dstrike w:val="0"/>
                <w:color w:val="auto"/>
                <w:highlight w:val="none"/>
              </w:rPr>
            </w:pPr>
            <w:r>
              <w:rPr>
                <w:strike/>
                <w:dstrike w:val="0"/>
                <w:color w:val="auto"/>
                <w:position w:val="1"/>
                <w:highlight w:val="none"/>
              </w:rPr>
              <w:t>...</w:t>
            </w:r>
          </w:p>
        </w:tc>
        <w:tc>
          <w:tcPr>
            <w:tcW w:w="1129" w:type="dxa"/>
            <w:vAlign w:val="top"/>
          </w:tcPr>
          <w:p w14:paraId="056B1918">
            <w:pPr>
              <w:spacing w:line="395" w:lineRule="auto"/>
              <w:rPr>
                <w:rFonts w:ascii="Arial"/>
                <w:strike/>
                <w:dstrike w:val="0"/>
                <w:color w:val="auto"/>
                <w:sz w:val="21"/>
                <w:highlight w:val="none"/>
              </w:rPr>
            </w:pPr>
          </w:p>
          <w:p w14:paraId="1B824CF8">
            <w:pPr>
              <w:pStyle w:val="17"/>
              <w:spacing w:before="68" w:line="221" w:lineRule="auto"/>
              <w:ind w:left="360"/>
              <w:rPr>
                <w:strike/>
                <w:dstrike w:val="0"/>
                <w:color w:val="auto"/>
                <w:highlight w:val="none"/>
              </w:rPr>
            </w:pPr>
            <w:r>
              <w:rPr>
                <w:strike/>
                <w:dstrike w:val="0"/>
                <w:color w:val="auto"/>
                <w:spacing w:val="-6"/>
                <w:highlight w:val="none"/>
              </w:rPr>
              <w:t>备注</w:t>
            </w:r>
          </w:p>
        </w:tc>
      </w:tr>
      <w:tr w14:paraId="7872A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3C9BFE8D">
            <w:pPr>
              <w:pStyle w:val="17"/>
              <w:spacing w:before="307" w:line="241" w:lineRule="auto"/>
              <w:ind w:left="369"/>
              <w:rPr>
                <w:strike/>
                <w:dstrike w:val="0"/>
                <w:color w:val="auto"/>
                <w:highlight w:val="none"/>
              </w:rPr>
            </w:pPr>
            <w:r>
              <w:rPr>
                <w:strike/>
                <w:dstrike w:val="0"/>
                <w:color w:val="auto"/>
                <w:highlight w:val="none"/>
              </w:rPr>
              <w:t>1</w:t>
            </w:r>
          </w:p>
        </w:tc>
        <w:tc>
          <w:tcPr>
            <w:tcW w:w="2009" w:type="dxa"/>
            <w:vAlign w:val="top"/>
          </w:tcPr>
          <w:p w14:paraId="0B5D9535">
            <w:pPr>
              <w:rPr>
                <w:rFonts w:ascii="Arial"/>
                <w:strike/>
                <w:dstrike w:val="0"/>
                <w:color w:val="auto"/>
                <w:sz w:val="21"/>
                <w:highlight w:val="none"/>
              </w:rPr>
            </w:pPr>
          </w:p>
        </w:tc>
        <w:tc>
          <w:tcPr>
            <w:tcW w:w="1184" w:type="dxa"/>
            <w:vAlign w:val="top"/>
          </w:tcPr>
          <w:p w14:paraId="4FDBA1E0">
            <w:pPr>
              <w:rPr>
                <w:rFonts w:ascii="Arial"/>
                <w:strike/>
                <w:dstrike w:val="0"/>
                <w:color w:val="auto"/>
                <w:sz w:val="21"/>
                <w:highlight w:val="none"/>
              </w:rPr>
            </w:pPr>
          </w:p>
        </w:tc>
        <w:tc>
          <w:tcPr>
            <w:tcW w:w="1469" w:type="dxa"/>
            <w:vAlign w:val="top"/>
          </w:tcPr>
          <w:p w14:paraId="4FEB5298">
            <w:pPr>
              <w:rPr>
                <w:rFonts w:ascii="Arial"/>
                <w:strike/>
                <w:dstrike w:val="0"/>
                <w:color w:val="auto"/>
                <w:sz w:val="21"/>
                <w:highlight w:val="none"/>
              </w:rPr>
            </w:pPr>
          </w:p>
        </w:tc>
        <w:tc>
          <w:tcPr>
            <w:tcW w:w="1859" w:type="dxa"/>
            <w:vAlign w:val="top"/>
          </w:tcPr>
          <w:p w14:paraId="0DD91735">
            <w:pPr>
              <w:rPr>
                <w:rFonts w:ascii="Arial"/>
                <w:strike/>
                <w:dstrike w:val="0"/>
                <w:color w:val="auto"/>
                <w:sz w:val="21"/>
                <w:highlight w:val="none"/>
              </w:rPr>
            </w:pPr>
          </w:p>
        </w:tc>
        <w:tc>
          <w:tcPr>
            <w:tcW w:w="855" w:type="dxa"/>
            <w:vAlign w:val="top"/>
          </w:tcPr>
          <w:p w14:paraId="1EAAAE85">
            <w:pPr>
              <w:rPr>
                <w:rFonts w:ascii="Arial"/>
                <w:strike/>
                <w:dstrike w:val="0"/>
                <w:color w:val="auto"/>
                <w:sz w:val="21"/>
                <w:highlight w:val="none"/>
              </w:rPr>
            </w:pPr>
          </w:p>
        </w:tc>
        <w:tc>
          <w:tcPr>
            <w:tcW w:w="1129" w:type="dxa"/>
            <w:vAlign w:val="top"/>
          </w:tcPr>
          <w:p w14:paraId="3FD28CA9">
            <w:pPr>
              <w:rPr>
                <w:rFonts w:ascii="Arial"/>
                <w:strike/>
                <w:dstrike w:val="0"/>
                <w:color w:val="auto"/>
                <w:sz w:val="21"/>
                <w:highlight w:val="none"/>
              </w:rPr>
            </w:pPr>
          </w:p>
        </w:tc>
      </w:tr>
      <w:tr w14:paraId="2BE13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4F46040D">
            <w:pPr>
              <w:pStyle w:val="17"/>
              <w:spacing w:before="306" w:line="241" w:lineRule="auto"/>
              <w:ind w:left="356"/>
              <w:rPr>
                <w:strike/>
                <w:dstrike w:val="0"/>
                <w:color w:val="auto"/>
                <w:highlight w:val="none"/>
              </w:rPr>
            </w:pPr>
            <w:r>
              <w:rPr>
                <w:strike/>
                <w:dstrike w:val="0"/>
                <w:color w:val="auto"/>
                <w:highlight w:val="none"/>
              </w:rPr>
              <w:t>2</w:t>
            </w:r>
          </w:p>
        </w:tc>
        <w:tc>
          <w:tcPr>
            <w:tcW w:w="2009" w:type="dxa"/>
            <w:vAlign w:val="top"/>
          </w:tcPr>
          <w:p w14:paraId="5DF389AF">
            <w:pPr>
              <w:rPr>
                <w:rFonts w:ascii="Arial"/>
                <w:strike/>
                <w:dstrike w:val="0"/>
                <w:color w:val="auto"/>
                <w:sz w:val="21"/>
                <w:highlight w:val="none"/>
              </w:rPr>
            </w:pPr>
          </w:p>
        </w:tc>
        <w:tc>
          <w:tcPr>
            <w:tcW w:w="1184" w:type="dxa"/>
            <w:vAlign w:val="top"/>
          </w:tcPr>
          <w:p w14:paraId="1269AC66">
            <w:pPr>
              <w:rPr>
                <w:rFonts w:ascii="Arial"/>
                <w:strike/>
                <w:dstrike w:val="0"/>
                <w:color w:val="auto"/>
                <w:sz w:val="21"/>
                <w:highlight w:val="none"/>
              </w:rPr>
            </w:pPr>
          </w:p>
        </w:tc>
        <w:tc>
          <w:tcPr>
            <w:tcW w:w="1469" w:type="dxa"/>
            <w:vAlign w:val="top"/>
          </w:tcPr>
          <w:p w14:paraId="3FB602AC">
            <w:pPr>
              <w:rPr>
                <w:rFonts w:ascii="Arial"/>
                <w:strike/>
                <w:dstrike w:val="0"/>
                <w:color w:val="auto"/>
                <w:sz w:val="21"/>
                <w:highlight w:val="none"/>
              </w:rPr>
            </w:pPr>
          </w:p>
        </w:tc>
        <w:tc>
          <w:tcPr>
            <w:tcW w:w="1859" w:type="dxa"/>
            <w:vAlign w:val="top"/>
          </w:tcPr>
          <w:p w14:paraId="4F7DD2F8">
            <w:pPr>
              <w:rPr>
                <w:rFonts w:ascii="Arial"/>
                <w:strike/>
                <w:dstrike w:val="0"/>
                <w:color w:val="auto"/>
                <w:sz w:val="21"/>
                <w:highlight w:val="none"/>
              </w:rPr>
            </w:pPr>
          </w:p>
        </w:tc>
        <w:tc>
          <w:tcPr>
            <w:tcW w:w="855" w:type="dxa"/>
            <w:vAlign w:val="top"/>
          </w:tcPr>
          <w:p w14:paraId="77375645">
            <w:pPr>
              <w:rPr>
                <w:rFonts w:ascii="Arial"/>
                <w:strike/>
                <w:dstrike w:val="0"/>
                <w:color w:val="auto"/>
                <w:sz w:val="21"/>
                <w:highlight w:val="none"/>
              </w:rPr>
            </w:pPr>
          </w:p>
        </w:tc>
        <w:tc>
          <w:tcPr>
            <w:tcW w:w="1129" w:type="dxa"/>
            <w:vAlign w:val="top"/>
          </w:tcPr>
          <w:p w14:paraId="69B1C92D">
            <w:pPr>
              <w:rPr>
                <w:rFonts w:ascii="Arial"/>
                <w:strike/>
                <w:dstrike w:val="0"/>
                <w:color w:val="auto"/>
                <w:sz w:val="21"/>
                <w:highlight w:val="none"/>
              </w:rPr>
            </w:pPr>
          </w:p>
        </w:tc>
      </w:tr>
      <w:tr w14:paraId="2F98D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286B3E54">
            <w:pPr>
              <w:pStyle w:val="17"/>
              <w:spacing w:before="308"/>
              <w:ind w:left="357"/>
              <w:rPr>
                <w:strike/>
                <w:dstrike w:val="0"/>
                <w:color w:val="auto"/>
                <w:highlight w:val="none"/>
              </w:rPr>
            </w:pPr>
            <w:r>
              <w:rPr>
                <w:strike/>
                <w:dstrike w:val="0"/>
                <w:color w:val="auto"/>
                <w:highlight w:val="none"/>
              </w:rPr>
              <w:t>3</w:t>
            </w:r>
          </w:p>
        </w:tc>
        <w:tc>
          <w:tcPr>
            <w:tcW w:w="2009" w:type="dxa"/>
            <w:vAlign w:val="top"/>
          </w:tcPr>
          <w:p w14:paraId="619E0BE0">
            <w:pPr>
              <w:rPr>
                <w:rFonts w:ascii="Arial"/>
                <w:strike/>
                <w:dstrike w:val="0"/>
                <w:color w:val="auto"/>
                <w:sz w:val="21"/>
                <w:highlight w:val="none"/>
              </w:rPr>
            </w:pPr>
          </w:p>
        </w:tc>
        <w:tc>
          <w:tcPr>
            <w:tcW w:w="1184" w:type="dxa"/>
            <w:vAlign w:val="top"/>
          </w:tcPr>
          <w:p w14:paraId="41C7AF73">
            <w:pPr>
              <w:rPr>
                <w:rFonts w:ascii="Arial"/>
                <w:strike/>
                <w:dstrike w:val="0"/>
                <w:color w:val="auto"/>
                <w:sz w:val="21"/>
                <w:highlight w:val="none"/>
              </w:rPr>
            </w:pPr>
          </w:p>
        </w:tc>
        <w:tc>
          <w:tcPr>
            <w:tcW w:w="1469" w:type="dxa"/>
            <w:vAlign w:val="top"/>
          </w:tcPr>
          <w:p w14:paraId="38B0BC1F">
            <w:pPr>
              <w:rPr>
                <w:rFonts w:ascii="Arial"/>
                <w:strike/>
                <w:dstrike w:val="0"/>
                <w:color w:val="auto"/>
                <w:sz w:val="21"/>
                <w:highlight w:val="none"/>
              </w:rPr>
            </w:pPr>
          </w:p>
        </w:tc>
        <w:tc>
          <w:tcPr>
            <w:tcW w:w="1859" w:type="dxa"/>
            <w:vAlign w:val="top"/>
          </w:tcPr>
          <w:p w14:paraId="238DA778">
            <w:pPr>
              <w:rPr>
                <w:rFonts w:ascii="Arial"/>
                <w:strike/>
                <w:dstrike w:val="0"/>
                <w:color w:val="auto"/>
                <w:sz w:val="21"/>
                <w:highlight w:val="none"/>
              </w:rPr>
            </w:pPr>
          </w:p>
        </w:tc>
        <w:tc>
          <w:tcPr>
            <w:tcW w:w="855" w:type="dxa"/>
            <w:vAlign w:val="top"/>
          </w:tcPr>
          <w:p w14:paraId="0E34F5FE">
            <w:pPr>
              <w:rPr>
                <w:rFonts w:ascii="Arial"/>
                <w:strike/>
                <w:dstrike w:val="0"/>
                <w:color w:val="auto"/>
                <w:sz w:val="21"/>
                <w:highlight w:val="none"/>
              </w:rPr>
            </w:pPr>
          </w:p>
        </w:tc>
        <w:tc>
          <w:tcPr>
            <w:tcW w:w="1129" w:type="dxa"/>
            <w:vAlign w:val="top"/>
          </w:tcPr>
          <w:p w14:paraId="15B5BE6A">
            <w:pPr>
              <w:rPr>
                <w:rFonts w:ascii="Arial"/>
                <w:strike/>
                <w:dstrike w:val="0"/>
                <w:color w:val="auto"/>
                <w:sz w:val="21"/>
                <w:highlight w:val="none"/>
              </w:rPr>
            </w:pPr>
          </w:p>
        </w:tc>
      </w:tr>
      <w:tr w14:paraId="1D7A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3F6ECD14">
            <w:pPr>
              <w:pStyle w:val="17"/>
              <w:spacing w:before="307" w:line="241" w:lineRule="auto"/>
              <w:ind w:left="352"/>
              <w:rPr>
                <w:strike/>
                <w:dstrike w:val="0"/>
                <w:color w:val="auto"/>
                <w:highlight w:val="none"/>
              </w:rPr>
            </w:pPr>
            <w:r>
              <w:rPr>
                <w:strike/>
                <w:dstrike w:val="0"/>
                <w:color w:val="auto"/>
                <w:highlight w:val="none"/>
              </w:rPr>
              <w:t>4</w:t>
            </w:r>
          </w:p>
        </w:tc>
        <w:tc>
          <w:tcPr>
            <w:tcW w:w="2009" w:type="dxa"/>
            <w:vAlign w:val="top"/>
          </w:tcPr>
          <w:p w14:paraId="4AF3B2AF">
            <w:pPr>
              <w:rPr>
                <w:rFonts w:ascii="Arial"/>
                <w:strike/>
                <w:dstrike w:val="0"/>
                <w:color w:val="auto"/>
                <w:sz w:val="21"/>
                <w:highlight w:val="none"/>
              </w:rPr>
            </w:pPr>
          </w:p>
        </w:tc>
        <w:tc>
          <w:tcPr>
            <w:tcW w:w="1184" w:type="dxa"/>
            <w:vAlign w:val="top"/>
          </w:tcPr>
          <w:p w14:paraId="4D9DCB3E">
            <w:pPr>
              <w:rPr>
                <w:rFonts w:ascii="Arial"/>
                <w:strike/>
                <w:dstrike w:val="0"/>
                <w:color w:val="auto"/>
                <w:sz w:val="21"/>
                <w:highlight w:val="none"/>
              </w:rPr>
            </w:pPr>
          </w:p>
        </w:tc>
        <w:tc>
          <w:tcPr>
            <w:tcW w:w="1469" w:type="dxa"/>
            <w:vAlign w:val="top"/>
          </w:tcPr>
          <w:p w14:paraId="212F289C">
            <w:pPr>
              <w:rPr>
                <w:rFonts w:ascii="Arial"/>
                <w:strike/>
                <w:dstrike w:val="0"/>
                <w:color w:val="auto"/>
                <w:sz w:val="21"/>
                <w:highlight w:val="none"/>
              </w:rPr>
            </w:pPr>
          </w:p>
        </w:tc>
        <w:tc>
          <w:tcPr>
            <w:tcW w:w="1859" w:type="dxa"/>
            <w:vAlign w:val="top"/>
          </w:tcPr>
          <w:p w14:paraId="4F1BFE80">
            <w:pPr>
              <w:rPr>
                <w:rFonts w:ascii="Arial"/>
                <w:strike/>
                <w:dstrike w:val="0"/>
                <w:color w:val="auto"/>
                <w:sz w:val="21"/>
                <w:highlight w:val="none"/>
              </w:rPr>
            </w:pPr>
          </w:p>
        </w:tc>
        <w:tc>
          <w:tcPr>
            <w:tcW w:w="855" w:type="dxa"/>
            <w:vAlign w:val="top"/>
          </w:tcPr>
          <w:p w14:paraId="45A1B898">
            <w:pPr>
              <w:rPr>
                <w:rFonts w:ascii="Arial"/>
                <w:strike/>
                <w:dstrike w:val="0"/>
                <w:color w:val="auto"/>
                <w:sz w:val="21"/>
                <w:highlight w:val="none"/>
              </w:rPr>
            </w:pPr>
          </w:p>
        </w:tc>
        <w:tc>
          <w:tcPr>
            <w:tcW w:w="1129" w:type="dxa"/>
            <w:vAlign w:val="top"/>
          </w:tcPr>
          <w:p w14:paraId="03DD7C95">
            <w:pPr>
              <w:rPr>
                <w:rFonts w:ascii="Arial"/>
                <w:strike/>
                <w:dstrike w:val="0"/>
                <w:color w:val="auto"/>
                <w:sz w:val="21"/>
                <w:highlight w:val="none"/>
              </w:rPr>
            </w:pPr>
          </w:p>
        </w:tc>
      </w:tr>
      <w:tr w14:paraId="031A4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11523FE5">
            <w:pPr>
              <w:pStyle w:val="17"/>
              <w:spacing w:before="309"/>
              <w:ind w:left="357"/>
              <w:rPr>
                <w:strike/>
                <w:dstrike w:val="0"/>
                <w:color w:val="auto"/>
                <w:highlight w:val="none"/>
              </w:rPr>
            </w:pPr>
            <w:r>
              <w:rPr>
                <w:strike/>
                <w:dstrike w:val="0"/>
                <w:color w:val="auto"/>
                <w:highlight w:val="none"/>
              </w:rPr>
              <w:t>5</w:t>
            </w:r>
          </w:p>
        </w:tc>
        <w:tc>
          <w:tcPr>
            <w:tcW w:w="2009" w:type="dxa"/>
            <w:vAlign w:val="top"/>
          </w:tcPr>
          <w:p w14:paraId="7BF126D2">
            <w:pPr>
              <w:rPr>
                <w:rFonts w:ascii="Arial"/>
                <w:strike/>
                <w:dstrike w:val="0"/>
                <w:color w:val="auto"/>
                <w:sz w:val="21"/>
                <w:highlight w:val="none"/>
              </w:rPr>
            </w:pPr>
          </w:p>
        </w:tc>
        <w:tc>
          <w:tcPr>
            <w:tcW w:w="1184" w:type="dxa"/>
            <w:vAlign w:val="top"/>
          </w:tcPr>
          <w:p w14:paraId="5F594B58">
            <w:pPr>
              <w:rPr>
                <w:rFonts w:ascii="Arial"/>
                <w:strike/>
                <w:dstrike w:val="0"/>
                <w:color w:val="auto"/>
                <w:sz w:val="21"/>
                <w:highlight w:val="none"/>
              </w:rPr>
            </w:pPr>
          </w:p>
        </w:tc>
        <w:tc>
          <w:tcPr>
            <w:tcW w:w="1469" w:type="dxa"/>
            <w:vAlign w:val="top"/>
          </w:tcPr>
          <w:p w14:paraId="6A3D6AB8">
            <w:pPr>
              <w:rPr>
                <w:rFonts w:ascii="Arial"/>
                <w:strike/>
                <w:dstrike w:val="0"/>
                <w:color w:val="auto"/>
                <w:sz w:val="21"/>
                <w:highlight w:val="none"/>
              </w:rPr>
            </w:pPr>
          </w:p>
        </w:tc>
        <w:tc>
          <w:tcPr>
            <w:tcW w:w="1859" w:type="dxa"/>
            <w:vAlign w:val="top"/>
          </w:tcPr>
          <w:p w14:paraId="494A5FA5">
            <w:pPr>
              <w:rPr>
                <w:rFonts w:ascii="Arial"/>
                <w:strike/>
                <w:dstrike w:val="0"/>
                <w:color w:val="auto"/>
                <w:sz w:val="21"/>
                <w:highlight w:val="none"/>
              </w:rPr>
            </w:pPr>
          </w:p>
        </w:tc>
        <w:tc>
          <w:tcPr>
            <w:tcW w:w="855" w:type="dxa"/>
            <w:vAlign w:val="top"/>
          </w:tcPr>
          <w:p w14:paraId="7C8D8D33">
            <w:pPr>
              <w:rPr>
                <w:rFonts w:ascii="Arial"/>
                <w:strike/>
                <w:dstrike w:val="0"/>
                <w:color w:val="auto"/>
                <w:sz w:val="21"/>
                <w:highlight w:val="none"/>
              </w:rPr>
            </w:pPr>
          </w:p>
        </w:tc>
        <w:tc>
          <w:tcPr>
            <w:tcW w:w="1129" w:type="dxa"/>
            <w:vAlign w:val="top"/>
          </w:tcPr>
          <w:p w14:paraId="3CB2A61A">
            <w:pPr>
              <w:rPr>
                <w:rFonts w:ascii="Arial"/>
                <w:strike/>
                <w:dstrike w:val="0"/>
                <w:color w:val="auto"/>
                <w:sz w:val="21"/>
                <w:highlight w:val="none"/>
              </w:rPr>
            </w:pPr>
          </w:p>
        </w:tc>
      </w:tr>
      <w:tr w14:paraId="76CBF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7BCDFB19">
            <w:pPr>
              <w:pStyle w:val="17"/>
              <w:spacing w:before="308"/>
              <w:ind w:left="355"/>
              <w:rPr>
                <w:strike/>
                <w:dstrike w:val="0"/>
                <w:color w:val="auto"/>
                <w:highlight w:val="none"/>
              </w:rPr>
            </w:pPr>
            <w:r>
              <w:rPr>
                <w:strike/>
                <w:dstrike w:val="0"/>
                <w:color w:val="auto"/>
                <w:highlight w:val="none"/>
              </w:rPr>
              <w:t>6</w:t>
            </w:r>
          </w:p>
        </w:tc>
        <w:tc>
          <w:tcPr>
            <w:tcW w:w="2009" w:type="dxa"/>
            <w:vAlign w:val="top"/>
          </w:tcPr>
          <w:p w14:paraId="3269FCA6">
            <w:pPr>
              <w:rPr>
                <w:rFonts w:ascii="Arial"/>
                <w:strike/>
                <w:dstrike w:val="0"/>
                <w:color w:val="auto"/>
                <w:sz w:val="21"/>
                <w:highlight w:val="none"/>
              </w:rPr>
            </w:pPr>
          </w:p>
        </w:tc>
        <w:tc>
          <w:tcPr>
            <w:tcW w:w="1184" w:type="dxa"/>
            <w:vAlign w:val="top"/>
          </w:tcPr>
          <w:p w14:paraId="7C0B269E">
            <w:pPr>
              <w:rPr>
                <w:rFonts w:ascii="Arial"/>
                <w:strike/>
                <w:dstrike w:val="0"/>
                <w:color w:val="auto"/>
                <w:sz w:val="21"/>
                <w:highlight w:val="none"/>
              </w:rPr>
            </w:pPr>
          </w:p>
        </w:tc>
        <w:tc>
          <w:tcPr>
            <w:tcW w:w="1469" w:type="dxa"/>
            <w:vAlign w:val="top"/>
          </w:tcPr>
          <w:p w14:paraId="435D0294">
            <w:pPr>
              <w:rPr>
                <w:rFonts w:ascii="Arial"/>
                <w:strike/>
                <w:dstrike w:val="0"/>
                <w:color w:val="auto"/>
                <w:sz w:val="21"/>
                <w:highlight w:val="none"/>
              </w:rPr>
            </w:pPr>
          </w:p>
        </w:tc>
        <w:tc>
          <w:tcPr>
            <w:tcW w:w="1859" w:type="dxa"/>
            <w:vAlign w:val="top"/>
          </w:tcPr>
          <w:p w14:paraId="32B438BF">
            <w:pPr>
              <w:rPr>
                <w:rFonts w:ascii="Arial"/>
                <w:strike/>
                <w:dstrike w:val="0"/>
                <w:color w:val="auto"/>
                <w:sz w:val="21"/>
                <w:highlight w:val="none"/>
              </w:rPr>
            </w:pPr>
          </w:p>
        </w:tc>
        <w:tc>
          <w:tcPr>
            <w:tcW w:w="855" w:type="dxa"/>
            <w:vAlign w:val="top"/>
          </w:tcPr>
          <w:p w14:paraId="1B097423">
            <w:pPr>
              <w:rPr>
                <w:rFonts w:ascii="Arial"/>
                <w:strike/>
                <w:dstrike w:val="0"/>
                <w:color w:val="auto"/>
                <w:sz w:val="21"/>
                <w:highlight w:val="none"/>
              </w:rPr>
            </w:pPr>
          </w:p>
        </w:tc>
        <w:tc>
          <w:tcPr>
            <w:tcW w:w="1129" w:type="dxa"/>
            <w:vAlign w:val="top"/>
          </w:tcPr>
          <w:p w14:paraId="15C734C7">
            <w:pPr>
              <w:rPr>
                <w:rFonts w:ascii="Arial"/>
                <w:strike/>
                <w:dstrike w:val="0"/>
                <w:color w:val="auto"/>
                <w:sz w:val="21"/>
                <w:highlight w:val="none"/>
              </w:rPr>
            </w:pPr>
          </w:p>
        </w:tc>
      </w:tr>
      <w:tr w14:paraId="095B1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4EC54D34">
            <w:pPr>
              <w:rPr>
                <w:rFonts w:ascii="Arial"/>
                <w:strike/>
                <w:dstrike w:val="0"/>
                <w:color w:val="auto"/>
                <w:sz w:val="21"/>
                <w:highlight w:val="none"/>
              </w:rPr>
            </w:pPr>
          </w:p>
          <w:p w14:paraId="707CCD89">
            <w:pPr>
              <w:pStyle w:val="17"/>
              <w:spacing w:before="68"/>
              <w:ind w:left="358"/>
              <w:rPr>
                <w:strike/>
                <w:dstrike w:val="0"/>
                <w:color w:val="auto"/>
                <w:highlight w:val="none"/>
              </w:rPr>
            </w:pPr>
            <w:r>
              <w:rPr>
                <w:strike/>
                <w:dstrike w:val="0"/>
                <w:color w:val="auto"/>
                <w:highlight w:val="none"/>
              </w:rPr>
              <w:t>7</w:t>
            </w:r>
          </w:p>
        </w:tc>
        <w:tc>
          <w:tcPr>
            <w:tcW w:w="2009" w:type="dxa"/>
            <w:vAlign w:val="top"/>
          </w:tcPr>
          <w:p w14:paraId="041A2323">
            <w:pPr>
              <w:rPr>
                <w:rFonts w:ascii="Arial"/>
                <w:strike/>
                <w:dstrike w:val="0"/>
                <w:color w:val="auto"/>
                <w:sz w:val="21"/>
                <w:highlight w:val="none"/>
              </w:rPr>
            </w:pPr>
          </w:p>
        </w:tc>
        <w:tc>
          <w:tcPr>
            <w:tcW w:w="1184" w:type="dxa"/>
            <w:vAlign w:val="top"/>
          </w:tcPr>
          <w:p w14:paraId="2B3484AC">
            <w:pPr>
              <w:rPr>
                <w:rFonts w:ascii="Arial"/>
                <w:strike/>
                <w:dstrike w:val="0"/>
                <w:color w:val="auto"/>
                <w:sz w:val="21"/>
                <w:highlight w:val="none"/>
              </w:rPr>
            </w:pPr>
          </w:p>
        </w:tc>
        <w:tc>
          <w:tcPr>
            <w:tcW w:w="1469" w:type="dxa"/>
            <w:vAlign w:val="top"/>
          </w:tcPr>
          <w:p w14:paraId="6DE52B40">
            <w:pPr>
              <w:rPr>
                <w:rFonts w:ascii="Arial"/>
                <w:strike/>
                <w:dstrike w:val="0"/>
                <w:color w:val="auto"/>
                <w:sz w:val="21"/>
                <w:highlight w:val="none"/>
              </w:rPr>
            </w:pPr>
          </w:p>
        </w:tc>
        <w:tc>
          <w:tcPr>
            <w:tcW w:w="1859" w:type="dxa"/>
            <w:vAlign w:val="top"/>
          </w:tcPr>
          <w:p w14:paraId="78959E6E">
            <w:pPr>
              <w:rPr>
                <w:rFonts w:ascii="Arial"/>
                <w:strike/>
                <w:dstrike w:val="0"/>
                <w:color w:val="auto"/>
                <w:sz w:val="21"/>
                <w:highlight w:val="none"/>
              </w:rPr>
            </w:pPr>
          </w:p>
        </w:tc>
        <w:tc>
          <w:tcPr>
            <w:tcW w:w="855" w:type="dxa"/>
            <w:vAlign w:val="top"/>
          </w:tcPr>
          <w:p w14:paraId="02E0E6B0">
            <w:pPr>
              <w:rPr>
                <w:rFonts w:ascii="Arial"/>
                <w:strike/>
                <w:dstrike w:val="0"/>
                <w:color w:val="auto"/>
                <w:sz w:val="21"/>
                <w:highlight w:val="none"/>
              </w:rPr>
            </w:pPr>
          </w:p>
        </w:tc>
        <w:tc>
          <w:tcPr>
            <w:tcW w:w="1129" w:type="dxa"/>
            <w:vAlign w:val="top"/>
          </w:tcPr>
          <w:p w14:paraId="279A0BAD">
            <w:pPr>
              <w:rPr>
                <w:rFonts w:ascii="Arial"/>
                <w:strike/>
                <w:dstrike w:val="0"/>
                <w:color w:val="auto"/>
                <w:sz w:val="21"/>
                <w:highlight w:val="none"/>
              </w:rPr>
            </w:pPr>
          </w:p>
        </w:tc>
      </w:tr>
      <w:tr w14:paraId="29D00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74C23031">
            <w:pPr>
              <w:spacing w:line="393" w:lineRule="auto"/>
              <w:rPr>
                <w:rFonts w:ascii="Arial"/>
                <w:strike/>
                <w:dstrike w:val="0"/>
                <w:color w:val="auto"/>
                <w:sz w:val="21"/>
                <w:highlight w:val="none"/>
              </w:rPr>
            </w:pPr>
          </w:p>
          <w:p w14:paraId="677F4184">
            <w:pPr>
              <w:pStyle w:val="17"/>
              <w:spacing w:before="69" w:line="86" w:lineRule="exact"/>
              <w:ind w:left="254"/>
              <w:rPr>
                <w:strike/>
                <w:dstrike w:val="0"/>
                <w:color w:val="auto"/>
                <w:highlight w:val="none"/>
              </w:rPr>
            </w:pPr>
            <w:r>
              <w:rPr>
                <w:strike/>
                <w:dstrike w:val="0"/>
                <w:color w:val="auto"/>
                <w:spacing w:val="-5"/>
                <w:position w:val="1"/>
                <w:highlight w:val="none"/>
              </w:rPr>
              <w:t>...</w:t>
            </w:r>
          </w:p>
        </w:tc>
        <w:tc>
          <w:tcPr>
            <w:tcW w:w="2009" w:type="dxa"/>
            <w:vAlign w:val="top"/>
          </w:tcPr>
          <w:p w14:paraId="689510C3">
            <w:pPr>
              <w:rPr>
                <w:rFonts w:ascii="Arial"/>
                <w:strike/>
                <w:dstrike w:val="0"/>
                <w:color w:val="auto"/>
                <w:sz w:val="21"/>
                <w:highlight w:val="none"/>
              </w:rPr>
            </w:pPr>
          </w:p>
        </w:tc>
        <w:tc>
          <w:tcPr>
            <w:tcW w:w="1184" w:type="dxa"/>
            <w:vAlign w:val="top"/>
          </w:tcPr>
          <w:p w14:paraId="0CD9D5FA">
            <w:pPr>
              <w:rPr>
                <w:rFonts w:ascii="Arial"/>
                <w:strike/>
                <w:dstrike w:val="0"/>
                <w:color w:val="auto"/>
                <w:sz w:val="21"/>
                <w:highlight w:val="none"/>
              </w:rPr>
            </w:pPr>
          </w:p>
        </w:tc>
        <w:tc>
          <w:tcPr>
            <w:tcW w:w="1469" w:type="dxa"/>
            <w:vAlign w:val="top"/>
          </w:tcPr>
          <w:p w14:paraId="2E980662">
            <w:pPr>
              <w:rPr>
                <w:rFonts w:ascii="Arial"/>
                <w:strike/>
                <w:dstrike w:val="0"/>
                <w:color w:val="auto"/>
                <w:sz w:val="21"/>
                <w:highlight w:val="none"/>
              </w:rPr>
            </w:pPr>
          </w:p>
        </w:tc>
        <w:tc>
          <w:tcPr>
            <w:tcW w:w="1859" w:type="dxa"/>
            <w:vAlign w:val="top"/>
          </w:tcPr>
          <w:p w14:paraId="424FDDFE">
            <w:pPr>
              <w:rPr>
                <w:rFonts w:ascii="Arial"/>
                <w:strike/>
                <w:dstrike w:val="0"/>
                <w:color w:val="auto"/>
                <w:sz w:val="21"/>
                <w:highlight w:val="none"/>
              </w:rPr>
            </w:pPr>
          </w:p>
        </w:tc>
        <w:tc>
          <w:tcPr>
            <w:tcW w:w="855" w:type="dxa"/>
            <w:vAlign w:val="top"/>
          </w:tcPr>
          <w:p w14:paraId="6BEC9578">
            <w:pPr>
              <w:rPr>
                <w:rFonts w:ascii="Arial"/>
                <w:strike/>
                <w:dstrike w:val="0"/>
                <w:color w:val="auto"/>
                <w:sz w:val="21"/>
                <w:highlight w:val="none"/>
              </w:rPr>
            </w:pPr>
          </w:p>
        </w:tc>
        <w:tc>
          <w:tcPr>
            <w:tcW w:w="1129" w:type="dxa"/>
            <w:vAlign w:val="top"/>
          </w:tcPr>
          <w:p w14:paraId="4412537E">
            <w:pPr>
              <w:rPr>
                <w:rFonts w:ascii="Arial"/>
                <w:strike/>
                <w:dstrike w:val="0"/>
                <w:color w:val="auto"/>
                <w:sz w:val="21"/>
                <w:highlight w:val="none"/>
              </w:rPr>
            </w:pPr>
          </w:p>
        </w:tc>
      </w:tr>
      <w:tr w14:paraId="3CD61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02" w:type="dxa"/>
            <w:tcBorders>
              <w:right w:val="nil"/>
            </w:tcBorders>
            <w:vAlign w:val="top"/>
          </w:tcPr>
          <w:p w14:paraId="588F1C75">
            <w:pPr>
              <w:rPr>
                <w:rFonts w:ascii="Arial"/>
                <w:strike/>
                <w:dstrike w:val="0"/>
                <w:color w:val="auto"/>
                <w:sz w:val="21"/>
                <w:highlight w:val="none"/>
              </w:rPr>
            </w:pPr>
          </w:p>
        </w:tc>
        <w:tc>
          <w:tcPr>
            <w:tcW w:w="2009" w:type="dxa"/>
            <w:tcBorders>
              <w:left w:val="nil"/>
            </w:tcBorders>
            <w:vAlign w:val="top"/>
          </w:tcPr>
          <w:p w14:paraId="05B9C74B">
            <w:pPr>
              <w:spacing w:line="241" w:lineRule="auto"/>
              <w:rPr>
                <w:rFonts w:ascii="Arial"/>
                <w:strike/>
                <w:dstrike w:val="0"/>
                <w:color w:val="auto"/>
                <w:sz w:val="21"/>
                <w:highlight w:val="none"/>
              </w:rPr>
            </w:pPr>
          </w:p>
          <w:p w14:paraId="4E41142D">
            <w:pPr>
              <w:pStyle w:val="17"/>
              <w:spacing w:before="69" w:line="220" w:lineRule="auto"/>
              <w:ind w:left="190"/>
              <w:rPr>
                <w:strike/>
                <w:dstrike w:val="0"/>
                <w:color w:val="auto"/>
                <w:highlight w:val="none"/>
              </w:rPr>
            </w:pPr>
            <w:r>
              <w:rPr>
                <w:strike/>
                <w:dstrike w:val="0"/>
                <w:color w:val="auto"/>
                <w:spacing w:val="-2"/>
                <w:highlight w:val="none"/>
              </w:rPr>
              <w:t>业绩合计</w:t>
            </w:r>
          </w:p>
        </w:tc>
        <w:tc>
          <w:tcPr>
            <w:tcW w:w="1184" w:type="dxa"/>
            <w:vAlign w:val="top"/>
          </w:tcPr>
          <w:p w14:paraId="3E031F67">
            <w:pPr>
              <w:rPr>
                <w:rFonts w:ascii="Arial"/>
                <w:strike/>
                <w:dstrike w:val="0"/>
                <w:color w:val="auto"/>
                <w:sz w:val="21"/>
                <w:highlight w:val="none"/>
              </w:rPr>
            </w:pPr>
          </w:p>
        </w:tc>
        <w:tc>
          <w:tcPr>
            <w:tcW w:w="1469" w:type="dxa"/>
            <w:vAlign w:val="top"/>
          </w:tcPr>
          <w:p w14:paraId="3E6E4B45">
            <w:pPr>
              <w:rPr>
                <w:rFonts w:ascii="Arial"/>
                <w:strike/>
                <w:dstrike w:val="0"/>
                <w:color w:val="auto"/>
                <w:sz w:val="21"/>
                <w:highlight w:val="none"/>
              </w:rPr>
            </w:pPr>
          </w:p>
        </w:tc>
        <w:tc>
          <w:tcPr>
            <w:tcW w:w="1859" w:type="dxa"/>
            <w:vAlign w:val="top"/>
          </w:tcPr>
          <w:p w14:paraId="51E3F218">
            <w:pPr>
              <w:rPr>
                <w:rFonts w:ascii="Arial"/>
                <w:strike/>
                <w:dstrike w:val="0"/>
                <w:color w:val="auto"/>
                <w:sz w:val="21"/>
                <w:highlight w:val="none"/>
              </w:rPr>
            </w:pPr>
          </w:p>
        </w:tc>
        <w:tc>
          <w:tcPr>
            <w:tcW w:w="855" w:type="dxa"/>
            <w:vAlign w:val="top"/>
          </w:tcPr>
          <w:p w14:paraId="572F23DF">
            <w:pPr>
              <w:rPr>
                <w:rFonts w:ascii="Arial"/>
                <w:strike/>
                <w:dstrike w:val="0"/>
                <w:color w:val="auto"/>
                <w:sz w:val="21"/>
                <w:highlight w:val="none"/>
              </w:rPr>
            </w:pPr>
          </w:p>
        </w:tc>
        <w:tc>
          <w:tcPr>
            <w:tcW w:w="1129" w:type="dxa"/>
            <w:vAlign w:val="top"/>
          </w:tcPr>
          <w:p w14:paraId="4E1F92AE">
            <w:pPr>
              <w:rPr>
                <w:rFonts w:ascii="Arial"/>
                <w:strike/>
                <w:dstrike w:val="0"/>
                <w:color w:val="auto"/>
                <w:sz w:val="21"/>
                <w:highlight w:val="none"/>
              </w:rPr>
            </w:pPr>
          </w:p>
        </w:tc>
      </w:tr>
    </w:tbl>
    <w:p w14:paraId="26EB1873">
      <w:pPr>
        <w:spacing w:before="48"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7686CDDE">
      <w:pPr>
        <w:spacing w:before="57" w:line="219" w:lineRule="auto"/>
        <w:ind w:left="1423"/>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业绩要求应符合投标人须知前附表</w:t>
      </w:r>
      <w:r>
        <w:rPr>
          <w:rFonts w:ascii="宋体" w:hAnsi="宋体" w:eastAsia="宋体" w:cs="宋体"/>
          <w:strike/>
          <w:dstrike w:val="0"/>
          <w:color w:val="auto"/>
          <w:spacing w:val="-41"/>
          <w:sz w:val="21"/>
          <w:szCs w:val="21"/>
          <w:highlight w:val="none"/>
        </w:rPr>
        <w:t xml:space="preserve"> </w:t>
      </w:r>
      <w:r>
        <w:rPr>
          <w:rFonts w:ascii="宋体" w:hAnsi="宋体" w:eastAsia="宋体" w:cs="宋体"/>
          <w:strike/>
          <w:dstrike w:val="0"/>
          <w:color w:val="auto"/>
          <w:spacing w:val="-2"/>
          <w:sz w:val="21"/>
          <w:szCs w:val="21"/>
          <w:highlight w:val="none"/>
        </w:rPr>
        <w:t>3.5.3、10.</w:t>
      </w:r>
      <w:r>
        <w:rPr>
          <w:rFonts w:ascii="宋体" w:hAnsi="宋体" w:eastAsia="宋体" w:cs="宋体"/>
          <w:strike/>
          <w:dstrike w:val="0"/>
          <w:color w:val="auto"/>
          <w:spacing w:val="-3"/>
          <w:sz w:val="21"/>
          <w:szCs w:val="21"/>
          <w:highlight w:val="none"/>
        </w:rPr>
        <w:t>6</w:t>
      </w:r>
      <w:r>
        <w:rPr>
          <w:rFonts w:ascii="宋体" w:hAnsi="宋体" w:eastAsia="宋体" w:cs="宋体"/>
          <w:strike/>
          <w:dstrike w:val="0"/>
          <w:color w:val="auto"/>
          <w:spacing w:val="-45"/>
          <w:sz w:val="21"/>
          <w:szCs w:val="21"/>
          <w:highlight w:val="none"/>
        </w:rPr>
        <w:t xml:space="preserve"> </w:t>
      </w:r>
      <w:r>
        <w:rPr>
          <w:rFonts w:ascii="宋体" w:hAnsi="宋体" w:eastAsia="宋体" w:cs="宋体"/>
          <w:strike/>
          <w:dstrike w:val="0"/>
          <w:color w:val="auto"/>
          <w:spacing w:val="-3"/>
          <w:sz w:val="21"/>
          <w:szCs w:val="21"/>
          <w:highlight w:val="none"/>
        </w:rPr>
        <w:t>及</w:t>
      </w:r>
      <w:r>
        <w:rPr>
          <w:rFonts w:ascii="宋体" w:hAnsi="宋体" w:eastAsia="宋体" w:cs="宋体"/>
          <w:strike/>
          <w:dstrike w:val="0"/>
          <w:color w:val="auto"/>
          <w:spacing w:val="-30"/>
          <w:sz w:val="21"/>
          <w:szCs w:val="21"/>
          <w:highlight w:val="none"/>
        </w:rPr>
        <w:t xml:space="preserve"> </w:t>
      </w:r>
      <w:r>
        <w:rPr>
          <w:rFonts w:ascii="宋体" w:hAnsi="宋体" w:eastAsia="宋体" w:cs="宋体"/>
          <w:strike/>
          <w:dstrike w:val="0"/>
          <w:color w:val="auto"/>
          <w:spacing w:val="-3"/>
          <w:sz w:val="21"/>
          <w:szCs w:val="21"/>
          <w:highlight w:val="none"/>
        </w:rPr>
        <w:t>10.7</w:t>
      </w:r>
      <w:r>
        <w:rPr>
          <w:rFonts w:ascii="宋体" w:hAnsi="宋体" w:eastAsia="宋体" w:cs="宋体"/>
          <w:strike/>
          <w:dstrike w:val="0"/>
          <w:color w:val="auto"/>
          <w:spacing w:val="-45"/>
          <w:sz w:val="21"/>
          <w:szCs w:val="21"/>
          <w:highlight w:val="none"/>
        </w:rPr>
        <w:t xml:space="preserve"> </w:t>
      </w:r>
      <w:r>
        <w:rPr>
          <w:rFonts w:ascii="宋体" w:hAnsi="宋体" w:eastAsia="宋体" w:cs="宋体"/>
          <w:strike/>
          <w:dstrike w:val="0"/>
          <w:color w:val="auto"/>
          <w:spacing w:val="-3"/>
          <w:sz w:val="21"/>
          <w:szCs w:val="21"/>
          <w:highlight w:val="none"/>
        </w:rPr>
        <w:t>款的要求。</w:t>
      </w:r>
    </w:p>
    <w:p w14:paraId="558F6ACC">
      <w:pPr>
        <w:pStyle w:val="3"/>
        <w:spacing w:line="246" w:lineRule="auto"/>
        <w:rPr>
          <w:strike/>
          <w:dstrike w:val="0"/>
          <w:color w:val="auto"/>
          <w:highlight w:val="none"/>
        </w:rPr>
      </w:pPr>
    </w:p>
    <w:p w14:paraId="2AAA36CE">
      <w:pPr>
        <w:pStyle w:val="3"/>
        <w:spacing w:line="246" w:lineRule="auto"/>
        <w:rPr>
          <w:strike/>
          <w:dstrike w:val="0"/>
          <w:color w:val="auto"/>
          <w:highlight w:val="none"/>
        </w:rPr>
      </w:pPr>
    </w:p>
    <w:p w14:paraId="5A855F46">
      <w:pPr>
        <w:pStyle w:val="3"/>
        <w:spacing w:line="246" w:lineRule="auto"/>
        <w:rPr>
          <w:strike/>
          <w:dstrike w:val="0"/>
          <w:color w:val="auto"/>
          <w:highlight w:val="none"/>
        </w:rPr>
      </w:pPr>
    </w:p>
    <w:p w14:paraId="5639EB4B">
      <w:pPr>
        <w:pStyle w:val="3"/>
        <w:spacing w:line="246" w:lineRule="auto"/>
        <w:rPr>
          <w:strike/>
          <w:dstrike w:val="0"/>
          <w:color w:val="auto"/>
          <w:highlight w:val="none"/>
        </w:rPr>
      </w:pPr>
    </w:p>
    <w:p w14:paraId="372CBFC5">
      <w:pPr>
        <w:pStyle w:val="3"/>
        <w:spacing w:line="247" w:lineRule="auto"/>
        <w:rPr>
          <w:strike/>
          <w:dstrike w:val="0"/>
          <w:color w:val="auto"/>
          <w:highlight w:val="none"/>
        </w:rPr>
      </w:pPr>
    </w:p>
    <w:p w14:paraId="7AC22041">
      <w:pPr>
        <w:pStyle w:val="3"/>
        <w:spacing w:line="247" w:lineRule="auto"/>
        <w:rPr>
          <w:strike/>
          <w:dstrike w:val="0"/>
          <w:color w:val="auto"/>
          <w:highlight w:val="none"/>
        </w:rPr>
      </w:pPr>
    </w:p>
    <w:p w14:paraId="49B22470">
      <w:pPr>
        <w:pStyle w:val="3"/>
        <w:spacing w:line="247" w:lineRule="auto"/>
        <w:rPr>
          <w:strike/>
          <w:dstrike w:val="0"/>
          <w:color w:val="auto"/>
          <w:highlight w:val="none"/>
        </w:rPr>
      </w:pPr>
    </w:p>
    <w:p w14:paraId="1E08045B">
      <w:pPr>
        <w:pStyle w:val="3"/>
        <w:spacing w:line="247" w:lineRule="auto"/>
        <w:rPr>
          <w:strike/>
          <w:dstrike w:val="0"/>
          <w:color w:val="auto"/>
          <w:highlight w:val="none"/>
        </w:rPr>
      </w:pPr>
    </w:p>
    <w:p w14:paraId="39F50373">
      <w:pPr>
        <w:pStyle w:val="3"/>
        <w:spacing w:line="247" w:lineRule="auto"/>
        <w:rPr>
          <w:strike/>
          <w:dstrike w:val="0"/>
          <w:color w:val="auto"/>
          <w:highlight w:val="none"/>
        </w:rPr>
      </w:pPr>
    </w:p>
    <w:p w14:paraId="604561AE">
      <w:pPr>
        <w:pStyle w:val="3"/>
        <w:spacing w:line="247" w:lineRule="auto"/>
        <w:rPr>
          <w:strike/>
          <w:dstrike w:val="0"/>
          <w:color w:val="auto"/>
          <w:highlight w:val="none"/>
        </w:rPr>
      </w:pPr>
    </w:p>
    <w:p w14:paraId="2581A249">
      <w:pPr>
        <w:pStyle w:val="3"/>
        <w:spacing w:line="247" w:lineRule="auto"/>
        <w:rPr>
          <w:strike/>
          <w:dstrike w:val="0"/>
          <w:color w:val="auto"/>
          <w:highlight w:val="none"/>
        </w:rPr>
      </w:pPr>
    </w:p>
    <w:p w14:paraId="195C3101">
      <w:pPr>
        <w:pStyle w:val="3"/>
        <w:spacing w:line="247" w:lineRule="auto"/>
        <w:rPr>
          <w:strike/>
          <w:dstrike w:val="0"/>
          <w:color w:val="auto"/>
          <w:highlight w:val="none"/>
        </w:rPr>
      </w:pPr>
    </w:p>
    <w:p w14:paraId="18B4414B">
      <w:pPr>
        <w:pStyle w:val="3"/>
        <w:spacing w:line="247" w:lineRule="auto"/>
        <w:rPr>
          <w:strike/>
          <w:dstrike w:val="0"/>
          <w:color w:val="auto"/>
          <w:highlight w:val="none"/>
        </w:rPr>
      </w:pPr>
    </w:p>
    <w:p w14:paraId="485F2E02">
      <w:pPr>
        <w:pStyle w:val="3"/>
        <w:spacing w:line="247" w:lineRule="auto"/>
        <w:rPr>
          <w:strike/>
          <w:dstrike w:val="0"/>
          <w:color w:val="auto"/>
          <w:highlight w:val="none"/>
        </w:rPr>
      </w:pPr>
    </w:p>
    <w:p w14:paraId="5A0A6748">
      <w:pPr>
        <w:pStyle w:val="3"/>
        <w:spacing w:line="247" w:lineRule="auto"/>
        <w:rPr>
          <w:strike/>
          <w:dstrike w:val="0"/>
          <w:color w:val="auto"/>
          <w:highlight w:val="none"/>
        </w:rPr>
      </w:pPr>
    </w:p>
    <w:p w14:paraId="6C75C349">
      <w:pPr>
        <w:pStyle w:val="3"/>
        <w:spacing w:line="247" w:lineRule="auto"/>
        <w:rPr>
          <w:strike/>
          <w:dstrike w:val="0"/>
          <w:color w:val="auto"/>
          <w:highlight w:val="none"/>
        </w:rPr>
      </w:pPr>
    </w:p>
    <w:p w14:paraId="07705DDF">
      <w:pPr>
        <w:pStyle w:val="3"/>
        <w:spacing w:line="247" w:lineRule="auto"/>
        <w:rPr>
          <w:strike/>
          <w:dstrike w:val="0"/>
          <w:color w:val="auto"/>
          <w:highlight w:val="none"/>
        </w:rPr>
      </w:pPr>
    </w:p>
    <w:p w14:paraId="2D6431A5">
      <w:pPr>
        <w:pStyle w:val="3"/>
        <w:spacing w:line="247" w:lineRule="auto"/>
        <w:rPr>
          <w:strike/>
          <w:dstrike w:val="0"/>
          <w:color w:val="auto"/>
          <w:highlight w:val="none"/>
        </w:rPr>
      </w:pPr>
    </w:p>
    <w:p w14:paraId="0B80A90E">
      <w:pPr>
        <w:spacing w:before="58" w:line="217" w:lineRule="auto"/>
        <w:ind w:left="1422"/>
        <w:rPr>
          <w:rFonts w:ascii="宋体" w:hAnsi="宋体" w:eastAsia="宋体" w:cs="宋体"/>
          <w:strike/>
          <w:dstrike w:val="0"/>
          <w:color w:val="auto"/>
          <w:sz w:val="18"/>
          <w:szCs w:val="18"/>
          <w:highlight w:val="none"/>
        </w:rPr>
      </w:pPr>
      <w:r>
        <w:rPr>
          <w:rFonts w:ascii="宋体" w:hAnsi="宋体" w:eastAsia="宋体" w:cs="宋体"/>
          <w:strike/>
          <w:dstrike w:val="0"/>
          <w:color w:val="auto"/>
          <w:spacing w:val="-3"/>
          <w:sz w:val="18"/>
          <w:szCs w:val="18"/>
          <w:highlight w:val="none"/>
        </w:rPr>
        <w:t>① 适用于特大桥梁工程中钢结构工程作为独立标段，主缆、斜拉索及吊索制造、运输作为独立标段单独招标的情形。</w:t>
      </w:r>
    </w:p>
    <w:p w14:paraId="44F9E5BF">
      <w:pPr>
        <w:spacing w:line="217" w:lineRule="auto"/>
        <w:rPr>
          <w:rFonts w:ascii="宋体" w:hAnsi="宋体" w:eastAsia="宋体" w:cs="宋体"/>
          <w:strike/>
          <w:dstrike w:val="0"/>
          <w:color w:val="auto"/>
          <w:sz w:val="18"/>
          <w:szCs w:val="18"/>
          <w:highlight w:val="none"/>
        </w:rPr>
        <w:sectPr>
          <w:headerReference r:id="rId190" w:type="default"/>
          <w:footerReference r:id="rId191" w:type="default"/>
          <w:pgSz w:w="11905" w:h="16840"/>
          <w:pgMar w:top="1182" w:right="0" w:bottom="1171" w:left="0" w:header="849" w:footer="937" w:gutter="0"/>
          <w:pgNumType w:fmt="decimal"/>
          <w:cols w:space="720" w:num="1"/>
        </w:sectPr>
      </w:pPr>
    </w:p>
    <w:p w14:paraId="66247E31">
      <w:pPr>
        <w:pStyle w:val="3"/>
        <w:spacing w:line="315" w:lineRule="auto"/>
        <w:rPr>
          <w:color w:val="auto"/>
          <w:highlight w:val="none"/>
        </w:rPr>
      </w:pPr>
    </w:p>
    <w:p w14:paraId="2D4EC3C9">
      <w:pPr>
        <w:spacing w:before="88" w:line="226" w:lineRule="auto"/>
        <w:ind w:left="4289"/>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（五）投标人的信誉情况表</w:t>
      </w:r>
    </w:p>
    <w:p w14:paraId="093DF863">
      <w:pPr>
        <w:spacing w:before="37"/>
        <w:rPr>
          <w:color w:val="auto"/>
          <w:highlight w:val="none"/>
        </w:rPr>
      </w:pPr>
    </w:p>
    <w:tbl>
      <w:tblPr>
        <w:tblStyle w:val="16"/>
        <w:tblW w:w="9292" w:type="dxa"/>
        <w:tblInd w:w="1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4"/>
        <w:gridCol w:w="3948"/>
      </w:tblGrid>
      <w:tr w14:paraId="7424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344" w:type="dxa"/>
            <w:vAlign w:val="top"/>
          </w:tcPr>
          <w:p w14:paraId="50A9A44B">
            <w:pPr>
              <w:pStyle w:val="17"/>
              <w:spacing w:before="255" w:line="220" w:lineRule="auto"/>
              <w:ind w:left="2472"/>
              <w:rPr>
                <w:color w:val="auto"/>
                <w:highlight w:val="none"/>
              </w:rPr>
            </w:pPr>
            <w:r>
              <w:rPr>
                <w:color w:val="auto"/>
                <w:spacing w:val="-3"/>
                <w:highlight w:val="none"/>
              </w:rPr>
              <w:t>项目</w:t>
            </w:r>
          </w:p>
        </w:tc>
        <w:tc>
          <w:tcPr>
            <w:tcW w:w="3948" w:type="dxa"/>
            <w:vAlign w:val="top"/>
          </w:tcPr>
          <w:p w14:paraId="0478AB07">
            <w:pPr>
              <w:pStyle w:val="17"/>
              <w:spacing w:before="254" w:line="220" w:lineRule="auto"/>
              <w:ind w:left="1246"/>
              <w:rPr>
                <w:color w:val="auto"/>
                <w:highlight w:val="none"/>
              </w:rPr>
            </w:pPr>
            <w:r>
              <w:rPr>
                <w:color w:val="auto"/>
                <w:spacing w:val="-2"/>
                <w:highlight w:val="none"/>
              </w:rPr>
              <w:t>投标人情况说明</w:t>
            </w:r>
          </w:p>
        </w:tc>
      </w:tr>
      <w:tr w14:paraId="195C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5344" w:type="dxa"/>
            <w:vAlign w:val="top"/>
          </w:tcPr>
          <w:p w14:paraId="4A90FD97">
            <w:pPr>
              <w:pStyle w:val="17"/>
              <w:spacing w:before="122" w:line="329" w:lineRule="auto"/>
              <w:ind w:left="115" w:right="96" w:firstLine="5"/>
              <w:jc w:val="both"/>
              <w:rPr>
                <w:color w:val="auto"/>
                <w:highlight w:val="none"/>
              </w:rPr>
            </w:pPr>
            <w:r>
              <w:rPr>
                <w:color w:val="auto"/>
                <w:spacing w:val="-3"/>
                <w:highlight w:val="none"/>
              </w:rPr>
              <w:t>（1）在最新年度广东省公路工程从业单位（</w:t>
            </w:r>
            <w:r>
              <w:rPr>
                <w:rFonts w:hint="eastAsia"/>
                <w:color w:val="auto"/>
                <w:spacing w:val="-3"/>
                <w:highlight w:val="none"/>
                <w:u w:val="single"/>
                <w:lang w:val="en-US" w:eastAsia="zh-CN"/>
              </w:rPr>
              <w:t>土建</w:t>
            </w:r>
            <w:r>
              <w:rPr>
                <w:color w:val="auto"/>
                <w:spacing w:val="-3"/>
                <w:highlight w:val="none"/>
                <w:u w:val="single" w:color="auto"/>
              </w:rPr>
              <w:t>施工单位</w:t>
            </w:r>
            <w:r>
              <w:rPr>
                <w:color w:val="auto"/>
                <w:spacing w:val="-3"/>
                <w:highlight w:val="none"/>
              </w:rPr>
              <w:t>)</w:t>
            </w:r>
            <w:r>
              <w:rPr>
                <w:color w:val="auto"/>
                <w:spacing w:val="3"/>
                <w:highlight w:val="none"/>
              </w:rPr>
              <w:t>信用评价（含无最新年度而上一年度有信用评价）中，</w:t>
            </w:r>
            <w:r>
              <w:rPr>
                <w:color w:val="auto"/>
                <w:spacing w:val="2"/>
                <w:highlight w:val="none"/>
              </w:rPr>
              <w:t>信用等级被评为</w:t>
            </w:r>
            <w:r>
              <w:rPr>
                <w:color w:val="auto"/>
                <w:spacing w:val="-34"/>
                <w:highlight w:val="none"/>
              </w:rPr>
              <w:t xml:space="preserve"> </w:t>
            </w:r>
            <w:r>
              <w:rPr>
                <w:color w:val="auto"/>
                <w:spacing w:val="2"/>
                <w:highlight w:val="none"/>
              </w:rPr>
              <w:t>D</w:t>
            </w:r>
            <w:r>
              <w:rPr>
                <w:color w:val="auto"/>
                <w:spacing w:val="-36"/>
                <w:highlight w:val="none"/>
              </w:rPr>
              <w:t xml:space="preserve"> </w:t>
            </w:r>
            <w:r>
              <w:rPr>
                <w:color w:val="auto"/>
                <w:spacing w:val="2"/>
                <w:highlight w:val="none"/>
              </w:rPr>
              <w:t>级；初次进入广东省的投标人，在最</w:t>
            </w:r>
            <w:r>
              <w:rPr>
                <w:color w:val="auto"/>
                <w:spacing w:val="3"/>
                <w:highlight w:val="none"/>
              </w:rPr>
              <w:t>新年度的全国公路从业单位（施工单位）信用评价结果</w:t>
            </w:r>
            <w:r>
              <w:rPr>
                <w:color w:val="auto"/>
                <w:spacing w:val="-4"/>
                <w:highlight w:val="none"/>
              </w:rPr>
              <w:t>中被评为</w:t>
            </w:r>
            <w:r>
              <w:rPr>
                <w:color w:val="auto"/>
                <w:spacing w:val="-47"/>
                <w:highlight w:val="none"/>
              </w:rPr>
              <w:t xml:space="preserve"> </w:t>
            </w:r>
            <w:r>
              <w:rPr>
                <w:color w:val="auto"/>
                <w:spacing w:val="-4"/>
                <w:highlight w:val="none"/>
              </w:rPr>
              <w:t>D</w:t>
            </w:r>
            <w:r>
              <w:rPr>
                <w:color w:val="auto"/>
                <w:spacing w:val="-40"/>
                <w:highlight w:val="none"/>
              </w:rPr>
              <w:t xml:space="preserve"> </w:t>
            </w:r>
            <w:r>
              <w:rPr>
                <w:color w:val="auto"/>
                <w:spacing w:val="-4"/>
                <w:highlight w:val="none"/>
              </w:rPr>
              <w:t>级；</w:t>
            </w:r>
          </w:p>
        </w:tc>
        <w:tc>
          <w:tcPr>
            <w:tcW w:w="3948" w:type="dxa"/>
            <w:vAlign w:val="top"/>
          </w:tcPr>
          <w:p w14:paraId="0A8A5EDA">
            <w:pPr>
              <w:rPr>
                <w:rFonts w:ascii="Arial"/>
                <w:color w:val="auto"/>
                <w:sz w:val="21"/>
                <w:highlight w:val="none"/>
              </w:rPr>
            </w:pPr>
          </w:p>
        </w:tc>
      </w:tr>
      <w:tr w14:paraId="785D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344" w:type="dxa"/>
            <w:vAlign w:val="top"/>
          </w:tcPr>
          <w:p w14:paraId="77BE4DEB">
            <w:pPr>
              <w:pStyle w:val="17"/>
              <w:spacing w:before="138" w:line="288" w:lineRule="auto"/>
              <w:ind w:left="115" w:right="116" w:firstLine="5"/>
              <w:rPr>
                <w:color w:val="auto"/>
                <w:highlight w:val="none"/>
              </w:rPr>
            </w:pPr>
            <w:r>
              <w:rPr>
                <w:color w:val="auto"/>
                <w:spacing w:val="-2"/>
                <w:highlight w:val="none"/>
              </w:rPr>
              <w:t>（2）被省级及以上交通运输主管部门取消招标项目所在</w:t>
            </w:r>
            <w:r>
              <w:rPr>
                <w:color w:val="auto"/>
                <w:spacing w:val="-4"/>
                <w:highlight w:val="none"/>
              </w:rPr>
              <w:t>地的投标资格且处于有效期内；</w:t>
            </w:r>
          </w:p>
        </w:tc>
        <w:tc>
          <w:tcPr>
            <w:tcW w:w="3948" w:type="dxa"/>
            <w:vAlign w:val="top"/>
          </w:tcPr>
          <w:p w14:paraId="3A8A2447">
            <w:pPr>
              <w:rPr>
                <w:rFonts w:ascii="Arial"/>
                <w:color w:val="auto"/>
                <w:sz w:val="21"/>
                <w:highlight w:val="none"/>
              </w:rPr>
            </w:pPr>
          </w:p>
        </w:tc>
      </w:tr>
      <w:tr w14:paraId="093C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344" w:type="dxa"/>
            <w:vAlign w:val="top"/>
          </w:tcPr>
          <w:p w14:paraId="5DB27181">
            <w:pPr>
              <w:pStyle w:val="17"/>
              <w:spacing w:before="307" w:line="219" w:lineRule="auto"/>
              <w:ind w:left="121"/>
              <w:rPr>
                <w:color w:val="auto"/>
                <w:highlight w:val="none"/>
              </w:rPr>
            </w:pPr>
            <w:r>
              <w:rPr>
                <w:color w:val="auto"/>
                <w:spacing w:val="-3"/>
                <w:highlight w:val="none"/>
              </w:rPr>
              <w:t>（3）被责令停业，暂扣或吊销执照，或吊销资质证书；</w:t>
            </w:r>
          </w:p>
        </w:tc>
        <w:tc>
          <w:tcPr>
            <w:tcW w:w="3948" w:type="dxa"/>
            <w:vAlign w:val="top"/>
          </w:tcPr>
          <w:p w14:paraId="57191F92">
            <w:pPr>
              <w:rPr>
                <w:rFonts w:ascii="Arial"/>
                <w:color w:val="auto"/>
                <w:sz w:val="21"/>
                <w:highlight w:val="none"/>
              </w:rPr>
            </w:pPr>
          </w:p>
        </w:tc>
      </w:tr>
      <w:tr w14:paraId="40704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344" w:type="dxa"/>
            <w:vAlign w:val="top"/>
          </w:tcPr>
          <w:p w14:paraId="51B3887D">
            <w:pPr>
              <w:pStyle w:val="17"/>
              <w:spacing w:before="142" w:line="287" w:lineRule="auto"/>
              <w:ind w:left="119" w:right="115" w:firstLine="2"/>
              <w:rPr>
                <w:color w:val="auto"/>
                <w:highlight w:val="none"/>
              </w:rPr>
            </w:pPr>
            <w:r>
              <w:rPr>
                <w:color w:val="auto"/>
                <w:spacing w:val="-2"/>
                <w:highlight w:val="none"/>
              </w:rPr>
              <w:t>（4）进入清算程序，或被宣告破产，或其他丧失履约能</w:t>
            </w:r>
            <w:r>
              <w:rPr>
                <w:color w:val="auto"/>
                <w:spacing w:val="-10"/>
                <w:highlight w:val="none"/>
              </w:rPr>
              <w:t>力的情形；</w:t>
            </w:r>
          </w:p>
        </w:tc>
        <w:tc>
          <w:tcPr>
            <w:tcW w:w="3948" w:type="dxa"/>
            <w:vAlign w:val="top"/>
          </w:tcPr>
          <w:p w14:paraId="7080B4AA">
            <w:pPr>
              <w:rPr>
                <w:rFonts w:ascii="Arial"/>
                <w:color w:val="auto"/>
                <w:sz w:val="21"/>
                <w:highlight w:val="none"/>
              </w:rPr>
            </w:pPr>
          </w:p>
        </w:tc>
      </w:tr>
      <w:tr w14:paraId="6AD65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344" w:type="dxa"/>
            <w:vAlign w:val="top"/>
          </w:tcPr>
          <w:p w14:paraId="50BA0676">
            <w:pPr>
              <w:pStyle w:val="17"/>
              <w:spacing w:before="142" w:line="287" w:lineRule="auto"/>
              <w:ind w:left="115" w:right="115" w:firstLine="5"/>
              <w:rPr>
                <w:color w:val="auto"/>
                <w:highlight w:val="none"/>
              </w:rPr>
            </w:pPr>
            <w:r>
              <w:rPr>
                <w:color w:val="auto"/>
                <w:spacing w:val="-2"/>
                <w:highlight w:val="none"/>
              </w:rPr>
              <w:t>（5）在国家企业信用信息公示系统中被列入严重违法失</w:t>
            </w:r>
            <w:r>
              <w:rPr>
                <w:color w:val="auto"/>
                <w:spacing w:val="-8"/>
                <w:highlight w:val="none"/>
              </w:rPr>
              <w:t>信名单；</w:t>
            </w:r>
          </w:p>
        </w:tc>
        <w:tc>
          <w:tcPr>
            <w:tcW w:w="3948" w:type="dxa"/>
            <w:vAlign w:val="top"/>
          </w:tcPr>
          <w:p w14:paraId="2B8736DB">
            <w:pPr>
              <w:rPr>
                <w:rFonts w:ascii="Arial"/>
                <w:color w:val="auto"/>
                <w:sz w:val="21"/>
                <w:highlight w:val="none"/>
              </w:rPr>
            </w:pPr>
          </w:p>
        </w:tc>
      </w:tr>
      <w:tr w14:paraId="5BE94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344" w:type="dxa"/>
            <w:vAlign w:val="top"/>
          </w:tcPr>
          <w:p w14:paraId="2A3747F5">
            <w:pPr>
              <w:pStyle w:val="17"/>
              <w:spacing w:before="266" w:line="241" w:lineRule="auto"/>
              <w:ind w:left="121"/>
              <w:rPr>
                <w:color w:val="auto"/>
                <w:highlight w:val="none"/>
              </w:rPr>
            </w:pPr>
            <w:r>
              <w:rPr>
                <w:color w:val="auto"/>
                <w:spacing w:val="-5"/>
                <w:highlight w:val="none"/>
              </w:rPr>
              <w:t>（6）在“信用中国”网站</w:t>
            </w:r>
            <w:r>
              <w:rPr>
                <w:color w:val="auto"/>
                <w:spacing w:val="-23"/>
                <w:position w:val="11"/>
                <w:sz w:val="12"/>
                <w:szCs w:val="12"/>
                <w:highlight w:val="none"/>
              </w:rPr>
              <w:t xml:space="preserve"> </w:t>
            </w:r>
            <w:r>
              <w:rPr>
                <w:rStyle w:val="15"/>
                <w:color w:val="auto"/>
                <w:spacing w:val="-23"/>
                <w:position w:val="11"/>
                <w:sz w:val="18"/>
                <w:szCs w:val="18"/>
                <w:highlight w:val="none"/>
              </w:rPr>
              <w:footnoteReference w:id="11"/>
            </w:r>
            <w:r>
              <w:rPr>
                <w:color w:val="auto"/>
                <w:spacing w:val="-5"/>
                <w:highlight w:val="none"/>
              </w:rPr>
              <w:t>中被列入失信被执行人名单；</w:t>
            </w:r>
          </w:p>
        </w:tc>
        <w:tc>
          <w:tcPr>
            <w:tcW w:w="3948" w:type="dxa"/>
            <w:vAlign w:val="top"/>
          </w:tcPr>
          <w:p w14:paraId="49C60DCC">
            <w:pPr>
              <w:rPr>
                <w:rFonts w:ascii="Arial"/>
                <w:color w:val="auto"/>
                <w:sz w:val="21"/>
                <w:highlight w:val="none"/>
              </w:rPr>
            </w:pPr>
          </w:p>
        </w:tc>
      </w:tr>
      <w:tr w14:paraId="0EAE3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344" w:type="dxa"/>
            <w:vAlign w:val="top"/>
          </w:tcPr>
          <w:p w14:paraId="19850E7C">
            <w:pPr>
              <w:pStyle w:val="17"/>
              <w:spacing w:before="139" w:line="309" w:lineRule="auto"/>
              <w:ind w:left="115" w:right="96" w:firstLine="5"/>
              <w:jc w:val="both"/>
              <w:rPr>
                <w:color w:val="auto"/>
                <w:highlight w:val="none"/>
              </w:rPr>
            </w:pPr>
            <w:r>
              <w:rPr>
                <w:color w:val="auto"/>
                <w:spacing w:val="-2"/>
                <w:highlight w:val="none"/>
              </w:rPr>
              <w:t>（7）投标人及其法定代表人、拟委任的项目经理（以及</w:t>
            </w:r>
            <w:r>
              <w:rPr>
                <w:color w:val="auto"/>
                <w:spacing w:val="3"/>
                <w:highlight w:val="none"/>
              </w:rPr>
              <w:t>备选人，如有）、项目总工（以及备选人，如有）在近</w:t>
            </w:r>
            <w:r>
              <w:rPr>
                <w:color w:val="auto"/>
                <w:spacing w:val="-5"/>
                <w:highlight w:val="none"/>
              </w:rPr>
              <w:t>三年内有行贿犯罪行为的；</w:t>
            </w:r>
          </w:p>
        </w:tc>
        <w:tc>
          <w:tcPr>
            <w:tcW w:w="3948" w:type="dxa"/>
            <w:vAlign w:val="top"/>
          </w:tcPr>
          <w:p w14:paraId="6ECD67D9">
            <w:pPr>
              <w:rPr>
                <w:rFonts w:ascii="Arial"/>
                <w:color w:val="auto"/>
                <w:sz w:val="21"/>
                <w:highlight w:val="none"/>
              </w:rPr>
            </w:pPr>
          </w:p>
        </w:tc>
      </w:tr>
      <w:tr w14:paraId="39ECE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344" w:type="dxa"/>
            <w:vAlign w:val="top"/>
          </w:tcPr>
          <w:p w14:paraId="10B8B45E">
            <w:pPr>
              <w:rPr>
                <w:rFonts w:ascii="Arial"/>
                <w:color w:val="auto"/>
                <w:sz w:val="21"/>
                <w:highlight w:val="none"/>
              </w:rPr>
            </w:pPr>
          </w:p>
          <w:p w14:paraId="7780000D">
            <w:pPr>
              <w:pStyle w:val="17"/>
              <w:spacing w:before="69" w:line="219" w:lineRule="auto"/>
              <w:ind w:left="121"/>
              <w:rPr>
                <w:color w:val="auto"/>
                <w:highlight w:val="none"/>
              </w:rPr>
            </w:pPr>
            <w:r>
              <w:rPr>
                <w:color w:val="auto"/>
                <w:spacing w:val="-2"/>
                <w:highlight w:val="none"/>
              </w:rPr>
              <w:t>（8）法律法规或投标人须知前附表规定的其他情形。</w:t>
            </w:r>
          </w:p>
        </w:tc>
        <w:tc>
          <w:tcPr>
            <w:tcW w:w="3948" w:type="dxa"/>
            <w:vAlign w:val="top"/>
          </w:tcPr>
          <w:p w14:paraId="67CCD12B">
            <w:pPr>
              <w:rPr>
                <w:rFonts w:ascii="Arial"/>
                <w:color w:val="auto"/>
                <w:sz w:val="21"/>
                <w:highlight w:val="none"/>
              </w:rPr>
            </w:pPr>
          </w:p>
        </w:tc>
      </w:tr>
    </w:tbl>
    <w:p w14:paraId="0BF425CB">
      <w:pPr>
        <w:spacing w:before="4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3CC10FB8">
      <w:pPr>
        <w:spacing w:before="56" w:line="247" w:lineRule="auto"/>
        <w:ind w:left="1440" w:right="1415" w:hanging="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1.投标人应按照招标文件第二章“投标人须知”前附表附录</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4</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和“投标人须知”第</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1.4.4</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条款号中</w:t>
      </w:r>
      <w:r>
        <w:rPr>
          <w:rFonts w:ascii="宋体" w:hAnsi="宋体" w:eastAsia="宋体" w:cs="宋体"/>
          <w:color w:val="auto"/>
          <w:spacing w:val="-4"/>
          <w:sz w:val="21"/>
          <w:szCs w:val="21"/>
          <w:highlight w:val="none"/>
        </w:rPr>
        <w:t>的各项规定，逐条说明其信誉情况。</w:t>
      </w:r>
    </w:p>
    <w:p w14:paraId="33FB1C93">
      <w:pPr>
        <w:spacing w:before="62" w:line="219" w:lineRule="auto"/>
        <w:ind w:left="1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2.投标人应根据招标文件第二章“投标人须知”第</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2"/>
          <w:sz w:val="21"/>
          <w:szCs w:val="21"/>
          <w:highlight w:val="none"/>
        </w:rPr>
        <w:t>.5.4</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项的要求在本表后附相关证明材料。</w:t>
      </w:r>
    </w:p>
    <w:p w14:paraId="15E40032">
      <w:pPr>
        <w:spacing w:before="64" w:line="220" w:lineRule="auto"/>
        <w:ind w:left="1428"/>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3.以联合体形式投标的，联合体各成员应分别填写。</w:t>
      </w:r>
    </w:p>
    <w:p w14:paraId="6456BE5F">
      <w:pPr>
        <w:pStyle w:val="3"/>
        <w:spacing w:line="268" w:lineRule="auto"/>
        <w:rPr>
          <w:color w:val="auto"/>
          <w:highlight w:val="none"/>
        </w:rPr>
      </w:pPr>
    </w:p>
    <w:p w14:paraId="44C0DA06">
      <w:pPr>
        <w:pStyle w:val="3"/>
        <w:spacing w:line="269" w:lineRule="auto"/>
        <w:rPr>
          <w:color w:val="auto"/>
          <w:highlight w:val="none"/>
        </w:rPr>
      </w:pPr>
    </w:p>
    <w:p w14:paraId="2E09CCEE">
      <w:pPr>
        <w:pStyle w:val="3"/>
        <w:spacing w:line="269" w:lineRule="auto"/>
        <w:rPr>
          <w:color w:val="auto"/>
          <w:highlight w:val="none"/>
        </w:rPr>
      </w:pPr>
    </w:p>
    <w:p w14:paraId="2BE837B1">
      <w:pPr>
        <w:pStyle w:val="3"/>
        <w:spacing w:line="269" w:lineRule="auto"/>
        <w:rPr>
          <w:color w:val="auto"/>
          <w:highlight w:val="none"/>
        </w:rPr>
      </w:pPr>
    </w:p>
    <w:p w14:paraId="490BFFF6">
      <w:pPr>
        <w:pStyle w:val="3"/>
        <w:spacing w:line="269" w:lineRule="auto"/>
        <w:rPr>
          <w:color w:val="auto"/>
          <w:highlight w:val="none"/>
        </w:rPr>
      </w:pPr>
    </w:p>
    <w:p w14:paraId="386075BE">
      <w:pPr>
        <w:pStyle w:val="3"/>
        <w:spacing w:line="269" w:lineRule="auto"/>
        <w:rPr>
          <w:color w:val="auto"/>
          <w:highlight w:val="none"/>
        </w:rPr>
      </w:pPr>
    </w:p>
    <w:p w14:paraId="21C456DC">
      <w:pPr>
        <w:pStyle w:val="3"/>
        <w:spacing w:line="269" w:lineRule="auto"/>
        <w:rPr>
          <w:color w:val="auto"/>
          <w:highlight w:val="none"/>
        </w:rPr>
      </w:pPr>
    </w:p>
    <w:p w14:paraId="5BF4A770">
      <w:pPr>
        <w:spacing w:line="217" w:lineRule="auto"/>
        <w:rPr>
          <w:rFonts w:ascii="宋体" w:hAnsi="宋体" w:eastAsia="宋体" w:cs="宋体"/>
          <w:color w:val="auto"/>
          <w:sz w:val="18"/>
          <w:szCs w:val="18"/>
          <w:highlight w:val="none"/>
        </w:rPr>
        <w:sectPr>
          <w:headerReference r:id="rId192" w:type="default"/>
          <w:footerReference r:id="rId193" w:type="default"/>
          <w:footnotePr>
            <w:numFmt w:val="decimalEnclosedCircleChinese"/>
            <w:numRestart w:val="eachPage"/>
          </w:footnotePr>
          <w:pgSz w:w="11905" w:h="16840"/>
          <w:pgMar w:top="1182" w:right="0" w:bottom="1171" w:left="0" w:header="849" w:footer="937" w:gutter="0"/>
          <w:pgNumType w:fmt="decimal"/>
          <w:cols w:space="720" w:num="1"/>
        </w:sectPr>
      </w:pPr>
    </w:p>
    <w:p w14:paraId="61C41E75">
      <w:pPr>
        <w:pStyle w:val="3"/>
        <w:spacing w:line="315" w:lineRule="auto"/>
        <w:rPr>
          <w:color w:val="auto"/>
          <w:highlight w:val="none"/>
        </w:rPr>
      </w:pPr>
    </w:p>
    <w:p w14:paraId="6EED6AC3">
      <w:pPr>
        <w:spacing w:before="88" w:line="226" w:lineRule="auto"/>
        <w:ind w:left="2322"/>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（六）拟委任的项目经理和项目总工等主要管理人员情况表</w:t>
      </w:r>
    </w:p>
    <w:p w14:paraId="7CA6AD0A">
      <w:pPr>
        <w:spacing w:before="293" w:line="226" w:lineRule="auto"/>
        <w:ind w:left="2146"/>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（六）-1</w:t>
      </w:r>
      <w:r>
        <w:rPr>
          <w:rFonts w:ascii="宋体" w:hAnsi="宋体" w:eastAsia="宋体" w:cs="宋体"/>
          <w:color w:val="auto"/>
          <w:spacing w:val="-54"/>
          <w:sz w:val="27"/>
          <w:szCs w:val="27"/>
          <w:highlight w:val="none"/>
        </w:rPr>
        <w:t xml:space="preserve"> </w:t>
      </w:r>
      <w:r>
        <w:rPr>
          <w:rFonts w:ascii="宋体" w:hAnsi="宋体" w:eastAsia="宋体" w:cs="宋体"/>
          <w:b/>
          <w:bCs/>
          <w:color w:val="auto"/>
          <w:spacing w:val="7"/>
          <w:sz w:val="27"/>
          <w:szCs w:val="27"/>
          <w:highlight w:val="none"/>
        </w:rPr>
        <w:t>拟委任的项目经理和项目总工等</w:t>
      </w:r>
      <w:r>
        <w:rPr>
          <w:rFonts w:ascii="宋体" w:hAnsi="宋体" w:eastAsia="宋体" w:cs="宋体"/>
          <w:b/>
          <w:bCs/>
          <w:color w:val="auto"/>
          <w:spacing w:val="6"/>
          <w:sz w:val="27"/>
          <w:szCs w:val="27"/>
          <w:highlight w:val="none"/>
        </w:rPr>
        <w:t>主要管理人员汇总表</w:t>
      </w:r>
    </w:p>
    <w:p w14:paraId="4E1C42D8">
      <w:pPr>
        <w:spacing w:before="37"/>
        <w:rPr>
          <w:color w:val="auto"/>
          <w:highlight w:val="none"/>
        </w:rPr>
      </w:pPr>
    </w:p>
    <w:tbl>
      <w:tblPr>
        <w:tblStyle w:val="16"/>
        <w:tblW w:w="9358" w:type="dxa"/>
        <w:tblInd w:w="12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2"/>
        <w:gridCol w:w="945"/>
        <w:gridCol w:w="1484"/>
        <w:gridCol w:w="1259"/>
        <w:gridCol w:w="1515"/>
        <w:gridCol w:w="1582"/>
        <w:gridCol w:w="1181"/>
      </w:tblGrid>
      <w:tr w14:paraId="4D032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392" w:type="dxa"/>
            <w:vAlign w:val="top"/>
          </w:tcPr>
          <w:p w14:paraId="497372EA">
            <w:pPr>
              <w:spacing w:line="394" w:lineRule="auto"/>
              <w:rPr>
                <w:rFonts w:ascii="Arial"/>
                <w:color w:val="auto"/>
                <w:sz w:val="21"/>
                <w:highlight w:val="none"/>
              </w:rPr>
            </w:pPr>
          </w:p>
          <w:p w14:paraId="0393D0B2">
            <w:pPr>
              <w:pStyle w:val="17"/>
              <w:spacing w:before="69" w:line="220" w:lineRule="auto"/>
              <w:ind w:left="491"/>
              <w:rPr>
                <w:color w:val="auto"/>
                <w:highlight w:val="none"/>
              </w:rPr>
            </w:pPr>
            <w:r>
              <w:rPr>
                <w:color w:val="auto"/>
                <w:spacing w:val="-3"/>
                <w:highlight w:val="none"/>
              </w:rPr>
              <w:t>姓名</w:t>
            </w:r>
          </w:p>
        </w:tc>
        <w:tc>
          <w:tcPr>
            <w:tcW w:w="945" w:type="dxa"/>
            <w:vAlign w:val="top"/>
          </w:tcPr>
          <w:p w14:paraId="0F08EE6E">
            <w:pPr>
              <w:spacing w:line="394" w:lineRule="auto"/>
              <w:rPr>
                <w:rFonts w:ascii="Arial"/>
                <w:color w:val="auto"/>
                <w:sz w:val="21"/>
                <w:highlight w:val="none"/>
              </w:rPr>
            </w:pPr>
          </w:p>
          <w:p w14:paraId="65597818">
            <w:pPr>
              <w:pStyle w:val="17"/>
              <w:spacing w:before="69" w:line="220" w:lineRule="auto"/>
              <w:ind w:left="266"/>
              <w:rPr>
                <w:color w:val="auto"/>
                <w:highlight w:val="none"/>
              </w:rPr>
            </w:pPr>
            <w:r>
              <w:rPr>
                <w:color w:val="auto"/>
                <w:spacing w:val="-3"/>
                <w:highlight w:val="none"/>
              </w:rPr>
              <w:t>年龄</w:t>
            </w:r>
          </w:p>
        </w:tc>
        <w:tc>
          <w:tcPr>
            <w:tcW w:w="1484" w:type="dxa"/>
            <w:vAlign w:val="top"/>
          </w:tcPr>
          <w:p w14:paraId="6A26CBD8">
            <w:pPr>
              <w:spacing w:line="241" w:lineRule="auto"/>
              <w:rPr>
                <w:rFonts w:ascii="Arial"/>
                <w:color w:val="auto"/>
                <w:sz w:val="21"/>
                <w:highlight w:val="none"/>
              </w:rPr>
            </w:pPr>
          </w:p>
          <w:p w14:paraId="3B9ADCBD">
            <w:pPr>
              <w:pStyle w:val="17"/>
              <w:spacing w:before="68" w:line="276" w:lineRule="auto"/>
              <w:ind w:left="221" w:right="110" w:hanging="105"/>
              <w:rPr>
                <w:color w:val="auto"/>
                <w:highlight w:val="none"/>
              </w:rPr>
            </w:pPr>
            <w:r>
              <w:rPr>
                <w:color w:val="auto"/>
                <w:spacing w:val="-2"/>
                <w:highlight w:val="none"/>
              </w:rPr>
              <w:t>拟在本项目中担任的职务</w:t>
            </w:r>
          </w:p>
        </w:tc>
        <w:tc>
          <w:tcPr>
            <w:tcW w:w="1259" w:type="dxa"/>
            <w:vAlign w:val="top"/>
          </w:tcPr>
          <w:p w14:paraId="247DD414">
            <w:pPr>
              <w:spacing w:line="394" w:lineRule="auto"/>
              <w:rPr>
                <w:rFonts w:ascii="Arial"/>
                <w:color w:val="auto"/>
                <w:sz w:val="21"/>
                <w:highlight w:val="none"/>
              </w:rPr>
            </w:pPr>
          </w:p>
          <w:p w14:paraId="128F1F5B">
            <w:pPr>
              <w:pStyle w:val="17"/>
              <w:spacing w:before="69" w:line="220" w:lineRule="auto"/>
              <w:ind w:left="216"/>
              <w:rPr>
                <w:color w:val="auto"/>
                <w:highlight w:val="none"/>
              </w:rPr>
            </w:pPr>
            <w:r>
              <w:rPr>
                <w:color w:val="auto"/>
                <w:spacing w:val="-2"/>
                <w:highlight w:val="none"/>
              </w:rPr>
              <w:t>技术职称</w:t>
            </w:r>
          </w:p>
        </w:tc>
        <w:tc>
          <w:tcPr>
            <w:tcW w:w="1515" w:type="dxa"/>
            <w:vAlign w:val="top"/>
          </w:tcPr>
          <w:p w14:paraId="4B65ECA5">
            <w:pPr>
              <w:rPr>
                <w:rFonts w:ascii="Arial"/>
                <w:color w:val="auto"/>
                <w:sz w:val="21"/>
                <w:highlight w:val="none"/>
              </w:rPr>
            </w:pPr>
          </w:p>
          <w:p w14:paraId="266F04D8">
            <w:pPr>
              <w:pStyle w:val="17"/>
              <w:spacing w:before="68" w:line="277" w:lineRule="auto"/>
              <w:ind w:left="447" w:right="124" w:hanging="311"/>
              <w:rPr>
                <w:color w:val="auto"/>
                <w:highlight w:val="none"/>
              </w:rPr>
            </w:pPr>
            <w:r>
              <w:rPr>
                <w:color w:val="auto"/>
                <w:spacing w:val="-2"/>
                <w:highlight w:val="none"/>
              </w:rPr>
              <w:t>建造师类别及注册号</w:t>
            </w:r>
          </w:p>
        </w:tc>
        <w:tc>
          <w:tcPr>
            <w:tcW w:w="1582" w:type="dxa"/>
            <w:vAlign w:val="top"/>
          </w:tcPr>
          <w:p w14:paraId="3EC4DB86">
            <w:pPr>
              <w:pStyle w:val="17"/>
              <w:spacing w:before="154" w:line="220" w:lineRule="auto"/>
              <w:ind w:left="175"/>
              <w:rPr>
                <w:color w:val="auto"/>
                <w:highlight w:val="none"/>
              </w:rPr>
            </w:pPr>
            <w:r>
              <w:rPr>
                <w:color w:val="auto"/>
                <w:spacing w:val="-3"/>
                <w:highlight w:val="none"/>
              </w:rPr>
              <w:t>累计对应岗位</w:t>
            </w:r>
          </w:p>
          <w:p w14:paraId="68D5FD69">
            <w:pPr>
              <w:pStyle w:val="17"/>
              <w:spacing w:before="60" w:line="220" w:lineRule="auto"/>
              <w:ind w:left="289"/>
              <w:rPr>
                <w:color w:val="auto"/>
                <w:highlight w:val="none"/>
              </w:rPr>
            </w:pPr>
            <w:r>
              <w:rPr>
                <w:color w:val="auto"/>
                <w:spacing w:val="-5"/>
                <w:highlight w:val="none"/>
              </w:rPr>
              <w:t>的工作年限</w:t>
            </w:r>
          </w:p>
          <w:p w14:paraId="112BD230">
            <w:pPr>
              <w:pStyle w:val="17"/>
              <w:spacing w:before="61" w:line="220" w:lineRule="auto"/>
              <w:ind w:left="487"/>
              <w:rPr>
                <w:color w:val="auto"/>
                <w:highlight w:val="none"/>
              </w:rPr>
            </w:pPr>
            <w:r>
              <w:rPr>
                <w:color w:val="auto"/>
                <w:spacing w:val="-7"/>
                <w:highlight w:val="none"/>
              </w:rPr>
              <w:t>（月）</w:t>
            </w:r>
          </w:p>
        </w:tc>
        <w:tc>
          <w:tcPr>
            <w:tcW w:w="1181" w:type="dxa"/>
            <w:vAlign w:val="top"/>
          </w:tcPr>
          <w:p w14:paraId="28D9620B">
            <w:pPr>
              <w:spacing w:line="395" w:lineRule="auto"/>
              <w:rPr>
                <w:rFonts w:ascii="Arial"/>
                <w:color w:val="auto"/>
                <w:sz w:val="21"/>
                <w:highlight w:val="none"/>
              </w:rPr>
            </w:pPr>
          </w:p>
          <w:p w14:paraId="396F5B1A">
            <w:pPr>
              <w:pStyle w:val="17"/>
              <w:spacing w:before="68" w:line="221" w:lineRule="auto"/>
              <w:ind w:left="388"/>
              <w:rPr>
                <w:color w:val="auto"/>
                <w:highlight w:val="none"/>
              </w:rPr>
            </w:pPr>
            <w:r>
              <w:rPr>
                <w:color w:val="auto"/>
                <w:spacing w:val="-3"/>
                <w:highlight w:val="none"/>
              </w:rPr>
              <w:t>备注</w:t>
            </w:r>
          </w:p>
        </w:tc>
      </w:tr>
      <w:tr w14:paraId="6F48F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392" w:type="dxa"/>
            <w:vAlign w:val="top"/>
          </w:tcPr>
          <w:p w14:paraId="314B5B15">
            <w:pPr>
              <w:rPr>
                <w:rFonts w:ascii="Arial"/>
                <w:color w:val="auto"/>
                <w:sz w:val="21"/>
                <w:highlight w:val="none"/>
              </w:rPr>
            </w:pPr>
          </w:p>
        </w:tc>
        <w:tc>
          <w:tcPr>
            <w:tcW w:w="945" w:type="dxa"/>
            <w:vAlign w:val="top"/>
          </w:tcPr>
          <w:p w14:paraId="34F9F652">
            <w:pPr>
              <w:rPr>
                <w:rFonts w:ascii="Arial"/>
                <w:color w:val="auto"/>
                <w:sz w:val="21"/>
                <w:highlight w:val="none"/>
              </w:rPr>
            </w:pPr>
          </w:p>
        </w:tc>
        <w:tc>
          <w:tcPr>
            <w:tcW w:w="1484" w:type="dxa"/>
            <w:vAlign w:val="top"/>
          </w:tcPr>
          <w:p w14:paraId="3ABA7678">
            <w:pPr>
              <w:rPr>
                <w:rFonts w:ascii="Arial"/>
                <w:color w:val="auto"/>
                <w:sz w:val="21"/>
                <w:highlight w:val="none"/>
              </w:rPr>
            </w:pPr>
          </w:p>
        </w:tc>
        <w:tc>
          <w:tcPr>
            <w:tcW w:w="1259" w:type="dxa"/>
            <w:vAlign w:val="top"/>
          </w:tcPr>
          <w:p w14:paraId="1FE4B61D">
            <w:pPr>
              <w:rPr>
                <w:rFonts w:ascii="Arial"/>
                <w:color w:val="auto"/>
                <w:sz w:val="21"/>
                <w:highlight w:val="none"/>
              </w:rPr>
            </w:pPr>
          </w:p>
        </w:tc>
        <w:tc>
          <w:tcPr>
            <w:tcW w:w="1515" w:type="dxa"/>
            <w:vAlign w:val="top"/>
          </w:tcPr>
          <w:p w14:paraId="260D617A">
            <w:pPr>
              <w:rPr>
                <w:rFonts w:ascii="Arial"/>
                <w:color w:val="auto"/>
                <w:sz w:val="21"/>
                <w:highlight w:val="none"/>
              </w:rPr>
            </w:pPr>
          </w:p>
        </w:tc>
        <w:tc>
          <w:tcPr>
            <w:tcW w:w="1582" w:type="dxa"/>
            <w:vAlign w:val="top"/>
          </w:tcPr>
          <w:p w14:paraId="15A4E19D">
            <w:pPr>
              <w:rPr>
                <w:rFonts w:ascii="Arial"/>
                <w:color w:val="auto"/>
                <w:sz w:val="21"/>
                <w:highlight w:val="none"/>
              </w:rPr>
            </w:pPr>
          </w:p>
        </w:tc>
        <w:tc>
          <w:tcPr>
            <w:tcW w:w="1181" w:type="dxa"/>
            <w:vAlign w:val="top"/>
          </w:tcPr>
          <w:p w14:paraId="2AF7547C">
            <w:pPr>
              <w:rPr>
                <w:rFonts w:ascii="Arial"/>
                <w:color w:val="auto"/>
                <w:sz w:val="21"/>
                <w:highlight w:val="none"/>
              </w:rPr>
            </w:pPr>
          </w:p>
        </w:tc>
      </w:tr>
      <w:tr w14:paraId="2EFC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392" w:type="dxa"/>
            <w:vAlign w:val="top"/>
          </w:tcPr>
          <w:p w14:paraId="28483868">
            <w:pPr>
              <w:rPr>
                <w:rFonts w:ascii="Arial"/>
                <w:color w:val="auto"/>
                <w:sz w:val="21"/>
                <w:highlight w:val="none"/>
              </w:rPr>
            </w:pPr>
          </w:p>
        </w:tc>
        <w:tc>
          <w:tcPr>
            <w:tcW w:w="945" w:type="dxa"/>
            <w:vAlign w:val="top"/>
          </w:tcPr>
          <w:p w14:paraId="6FED75CF">
            <w:pPr>
              <w:rPr>
                <w:rFonts w:ascii="Arial"/>
                <w:color w:val="auto"/>
                <w:sz w:val="21"/>
                <w:highlight w:val="none"/>
              </w:rPr>
            </w:pPr>
          </w:p>
        </w:tc>
        <w:tc>
          <w:tcPr>
            <w:tcW w:w="1484" w:type="dxa"/>
            <w:vAlign w:val="top"/>
          </w:tcPr>
          <w:p w14:paraId="29B44A63">
            <w:pPr>
              <w:rPr>
                <w:rFonts w:ascii="Arial"/>
                <w:color w:val="auto"/>
                <w:sz w:val="21"/>
                <w:highlight w:val="none"/>
              </w:rPr>
            </w:pPr>
          </w:p>
        </w:tc>
        <w:tc>
          <w:tcPr>
            <w:tcW w:w="1259" w:type="dxa"/>
            <w:vAlign w:val="top"/>
          </w:tcPr>
          <w:p w14:paraId="2524C514">
            <w:pPr>
              <w:rPr>
                <w:rFonts w:ascii="Arial"/>
                <w:color w:val="auto"/>
                <w:sz w:val="21"/>
                <w:highlight w:val="none"/>
              </w:rPr>
            </w:pPr>
          </w:p>
        </w:tc>
        <w:tc>
          <w:tcPr>
            <w:tcW w:w="1515" w:type="dxa"/>
            <w:vAlign w:val="top"/>
          </w:tcPr>
          <w:p w14:paraId="7831EE20">
            <w:pPr>
              <w:rPr>
                <w:rFonts w:ascii="Arial"/>
                <w:color w:val="auto"/>
                <w:sz w:val="21"/>
                <w:highlight w:val="none"/>
              </w:rPr>
            </w:pPr>
          </w:p>
        </w:tc>
        <w:tc>
          <w:tcPr>
            <w:tcW w:w="1582" w:type="dxa"/>
            <w:vAlign w:val="top"/>
          </w:tcPr>
          <w:p w14:paraId="255B88B6">
            <w:pPr>
              <w:rPr>
                <w:rFonts w:ascii="Arial"/>
                <w:color w:val="auto"/>
                <w:sz w:val="21"/>
                <w:highlight w:val="none"/>
              </w:rPr>
            </w:pPr>
          </w:p>
        </w:tc>
        <w:tc>
          <w:tcPr>
            <w:tcW w:w="1181" w:type="dxa"/>
            <w:vAlign w:val="top"/>
          </w:tcPr>
          <w:p w14:paraId="3CAD1E2D">
            <w:pPr>
              <w:rPr>
                <w:rFonts w:ascii="Arial"/>
                <w:color w:val="auto"/>
                <w:sz w:val="21"/>
                <w:highlight w:val="none"/>
              </w:rPr>
            </w:pPr>
          </w:p>
        </w:tc>
      </w:tr>
      <w:tr w14:paraId="5CC01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392" w:type="dxa"/>
            <w:vAlign w:val="top"/>
          </w:tcPr>
          <w:p w14:paraId="079B7FBC">
            <w:pPr>
              <w:rPr>
                <w:rFonts w:ascii="Arial"/>
                <w:color w:val="auto"/>
                <w:sz w:val="21"/>
                <w:highlight w:val="none"/>
              </w:rPr>
            </w:pPr>
          </w:p>
        </w:tc>
        <w:tc>
          <w:tcPr>
            <w:tcW w:w="945" w:type="dxa"/>
            <w:vAlign w:val="top"/>
          </w:tcPr>
          <w:p w14:paraId="3BDCDD3F">
            <w:pPr>
              <w:rPr>
                <w:rFonts w:ascii="Arial"/>
                <w:color w:val="auto"/>
                <w:sz w:val="21"/>
                <w:highlight w:val="none"/>
              </w:rPr>
            </w:pPr>
          </w:p>
        </w:tc>
        <w:tc>
          <w:tcPr>
            <w:tcW w:w="1484" w:type="dxa"/>
            <w:vAlign w:val="top"/>
          </w:tcPr>
          <w:p w14:paraId="4818C923">
            <w:pPr>
              <w:rPr>
                <w:rFonts w:ascii="Arial"/>
                <w:color w:val="auto"/>
                <w:sz w:val="21"/>
                <w:highlight w:val="none"/>
              </w:rPr>
            </w:pPr>
          </w:p>
        </w:tc>
        <w:tc>
          <w:tcPr>
            <w:tcW w:w="1259" w:type="dxa"/>
            <w:vAlign w:val="top"/>
          </w:tcPr>
          <w:p w14:paraId="52FBE063">
            <w:pPr>
              <w:rPr>
                <w:rFonts w:ascii="Arial"/>
                <w:color w:val="auto"/>
                <w:sz w:val="21"/>
                <w:highlight w:val="none"/>
              </w:rPr>
            </w:pPr>
          </w:p>
        </w:tc>
        <w:tc>
          <w:tcPr>
            <w:tcW w:w="1515" w:type="dxa"/>
            <w:vAlign w:val="top"/>
          </w:tcPr>
          <w:p w14:paraId="0813EB0D">
            <w:pPr>
              <w:rPr>
                <w:rFonts w:ascii="Arial"/>
                <w:color w:val="auto"/>
                <w:sz w:val="21"/>
                <w:highlight w:val="none"/>
              </w:rPr>
            </w:pPr>
          </w:p>
        </w:tc>
        <w:tc>
          <w:tcPr>
            <w:tcW w:w="1582" w:type="dxa"/>
            <w:vAlign w:val="top"/>
          </w:tcPr>
          <w:p w14:paraId="763A18D0">
            <w:pPr>
              <w:rPr>
                <w:rFonts w:ascii="Arial"/>
                <w:color w:val="auto"/>
                <w:sz w:val="21"/>
                <w:highlight w:val="none"/>
              </w:rPr>
            </w:pPr>
          </w:p>
        </w:tc>
        <w:tc>
          <w:tcPr>
            <w:tcW w:w="1181" w:type="dxa"/>
            <w:vAlign w:val="top"/>
          </w:tcPr>
          <w:p w14:paraId="0BEE1557">
            <w:pPr>
              <w:rPr>
                <w:rFonts w:ascii="Arial"/>
                <w:color w:val="auto"/>
                <w:sz w:val="21"/>
                <w:highlight w:val="none"/>
              </w:rPr>
            </w:pPr>
          </w:p>
        </w:tc>
      </w:tr>
      <w:tr w14:paraId="5B50F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392" w:type="dxa"/>
            <w:vAlign w:val="top"/>
          </w:tcPr>
          <w:p w14:paraId="50A96E04">
            <w:pPr>
              <w:rPr>
                <w:rFonts w:ascii="Arial"/>
                <w:color w:val="auto"/>
                <w:sz w:val="21"/>
                <w:highlight w:val="none"/>
              </w:rPr>
            </w:pPr>
          </w:p>
        </w:tc>
        <w:tc>
          <w:tcPr>
            <w:tcW w:w="945" w:type="dxa"/>
            <w:vAlign w:val="top"/>
          </w:tcPr>
          <w:p w14:paraId="4270ACA8">
            <w:pPr>
              <w:rPr>
                <w:rFonts w:ascii="Arial"/>
                <w:color w:val="auto"/>
                <w:sz w:val="21"/>
                <w:highlight w:val="none"/>
              </w:rPr>
            </w:pPr>
          </w:p>
        </w:tc>
        <w:tc>
          <w:tcPr>
            <w:tcW w:w="1484" w:type="dxa"/>
            <w:vAlign w:val="top"/>
          </w:tcPr>
          <w:p w14:paraId="5FF9F265">
            <w:pPr>
              <w:rPr>
                <w:rFonts w:ascii="Arial"/>
                <w:color w:val="auto"/>
                <w:sz w:val="21"/>
                <w:highlight w:val="none"/>
              </w:rPr>
            </w:pPr>
          </w:p>
        </w:tc>
        <w:tc>
          <w:tcPr>
            <w:tcW w:w="1259" w:type="dxa"/>
            <w:vAlign w:val="top"/>
          </w:tcPr>
          <w:p w14:paraId="46FE1326">
            <w:pPr>
              <w:rPr>
                <w:rFonts w:ascii="Arial"/>
                <w:color w:val="auto"/>
                <w:sz w:val="21"/>
                <w:highlight w:val="none"/>
              </w:rPr>
            </w:pPr>
          </w:p>
        </w:tc>
        <w:tc>
          <w:tcPr>
            <w:tcW w:w="1515" w:type="dxa"/>
            <w:vAlign w:val="top"/>
          </w:tcPr>
          <w:p w14:paraId="55D6BF33">
            <w:pPr>
              <w:rPr>
                <w:rFonts w:ascii="Arial"/>
                <w:color w:val="auto"/>
                <w:sz w:val="21"/>
                <w:highlight w:val="none"/>
              </w:rPr>
            </w:pPr>
          </w:p>
        </w:tc>
        <w:tc>
          <w:tcPr>
            <w:tcW w:w="1582" w:type="dxa"/>
            <w:vAlign w:val="top"/>
          </w:tcPr>
          <w:p w14:paraId="35AA8267">
            <w:pPr>
              <w:rPr>
                <w:rFonts w:ascii="Arial"/>
                <w:color w:val="auto"/>
                <w:sz w:val="21"/>
                <w:highlight w:val="none"/>
              </w:rPr>
            </w:pPr>
          </w:p>
        </w:tc>
        <w:tc>
          <w:tcPr>
            <w:tcW w:w="1181" w:type="dxa"/>
            <w:vAlign w:val="top"/>
          </w:tcPr>
          <w:p w14:paraId="3F5E8917">
            <w:pPr>
              <w:rPr>
                <w:rFonts w:ascii="Arial"/>
                <w:color w:val="auto"/>
                <w:sz w:val="21"/>
                <w:highlight w:val="none"/>
              </w:rPr>
            </w:pPr>
          </w:p>
        </w:tc>
      </w:tr>
    </w:tbl>
    <w:p w14:paraId="1FABA457">
      <w:pPr>
        <w:pStyle w:val="3"/>
        <w:rPr>
          <w:color w:val="auto"/>
          <w:highlight w:val="none"/>
        </w:rPr>
      </w:pPr>
    </w:p>
    <w:p w14:paraId="37CCC8A6">
      <w:pPr>
        <w:rPr>
          <w:color w:val="auto"/>
          <w:highlight w:val="none"/>
        </w:rPr>
        <w:sectPr>
          <w:headerReference r:id="rId194" w:type="default"/>
          <w:footerReference r:id="rId195" w:type="default"/>
          <w:pgSz w:w="11905" w:h="16840"/>
          <w:pgMar w:top="1182" w:right="0" w:bottom="1171" w:left="0" w:header="849" w:footer="937" w:gutter="0"/>
          <w:pgNumType w:fmt="decimal"/>
          <w:cols w:space="720" w:num="1"/>
        </w:sectPr>
      </w:pPr>
    </w:p>
    <w:p w14:paraId="457BEC76">
      <w:pPr>
        <w:pStyle w:val="3"/>
        <w:spacing w:line="315" w:lineRule="auto"/>
        <w:rPr>
          <w:color w:val="auto"/>
          <w:highlight w:val="none"/>
        </w:rPr>
      </w:pPr>
    </w:p>
    <w:p w14:paraId="7F089B04">
      <w:pPr>
        <w:spacing w:before="88" w:line="226" w:lineRule="auto"/>
        <w:ind w:left="2146"/>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（六）-2</w:t>
      </w:r>
      <w:r>
        <w:rPr>
          <w:rFonts w:ascii="宋体" w:hAnsi="宋体" w:eastAsia="宋体" w:cs="宋体"/>
          <w:color w:val="auto"/>
          <w:spacing w:val="-54"/>
          <w:sz w:val="27"/>
          <w:szCs w:val="27"/>
          <w:highlight w:val="none"/>
        </w:rPr>
        <w:t xml:space="preserve"> </w:t>
      </w:r>
      <w:r>
        <w:rPr>
          <w:rFonts w:ascii="宋体" w:hAnsi="宋体" w:eastAsia="宋体" w:cs="宋体"/>
          <w:b/>
          <w:bCs/>
          <w:color w:val="auto"/>
          <w:spacing w:val="7"/>
          <w:sz w:val="27"/>
          <w:szCs w:val="27"/>
          <w:highlight w:val="none"/>
        </w:rPr>
        <w:t>拟委任的项目经理和项目总工等</w:t>
      </w:r>
      <w:r>
        <w:rPr>
          <w:rFonts w:ascii="宋体" w:hAnsi="宋体" w:eastAsia="宋体" w:cs="宋体"/>
          <w:b/>
          <w:bCs/>
          <w:color w:val="auto"/>
          <w:spacing w:val="6"/>
          <w:sz w:val="27"/>
          <w:szCs w:val="27"/>
          <w:highlight w:val="none"/>
        </w:rPr>
        <w:t>主要管理人员资历表</w:t>
      </w:r>
    </w:p>
    <w:p w14:paraId="44F75AC6">
      <w:pPr>
        <w:spacing w:before="37"/>
        <w:rPr>
          <w:color w:val="auto"/>
          <w:highlight w:val="none"/>
        </w:rPr>
      </w:pPr>
    </w:p>
    <w:tbl>
      <w:tblPr>
        <w:tblStyle w:val="16"/>
        <w:tblW w:w="9299" w:type="dxa"/>
        <w:tblInd w:w="1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15458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9" w:type="dxa"/>
            <w:vAlign w:val="top"/>
          </w:tcPr>
          <w:p w14:paraId="74B8EB47">
            <w:pPr>
              <w:pStyle w:val="17"/>
              <w:spacing w:before="225" w:line="220" w:lineRule="auto"/>
              <w:ind w:left="484"/>
              <w:rPr>
                <w:color w:val="auto"/>
                <w:highlight w:val="none"/>
              </w:rPr>
            </w:pPr>
            <w:r>
              <w:rPr>
                <w:color w:val="auto"/>
                <w:spacing w:val="-3"/>
                <w:highlight w:val="none"/>
              </w:rPr>
              <w:t>姓名</w:t>
            </w:r>
          </w:p>
        </w:tc>
        <w:tc>
          <w:tcPr>
            <w:tcW w:w="1199" w:type="dxa"/>
            <w:vAlign w:val="top"/>
          </w:tcPr>
          <w:p w14:paraId="21AF3EC1">
            <w:pPr>
              <w:rPr>
                <w:rFonts w:ascii="Arial"/>
                <w:color w:val="auto"/>
                <w:sz w:val="21"/>
                <w:highlight w:val="none"/>
              </w:rPr>
            </w:pPr>
          </w:p>
        </w:tc>
        <w:tc>
          <w:tcPr>
            <w:tcW w:w="1649" w:type="dxa"/>
            <w:vAlign w:val="top"/>
          </w:tcPr>
          <w:p w14:paraId="145CCFB8">
            <w:pPr>
              <w:pStyle w:val="17"/>
              <w:spacing w:before="225" w:line="220" w:lineRule="auto"/>
              <w:ind w:left="620"/>
              <w:rPr>
                <w:color w:val="auto"/>
                <w:highlight w:val="none"/>
              </w:rPr>
            </w:pPr>
            <w:r>
              <w:rPr>
                <w:color w:val="auto"/>
                <w:spacing w:val="-3"/>
                <w:highlight w:val="none"/>
              </w:rPr>
              <w:t>年龄</w:t>
            </w:r>
          </w:p>
        </w:tc>
        <w:tc>
          <w:tcPr>
            <w:tcW w:w="1463" w:type="dxa"/>
            <w:vAlign w:val="top"/>
          </w:tcPr>
          <w:p w14:paraId="48E72E2D">
            <w:pPr>
              <w:rPr>
                <w:rFonts w:ascii="Arial"/>
                <w:color w:val="auto"/>
                <w:sz w:val="21"/>
                <w:highlight w:val="none"/>
              </w:rPr>
            </w:pPr>
          </w:p>
        </w:tc>
        <w:tc>
          <w:tcPr>
            <w:tcW w:w="1775" w:type="dxa"/>
            <w:vAlign w:val="top"/>
          </w:tcPr>
          <w:p w14:paraId="6E4DDD87">
            <w:pPr>
              <w:pStyle w:val="17"/>
              <w:spacing w:before="226" w:line="220" w:lineRule="auto"/>
              <w:ind w:left="684"/>
              <w:rPr>
                <w:color w:val="auto"/>
                <w:highlight w:val="none"/>
              </w:rPr>
            </w:pPr>
            <w:r>
              <w:rPr>
                <w:color w:val="auto"/>
                <w:spacing w:val="-3"/>
                <w:highlight w:val="none"/>
              </w:rPr>
              <w:t>专业</w:t>
            </w:r>
          </w:p>
        </w:tc>
        <w:tc>
          <w:tcPr>
            <w:tcW w:w="1834" w:type="dxa"/>
            <w:vAlign w:val="top"/>
          </w:tcPr>
          <w:p w14:paraId="3745EC2A">
            <w:pPr>
              <w:rPr>
                <w:rFonts w:ascii="Arial"/>
                <w:color w:val="auto"/>
                <w:sz w:val="21"/>
                <w:highlight w:val="none"/>
              </w:rPr>
            </w:pPr>
          </w:p>
        </w:tc>
      </w:tr>
      <w:tr w14:paraId="067C8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3970B6AB">
            <w:pPr>
              <w:spacing w:line="267" w:lineRule="auto"/>
              <w:rPr>
                <w:rFonts w:ascii="Arial"/>
                <w:color w:val="auto"/>
                <w:sz w:val="21"/>
                <w:highlight w:val="none"/>
              </w:rPr>
            </w:pPr>
          </w:p>
          <w:p w14:paraId="57476AE2">
            <w:pPr>
              <w:pStyle w:val="17"/>
              <w:spacing w:before="68" w:line="220" w:lineRule="auto"/>
              <w:ind w:left="275"/>
              <w:rPr>
                <w:color w:val="auto"/>
                <w:highlight w:val="none"/>
              </w:rPr>
            </w:pPr>
            <w:r>
              <w:rPr>
                <w:color w:val="auto"/>
                <w:spacing w:val="-2"/>
                <w:highlight w:val="none"/>
              </w:rPr>
              <w:t>技术职称</w:t>
            </w:r>
          </w:p>
        </w:tc>
        <w:tc>
          <w:tcPr>
            <w:tcW w:w="1199" w:type="dxa"/>
            <w:vAlign w:val="top"/>
          </w:tcPr>
          <w:p w14:paraId="62C9164E">
            <w:pPr>
              <w:rPr>
                <w:rFonts w:ascii="Arial"/>
                <w:color w:val="auto"/>
                <w:sz w:val="21"/>
                <w:highlight w:val="none"/>
              </w:rPr>
            </w:pPr>
          </w:p>
        </w:tc>
        <w:tc>
          <w:tcPr>
            <w:tcW w:w="1649" w:type="dxa"/>
            <w:vAlign w:val="top"/>
          </w:tcPr>
          <w:p w14:paraId="548DB47B">
            <w:pPr>
              <w:spacing w:line="267" w:lineRule="auto"/>
              <w:rPr>
                <w:rFonts w:ascii="Arial"/>
                <w:color w:val="auto"/>
                <w:sz w:val="21"/>
                <w:highlight w:val="none"/>
              </w:rPr>
            </w:pPr>
          </w:p>
          <w:p w14:paraId="44CD312D">
            <w:pPr>
              <w:pStyle w:val="17"/>
              <w:spacing w:before="69" w:line="221" w:lineRule="auto"/>
              <w:ind w:left="623"/>
              <w:rPr>
                <w:color w:val="auto"/>
                <w:highlight w:val="none"/>
              </w:rPr>
            </w:pPr>
            <w:r>
              <w:rPr>
                <w:color w:val="auto"/>
                <w:spacing w:val="-4"/>
                <w:highlight w:val="none"/>
              </w:rPr>
              <w:t>学历</w:t>
            </w:r>
          </w:p>
        </w:tc>
        <w:tc>
          <w:tcPr>
            <w:tcW w:w="1463" w:type="dxa"/>
            <w:vAlign w:val="top"/>
          </w:tcPr>
          <w:p w14:paraId="10000520">
            <w:pPr>
              <w:rPr>
                <w:rFonts w:ascii="Arial"/>
                <w:color w:val="auto"/>
                <w:sz w:val="21"/>
                <w:highlight w:val="none"/>
              </w:rPr>
            </w:pPr>
          </w:p>
        </w:tc>
        <w:tc>
          <w:tcPr>
            <w:tcW w:w="1775" w:type="dxa"/>
            <w:vAlign w:val="top"/>
          </w:tcPr>
          <w:p w14:paraId="2B9DC5D1">
            <w:pPr>
              <w:pStyle w:val="17"/>
              <w:spacing w:before="138" w:line="288" w:lineRule="auto"/>
              <w:ind w:left="475" w:right="358" w:hanging="106"/>
              <w:rPr>
                <w:color w:val="auto"/>
                <w:highlight w:val="none"/>
              </w:rPr>
            </w:pPr>
            <w:r>
              <w:rPr>
                <w:color w:val="auto"/>
                <w:spacing w:val="-2"/>
                <w:highlight w:val="none"/>
              </w:rPr>
              <w:t>拟在本标段</w:t>
            </w:r>
            <w:r>
              <w:rPr>
                <w:color w:val="auto"/>
                <w:spacing w:val="-3"/>
                <w:highlight w:val="none"/>
              </w:rPr>
              <w:t>工程任职</w:t>
            </w:r>
          </w:p>
        </w:tc>
        <w:tc>
          <w:tcPr>
            <w:tcW w:w="1834" w:type="dxa"/>
            <w:vAlign w:val="top"/>
          </w:tcPr>
          <w:p w14:paraId="306AC7E3">
            <w:pPr>
              <w:rPr>
                <w:rFonts w:ascii="Arial"/>
                <w:color w:val="auto"/>
                <w:sz w:val="21"/>
                <w:highlight w:val="none"/>
              </w:rPr>
            </w:pPr>
          </w:p>
        </w:tc>
      </w:tr>
      <w:tr w14:paraId="1E6B4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625BC579">
            <w:pPr>
              <w:spacing w:line="268" w:lineRule="auto"/>
              <w:rPr>
                <w:rFonts w:ascii="Arial"/>
                <w:color w:val="auto"/>
                <w:sz w:val="21"/>
                <w:highlight w:val="none"/>
              </w:rPr>
            </w:pPr>
          </w:p>
          <w:p w14:paraId="6D4B10BC">
            <w:pPr>
              <w:pStyle w:val="17"/>
              <w:spacing w:before="68" w:line="220" w:lineRule="auto"/>
              <w:ind w:left="276"/>
              <w:rPr>
                <w:color w:val="auto"/>
                <w:highlight w:val="none"/>
              </w:rPr>
            </w:pPr>
            <w:r>
              <w:rPr>
                <w:color w:val="auto"/>
                <w:spacing w:val="-3"/>
                <w:highlight w:val="none"/>
              </w:rPr>
              <w:t>工作年限</w:t>
            </w:r>
          </w:p>
        </w:tc>
        <w:tc>
          <w:tcPr>
            <w:tcW w:w="4311" w:type="dxa"/>
            <w:gridSpan w:val="3"/>
            <w:vAlign w:val="top"/>
          </w:tcPr>
          <w:p w14:paraId="488BD881">
            <w:pPr>
              <w:rPr>
                <w:rFonts w:ascii="Arial"/>
                <w:color w:val="auto"/>
                <w:sz w:val="21"/>
                <w:highlight w:val="none"/>
              </w:rPr>
            </w:pPr>
          </w:p>
        </w:tc>
        <w:tc>
          <w:tcPr>
            <w:tcW w:w="1775" w:type="dxa"/>
            <w:vAlign w:val="top"/>
          </w:tcPr>
          <w:p w14:paraId="26761C90">
            <w:pPr>
              <w:pStyle w:val="17"/>
              <w:spacing w:before="138" w:line="288" w:lineRule="auto"/>
              <w:ind w:left="683" w:right="254" w:hanging="420"/>
              <w:rPr>
                <w:color w:val="auto"/>
                <w:highlight w:val="none"/>
              </w:rPr>
            </w:pPr>
            <w:r>
              <w:rPr>
                <w:color w:val="auto"/>
                <w:spacing w:val="-2"/>
                <w:highlight w:val="none"/>
              </w:rPr>
              <w:t>类似施工经验</w:t>
            </w:r>
            <w:r>
              <w:rPr>
                <w:color w:val="auto"/>
                <w:spacing w:val="-3"/>
                <w:highlight w:val="none"/>
              </w:rPr>
              <w:t>年限</w:t>
            </w:r>
          </w:p>
        </w:tc>
        <w:tc>
          <w:tcPr>
            <w:tcW w:w="1834" w:type="dxa"/>
            <w:vAlign w:val="top"/>
          </w:tcPr>
          <w:p w14:paraId="4701042D">
            <w:pPr>
              <w:rPr>
                <w:rFonts w:ascii="Arial"/>
                <w:color w:val="auto"/>
                <w:sz w:val="21"/>
                <w:highlight w:val="none"/>
              </w:rPr>
            </w:pPr>
          </w:p>
        </w:tc>
      </w:tr>
      <w:tr w14:paraId="20847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3EDEBED8">
            <w:pPr>
              <w:pStyle w:val="17"/>
              <w:spacing w:before="222" w:line="220" w:lineRule="auto"/>
              <w:ind w:left="278"/>
              <w:rPr>
                <w:color w:val="auto"/>
                <w:highlight w:val="none"/>
              </w:rPr>
            </w:pPr>
            <w:r>
              <w:rPr>
                <w:color w:val="auto"/>
                <w:spacing w:val="-3"/>
                <w:highlight w:val="none"/>
              </w:rPr>
              <w:t>毕业学校</w:t>
            </w:r>
          </w:p>
        </w:tc>
        <w:tc>
          <w:tcPr>
            <w:tcW w:w="7920" w:type="dxa"/>
            <w:gridSpan w:val="5"/>
            <w:vAlign w:val="top"/>
          </w:tcPr>
          <w:p w14:paraId="27E23098">
            <w:pPr>
              <w:pStyle w:val="17"/>
              <w:spacing w:before="223" w:line="213" w:lineRule="auto"/>
              <w:ind w:left="857"/>
              <w:rPr>
                <w:color w:val="auto"/>
                <w:highlight w:val="none"/>
              </w:rPr>
            </w:pPr>
            <w:r>
              <w:rPr>
                <w:color w:val="auto"/>
                <w:highlight w:val="none"/>
              </w:rPr>
              <w:t>______年___月毕业于__________学校________专业，学制______年</w:t>
            </w:r>
          </w:p>
        </w:tc>
      </w:tr>
      <w:tr w14:paraId="73ADF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vAlign w:val="top"/>
          </w:tcPr>
          <w:p w14:paraId="6F186FF8">
            <w:pPr>
              <w:pStyle w:val="17"/>
              <w:spacing w:before="224" w:line="222" w:lineRule="auto"/>
              <w:ind w:left="4446"/>
              <w:rPr>
                <w:color w:val="auto"/>
                <w:highlight w:val="none"/>
              </w:rPr>
            </w:pPr>
            <w:r>
              <w:rPr>
                <w:color w:val="auto"/>
                <w:spacing w:val="-3"/>
                <w:highlight w:val="none"/>
              </w:rPr>
              <w:t>经历</w:t>
            </w:r>
          </w:p>
        </w:tc>
      </w:tr>
      <w:tr w14:paraId="12054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148A6851">
            <w:pPr>
              <w:spacing w:line="269" w:lineRule="auto"/>
              <w:rPr>
                <w:rFonts w:ascii="Arial"/>
                <w:color w:val="auto"/>
                <w:sz w:val="21"/>
                <w:highlight w:val="none"/>
              </w:rPr>
            </w:pPr>
          </w:p>
          <w:p w14:paraId="3ECB9B1E">
            <w:pPr>
              <w:pStyle w:val="17"/>
              <w:spacing w:before="69" w:line="222" w:lineRule="auto"/>
              <w:ind w:left="494"/>
              <w:rPr>
                <w:color w:val="auto"/>
                <w:highlight w:val="none"/>
              </w:rPr>
            </w:pPr>
            <w:r>
              <w:rPr>
                <w:color w:val="auto"/>
                <w:spacing w:val="-5"/>
                <w:highlight w:val="none"/>
              </w:rPr>
              <w:t>时间</w:t>
            </w:r>
          </w:p>
        </w:tc>
        <w:tc>
          <w:tcPr>
            <w:tcW w:w="4311" w:type="dxa"/>
            <w:gridSpan w:val="3"/>
            <w:vAlign w:val="top"/>
          </w:tcPr>
          <w:p w14:paraId="22F1C3F9">
            <w:pPr>
              <w:spacing w:line="269" w:lineRule="auto"/>
              <w:rPr>
                <w:rFonts w:ascii="Arial"/>
                <w:color w:val="auto"/>
                <w:sz w:val="21"/>
                <w:highlight w:val="none"/>
              </w:rPr>
            </w:pPr>
          </w:p>
          <w:p w14:paraId="237AC625">
            <w:pPr>
              <w:pStyle w:val="17"/>
              <w:spacing w:before="69" w:line="220" w:lineRule="auto"/>
              <w:ind w:left="902"/>
              <w:rPr>
                <w:color w:val="auto"/>
                <w:highlight w:val="none"/>
              </w:rPr>
            </w:pPr>
            <w:r>
              <w:rPr>
                <w:color w:val="auto"/>
                <w:spacing w:val="-1"/>
                <w:highlight w:val="none"/>
              </w:rPr>
              <w:t>参加过的类似工程项目名称</w:t>
            </w:r>
          </w:p>
        </w:tc>
        <w:tc>
          <w:tcPr>
            <w:tcW w:w="1775" w:type="dxa"/>
            <w:vAlign w:val="top"/>
          </w:tcPr>
          <w:p w14:paraId="4D8BC62E">
            <w:pPr>
              <w:spacing w:line="269" w:lineRule="auto"/>
              <w:rPr>
                <w:rFonts w:ascii="Arial"/>
                <w:color w:val="auto"/>
                <w:sz w:val="21"/>
                <w:highlight w:val="none"/>
              </w:rPr>
            </w:pPr>
          </w:p>
          <w:p w14:paraId="64C83A88">
            <w:pPr>
              <w:pStyle w:val="17"/>
              <w:spacing w:before="69" w:line="220" w:lineRule="auto"/>
              <w:ind w:left="474"/>
              <w:rPr>
                <w:color w:val="auto"/>
                <w:highlight w:val="none"/>
              </w:rPr>
            </w:pPr>
            <w:r>
              <w:rPr>
                <w:color w:val="auto"/>
                <w:spacing w:val="-2"/>
                <w:highlight w:val="none"/>
              </w:rPr>
              <w:t>担任职务</w:t>
            </w:r>
          </w:p>
        </w:tc>
        <w:tc>
          <w:tcPr>
            <w:tcW w:w="1834" w:type="dxa"/>
            <w:vAlign w:val="top"/>
          </w:tcPr>
          <w:p w14:paraId="39227657">
            <w:pPr>
              <w:pStyle w:val="17"/>
              <w:spacing w:before="140" w:line="220" w:lineRule="auto"/>
              <w:ind w:left="505"/>
              <w:rPr>
                <w:color w:val="auto"/>
                <w:highlight w:val="none"/>
              </w:rPr>
            </w:pPr>
            <w:r>
              <w:rPr>
                <w:color w:val="auto"/>
                <w:spacing w:val="-3"/>
                <w:highlight w:val="none"/>
              </w:rPr>
              <w:t>发包人及</w:t>
            </w:r>
          </w:p>
          <w:p w14:paraId="50507B74">
            <w:pPr>
              <w:pStyle w:val="17"/>
              <w:spacing w:before="149" w:line="222" w:lineRule="auto"/>
              <w:ind w:left="503"/>
              <w:rPr>
                <w:color w:val="auto"/>
                <w:highlight w:val="none"/>
              </w:rPr>
            </w:pPr>
            <w:r>
              <w:rPr>
                <w:color w:val="auto"/>
                <w:spacing w:val="-2"/>
                <w:highlight w:val="none"/>
              </w:rPr>
              <w:t>联系电话</w:t>
            </w:r>
          </w:p>
        </w:tc>
      </w:tr>
      <w:tr w14:paraId="2D503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2357589F">
            <w:pPr>
              <w:rPr>
                <w:rFonts w:ascii="Arial"/>
                <w:color w:val="auto"/>
                <w:sz w:val="21"/>
                <w:highlight w:val="none"/>
              </w:rPr>
            </w:pPr>
          </w:p>
        </w:tc>
        <w:tc>
          <w:tcPr>
            <w:tcW w:w="4311" w:type="dxa"/>
            <w:gridSpan w:val="3"/>
            <w:vAlign w:val="top"/>
          </w:tcPr>
          <w:p w14:paraId="1EE6F38A">
            <w:pPr>
              <w:rPr>
                <w:rFonts w:ascii="Arial"/>
                <w:color w:val="auto"/>
                <w:sz w:val="21"/>
                <w:highlight w:val="none"/>
              </w:rPr>
            </w:pPr>
          </w:p>
        </w:tc>
        <w:tc>
          <w:tcPr>
            <w:tcW w:w="1775" w:type="dxa"/>
            <w:vAlign w:val="top"/>
          </w:tcPr>
          <w:p w14:paraId="47D2AAF9">
            <w:pPr>
              <w:rPr>
                <w:rFonts w:ascii="Arial"/>
                <w:color w:val="auto"/>
                <w:sz w:val="21"/>
                <w:highlight w:val="none"/>
              </w:rPr>
            </w:pPr>
          </w:p>
        </w:tc>
        <w:tc>
          <w:tcPr>
            <w:tcW w:w="1834" w:type="dxa"/>
            <w:vAlign w:val="top"/>
          </w:tcPr>
          <w:p w14:paraId="293DFBC2">
            <w:pPr>
              <w:rPr>
                <w:rFonts w:ascii="Arial"/>
                <w:color w:val="auto"/>
                <w:sz w:val="21"/>
                <w:highlight w:val="none"/>
              </w:rPr>
            </w:pPr>
          </w:p>
        </w:tc>
      </w:tr>
      <w:tr w14:paraId="6A4A5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466F9DF3">
            <w:pPr>
              <w:rPr>
                <w:rFonts w:ascii="Arial"/>
                <w:color w:val="auto"/>
                <w:sz w:val="21"/>
                <w:highlight w:val="none"/>
              </w:rPr>
            </w:pPr>
          </w:p>
        </w:tc>
        <w:tc>
          <w:tcPr>
            <w:tcW w:w="4311" w:type="dxa"/>
            <w:gridSpan w:val="3"/>
            <w:vAlign w:val="top"/>
          </w:tcPr>
          <w:p w14:paraId="5EF45476">
            <w:pPr>
              <w:rPr>
                <w:rFonts w:ascii="Arial"/>
                <w:color w:val="auto"/>
                <w:sz w:val="21"/>
                <w:highlight w:val="none"/>
              </w:rPr>
            </w:pPr>
          </w:p>
        </w:tc>
        <w:tc>
          <w:tcPr>
            <w:tcW w:w="1775" w:type="dxa"/>
            <w:vAlign w:val="top"/>
          </w:tcPr>
          <w:p w14:paraId="335A3992">
            <w:pPr>
              <w:rPr>
                <w:rFonts w:ascii="Arial"/>
                <w:color w:val="auto"/>
                <w:sz w:val="21"/>
                <w:highlight w:val="none"/>
              </w:rPr>
            </w:pPr>
          </w:p>
        </w:tc>
        <w:tc>
          <w:tcPr>
            <w:tcW w:w="1834" w:type="dxa"/>
            <w:vAlign w:val="top"/>
          </w:tcPr>
          <w:p w14:paraId="3BF8A54A">
            <w:pPr>
              <w:rPr>
                <w:rFonts w:ascii="Arial"/>
                <w:color w:val="auto"/>
                <w:sz w:val="21"/>
                <w:highlight w:val="none"/>
              </w:rPr>
            </w:pPr>
          </w:p>
        </w:tc>
      </w:tr>
      <w:tr w14:paraId="5D7D1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383E1027">
            <w:pPr>
              <w:rPr>
                <w:rFonts w:ascii="Arial"/>
                <w:color w:val="auto"/>
                <w:sz w:val="21"/>
                <w:highlight w:val="none"/>
              </w:rPr>
            </w:pPr>
          </w:p>
        </w:tc>
        <w:tc>
          <w:tcPr>
            <w:tcW w:w="4311" w:type="dxa"/>
            <w:gridSpan w:val="3"/>
            <w:vAlign w:val="top"/>
          </w:tcPr>
          <w:p w14:paraId="4FDE0583">
            <w:pPr>
              <w:rPr>
                <w:rFonts w:ascii="Arial"/>
                <w:color w:val="auto"/>
                <w:sz w:val="21"/>
                <w:highlight w:val="none"/>
              </w:rPr>
            </w:pPr>
          </w:p>
        </w:tc>
        <w:tc>
          <w:tcPr>
            <w:tcW w:w="1775" w:type="dxa"/>
            <w:vAlign w:val="top"/>
          </w:tcPr>
          <w:p w14:paraId="5FD0E69F">
            <w:pPr>
              <w:rPr>
                <w:rFonts w:ascii="Arial"/>
                <w:color w:val="auto"/>
                <w:sz w:val="21"/>
                <w:highlight w:val="none"/>
              </w:rPr>
            </w:pPr>
          </w:p>
        </w:tc>
        <w:tc>
          <w:tcPr>
            <w:tcW w:w="1834" w:type="dxa"/>
            <w:vAlign w:val="top"/>
          </w:tcPr>
          <w:p w14:paraId="3B8F67DC">
            <w:pPr>
              <w:rPr>
                <w:rFonts w:ascii="Arial"/>
                <w:color w:val="auto"/>
                <w:sz w:val="21"/>
                <w:highlight w:val="none"/>
              </w:rPr>
            </w:pPr>
          </w:p>
        </w:tc>
      </w:tr>
      <w:tr w14:paraId="5195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5F95BE1A">
            <w:pPr>
              <w:rPr>
                <w:rFonts w:ascii="Arial"/>
                <w:color w:val="auto"/>
                <w:sz w:val="21"/>
                <w:highlight w:val="none"/>
              </w:rPr>
            </w:pPr>
          </w:p>
        </w:tc>
        <w:tc>
          <w:tcPr>
            <w:tcW w:w="4311" w:type="dxa"/>
            <w:gridSpan w:val="3"/>
            <w:vAlign w:val="top"/>
          </w:tcPr>
          <w:p w14:paraId="510091D6">
            <w:pPr>
              <w:rPr>
                <w:rFonts w:ascii="Arial"/>
                <w:color w:val="auto"/>
                <w:sz w:val="21"/>
                <w:highlight w:val="none"/>
              </w:rPr>
            </w:pPr>
          </w:p>
        </w:tc>
        <w:tc>
          <w:tcPr>
            <w:tcW w:w="1775" w:type="dxa"/>
            <w:vAlign w:val="top"/>
          </w:tcPr>
          <w:p w14:paraId="012E6E80">
            <w:pPr>
              <w:rPr>
                <w:rFonts w:ascii="Arial"/>
                <w:color w:val="auto"/>
                <w:sz w:val="21"/>
                <w:highlight w:val="none"/>
              </w:rPr>
            </w:pPr>
          </w:p>
        </w:tc>
        <w:tc>
          <w:tcPr>
            <w:tcW w:w="1834" w:type="dxa"/>
            <w:vAlign w:val="top"/>
          </w:tcPr>
          <w:p w14:paraId="4FB0B083">
            <w:pPr>
              <w:rPr>
                <w:rFonts w:ascii="Arial"/>
                <w:color w:val="auto"/>
                <w:sz w:val="21"/>
                <w:highlight w:val="none"/>
              </w:rPr>
            </w:pPr>
          </w:p>
        </w:tc>
      </w:tr>
      <w:tr w14:paraId="6B72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715335AC">
            <w:pPr>
              <w:rPr>
                <w:rFonts w:ascii="Arial"/>
                <w:color w:val="auto"/>
                <w:sz w:val="21"/>
                <w:highlight w:val="none"/>
              </w:rPr>
            </w:pPr>
          </w:p>
        </w:tc>
        <w:tc>
          <w:tcPr>
            <w:tcW w:w="4311" w:type="dxa"/>
            <w:gridSpan w:val="3"/>
            <w:vAlign w:val="top"/>
          </w:tcPr>
          <w:p w14:paraId="69F5E21B">
            <w:pPr>
              <w:rPr>
                <w:rFonts w:ascii="Arial"/>
                <w:color w:val="auto"/>
                <w:sz w:val="21"/>
                <w:highlight w:val="none"/>
              </w:rPr>
            </w:pPr>
          </w:p>
        </w:tc>
        <w:tc>
          <w:tcPr>
            <w:tcW w:w="1775" w:type="dxa"/>
            <w:vAlign w:val="top"/>
          </w:tcPr>
          <w:p w14:paraId="0A5DF7F3">
            <w:pPr>
              <w:rPr>
                <w:rFonts w:ascii="Arial"/>
                <w:color w:val="auto"/>
                <w:sz w:val="21"/>
                <w:highlight w:val="none"/>
              </w:rPr>
            </w:pPr>
          </w:p>
        </w:tc>
        <w:tc>
          <w:tcPr>
            <w:tcW w:w="1834" w:type="dxa"/>
            <w:vAlign w:val="top"/>
          </w:tcPr>
          <w:p w14:paraId="286C025C">
            <w:pPr>
              <w:rPr>
                <w:rFonts w:ascii="Arial"/>
                <w:color w:val="auto"/>
                <w:sz w:val="21"/>
                <w:highlight w:val="none"/>
              </w:rPr>
            </w:pPr>
          </w:p>
        </w:tc>
      </w:tr>
      <w:tr w14:paraId="55C5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227DFDDB">
            <w:pPr>
              <w:rPr>
                <w:rFonts w:ascii="Arial"/>
                <w:color w:val="auto"/>
                <w:sz w:val="21"/>
                <w:highlight w:val="none"/>
              </w:rPr>
            </w:pPr>
          </w:p>
        </w:tc>
        <w:tc>
          <w:tcPr>
            <w:tcW w:w="4311" w:type="dxa"/>
            <w:gridSpan w:val="3"/>
            <w:vAlign w:val="top"/>
          </w:tcPr>
          <w:p w14:paraId="3273629F">
            <w:pPr>
              <w:rPr>
                <w:rFonts w:ascii="Arial"/>
                <w:color w:val="auto"/>
                <w:sz w:val="21"/>
                <w:highlight w:val="none"/>
              </w:rPr>
            </w:pPr>
          </w:p>
        </w:tc>
        <w:tc>
          <w:tcPr>
            <w:tcW w:w="1775" w:type="dxa"/>
            <w:vAlign w:val="top"/>
          </w:tcPr>
          <w:p w14:paraId="58546C0F">
            <w:pPr>
              <w:rPr>
                <w:rFonts w:ascii="Arial"/>
                <w:color w:val="auto"/>
                <w:sz w:val="21"/>
                <w:highlight w:val="none"/>
              </w:rPr>
            </w:pPr>
          </w:p>
        </w:tc>
        <w:tc>
          <w:tcPr>
            <w:tcW w:w="1834" w:type="dxa"/>
            <w:vAlign w:val="top"/>
          </w:tcPr>
          <w:p w14:paraId="6A76935F">
            <w:pPr>
              <w:rPr>
                <w:rFonts w:ascii="Arial"/>
                <w:color w:val="auto"/>
                <w:sz w:val="21"/>
                <w:highlight w:val="none"/>
              </w:rPr>
            </w:pPr>
          </w:p>
        </w:tc>
      </w:tr>
      <w:tr w14:paraId="69F8C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523B0C87">
            <w:pPr>
              <w:rPr>
                <w:rFonts w:ascii="Arial"/>
                <w:color w:val="auto"/>
                <w:sz w:val="21"/>
                <w:highlight w:val="none"/>
              </w:rPr>
            </w:pPr>
          </w:p>
        </w:tc>
        <w:tc>
          <w:tcPr>
            <w:tcW w:w="4311" w:type="dxa"/>
            <w:gridSpan w:val="3"/>
            <w:vAlign w:val="top"/>
          </w:tcPr>
          <w:p w14:paraId="676AC811">
            <w:pPr>
              <w:rPr>
                <w:rFonts w:ascii="Arial"/>
                <w:color w:val="auto"/>
                <w:sz w:val="21"/>
                <w:highlight w:val="none"/>
              </w:rPr>
            </w:pPr>
          </w:p>
        </w:tc>
        <w:tc>
          <w:tcPr>
            <w:tcW w:w="1775" w:type="dxa"/>
            <w:vAlign w:val="top"/>
          </w:tcPr>
          <w:p w14:paraId="59E41017">
            <w:pPr>
              <w:rPr>
                <w:rFonts w:ascii="Arial"/>
                <w:color w:val="auto"/>
                <w:sz w:val="21"/>
                <w:highlight w:val="none"/>
              </w:rPr>
            </w:pPr>
          </w:p>
        </w:tc>
        <w:tc>
          <w:tcPr>
            <w:tcW w:w="1834" w:type="dxa"/>
            <w:vAlign w:val="top"/>
          </w:tcPr>
          <w:p w14:paraId="725EBFC1">
            <w:pPr>
              <w:rPr>
                <w:rFonts w:ascii="Arial"/>
                <w:color w:val="auto"/>
                <w:sz w:val="21"/>
                <w:highlight w:val="none"/>
              </w:rPr>
            </w:pPr>
          </w:p>
        </w:tc>
      </w:tr>
      <w:tr w14:paraId="76A61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2172D1FA">
            <w:pPr>
              <w:rPr>
                <w:rFonts w:ascii="Arial"/>
                <w:color w:val="auto"/>
                <w:sz w:val="21"/>
                <w:highlight w:val="none"/>
              </w:rPr>
            </w:pPr>
          </w:p>
        </w:tc>
        <w:tc>
          <w:tcPr>
            <w:tcW w:w="4311" w:type="dxa"/>
            <w:gridSpan w:val="3"/>
            <w:vAlign w:val="top"/>
          </w:tcPr>
          <w:p w14:paraId="2615AF3B">
            <w:pPr>
              <w:rPr>
                <w:rFonts w:ascii="Arial"/>
                <w:color w:val="auto"/>
                <w:sz w:val="21"/>
                <w:highlight w:val="none"/>
              </w:rPr>
            </w:pPr>
          </w:p>
        </w:tc>
        <w:tc>
          <w:tcPr>
            <w:tcW w:w="1775" w:type="dxa"/>
            <w:vAlign w:val="top"/>
          </w:tcPr>
          <w:p w14:paraId="59CF61CB">
            <w:pPr>
              <w:rPr>
                <w:rFonts w:ascii="Arial"/>
                <w:color w:val="auto"/>
                <w:sz w:val="21"/>
                <w:highlight w:val="none"/>
              </w:rPr>
            </w:pPr>
          </w:p>
        </w:tc>
        <w:tc>
          <w:tcPr>
            <w:tcW w:w="1834" w:type="dxa"/>
            <w:vAlign w:val="top"/>
          </w:tcPr>
          <w:p w14:paraId="0C46C411">
            <w:pPr>
              <w:rPr>
                <w:rFonts w:ascii="Arial"/>
                <w:color w:val="auto"/>
                <w:sz w:val="21"/>
                <w:highlight w:val="none"/>
              </w:rPr>
            </w:pPr>
          </w:p>
        </w:tc>
      </w:tr>
      <w:tr w14:paraId="09726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vAlign w:val="top"/>
          </w:tcPr>
          <w:p w14:paraId="529558D0">
            <w:pPr>
              <w:pStyle w:val="17"/>
              <w:spacing w:before="225" w:line="220" w:lineRule="auto"/>
              <w:ind w:left="877"/>
              <w:rPr>
                <w:color w:val="auto"/>
                <w:highlight w:val="none"/>
              </w:rPr>
            </w:pPr>
            <w:r>
              <w:rPr>
                <w:color w:val="auto"/>
                <w:spacing w:val="-3"/>
                <w:highlight w:val="none"/>
              </w:rPr>
              <w:t>获奖情况</w:t>
            </w:r>
          </w:p>
        </w:tc>
        <w:tc>
          <w:tcPr>
            <w:tcW w:w="6721" w:type="dxa"/>
            <w:gridSpan w:val="4"/>
            <w:vAlign w:val="top"/>
          </w:tcPr>
          <w:p w14:paraId="6C779056">
            <w:pPr>
              <w:rPr>
                <w:rFonts w:ascii="Arial"/>
                <w:color w:val="auto"/>
                <w:sz w:val="21"/>
                <w:highlight w:val="none"/>
              </w:rPr>
            </w:pPr>
          </w:p>
        </w:tc>
      </w:tr>
      <w:tr w14:paraId="6AB31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9299" w:type="dxa"/>
            <w:gridSpan w:val="6"/>
            <w:vAlign w:val="top"/>
          </w:tcPr>
          <w:p w14:paraId="30C7D6B6">
            <w:pPr>
              <w:spacing w:line="402" w:lineRule="auto"/>
              <w:rPr>
                <w:rFonts w:ascii="Arial"/>
                <w:color w:val="auto"/>
                <w:sz w:val="21"/>
                <w:highlight w:val="none"/>
              </w:rPr>
            </w:pPr>
          </w:p>
          <w:p w14:paraId="68A1679F">
            <w:pPr>
              <w:pStyle w:val="17"/>
              <w:spacing w:before="68" w:line="219" w:lineRule="auto"/>
              <w:ind w:left="116"/>
              <w:rPr>
                <w:color w:val="auto"/>
                <w:highlight w:val="none"/>
              </w:rPr>
            </w:pPr>
            <w:r>
              <w:rPr>
                <w:color w:val="auto"/>
                <w:spacing w:val="-5"/>
                <w:highlight w:val="none"/>
              </w:rPr>
              <w:t>本人</w:t>
            </w:r>
            <w:r>
              <w:rPr>
                <w:color w:val="auto"/>
                <w:spacing w:val="-5"/>
                <w:highlight w:val="none"/>
                <w:u w:val="single" w:color="auto"/>
              </w:rPr>
              <w:t xml:space="preserve">        </w:t>
            </w:r>
            <w:r>
              <w:rPr>
                <w:color w:val="auto"/>
                <w:spacing w:val="-5"/>
                <w:highlight w:val="none"/>
              </w:rPr>
              <w:t>（签字）知晓自己为本项目的</w:t>
            </w:r>
            <w:r>
              <w:rPr>
                <w:color w:val="auto"/>
                <w:spacing w:val="6"/>
                <w:highlight w:val="none"/>
                <w:u w:val="single" w:color="auto"/>
              </w:rPr>
              <w:t xml:space="preserve">       </w:t>
            </w:r>
            <w:r>
              <w:rPr>
                <w:color w:val="auto"/>
                <w:spacing w:val="-5"/>
                <w:highlight w:val="none"/>
                <w:u w:val="single" w:color="auto"/>
              </w:rPr>
              <w:t>(</w:t>
            </w:r>
            <w:r>
              <w:rPr>
                <w:color w:val="auto"/>
                <w:spacing w:val="-5"/>
                <w:highlight w:val="none"/>
              </w:rPr>
              <w:t>填写项目经理或项目</w:t>
            </w:r>
            <w:r>
              <w:rPr>
                <w:color w:val="auto"/>
                <w:spacing w:val="-6"/>
                <w:highlight w:val="none"/>
              </w:rPr>
              <w:t>总工)，并对其真实性负责。</w:t>
            </w:r>
          </w:p>
        </w:tc>
      </w:tr>
      <w:tr w14:paraId="4618D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2578" w:type="dxa"/>
            <w:gridSpan w:val="2"/>
            <w:vAlign w:val="top"/>
          </w:tcPr>
          <w:p w14:paraId="544D67D0">
            <w:pPr>
              <w:pStyle w:val="17"/>
              <w:spacing w:before="226" w:line="221" w:lineRule="auto"/>
              <w:ind w:left="1086"/>
              <w:rPr>
                <w:color w:val="auto"/>
                <w:highlight w:val="none"/>
              </w:rPr>
            </w:pPr>
            <w:r>
              <w:rPr>
                <w:color w:val="auto"/>
                <w:spacing w:val="-3"/>
                <w:highlight w:val="none"/>
              </w:rPr>
              <w:t>备注</w:t>
            </w:r>
          </w:p>
        </w:tc>
        <w:tc>
          <w:tcPr>
            <w:tcW w:w="6721" w:type="dxa"/>
            <w:gridSpan w:val="4"/>
            <w:vAlign w:val="top"/>
          </w:tcPr>
          <w:p w14:paraId="219A18BE">
            <w:pPr>
              <w:rPr>
                <w:rFonts w:ascii="Arial"/>
                <w:color w:val="auto"/>
                <w:sz w:val="21"/>
                <w:highlight w:val="none"/>
              </w:rPr>
            </w:pPr>
          </w:p>
        </w:tc>
      </w:tr>
    </w:tbl>
    <w:p w14:paraId="494D2510">
      <w:pPr>
        <w:spacing w:before="4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7470CDF5">
      <w:pPr>
        <w:spacing w:before="57" w:line="247" w:lineRule="auto"/>
        <w:ind w:left="1425" w:right="1338" w:firstLine="1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1.本表应填写项目经理</w:t>
      </w:r>
      <w:r>
        <w:rPr>
          <w:rFonts w:ascii="宋体" w:hAnsi="宋体" w:eastAsia="宋体" w:cs="宋体"/>
          <w:color w:val="auto"/>
          <w:spacing w:val="-7"/>
          <w:sz w:val="21"/>
          <w:szCs w:val="21"/>
          <w:highlight w:val="none"/>
          <w:u w:val="single" w:color="auto"/>
        </w:rPr>
        <w:t>（以及备选人，如有）</w:t>
      </w:r>
      <w:r>
        <w:rPr>
          <w:rFonts w:ascii="宋体" w:hAnsi="宋体" w:eastAsia="宋体" w:cs="宋体"/>
          <w:color w:val="auto"/>
          <w:spacing w:val="-7"/>
          <w:sz w:val="21"/>
          <w:szCs w:val="21"/>
          <w:highlight w:val="none"/>
        </w:rPr>
        <w:t>、项目总工</w:t>
      </w:r>
      <w:r>
        <w:rPr>
          <w:rFonts w:ascii="宋体" w:hAnsi="宋体" w:eastAsia="宋体" w:cs="宋体"/>
          <w:color w:val="auto"/>
          <w:spacing w:val="-7"/>
          <w:sz w:val="21"/>
          <w:szCs w:val="21"/>
          <w:highlight w:val="none"/>
          <w:u w:val="single" w:color="auto"/>
        </w:rPr>
        <w:t>（以及备选人，如有）、安全总监（</w:t>
      </w:r>
      <w:r>
        <w:rPr>
          <w:rFonts w:ascii="宋体" w:hAnsi="宋体" w:eastAsia="宋体" w:cs="宋体"/>
          <w:color w:val="auto"/>
          <w:spacing w:val="-8"/>
          <w:sz w:val="21"/>
          <w:szCs w:val="21"/>
          <w:highlight w:val="none"/>
          <w:u w:val="single" w:color="auto"/>
        </w:rPr>
        <w:t>如有）、</w:t>
      </w:r>
      <w:r>
        <w:rPr>
          <w:rFonts w:ascii="宋体" w:hAnsi="宋体" w:eastAsia="宋体" w:cs="宋体"/>
          <w:color w:val="auto"/>
          <w:spacing w:val="-3"/>
          <w:sz w:val="21"/>
          <w:szCs w:val="21"/>
          <w:highlight w:val="none"/>
          <w:u w:val="single" w:color="auto"/>
        </w:rPr>
        <w:t>质量总监（如有）</w:t>
      </w:r>
      <w:r>
        <w:rPr>
          <w:rFonts w:ascii="宋体" w:hAnsi="宋体" w:eastAsia="宋体" w:cs="宋体"/>
          <w:color w:val="auto"/>
          <w:spacing w:val="-3"/>
          <w:sz w:val="21"/>
          <w:szCs w:val="21"/>
          <w:highlight w:val="none"/>
        </w:rPr>
        <w:t>相关情况。</w:t>
      </w:r>
    </w:p>
    <w:p w14:paraId="5F489FAA">
      <w:pPr>
        <w:spacing w:before="61" w:line="219" w:lineRule="auto"/>
        <w:ind w:left="1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2.投标人应根据招标文件第二章“投标人须知”第</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2"/>
          <w:sz w:val="21"/>
          <w:szCs w:val="21"/>
          <w:highlight w:val="none"/>
        </w:rPr>
        <w:t>.5.5</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项的要求在本表后附相关证明材料。</w:t>
      </w:r>
    </w:p>
    <w:p w14:paraId="51D14D44">
      <w:pPr>
        <w:spacing w:line="219" w:lineRule="auto"/>
        <w:rPr>
          <w:rFonts w:ascii="宋体" w:hAnsi="宋体" w:eastAsia="宋体" w:cs="宋体"/>
          <w:color w:val="auto"/>
          <w:sz w:val="21"/>
          <w:szCs w:val="21"/>
          <w:highlight w:val="none"/>
        </w:rPr>
        <w:sectPr>
          <w:headerReference r:id="rId196" w:type="default"/>
          <w:footerReference r:id="rId197" w:type="default"/>
          <w:pgSz w:w="11905" w:h="16840"/>
          <w:pgMar w:top="1182" w:right="0" w:bottom="1171" w:left="0" w:header="849" w:footer="937" w:gutter="0"/>
          <w:pgNumType w:fmt="decimal"/>
          <w:cols w:space="720" w:num="1"/>
        </w:sectPr>
      </w:pPr>
    </w:p>
    <w:p w14:paraId="0882EC99">
      <w:pPr>
        <w:pStyle w:val="3"/>
        <w:spacing w:line="315" w:lineRule="auto"/>
        <w:rPr>
          <w:color w:val="auto"/>
          <w:highlight w:val="none"/>
        </w:rPr>
      </w:pPr>
    </w:p>
    <w:p w14:paraId="21CDFBC0">
      <w:pPr>
        <w:spacing w:before="88" w:line="226" w:lineRule="auto"/>
        <w:ind w:left="3305"/>
        <w:rPr>
          <w:rFonts w:ascii="宋体" w:hAnsi="宋体" w:eastAsia="宋体" w:cs="宋体"/>
          <w:strike/>
          <w:dstrike w:val="0"/>
          <w:color w:val="auto"/>
          <w:sz w:val="27"/>
          <w:szCs w:val="27"/>
          <w:highlight w:val="none"/>
        </w:rPr>
      </w:pPr>
      <w:r>
        <w:rPr>
          <w:rFonts w:ascii="宋体" w:hAnsi="宋体" w:eastAsia="宋体" w:cs="宋体"/>
          <w:b/>
          <w:bCs/>
          <w:strike/>
          <w:dstrike w:val="0"/>
          <w:color w:val="auto"/>
          <w:spacing w:val="6"/>
          <w:sz w:val="27"/>
          <w:szCs w:val="27"/>
          <w:highlight w:val="none"/>
        </w:rPr>
        <w:t>（七）拟委任的其他管理和技术人员情况表</w:t>
      </w:r>
    </w:p>
    <w:p w14:paraId="71CFBC6C">
      <w:pPr>
        <w:spacing w:before="271" w:line="241" w:lineRule="auto"/>
        <w:ind w:left="3059"/>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（七）-1</w:t>
      </w:r>
      <w:r>
        <w:rPr>
          <w:rFonts w:ascii="宋体" w:hAnsi="宋体" w:eastAsia="宋体" w:cs="宋体"/>
          <w:strike/>
          <w:dstrike w:val="0"/>
          <w:color w:val="auto"/>
          <w:spacing w:val="-51"/>
          <w:sz w:val="27"/>
          <w:szCs w:val="27"/>
          <w:highlight w:val="none"/>
        </w:rPr>
        <w:t xml:space="preserve"> </w:t>
      </w:r>
      <w:r>
        <w:rPr>
          <w:rFonts w:ascii="宋体" w:hAnsi="宋体" w:eastAsia="宋体" w:cs="宋体"/>
          <w:b/>
          <w:bCs/>
          <w:strike/>
          <w:dstrike w:val="0"/>
          <w:color w:val="auto"/>
          <w:spacing w:val="6"/>
          <w:sz w:val="27"/>
          <w:szCs w:val="27"/>
          <w:highlight w:val="none"/>
        </w:rPr>
        <w:t>拟委任的其他管理和技术人员汇总表</w:t>
      </w:r>
      <w:r>
        <w:rPr>
          <w:rFonts w:ascii="宋体" w:hAnsi="宋体" w:eastAsia="宋体" w:cs="宋体"/>
          <w:b/>
          <w:bCs/>
          <w:strike/>
          <w:dstrike w:val="0"/>
          <w:color w:val="auto"/>
          <w:spacing w:val="6"/>
          <w:position w:val="14"/>
          <w:sz w:val="13"/>
          <w:szCs w:val="13"/>
          <w:highlight w:val="none"/>
        </w:rPr>
        <w:t>①</w:t>
      </w:r>
    </w:p>
    <w:p w14:paraId="39780012">
      <w:pPr>
        <w:spacing w:before="37"/>
        <w:rPr>
          <w:strike/>
          <w:dstrike w:val="0"/>
          <w:color w:val="auto"/>
          <w:highlight w:val="none"/>
        </w:rPr>
      </w:pPr>
    </w:p>
    <w:tbl>
      <w:tblPr>
        <w:tblStyle w:val="16"/>
        <w:tblW w:w="9358" w:type="dxa"/>
        <w:tblInd w:w="12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398"/>
        <w:gridCol w:w="1150"/>
        <w:gridCol w:w="1593"/>
        <w:gridCol w:w="1515"/>
        <w:gridCol w:w="1582"/>
        <w:gridCol w:w="1181"/>
      </w:tblGrid>
      <w:tr w14:paraId="0C48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39" w:type="dxa"/>
            <w:vAlign w:val="top"/>
          </w:tcPr>
          <w:p w14:paraId="6A403869">
            <w:pPr>
              <w:spacing w:line="395" w:lineRule="auto"/>
              <w:rPr>
                <w:rFonts w:ascii="Arial"/>
                <w:strike/>
                <w:dstrike w:val="0"/>
                <w:color w:val="auto"/>
                <w:sz w:val="21"/>
                <w:highlight w:val="none"/>
              </w:rPr>
            </w:pPr>
          </w:p>
          <w:p w14:paraId="52DFFECA">
            <w:pPr>
              <w:pStyle w:val="17"/>
              <w:spacing w:before="68" w:line="221" w:lineRule="auto"/>
              <w:ind w:left="263"/>
              <w:rPr>
                <w:strike/>
                <w:dstrike w:val="0"/>
                <w:color w:val="auto"/>
                <w:highlight w:val="none"/>
              </w:rPr>
            </w:pPr>
            <w:r>
              <w:rPr>
                <w:strike/>
                <w:dstrike w:val="0"/>
                <w:color w:val="auto"/>
                <w:spacing w:val="-2"/>
                <w:highlight w:val="none"/>
              </w:rPr>
              <w:t>序号</w:t>
            </w:r>
          </w:p>
        </w:tc>
        <w:tc>
          <w:tcPr>
            <w:tcW w:w="1398" w:type="dxa"/>
            <w:vAlign w:val="top"/>
          </w:tcPr>
          <w:p w14:paraId="5150B41E">
            <w:pPr>
              <w:spacing w:line="394" w:lineRule="auto"/>
              <w:rPr>
                <w:rFonts w:ascii="Arial"/>
                <w:strike/>
                <w:dstrike w:val="0"/>
                <w:color w:val="auto"/>
                <w:sz w:val="21"/>
                <w:highlight w:val="none"/>
              </w:rPr>
            </w:pPr>
          </w:p>
          <w:p w14:paraId="41B5C571">
            <w:pPr>
              <w:pStyle w:val="17"/>
              <w:spacing w:before="69" w:line="220" w:lineRule="auto"/>
              <w:ind w:left="492"/>
              <w:rPr>
                <w:strike/>
                <w:dstrike w:val="0"/>
                <w:color w:val="auto"/>
                <w:highlight w:val="none"/>
              </w:rPr>
            </w:pPr>
            <w:r>
              <w:rPr>
                <w:strike/>
                <w:dstrike w:val="0"/>
                <w:color w:val="auto"/>
                <w:spacing w:val="-3"/>
                <w:highlight w:val="none"/>
              </w:rPr>
              <w:t>姓名</w:t>
            </w:r>
          </w:p>
        </w:tc>
        <w:tc>
          <w:tcPr>
            <w:tcW w:w="1150" w:type="dxa"/>
            <w:vAlign w:val="top"/>
          </w:tcPr>
          <w:p w14:paraId="3A03E1E1">
            <w:pPr>
              <w:spacing w:line="394" w:lineRule="auto"/>
              <w:rPr>
                <w:rFonts w:ascii="Arial"/>
                <w:strike/>
                <w:dstrike w:val="0"/>
                <w:color w:val="auto"/>
                <w:sz w:val="21"/>
                <w:highlight w:val="none"/>
              </w:rPr>
            </w:pPr>
          </w:p>
          <w:p w14:paraId="1EE743F4">
            <w:pPr>
              <w:pStyle w:val="17"/>
              <w:spacing w:before="69" w:line="220" w:lineRule="auto"/>
              <w:ind w:left="370"/>
              <w:rPr>
                <w:strike/>
                <w:dstrike w:val="0"/>
                <w:color w:val="auto"/>
                <w:highlight w:val="none"/>
              </w:rPr>
            </w:pPr>
            <w:r>
              <w:rPr>
                <w:strike/>
                <w:dstrike w:val="0"/>
                <w:color w:val="auto"/>
                <w:spacing w:val="-3"/>
                <w:highlight w:val="none"/>
              </w:rPr>
              <w:t>年龄</w:t>
            </w:r>
          </w:p>
        </w:tc>
        <w:tc>
          <w:tcPr>
            <w:tcW w:w="1593" w:type="dxa"/>
            <w:vAlign w:val="top"/>
          </w:tcPr>
          <w:p w14:paraId="2D932A29">
            <w:pPr>
              <w:spacing w:line="241" w:lineRule="auto"/>
              <w:rPr>
                <w:rFonts w:ascii="Arial"/>
                <w:strike/>
                <w:dstrike w:val="0"/>
                <w:color w:val="auto"/>
                <w:sz w:val="21"/>
                <w:highlight w:val="none"/>
              </w:rPr>
            </w:pPr>
          </w:p>
          <w:p w14:paraId="5246BC17">
            <w:pPr>
              <w:pStyle w:val="17"/>
              <w:spacing w:before="68" w:line="276" w:lineRule="auto"/>
              <w:ind w:left="485" w:right="163" w:hanging="313"/>
              <w:rPr>
                <w:strike/>
                <w:dstrike w:val="0"/>
                <w:color w:val="auto"/>
                <w:highlight w:val="none"/>
              </w:rPr>
            </w:pPr>
            <w:r>
              <w:rPr>
                <w:strike/>
                <w:dstrike w:val="0"/>
                <w:color w:val="auto"/>
                <w:spacing w:val="-2"/>
                <w:highlight w:val="none"/>
              </w:rPr>
              <w:t>拟在本标段工程任职</w:t>
            </w:r>
          </w:p>
        </w:tc>
        <w:tc>
          <w:tcPr>
            <w:tcW w:w="1515" w:type="dxa"/>
            <w:vAlign w:val="top"/>
          </w:tcPr>
          <w:p w14:paraId="1A11287D">
            <w:pPr>
              <w:spacing w:line="394" w:lineRule="auto"/>
              <w:rPr>
                <w:rFonts w:ascii="Arial"/>
                <w:strike/>
                <w:dstrike w:val="0"/>
                <w:color w:val="auto"/>
                <w:sz w:val="21"/>
                <w:highlight w:val="none"/>
              </w:rPr>
            </w:pPr>
          </w:p>
          <w:p w14:paraId="77F93C87">
            <w:pPr>
              <w:pStyle w:val="17"/>
              <w:spacing w:before="69" w:line="220" w:lineRule="auto"/>
              <w:ind w:left="344"/>
              <w:rPr>
                <w:strike/>
                <w:dstrike w:val="0"/>
                <w:color w:val="auto"/>
                <w:highlight w:val="none"/>
              </w:rPr>
            </w:pPr>
            <w:r>
              <w:rPr>
                <w:strike/>
                <w:dstrike w:val="0"/>
                <w:color w:val="auto"/>
                <w:spacing w:val="-2"/>
                <w:highlight w:val="none"/>
              </w:rPr>
              <w:t>技术职称</w:t>
            </w:r>
          </w:p>
        </w:tc>
        <w:tc>
          <w:tcPr>
            <w:tcW w:w="1582" w:type="dxa"/>
            <w:vAlign w:val="top"/>
          </w:tcPr>
          <w:p w14:paraId="7E91D5CD">
            <w:pPr>
              <w:spacing w:line="394" w:lineRule="auto"/>
              <w:rPr>
                <w:rFonts w:ascii="Arial"/>
                <w:strike/>
                <w:dstrike w:val="0"/>
                <w:color w:val="auto"/>
                <w:sz w:val="21"/>
                <w:highlight w:val="none"/>
              </w:rPr>
            </w:pPr>
          </w:p>
          <w:p w14:paraId="2A5A6C0A">
            <w:pPr>
              <w:pStyle w:val="17"/>
              <w:spacing w:before="69" w:line="220" w:lineRule="auto"/>
              <w:ind w:left="380"/>
              <w:rPr>
                <w:strike/>
                <w:dstrike w:val="0"/>
                <w:color w:val="auto"/>
                <w:highlight w:val="none"/>
              </w:rPr>
            </w:pPr>
            <w:r>
              <w:rPr>
                <w:strike/>
                <w:dstrike w:val="0"/>
                <w:color w:val="auto"/>
                <w:spacing w:val="-3"/>
                <w:highlight w:val="none"/>
              </w:rPr>
              <w:t>工作年限</w:t>
            </w:r>
          </w:p>
        </w:tc>
        <w:tc>
          <w:tcPr>
            <w:tcW w:w="1181" w:type="dxa"/>
            <w:vAlign w:val="top"/>
          </w:tcPr>
          <w:p w14:paraId="060C5F1B">
            <w:pPr>
              <w:spacing w:line="241" w:lineRule="auto"/>
              <w:rPr>
                <w:rFonts w:ascii="Arial"/>
                <w:strike/>
                <w:dstrike w:val="0"/>
                <w:color w:val="auto"/>
                <w:sz w:val="21"/>
                <w:highlight w:val="none"/>
              </w:rPr>
            </w:pPr>
          </w:p>
          <w:p w14:paraId="51071184">
            <w:pPr>
              <w:pStyle w:val="17"/>
              <w:spacing w:before="68" w:line="276" w:lineRule="auto"/>
              <w:ind w:left="176" w:right="168" w:hanging="1"/>
              <w:rPr>
                <w:strike/>
                <w:dstrike w:val="0"/>
                <w:color w:val="auto"/>
                <w:highlight w:val="none"/>
              </w:rPr>
            </w:pPr>
            <w:r>
              <w:rPr>
                <w:strike/>
                <w:dstrike w:val="0"/>
                <w:color w:val="auto"/>
                <w:spacing w:val="-3"/>
                <w:highlight w:val="none"/>
              </w:rPr>
              <w:t>类似施工经验年限</w:t>
            </w:r>
          </w:p>
        </w:tc>
      </w:tr>
      <w:tr w14:paraId="6DC37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05C46FFA">
            <w:pPr>
              <w:rPr>
                <w:rFonts w:ascii="Arial"/>
                <w:strike/>
                <w:dstrike w:val="0"/>
                <w:color w:val="auto"/>
                <w:sz w:val="21"/>
                <w:highlight w:val="none"/>
              </w:rPr>
            </w:pPr>
          </w:p>
        </w:tc>
        <w:tc>
          <w:tcPr>
            <w:tcW w:w="1398" w:type="dxa"/>
            <w:vAlign w:val="top"/>
          </w:tcPr>
          <w:p w14:paraId="4971AE77">
            <w:pPr>
              <w:rPr>
                <w:rFonts w:ascii="Arial"/>
                <w:strike/>
                <w:dstrike w:val="0"/>
                <w:color w:val="auto"/>
                <w:sz w:val="21"/>
                <w:highlight w:val="none"/>
              </w:rPr>
            </w:pPr>
          </w:p>
        </w:tc>
        <w:tc>
          <w:tcPr>
            <w:tcW w:w="1150" w:type="dxa"/>
            <w:vAlign w:val="top"/>
          </w:tcPr>
          <w:p w14:paraId="7FA56691">
            <w:pPr>
              <w:rPr>
                <w:rFonts w:ascii="Arial"/>
                <w:strike/>
                <w:dstrike w:val="0"/>
                <w:color w:val="auto"/>
                <w:sz w:val="21"/>
                <w:highlight w:val="none"/>
              </w:rPr>
            </w:pPr>
          </w:p>
        </w:tc>
        <w:tc>
          <w:tcPr>
            <w:tcW w:w="1593" w:type="dxa"/>
            <w:vAlign w:val="top"/>
          </w:tcPr>
          <w:p w14:paraId="022B82FB">
            <w:pPr>
              <w:rPr>
                <w:rFonts w:ascii="Arial"/>
                <w:strike/>
                <w:dstrike w:val="0"/>
                <w:color w:val="auto"/>
                <w:sz w:val="21"/>
                <w:highlight w:val="none"/>
              </w:rPr>
            </w:pPr>
          </w:p>
        </w:tc>
        <w:tc>
          <w:tcPr>
            <w:tcW w:w="1515" w:type="dxa"/>
            <w:vAlign w:val="top"/>
          </w:tcPr>
          <w:p w14:paraId="0B3C25FF">
            <w:pPr>
              <w:rPr>
                <w:rFonts w:ascii="Arial"/>
                <w:strike/>
                <w:dstrike w:val="0"/>
                <w:color w:val="auto"/>
                <w:sz w:val="21"/>
                <w:highlight w:val="none"/>
              </w:rPr>
            </w:pPr>
          </w:p>
        </w:tc>
        <w:tc>
          <w:tcPr>
            <w:tcW w:w="1582" w:type="dxa"/>
            <w:vAlign w:val="top"/>
          </w:tcPr>
          <w:p w14:paraId="269678C2">
            <w:pPr>
              <w:rPr>
                <w:rFonts w:ascii="Arial"/>
                <w:strike/>
                <w:dstrike w:val="0"/>
                <w:color w:val="auto"/>
                <w:sz w:val="21"/>
                <w:highlight w:val="none"/>
              </w:rPr>
            </w:pPr>
          </w:p>
        </w:tc>
        <w:tc>
          <w:tcPr>
            <w:tcW w:w="1181" w:type="dxa"/>
            <w:vAlign w:val="top"/>
          </w:tcPr>
          <w:p w14:paraId="5BFEE838">
            <w:pPr>
              <w:rPr>
                <w:rFonts w:ascii="Arial"/>
                <w:strike/>
                <w:dstrike w:val="0"/>
                <w:color w:val="auto"/>
                <w:sz w:val="21"/>
                <w:highlight w:val="none"/>
              </w:rPr>
            </w:pPr>
          </w:p>
        </w:tc>
      </w:tr>
      <w:tr w14:paraId="4AEB7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112421EE">
            <w:pPr>
              <w:rPr>
                <w:rFonts w:ascii="Arial"/>
                <w:strike/>
                <w:dstrike w:val="0"/>
                <w:color w:val="auto"/>
                <w:sz w:val="21"/>
                <w:highlight w:val="none"/>
              </w:rPr>
            </w:pPr>
          </w:p>
        </w:tc>
        <w:tc>
          <w:tcPr>
            <w:tcW w:w="1398" w:type="dxa"/>
            <w:vAlign w:val="top"/>
          </w:tcPr>
          <w:p w14:paraId="797FB2AB">
            <w:pPr>
              <w:rPr>
                <w:rFonts w:ascii="Arial"/>
                <w:strike/>
                <w:dstrike w:val="0"/>
                <w:color w:val="auto"/>
                <w:sz w:val="21"/>
                <w:highlight w:val="none"/>
              </w:rPr>
            </w:pPr>
          </w:p>
        </w:tc>
        <w:tc>
          <w:tcPr>
            <w:tcW w:w="1150" w:type="dxa"/>
            <w:vAlign w:val="top"/>
          </w:tcPr>
          <w:p w14:paraId="08CDB82D">
            <w:pPr>
              <w:rPr>
                <w:rFonts w:ascii="Arial"/>
                <w:strike/>
                <w:dstrike w:val="0"/>
                <w:color w:val="auto"/>
                <w:sz w:val="21"/>
                <w:highlight w:val="none"/>
              </w:rPr>
            </w:pPr>
          </w:p>
        </w:tc>
        <w:tc>
          <w:tcPr>
            <w:tcW w:w="1593" w:type="dxa"/>
            <w:vAlign w:val="top"/>
          </w:tcPr>
          <w:p w14:paraId="1C0D3773">
            <w:pPr>
              <w:rPr>
                <w:rFonts w:ascii="Arial"/>
                <w:strike/>
                <w:dstrike w:val="0"/>
                <w:color w:val="auto"/>
                <w:sz w:val="21"/>
                <w:highlight w:val="none"/>
              </w:rPr>
            </w:pPr>
          </w:p>
        </w:tc>
        <w:tc>
          <w:tcPr>
            <w:tcW w:w="1515" w:type="dxa"/>
            <w:vAlign w:val="top"/>
          </w:tcPr>
          <w:p w14:paraId="2743710C">
            <w:pPr>
              <w:rPr>
                <w:rFonts w:ascii="Arial"/>
                <w:strike/>
                <w:dstrike w:val="0"/>
                <w:color w:val="auto"/>
                <w:sz w:val="21"/>
                <w:highlight w:val="none"/>
              </w:rPr>
            </w:pPr>
          </w:p>
        </w:tc>
        <w:tc>
          <w:tcPr>
            <w:tcW w:w="1582" w:type="dxa"/>
            <w:vAlign w:val="top"/>
          </w:tcPr>
          <w:p w14:paraId="5FBF0254">
            <w:pPr>
              <w:rPr>
                <w:rFonts w:ascii="Arial"/>
                <w:strike/>
                <w:dstrike w:val="0"/>
                <w:color w:val="auto"/>
                <w:sz w:val="21"/>
                <w:highlight w:val="none"/>
              </w:rPr>
            </w:pPr>
          </w:p>
        </w:tc>
        <w:tc>
          <w:tcPr>
            <w:tcW w:w="1181" w:type="dxa"/>
            <w:vAlign w:val="top"/>
          </w:tcPr>
          <w:p w14:paraId="276B8A07">
            <w:pPr>
              <w:rPr>
                <w:rFonts w:ascii="Arial"/>
                <w:strike/>
                <w:dstrike w:val="0"/>
                <w:color w:val="auto"/>
                <w:sz w:val="21"/>
                <w:highlight w:val="none"/>
              </w:rPr>
            </w:pPr>
          </w:p>
        </w:tc>
      </w:tr>
      <w:tr w14:paraId="4682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4E40EC69">
            <w:pPr>
              <w:rPr>
                <w:rFonts w:ascii="Arial"/>
                <w:strike/>
                <w:dstrike w:val="0"/>
                <w:color w:val="auto"/>
                <w:sz w:val="21"/>
                <w:highlight w:val="none"/>
              </w:rPr>
            </w:pPr>
          </w:p>
        </w:tc>
        <w:tc>
          <w:tcPr>
            <w:tcW w:w="1398" w:type="dxa"/>
            <w:vAlign w:val="top"/>
          </w:tcPr>
          <w:p w14:paraId="63AB2671">
            <w:pPr>
              <w:rPr>
                <w:rFonts w:ascii="Arial"/>
                <w:strike/>
                <w:dstrike w:val="0"/>
                <w:color w:val="auto"/>
                <w:sz w:val="21"/>
                <w:highlight w:val="none"/>
              </w:rPr>
            </w:pPr>
          </w:p>
        </w:tc>
        <w:tc>
          <w:tcPr>
            <w:tcW w:w="1150" w:type="dxa"/>
            <w:vAlign w:val="top"/>
          </w:tcPr>
          <w:p w14:paraId="1834C746">
            <w:pPr>
              <w:rPr>
                <w:rFonts w:ascii="Arial"/>
                <w:strike/>
                <w:dstrike w:val="0"/>
                <w:color w:val="auto"/>
                <w:sz w:val="21"/>
                <w:highlight w:val="none"/>
              </w:rPr>
            </w:pPr>
          </w:p>
        </w:tc>
        <w:tc>
          <w:tcPr>
            <w:tcW w:w="1593" w:type="dxa"/>
            <w:vAlign w:val="top"/>
          </w:tcPr>
          <w:p w14:paraId="488C662A">
            <w:pPr>
              <w:rPr>
                <w:rFonts w:ascii="Arial"/>
                <w:strike/>
                <w:dstrike w:val="0"/>
                <w:color w:val="auto"/>
                <w:sz w:val="21"/>
                <w:highlight w:val="none"/>
              </w:rPr>
            </w:pPr>
          </w:p>
        </w:tc>
        <w:tc>
          <w:tcPr>
            <w:tcW w:w="1515" w:type="dxa"/>
            <w:vAlign w:val="top"/>
          </w:tcPr>
          <w:p w14:paraId="3334FE8A">
            <w:pPr>
              <w:rPr>
                <w:rFonts w:ascii="Arial"/>
                <w:strike/>
                <w:dstrike w:val="0"/>
                <w:color w:val="auto"/>
                <w:sz w:val="21"/>
                <w:highlight w:val="none"/>
              </w:rPr>
            </w:pPr>
          </w:p>
        </w:tc>
        <w:tc>
          <w:tcPr>
            <w:tcW w:w="1582" w:type="dxa"/>
            <w:vAlign w:val="top"/>
          </w:tcPr>
          <w:p w14:paraId="14F5B662">
            <w:pPr>
              <w:rPr>
                <w:rFonts w:ascii="Arial"/>
                <w:strike/>
                <w:dstrike w:val="0"/>
                <w:color w:val="auto"/>
                <w:sz w:val="21"/>
                <w:highlight w:val="none"/>
              </w:rPr>
            </w:pPr>
          </w:p>
        </w:tc>
        <w:tc>
          <w:tcPr>
            <w:tcW w:w="1181" w:type="dxa"/>
            <w:vAlign w:val="top"/>
          </w:tcPr>
          <w:p w14:paraId="4301E14E">
            <w:pPr>
              <w:rPr>
                <w:rFonts w:ascii="Arial"/>
                <w:strike/>
                <w:dstrike w:val="0"/>
                <w:color w:val="auto"/>
                <w:sz w:val="21"/>
                <w:highlight w:val="none"/>
              </w:rPr>
            </w:pPr>
          </w:p>
        </w:tc>
      </w:tr>
      <w:tr w14:paraId="5F92C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3264118C">
            <w:pPr>
              <w:rPr>
                <w:rFonts w:ascii="Arial"/>
                <w:strike/>
                <w:dstrike w:val="0"/>
                <w:color w:val="auto"/>
                <w:sz w:val="21"/>
                <w:highlight w:val="none"/>
              </w:rPr>
            </w:pPr>
          </w:p>
        </w:tc>
        <w:tc>
          <w:tcPr>
            <w:tcW w:w="1398" w:type="dxa"/>
            <w:vAlign w:val="top"/>
          </w:tcPr>
          <w:p w14:paraId="0C27BF93">
            <w:pPr>
              <w:rPr>
                <w:rFonts w:ascii="Arial"/>
                <w:strike/>
                <w:dstrike w:val="0"/>
                <w:color w:val="auto"/>
                <w:sz w:val="21"/>
                <w:highlight w:val="none"/>
              </w:rPr>
            </w:pPr>
          </w:p>
        </w:tc>
        <w:tc>
          <w:tcPr>
            <w:tcW w:w="1150" w:type="dxa"/>
            <w:vAlign w:val="top"/>
          </w:tcPr>
          <w:p w14:paraId="6F64E528">
            <w:pPr>
              <w:rPr>
                <w:rFonts w:ascii="Arial"/>
                <w:strike/>
                <w:dstrike w:val="0"/>
                <w:color w:val="auto"/>
                <w:sz w:val="21"/>
                <w:highlight w:val="none"/>
              </w:rPr>
            </w:pPr>
          </w:p>
        </w:tc>
        <w:tc>
          <w:tcPr>
            <w:tcW w:w="1593" w:type="dxa"/>
            <w:vAlign w:val="top"/>
          </w:tcPr>
          <w:p w14:paraId="24F08899">
            <w:pPr>
              <w:rPr>
                <w:rFonts w:ascii="Arial"/>
                <w:strike/>
                <w:dstrike w:val="0"/>
                <w:color w:val="auto"/>
                <w:sz w:val="21"/>
                <w:highlight w:val="none"/>
              </w:rPr>
            </w:pPr>
          </w:p>
        </w:tc>
        <w:tc>
          <w:tcPr>
            <w:tcW w:w="1515" w:type="dxa"/>
            <w:vAlign w:val="top"/>
          </w:tcPr>
          <w:p w14:paraId="7B3A4546">
            <w:pPr>
              <w:rPr>
                <w:rFonts w:ascii="Arial"/>
                <w:strike/>
                <w:dstrike w:val="0"/>
                <w:color w:val="auto"/>
                <w:sz w:val="21"/>
                <w:highlight w:val="none"/>
              </w:rPr>
            </w:pPr>
          </w:p>
        </w:tc>
        <w:tc>
          <w:tcPr>
            <w:tcW w:w="1582" w:type="dxa"/>
            <w:vAlign w:val="top"/>
          </w:tcPr>
          <w:p w14:paraId="5FD8D88E">
            <w:pPr>
              <w:rPr>
                <w:rFonts w:ascii="Arial"/>
                <w:strike/>
                <w:dstrike w:val="0"/>
                <w:color w:val="auto"/>
                <w:sz w:val="21"/>
                <w:highlight w:val="none"/>
              </w:rPr>
            </w:pPr>
          </w:p>
        </w:tc>
        <w:tc>
          <w:tcPr>
            <w:tcW w:w="1181" w:type="dxa"/>
            <w:vAlign w:val="top"/>
          </w:tcPr>
          <w:p w14:paraId="216B8534">
            <w:pPr>
              <w:rPr>
                <w:rFonts w:ascii="Arial"/>
                <w:strike/>
                <w:dstrike w:val="0"/>
                <w:color w:val="auto"/>
                <w:sz w:val="21"/>
                <w:highlight w:val="none"/>
              </w:rPr>
            </w:pPr>
          </w:p>
        </w:tc>
      </w:tr>
      <w:tr w14:paraId="1E2AE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1C5F6235">
            <w:pPr>
              <w:rPr>
                <w:rFonts w:ascii="Arial"/>
                <w:strike/>
                <w:dstrike w:val="0"/>
                <w:color w:val="auto"/>
                <w:sz w:val="21"/>
                <w:highlight w:val="none"/>
              </w:rPr>
            </w:pPr>
          </w:p>
        </w:tc>
        <w:tc>
          <w:tcPr>
            <w:tcW w:w="1398" w:type="dxa"/>
            <w:vAlign w:val="top"/>
          </w:tcPr>
          <w:p w14:paraId="54167C94">
            <w:pPr>
              <w:rPr>
                <w:rFonts w:ascii="Arial"/>
                <w:strike/>
                <w:dstrike w:val="0"/>
                <w:color w:val="auto"/>
                <w:sz w:val="21"/>
                <w:highlight w:val="none"/>
              </w:rPr>
            </w:pPr>
          </w:p>
        </w:tc>
        <w:tc>
          <w:tcPr>
            <w:tcW w:w="1150" w:type="dxa"/>
            <w:vAlign w:val="top"/>
          </w:tcPr>
          <w:p w14:paraId="6F413471">
            <w:pPr>
              <w:rPr>
                <w:rFonts w:ascii="Arial"/>
                <w:strike/>
                <w:dstrike w:val="0"/>
                <w:color w:val="auto"/>
                <w:sz w:val="21"/>
                <w:highlight w:val="none"/>
              </w:rPr>
            </w:pPr>
          </w:p>
        </w:tc>
        <w:tc>
          <w:tcPr>
            <w:tcW w:w="1593" w:type="dxa"/>
            <w:vAlign w:val="top"/>
          </w:tcPr>
          <w:p w14:paraId="3279529E">
            <w:pPr>
              <w:rPr>
                <w:rFonts w:ascii="Arial"/>
                <w:strike/>
                <w:dstrike w:val="0"/>
                <w:color w:val="auto"/>
                <w:sz w:val="21"/>
                <w:highlight w:val="none"/>
              </w:rPr>
            </w:pPr>
          </w:p>
        </w:tc>
        <w:tc>
          <w:tcPr>
            <w:tcW w:w="1515" w:type="dxa"/>
            <w:vAlign w:val="top"/>
          </w:tcPr>
          <w:p w14:paraId="18E960E4">
            <w:pPr>
              <w:rPr>
                <w:rFonts w:ascii="Arial"/>
                <w:strike/>
                <w:dstrike w:val="0"/>
                <w:color w:val="auto"/>
                <w:sz w:val="21"/>
                <w:highlight w:val="none"/>
              </w:rPr>
            </w:pPr>
          </w:p>
        </w:tc>
        <w:tc>
          <w:tcPr>
            <w:tcW w:w="1582" w:type="dxa"/>
            <w:vAlign w:val="top"/>
          </w:tcPr>
          <w:p w14:paraId="3C86AF4C">
            <w:pPr>
              <w:rPr>
                <w:rFonts w:ascii="Arial"/>
                <w:strike/>
                <w:dstrike w:val="0"/>
                <w:color w:val="auto"/>
                <w:sz w:val="21"/>
                <w:highlight w:val="none"/>
              </w:rPr>
            </w:pPr>
          </w:p>
        </w:tc>
        <w:tc>
          <w:tcPr>
            <w:tcW w:w="1181" w:type="dxa"/>
            <w:vAlign w:val="top"/>
          </w:tcPr>
          <w:p w14:paraId="422ED1AD">
            <w:pPr>
              <w:rPr>
                <w:rFonts w:ascii="Arial"/>
                <w:strike/>
                <w:dstrike w:val="0"/>
                <w:color w:val="auto"/>
                <w:sz w:val="21"/>
                <w:highlight w:val="none"/>
              </w:rPr>
            </w:pPr>
          </w:p>
        </w:tc>
      </w:tr>
      <w:tr w14:paraId="10AEC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458EB97D">
            <w:pPr>
              <w:rPr>
                <w:rFonts w:ascii="Arial"/>
                <w:strike/>
                <w:dstrike w:val="0"/>
                <w:color w:val="auto"/>
                <w:sz w:val="21"/>
                <w:highlight w:val="none"/>
              </w:rPr>
            </w:pPr>
          </w:p>
        </w:tc>
        <w:tc>
          <w:tcPr>
            <w:tcW w:w="1398" w:type="dxa"/>
            <w:vAlign w:val="top"/>
          </w:tcPr>
          <w:p w14:paraId="4713796C">
            <w:pPr>
              <w:rPr>
                <w:rFonts w:ascii="Arial"/>
                <w:strike/>
                <w:dstrike w:val="0"/>
                <w:color w:val="auto"/>
                <w:sz w:val="21"/>
                <w:highlight w:val="none"/>
              </w:rPr>
            </w:pPr>
          </w:p>
        </w:tc>
        <w:tc>
          <w:tcPr>
            <w:tcW w:w="1150" w:type="dxa"/>
            <w:vAlign w:val="top"/>
          </w:tcPr>
          <w:p w14:paraId="1156CF20">
            <w:pPr>
              <w:rPr>
                <w:rFonts w:ascii="Arial"/>
                <w:strike/>
                <w:dstrike w:val="0"/>
                <w:color w:val="auto"/>
                <w:sz w:val="21"/>
                <w:highlight w:val="none"/>
              </w:rPr>
            </w:pPr>
          </w:p>
        </w:tc>
        <w:tc>
          <w:tcPr>
            <w:tcW w:w="1593" w:type="dxa"/>
            <w:vAlign w:val="top"/>
          </w:tcPr>
          <w:p w14:paraId="6D62B109">
            <w:pPr>
              <w:rPr>
                <w:rFonts w:ascii="Arial"/>
                <w:strike/>
                <w:dstrike w:val="0"/>
                <w:color w:val="auto"/>
                <w:sz w:val="21"/>
                <w:highlight w:val="none"/>
              </w:rPr>
            </w:pPr>
          </w:p>
        </w:tc>
        <w:tc>
          <w:tcPr>
            <w:tcW w:w="1515" w:type="dxa"/>
            <w:vAlign w:val="top"/>
          </w:tcPr>
          <w:p w14:paraId="4361A205">
            <w:pPr>
              <w:rPr>
                <w:rFonts w:ascii="Arial"/>
                <w:strike/>
                <w:dstrike w:val="0"/>
                <w:color w:val="auto"/>
                <w:sz w:val="21"/>
                <w:highlight w:val="none"/>
              </w:rPr>
            </w:pPr>
          </w:p>
        </w:tc>
        <w:tc>
          <w:tcPr>
            <w:tcW w:w="1582" w:type="dxa"/>
            <w:vAlign w:val="top"/>
          </w:tcPr>
          <w:p w14:paraId="36E38B33">
            <w:pPr>
              <w:rPr>
                <w:rFonts w:ascii="Arial"/>
                <w:strike/>
                <w:dstrike w:val="0"/>
                <w:color w:val="auto"/>
                <w:sz w:val="21"/>
                <w:highlight w:val="none"/>
              </w:rPr>
            </w:pPr>
          </w:p>
        </w:tc>
        <w:tc>
          <w:tcPr>
            <w:tcW w:w="1181" w:type="dxa"/>
            <w:vAlign w:val="top"/>
          </w:tcPr>
          <w:p w14:paraId="2A3EB4ED">
            <w:pPr>
              <w:rPr>
                <w:rFonts w:ascii="Arial"/>
                <w:strike/>
                <w:dstrike w:val="0"/>
                <w:color w:val="auto"/>
                <w:sz w:val="21"/>
                <w:highlight w:val="none"/>
              </w:rPr>
            </w:pPr>
          </w:p>
        </w:tc>
      </w:tr>
      <w:tr w14:paraId="0E9E2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2E46F220">
            <w:pPr>
              <w:rPr>
                <w:rFonts w:ascii="Arial"/>
                <w:strike/>
                <w:dstrike w:val="0"/>
                <w:color w:val="auto"/>
                <w:sz w:val="21"/>
                <w:highlight w:val="none"/>
              </w:rPr>
            </w:pPr>
          </w:p>
        </w:tc>
        <w:tc>
          <w:tcPr>
            <w:tcW w:w="1398" w:type="dxa"/>
            <w:vAlign w:val="top"/>
          </w:tcPr>
          <w:p w14:paraId="033BB7EA">
            <w:pPr>
              <w:rPr>
                <w:rFonts w:ascii="Arial"/>
                <w:strike/>
                <w:dstrike w:val="0"/>
                <w:color w:val="auto"/>
                <w:sz w:val="21"/>
                <w:highlight w:val="none"/>
              </w:rPr>
            </w:pPr>
          </w:p>
        </w:tc>
        <w:tc>
          <w:tcPr>
            <w:tcW w:w="1150" w:type="dxa"/>
            <w:vAlign w:val="top"/>
          </w:tcPr>
          <w:p w14:paraId="01BEC3FD">
            <w:pPr>
              <w:rPr>
                <w:rFonts w:ascii="Arial"/>
                <w:strike/>
                <w:dstrike w:val="0"/>
                <w:color w:val="auto"/>
                <w:sz w:val="21"/>
                <w:highlight w:val="none"/>
              </w:rPr>
            </w:pPr>
          </w:p>
        </w:tc>
        <w:tc>
          <w:tcPr>
            <w:tcW w:w="1593" w:type="dxa"/>
            <w:vAlign w:val="top"/>
          </w:tcPr>
          <w:p w14:paraId="4A0E86A7">
            <w:pPr>
              <w:rPr>
                <w:rFonts w:ascii="Arial"/>
                <w:strike/>
                <w:dstrike w:val="0"/>
                <w:color w:val="auto"/>
                <w:sz w:val="21"/>
                <w:highlight w:val="none"/>
              </w:rPr>
            </w:pPr>
          </w:p>
        </w:tc>
        <w:tc>
          <w:tcPr>
            <w:tcW w:w="1515" w:type="dxa"/>
            <w:vAlign w:val="top"/>
          </w:tcPr>
          <w:p w14:paraId="2DBB2103">
            <w:pPr>
              <w:rPr>
                <w:rFonts w:ascii="Arial"/>
                <w:strike/>
                <w:dstrike w:val="0"/>
                <w:color w:val="auto"/>
                <w:sz w:val="21"/>
                <w:highlight w:val="none"/>
              </w:rPr>
            </w:pPr>
          </w:p>
        </w:tc>
        <w:tc>
          <w:tcPr>
            <w:tcW w:w="1582" w:type="dxa"/>
            <w:vAlign w:val="top"/>
          </w:tcPr>
          <w:p w14:paraId="142F446A">
            <w:pPr>
              <w:rPr>
                <w:rFonts w:ascii="Arial"/>
                <w:strike/>
                <w:dstrike w:val="0"/>
                <w:color w:val="auto"/>
                <w:sz w:val="21"/>
                <w:highlight w:val="none"/>
              </w:rPr>
            </w:pPr>
          </w:p>
        </w:tc>
        <w:tc>
          <w:tcPr>
            <w:tcW w:w="1181" w:type="dxa"/>
            <w:vAlign w:val="top"/>
          </w:tcPr>
          <w:p w14:paraId="79FCB0DC">
            <w:pPr>
              <w:rPr>
                <w:rFonts w:ascii="Arial"/>
                <w:strike/>
                <w:dstrike w:val="0"/>
                <w:color w:val="auto"/>
                <w:sz w:val="21"/>
                <w:highlight w:val="none"/>
              </w:rPr>
            </w:pPr>
          </w:p>
        </w:tc>
      </w:tr>
      <w:tr w14:paraId="16C24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569CA75C">
            <w:pPr>
              <w:rPr>
                <w:rFonts w:ascii="Arial"/>
                <w:strike/>
                <w:dstrike w:val="0"/>
                <w:color w:val="auto"/>
                <w:sz w:val="21"/>
                <w:highlight w:val="none"/>
              </w:rPr>
            </w:pPr>
          </w:p>
        </w:tc>
        <w:tc>
          <w:tcPr>
            <w:tcW w:w="1398" w:type="dxa"/>
            <w:vAlign w:val="top"/>
          </w:tcPr>
          <w:p w14:paraId="60FABD0C">
            <w:pPr>
              <w:rPr>
                <w:rFonts w:ascii="Arial"/>
                <w:strike/>
                <w:dstrike w:val="0"/>
                <w:color w:val="auto"/>
                <w:sz w:val="21"/>
                <w:highlight w:val="none"/>
              </w:rPr>
            </w:pPr>
          </w:p>
        </w:tc>
        <w:tc>
          <w:tcPr>
            <w:tcW w:w="1150" w:type="dxa"/>
            <w:vAlign w:val="top"/>
          </w:tcPr>
          <w:p w14:paraId="15066D6C">
            <w:pPr>
              <w:rPr>
                <w:rFonts w:ascii="Arial"/>
                <w:strike/>
                <w:dstrike w:val="0"/>
                <w:color w:val="auto"/>
                <w:sz w:val="21"/>
                <w:highlight w:val="none"/>
              </w:rPr>
            </w:pPr>
          </w:p>
        </w:tc>
        <w:tc>
          <w:tcPr>
            <w:tcW w:w="1593" w:type="dxa"/>
            <w:vAlign w:val="top"/>
          </w:tcPr>
          <w:p w14:paraId="0C2A2EC7">
            <w:pPr>
              <w:rPr>
                <w:rFonts w:ascii="Arial"/>
                <w:strike/>
                <w:dstrike w:val="0"/>
                <w:color w:val="auto"/>
                <w:sz w:val="21"/>
                <w:highlight w:val="none"/>
              </w:rPr>
            </w:pPr>
          </w:p>
        </w:tc>
        <w:tc>
          <w:tcPr>
            <w:tcW w:w="1515" w:type="dxa"/>
            <w:vAlign w:val="top"/>
          </w:tcPr>
          <w:p w14:paraId="4C94633A">
            <w:pPr>
              <w:rPr>
                <w:rFonts w:ascii="Arial"/>
                <w:strike/>
                <w:dstrike w:val="0"/>
                <w:color w:val="auto"/>
                <w:sz w:val="21"/>
                <w:highlight w:val="none"/>
              </w:rPr>
            </w:pPr>
          </w:p>
        </w:tc>
        <w:tc>
          <w:tcPr>
            <w:tcW w:w="1582" w:type="dxa"/>
            <w:vAlign w:val="top"/>
          </w:tcPr>
          <w:p w14:paraId="49E3C86D">
            <w:pPr>
              <w:rPr>
                <w:rFonts w:ascii="Arial"/>
                <w:strike/>
                <w:dstrike w:val="0"/>
                <w:color w:val="auto"/>
                <w:sz w:val="21"/>
                <w:highlight w:val="none"/>
              </w:rPr>
            </w:pPr>
          </w:p>
        </w:tc>
        <w:tc>
          <w:tcPr>
            <w:tcW w:w="1181" w:type="dxa"/>
            <w:vAlign w:val="top"/>
          </w:tcPr>
          <w:p w14:paraId="466B6B14">
            <w:pPr>
              <w:rPr>
                <w:rFonts w:ascii="Arial"/>
                <w:strike/>
                <w:dstrike w:val="0"/>
                <w:color w:val="auto"/>
                <w:sz w:val="21"/>
                <w:highlight w:val="none"/>
              </w:rPr>
            </w:pPr>
          </w:p>
        </w:tc>
      </w:tr>
      <w:tr w14:paraId="4BCAF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131DA60A">
            <w:pPr>
              <w:rPr>
                <w:rFonts w:ascii="Arial"/>
                <w:strike/>
                <w:dstrike w:val="0"/>
                <w:color w:val="auto"/>
                <w:sz w:val="21"/>
                <w:highlight w:val="none"/>
              </w:rPr>
            </w:pPr>
          </w:p>
        </w:tc>
        <w:tc>
          <w:tcPr>
            <w:tcW w:w="1398" w:type="dxa"/>
            <w:vAlign w:val="top"/>
          </w:tcPr>
          <w:p w14:paraId="1ADFE64A">
            <w:pPr>
              <w:rPr>
                <w:rFonts w:ascii="Arial"/>
                <w:strike/>
                <w:dstrike w:val="0"/>
                <w:color w:val="auto"/>
                <w:sz w:val="21"/>
                <w:highlight w:val="none"/>
              </w:rPr>
            </w:pPr>
          </w:p>
        </w:tc>
        <w:tc>
          <w:tcPr>
            <w:tcW w:w="1150" w:type="dxa"/>
            <w:vAlign w:val="top"/>
          </w:tcPr>
          <w:p w14:paraId="17E99540">
            <w:pPr>
              <w:rPr>
                <w:rFonts w:ascii="Arial"/>
                <w:strike/>
                <w:dstrike w:val="0"/>
                <w:color w:val="auto"/>
                <w:sz w:val="21"/>
                <w:highlight w:val="none"/>
              </w:rPr>
            </w:pPr>
          </w:p>
        </w:tc>
        <w:tc>
          <w:tcPr>
            <w:tcW w:w="1593" w:type="dxa"/>
            <w:vAlign w:val="top"/>
          </w:tcPr>
          <w:p w14:paraId="5477D452">
            <w:pPr>
              <w:rPr>
                <w:rFonts w:ascii="Arial"/>
                <w:strike/>
                <w:dstrike w:val="0"/>
                <w:color w:val="auto"/>
                <w:sz w:val="21"/>
                <w:highlight w:val="none"/>
              </w:rPr>
            </w:pPr>
          </w:p>
        </w:tc>
        <w:tc>
          <w:tcPr>
            <w:tcW w:w="1515" w:type="dxa"/>
            <w:vAlign w:val="top"/>
          </w:tcPr>
          <w:p w14:paraId="3CDFE843">
            <w:pPr>
              <w:rPr>
                <w:rFonts w:ascii="Arial"/>
                <w:strike/>
                <w:dstrike w:val="0"/>
                <w:color w:val="auto"/>
                <w:sz w:val="21"/>
                <w:highlight w:val="none"/>
              </w:rPr>
            </w:pPr>
          </w:p>
        </w:tc>
        <w:tc>
          <w:tcPr>
            <w:tcW w:w="1582" w:type="dxa"/>
            <w:vAlign w:val="top"/>
          </w:tcPr>
          <w:p w14:paraId="179860FD">
            <w:pPr>
              <w:rPr>
                <w:rFonts w:ascii="Arial"/>
                <w:strike/>
                <w:dstrike w:val="0"/>
                <w:color w:val="auto"/>
                <w:sz w:val="21"/>
                <w:highlight w:val="none"/>
              </w:rPr>
            </w:pPr>
          </w:p>
        </w:tc>
        <w:tc>
          <w:tcPr>
            <w:tcW w:w="1181" w:type="dxa"/>
            <w:vAlign w:val="top"/>
          </w:tcPr>
          <w:p w14:paraId="7C9037E2">
            <w:pPr>
              <w:rPr>
                <w:rFonts w:ascii="Arial"/>
                <w:strike/>
                <w:dstrike w:val="0"/>
                <w:color w:val="auto"/>
                <w:sz w:val="21"/>
                <w:highlight w:val="none"/>
              </w:rPr>
            </w:pPr>
          </w:p>
        </w:tc>
      </w:tr>
      <w:tr w14:paraId="382B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39" w:type="dxa"/>
            <w:vAlign w:val="top"/>
          </w:tcPr>
          <w:p w14:paraId="31E25E7B">
            <w:pPr>
              <w:rPr>
                <w:rFonts w:ascii="Arial"/>
                <w:strike/>
                <w:dstrike w:val="0"/>
                <w:color w:val="auto"/>
                <w:sz w:val="21"/>
                <w:highlight w:val="none"/>
              </w:rPr>
            </w:pPr>
          </w:p>
        </w:tc>
        <w:tc>
          <w:tcPr>
            <w:tcW w:w="1398" w:type="dxa"/>
            <w:vAlign w:val="top"/>
          </w:tcPr>
          <w:p w14:paraId="28794D3A">
            <w:pPr>
              <w:rPr>
                <w:rFonts w:ascii="Arial"/>
                <w:strike/>
                <w:dstrike w:val="0"/>
                <w:color w:val="auto"/>
                <w:sz w:val="21"/>
                <w:highlight w:val="none"/>
              </w:rPr>
            </w:pPr>
          </w:p>
        </w:tc>
        <w:tc>
          <w:tcPr>
            <w:tcW w:w="1150" w:type="dxa"/>
            <w:vAlign w:val="top"/>
          </w:tcPr>
          <w:p w14:paraId="1F2BD5C9">
            <w:pPr>
              <w:rPr>
                <w:rFonts w:ascii="Arial"/>
                <w:strike/>
                <w:dstrike w:val="0"/>
                <w:color w:val="auto"/>
                <w:sz w:val="21"/>
                <w:highlight w:val="none"/>
              </w:rPr>
            </w:pPr>
          </w:p>
        </w:tc>
        <w:tc>
          <w:tcPr>
            <w:tcW w:w="1593" w:type="dxa"/>
            <w:vAlign w:val="top"/>
          </w:tcPr>
          <w:p w14:paraId="0601E569">
            <w:pPr>
              <w:rPr>
                <w:rFonts w:ascii="Arial"/>
                <w:strike/>
                <w:dstrike w:val="0"/>
                <w:color w:val="auto"/>
                <w:sz w:val="21"/>
                <w:highlight w:val="none"/>
              </w:rPr>
            </w:pPr>
          </w:p>
        </w:tc>
        <w:tc>
          <w:tcPr>
            <w:tcW w:w="1515" w:type="dxa"/>
            <w:vAlign w:val="top"/>
          </w:tcPr>
          <w:p w14:paraId="6DC44D60">
            <w:pPr>
              <w:rPr>
                <w:rFonts w:ascii="Arial"/>
                <w:strike/>
                <w:dstrike w:val="0"/>
                <w:color w:val="auto"/>
                <w:sz w:val="21"/>
                <w:highlight w:val="none"/>
              </w:rPr>
            </w:pPr>
          </w:p>
        </w:tc>
        <w:tc>
          <w:tcPr>
            <w:tcW w:w="1582" w:type="dxa"/>
            <w:vAlign w:val="top"/>
          </w:tcPr>
          <w:p w14:paraId="6632A970">
            <w:pPr>
              <w:rPr>
                <w:rFonts w:ascii="Arial"/>
                <w:strike/>
                <w:dstrike w:val="0"/>
                <w:color w:val="auto"/>
                <w:sz w:val="21"/>
                <w:highlight w:val="none"/>
              </w:rPr>
            </w:pPr>
          </w:p>
        </w:tc>
        <w:tc>
          <w:tcPr>
            <w:tcW w:w="1181" w:type="dxa"/>
            <w:vAlign w:val="top"/>
          </w:tcPr>
          <w:p w14:paraId="3819E53D">
            <w:pPr>
              <w:rPr>
                <w:rFonts w:ascii="Arial"/>
                <w:strike/>
                <w:dstrike w:val="0"/>
                <w:color w:val="auto"/>
                <w:sz w:val="21"/>
                <w:highlight w:val="none"/>
              </w:rPr>
            </w:pPr>
          </w:p>
        </w:tc>
      </w:tr>
    </w:tbl>
    <w:p w14:paraId="3C73D543">
      <w:pPr>
        <w:spacing w:before="49" w:line="219"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注：本表填报的人员应满足招标文件第二章“投标人须知”前附表附录</w:t>
      </w:r>
      <w:r>
        <w:rPr>
          <w:rFonts w:ascii="宋体" w:hAnsi="宋体" w:eastAsia="宋体" w:cs="宋体"/>
          <w:strike/>
          <w:dstrike w:val="0"/>
          <w:color w:val="auto"/>
          <w:spacing w:val="-33"/>
          <w:sz w:val="21"/>
          <w:szCs w:val="21"/>
          <w:highlight w:val="none"/>
        </w:rPr>
        <w:t xml:space="preserve"> </w:t>
      </w:r>
      <w:r>
        <w:rPr>
          <w:rFonts w:ascii="宋体" w:hAnsi="宋体" w:eastAsia="宋体" w:cs="宋体"/>
          <w:strike/>
          <w:dstrike w:val="0"/>
          <w:color w:val="auto"/>
          <w:spacing w:val="-2"/>
          <w:sz w:val="21"/>
          <w:szCs w:val="21"/>
          <w:highlight w:val="none"/>
        </w:rPr>
        <w:t>6</w:t>
      </w:r>
      <w:r>
        <w:rPr>
          <w:rFonts w:ascii="宋体" w:hAnsi="宋体" w:eastAsia="宋体" w:cs="宋体"/>
          <w:strike/>
          <w:dstrike w:val="0"/>
          <w:color w:val="auto"/>
          <w:spacing w:val="-26"/>
          <w:sz w:val="21"/>
          <w:szCs w:val="21"/>
          <w:highlight w:val="none"/>
        </w:rPr>
        <w:t xml:space="preserve"> </w:t>
      </w:r>
      <w:r>
        <w:rPr>
          <w:rFonts w:ascii="宋体" w:hAnsi="宋体" w:eastAsia="宋体" w:cs="宋体"/>
          <w:strike/>
          <w:dstrike w:val="0"/>
          <w:color w:val="auto"/>
          <w:spacing w:val="-2"/>
          <w:sz w:val="21"/>
          <w:szCs w:val="21"/>
          <w:highlight w:val="none"/>
        </w:rPr>
        <w:t>的要求。</w:t>
      </w:r>
    </w:p>
    <w:p w14:paraId="0E567734">
      <w:pPr>
        <w:pStyle w:val="3"/>
        <w:spacing w:line="242" w:lineRule="auto"/>
        <w:rPr>
          <w:strike/>
          <w:dstrike w:val="0"/>
          <w:color w:val="auto"/>
          <w:highlight w:val="none"/>
        </w:rPr>
      </w:pPr>
    </w:p>
    <w:p w14:paraId="26ED9EB4">
      <w:pPr>
        <w:pStyle w:val="3"/>
        <w:spacing w:line="242" w:lineRule="auto"/>
        <w:rPr>
          <w:strike/>
          <w:dstrike w:val="0"/>
          <w:color w:val="auto"/>
          <w:highlight w:val="none"/>
        </w:rPr>
      </w:pPr>
    </w:p>
    <w:p w14:paraId="00F549E1">
      <w:pPr>
        <w:pStyle w:val="3"/>
        <w:spacing w:line="242" w:lineRule="auto"/>
        <w:rPr>
          <w:strike/>
          <w:dstrike w:val="0"/>
          <w:color w:val="auto"/>
          <w:highlight w:val="none"/>
        </w:rPr>
      </w:pPr>
    </w:p>
    <w:p w14:paraId="7CC8F990">
      <w:pPr>
        <w:pStyle w:val="3"/>
        <w:spacing w:line="243" w:lineRule="auto"/>
        <w:rPr>
          <w:strike/>
          <w:dstrike w:val="0"/>
          <w:color w:val="auto"/>
          <w:highlight w:val="none"/>
        </w:rPr>
      </w:pPr>
    </w:p>
    <w:p w14:paraId="161770AE">
      <w:pPr>
        <w:pStyle w:val="3"/>
        <w:spacing w:line="243" w:lineRule="auto"/>
        <w:rPr>
          <w:strike/>
          <w:dstrike w:val="0"/>
          <w:color w:val="auto"/>
          <w:highlight w:val="none"/>
        </w:rPr>
      </w:pPr>
    </w:p>
    <w:p w14:paraId="6D529C1D">
      <w:pPr>
        <w:pStyle w:val="3"/>
        <w:spacing w:line="243" w:lineRule="auto"/>
        <w:rPr>
          <w:strike/>
          <w:dstrike w:val="0"/>
          <w:color w:val="auto"/>
          <w:highlight w:val="none"/>
        </w:rPr>
      </w:pPr>
    </w:p>
    <w:p w14:paraId="42C287BD">
      <w:pPr>
        <w:pStyle w:val="3"/>
        <w:spacing w:line="243" w:lineRule="auto"/>
        <w:rPr>
          <w:strike/>
          <w:dstrike w:val="0"/>
          <w:color w:val="auto"/>
          <w:highlight w:val="none"/>
        </w:rPr>
      </w:pPr>
    </w:p>
    <w:p w14:paraId="685578A7">
      <w:pPr>
        <w:pStyle w:val="3"/>
        <w:spacing w:line="243" w:lineRule="auto"/>
        <w:rPr>
          <w:strike/>
          <w:dstrike w:val="0"/>
          <w:color w:val="auto"/>
          <w:highlight w:val="none"/>
        </w:rPr>
      </w:pPr>
    </w:p>
    <w:p w14:paraId="01554796">
      <w:pPr>
        <w:pStyle w:val="3"/>
        <w:spacing w:line="243" w:lineRule="auto"/>
        <w:rPr>
          <w:strike/>
          <w:dstrike w:val="0"/>
          <w:color w:val="auto"/>
          <w:highlight w:val="none"/>
        </w:rPr>
      </w:pPr>
    </w:p>
    <w:p w14:paraId="6A225E4E">
      <w:pPr>
        <w:pStyle w:val="3"/>
        <w:spacing w:line="243" w:lineRule="auto"/>
        <w:rPr>
          <w:strike/>
          <w:dstrike w:val="0"/>
          <w:color w:val="auto"/>
          <w:highlight w:val="none"/>
        </w:rPr>
      </w:pPr>
    </w:p>
    <w:p w14:paraId="22788069">
      <w:pPr>
        <w:pStyle w:val="3"/>
        <w:spacing w:line="243" w:lineRule="auto"/>
        <w:rPr>
          <w:strike/>
          <w:dstrike w:val="0"/>
          <w:color w:val="auto"/>
          <w:highlight w:val="none"/>
        </w:rPr>
      </w:pPr>
    </w:p>
    <w:p w14:paraId="4AF1A249">
      <w:pPr>
        <w:pStyle w:val="3"/>
        <w:spacing w:line="243" w:lineRule="auto"/>
        <w:rPr>
          <w:strike/>
          <w:dstrike w:val="0"/>
          <w:color w:val="auto"/>
          <w:highlight w:val="none"/>
        </w:rPr>
      </w:pPr>
    </w:p>
    <w:p w14:paraId="46B4A9F5">
      <w:pPr>
        <w:pStyle w:val="3"/>
        <w:spacing w:line="243" w:lineRule="auto"/>
        <w:rPr>
          <w:strike/>
          <w:dstrike w:val="0"/>
          <w:color w:val="auto"/>
          <w:highlight w:val="none"/>
        </w:rPr>
      </w:pPr>
    </w:p>
    <w:p w14:paraId="3EF7B475">
      <w:pPr>
        <w:spacing w:before="58" w:line="242" w:lineRule="auto"/>
        <w:ind w:left="1422" w:right="1432"/>
        <w:rPr>
          <w:rFonts w:ascii="宋体" w:hAnsi="宋体" w:eastAsia="宋体" w:cs="宋体"/>
          <w:strike/>
          <w:dstrike w:val="0"/>
          <w:color w:val="auto"/>
          <w:sz w:val="18"/>
          <w:szCs w:val="18"/>
          <w:highlight w:val="none"/>
        </w:rPr>
      </w:pPr>
      <w:r>
        <w:rPr>
          <w:rFonts w:ascii="宋体" w:hAnsi="宋体" w:eastAsia="宋体" w:cs="宋体"/>
          <w:strike/>
          <w:dstrike w:val="0"/>
          <w:color w:val="auto"/>
          <w:spacing w:val="-2"/>
          <w:sz w:val="18"/>
          <w:szCs w:val="18"/>
          <w:highlight w:val="none"/>
        </w:rPr>
        <w:t>① 仅适用于特大桥梁工程、长大隧道（含特长或长隧道）工程、桥隧比较大工程（桥隧比</w:t>
      </w:r>
      <w:r>
        <w:rPr>
          <w:rFonts w:ascii="Times New Roman" w:hAnsi="Times New Roman" w:eastAsia="Times New Roman" w:cs="Times New Roman"/>
          <w:strike/>
          <w:dstrike w:val="0"/>
          <w:color w:val="auto"/>
          <w:spacing w:val="-2"/>
          <w:sz w:val="18"/>
          <w:szCs w:val="18"/>
          <w:highlight w:val="none"/>
        </w:rPr>
        <w:t>≥35%</w:t>
      </w:r>
      <w:r>
        <w:rPr>
          <w:rFonts w:ascii="宋体" w:hAnsi="宋体" w:eastAsia="宋体" w:cs="宋体"/>
          <w:strike/>
          <w:dstrike w:val="0"/>
          <w:color w:val="auto"/>
          <w:spacing w:val="-2"/>
          <w:sz w:val="18"/>
          <w:szCs w:val="18"/>
          <w:highlight w:val="none"/>
        </w:rPr>
        <w:t>）、路面</w:t>
      </w:r>
      <w:r>
        <w:rPr>
          <w:rFonts w:ascii="宋体" w:hAnsi="宋体" w:eastAsia="宋体" w:cs="宋体"/>
          <w:strike/>
          <w:dstrike w:val="0"/>
          <w:color w:val="auto"/>
          <w:spacing w:val="-3"/>
          <w:sz w:val="18"/>
          <w:szCs w:val="18"/>
          <w:highlight w:val="none"/>
        </w:rPr>
        <w:t>工程标类以</w:t>
      </w:r>
      <w:r>
        <w:rPr>
          <w:rFonts w:ascii="宋体" w:hAnsi="宋体" w:eastAsia="宋体" w:cs="宋体"/>
          <w:strike/>
          <w:dstrike w:val="0"/>
          <w:color w:val="auto"/>
          <w:spacing w:val="-1"/>
          <w:sz w:val="18"/>
          <w:szCs w:val="18"/>
          <w:highlight w:val="none"/>
        </w:rPr>
        <w:t>及高速公路改建、扩建项目的土建工程施工招标，选用对其他管理和技术人员进行资格评审的情形。</w:t>
      </w:r>
    </w:p>
    <w:p w14:paraId="1CD992F4">
      <w:pPr>
        <w:spacing w:line="242" w:lineRule="auto"/>
        <w:rPr>
          <w:rFonts w:ascii="宋体" w:hAnsi="宋体" w:eastAsia="宋体" w:cs="宋体"/>
          <w:strike/>
          <w:dstrike w:val="0"/>
          <w:color w:val="auto"/>
          <w:sz w:val="18"/>
          <w:szCs w:val="18"/>
          <w:highlight w:val="none"/>
        </w:rPr>
        <w:sectPr>
          <w:headerReference r:id="rId198" w:type="default"/>
          <w:footerReference r:id="rId199" w:type="default"/>
          <w:pgSz w:w="11905" w:h="16840"/>
          <w:pgMar w:top="1182" w:right="0" w:bottom="1171" w:left="0" w:header="849" w:footer="937" w:gutter="0"/>
          <w:pgNumType w:fmt="decimal"/>
          <w:cols w:space="720" w:num="1"/>
        </w:sectPr>
      </w:pPr>
    </w:p>
    <w:p w14:paraId="086641FE">
      <w:pPr>
        <w:pStyle w:val="3"/>
        <w:spacing w:line="293" w:lineRule="auto"/>
        <w:rPr>
          <w:color w:val="auto"/>
          <w:highlight w:val="none"/>
        </w:rPr>
      </w:pPr>
    </w:p>
    <w:p w14:paraId="3DA8F8BA">
      <w:pPr>
        <w:spacing w:before="88" w:line="241" w:lineRule="auto"/>
        <w:ind w:left="3059"/>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（七）-2</w:t>
      </w:r>
      <w:r>
        <w:rPr>
          <w:rFonts w:ascii="宋体" w:hAnsi="宋体" w:eastAsia="宋体" w:cs="宋体"/>
          <w:strike/>
          <w:dstrike w:val="0"/>
          <w:color w:val="auto"/>
          <w:spacing w:val="-51"/>
          <w:sz w:val="27"/>
          <w:szCs w:val="27"/>
          <w:highlight w:val="none"/>
        </w:rPr>
        <w:t xml:space="preserve"> </w:t>
      </w:r>
      <w:r>
        <w:rPr>
          <w:rFonts w:ascii="宋体" w:hAnsi="宋体" w:eastAsia="宋体" w:cs="宋体"/>
          <w:b/>
          <w:bCs/>
          <w:strike/>
          <w:dstrike w:val="0"/>
          <w:color w:val="auto"/>
          <w:spacing w:val="6"/>
          <w:sz w:val="27"/>
          <w:szCs w:val="27"/>
          <w:highlight w:val="none"/>
        </w:rPr>
        <w:t>拟委任的其他管理和技术人员资历表</w:t>
      </w:r>
      <w:r>
        <w:rPr>
          <w:rFonts w:ascii="宋体" w:hAnsi="宋体" w:eastAsia="宋体" w:cs="宋体"/>
          <w:b/>
          <w:bCs/>
          <w:strike/>
          <w:dstrike w:val="0"/>
          <w:color w:val="auto"/>
          <w:spacing w:val="6"/>
          <w:position w:val="14"/>
          <w:sz w:val="13"/>
          <w:szCs w:val="13"/>
          <w:highlight w:val="none"/>
        </w:rPr>
        <w:t>①</w:t>
      </w:r>
    </w:p>
    <w:p w14:paraId="346E5BD8">
      <w:pPr>
        <w:spacing w:before="37"/>
        <w:rPr>
          <w:strike/>
          <w:dstrike w:val="0"/>
          <w:color w:val="auto"/>
          <w:highlight w:val="none"/>
        </w:rPr>
      </w:pPr>
    </w:p>
    <w:tbl>
      <w:tblPr>
        <w:tblStyle w:val="16"/>
        <w:tblW w:w="9299" w:type="dxa"/>
        <w:tblInd w:w="1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169D4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9" w:type="dxa"/>
            <w:vAlign w:val="top"/>
          </w:tcPr>
          <w:p w14:paraId="1D02806A">
            <w:pPr>
              <w:pStyle w:val="17"/>
              <w:spacing w:before="225" w:line="220" w:lineRule="auto"/>
              <w:ind w:left="484"/>
              <w:rPr>
                <w:strike/>
                <w:dstrike w:val="0"/>
                <w:color w:val="auto"/>
                <w:highlight w:val="none"/>
              </w:rPr>
            </w:pPr>
            <w:r>
              <w:rPr>
                <w:strike/>
                <w:dstrike w:val="0"/>
                <w:color w:val="auto"/>
                <w:spacing w:val="-3"/>
                <w:highlight w:val="none"/>
              </w:rPr>
              <w:t>姓名</w:t>
            </w:r>
          </w:p>
        </w:tc>
        <w:tc>
          <w:tcPr>
            <w:tcW w:w="1199" w:type="dxa"/>
            <w:vAlign w:val="top"/>
          </w:tcPr>
          <w:p w14:paraId="1197D432">
            <w:pPr>
              <w:rPr>
                <w:rFonts w:ascii="Arial"/>
                <w:strike/>
                <w:dstrike w:val="0"/>
                <w:color w:val="auto"/>
                <w:sz w:val="21"/>
                <w:highlight w:val="none"/>
              </w:rPr>
            </w:pPr>
          </w:p>
        </w:tc>
        <w:tc>
          <w:tcPr>
            <w:tcW w:w="1649" w:type="dxa"/>
            <w:vAlign w:val="top"/>
          </w:tcPr>
          <w:p w14:paraId="4E0007B1">
            <w:pPr>
              <w:pStyle w:val="17"/>
              <w:spacing w:before="225" w:line="220" w:lineRule="auto"/>
              <w:ind w:left="620"/>
              <w:rPr>
                <w:strike/>
                <w:dstrike w:val="0"/>
                <w:color w:val="auto"/>
                <w:highlight w:val="none"/>
              </w:rPr>
            </w:pPr>
            <w:r>
              <w:rPr>
                <w:strike/>
                <w:dstrike w:val="0"/>
                <w:color w:val="auto"/>
                <w:spacing w:val="-3"/>
                <w:highlight w:val="none"/>
              </w:rPr>
              <w:t>年龄</w:t>
            </w:r>
          </w:p>
        </w:tc>
        <w:tc>
          <w:tcPr>
            <w:tcW w:w="1463" w:type="dxa"/>
            <w:vAlign w:val="top"/>
          </w:tcPr>
          <w:p w14:paraId="7376EB5C">
            <w:pPr>
              <w:rPr>
                <w:rFonts w:ascii="Arial"/>
                <w:strike/>
                <w:dstrike w:val="0"/>
                <w:color w:val="auto"/>
                <w:sz w:val="21"/>
                <w:highlight w:val="none"/>
              </w:rPr>
            </w:pPr>
          </w:p>
        </w:tc>
        <w:tc>
          <w:tcPr>
            <w:tcW w:w="1775" w:type="dxa"/>
            <w:vAlign w:val="top"/>
          </w:tcPr>
          <w:p w14:paraId="1A2B75AD">
            <w:pPr>
              <w:pStyle w:val="17"/>
              <w:spacing w:before="226" w:line="220" w:lineRule="auto"/>
              <w:ind w:left="684"/>
              <w:rPr>
                <w:strike/>
                <w:dstrike w:val="0"/>
                <w:color w:val="auto"/>
                <w:highlight w:val="none"/>
              </w:rPr>
            </w:pPr>
            <w:r>
              <w:rPr>
                <w:strike/>
                <w:dstrike w:val="0"/>
                <w:color w:val="auto"/>
                <w:spacing w:val="-3"/>
                <w:highlight w:val="none"/>
              </w:rPr>
              <w:t>专业</w:t>
            </w:r>
          </w:p>
        </w:tc>
        <w:tc>
          <w:tcPr>
            <w:tcW w:w="1834" w:type="dxa"/>
            <w:vAlign w:val="top"/>
          </w:tcPr>
          <w:p w14:paraId="379A5550">
            <w:pPr>
              <w:rPr>
                <w:rFonts w:ascii="Arial"/>
                <w:strike/>
                <w:dstrike w:val="0"/>
                <w:color w:val="auto"/>
                <w:sz w:val="21"/>
                <w:highlight w:val="none"/>
              </w:rPr>
            </w:pPr>
          </w:p>
        </w:tc>
      </w:tr>
      <w:tr w14:paraId="42112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6FDF99EC">
            <w:pPr>
              <w:spacing w:line="267" w:lineRule="auto"/>
              <w:rPr>
                <w:rFonts w:ascii="Arial"/>
                <w:strike/>
                <w:dstrike w:val="0"/>
                <w:color w:val="auto"/>
                <w:sz w:val="21"/>
                <w:highlight w:val="none"/>
              </w:rPr>
            </w:pPr>
          </w:p>
          <w:p w14:paraId="20DF71DD">
            <w:pPr>
              <w:pStyle w:val="17"/>
              <w:spacing w:before="68" w:line="220" w:lineRule="auto"/>
              <w:ind w:left="275"/>
              <w:rPr>
                <w:strike/>
                <w:dstrike w:val="0"/>
                <w:color w:val="auto"/>
                <w:highlight w:val="none"/>
              </w:rPr>
            </w:pPr>
            <w:r>
              <w:rPr>
                <w:strike/>
                <w:dstrike w:val="0"/>
                <w:color w:val="auto"/>
                <w:spacing w:val="-2"/>
                <w:highlight w:val="none"/>
              </w:rPr>
              <w:t>技术职称</w:t>
            </w:r>
          </w:p>
        </w:tc>
        <w:tc>
          <w:tcPr>
            <w:tcW w:w="1199" w:type="dxa"/>
            <w:vAlign w:val="top"/>
          </w:tcPr>
          <w:p w14:paraId="415D5916">
            <w:pPr>
              <w:rPr>
                <w:rFonts w:ascii="Arial"/>
                <w:strike/>
                <w:dstrike w:val="0"/>
                <w:color w:val="auto"/>
                <w:sz w:val="21"/>
                <w:highlight w:val="none"/>
              </w:rPr>
            </w:pPr>
          </w:p>
        </w:tc>
        <w:tc>
          <w:tcPr>
            <w:tcW w:w="1649" w:type="dxa"/>
            <w:vAlign w:val="top"/>
          </w:tcPr>
          <w:p w14:paraId="04285985">
            <w:pPr>
              <w:spacing w:line="267" w:lineRule="auto"/>
              <w:rPr>
                <w:rFonts w:ascii="Arial"/>
                <w:strike/>
                <w:dstrike w:val="0"/>
                <w:color w:val="auto"/>
                <w:sz w:val="21"/>
                <w:highlight w:val="none"/>
              </w:rPr>
            </w:pPr>
          </w:p>
          <w:p w14:paraId="3C85125C">
            <w:pPr>
              <w:pStyle w:val="17"/>
              <w:spacing w:before="69" w:line="221" w:lineRule="auto"/>
              <w:ind w:left="623"/>
              <w:rPr>
                <w:strike/>
                <w:dstrike w:val="0"/>
                <w:color w:val="auto"/>
                <w:highlight w:val="none"/>
              </w:rPr>
            </w:pPr>
            <w:r>
              <w:rPr>
                <w:strike/>
                <w:dstrike w:val="0"/>
                <w:color w:val="auto"/>
                <w:spacing w:val="-4"/>
                <w:highlight w:val="none"/>
              </w:rPr>
              <w:t>学历</w:t>
            </w:r>
          </w:p>
        </w:tc>
        <w:tc>
          <w:tcPr>
            <w:tcW w:w="1463" w:type="dxa"/>
            <w:vAlign w:val="top"/>
          </w:tcPr>
          <w:p w14:paraId="66E613D4">
            <w:pPr>
              <w:rPr>
                <w:rFonts w:ascii="Arial"/>
                <w:strike/>
                <w:dstrike w:val="0"/>
                <w:color w:val="auto"/>
                <w:sz w:val="21"/>
                <w:highlight w:val="none"/>
              </w:rPr>
            </w:pPr>
          </w:p>
        </w:tc>
        <w:tc>
          <w:tcPr>
            <w:tcW w:w="1775" w:type="dxa"/>
            <w:vAlign w:val="top"/>
          </w:tcPr>
          <w:p w14:paraId="3F19BF0F">
            <w:pPr>
              <w:pStyle w:val="17"/>
              <w:spacing w:before="138" w:line="288" w:lineRule="auto"/>
              <w:ind w:left="475" w:right="358" w:hanging="106"/>
              <w:rPr>
                <w:strike/>
                <w:dstrike w:val="0"/>
                <w:color w:val="auto"/>
                <w:highlight w:val="none"/>
              </w:rPr>
            </w:pPr>
            <w:r>
              <w:rPr>
                <w:strike/>
                <w:dstrike w:val="0"/>
                <w:color w:val="auto"/>
                <w:spacing w:val="-2"/>
                <w:highlight w:val="none"/>
              </w:rPr>
              <w:t>拟在本标段</w:t>
            </w:r>
            <w:r>
              <w:rPr>
                <w:strike/>
                <w:dstrike w:val="0"/>
                <w:color w:val="auto"/>
                <w:spacing w:val="-3"/>
                <w:highlight w:val="none"/>
              </w:rPr>
              <w:t>工程任职</w:t>
            </w:r>
          </w:p>
        </w:tc>
        <w:tc>
          <w:tcPr>
            <w:tcW w:w="1834" w:type="dxa"/>
            <w:vAlign w:val="top"/>
          </w:tcPr>
          <w:p w14:paraId="72D28181">
            <w:pPr>
              <w:rPr>
                <w:rFonts w:ascii="Arial"/>
                <w:strike/>
                <w:dstrike w:val="0"/>
                <w:color w:val="auto"/>
                <w:sz w:val="21"/>
                <w:highlight w:val="none"/>
              </w:rPr>
            </w:pPr>
          </w:p>
        </w:tc>
      </w:tr>
      <w:tr w14:paraId="277E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599330D6">
            <w:pPr>
              <w:spacing w:line="268" w:lineRule="auto"/>
              <w:rPr>
                <w:rFonts w:ascii="Arial"/>
                <w:strike/>
                <w:dstrike w:val="0"/>
                <w:color w:val="auto"/>
                <w:sz w:val="21"/>
                <w:highlight w:val="none"/>
              </w:rPr>
            </w:pPr>
          </w:p>
          <w:p w14:paraId="0536863C">
            <w:pPr>
              <w:pStyle w:val="17"/>
              <w:spacing w:before="68" w:line="220" w:lineRule="auto"/>
              <w:ind w:left="276"/>
              <w:rPr>
                <w:strike/>
                <w:dstrike w:val="0"/>
                <w:color w:val="auto"/>
                <w:highlight w:val="none"/>
              </w:rPr>
            </w:pPr>
            <w:r>
              <w:rPr>
                <w:strike/>
                <w:dstrike w:val="0"/>
                <w:color w:val="auto"/>
                <w:spacing w:val="-3"/>
                <w:highlight w:val="none"/>
              </w:rPr>
              <w:t>工作年限</w:t>
            </w:r>
          </w:p>
        </w:tc>
        <w:tc>
          <w:tcPr>
            <w:tcW w:w="4311" w:type="dxa"/>
            <w:gridSpan w:val="3"/>
            <w:vAlign w:val="top"/>
          </w:tcPr>
          <w:p w14:paraId="48CE91BE">
            <w:pPr>
              <w:rPr>
                <w:rFonts w:ascii="Arial"/>
                <w:strike/>
                <w:dstrike w:val="0"/>
                <w:color w:val="auto"/>
                <w:sz w:val="21"/>
                <w:highlight w:val="none"/>
              </w:rPr>
            </w:pPr>
          </w:p>
        </w:tc>
        <w:tc>
          <w:tcPr>
            <w:tcW w:w="1775" w:type="dxa"/>
            <w:vAlign w:val="top"/>
          </w:tcPr>
          <w:p w14:paraId="1D3D9DAA">
            <w:pPr>
              <w:pStyle w:val="17"/>
              <w:spacing w:before="138" w:line="288" w:lineRule="auto"/>
              <w:ind w:left="683" w:right="254" w:hanging="420"/>
              <w:rPr>
                <w:strike/>
                <w:dstrike w:val="0"/>
                <w:color w:val="auto"/>
                <w:highlight w:val="none"/>
              </w:rPr>
            </w:pPr>
            <w:r>
              <w:rPr>
                <w:strike/>
                <w:dstrike w:val="0"/>
                <w:color w:val="auto"/>
                <w:spacing w:val="-2"/>
                <w:highlight w:val="none"/>
              </w:rPr>
              <w:t>类似施工经验</w:t>
            </w:r>
            <w:r>
              <w:rPr>
                <w:strike/>
                <w:dstrike w:val="0"/>
                <w:color w:val="auto"/>
                <w:spacing w:val="-3"/>
                <w:highlight w:val="none"/>
              </w:rPr>
              <w:t>年限</w:t>
            </w:r>
          </w:p>
        </w:tc>
        <w:tc>
          <w:tcPr>
            <w:tcW w:w="1834" w:type="dxa"/>
            <w:vAlign w:val="top"/>
          </w:tcPr>
          <w:p w14:paraId="62FBAA1A">
            <w:pPr>
              <w:rPr>
                <w:rFonts w:ascii="Arial"/>
                <w:strike/>
                <w:dstrike w:val="0"/>
                <w:color w:val="auto"/>
                <w:sz w:val="21"/>
                <w:highlight w:val="none"/>
              </w:rPr>
            </w:pPr>
          </w:p>
        </w:tc>
      </w:tr>
      <w:tr w14:paraId="30EA0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434C7025">
            <w:pPr>
              <w:pStyle w:val="17"/>
              <w:spacing w:before="222" w:line="220" w:lineRule="auto"/>
              <w:ind w:left="278"/>
              <w:rPr>
                <w:strike/>
                <w:dstrike w:val="0"/>
                <w:color w:val="auto"/>
                <w:highlight w:val="none"/>
              </w:rPr>
            </w:pPr>
            <w:r>
              <w:rPr>
                <w:strike/>
                <w:dstrike w:val="0"/>
                <w:color w:val="auto"/>
                <w:spacing w:val="-3"/>
                <w:highlight w:val="none"/>
              </w:rPr>
              <w:t>毕业学校</w:t>
            </w:r>
          </w:p>
        </w:tc>
        <w:tc>
          <w:tcPr>
            <w:tcW w:w="7920" w:type="dxa"/>
            <w:gridSpan w:val="5"/>
            <w:vAlign w:val="top"/>
          </w:tcPr>
          <w:p w14:paraId="6E11C703">
            <w:pPr>
              <w:pStyle w:val="17"/>
              <w:spacing w:before="223" w:line="213" w:lineRule="auto"/>
              <w:ind w:left="857"/>
              <w:rPr>
                <w:strike/>
                <w:dstrike w:val="0"/>
                <w:color w:val="auto"/>
                <w:highlight w:val="none"/>
              </w:rPr>
            </w:pPr>
            <w:r>
              <w:rPr>
                <w:strike/>
                <w:dstrike w:val="0"/>
                <w:color w:val="auto"/>
                <w:highlight w:val="none"/>
              </w:rPr>
              <w:t>______年___月毕业于__________学校________专业，学制______年</w:t>
            </w:r>
          </w:p>
        </w:tc>
      </w:tr>
      <w:tr w14:paraId="2E8A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vAlign w:val="top"/>
          </w:tcPr>
          <w:p w14:paraId="60BF5055">
            <w:pPr>
              <w:pStyle w:val="17"/>
              <w:spacing w:before="224" w:line="222" w:lineRule="auto"/>
              <w:ind w:left="4446"/>
              <w:rPr>
                <w:strike/>
                <w:dstrike w:val="0"/>
                <w:color w:val="auto"/>
                <w:highlight w:val="none"/>
              </w:rPr>
            </w:pPr>
            <w:r>
              <w:rPr>
                <w:strike/>
                <w:dstrike w:val="0"/>
                <w:color w:val="auto"/>
                <w:spacing w:val="-3"/>
                <w:highlight w:val="none"/>
              </w:rPr>
              <w:t>经历</w:t>
            </w:r>
          </w:p>
        </w:tc>
      </w:tr>
      <w:tr w14:paraId="1895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14AEB9CB">
            <w:pPr>
              <w:spacing w:line="269" w:lineRule="auto"/>
              <w:rPr>
                <w:rFonts w:ascii="Arial"/>
                <w:strike/>
                <w:dstrike w:val="0"/>
                <w:color w:val="auto"/>
                <w:sz w:val="21"/>
                <w:highlight w:val="none"/>
              </w:rPr>
            </w:pPr>
          </w:p>
          <w:p w14:paraId="102FA685">
            <w:pPr>
              <w:pStyle w:val="17"/>
              <w:spacing w:before="69" w:line="222" w:lineRule="auto"/>
              <w:ind w:left="494"/>
              <w:rPr>
                <w:strike/>
                <w:dstrike w:val="0"/>
                <w:color w:val="auto"/>
                <w:highlight w:val="none"/>
              </w:rPr>
            </w:pPr>
            <w:r>
              <w:rPr>
                <w:strike/>
                <w:dstrike w:val="0"/>
                <w:color w:val="auto"/>
                <w:spacing w:val="-5"/>
                <w:highlight w:val="none"/>
              </w:rPr>
              <w:t>时间</w:t>
            </w:r>
          </w:p>
        </w:tc>
        <w:tc>
          <w:tcPr>
            <w:tcW w:w="4311" w:type="dxa"/>
            <w:gridSpan w:val="3"/>
            <w:vAlign w:val="top"/>
          </w:tcPr>
          <w:p w14:paraId="34BB4A1F">
            <w:pPr>
              <w:spacing w:line="269" w:lineRule="auto"/>
              <w:rPr>
                <w:rFonts w:ascii="Arial"/>
                <w:strike/>
                <w:dstrike w:val="0"/>
                <w:color w:val="auto"/>
                <w:sz w:val="21"/>
                <w:highlight w:val="none"/>
              </w:rPr>
            </w:pPr>
          </w:p>
          <w:p w14:paraId="26B0861D">
            <w:pPr>
              <w:pStyle w:val="17"/>
              <w:spacing w:before="69" w:line="220" w:lineRule="auto"/>
              <w:ind w:left="902"/>
              <w:rPr>
                <w:strike/>
                <w:dstrike w:val="0"/>
                <w:color w:val="auto"/>
                <w:highlight w:val="none"/>
              </w:rPr>
            </w:pPr>
            <w:r>
              <w:rPr>
                <w:strike/>
                <w:dstrike w:val="0"/>
                <w:color w:val="auto"/>
                <w:spacing w:val="-1"/>
                <w:highlight w:val="none"/>
              </w:rPr>
              <w:t>参加过的类似工程项目名称</w:t>
            </w:r>
          </w:p>
        </w:tc>
        <w:tc>
          <w:tcPr>
            <w:tcW w:w="1775" w:type="dxa"/>
            <w:vAlign w:val="top"/>
          </w:tcPr>
          <w:p w14:paraId="78583B45">
            <w:pPr>
              <w:spacing w:line="269" w:lineRule="auto"/>
              <w:rPr>
                <w:rFonts w:ascii="Arial"/>
                <w:strike/>
                <w:dstrike w:val="0"/>
                <w:color w:val="auto"/>
                <w:sz w:val="21"/>
                <w:highlight w:val="none"/>
              </w:rPr>
            </w:pPr>
          </w:p>
          <w:p w14:paraId="61D2FCF6">
            <w:pPr>
              <w:pStyle w:val="17"/>
              <w:spacing w:before="69" w:line="220" w:lineRule="auto"/>
              <w:ind w:left="474"/>
              <w:rPr>
                <w:strike/>
                <w:dstrike w:val="0"/>
                <w:color w:val="auto"/>
                <w:highlight w:val="none"/>
              </w:rPr>
            </w:pPr>
            <w:r>
              <w:rPr>
                <w:strike/>
                <w:dstrike w:val="0"/>
                <w:color w:val="auto"/>
                <w:spacing w:val="-2"/>
                <w:highlight w:val="none"/>
              </w:rPr>
              <w:t>担任职务</w:t>
            </w:r>
          </w:p>
        </w:tc>
        <w:tc>
          <w:tcPr>
            <w:tcW w:w="1834" w:type="dxa"/>
            <w:vAlign w:val="top"/>
          </w:tcPr>
          <w:p w14:paraId="3F5E1FBB">
            <w:pPr>
              <w:pStyle w:val="17"/>
              <w:spacing w:before="140" w:line="220" w:lineRule="auto"/>
              <w:ind w:left="505"/>
              <w:rPr>
                <w:strike/>
                <w:dstrike w:val="0"/>
                <w:color w:val="auto"/>
                <w:highlight w:val="none"/>
              </w:rPr>
            </w:pPr>
            <w:r>
              <w:rPr>
                <w:strike/>
                <w:dstrike w:val="0"/>
                <w:color w:val="auto"/>
                <w:spacing w:val="-3"/>
                <w:highlight w:val="none"/>
              </w:rPr>
              <w:t>发包人及</w:t>
            </w:r>
          </w:p>
          <w:p w14:paraId="0C65E898">
            <w:pPr>
              <w:pStyle w:val="17"/>
              <w:spacing w:before="149" w:line="222" w:lineRule="auto"/>
              <w:ind w:left="503"/>
              <w:rPr>
                <w:strike/>
                <w:dstrike w:val="0"/>
                <w:color w:val="auto"/>
                <w:highlight w:val="none"/>
              </w:rPr>
            </w:pPr>
            <w:r>
              <w:rPr>
                <w:strike/>
                <w:dstrike w:val="0"/>
                <w:color w:val="auto"/>
                <w:spacing w:val="-2"/>
                <w:highlight w:val="none"/>
              </w:rPr>
              <w:t>联系电话</w:t>
            </w:r>
          </w:p>
        </w:tc>
      </w:tr>
      <w:tr w14:paraId="0B4E3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7B680FE2">
            <w:pPr>
              <w:rPr>
                <w:rFonts w:ascii="Arial"/>
                <w:strike/>
                <w:dstrike w:val="0"/>
                <w:color w:val="auto"/>
                <w:sz w:val="21"/>
                <w:highlight w:val="none"/>
              </w:rPr>
            </w:pPr>
          </w:p>
        </w:tc>
        <w:tc>
          <w:tcPr>
            <w:tcW w:w="4311" w:type="dxa"/>
            <w:gridSpan w:val="3"/>
            <w:vAlign w:val="top"/>
          </w:tcPr>
          <w:p w14:paraId="36265E3C">
            <w:pPr>
              <w:rPr>
                <w:rFonts w:ascii="Arial"/>
                <w:strike/>
                <w:dstrike w:val="0"/>
                <w:color w:val="auto"/>
                <w:sz w:val="21"/>
                <w:highlight w:val="none"/>
              </w:rPr>
            </w:pPr>
          </w:p>
        </w:tc>
        <w:tc>
          <w:tcPr>
            <w:tcW w:w="1775" w:type="dxa"/>
            <w:vAlign w:val="top"/>
          </w:tcPr>
          <w:p w14:paraId="473084DF">
            <w:pPr>
              <w:rPr>
                <w:rFonts w:ascii="Arial"/>
                <w:strike/>
                <w:dstrike w:val="0"/>
                <w:color w:val="auto"/>
                <w:sz w:val="21"/>
                <w:highlight w:val="none"/>
              </w:rPr>
            </w:pPr>
          </w:p>
        </w:tc>
        <w:tc>
          <w:tcPr>
            <w:tcW w:w="1834" w:type="dxa"/>
            <w:vAlign w:val="top"/>
          </w:tcPr>
          <w:p w14:paraId="7FE3B387">
            <w:pPr>
              <w:rPr>
                <w:rFonts w:ascii="Arial"/>
                <w:strike/>
                <w:dstrike w:val="0"/>
                <w:color w:val="auto"/>
                <w:sz w:val="21"/>
                <w:highlight w:val="none"/>
              </w:rPr>
            </w:pPr>
          </w:p>
        </w:tc>
      </w:tr>
      <w:tr w14:paraId="6061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4ADE4B8F">
            <w:pPr>
              <w:rPr>
                <w:rFonts w:ascii="Arial"/>
                <w:strike/>
                <w:dstrike w:val="0"/>
                <w:color w:val="auto"/>
                <w:sz w:val="21"/>
                <w:highlight w:val="none"/>
              </w:rPr>
            </w:pPr>
          </w:p>
        </w:tc>
        <w:tc>
          <w:tcPr>
            <w:tcW w:w="4311" w:type="dxa"/>
            <w:gridSpan w:val="3"/>
            <w:vAlign w:val="top"/>
          </w:tcPr>
          <w:p w14:paraId="4ABBB8B3">
            <w:pPr>
              <w:rPr>
                <w:rFonts w:ascii="Arial"/>
                <w:strike/>
                <w:dstrike w:val="0"/>
                <w:color w:val="auto"/>
                <w:sz w:val="21"/>
                <w:highlight w:val="none"/>
              </w:rPr>
            </w:pPr>
          </w:p>
        </w:tc>
        <w:tc>
          <w:tcPr>
            <w:tcW w:w="1775" w:type="dxa"/>
            <w:vAlign w:val="top"/>
          </w:tcPr>
          <w:p w14:paraId="049D642C">
            <w:pPr>
              <w:rPr>
                <w:rFonts w:ascii="Arial"/>
                <w:strike/>
                <w:dstrike w:val="0"/>
                <w:color w:val="auto"/>
                <w:sz w:val="21"/>
                <w:highlight w:val="none"/>
              </w:rPr>
            </w:pPr>
          </w:p>
        </w:tc>
        <w:tc>
          <w:tcPr>
            <w:tcW w:w="1834" w:type="dxa"/>
            <w:vAlign w:val="top"/>
          </w:tcPr>
          <w:p w14:paraId="5509763E">
            <w:pPr>
              <w:rPr>
                <w:rFonts w:ascii="Arial"/>
                <w:strike/>
                <w:dstrike w:val="0"/>
                <w:color w:val="auto"/>
                <w:sz w:val="21"/>
                <w:highlight w:val="none"/>
              </w:rPr>
            </w:pPr>
          </w:p>
        </w:tc>
      </w:tr>
      <w:tr w14:paraId="61A2A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65C68D9">
            <w:pPr>
              <w:rPr>
                <w:rFonts w:ascii="Arial"/>
                <w:strike/>
                <w:dstrike w:val="0"/>
                <w:color w:val="auto"/>
                <w:sz w:val="21"/>
                <w:highlight w:val="none"/>
              </w:rPr>
            </w:pPr>
          </w:p>
        </w:tc>
        <w:tc>
          <w:tcPr>
            <w:tcW w:w="4311" w:type="dxa"/>
            <w:gridSpan w:val="3"/>
            <w:vAlign w:val="top"/>
          </w:tcPr>
          <w:p w14:paraId="3248C564">
            <w:pPr>
              <w:rPr>
                <w:rFonts w:ascii="Arial"/>
                <w:strike/>
                <w:dstrike w:val="0"/>
                <w:color w:val="auto"/>
                <w:sz w:val="21"/>
                <w:highlight w:val="none"/>
              </w:rPr>
            </w:pPr>
          </w:p>
        </w:tc>
        <w:tc>
          <w:tcPr>
            <w:tcW w:w="1775" w:type="dxa"/>
            <w:vAlign w:val="top"/>
          </w:tcPr>
          <w:p w14:paraId="68F4FFDE">
            <w:pPr>
              <w:rPr>
                <w:rFonts w:ascii="Arial"/>
                <w:strike/>
                <w:dstrike w:val="0"/>
                <w:color w:val="auto"/>
                <w:sz w:val="21"/>
                <w:highlight w:val="none"/>
              </w:rPr>
            </w:pPr>
          </w:p>
        </w:tc>
        <w:tc>
          <w:tcPr>
            <w:tcW w:w="1834" w:type="dxa"/>
            <w:vAlign w:val="top"/>
          </w:tcPr>
          <w:p w14:paraId="09850C5E">
            <w:pPr>
              <w:rPr>
                <w:rFonts w:ascii="Arial"/>
                <w:strike/>
                <w:dstrike w:val="0"/>
                <w:color w:val="auto"/>
                <w:sz w:val="21"/>
                <w:highlight w:val="none"/>
              </w:rPr>
            </w:pPr>
          </w:p>
        </w:tc>
      </w:tr>
      <w:tr w14:paraId="2389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46928314">
            <w:pPr>
              <w:rPr>
                <w:rFonts w:ascii="Arial"/>
                <w:strike/>
                <w:dstrike w:val="0"/>
                <w:color w:val="auto"/>
                <w:sz w:val="21"/>
                <w:highlight w:val="none"/>
              </w:rPr>
            </w:pPr>
          </w:p>
        </w:tc>
        <w:tc>
          <w:tcPr>
            <w:tcW w:w="4311" w:type="dxa"/>
            <w:gridSpan w:val="3"/>
            <w:vAlign w:val="top"/>
          </w:tcPr>
          <w:p w14:paraId="3F439A07">
            <w:pPr>
              <w:rPr>
                <w:rFonts w:ascii="Arial"/>
                <w:strike/>
                <w:dstrike w:val="0"/>
                <w:color w:val="auto"/>
                <w:sz w:val="21"/>
                <w:highlight w:val="none"/>
              </w:rPr>
            </w:pPr>
          </w:p>
        </w:tc>
        <w:tc>
          <w:tcPr>
            <w:tcW w:w="1775" w:type="dxa"/>
            <w:vAlign w:val="top"/>
          </w:tcPr>
          <w:p w14:paraId="23BA2853">
            <w:pPr>
              <w:rPr>
                <w:rFonts w:ascii="Arial"/>
                <w:strike/>
                <w:dstrike w:val="0"/>
                <w:color w:val="auto"/>
                <w:sz w:val="21"/>
                <w:highlight w:val="none"/>
              </w:rPr>
            </w:pPr>
          </w:p>
        </w:tc>
        <w:tc>
          <w:tcPr>
            <w:tcW w:w="1834" w:type="dxa"/>
            <w:vAlign w:val="top"/>
          </w:tcPr>
          <w:p w14:paraId="38A60514">
            <w:pPr>
              <w:rPr>
                <w:rFonts w:ascii="Arial"/>
                <w:strike/>
                <w:dstrike w:val="0"/>
                <w:color w:val="auto"/>
                <w:sz w:val="21"/>
                <w:highlight w:val="none"/>
              </w:rPr>
            </w:pPr>
          </w:p>
        </w:tc>
      </w:tr>
      <w:tr w14:paraId="69288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2EA33825">
            <w:pPr>
              <w:rPr>
                <w:rFonts w:ascii="Arial"/>
                <w:strike/>
                <w:dstrike w:val="0"/>
                <w:color w:val="auto"/>
                <w:sz w:val="21"/>
                <w:highlight w:val="none"/>
              </w:rPr>
            </w:pPr>
          </w:p>
        </w:tc>
        <w:tc>
          <w:tcPr>
            <w:tcW w:w="4311" w:type="dxa"/>
            <w:gridSpan w:val="3"/>
            <w:vAlign w:val="top"/>
          </w:tcPr>
          <w:p w14:paraId="2FD42D54">
            <w:pPr>
              <w:rPr>
                <w:rFonts w:ascii="Arial"/>
                <w:strike/>
                <w:dstrike w:val="0"/>
                <w:color w:val="auto"/>
                <w:sz w:val="21"/>
                <w:highlight w:val="none"/>
              </w:rPr>
            </w:pPr>
          </w:p>
        </w:tc>
        <w:tc>
          <w:tcPr>
            <w:tcW w:w="1775" w:type="dxa"/>
            <w:vAlign w:val="top"/>
          </w:tcPr>
          <w:p w14:paraId="2917DE41">
            <w:pPr>
              <w:rPr>
                <w:rFonts w:ascii="Arial"/>
                <w:strike/>
                <w:dstrike w:val="0"/>
                <w:color w:val="auto"/>
                <w:sz w:val="21"/>
                <w:highlight w:val="none"/>
              </w:rPr>
            </w:pPr>
          </w:p>
        </w:tc>
        <w:tc>
          <w:tcPr>
            <w:tcW w:w="1834" w:type="dxa"/>
            <w:vAlign w:val="top"/>
          </w:tcPr>
          <w:p w14:paraId="159C06E2">
            <w:pPr>
              <w:rPr>
                <w:rFonts w:ascii="Arial"/>
                <w:strike/>
                <w:dstrike w:val="0"/>
                <w:color w:val="auto"/>
                <w:sz w:val="21"/>
                <w:highlight w:val="none"/>
              </w:rPr>
            </w:pPr>
          </w:p>
        </w:tc>
      </w:tr>
      <w:tr w14:paraId="7F8D7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63040155">
            <w:pPr>
              <w:rPr>
                <w:rFonts w:ascii="Arial"/>
                <w:strike/>
                <w:dstrike w:val="0"/>
                <w:color w:val="auto"/>
                <w:sz w:val="21"/>
                <w:highlight w:val="none"/>
              </w:rPr>
            </w:pPr>
          </w:p>
        </w:tc>
        <w:tc>
          <w:tcPr>
            <w:tcW w:w="4311" w:type="dxa"/>
            <w:gridSpan w:val="3"/>
            <w:vAlign w:val="top"/>
          </w:tcPr>
          <w:p w14:paraId="41FD5B92">
            <w:pPr>
              <w:rPr>
                <w:rFonts w:ascii="Arial"/>
                <w:strike/>
                <w:dstrike w:val="0"/>
                <w:color w:val="auto"/>
                <w:sz w:val="21"/>
                <w:highlight w:val="none"/>
              </w:rPr>
            </w:pPr>
          </w:p>
        </w:tc>
        <w:tc>
          <w:tcPr>
            <w:tcW w:w="1775" w:type="dxa"/>
            <w:vAlign w:val="top"/>
          </w:tcPr>
          <w:p w14:paraId="3D387FF0">
            <w:pPr>
              <w:rPr>
                <w:rFonts w:ascii="Arial"/>
                <w:strike/>
                <w:dstrike w:val="0"/>
                <w:color w:val="auto"/>
                <w:sz w:val="21"/>
                <w:highlight w:val="none"/>
              </w:rPr>
            </w:pPr>
          </w:p>
        </w:tc>
        <w:tc>
          <w:tcPr>
            <w:tcW w:w="1834" w:type="dxa"/>
            <w:vAlign w:val="top"/>
          </w:tcPr>
          <w:p w14:paraId="2B501DCA">
            <w:pPr>
              <w:rPr>
                <w:rFonts w:ascii="Arial"/>
                <w:strike/>
                <w:dstrike w:val="0"/>
                <w:color w:val="auto"/>
                <w:sz w:val="21"/>
                <w:highlight w:val="none"/>
              </w:rPr>
            </w:pPr>
          </w:p>
        </w:tc>
      </w:tr>
      <w:tr w14:paraId="24DD8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25235E82">
            <w:pPr>
              <w:rPr>
                <w:rFonts w:ascii="Arial"/>
                <w:strike/>
                <w:dstrike w:val="0"/>
                <w:color w:val="auto"/>
                <w:sz w:val="21"/>
                <w:highlight w:val="none"/>
              </w:rPr>
            </w:pPr>
          </w:p>
        </w:tc>
        <w:tc>
          <w:tcPr>
            <w:tcW w:w="4311" w:type="dxa"/>
            <w:gridSpan w:val="3"/>
            <w:vAlign w:val="top"/>
          </w:tcPr>
          <w:p w14:paraId="6B2F6126">
            <w:pPr>
              <w:rPr>
                <w:rFonts w:ascii="Arial"/>
                <w:strike/>
                <w:dstrike w:val="0"/>
                <w:color w:val="auto"/>
                <w:sz w:val="21"/>
                <w:highlight w:val="none"/>
              </w:rPr>
            </w:pPr>
          </w:p>
        </w:tc>
        <w:tc>
          <w:tcPr>
            <w:tcW w:w="1775" w:type="dxa"/>
            <w:vAlign w:val="top"/>
          </w:tcPr>
          <w:p w14:paraId="1514B23F">
            <w:pPr>
              <w:rPr>
                <w:rFonts w:ascii="Arial"/>
                <w:strike/>
                <w:dstrike w:val="0"/>
                <w:color w:val="auto"/>
                <w:sz w:val="21"/>
                <w:highlight w:val="none"/>
              </w:rPr>
            </w:pPr>
          </w:p>
        </w:tc>
        <w:tc>
          <w:tcPr>
            <w:tcW w:w="1834" w:type="dxa"/>
            <w:vAlign w:val="top"/>
          </w:tcPr>
          <w:p w14:paraId="6714F832">
            <w:pPr>
              <w:rPr>
                <w:rFonts w:ascii="Arial"/>
                <w:strike/>
                <w:dstrike w:val="0"/>
                <w:color w:val="auto"/>
                <w:sz w:val="21"/>
                <w:highlight w:val="none"/>
              </w:rPr>
            </w:pPr>
          </w:p>
        </w:tc>
      </w:tr>
      <w:tr w14:paraId="2CBB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3298BC57">
            <w:pPr>
              <w:rPr>
                <w:rFonts w:ascii="Arial"/>
                <w:strike/>
                <w:dstrike w:val="0"/>
                <w:color w:val="auto"/>
                <w:sz w:val="21"/>
                <w:highlight w:val="none"/>
              </w:rPr>
            </w:pPr>
          </w:p>
        </w:tc>
        <w:tc>
          <w:tcPr>
            <w:tcW w:w="4311" w:type="dxa"/>
            <w:gridSpan w:val="3"/>
            <w:vAlign w:val="top"/>
          </w:tcPr>
          <w:p w14:paraId="5424499A">
            <w:pPr>
              <w:rPr>
                <w:rFonts w:ascii="Arial"/>
                <w:strike/>
                <w:dstrike w:val="0"/>
                <w:color w:val="auto"/>
                <w:sz w:val="21"/>
                <w:highlight w:val="none"/>
              </w:rPr>
            </w:pPr>
          </w:p>
        </w:tc>
        <w:tc>
          <w:tcPr>
            <w:tcW w:w="1775" w:type="dxa"/>
            <w:vAlign w:val="top"/>
          </w:tcPr>
          <w:p w14:paraId="78AA4515">
            <w:pPr>
              <w:rPr>
                <w:rFonts w:ascii="Arial"/>
                <w:strike/>
                <w:dstrike w:val="0"/>
                <w:color w:val="auto"/>
                <w:sz w:val="21"/>
                <w:highlight w:val="none"/>
              </w:rPr>
            </w:pPr>
          </w:p>
        </w:tc>
        <w:tc>
          <w:tcPr>
            <w:tcW w:w="1834" w:type="dxa"/>
            <w:vAlign w:val="top"/>
          </w:tcPr>
          <w:p w14:paraId="3A25546C">
            <w:pPr>
              <w:rPr>
                <w:rFonts w:ascii="Arial"/>
                <w:strike/>
                <w:dstrike w:val="0"/>
                <w:color w:val="auto"/>
                <w:sz w:val="21"/>
                <w:highlight w:val="none"/>
              </w:rPr>
            </w:pPr>
          </w:p>
        </w:tc>
      </w:tr>
      <w:tr w14:paraId="7F4C7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vAlign w:val="top"/>
          </w:tcPr>
          <w:p w14:paraId="0B88127A">
            <w:pPr>
              <w:pStyle w:val="17"/>
              <w:spacing w:before="225" w:line="220" w:lineRule="auto"/>
              <w:ind w:left="877"/>
              <w:rPr>
                <w:strike/>
                <w:dstrike w:val="0"/>
                <w:color w:val="auto"/>
                <w:highlight w:val="none"/>
              </w:rPr>
            </w:pPr>
            <w:r>
              <w:rPr>
                <w:strike/>
                <w:dstrike w:val="0"/>
                <w:color w:val="auto"/>
                <w:spacing w:val="-3"/>
                <w:highlight w:val="none"/>
              </w:rPr>
              <w:t>获奖情况</w:t>
            </w:r>
          </w:p>
        </w:tc>
        <w:tc>
          <w:tcPr>
            <w:tcW w:w="6721" w:type="dxa"/>
            <w:gridSpan w:val="4"/>
            <w:vAlign w:val="top"/>
          </w:tcPr>
          <w:p w14:paraId="33B42037">
            <w:pPr>
              <w:rPr>
                <w:rFonts w:ascii="Arial"/>
                <w:strike/>
                <w:dstrike w:val="0"/>
                <w:color w:val="auto"/>
                <w:sz w:val="21"/>
                <w:highlight w:val="none"/>
              </w:rPr>
            </w:pPr>
          </w:p>
        </w:tc>
      </w:tr>
      <w:tr w14:paraId="71CB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578" w:type="dxa"/>
            <w:gridSpan w:val="2"/>
            <w:vAlign w:val="top"/>
          </w:tcPr>
          <w:p w14:paraId="1F5F8C76">
            <w:pPr>
              <w:pStyle w:val="17"/>
              <w:spacing w:before="226" w:line="221" w:lineRule="auto"/>
              <w:ind w:left="1086"/>
              <w:rPr>
                <w:strike/>
                <w:dstrike w:val="0"/>
                <w:color w:val="auto"/>
                <w:highlight w:val="none"/>
              </w:rPr>
            </w:pPr>
            <w:r>
              <w:rPr>
                <w:strike/>
                <w:dstrike w:val="0"/>
                <w:color w:val="auto"/>
                <w:spacing w:val="-3"/>
                <w:highlight w:val="none"/>
              </w:rPr>
              <w:t>备注</w:t>
            </w:r>
          </w:p>
        </w:tc>
        <w:tc>
          <w:tcPr>
            <w:tcW w:w="6721" w:type="dxa"/>
            <w:gridSpan w:val="4"/>
            <w:vAlign w:val="top"/>
          </w:tcPr>
          <w:p w14:paraId="30E7A5B4">
            <w:pPr>
              <w:rPr>
                <w:rFonts w:ascii="Arial"/>
                <w:strike/>
                <w:dstrike w:val="0"/>
                <w:color w:val="auto"/>
                <w:sz w:val="21"/>
                <w:highlight w:val="none"/>
              </w:rPr>
            </w:pPr>
          </w:p>
        </w:tc>
      </w:tr>
    </w:tbl>
    <w:p w14:paraId="7E0DD0B0">
      <w:pPr>
        <w:spacing w:before="49"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4CF6B478">
      <w:pPr>
        <w:spacing w:before="57" w:line="219" w:lineRule="auto"/>
        <w:ind w:left="1439"/>
        <w:rPr>
          <w:rFonts w:ascii="宋体" w:hAnsi="宋体" w:eastAsia="宋体" w:cs="宋体"/>
          <w:strike/>
          <w:dstrike w:val="0"/>
          <w:color w:val="auto"/>
          <w:sz w:val="21"/>
          <w:szCs w:val="21"/>
          <w:highlight w:val="none"/>
        </w:rPr>
      </w:pPr>
      <w:r>
        <w:rPr>
          <w:rFonts w:ascii="宋体" w:hAnsi="宋体" w:eastAsia="宋体" w:cs="宋体"/>
          <w:strike/>
          <w:dstrike w:val="0"/>
          <w:color w:val="auto"/>
          <w:spacing w:val="-3"/>
          <w:sz w:val="21"/>
          <w:szCs w:val="21"/>
          <w:highlight w:val="none"/>
        </w:rPr>
        <w:t>1.本表人员应与表（七）-1</w:t>
      </w:r>
      <w:r>
        <w:rPr>
          <w:rFonts w:ascii="宋体" w:hAnsi="宋体" w:eastAsia="宋体" w:cs="宋体"/>
          <w:strike/>
          <w:dstrike w:val="0"/>
          <w:color w:val="auto"/>
          <w:spacing w:val="-25"/>
          <w:sz w:val="21"/>
          <w:szCs w:val="21"/>
          <w:highlight w:val="none"/>
        </w:rPr>
        <w:t xml:space="preserve"> </w:t>
      </w:r>
      <w:r>
        <w:rPr>
          <w:rFonts w:ascii="宋体" w:hAnsi="宋体" w:eastAsia="宋体" w:cs="宋体"/>
          <w:strike/>
          <w:dstrike w:val="0"/>
          <w:color w:val="auto"/>
          <w:spacing w:val="-3"/>
          <w:sz w:val="21"/>
          <w:szCs w:val="21"/>
          <w:highlight w:val="none"/>
        </w:rPr>
        <w:t>中所列人员相一致。</w:t>
      </w:r>
    </w:p>
    <w:p w14:paraId="59CEACDA">
      <w:pPr>
        <w:spacing w:before="62" w:line="219" w:lineRule="auto"/>
        <w:ind w:left="1426"/>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2.投标人应根据招标文件第二章“投标人须知”第</w:t>
      </w:r>
      <w:r>
        <w:rPr>
          <w:rFonts w:ascii="宋体" w:hAnsi="宋体" w:eastAsia="宋体" w:cs="宋体"/>
          <w:strike/>
          <w:dstrike w:val="0"/>
          <w:color w:val="auto"/>
          <w:spacing w:val="-41"/>
          <w:sz w:val="21"/>
          <w:szCs w:val="21"/>
          <w:highlight w:val="none"/>
        </w:rPr>
        <w:t xml:space="preserve"> </w:t>
      </w:r>
      <w:r>
        <w:rPr>
          <w:rFonts w:ascii="宋体" w:hAnsi="宋体" w:eastAsia="宋体" w:cs="宋体"/>
          <w:strike/>
          <w:dstrike w:val="0"/>
          <w:color w:val="auto"/>
          <w:spacing w:val="-1"/>
          <w:sz w:val="21"/>
          <w:szCs w:val="21"/>
          <w:highlight w:val="none"/>
        </w:rPr>
        <w:t>3</w:t>
      </w:r>
      <w:r>
        <w:rPr>
          <w:rFonts w:ascii="宋体" w:hAnsi="宋体" w:eastAsia="宋体" w:cs="宋体"/>
          <w:strike/>
          <w:dstrike w:val="0"/>
          <w:color w:val="auto"/>
          <w:spacing w:val="-2"/>
          <w:sz w:val="21"/>
          <w:szCs w:val="21"/>
          <w:highlight w:val="none"/>
        </w:rPr>
        <w:t>.5.6</w:t>
      </w:r>
      <w:r>
        <w:rPr>
          <w:rFonts w:ascii="宋体" w:hAnsi="宋体" w:eastAsia="宋体" w:cs="宋体"/>
          <w:strike/>
          <w:dstrike w:val="0"/>
          <w:color w:val="auto"/>
          <w:spacing w:val="-40"/>
          <w:sz w:val="21"/>
          <w:szCs w:val="21"/>
          <w:highlight w:val="none"/>
        </w:rPr>
        <w:t xml:space="preserve"> </w:t>
      </w:r>
      <w:r>
        <w:rPr>
          <w:rFonts w:ascii="宋体" w:hAnsi="宋体" w:eastAsia="宋体" w:cs="宋体"/>
          <w:strike/>
          <w:dstrike w:val="0"/>
          <w:color w:val="auto"/>
          <w:spacing w:val="-2"/>
          <w:sz w:val="21"/>
          <w:szCs w:val="21"/>
          <w:highlight w:val="none"/>
        </w:rPr>
        <w:t>项的要求在本表后附相关证明材料。</w:t>
      </w:r>
    </w:p>
    <w:p w14:paraId="3A895C26">
      <w:pPr>
        <w:pStyle w:val="3"/>
        <w:spacing w:line="264" w:lineRule="auto"/>
        <w:rPr>
          <w:strike/>
          <w:dstrike w:val="0"/>
          <w:color w:val="auto"/>
          <w:highlight w:val="none"/>
        </w:rPr>
      </w:pPr>
    </w:p>
    <w:p w14:paraId="1955C0F8">
      <w:pPr>
        <w:pStyle w:val="3"/>
        <w:spacing w:line="264" w:lineRule="auto"/>
        <w:rPr>
          <w:strike/>
          <w:dstrike w:val="0"/>
          <w:color w:val="auto"/>
          <w:highlight w:val="none"/>
        </w:rPr>
      </w:pPr>
    </w:p>
    <w:p w14:paraId="26847686">
      <w:pPr>
        <w:pStyle w:val="3"/>
        <w:spacing w:line="264" w:lineRule="auto"/>
        <w:rPr>
          <w:strike/>
          <w:dstrike w:val="0"/>
          <w:color w:val="auto"/>
          <w:highlight w:val="none"/>
        </w:rPr>
      </w:pPr>
    </w:p>
    <w:p w14:paraId="0D541876">
      <w:pPr>
        <w:pStyle w:val="3"/>
        <w:spacing w:line="264" w:lineRule="auto"/>
        <w:rPr>
          <w:strike/>
          <w:dstrike w:val="0"/>
          <w:color w:val="auto"/>
          <w:highlight w:val="none"/>
        </w:rPr>
      </w:pPr>
    </w:p>
    <w:p w14:paraId="1A6775BA">
      <w:pPr>
        <w:pStyle w:val="3"/>
        <w:spacing w:line="264" w:lineRule="auto"/>
        <w:rPr>
          <w:strike/>
          <w:dstrike w:val="0"/>
          <w:color w:val="auto"/>
          <w:highlight w:val="none"/>
        </w:rPr>
      </w:pPr>
    </w:p>
    <w:p w14:paraId="377E85BB">
      <w:pPr>
        <w:pStyle w:val="3"/>
        <w:spacing w:line="264" w:lineRule="auto"/>
        <w:rPr>
          <w:strike/>
          <w:dstrike w:val="0"/>
          <w:color w:val="auto"/>
          <w:highlight w:val="none"/>
        </w:rPr>
      </w:pPr>
    </w:p>
    <w:p w14:paraId="4DECA965">
      <w:pPr>
        <w:pStyle w:val="3"/>
        <w:spacing w:line="265" w:lineRule="auto"/>
        <w:rPr>
          <w:strike/>
          <w:dstrike w:val="0"/>
          <w:color w:val="auto"/>
          <w:highlight w:val="none"/>
        </w:rPr>
      </w:pPr>
    </w:p>
    <w:p w14:paraId="431BBEEE">
      <w:pPr>
        <w:spacing w:before="59" w:line="242" w:lineRule="auto"/>
        <w:ind w:left="1422" w:right="1432"/>
        <w:rPr>
          <w:rFonts w:ascii="宋体" w:hAnsi="宋体" w:eastAsia="宋体" w:cs="宋体"/>
          <w:strike/>
          <w:dstrike w:val="0"/>
          <w:color w:val="auto"/>
          <w:sz w:val="18"/>
          <w:szCs w:val="18"/>
          <w:highlight w:val="none"/>
        </w:rPr>
      </w:pPr>
      <w:r>
        <w:rPr>
          <w:rFonts w:ascii="宋体" w:hAnsi="宋体" w:eastAsia="宋体" w:cs="宋体"/>
          <w:strike/>
          <w:dstrike w:val="0"/>
          <w:color w:val="auto"/>
          <w:spacing w:val="-2"/>
          <w:sz w:val="18"/>
          <w:szCs w:val="18"/>
          <w:highlight w:val="none"/>
        </w:rPr>
        <w:t>① 仅适用于特大桥梁工程、长大隧道（含特长或长隧道）工程、桥隧比较大工程（桥隧比</w:t>
      </w:r>
      <w:r>
        <w:rPr>
          <w:rFonts w:ascii="Times New Roman" w:hAnsi="Times New Roman" w:eastAsia="Times New Roman" w:cs="Times New Roman"/>
          <w:strike/>
          <w:dstrike w:val="0"/>
          <w:color w:val="auto"/>
          <w:spacing w:val="-2"/>
          <w:sz w:val="18"/>
          <w:szCs w:val="18"/>
          <w:highlight w:val="none"/>
        </w:rPr>
        <w:t>≥35%</w:t>
      </w:r>
      <w:r>
        <w:rPr>
          <w:rFonts w:ascii="宋体" w:hAnsi="宋体" w:eastAsia="宋体" w:cs="宋体"/>
          <w:strike/>
          <w:dstrike w:val="0"/>
          <w:color w:val="auto"/>
          <w:spacing w:val="-2"/>
          <w:sz w:val="18"/>
          <w:szCs w:val="18"/>
          <w:highlight w:val="none"/>
        </w:rPr>
        <w:t>）、路面</w:t>
      </w:r>
      <w:r>
        <w:rPr>
          <w:rFonts w:ascii="宋体" w:hAnsi="宋体" w:eastAsia="宋体" w:cs="宋体"/>
          <w:strike/>
          <w:dstrike w:val="0"/>
          <w:color w:val="auto"/>
          <w:spacing w:val="-3"/>
          <w:sz w:val="18"/>
          <w:szCs w:val="18"/>
          <w:highlight w:val="none"/>
        </w:rPr>
        <w:t>工程标类以</w:t>
      </w:r>
      <w:r>
        <w:rPr>
          <w:rFonts w:ascii="宋体" w:hAnsi="宋体" w:eastAsia="宋体" w:cs="宋体"/>
          <w:strike/>
          <w:dstrike w:val="0"/>
          <w:color w:val="auto"/>
          <w:spacing w:val="-1"/>
          <w:sz w:val="18"/>
          <w:szCs w:val="18"/>
          <w:highlight w:val="none"/>
        </w:rPr>
        <w:t>及高速公路改建、扩建项目的土建工程施工招标，选用对其他管理和技术人员进行资格评审的情形。</w:t>
      </w:r>
    </w:p>
    <w:p w14:paraId="4133F266">
      <w:pPr>
        <w:spacing w:line="242" w:lineRule="auto"/>
        <w:rPr>
          <w:rFonts w:ascii="宋体" w:hAnsi="宋体" w:eastAsia="宋体" w:cs="宋体"/>
          <w:strike/>
          <w:dstrike w:val="0"/>
          <w:color w:val="auto"/>
          <w:sz w:val="18"/>
          <w:szCs w:val="18"/>
          <w:highlight w:val="none"/>
        </w:rPr>
        <w:sectPr>
          <w:headerReference r:id="rId200" w:type="default"/>
          <w:footerReference r:id="rId201" w:type="default"/>
          <w:pgSz w:w="11905" w:h="16840"/>
          <w:pgMar w:top="1182" w:right="0" w:bottom="1171" w:left="0" w:header="849" w:footer="937" w:gutter="0"/>
          <w:pgNumType w:fmt="decimal"/>
          <w:cols w:space="720" w:num="1"/>
        </w:sectPr>
      </w:pPr>
    </w:p>
    <w:p w14:paraId="1E5D7406">
      <w:pPr>
        <w:pStyle w:val="3"/>
        <w:spacing w:line="293" w:lineRule="auto"/>
        <w:rPr>
          <w:color w:val="auto"/>
          <w:highlight w:val="none"/>
        </w:rPr>
      </w:pPr>
    </w:p>
    <w:p w14:paraId="24FD35DC">
      <w:pPr>
        <w:spacing w:before="88" w:line="241" w:lineRule="auto"/>
        <w:ind w:left="3797"/>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（八）拟投入本标段的主要设备表</w:t>
      </w:r>
      <w:r>
        <w:rPr>
          <w:rFonts w:ascii="宋体" w:hAnsi="宋体" w:eastAsia="宋体" w:cs="宋体"/>
          <w:b/>
          <w:bCs/>
          <w:strike/>
          <w:dstrike w:val="0"/>
          <w:color w:val="auto"/>
          <w:spacing w:val="6"/>
          <w:position w:val="14"/>
          <w:sz w:val="13"/>
          <w:szCs w:val="13"/>
          <w:highlight w:val="none"/>
        </w:rPr>
        <w:t>①</w:t>
      </w:r>
    </w:p>
    <w:p w14:paraId="64269AD0">
      <w:pPr>
        <w:pStyle w:val="3"/>
        <w:spacing w:line="311" w:lineRule="auto"/>
        <w:rPr>
          <w:strike/>
          <w:dstrike w:val="0"/>
          <w:color w:val="auto"/>
          <w:highlight w:val="none"/>
        </w:rPr>
      </w:pPr>
    </w:p>
    <w:p w14:paraId="7711D722">
      <w:pPr>
        <w:spacing w:before="78" w:line="220" w:lineRule="auto"/>
        <w:ind w:left="4827"/>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9"/>
          <w:sz w:val="24"/>
          <w:szCs w:val="24"/>
          <w:highlight w:val="none"/>
        </w:rPr>
        <w:t>（适用于</w:t>
      </w:r>
      <w:r>
        <w:rPr>
          <w:rFonts w:ascii="宋体" w:hAnsi="宋体" w:eastAsia="宋体" w:cs="宋体"/>
          <w:strike/>
          <w:dstrike w:val="0"/>
          <w:color w:val="auto"/>
          <w:spacing w:val="-102"/>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6"/>
          <w:sz w:val="24"/>
          <w:szCs w:val="24"/>
          <w:highlight w:val="none"/>
        </w:rPr>
        <w:t xml:space="preserve"> </w:t>
      </w:r>
      <w:r>
        <w:rPr>
          <w:rFonts w:ascii="宋体" w:hAnsi="宋体" w:eastAsia="宋体" w:cs="宋体"/>
          <w:b/>
          <w:bCs/>
          <w:strike/>
          <w:dstrike w:val="0"/>
          <w:color w:val="auto"/>
          <w:spacing w:val="-9"/>
          <w:sz w:val="24"/>
          <w:szCs w:val="24"/>
          <w:highlight w:val="none"/>
        </w:rPr>
        <w:t>工程类）</w:t>
      </w:r>
    </w:p>
    <w:p w14:paraId="4E1417A4">
      <w:pPr>
        <w:spacing w:line="69" w:lineRule="exact"/>
        <w:rPr>
          <w:strike/>
          <w:dstrike w:val="0"/>
          <w:color w:val="auto"/>
          <w:highlight w:val="none"/>
        </w:rPr>
      </w:pPr>
    </w:p>
    <w:tbl>
      <w:tblPr>
        <w:tblStyle w:val="16"/>
        <w:tblW w:w="9756" w:type="dxa"/>
        <w:tblInd w:w="10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078"/>
        <w:gridCol w:w="768"/>
        <w:gridCol w:w="720"/>
        <w:gridCol w:w="779"/>
        <w:gridCol w:w="1139"/>
        <w:gridCol w:w="720"/>
        <w:gridCol w:w="855"/>
        <w:gridCol w:w="704"/>
        <w:gridCol w:w="765"/>
        <w:gridCol w:w="750"/>
        <w:gridCol w:w="814"/>
      </w:tblGrid>
      <w:tr w14:paraId="1F153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64" w:type="dxa"/>
            <w:vMerge w:val="restart"/>
            <w:tcBorders>
              <w:bottom w:val="nil"/>
            </w:tcBorders>
            <w:vAlign w:val="top"/>
          </w:tcPr>
          <w:p w14:paraId="03B9883F">
            <w:pPr>
              <w:spacing w:line="300" w:lineRule="auto"/>
              <w:rPr>
                <w:rFonts w:ascii="Arial"/>
                <w:strike/>
                <w:dstrike w:val="0"/>
                <w:color w:val="auto"/>
                <w:sz w:val="21"/>
                <w:highlight w:val="none"/>
              </w:rPr>
            </w:pPr>
          </w:p>
          <w:p w14:paraId="12A3394E">
            <w:pPr>
              <w:spacing w:line="301" w:lineRule="auto"/>
              <w:rPr>
                <w:rFonts w:ascii="Arial"/>
                <w:strike/>
                <w:dstrike w:val="0"/>
                <w:color w:val="auto"/>
                <w:sz w:val="21"/>
                <w:highlight w:val="none"/>
              </w:rPr>
            </w:pPr>
          </w:p>
          <w:p w14:paraId="7816D000">
            <w:pPr>
              <w:pStyle w:val="17"/>
              <w:spacing w:before="69" w:line="221" w:lineRule="auto"/>
              <w:ind w:left="127"/>
              <w:rPr>
                <w:strike/>
                <w:dstrike w:val="0"/>
                <w:color w:val="auto"/>
                <w:highlight w:val="none"/>
              </w:rPr>
            </w:pPr>
            <w:r>
              <w:rPr>
                <w:strike/>
                <w:dstrike w:val="0"/>
                <w:color w:val="auto"/>
                <w:spacing w:val="-2"/>
                <w:highlight w:val="none"/>
              </w:rPr>
              <w:t>序号</w:t>
            </w:r>
          </w:p>
        </w:tc>
        <w:tc>
          <w:tcPr>
            <w:tcW w:w="1078" w:type="dxa"/>
            <w:vMerge w:val="restart"/>
            <w:tcBorders>
              <w:bottom w:val="nil"/>
            </w:tcBorders>
            <w:vAlign w:val="top"/>
          </w:tcPr>
          <w:p w14:paraId="404A6727">
            <w:pPr>
              <w:spacing w:line="300" w:lineRule="auto"/>
              <w:rPr>
                <w:rFonts w:ascii="Arial"/>
                <w:strike/>
                <w:dstrike w:val="0"/>
                <w:color w:val="auto"/>
                <w:sz w:val="21"/>
                <w:highlight w:val="none"/>
              </w:rPr>
            </w:pPr>
          </w:p>
          <w:p w14:paraId="58BD31D4">
            <w:pPr>
              <w:spacing w:line="301" w:lineRule="auto"/>
              <w:rPr>
                <w:rFonts w:ascii="Arial"/>
                <w:strike/>
                <w:dstrike w:val="0"/>
                <w:color w:val="auto"/>
                <w:sz w:val="21"/>
                <w:highlight w:val="none"/>
              </w:rPr>
            </w:pPr>
          </w:p>
          <w:p w14:paraId="5FF7CC7D">
            <w:pPr>
              <w:pStyle w:val="17"/>
              <w:spacing w:before="69" w:line="221" w:lineRule="auto"/>
              <w:ind w:left="126"/>
              <w:rPr>
                <w:strike/>
                <w:dstrike w:val="0"/>
                <w:color w:val="auto"/>
                <w:highlight w:val="none"/>
              </w:rPr>
            </w:pPr>
            <w:r>
              <w:rPr>
                <w:strike/>
                <w:dstrike w:val="0"/>
                <w:color w:val="auto"/>
                <w:spacing w:val="-3"/>
                <w:highlight w:val="none"/>
              </w:rPr>
              <w:t>设备名称</w:t>
            </w:r>
          </w:p>
        </w:tc>
        <w:tc>
          <w:tcPr>
            <w:tcW w:w="768" w:type="dxa"/>
            <w:vMerge w:val="restart"/>
            <w:tcBorders>
              <w:bottom w:val="nil"/>
            </w:tcBorders>
            <w:vAlign w:val="top"/>
          </w:tcPr>
          <w:p w14:paraId="681CB783">
            <w:pPr>
              <w:spacing w:line="447" w:lineRule="auto"/>
              <w:rPr>
                <w:rFonts w:ascii="Arial"/>
                <w:strike/>
                <w:dstrike w:val="0"/>
                <w:color w:val="auto"/>
                <w:sz w:val="21"/>
                <w:highlight w:val="none"/>
              </w:rPr>
            </w:pPr>
          </w:p>
          <w:p w14:paraId="76191F17">
            <w:pPr>
              <w:pStyle w:val="17"/>
              <w:spacing w:before="68" w:line="276" w:lineRule="auto"/>
              <w:ind w:left="179" w:right="172" w:firstLine="5"/>
              <w:rPr>
                <w:strike/>
                <w:dstrike w:val="0"/>
                <w:color w:val="auto"/>
                <w:highlight w:val="none"/>
              </w:rPr>
            </w:pPr>
            <w:r>
              <w:rPr>
                <w:strike/>
                <w:dstrike w:val="0"/>
                <w:color w:val="auto"/>
                <w:spacing w:val="-8"/>
                <w:highlight w:val="none"/>
              </w:rPr>
              <w:t>型号</w:t>
            </w:r>
            <w:r>
              <w:rPr>
                <w:strike/>
                <w:dstrike w:val="0"/>
                <w:color w:val="auto"/>
                <w:spacing w:val="-5"/>
                <w:highlight w:val="none"/>
              </w:rPr>
              <w:t>规格</w:t>
            </w:r>
          </w:p>
        </w:tc>
        <w:tc>
          <w:tcPr>
            <w:tcW w:w="720" w:type="dxa"/>
            <w:vMerge w:val="restart"/>
            <w:tcBorders>
              <w:bottom w:val="nil"/>
            </w:tcBorders>
            <w:vAlign w:val="top"/>
          </w:tcPr>
          <w:p w14:paraId="3C162C27">
            <w:pPr>
              <w:spacing w:line="447" w:lineRule="auto"/>
              <w:rPr>
                <w:rFonts w:ascii="Arial"/>
                <w:strike/>
                <w:dstrike w:val="0"/>
                <w:color w:val="auto"/>
                <w:sz w:val="21"/>
                <w:highlight w:val="none"/>
              </w:rPr>
            </w:pPr>
          </w:p>
          <w:p w14:paraId="7EC50670">
            <w:pPr>
              <w:pStyle w:val="17"/>
              <w:spacing w:before="68" w:line="276" w:lineRule="auto"/>
              <w:ind w:left="154" w:right="148" w:firstLine="20"/>
              <w:rPr>
                <w:strike/>
                <w:dstrike w:val="0"/>
                <w:color w:val="auto"/>
                <w:highlight w:val="none"/>
              </w:rPr>
            </w:pPr>
            <w:r>
              <w:rPr>
                <w:strike/>
                <w:dstrike w:val="0"/>
                <w:color w:val="auto"/>
                <w:spacing w:val="-15"/>
                <w:highlight w:val="none"/>
              </w:rPr>
              <w:t>国别</w:t>
            </w:r>
            <w:r>
              <w:rPr>
                <w:strike/>
                <w:dstrike w:val="0"/>
                <w:color w:val="auto"/>
                <w:spacing w:val="-5"/>
                <w:highlight w:val="none"/>
              </w:rPr>
              <w:t>产地</w:t>
            </w:r>
          </w:p>
        </w:tc>
        <w:tc>
          <w:tcPr>
            <w:tcW w:w="779" w:type="dxa"/>
            <w:vMerge w:val="restart"/>
            <w:tcBorders>
              <w:bottom w:val="nil"/>
            </w:tcBorders>
            <w:vAlign w:val="top"/>
          </w:tcPr>
          <w:p w14:paraId="4BE416C1">
            <w:pPr>
              <w:spacing w:line="447" w:lineRule="auto"/>
              <w:rPr>
                <w:rFonts w:ascii="Arial"/>
                <w:strike/>
                <w:dstrike w:val="0"/>
                <w:color w:val="auto"/>
                <w:sz w:val="21"/>
                <w:highlight w:val="none"/>
              </w:rPr>
            </w:pPr>
          </w:p>
          <w:p w14:paraId="040DC0C8">
            <w:pPr>
              <w:pStyle w:val="17"/>
              <w:spacing w:before="68" w:line="276" w:lineRule="auto"/>
              <w:ind w:left="185" w:right="177"/>
              <w:rPr>
                <w:strike/>
                <w:dstrike w:val="0"/>
                <w:color w:val="auto"/>
                <w:highlight w:val="none"/>
              </w:rPr>
            </w:pPr>
            <w:r>
              <w:rPr>
                <w:strike/>
                <w:dstrike w:val="0"/>
                <w:color w:val="auto"/>
                <w:spacing w:val="-5"/>
                <w:highlight w:val="none"/>
              </w:rPr>
              <w:t>制造年份</w:t>
            </w:r>
          </w:p>
        </w:tc>
        <w:tc>
          <w:tcPr>
            <w:tcW w:w="1139" w:type="dxa"/>
            <w:vMerge w:val="restart"/>
            <w:tcBorders>
              <w:bottom w:val="nil"/>
            </w:tcBorders>
            <w:vAlign w:val="top"/>
          </w:tcPr>
          <w:p w14:paraId="0C2D3C1A">
            <w:pPr>
              <w:spacing w:line="446" w:lineRule="auto"/>
              <w:rPr>
                <w:rFonts w:ascii="Arial"/>
                <w:strike/>
                <w:dstrike w:val="0"/>
                <w:color w:val="auto"/>
                <w:sz w:val="21"/>
                <w:highlight w:val="none"/>
              </w:rPr>
            </w:pPr>
          </w:p>
          <w:p w14:paraId="19F423E5">
            <w:pPr>
              <w:pStyle w:val="17"/>
              <w:spacing w:before="68" w:line="278" w:lineRule="auto"/>
              <w:ind w:left="401" w:right="146" w:hanging="246"/>
              <w:rPr>
                <w:strike/>
                <w:dstrike w:val="0"/>
                <w:color w:val="auto"/>
                <w:highlight w:val="none"/>
              </w:rPr>
            </w:pPr>
            <w:r>
              <w:rPr>
                <w:strike/>
                <w:dstrike w:val="0"/>
                <w:color w:val="auto"/>
                <w:spacing w:val="-3"/>
                <w:highlight w:val="none"/>
              </w:rPr>
              <w:t>额定功率</w:t>
            </w:r>
            <w:r>
              <w:rPr>
                <w:strike/>
                <w:dstrike w:val="0"/>
                <w:color w:val="auto"/>
                <w:spacing w:val="-12"/>
                <w:highlight w:val="none"/>
              </w:rPr>
              <w:t>(kW)</w:t>
            </w:r>
          </w:p>
        </w:tc>
        <w:tc>
          <w:tcPr>
            <w:tcW w:w="720" w:type="dxa"/>
            <w:vMerge w:val="restart"/>
            <w:tcBorders>
              <w:bottom w:val="nil"/>
            </w:tcBorders>
            <w:vAlign w:val="top"/>
          </w:tcPr>
          <w:p w14:paraId="0CDFE09F">
            <w:pPr>
              <w:spacing w:line="447" w:lineRule="auto"/>
              <w:rPr>
                <w:rFonts w:ascii="Arial"/>
                <w:strike/>
                <w:dstrike w:val="0"/>
                <w:color w:val="auto"/>
                <w:sz w:val="21"/>
                <w:highlight w:val="none"/>
              </w:rPr>
            </w:pPr>
          </w:p>
          <w:p w14:paraId="29EF8A55">
            <w:pPr>
              <w:pStyle w:val="17"/>
              <w:spacing w:before="68" w:line="276" w:lineRule="auto"/>
              <w:ind w:left="164" w:right="146" w:hanging="6"/>
              <w:rPr>
                <w:strike/>
                <w:dstrike w:val="0"/>
                <w:color w:val="auto"/>
                <w:highlight w:val="none"/>
              </w:rPr>
            </w:pPr>
            <w:r>
              <w:rPr>
                <w:strike/>
                <w:dstrike w:val="0"/>
                <w:color w:val="auto"/>
                <w:spacing w:val="-5"/>
                <w:highlight w:val="none"/>
              </w:rPr>
              <w:t>生产</w:t>
            </w:r>
            <w:r>
              <w:rPr>
                <w:strike/>
                <w:dstrike w:val="0"/>
                <w:color w:val="auto"/>
                <w:spacing w:val="-9"/>
                <w:highlight w:val="none"/>
              </w:rPr>
              <w:t>能力</w:t>
            </w:r>
          </w:p>
        </w:tc>
        <w:tc>
          <w:tcPr>
            <w:tcW w:w="3074" w:type="dxa"/>
            <w:gridSpan w:val="4"/>
            <w:vAlign w:val="top"/>
          </w:tcPr>
          <w:p w14:paraId="39F7D753">
            <w:pPr>
              <w:pStyle w:val="17"/>
              <w:spacing w:before="152" w:line="220" w:lineRule="auto"/>
              <w:ind w:left="1020"/>
              <w:rPr>
                <w:strike/>
                <w:dstrike w:val="0"/>
                <w:color w:val="auto"/>
                <w:highlight w:val="none"/>
              </w:rPr>
            </w:pPr>
            <w:r>
              <w:rPr>
                <w:strike/>
                <w:dstrike w:val="0"/>
                <w:color w:val="auto"/>
                <w:spacing w:val="-4"/>
                <w:highlight w:val="none"/>
              </w:rPr>
              <w:t>数量（台）</w:t>
            </w:r>
          </w:p>
        </w:tc>
        <w:tc>
          <w:tcPr>
            <w:tcW w:w="814" w:type="dxa"/>
            <w:vMerge w:val="restart"/>
            <w:tcBorders>
              <w:bottom w:val="nil"/>
            </w:tcBorders>
            <w:vAlign w:val="top"/>
          </w:tcPr>
          <w:p w14:paraId="4354CFCF">
            <w:pPr>
              <w:spacing w:line="293" w:lineRule="auto"/>
              <w:rPr>
                <w:rFonts w:ascii="Arial"/>
                <w:strike/>
                <w:dstrike w:val="0"/>
                <w:color w:val="auto"/>
                <w:sz w:val="21"/>
                <w:highlight w:val="none"/>
              </w:rPr>
            </w:pPr>
          </w:p>
          <w:p w14:paraId="498ECBBC">
            <w:pPr>
              <w:pStyle w:val="17"/>
              <w:spacing w:before="68" w:line="276" w:lineRule="auto"/>
              <w:ind w:left="201" w:right="194" w:firstLine="3"/>
              <w:jc w:val="both"/>
              <w:rPr>
                <w:strike/>
                <w:dstrike w:val="0"/>
                <w:color w:val="auto"/>
                <w:highlight w:val="none"/>
              </w:rPr>
            </w:pPr>
            <w:r>
              <w:rPr>
                <w:strike/>
                <w:dstrike w:val="0"/>
                <w:color w:val="auto"/>
                <w:spacing w:val="-5"/>
                <w:highlight w:val="none"/>
              </w:rPr>
              <w:t>预计</w:t>
            </w:r>
            <w:r>
              <w:rPr>
                <w:strike/>
                <w:dstrike w:val="0"/>
                <w:color w:val="auto"/>
                <w:spacing w:val="-4"/>
                <w:highlight w:val="none"/>
              </w:rPr>
              <w:t>进场时间</w:t>
            </w:r>
          </w:p>
        </w:tc>
      </w:tr>
      <w:tr w14:paraId="465A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4" w:type="dxa"/>
            <w:vMerge w:val="continue"/>
            <w:tcBorders>
              <w:top w:val="nil"/>
              <w:bottom w:val="nil"/>
            </w:tcBorders>
            <w:vAlign w:val="top"/>
          </w:tcPr>
          <w:p w14:paraId="73DA3479">
            <w:pPr>
              <w:rPr>
                <w:rFonts w:ascii="Arial"/>
                <w:strike/>
                <w:dstrike w:val="0"/>
                <w:color w:val="auto"/>
                <w:sz w:val="21"/>
                <w:highlight w:val="none"/>
              </w:rPr>
            </w:pPr>
          </w:p>
        </w:tc>
        <w:tc>
          <w:tcPr>
            <w:tcW w:w="1078" w:type="dxa"/>
            <w:vMerge w:val="continue"/>
            <w:tcBorders>
              <w:top w:val="nil"/>
              <w:bottom w:val="nil"/>
            </w:tcBorders>
            <w:vAlign w:val="top"/>
          </w:tcPr>
          <w:p w14:paraId="7C786951">
            <w:pPr>
              <w:rPr>
                <w:rFonts w:ascii="Arial"/>
                <w:strike/>
                <w:dstrike w:val="0"/>
                <w:color w:val="auto"/>
                <w:sz w:val="21"/>
                <w:highlight w:val="none"/>
              </w:rPr>
            </w:pPr>
          </w:p>
        </w:tc>
        <w:tc>
          <w:tcPr>
            <w:tcW w:w="768" w:type="dxa"/>
            <w:vMerge w:val="continue"/>
            <w:tcBorders>
              <w:top w:val="nil"/>
              <w:bottom w:val="nil"/>
            </w:tcBorders>
            <w:vAlign w:val="top"/>
          </w:tcPr>
          <w:p w14:paraId="6FB60B44">
            <w:pPr>
              <w:rPr>
                <w:rFonts w:ascii="Arial"/>
                <w:strike/>
                <w:dstrike w:val="0"/>
                <w:color w:val="auto"/>
                <w:sz w:val="21"/>
                <w:highlight w:val="none"/>
              </w:rPr>
            </w:pPr>
          </w:p>
        </w:tc>
        <w:tc>
          <w:tcPr>
            <w:tcW w:w="720" w:type="dxa"/>
            <w:vMerge w:val="continue"/>
            <w:tcBorders>
              <w:top w:val="nil"/>
              <w:bottom w:val="nil"/>
            </w:tcBorders>
            <w:vAlign w:val="top"/>
          </w:tcPr>
          <w:p w14:paraId="76DAF563">
            <w:pPr>
              <w:rPr>
                <w:rFonts w:ascii="Arial"/>
                <w:strike/>
                <w:dstrike w:val="0"/>
                <w:color w:val="auto"/>
                <w:sz w:val="21"/>
                <w:highlight w:val="none"/>
              </w:rPr>
            </w:pPr>
          </w:p>
        </w:tc>
        <w:tc>
          <w:tcPr>
            <w:tcW w:w="779" w:type="dxa"/>
            <w:vMerge w:val="continue"/>
            <w:tcBorders>
              <w:top w:val="nil"/>
              <w:bottom w:val="nil"/>
            </w:tcBorders>
            <w:vAlign w:val="top"/>
          </w:tcPr>
          <w:p w14:paraId="13426630">
            <w:pPr>
              <w:rPr>
                <w:rFonts w:ascii="Arial"/>
                <w:strike/>
                <w:dstrike w:val="0"/>
                <w:color w:val="auto"/>
                <w:sz w:val="21"/>
                <w:highlight w:val="none"/>
              </w:rPr>
            </w:pPr>
          </w:p>
        </w:tc>
        <w:tc>
          <w:tcPr>
            <w:tcW w:w="1139" w:type="dxa"/>
            <w:vMerge w:val="continue"/>
            <w:tcBorders>
              <w:top w:val="nil"/>
              <w:bottom w:val="nil"/>
            </w:tcBorders>
            <w:vAlign w:val="top"/>
          </w:tcPr>
          <w:p w14:paraId="2ECCC3D1">
            <w:pPr>
              <w:rPr>
                <w:rFonts w:ascii="Arial"/>
                <w:strike/>
                <w:dstrike w:val="0"/>
                <w:color w:val="auto"/>
                <w:sz w:val="21"/>
                <w:highlight w:val="none"/>
              </w:rPr>
            </w:pPr>
          </w:p>
        </w:tc>
        <w:tc>
          <w:tcPr>
            <w:tcW w:w="720" w:type="dxa"/>
            <w:vMerge w:val="continue"/>
            <w:tcBorders>
              <w:top w:val="nil"/>
              <w:bottom w:val="nil"/>
            </w:tcBorders>
            <w:vAlign w:val="top"/>
          </w:tcPr>
          <w:p w14:paraId="3576F77D">
            <w:pPr>
              <w:rPr>
                <w:rFonts w:ascii="Arial"/>
                <w:strike/>
                <w:dstrike w:val="0"/>
                <w:color w:val="auto"/>
                <w:sz w:val="21"/>
                <w:highlight w:val="none"/>
              </w:rPr>
            </w:pPr>
          </w:p>
        </w:tc>
        <w:tc>
          <w:tcPr>
            <w:tcW w:w="855" w:type="dxa"/>
            <w:vMerge w:val="restart"/>
            <w:tcBorders>
              <w:bottom w:val="nil"/>
            </w:tcBorders>
            <w:vAlign w:val="top"/>
          </w:tcPr>
          <w:p w14:paraId="7E6B7C5F">
            <w:pPr>
              <w:spacing w:line="337" w:lineRule="auto"/>
              <w:rPr>
                <w:rFonts w:ascii="Arial"/>
                <w:strike/>
                <w:dstrike w:val="0"/>
                <w:color w:val="auto"/>
                <w:sz w:val="21"/>
                <w:highlight w:val="none"/>
              </w:rPr>
            </w:pPr>
          </w:p>
          <w:p w14:paraId="03A5C51D">
            <w:pPr>
              <w:pStyle w:val="17"/>
              <w:spacing w:before="68" w:line="221" w:lineRule="auto"/>
              <w:ind w:left="229"/>
              <w:rPr>
                <w:strike/>
                <w:dstrike w:val="0"/>
                <w:color w:val="auto"/>
                <w:highlight w:val="none"/>
              </w:rPr>
            </w:pPr>
            <w:r>
              <w:rPr>
                <w:strike/>
                <w:dstrike w:val="0"/>
                <w:color w:val="auto"/>
                <w:spacing w:val="-4"/>
                <w:highlight w:val="none"/>
              </w:rPr>
              <w:t>小计</w:t>
            </w:r>
          </w:p>
        </w:tc>
        <w:tc>
          <w:tcPr>
            <w:tcW w:w="2219" w:type="dxa"/>
            <w:gridSpan w:val="3"/>
            <w:vAlign w:val="top"/>
          </w:tcPr>
          <w:p w14:paraId="689D8D0C">
            <w:pPr>
              <w:pStyle w:val="17"/>
              <w:spacing w:before="149" w:line="220" w:lineRule="auto"/>
              <w:ind w:left="907"/>
              <w:rPr>
                <w:strike/>
                <w:dstrike w:val="0"/>
                <w:color w:val="auto"/>
                <w:highlight w:val="none"/>
              </w:rPr>
            </w:pPr>
            <w:r>
              <w:rPr>
                <w:strike/>
                <w:dstrike w:val="0"/>
                <w:color w:val="auto"/>
                <w:spacing w:val="-3"/>
                <w:highlight w:val="none"/>
              </w:rPr>
              <w:t>其中</w:t>
            </w:r>
          </w:p>
        </w:tc>
        <w:tc>
          <w:tcPr>
            <w:tcW w:w="814" w:type="dxa"/>
            <w:vMerge w:val="continue"/>
            <w:tcBorders>
              <w:top w:val="nil"/>
              <w:bottom w:val="nil"/>
            </w:tcBorders>
            <w:vAlign w:val="top"/>
          </w:tcPr>
          <w:p w14:paraId="65C6A65C">
            <w:pPr>
              <w:rPr>
                <w:rFonts w:ascii="Arial"/>
                <w:strike/>
                <w:dstrike w:val="0"/>
                <w:color w:val="auto"/>
                <w:sz w:val="21"/>
                <w:highlight w:val="none"/>
              </w:rPr>
            </w:pPr>
          </w:p>
        </w:tc>
      </w:tr>
      <w:tr w14:paraId="14BA7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64" w:type="dxa"/>
            <w:vMerge w:val="continue"/>
            <w:tcBorders>
              <w:top w:val="nil"/>
            </w:tcBorders>
            <w:vAlign w:val="top"/>
          </w:tcPr>
          <w:p w14:paraId="03100D7D">
            <w:pPr>
              <w:rPr>
                <w:rFonts w:ascii="Arial"/>
                <w:strike/>
                <w:dstrike w:val="0"/>
                <w:color w:val="auto"/>
                <w:sz w:val="21"/>
                <w:highlight w:val="none"/>
              </w:rPr>
            </w:pPr>
          </w:p>
        </w:tc>
        <w:tc>
          <w:tcPr>
            <w:tcW w:w="1078" w:type="dxa"/>
            <w:vMerge w:val="continue"/>
            <w:tcBorders>
              <w:top w:val="nil"/>
            </w:tcBorders>
            <w:vAlign w:val="top"/>
          </w:tcPr>
          <w:p w14:paraId="7B1EEFB4">
            <w:pPr>
              <w:rPr>
                <w:rFonts w:ascii="Arial"/>
                <w:strike/>
                <w:dstrike w:val="0"/>
                <w:color w:val="auto"/>
                <w:sz w:val="21"/>
                <w:highlight w:val="none"/>
              </w:rPr>
            </w:pPr>
          </w:p>
        </w:tc>
        <w:tc>
          <w:tcPr>
            <w:tcW w:w="768" w:type="dxa"/>
            <w:vMerge w:val="continue"/>
            <w:tcBorders>
              <w:top w:val="nil"/>
            </w:tcBorders>
            <w:vAlign w:val="top"/>
          </w:tcPr>
          <w:p w14:paraId="6267DEC7">
            <w:pPr>
              <w:rPr>
                <w:rFonts w:ascii="Arial"/>
                <w:strike/>
                <w:dstrike w:val="0"/>
                <w:color w:val="auto"/>
                <w:sz w:val="21"/>
                <w:highlight w:val="none"/>
              </w:rPr>
            </w:pPr>
          </w:p>
        </w:tc>
        <w:tc>
          <w:tcPr>
            <w:tcW w:w="720" w:type="dxa"/>
            <w:vMerge w:val="continue"/>
            <w:tcBorders>
              <w:top w:val="nil"/>
            </w:tcBorders>
            <w:vAlign w:val="top"/>
          </w:tcPr>
          <w:p w14:paraId="129C4317">
            <w:pPr>
              <w:rPr>
                <w:rFonts w:ascii="Arial"/>
                <w:strike/>
                <w:dstrike w:val="0"/>
                <w:color w:val="auto"/>
                <w:sz w:val="21"/>
                <w:highlight w:val="none"/>
              </w:rPr>
            </w:pPr>
          </w:p>
        </w:tc>
        <w:tc>
          <w:tcPr>
            <w:tcW w:w="779" w:type="dxa"/>
            <w:vMerge w:val="continue"/>
            <w:tcBorders>
              <w:top w:val="nil"/>
            </w:tcBorders>
            <w:vAlign w:val="top"/>
          </w:tcPr>
          <w:p w14:paraId="08927D59">
            <w:pPr>
              <w:rPr>
                <w:rFonts w:ascii="Arial"/>
                <w:strike/>
                <w:dstrike w:val="0"/>
                <w:color w:val="auto"/>
                <w:sz w:val="21"/>
                <w:highlight w:val="none"/>
              </w:rPr>
            </w:pPr>
          </w:p>
        </w:tc>
        <w:tc>
          <w:tcPr>
            <w:tcW w:w="1139" w:type="dxa"/>
            <w:vMerge w:val="continue"/>
            <w:tcBorders>
              <w:top w:val="nil"/>
            </w:tcBorders>
            <w:vAlign w:val="top"/>
          </w:tcPr>
          <w:p w14:paraId="43B18077">
            <w:pPr>
              <w:rPr>
                <w:rFonts w:ascii="Arial"/>
                <w:strike/>
                <w:dstrike w:val="0"/>
                <w:color w:val="auto"/>
                <w:sz w:val="21"/>
                <w:highlight w:val="none"/>
              </w:rPr>
            </w:pPr>
          </w:p>
        </w:tc>
        <w:tc>
          <w:tcPr>
            <w:tcW w:w="720" w:type="dxa"/>
            <w:vMerge w:val="continue"/>
            <w:tcBorders>
              <w:top w:val="nil"/>
            </w:tcBorders>
            <w:vAlign w:val="top"/>
          </w:tcPr>
          <w:p w14:paraId="5CD2A164">
            <w:pPr>
              <w:rPr>
                <w:rFonts w:ascii="Arial"/>
                <w:strike/>
                <w:dstrike w:val="0"/>
                <w:color w:val="auto"/>
                <w:sz w:val="21"/>
                <w:highlight w:val="none"/>
              </w:rPr>
            </w:pPr>
          </w:p>
        </w:tc>
        <w:tc>
          <w:tcPr>
            <w:tcW w:w="855" w:type="dxa"/>
            <w:vMerge w:val="continue"/>
            <w:tcBorders>
              <w:top w:val="nil"/>
            </w:tcBorders>
            <w:vAlign w:val="top"/>
          </w:tcPr>
          <w:p w14:paraId="43A55126">
            <w:pPr>
              <w:rPr>
                <w:rFonts w:ascii="Arial"/>
                <w:strike/>
                <w:dstrike w:val="0"/>
                <w:color w:val="auto"/>
                <w:sz w:val="21"/>
                <w:highlight w:val="none"/>
              </w:rPr>
            </w:pPr>
          </w:p>
        </w:tc>
        <w:tc>
          <w:tcPr>
            <w:tcW w:w="704" w:type="dxa"/>
            <w:vAlign w:val="top"/>
          </w:tcPr>
          <w:p w14:paraId="7763CCA1">
            <w:pPr>
              <w:pStyle w:val="17"/>
              <w:spacing w:before="148" w:line="220" w:lineRule="auto"/>
              <w:ind w:left="183"/>
              <w:rPr>
                <w:strike/>
                <w:dstrike w:val="0"/>
                <w:color w:val="auto"/>
                <w:highlight w:val="none"/>
              </w:rPr>
            </w:pPr>
            <w:r>
              <w:rPr>
                <w:strike/>
                <w:dstrike w:val="0"/>
                <w:color w:val="auto"/>
                <w:spacing w:val="-11"/>
                <w:highlight w:val="none"/>
              </w:rPr>
              <w:t>自有</w:t>
            </w:r>
          </w:p>
        </w:tc>
        <w:tc>
          <w:tcPr>
            <w:tcW w:w="765" w:type="dxa"/>
            <w:vAlign w:val="top"/>
          </w:tcPr>
          <w:p w14:paraId="33131E51">
            <w:pPr>
              <w:pStyle w:val="17"/>
              <w:spacing w:before="148" w:line="220" w:lineRule="auto"/>
              <w:ind w:left="180"/>
              <w:rPr>
                <w:strike/>
                <w:dstrike w:val="0"/>
                <w:color w:val="auto"/>
                <w:highlight w:val="none"/>
              </w:rPr>
            </w:pPr>
            <w:r>
              <w:rPr>
                <w:strike/>
                <w:dstrike w:val="0"/>
                <w:color w:val="auto"/>
                <w:spacing w:val="-3"/>
                <w:highlight w:val="none"/>
              </w:rPr>
              <w:t>新购</w:t>
            </w:r>
          </w:p>
        </w:tc>
        <w:tc>
          <w:tcPr>
            <w:tcW w:w="750" w:type="dxa"/>
            <w:vAlign w:val="top"/>
          </w:tcPr>
          <w:p w14:paraId="2C801601">
            <w:pPr>
              <w:pStyle w:val="17"/>
              <w:spacing w:before="148" w:line="220" w:lineRule="auto"/>
              <w:ind w:left="174"/>
              <w:rPr>
                <w:strike/>
                <w:dstrike w:val="0"/>
                <w:color w:val="auto"/>
                <w:highlight w:val="none"/>
              </w:rPr>
            </w:pPr>
            <w:r>
              <w:rPr>
                <w:strike/>
                <w:dstrike w:val="0"/>
                <w:color w:val="auto"/>
                <w:spacing w:val="-3"/>
                <w:highlight w:val="none"/>
              </w:rPr>
              <w:t>租赁</w:t>
            </w:r>
          </w:p>
        </w:tc>
        <w:tc>
          <w:tcPr>
            <w:tcW w:w="814" w:type="dxa"/>
            <w:vMerge w:val="continue"/>
            <w:tcBorders>
              <w:top w:val="nil"/>
            </w:tcBorders>
            <w:vAlign w:val="top"/>
          </w:tcPr>
          <w:p w14:paraId="05C062B5">
            <w:pPr>
              <w:rPr>
                <w:rFonts w:ascii="Arial"/>
                <w:strike/>
                <w:dstrike w:val="0"/>
                <w:color w:val="auto"/>
                <w:sz w:val="21"/>
                <w:highlight w:val="none"/>
              </w:rPr>
            </w:pPr>
          </w:p>
        </w:tc>
      </w:tr>
      <w:tr w14:paraId="24CF4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64" w:type="dxa"/>
            <w:vAlign w:val="top"/>
          </w:tcPr>
          <w:p w14:paraId="1011E2AC">
            <w:pPr>
              <w:rPr>
                <w:rFonts w:ascii="Arial"/>
                <w:strike/>
                <w:dstrike w:val="0"/>
                <w:color w:val="auto"/>
                <w:sz w:val="21"/>
                <w:highlight w:val="none"/>
              </w:rPr>
            </w:pPr>
          </w:p>
        </w:tc>
        <w:tc>
          <w:tcPr>
            <w:tcW w:w="1078" w:type="dxa"/>
            <w:vAlign w:val="top"/>
          </w:tcPr>
          <w:p w14:paraId="16CE450D">
            <w:pPr>
              <w:rPr>
                <w:rFonts w:ascii="Arial"/>
                <w:strike/>
                <w:dstrike w:val="0"/>
                <w:color w:val="auto"/>
                <w:sz w:val="21"/>
                <w:highlight w:val="none"/>
              </w:rPr>
            </w:pPr>
          </w:p>
        </w:tc>
        <w:tc>
          <w:tcPr>
            <w:tcW w:w="768" w:type="dxa"/>
            <w:vAlign w:val="top"/>
          </w:tcPr>
          <w:p w14:paraId="257862EB">
            <w:pPr>
              <w:rPr>
                <w:rFonts w:ascii="Arial"/>
                <w:strike/>
                <w:dstrike w:val="0"/>
                <w:color w:val="auto"/>
                <w:sz w:val="21"/>
                <w:highlight w:val="none"/>
              </w:rPr>
            </w:pPr>
          </w:p>
        </w:tc>
        <w:tc>
          <w:tcPr>
            <w:tcW w:w="720" w:type="dxa"/>
            <w:vAlign w:val="top"/>
          </w:tcPr>
          <w:p w14:paraId="09E32F31">
            <w:pPr>
              <w:rPr>
                <w:rFonts w:ascii="Arial"/>
                <w:strike/>
                <w:dstrike w:val="0"/>
                <w:color w:val="auto"/>
                <w:sz w:val="21"/>
                <w:highlight w:val="none"/>
              </w:rPr>
            </w:pPr>
          </w:p>
        </w:tc>
        <w:tc>
          <w:tcPr>
            <w:tcW w:w="779" w:type="dxa"/>
            <w:vAlign w:val="top"/>
          </w:tcPr>
          <w:p w14:paraId="1CD3AAE2">
            <w:pPr>
              <w:rPr>
                <w:rFonts w:ascii="Arial"/>
                <w:strike/>
                <w:dstrike w:val="0"/>
                <w:color w:val="auto"/>
                <w:sz w:val="21"/>
                <w:highlight w:val="none"/>
              </w:rPr>
            </w:pPr>
          </w:p>
        </w:tc>
        <w:tc>
          <w:tcPr>
            <w:tcW w:w="1139" w:type="dxa"/>
            <w:vAlign w:val="top"/>
          </w:tcPr>
          <w:p w14:paraId="343F6C52">
            <w:pPr>
              <w:rPr>
                <w:rFonts w:ascii="Arial"/>
                <w:strike/>
                <w:dstrike w:val="0"/>
                <w:color w:val="auto"/>
                <w:sz w:val="21"/>
                <w:highlight w:val="none"/>
              </w:rPr>
            </w:pPr>
          </w:p>
        </w:tc>
        <w:tc>
          <w:tcPr>
            <w:tcW w:w="720" w:type="dxa"/>
            <w:vAlign w:val="top"/>
          </w:tcPr>
          <w:p w14:paraId="0CA0DEF3">
            <w:pPr>
              <w:rPr>
                <w:rFonts w:ascii="Arial"/>
                <w:strike/>
                <w:dstrike w:val="0"/>
                <w:color w:val="auto"/>
                <w:sz w:val="21"/>
                <w:highlight w:val="none"/>
              </w:rPr>
            </w:pPr>
          </w:p>
        </w:tc>
        <w:tc>
          <w:tcPr>
            <w:tcW w:w="855" w:type="dxa"/>
            <w:vAlign w:val="top"/>
          </w:tcPr>
          <w:p w14:paraId="21DDEC50">
            <w:pPr>
              <w:rPr>
                <w:rFonts w:ascii="Arial"/>
                <w:strike/>
                <w:dstrike w:val="0"/>
                <w:color w:val="auto"/>
                <w:sz w:val="21"/>
                <w:highlight w:val="none"/>
              </w:rPr>
            </w:pPr>
          </w:p>
        </w:tc>
        <w:tc>
          <w:tcPr>
            <w:tcW w:w="704" w:type="dxa"/>
            <w:vAlign w:val="top"/>
          </w:tcPr>
          <w:p w14:paraId="6B8F8DCE">
            <w:pPr>
              <w:rPr>
                <w:rFonts w:ascii="Arial"/>
                <w:strike/>
                <w:dstrike w:val="0"/>
                <w:color w:val="auto"/>
                <w:sz w:val="21"/>
                <w:highlight w:val="none"/>
              </w:rPr>
            </w:pPr>
          </w:p>
        </w:tc>
        <w:tc>
          <w:tcPr>
            <w:tcW w:w="765" w:type="dxa"/>
            <w:vAlign w:val="top"/>
          </w:tcPr>
          <w:p w14:paraId="3EFB7CA8">
            <w:pPr>
              <w:rPr>
                <w:rFonts w:ascii="Arial"/>
                <w:strike/>
                <w:dstrike w:val="0"/>
                <w:color w:val="auto"/>
                <w:sz w:val="21"/>
                <w:highlight w:val="none"/>
              </w:rPr>
            </w:pPr>
          </w:p>
        </w:tc>
        <w:tc>
          <w:tcPr>
            <w:tcW w:w="750" w:type="dxa"/>
            <w:vAlign w:val="top"/>
          </w:tcPr>
          <w:p w14:paraId="3A932E84">
            <w:pPr>
              <w:rPr>
                <w:rFonts w:ascii="Arial"/>
                <w:strike/>
                <w:dstrike w:val="0"/>
                <w:color w:val="auto"/>
                <w:sz w:val="21"/>
                <w:highlight w:val="none"/>
              </w:rPr>
            </w:pPr>
          </w:p>
        </w:tc>
        <w:tc>
          <w:tcPr>
            <w:tcW w:w="814" w:type="dxa"/>
            <w:vAlign w:val="top"/>
          </w:tcPr>
          <w:p w14:paraId="698E9B10">
            <w:pPr>
              <w:rPr>
                <w:rFonts w:ascii="Arial"/>
                <w:strike/>
                <w:dstrike w:val="0"/>
                <w:color w:val="auto"/>
                <w:sz w:val="21"/>
                <w:highlight w:val="none"/>
              </w:rPr>
            </w:pPr>
          </w:p>
        </w:tc>
      </w:tr>
      <w:tr w14:paraId="5B19B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64" w:type="dxa"/>
            <w:vAlign w:val="top"/>
          </w:tcPr>
          <w:p w14:paraId="327079A8">
            <w:pPr>
              <w:rPr>
                <w:rFonts w:ascii="Arial"/>
                <w:strike/>
                <w:dstrike w:val="0"/>
                <w:color w:val="auto"/>
                <w:sz w:val="21"/>
                <w:highlight w:val="none"/>
              </w:rPr>
            </w:pPr>
          </w:p>
        </w:tc>
        <w:tc>
          <w:tcPr>
            <w:tcW w:w="1078" w:type="dxa"/>
            <w:vAlign w:val="top"/>
          </w:tcPr>
          <w:p w14:paraId="7841A746">
            <w:pPr>
              <w:rPr>
                <w:rFonts w:ascii="Arial"/>
                <w:strike/>
                <w:dstrike w:val="0"/>
                <w:color w:val="auto"/>
                <w:sz w:val="21"/>
                <w:highlight w:val="none"/>
              </w:rPr>
            </w:pPr>
          </w:p>
        </w:tc>
        <w:tc>
          <w:tcPr>
            <w:tcW w:w="768" w:type="dxa"/>
            <w:vAlign w:val="top"/>
          </w:tcPr>
          <w:p w14:paraId="6F2B7D3C">
            <w:pPr>
              <w:rPr>
                <w:rFonts w:ascii="Arial"/>
                <w:strike/>
                <w:dstrike w:val="0"/>
                <w:color w:val="auto"/>
                <w:sz w:val="21"/>
                <w:highlight w:val="none"/>
              </w:rPr>
            </w:pPr>
          </w:p>
        </w:tc>
        <w:tc>
          <w:tcPr>
            <w:tcW w:w="720" w:type="dxa"/>
            <w:vAlign w:val="top"/>
          </w:tcPr>
          <w:p w14:paraId="13E45FB1">
            <w:pPr>
              <w:rPr>
                <w:rFonts w:ascii="Arial"/>
                <w:strike/>
                <w:dstrike w:val="0"/>
                <w:color w:val="auto"/>
                <w:sz w:val="21"/>
                <w:highlight w:val="none"/>
              </w:rPr>
            </w:pPr>
          </w:p>
        </w:tc>
        <w:tc>
          <w:tcPr>
            <w:tcW w:w="779" w:type="dxa"/>
            <w:vAlign w:val="top"/>
          </w:tcPr>
          <w:p w14:paraId="2BD1540C">
            <w:pPr>
              <w:rPr>
                <w:rFonts w:ascii="Arial"/>
                <w:strike/>
                <w:dstrike w:val="0"/>
                <w:color w:val="auto"/>
                <w:sz w:val="21"/>
                <w:highlight w:val="none"/>
              </w:rPr>
            </w:pPr>
          </w:p>
        </w:tc>
        <w:tc>
          <w:tcPr>
            <w:tcW w:w="1139" w:type="dxa"/>
            <w:vAlign w:val="top"/>
          </w:tcPr>
          <w:p w14:paraId="215F54F1">
            <w:pPr>
              <w:rPr>
                <w:rFonts w:ascii="Arial"/>
                <w:strike/>
                <w:dstrike w:val="0"/>
                <w:color w:val="auto"/>
                <w:sz w:val="21"/>
                <w:highlight w:val="none"/>
              </w:rPr>
            </w:pPr>
          </w:p>
        </w:tc>
        <w:tc>
          <w:tcPr>
            <w:tcW w:w="720" w:type="dxa"/>
            <w:vAlign w:val="top"/>
          </w:tcPr>
          <w:p w14:paraId="5C3DE31C">
            <w:pPr>
              <w:rPr>
                <w:rFonts w:ascii="Arial"/>
                <w:strike/>
                <w:dstrike w:val="0"/>
                <w:color w:val="auto"/>
                <w:sz w:val="21"/>
                <w:highlight w:val="none"/>
              </w:rPr>
            </w:pPr>
          </w:p>
        </w:tc>
        <w:tc>
          <w:tcPr>
            <w:tcW w:w="855" w:type="dxa"/>
            <w:vAlign w:val="top"/>
          </w:tcPr>
          <w:p w14:paraId="68BA6B6F">
            <w:pPr>
              <w:rPr>
                <w:rFonts w:ascii="Arial"/>
                <w:strike/>
                <w:dstrike w:val="0"/>
                <w:color w:val="auto"/>
                <w:sz w:val="21"/>
                <w:highlight w:val="none"/>
              </w:rPr>
            </w:pPr>
          </w:p>
        </w:tc>
        <w:tc>
          <w:tcPr>
            <w:tcW w:w="704" w:type="dxa"/>
            <w:vAlign w:val="top"/>
          </w:tcPr>
          <w:p w14:paraId="7FE46E50">
            <w:pPr>
              <w:rPr>
                <w:rFonts w:ascii="Arial"/>
                <w:strike/>
                <w:dstrike w:val="0"/>
                <w:color w:val="auto"/>
                <w:sz w:val="21"/>
                <w:highlight w:val="none"/>
              </w:rPr>
            </w:pPr>
          </w:p>
        </w:tc>
        <w:tc>
          <w:tcPr>
            <w:tcW w:w="765" w:type="dxa"/>
            <w:vAlign w:val="top"/>
          </w:tcPr>
          <w:p w14:paraId="57A4BBD0">
            <w:pPr>
              <w:rPr>
                <w:rFonts w:ascii="Arial"/>
                <w:strike/>
                <w:dstrike w:val="0"/>
                <w:color w:val="auto"/>
                <w:sz w:val="21"/>
                <w:highlight w:val="none"/>
              </w:rPr>
            </w:pPr>
          </w:p>
        </w:tc>
        <w:tc>
          <w:tcPr>
            <w:tcW w:w="750" w:type="dxa"/>
            <w:vAlign w:val="top"/>
          </w:tcPr>
          <w:p w14:paraId="1D34B238">
            <w:pPr>
              <w:rPr>
                <w:rFonts w:ascii="Arial"/>
                <w:strike/>
                <w:dstrike w:val="0"/>
                <w:color w:val="auto"/>
                <w:sz w:val="21"/>
                <w:highlight w:val="none"/>
              </w:rPr>
            </w:pPr>
          </w:p>
        </w:tc>
        <w:tc>
          <w:tcPr>
            <w:tcW w:w="814" w:type="dxa"/>
            <w:vAlign w:val="top"/>
          </w:tcPr>
          <w:p w14:paraId="5DCC4ECC">
            <w:pPr>
              <w:rPr>
                <w:rFonts w:ascii="Arial"/>
                <w:strike/>
                <w:dstrike w:val="0"/>
                <w:color w:val="auto"/>
                <w:sz w:val="21"/>
                <w:highlight w:val="none"/>
              </w:rPr>
            </w:pPr>
          </w:p>
        </w:tc>
      </w:tr>
      <w:tr w14:paraId="7F582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64" w:type="dxa"/>
            <w:vAlign w:val="top"/>
          </w:tcPr>
          <w:p w14:paraId="13DEEDD4">
            <w:pPr>
              <w:rPr>
                <w:rFonts w:ascii="Arial"/>
                <w:strike/>
                <w:dstrike w:val="0"/>
                <w:color w:val="auto"/>
                <w:sz w:val="21"/>
                <w:highlight w:val="none"/>
              </w:rPr>
            </w:pPr>
          </w:p>
        </w:tc>
        <w:tc>
          <w:tcPr>
            <w:tcW w:w="1078" w:type="dxa"/>
            <w:vAlign w:val="top"/>
          </w:tcPr>
          <w:p w14:paraId="0458ED52">
            <w:pPr>
              <w:rPr>
                <w:rFonts w:ascii="Arial"/>
                <w:strike/>
                <w:dstrike w:val="0"/>
                <w:color w:val="auto"/>
                <w:sz w:val="21"/>
                <w:highlight w:val="none"/>
              </w:rPr>
            </w:pPr>
          </w:p>
        </w:tc>
        <w:tc>
          <w:tcPr>
            <w:tcW w:w="768" w:type="dxa"/>
            <w:vAlign w:val="top"/>
          </w:tcPr>
          <w:p w14:paraId="0D5C9F75">
            <w:pPr>
              <w:rPr>
                <w:rFonts w:ascii="Arial"/>
                <w:strike/>
                <w:dstrike w:val="0"/>
                <w:color w:val="auto"/>
                <w:sz w:val="21"/>
                <w:highlight w:val="none"/>
              </w:rPr>
            </w:pPr>
          </w:p>
        </w:tc>
        <w:tc>
          <w:tcPr>
            <w:tcW w:w="720" w:type="dxa"/>
            <w:vAlign w:val="top"/>
          </w:tcPr>
          <w:p w14:paraId="02FCFFC5">
            <w:pPr>
              <w:rPr>
                <w:rFonts w:ascii="Arial"/>
                <w:strike/>
                <w:dstrike w:val="0"/>
                <w:color w:val="auto"/>
                <w:sz w:val="21"/>
                <w:highlight w:val="none"/>
              </w:rPr>
            </w:pPr>
          </w:p>
        </w:tc>
        <w:tc>
          <w:tcPr>
            <w:tcW w:w="779" w:type="dxa"/>
            <w:vAlign w:val="top"/>
          </w:tcPr>
          <w:p w14:paraId="0D9E99BD">
            <w:pPr>
              <w:rPr>
                <w:rFonts w:ascii="Arial"/>
                <w:strike/>
                <w:dstrike w:val="0"/>
                <w:color w:val="auto"/>
                <w:sz w:val="21"/>
                <w:highlight w:val="none"/>
              </w:rPr>
            </w:pPr>
          </w:p>
        </w:tc>
        <w:tc>
          <w:tcPr>
            <w:tcW w:w="1139" w:type="dxa"/>
            <w:vAlign w:val="top"/>
          </w:tcPr>
          <w:p w14:paraId="4E0A70FA">
            <w:pPr>
              <w:rPr>
                <w:rFonts w:ascii="Arial"/>
                <w:strike/>
                <w:dstrike w:val="0"/>
                <w:color w:val="auto"/>
                <w:sz w:val="21"/>
                <w:highlight w:val="none"/>
              </w:rPr>
            </w:pPr>
          </w:p>
        </w:tc>
        <w:tc>
          <w:tcPr>
            <w:tcW w:w="720" w:type="dxa"/>
            <w:vAlign w:val="top"/>
          </w:tcPr>
          <w:p w14:paraId="107FCDE7">
            <w:pPr>
              <w:rPr>
                <w:rFonts w:ascii="Arial"/>
                <w:strike/>
                <w:dstrike w:val="0"/>
                <w:color w:val="auto"/>
                <w:sz w:val="21"/>
                <w:highlight w:val="none"/>
              </w:rPr>
            </w:pPr>
          </w:p>
        </w:tc>
        <w:tc>
          <w:tcPr>
            <w:tcW w:w="855" w:type="dxa"/>
            <w:vAlign w:val="top"/>
          </w:tcPr>
          <w:p w14:paraId="487F415B">
            <w:pPr>
              <w:rPr>
                <w:rFonts w:ascii="Arial"/>
                <w:strike/>
                <w:dstrike w:val="0"/>
                <w:color w:val="auto"/>
                <w:sz w:val="21"/>
                <w:highlight w:val="none"/>
              </w:rPr>
            </w:pPr>
          </w:p>
        </w:tc>
        <w:tc>
          <w:tcPr>
            <w:tcW w:w="704" w:type="dxa"/>
            <w:vAlign w:val="top"/>
          </w:tcPr>
          <w:p w14:paraId="02D742B9">
            <w:pPr>
              <w:rPr>
                <w:rFonts w:ascii="Arial"/>
                <w:strike/>
                <w:dstrike w:val="0"/>
                <w:color w:val="auto"/>
                <w:sz w:val="21"/>
                <w:highlight w:val="none"/>
              </w:rPr>
            </w:pPr>
          </w:p>
        </w:tc>
        <w:tc>
          <w:tcPr>
            <w:tcW w:w="765" w:type="dxa"/>
            <w:vAlign w:val="top"/>
          </w:tcPr>
          <w:p w14:paraId="3A7DC5B0">
            <w:pPr>
              <w:rPr>
                <w:rFonts w:ascii="Arial"/>
                <w:strike/>
                <w:dstrike w:val="0"/>
                <w:color w:val="auto"/>
                <w:sz w:val="21"/>
                <w:highlight w:val="none"/>
              </w:rPr>
            </w:pPr>
          </w:p>
        </w:tc>
        <w:tc>
          <w:tcPr>
            <w:tcW w:w="750" w:type="dxa"/>
            <w:vAlign w:val="top"/>
          </w:tcPr>
          <w:p w14:paraId="30241626">
            <w:pPr>
              <w:rPr>
                <w:rFonts w:ascii="Arial"/>
                <w:strike/>
                <w:dstrike w:val="0"/>
                <w:color w:val="auto"/>
                <w:sz w:val="21"/>
                <w:highlight w:val="none"/>
              </w:rPr>
            </w:pPr>
          </w:p>
        </w:tc>
        <w:tc>
          <w:tcPr>
            <w:tcW w:w="814" w:type="dxa"/>
            <w:vAlign w:val="top"/>
          </w:tcPr>
          <w:p w14:paraId="333D2ED2">
            <w:pPr>
              <w:rPr>
                <w:rFonts w:ascii="Arial"/>
                <w:strike/>
                <w:dstrike w:val="0"/>
                <w:color w:val="auto"/>
                <w:sz w:val="21"/>
                <w:highlight w:val="none"/>
              </w:rPr>
            </w:pPr>
          </w:p>
        </w:tc>
      </w:tr>
      <w:tr w14:paraId="6AA6C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64" w:type="dxa"/>
            <w:vAlign w:val="top"/>
          </w:tcPr>
          <w:p w14:paraId="43D701BA">
            <w:pPr>
              <w:rPr>
                <w:rFonts w:ascii="Arial"/>
                <w:strike/>
                <w:dstrike w:val="0"/>
                <w:color w:val="auto"/>
                <w:sz w:val="21"/>
                <w:highlight w:val="none"/>
              </w:rPr>
            </w:pPr>
          </w:p>
        </w:tc>
        <w:tc>
          <w:tcPr>
            <w:tcW w:w="1078" w:type="dxa"/>
            <w:vAlign w:val="top"/>
          </w:tcPr>
          <w:p w14:paraId="3E46E961">
            <w:pPr>
              <w:rPr>
                <w:rFonts w:ascii="Arial"/>
                <w:strike/>
                <w:dstrike w:val="0"/>
                <w:color w:val="auto"/>
                <w:sz w:val="21"/>
                <w:highlight w:val="none"/>
              </w:rPr>
            </w:pPr>
          </w:p>
        </w:tc>
        <w:tc>
          <w:tcPr>
            <w:tcW w:w="768" w:type="dxa"/>
            <w:vAlign w:val="top"/>
          </w:tcPr>
          <w:p w14:paraId="0FB76F15">
            <w:pPr>
              <w:rPr>
                <w:rFonts w:ascii="Arial"/>
                <w:strike/>
                <w:dstrike w:val="0"/>
                <w:color w:val="auto"/>
                <w:sz w:val="21"/>
                <w:highlight w:val="none"/>
              </w:rPr>
            </w:pPr>
          </w:p>
        </w:tc>
        <w:tc>
          <w:tcPr>
            <w:tcW w:w="720" w:type="dxa"/>
            <w:vAlign w:val="top"/>
          </w:tcPr>
          <w:p w14:paraId="3AA13929">
            <w:pPr>
              <w:rPr>
                <w:rFonts w:ascii="Arial"/>
                <w:strike/>
                <w:dstrike w:val="0"/>
                <w:color w:val="auto"/>
                <w:sz w:val="21"/>
                <w:highlight w:val="none"/>
              </w:rPr>
            </w:pPr>
          </w:p>
        </w:tc>
        <w:tc>
          <w:tcPr>
            <w:tcW w:w="779" w:type="dxa"/>
            <w:vAlign w:val="top"/>
          </w:tcPr>
          <w:p w14:paraId="2D9BB6AC">
            <w:pPr>
              <w:rPr>
                <w:rFonts w:ascii="Arial"/>
                <w:strike/>
                <w:dstrike w:val="0"/>
                <w:color w:val="auto"/>
                <w:sz w:val="21"/>
                <w:highlight w:val="none"/>
              </w:rPr>
            </w:pPr>
          </w:p>
        </w:tc>
        <w:tc>
          <w:tcPr>
            <w:tcW w:w="1139" w:type="dxa"/>
            <w:vAlign w:val="top"/>
          </w:tcPr>
          <w:p w14:paraId="4BC7BFEC">
            <w:pPr>
              <w:rPr>
                <w:rFonts w:ascii="Arial"/>
                <w:strike/>
                <w:dstrike w:val="0"/>
                <w:color w:val="auto"/>
                <w:sz w:val="21"/>
                <w:highlight w:val="none"/>
              </w:rPr>
            </w:pPr>
          </w:p>
        </w:tc>
        <w:tc>
          <w:tcPr>
            <w:tcW w:w="720" w:type="dxa"/>
            <w:vAlign w:val="top"/>
          </w:tcPr>
          <w:p w14:paraId="47CAC2EE">
            <w:pPr>
              <w:rPr>
                <w:rFonts w:ascii="Arial"/>
                <w:strike/>
                <w:dstrike w:val="0"/>
                <w:color w:val="auto"/>
                <w:sz w:val="21"/>
                <w:highlight w:val="none"/>
              </w:rPr>
            </w:pPr>
          </w:p>
        </w:tc>
        <w:tc>
          <w:tcPr>
            <w:tcW w:w="855" w:type="dxa"/>
            <w:vAlign w:val="top"/>
          </w:tcPr>
          <w:p w14:paraId="36E2B62D">
            <w:pPr>
              <w:rPr>
                <w:rFonts w:ascii="Arial"/>
                <w:strike/>
                <w:dstrike w:val="0"/>
                <w:color w:val="auto"/>
                <w:sz w:val="21"/>
                <w:highlight w:val="none"/>
              </w:rPr>
            </w:pPr>
          </w:p>
        </w:tc>
        <w:tc>
          <w:tcPr>
            <w:tcW w:w="704" w:type="dxa"/>
            <w:vAlign w:val="top"/>
          </w:tcPr>
          <w:p w14:paraId="48E6F6D9">
            <w:pPr>
              <w:rPr>
                <w:rFonts w:ascii="Arial"/>
                <w:strike/>
                <w:dstrike w:val="0"/>
                <w:color w:val="auto"/>
                <w:sz w:val="21"/>
                <w:highlight w:val="none"/>
              </w:rPr>
            </w:pPr>
          </w:p>
        </w:tc>
        <w:tc>
          <w:tcPr>
            <w:tcW w:w="765" w:type="dxa"/>
            <w:vAlign w:val="top"/>
          </w:tcPr>
          <w:p w14:paraId="0F44E35C">
            <w:pPr>
              <w:rPr>
                <w:rFonts w:ascii="Arial"/>
                <w:strike/>
                <w:dstrike w:val="0"/>
                <w:color w:val="auto"/>
                <w:sz w:val="21"/>
                <w:highlight w:val="none"/>
              </w:rPr>
            </w:pPr>
          </w:p>
        </w:tc>
        <w:tc>
          <w:tcPr>
            <w:tcW w:w="750" w:type="dxa"/>
            <w:vAlign w:val="top"/>
          </w:tcPr>
          <w:p w14:paraId="71B0555C">
            <w:pPr>
              <w:rPr>
                <w:rFonts w:ascii="Arial"/>
                <w:strike/>
                <w:dstrike w:val="0"/>
                <w:color w:val="auto"/>
                <w:sz w:val="21"/>
                <w:highlight w:val="none"/>
              </w:rPr>
            </w:pPr>
          </w:p>
        </w:tc>
        <w:tc>
          <w:tcPr>
            <w:tcW w:w="814" w:type="dxa"/>
            <w:vAlign w:val="top"/>
          </w:tcPr>
          <w:p w14:paraId="1A2D1E48">
            <w:pPr>
              <w:rPr>
                <w:rFonts w:ascii="Arial"/>
                <w:strike/>
                <w:dstrike w:val="0"/>
                <w:color w:val="auto"/>
                <w:sz w:val="21"/>
                <w:highlight w:val="none"/>
              </w:rPr>
            </w:pPr>
          </w:p>
        </w:tc>
      </w:tr>
      <w:tr w14:paraId="57982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64" w:type="dxa"/>
            <w:vAlign w:val="top"/>
          </w:tcPr>
          <w:p w14:paraId="31B81B04">
            <w:pPr>
              <w:rPr>
                <w:rFonts w:ascii="Arial"/>
                <w:strike/>
                <w:dstrike w:val="0"/>
                <w:color w:val="auto"/>
                <w:sz w:val="21"/>
                <w:highlight w:val="none"/>
              </w:rPr>
            </w:pPr>
          </w:p>
        </w:tc>
        <w:tc>
          <w:tcPr>
            <w:tcW w:w="1078" w:type="dxa"/>
            <w:vAlign w:val="top"/>
          </w:tcPr>
          <w:p w14:paraId="6C86BA02">
            <w:pPr>
              <w:rPr>
                <w:rFonts w:ascii="Arial"/>
                <w:strike/>
                <w:dstrike w:val="0"/>
                <w:color w:val="auto"/>
                <w:sz w:val="21"/>
                <w:highlight w:val="none"/>
              </w:rPr>
            </w:pPr>
          </w:p>
        </w:tc>
        <w:tc>
          <w:tcPr>
            <w:tcW w:w="768" w:type="dxa"/>
            <w:vAlign w:val="top"/>
          </w:tcPr>
          <w:p w14:paraId="54373CB7">
            <w:pPr>
              <w:rPr>
                <w:rFonts w:ascii="Arial"/>
                <w:strike/>
                <w:dstrike w:val="0"/>
                <w:color w:val="auto"/>
                <w:sz w:val="21"/>
                <w:highlight w:val="none"/>
              </w:rPr>
            </w:pPr>
          </w:p>
        </w:tc>
        <w:tc>
          <w:tcPr>
            <w:tcW w:w="720" w:type="dxa"/>
            <w:vAlign w:val="top"/>
          </w:tcPr>
          <w:p w14:paraId="7E72754D">
            <w:pPr>
              <w:rPr>
                <w:rFonts w:ascii="Arial"/>
                <w:strike/>
                <w:dstrike w:val="0"/>
                <w:color w:val="auto"/>
                <w:sz w:val="21"/>
                <w:highlight w:val="none"/>
              </w:rPr>
            </w:pPr>
          </w:p>
        </w:tc>
        <w:tc>
          <w:tcPr>
            <w:tcW w:w="779" w:type="dxa"/>
            <w:vAlign w:val="top"/>
          </w:tcPr>
          <w:p w14:paraId="0F10F8C1">
            <w:pPr>
              <w:rPr>
                <w:rFonts w:ascii="Arial"/>
                <w:strike/>
                <w:dstrike w:val="0"/>
                <w:color w:val="auto"/>
                <w:sz w:val="21"/>
                <w:highlight w:val="none"/>
              </w:rPr>
            </w:pPr>
          </w:p>
        </w:tc>
        <w:tc>
          <w:tcPr>
            <w:tcW w:w="1139" w:type="dxa"/>
            <w:vAlign w:val="top"/>
          </w:tcPr>
          <w:p w14:paraId="0D78688E">
            <w:pPr>
              <w:rPr>
                <w:rFonts w:ascii="Arial"/>
                <w:strike/>
                <w:dstrike w:val="0"/>
                <w:color w:val="auto"/>
                <w:sz w:val="21"/>
                <w:highlight w:val="none"/>
              </w:rPr>
            </w:pPr>
          </w:p>
        </w:tc>
        <w:tc>
          <w:tcPr>
            <w:tcW w:w="720" w:type="dxa"/>
            <w:vAlign w:val="top"/>
          </w:tcPr>
          <w:p w14:paraId="63E15F6F">
            <w:pPr>
              <w:rPr>
                <w:rFonts w:ascii="Arial"/>
                <w:strike/>
                <w:dstrike w:val="0"/>
                <w:color w:val="auto"/>
                <w:sz w:val="21"/>
                <w:highlight w:val="none"/>
              </w:rPr>
            </w:pPr>
          </w:p>
        </w:tc>
        <w:tc>
          <w:tcPr>
            <w:tcW w:w="855" w:type="dxa"/>
            <w:vAlign w:val="top"/>
          </w:tcPr>
          <w:p w14:paraId="4F1DBA12">
            <w:pPr>
              <w:rPr>
                <w:rFonts w:ascii="Arial"/>
                <w:strike/>
                <w:dstrike w:val="0"/>
                <w:color w:val="auto"/>
                <w:sz w:val="21"/>
                <w:highlight w:val="none"/>
              </w:rPr>
            </w:pPr>
          </w:p>
        </w:tc>
        <w:tc>
          <w:tcPr>
            <w:tcW w:w="704" w:type="dxa"/>
            <w:vAlign w:val="top"/>
          </w:tcPr>
          <w:p w14:paraId="4FD5C489">
            <w:pPr>
              <w:rPr>
                <w:rFonts w:ascii="Arial"/>
                <w:strike/>
                <w:dstrike w:val="0"/>
                <w:color w:val="auto"/>
                <w:sz w:val="21"/>
                <w:highlight w:val="none"/>
              </w:rPr>
            </w:pPr>
          </w:p>
        </w:tc>
        <w:tc>
          <w:tcPr>
            <w:tcW w:w="765" w:type="dxa"/>
            <w:vAlign w:val="top"/>
          </w:tcPr>
          <w:p w14:paraId="07E596AD">
            <w:pPr>
              <w:rPr>
                <w:rFonts w:ascii="Arial"/>
                <w:strike/>
                <w:dstrike w:val="0"/>
                <w:color w:val="auto"/>
                <w:sz w:val="21"/>
                <w:highlight w:val="none"/>
              </w:rPr>
            </w:pPr>
          </w:p>
        </w:tc>
        <w:tc>
          <w:tcPr>
            <w:tcW w:w="750" w:type="dxa"/>
            <w:vAlign w:val="top"/>
          </w:tcPr>
          <w:p w14:paraId="57B00ABB">
            <w:pPr>
              <w:rPr>
                <w:rFonts w:ascii="Arial"/>
                <w:strike/>
                <w:dstrike w:val="0"/>
                <w:color w:val="auto"/>
                <w:sz w:val="21"/>
                <w:highlight w:val="none"/>
              </w:rPr>
            </w:pPr>
          </w:p>
        </w:tc>
        <w:tc>
          <w:tcPr>
            <w:tcW w:w="814" w:type="dxa"/>
            <w:vAlign w:val="top"/>
          </w:tcPr>
          <w:p w14:paraId="6B4DEA97">
            <w:pPr>
              <w:rPr>
                <w:rFonts w:ascii="Arial"/>
                <w:strike/>
                <w:dstrike w:val="0"/>
                <w:color w:val="auto"/>
                <w:sz w:val="21"/>
                <w:highlight w:val="none"/>
              </w:rPr>
            </w:pPr>
          </w:p>
        </w:tc>
      </w:tr>
      <w:tr w14:paraId="3404F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64" w:type="dxa"/>
            <w:vAlign w:val="top"/>
          </w:tcPr>
          <w:p w14:paraId="2114A755">
            <w:pPr>
              <w:rPr>
                <w:rFonts w:ascii="Arial"/>
                <w:strike/>
                <w:dstrike w:val="0"/>
                <w:color w:val="auto"/>
                <w:sz w:val="21"/>
                <w:highlight w:val="none"/>
              </w:rPr>
            </w:pPr>
          </w:p>
        </w:tc>
        <w:tc>
          <w:tcPr>
            <w:tcW w:w="1078" w:type="dxa"/>
            <w:vAlign w:val="top"/>
          </w:tcPr>
          <w:p w14:paraId="52D7DAC7">
            <w:pPr>
              <w:rPr>
                <w:rFonts w:ascii="Arial"/>
                <w:strike/>
                <w:dstrike w:val="0"/>
                <w:color w:val="auto"/>
                <w:sz w:val="21"/>
                <w:highlight w:val="none"/>
              </w:rPr>
            </w:pPr>
          </w:p>
        </w:tc>
        <w:tc>
          <w:tcPr>
            <w:tcW w:w="768" w:type="dxa"/>
            <w:vAlign w:val="top"/>
          </w:tcPr>
          <w:p w14:paraId="7C660465">
            <w:pPr>
              <w:rPr>
                <w:rFonts w:ascii="Arial"/>
                <w:strike/>
                <w:dstrike w:val="0"/>
                <w:color w:val="auto"/>
                <w:sz w:val="21"/>
                <w:highlight w:val="none"/>
              </w:rPr>
            </w:pPr>
          </w:p>
        </w:tc>
        <w:tc>
          <w:tcPr>
            <w:tcW w:w="720" w:type="dxa"/>
            <w:vAlign w:val="top"/>
          </w:tcPr>
          <w:p w14:paraId="18B53A53">
            <w:pPr>
              <w:rPr>
                <w:rFonts w:ascii="Arial"/>
                <w:strike/>
                <w:dstrike w:val="0"/>
                <w:color w:val="auto"/>
                <w:sz w:val="21"/>
                <w:highlight w:val="none"/>
              </w:rPr>
            </w:pPr>
          </w:p>
        </w:tc>
        <w:tc>
          <w:tcPr>
            <w:tcW w:w="779" w:type="dxa"/>
            <w:vAlign w:val="top"/>
          </w:tcPr>
          <w:p w14:paraId="01B34E35">
            <w:pPr>
              <w:rPr>
                <w:rFonts w:ascii="Arial"/>
                <w:strike/>
                <w:dstrike w:val="0"/>
                <w:color w:val="auto"/>
                <w:sz w:val="21"/>
                <w:highlight w:val="none"/>
              </w:rPr>
            </w:pPr>
          </w:p>
        </w:tc>
        <w:tc>
          <w:tcPr>
            <w:tcW w:w="1139" w:type="dxa"/>
            <w:vAlign w:val="top"/>
          </w:tcPr>
          <w:p w14:paraId="004FC2F4">
            <w:pPr>
              <w:rPr>
                <w:rFonts w:ascii="Arial"/>
                <w:strike/>
                <w:dstrike w:val="0"/>
                <w:color w:val="auto"/>
                <w:sz w:val="21"/>
                <w:highlight w:val="none"/>
              </w:rPr>
            </w:pPr>
          </w:p>
        </w:tc>
        <w:tc>
          <w:tcPr>
            <w:tcW w:w="720" w:type="dxa"/>
            <w:vAlign w:val="top"/>
          </w:tcPr>
          <w:p w14:paraId="4654FB7D">
            <w:pPr>
              <w:rPr>
                <w:rFonts w:ascii="Arial"/>
                <w:strike/>
                <w:dstrike w:val="0"/>
                <w:color w:val="auto"/>
                <w:sz w:val="21"/>
                <w:highlight w:val="none"/>
              </w:rPr>
            </w:pPr>
          </w:p>
        </w:tc>
        <w:tc>
          <w:tcPr>
            <w:tcW w:w="855" w:type="dxa"/>
            <w:vAlign w:val="top"/>
          </w:tcPr>
          <w:p w14:paraId="387222DD">
            <w:pPr>
              <w:rPr>
                <w:rFonts w:ascii="Arial"/>
                <w:strike/>
                <w:dstrike w:val="0"/>
                <w:color w:val="auto"/>
                <w:sz w:val="21"/>
                <w:highlight w:val="none"/>
              </w:rPr>
            </w:pPr>
          </w:p>
        </w:tc>
        <w:tc>
          <w:tcPr>
            <w:tcW w:w="704" w:type="dxa"/>
            <w:vAlign w:val="top"/>
          </w:tcPr>
          <w:p w14:paraId="599BAB19">
            <w:pPr>
              <w:rPr>
                <w:rFonts w:ascii="Arial"/>
                <w:strike/>
                <w:dstrike w:val="0"/>
                <w:color w:val="auto"/>
                <w:sz w:val="21"/>
                <w:highlight w:val="none"/>
              </w:rPr>
            </w:pPr>
          </w:p>
        </w:tc>
        <w:tc>
          <w:tcPr>
            <w:tcW w:w="765" w:type="dxa"/>
            <w:vAlign w:val="top"/>
          </w:tcPr>
          <w:p w14:paraId="3DB09555">
            <w:pPr>
              <w:rPr>
                <w:rFonts w:ascii="Arial"/>
                <w:strike/>
                <w:dstrike w:val="0"/>
                <w:color w:val="auto"/>
                <w:sz w:val="21"/>
                <w:highlight w:val="none"/>
              </w:rPr>
            </w:pPr>
          </w:p>
        </w:tc>
        <w:tc>
          <w:tcPr>
            <w:tcW w:w="750" w:type="dxa"/>
            <w:vAlign w:val="top"/>
          </w:tcPr>
          <w:p w14:paraId="45D5CE58">
            <w:pPr>
              <w:rPr>
                <w:rFonts w:ascii="Arial"/>
                <w:strike/>
                <w:dstrike w:val="0"/>
                <w:color w:val="auto"/>
                <w:sz w:val="21"/>
                <w:highlight w:val="none"/>
              </w:rPr>
            </w:pPr>
          </w:p>
        </w:tc>
        <w:tc>
          <w:tcPr>
            <w:tcW w:w="814" w:type="dxa"/>
            <w:vAlign w:val="top"/>
          </w:tcPr>
          <w:p w14:paraId="38FFD85D">
            <w:pPr>
              <w:rPr>
                <w:rFonts w:ascii="Arial"/>
                <w:strike/>
                <w:dstrike w:val="0"/>
                <w:color w:val="auto"/>
                <w:sz w:val="21"/>
                <w:highlight w:val="none"/>
              </w:rPr>
            </w:pPr>
          </w:p>
        </w:tc>
      </w:tr>
      <w:tr w14:paraId="695CA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64" w:type="dxa"/>
            <w:vAlign w:val="top"/>
          </w:tcPr>
          <w:p w14:paraId="41D5E2F5">
            <w:pPr>
              <w:rPr>
                <w:rFonts w:ascii="Arial"/>
                <w:strike/>
                <w:dstrike w:val="0"/>
                <w:color w:val="auto"/>
                <w:sz w:val="21"/>
                <w:highlight w:val="none"/>
              </w:rPr>
            </w:pPr>
          </w:p>
        </w:tc>
        <w:tc>
          <w:tcPr>
            <w:tcW w:w="1078" w:type="dxa"/>
            <w:vAlign w:val="top"/>
          </w:tcPr>
          <w:p w14:paraId="1A61F9EA">
            <w:pPr>
              <w:rPr>
                <w:rFonts w:ascii="Arial"/>
                <w:strike/>
                <w:dstrike w:val="0"/>
                <w:color w:val="auto"/>
                <w:sz w:val="21"/>
                <w:highlight w:val="none"/>
              </w:rPr>
            </w:pPr>
          </w:p>
        </w:tc>
        <w:tc>
          <w:tcPr>
            <w:tcW w:w="768" w:type="dxa"/>
            <w:vAlign w:val="top"/>
          </w:tcPr>
          <w:p w14:paraId="00222DF3">
            <w:pPr>
              <w:rPr>
                <w:rFonts w:ascii="Arial"/>
                <w:strike/>
                <w:dstrike w:val="0"/>
                <w:color w:val="auto"/>
                <w:sz w:val="21"/>
                <w:highlight w:val="none"/>
              </w:rPr>
            </w:pPr>
          </w:p>
        </w:tc>
        <w:tc>
          <w:tcPr>
            <w:tcW w:w="720" w:type="dxa"/>
            <w:vAlign w:val="top"/>
          </w:tcPr>
          <w:p w14:paraId="1362B1E7">
            <w:pPr>
              <w:rPr>
                <w:rFonts w:ascii="Arial"/>
                <w:strike/>
                <w:dstrike w:val="0"/>
                <w:color w:val="auto"/>
                <w:sz w:val="21"/>
                <w:highlight w:val="none"/>
              </w:rPr>
            </w:pPr>
          </w:p>
        </w:tc>
        <w:tc>
          <w:tcPr>
            <w:tcW w:w="779" w:type="dxa"/>
            <w:vAlign w:val="top"/>
          </w:tcPr>
          <w:p w14:paraId="3154AAAE">
            <w:pPr>
              <w:rPr>
                <w:rFonts w:ascii="Arial"/>
                <w:strike/>
                <w:dstrike w:val="0"/>
                <w:color w:val="auto"/>
                <w:sz w:val="21"/>
                <w:highlight w:val="none"/>
              </w:rPr>
            </w:pPr>
          </w:p>
        </w:tc>
        <w:tc>
          <w:tcPr>
            <w:tcW w:w="1139" w:type="dxa"/>
            <w:vAlign w:val="top"/>
          </w:tcPr>
          <w:p w14:paraId="285527FF">
            <w:pPr>
              <w:rPr>
                <w:rFonts w:ascii="Arial"/>
                <w:strike/>
                <w:dstrike w:val="0"/>
                <w:color w:val="auto"/>
                <w:sz w:val="21"/>
                <w:highlight w:val="none"/>
              </w:rPr>
            </w:pPr>
          </w:p>
        </w:tc>
        <w:tc>
          <w:tcPr>
            <w:tcW w:w="720" w:type="dxa"/>
            <w:vAlign w:val="top"/>
          </w:tcPr>
          <w:p w14:paraId="44DC2262">
            <w:pPr>
              <w:rPr>
                <w:rFonts w:ascii="Arial"/>
                <w:strike/>
                <w:dstrike w:val="0"/>
                <w:color w:val="auto"/>
                <w:sz w:val="21"/>
                <w:highlight w:val="none"/>
              </w:rPr>
            </w:pPr>
          </w:p>
        </w:tc>
        <w:tc>
          <w:tcPr>
            <w:tcW w:w="855" w:type="dxa"/>
            <w:vAlign w:val="top"/>
          </w:tcPr>
          <w:p w14:paraId="750399A4">
            <w:pPr>
              <w:rPr>
                <w:rFonts w:ascii="Arial"/>
                <w:strike/>
                <w:dstrike w:val="0"/>
                <w:color w:val="auto"/>
                <w:sz w:val="21"/>
                <w:highlight w:val="none"/>
              </w:rPr>
            </w:pPr>
          </w:p>
        </w:tc>
        <w:tc>
          <w:tcPr>
            <w:tcW w:w="704" w:type="dxa"/>
            <w:vAlign w:val="top"/>
          </w:tcPr>
          <w:p w14:paraId="2B9556C1">
            <w:pPr>
              <w:rPr>
                <w:rFonts w:ascii="Arial"/>
                <w:strike/>
                <w:dstrike w:val="0"/>
                <w:color w:val="auto"/>
                <w:sz w:val="21"/>
                <w:highlight w:val="none"/>
              </w:rPr>
            </w:pPr>
          </w:p>
        </w:tc>
        <w:tc>
          <w:tcPr>
            <w:tcW w:w="765" w:type="dxa"/>
            <w:vAlign w:val="top"/>
          </w:tcPr>
          <w:p w14:paraId="6F246F93">
            <w:pPr>
              <w:rPr>
                <w:rFonts w:ascii="Arial"/>
                <w:strike/>
                <w:dstrike w:val="0"/>
                <w:color w:val="auto"/>
                <w:sz w:val="21"/>
                <w:highlight w:val="none"/>
              </w:rPr>
            </w:pPr>
          </w:p>
        </w:tc>
        <w:tc>
          <w:tcPr>
            <w:tcW w:w="750" w:type="dxa"/>
            <w:vAlign w:val="top"/>
          </w:tcPr>
          <w:p w14:paraId="1487953A">
            <w:pPr>
              <w:rPr>
                <w:rFonts w:ascii="Arial"/>
                <w:strike/>
                <w:dstrike w:val="0"/>
                <w:color w:val="auto"/>
                <w:sz w:val="21"/>
                <w:highlight w:val="none"/>
              </w:rPr>
            </w:pPr>
          </w:p>
        </w:tc>
        <w:tc>
          <w:tcPr>
            <w:tcW w:w="814" w:type="dxa"/>
            <w:vAlign w:val="top"/>
          </w:tcPr>
          <w:p w14:paraId="47D8D5B4">
            <w:pPr>
              <w:rPr>
                <w:rFonts w:ascii="Arial"/>
                <w:strike/>
                <w:dstrike w:val="0"/>
                <w:color w:val="auto"/>
                <w:sz w:val="21"/>
                <w:highlight w:val="none"/>
              </w:rPr>
            </w:pPr>
          </w:p>
        </w:tc>
      </w:tr>
      <w:tr w14:paraId="7F9A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64" w:type="dxa"/>
            <w:vAlign w:val="top"/>
          </w:tcPr>
          <w:p w14:paraId="4F2ABE54">
            <w:pPr>
              <w:rPr>
                <w:rFonts w:ascii="Arial"/>
                <w:strike/>
                <w:dstrike w:val="0"/>
                <w:color w:val="auto"/>
                <w:sz w:val="21"/>
                <w:highlight w:val="none"/>
              </w:rPr>
            </w:pPr>
          </w:p>
        </w:tc>
        <w:tc>
          <w:tcPr>
            <w:tcW w:w="1078" w:type="dxa"/>
            <w:vAlign w:val="top"/>
          </w:tcPr>
          <w:p w14:paraId="4C7FE611">
            <w:pPr>
              <w:rPr>
                <w:rFonts w:ascii="Arial"/>
                <w:strike/>
                <w:dstrike w:val="0"/>
                <w:color w:val="auto"/>
                <w:sz w:val="21"/>
                <w:highlight w:val="none"/>
              </w:rPr>
            </w:pPr>
          </w:p>
        </w:tc>
        <w:tc>
          <w:tcPr>
            <w:tcW w:w="768" w:type="dxa"/>
            <w:vAlign w:val="top"/>
          </w:tcPr>
          <w:p w14:paraId="6D218210">
            <w:pPr>
              <w:rPr>
                <w:rFonts w:ascii="Arial"/>
                <w:strike/>
                <w:dstrike w:val="0"/>
                <w:color w:val="auto"/>
                <w:sz w:val="21"/>
                <w:highlight w:val="none"/>
              </w:rPr>
            </w:pPr>
          </w:p>
        </w:tc>
        <w:tc>
          <w:tcPr>
            <w:tcW w:w="720" w:type="dxa"/>
            <w:vAlign w:val="top"/>
          </w:tcPr>
          <w:p w14:paraId="4AA9ABDA">
            <w:pPr>
              <w:rPr>
                <w:rFonts w:ascii="Arial"/>
                <w:strike/>
                <w:dstrike w:val="0"/>
                <w:color w:val="auto"/>
                <w:sz w:val="21"/>
                <w:highlight w:val="none"/>
              </w:rPr>
            </w:pPr>
          </w:p>
        </w:tc>
        <w:tc>
          <w:tcPr>
            <w:tcW w:w="779" w:type="dxa"/>
            <w:vAlign w:val="top"/>
          </w:tcPr>
          <w:p w14:paraId="5353806A">
            <w:pPr>
              <w:rPr>
                <w:rFonts w:ascii="Arial"/>
                <w:strike/>
                <w:dstrike w:val="0"/>
                <w:color w:val="auto"/>
                <w:sz w:val="21"/>
                <w:highlight w:val="none"/>
              </w:rPr>
            </w:pPr>
          </w:p>
        </w:tc>
        <w:tc>
          <w:tcPr>
            <w:tcW w:w="1139" w:type="dxa"/>
            <w:vAlign w:val="top"/>
          </w:tcPr>
          <w:p w14:paraId="5D907D89">
            <w:pPr>
              <w:rPr>
                <w:rFonts w:ascii="Arial"/>
                <w:strike/>
                <w:dstrike w:val="0"/>
                <w:color w:val="auto"/>
                <w:sz w:val="21"/>
                <w:highlight w:val="none"/>
              </w:rPr>
            </w:pPr>
          </w:p>
        </w:tc>
        <w:tc>
          <w:tcPr>
            <w:tcW w:w="720" w:type="dxa"/>
            <w:vAlign w:val="top"/>
          </w:tcPr>
          <w:p w14:paraId="0DE7E3AA">
            <w:pPr>
              <w:rPr>
                <w:rFonts w:ascii="Arial"/>
                <w:strike/>
                <w:dstrike w:val="0"/>
                <w:color w:val="auto"/>
                <w:sz w:val="21"/>
                <w:highlight w:val="none"/>
              </w:rPr>
            </w:pPr>
          </w:p>
        </w:tc>
        <w:tc>
          <w:tcPr>
            <w:tcW w:w="855" w:type="dxa"/>
            <w:vAlign w:val="top"/>
          </w:tcPr>
          <w:p w14:paraId="227BDAC6">
            <w:pPr>
              <w:rPr>
                <w:rFonts w:ascii="Arial"/>
                <w:strike/>
                <w:dstrike w:val="0"/>
                <w:color w:val="auto"/>
                <w:sz w:val="21"/>
                <w:highlight w:val="none"/>
              </w:rPr>
            </w:pPr>
          </w:p>
        </w:tc>
        <w:tc>
          <w:tcPr>
            <w:tcW w:w="704" w:type="dxa"/>
            <w:vAlign w:val="top"/>
          </w:tcPr>
          <w:p w14:paraId="36E2365C">
            <w:pPr>
              <w:rPr>
                <w:rFonts w:ascii="Arial"/>
                <w:strike/>
                <w:dstrike w:val="0"/>
                <w:color w:val="auto"/>
                <w:sz w:val="21"/>
                <w:highlight w:val="none"/>
              </w:rPr>
            </w:pPr>
          </w:p>
        </w:tc>
        <w:tc>
          <w:tcPr>
            <w:tcW w:w="765" w:type="dxa"/>
            <w:vAlign w:val="top"/>
          </w:tcPr>
          <w:p w14:paraId="6D4C273B">
            <w:pPr>
              <w:rPr>
                <w:rFonts w:ascii="Arial"/>
                <w:strike/>
                <w:dstrike w:val="0"/>
                <w:color w:val="auto"/>
                <w:sz w:val="21"/>
                <w:highlight w:val="none"/>
              </w:rPr>
            </w:pPr>
          </w:p>
        </w:tc>
        <w:tc>
          <w:tcPr>
            <w:tcW w:w="750" w:type="dxa"/>
            <w:vAlign w:val="top"/>
          </w:tcPr>
          <w:p w14:paraId="0CF18403">
            <w:pPr>
              <w:rPr>
                <w:rFonts w:ascii="Arial"/>
                <w:strike/>
                <w:dstrike w:val="0"/>
                <w:color w:val="auto"/>
                <w:sz w:val="21"/>
                <w:highlight w:val="none"/>
              </w:rPr>
            </w:pPr>
          </w:p>
        </w:tc>
        <w:tc>
          <w:tcPr>
            <w:tcW w:w="814" w:type="dxa"/>
            <w:vAlign w:val="top"/>
          </w:tcPr>
          <w:p w14:paraId="5E9CC6A9">
            <w:pPr>
              <w:rPr>
                <w:rFonts w:ascii="Arial"/>
                <w:strike/>
                <w:dstrike w:val="0"/>
                <w:color w:val="auto"/>
                <w:sz w:val="21"/>
                <w:highlight w:val="none"/>
              </w:rPr>
            </w:pPr>
          </w:p>
        </w:tc>
      </w:tr>
      <w:tr w14:paraId="5BA6A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64" w:type="dxa"/>
            <w:vAlign w:val="top"/>
          </w:tcPr>
          <w:p w14:paraId="25D05CB0">
            <w:pPr>
              <w:rPr>
                <w:rFonts w:ascii="Arial"/>
                <w:strike/>
                <w:dstrike w:val="0"/>
                <w:color w:val="auto"/>
                <w:sz w:val="21"/>
                <w:highlight w:val="none"/>
              </w:rPr>
            </w:pPr>
          </w:p>
        </w:tc>
        <w:tc>
          <w:tcPr>
            <w:tcW w:w="1078" w:type="dxa"/>
            <w:vAlign w:val="top"/>
          </w:tcPr>
          <w:p w14:paraId="6D1216B4">
            <w:pPr>
              <w:rPr>
                <w:rFonts w:ascii="Arial"/>
                <w:strike/>
                <w:dstrike w:val="0"/>
                <w:color w:val="auto"/>
                <w:sz w:val="21"/>
                <w:highlight w:val="none"/>
              </w:rPr>
            </w:pPr>
          </w:p>
        </w:tc>
        <w:tc>
          <w:tcPr>
            <w:tcW w:w="768" w:type="dxa"/>
            <w:vAlign w:val="top"/>
          </w:tcPr>
          <w:p w14:paraId="79F6E623">
            <w:pPr>
              <w:rPr>
                <w:rFonts w:ascii="Arial"/>
                <w:strike/>
                <w:dstrike w:val="0"/>
                <w:color w:val="auto"/>
                <w:sz w:val="21"/>
                <w:highlight w:val="none"/>
              </w:rPr>
            </w:pPr>
          </w:p>
        </w:tc>
        <w:tc>
          <w:tcPr>
            <w:tcW w:w="720" w:type="dxa"/>
            <w:vAlign w:val="top"/>
          </w:tcPr>
          <w:p w14:paraId="2AE4FB9A">
            <w:pPr>
              <w:rPr>
                <w:rFonts w:ascii="Arial"/>
                <w:strike/>
                <w:dstrike w:val="0"/>
                <w:color w:val="auto"/>
                <w:sz w:val="21"/>
                <w:highlight w:val="none"/>
              </w:rPr>
            </w:pPr>
          </w:p>
        </w:tc>
        <w:tc>
          <w:tcPr>
            <w:tcW w:w="779" w:type="dxa"/>
            <w:vAlign w:val="top"/>
          </w:tcPr>
          <w:p w14:paraId="1C1C708B">
            <w:pPr>
              <w:rPr>
                <w:rFonts w:ascii="Arial"/>
                <w:strike/>
                <w:dstrike w:val="0"/>
                <w:color w:val="auto"/>
                <w:sz w:val="21"/>
                <w:highlight w:val="none"/>
              </w:rPr>
            </w:pPr>
          </w:p>
        </w:tc>
        <w:tc>
          <w:tcPr>
            <w:tcW w:w="1139" w:type="dxa"/>
            <w:vAlign w:val="top"/>
          </w:tcPr>
          <w:p w14:paraId="1873779D">
            <w:pPr>
              <w:rPr>
                <w:rFonts w:ascii="Arial"/>
                <w:strike/>
                <w:dstrike w:val="0"/>
                <w:color w:val="auto"/>
                <w:sz w:val="21"/>
                <w:highlight w:val="none"/>
              </w:rPr>
            </w:pPr>
          </w:p>
        </w:tc>
        <w:tc>
          <w:tcPr>
            <w:tcW w:w="720" w:type="dxa"/>
            <w:vAlign w:val="top"/>
          </w:tcPr>
          <w:p w14:paraId="1A6F0EB2">
            <w:pPr>
              <w:rPr>
                <w:rFonts w:ascii="Arial"/>
                <w:strike/>
                <w:dstrike w:val="0"/>
                <w:color w:val="auto"/>
                <w:sz w:val="21"/>
                <w:highlight w:val="none"/>
              </w:rPr>
            </w:pPr>
          </w:p>
        </w:tc>
        <w:tc>
          <w:tcPr>
            <w:tcW w:w="855" w:type="dxa"/>
            <w:vAlign w:val="top"/>
          </w:tcPr>
          <w:p w14:paraId="66A1B2B5">
            <w:pPr>
              <w:rPr>
                <w:rFonts w:ascii="Arial"/>
                <w:strike/>
                <w:dstrike w:val="0"/>
                <w:color w:val="auto"/>
                <w:sz w:val="21"/>
                <w:highlight w:val="none"/>
              </w:rPr>
            </w:pPr>
          </w:p>
        </w:tc>
        <w:tc>
          <w:tcPr>
            <w:tcW w:w="704" w:type="dxa"/>
            <w:vAlign w:val="top"/>
          </w:tcPr>
          <w:p w14:paraId="2B85FFB9">
            <w:pPr>
              <w:rPr>
                <w:rFonts w:ascii="Arial"/>
                <w:strike/>
                <w:dstrike w:val="0"/>
                <w:color w:val="auto"/>
                <w:sz w:val="21"/>
                <w:highlight w:val="none"/>
              </w:rPr>
            </w:pPr>
          </w:p>
        </w:tc>
        <w:tc>
          <w:tcPr>
            <w:tcW w:w="765" w:type="dxa"/>
            <w:vAlign w:val="top"/>
          </w:tcPr>
          <w:p w14:paraId="1A98F254">
            <w:pPr>
              <w:rPr>
                <w:rFonts w:ascii="Arial"/>
                <w:strike/>
                <w:dstrike w:val="0"/>
                <w:color w:val="auto"/>
                <w:sz w:val="21"/>
                <w:highlight w:val="none"/>
              </w:rPr>
            </w:pPr>
          </w:p>
        </w:tc>
        <w:tc>
          <w:tcPr>
            <w:tcW w:w="750" w:type="dxa"/>
            <w:vAlign w:val="top"/>
          </w:tcPr>
          <w:p w14:paraId="4BF20BE4">
            <w:pPr>
              <w:rPr>
                <w:rFonts w:ascii="Arial"/>
                <w:strike/>
                <w:dstrike w:val="0"/>
                <w:color w:val="auto"/>
                <w:sz w:val="21"/>
                <w:highlight w:val="none"/>
              </w:rPr>
            </w:pPr>
          </w:p>
        </w:tc>
        <w:tc>
          <w:tcPr>
            <w:tcW w:w="814" w:type="dxa"/>
            <w:vAlign w:val="top"/>
          </w:tcPr>
          <w:p w14:paraId="2478E6A9">
            <w:pPr>
              <w:rPr>
                <w:rFonts w:ascii="Arial"/>
                <w:strike/>
                <w:dstrike w:val="0"/>
                <w:color w:val="auto"/>
                <w:sz w:val="21"/>
                <w:highlight w:val="none"/>
              </w:rPr>
            </w:pPr>
          </w:p>
        </w:tc>
      </w:tr>
      <w:tr w14:paraId="449F1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64" w:type="dxa"/>
            <w:vAlign w:val="top"/>
          </w:tcPr>
          <w:p w14:paraId="4839A4CF">
            <w:pPr>
              <w:rPr>
                <w:rFonts w:ascii="Arial"/>
                <w:strike/>
                <w:dstrike w:val="0"/>
                <w:color w:val="auto"/>
                <w:sz w:val="21"/>
                <w:highlight w:val="none"/>
              </w:rPr>
            </w:pPr>
          </w:p>
        </w:tc>
        <w:tc>
          <w:tcPr>
            <w:tcW w:w="1078" w:type="dxa"/>
            <w:vAlign w:val="top"/>
          </w:tcPr>
          <w:p w14:paraId="5BD24174">
            <w:pPr>
              <w:rPr>
                <w:rFonts w:ascii="Arial"/>
                <w:strike/>
                <w:dstrike w:val="0"/>
                <w:color w:val="auto"/>
                <w:sz w:val="21"/>
                <w:highlight w:val="none"/>
              </w:rPr>
            </w:pPr>
          </w:p>
        </w:tc>
        <w:tc>
          <w:tcPr>
            <w:tcW w:w="768" w:type="dxa"/>
            <w:vAlign w:val="top"/>
          </w:tcPr>
          <w:p w14:paraId="1C689268">
            <w:pPr>
              <w:rPr>
                <w:rFonts w:ascii="Arial"/>
                <w:strike/>
                <w:dstrike w:val="0"/>
                <w:color w:val="auto"/>
                <w:sz w:val="21"/>
                <w:highlight w:val="none"/>
              </w:rPr>
            </w:pPr>
          </w:p>
        </w:tc>
        <w:tc>
          <w:tcPr>
            <w:tcW w:w="720" w:type="dxa"/>
            <w:vAlign w:val="top"/>
          </w:tcPr>
          <w:p w14:paraId="58E7F48A">
            <w:pPr>
              <w:rPr>
                <w:rFonts w:ascii="Arial"/>
                <w:strike/>
                <w:dstrike w:val="0"/>
                <w:color w:val="auto"/>
                <w:sz w:val="21"/>
                <w:highlight w:val="none"/>
              </w:rPr>
            </w:pPr>
          </w:p>
        </w:tc>
        <w:tc>
          <w:tcPr>
            <w:tcW w:w="779" w:type="dxa"/>
            <w:vAlign w:val="top"/>
          </w:tcPr>
          <w:p w14:paraId="46081A24">
            <w:pPr>
              <w:rPr>
                <w:rFonts w:ascii="Arial"/>
                <w:strike/>
                <w:dstrike w:val="0"/>
                <w:color w:val="auto"/>
                <w:sz w:val="21"/>
                <w:highlight w:val="none"/>
              </w:rPr>
            </w:pPr>
          </w:p>
        </w:tc>
        <w:tc>
          <w:tcPr>
            <w:tcW w:w="1139" w:type="dxa"/>
            <w:vAlign w:val="top"/>
          </w:tcPr>
          <w:p w14:paraId="08CA7DA4">
            <w:pPr>
              <w:rPr>
                <w:rFonts w:ascii="Arial"/>
                <w:strike/>
                <w:dstrike w:val="0"/>
                <w:color w:val="auto"/>
                <w:sz w:val="21"/>
                <w:highlight w:val="none"/>
              </w:rPr>
            </w:pPr>
          </w:p>
        </w:tc>
        <w:tc>
          <w:tcPr>
            <w:tcW w:w="720" w:type="dxa"/>
            <w:vAlign w:val="top"/>
          </w:tcPr>
          <w:p w14:paraId="6CA78E8C">
            <w:pPr>
              <w:rPr>
                <w:rFonts w:ascii="Arial"/>
                <w:strike/>
                <w:dstrike w:val="0"/>
                <w:color w:val="auto"/>
                <w:sz w:val="21"/>
                <w:highlight w:val="none"/>
              </w:rPr>
            </w:pPr>
          </w:p>
        </w:tc>
        <w:tc>
          <w:tcPr>
            <w:tcW w:w="855" w:type="dxa"/>
            <w:vAlign w:val="top"/>
          </w:tcPr>
          <w:p w14:paraId="4664BB0E">
            <w:pPr>
              <w:rPr>
                <w:rFonts w:ascii="Arial"/>
                <w:strike/>
                <w:dstrike w:val="0"/>
                <w:color w:val="auto"/>
                <w:sz w:val="21"/>
                <w:highlight w:val="none"/>
              </w:rPr>
            </w:pPr>
          </w:p>
        </w:tc>
        <w:tc>
          <w:tcPr>
            <w:tcW w:w="704" w:type="dxa"/>
            <w:vAlign w:val="top"/>
          </w:tcPr>
          <w:p w14:paraId="31D9F7A1">
            <w:pPr>
              <w:rPr>
                <w:rFonts w:ascii="Arial"/>
                <w:strike/>
                <w:dstrike w:val="0"/>
                <w:color w:val="auto"/>
                <w:sz w:val="21"/>
                <w:highlight w:val="none"/>
              </w:rPr>
            </w:pPr>
          </w:p>
        </w:tc>
        <w:tc>
          <w:tcPr>
            <w:tcW w:w="765" w:type="dxa"/>
            <w:vAlign w:val="top"/>
          </w:tcPr>
          <w:p w14:paraId="54BB43A0">
            <w:pPr>
              <w:rPr>
                <w:rFonts w:ascii="Arial"/>
                <w:strike/>
                <w:dstrike w:val="0"/>
                <w:color w:val="auto"/>
                <w:sz w:val="21"/>
                <w:highlight w:val="none"/>
              </w:rPr>
            </w:pPr>
          </w:p>
        </w:tc>
        <w:tc>
          <w:tcPr>
            <w:tcW w:w="750" w:type="dxa"/>
            <w:vAlign w:val="top"/>
          </w:tcPr>
          <w:p w14:paraId="436EE834">
            <w:pPr>
              <w:rPr>
                <w:rFonts w:ascii="Arial"/>
                <w:strike/>
                <w:dstrike w:val="0"/>
                <w:color w:val="auto"/>
                <w:sz w:val="21"/>
                <w:highlight w:val="none"/>
              </w:rPr>
            </w:pPr>
          </w:p>
        </w:tc>
        <w:tc>
          <w:tcPr>
            <w:tcW w:w="814" w:type="dxa"/>
            <w:vAlign w:val="top"/>
          </w:tcPr>
          <w:p w14:paraId="58481760">
            <w:pPr>
              <w:rPr>
                <w:rFonts w:ascii="Arial"/>
                <w:strike/>
                <w:dstrike w:val="0"/>
                <w:color w:val="auto"/>
                <w:sz w:val="21"/>
                <w:highlight w:val="none"/>
              </w:rPr>
            </w:pPr>
          </w:p>
        </w:tc>
      </w:tr>
      <w:tr w14:paraId="31368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664" w:type="dxa"/>
            <w:vAlign w:val="top"/>
          </w:tcPr>
          <w:p w14:paraId="7D2EA16D">
            <w:pPr>
              <w:rPr>
                <w:rFonts w:ascii="Arial"/>
                <w:strike/>
                <w:dstrike w:val="0"/>
                <w:color w:val="auto"/>
                <w:sz w:val="21"/>
                <w:highlight w:val="none"/>
              </w:rPr>
            </w:pPr>
          </w:p>
        </w:tc>
        <w:tc>
          <w:tcPr>
            <w:tcW w:w="1078" w:type="dxa"/>
            <w:vAlign w:val="top"/>
          </w:tcPr>
          <w:p w14:paraId="572E25C4">
            <w:pPr>
              <w:rPr>
                <w:rFonts w:ascii="Arial"/>
                <w:strike/>
                <w:dstrike w:val="0"/>
                <w:color w:val="auto"/>
                <w:sz w:val="21"/>
                <w:highlight w:val="none"/>
              </w:rPr>
            </w:pPr>
          </w:p>
        </w:tc>
        <w:tc>
          <w:tcPr>
            <w:tcW w:w="768" w:type="dxa"/>
            <w:vAlign w:val="top"/>
          </w:tcPr>
          <w:p w14:paraId="32224C4D">
            <w:pPr>
              <w:rPr>
                <w:rFonts w:ascii="Arial"/>
                <w:strike/>
                <w:dstrike w:val="0"/>
                <w:color w:val="auto"/>
                <w:sz w:val="21"/>
                <w:highlight w:val="none"/>
              </w:rPr>
            </w:pPr>
          </w:p>
        </w:tc>
        <w:tc>
          <w:tcPr>
            <w:tcW w:w="720" w:type="dxa"/>
            <w:vAlign w:val="top"/>
          </w:tcPr>
          <w:p w14:paraId="3CA5C790">
            <w:pPr>
              <w:rPr>
                <w:rFonts w:ascii="Arial"/>
                <w:strike/>
                <w:dstrike w:val="0"/>
                <w:color w:val="auto"/>
                <w:sz w:val="21"/>
                <w:highlight w:val="none"/>
              </w:rPr>
            </w:pPr>
          </w:p>
        </w:tc>
        <w:tc>
          <w:tcPr>
            <w:tcW w:w="779" w:type="dxa"/>
            <w:vAlign w:val="top"/>
          </w:tcPr>
          <w:p w14:paraId="1FE8A2DF">
            <w:pPr>
              <w:rPr>
                <w:rFonts w:ascii="Arial"/>
                <w:strike/>
                <w:dstrike w:val="0"/>
                <w:color w:val="auto"/>
                <w:sz w:val="21"/>
                <w:highlight w:val="none"/>
              </w:rPr>
            </w:pPr>
          </w:p>
        </w:tc>
        <w:tc>
          <w:tcPr>
            <w:tcW w:w="1139" w:type="dxa"/>
            <w:vAlign w:val="top"/>
          </w:tcPr>
          <w:p w14:paraId="2E363501">
            <w:pPr>
              <w:rPr>
                <w:rFonts w:ascii="Arial"/>
                <w:strike/>
                <w:dstrike w:val="0"/>
                <w:color w:val="auto"/>
                <w:sz w:val="21"/>
                <w:highlight w:val="none"/>
              </w:rPr>
            </w:pPr>
          </w:p>
        </w:tc>
        <w:tc>
          <w:tcPr>
            <w:tcW w:w="720" w:type="dxa"/>
            <w:vAlign w:val="top"/>
          </w:tcPr>
          <w:p w14:paraId="1A1B02C9">
            <w:pPr>
              <w:rPr>
                <w:rFonts w:ascii="Arial"/>
                <w:strike/>
                <w:dstrike w:val="0"/>
                <w:color w:val="auto"/>
                <w:sz w:val="21"/>
                <w:highlight w:val="none"/>
              </w:rPr>
            </w:pPr>
          </w:p>
        </w:tc>
        <w:tc>
          <w:tcPr>
            <w:tcW w:w="855" w:type="dxa"/>
            <w:vAlign w:val="top"/>
          </w:tcPr>
          <w:p w14:paraId="44BD8265">
            <w:pPr>
              <w:rPr>
                <w:rFonts w:ascii="Arial"/>
                <w:strike/>
                <w:dstrike w:val="0"/>
                <w:color w:val="auto"/>
                <w:sz w:val="21"/>
                <w:highlight w:val="none"/>
              </w:rPr>
            </w:pPr>
          </w:p>
        </w:tc>
        <w:tc>
          <w:tcPr>
            <w:tcW w:w="704" w:type="dxa"/>
            <w:vAlign w:val="top"/>
          </w:tcPr>
          <w:p w14:paraId="5A27116A">
            <w:pPr>
              <w:rPr>
                <w:rFonts w:ascii="Arial"/>
                <w:strike/>
                <w:dstrike w:val="0"/>
                <w:color w:val="auto"/>
                <w:sz w:val="21"/>
                <w:highlight w:val="none"/>
              </w:rPr>
            </w:pPr>
          </w:p>
        </w:tc>
        <w:tc>
          <w:tcPr>
            <w:tcW w:w="765" w:type="dxa"/>
            <w:vAlign w:val="top"/>
          </w:tcPr>
          <w:p w14:paraId="788C86C0">
            <w:pPr>
              <w:rPr>
                <w:rFonts w:ascii="Arial"/>
                <w:strike/>
                <w:dstrike w:val="0"/>
                <w:color w:val="auto"/>
                <w:sz w:val="21"/>
                <w:highlight w:val="none"/>
              </w:rPr>
            </w:pPr>
          </w:p>
        </w:tc>
        <w:tc>
          <w:tcPr>
            <w:tcW w:w="750" w:type="dxa"/>
            <w:vAlign w:val="top"/>
          </w:tcPr>
          <w:p w14:paraId="16C738CA">
            <w:pPr>
              <w:rPr>
                <w:rFonts w:ascii="Arial"/>
                <w:strike/>
                <w:dstrike w:val="0"/>
                <w:color w:val="auto"/>
                <w:sz w:val="21"/>
                <w:highlight w:val="none"/>
              </w:rPr>
            </w:pPr>
          </w:p>
        </w:tc>
        <w:tc>
          <w:tcPr>
            <w:tcW w:w="814" w:type="dxa"/>
            <w:vAlign w:val="top"/>
          </w:tcPr>
          <w:p w14:paraId="72AAAC1D">
            <w:pPr>
              <w:rPr>
                <w:rFonts w:ascii="Arial"/>
                <w:strike/>
                <w:dstrike w:val="0"/>
                <w:color w:val="auto"/>
                <w:sz w:val="21"/>
                <w:highlight w:val="none"/>
              </w:rPr>
            </w:pPr>
          </w:p>
        </w:tc>
      </w:tr>
    </w:tbl>
    <w:p w14:paraId="70F795D3">
      <w:pPr>
        <w:spacing w:before="48"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0C775ED9">
      <w:pPr>
        <w:spacing w:before="57" w:line="219" w:lineRule="auto"/>
        <w:ind w:left="1439"/>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1.本表填报的设备应满足招标文件第二章“投标人须知”前附</w:t>
      </w:r>
      <w:r>
        <w:rPr>
          <w:rFonts w:ascii="宋体" w:hAnsi="宋体" w:eastAsia="宋体" w:cs="宋体"/>
          <w:strike/>
          <w:dstrike w:val="0"/>
          <w:color w:val="auto"/>
          <w:spacing w:val="-3"/>
          <w:sz w:val="21"/>
          <w:szCs w:val="21"/>
          <w:highlight w:val="none"/>
        </w:rPr>
        <w:t>表附录</w:t>
      </w:r>
      <w:r>
        <w:rPr>
          <w:rFonts w:ascii="宋体" w:hAnsi="宋体" w:eastAsia="宋体" w:cs="宋体"/>
          <w:strike/>
          <w:dstrike w:val="0"/>
          <w:color w:val="auto"/>
          <w:spacing w:val="-41"/>
          <w:sz w:val="21"/>
          <w:szCs w:val="21"/>
          <w:highlight w:val="none"/>
        </w:rPr>
        <w:t xml:space="preserve"> </w:t>
      </w:r>
      <w:r>
        <w:rPr>
          <w:rFonts w:ascii="宋体" w:hAnsi="宋体" w:eastAsia="宋体" w:cs="宋体"/>
          <w:strike/>
          <w:dstrike w:val="0"/>
          <w:color w:val="auto"/>
          <w:spacing w:val="-3"/>
          <w:sz w:val="21"/>
          <w:szCs w:val="21"/>
          <w:highlight w:val="none"/>
        </w:rPr>
        <w:t>7</w:t>
      </w:r>
      <w:r>
        <w:rPr>
          <w:rFonts w:ascii="宋体" w:hAnsi="宋体" w:eastAsia="宋体" w:cs="宋体"/>
          <w:strike/>
          <w:dstrike w:val="0"/>
          <w:color w:val="auto"/>
          <w:spacing w:val="-26"/>
          <w:sz w:val="21"/>
          <w:szCs w:val="21"/>
          <w:highlight w:val="none"/>
        </w:rPr>
        <w:t xml:space="preserve"> </w:t>
      </w:r>
      <w:r>
        <w:rPr>
          <w:rFonts w:ascii="宋体" w:hAnsi="宋体" w:eastAsia="宋体" w:cs="宋体"/>
          <w:strike/>
          <w:dstrike w:val="0"/>
          <w:color w:val="auto"/>
          <w:spacing w:val="-3"/>
          <w:sz w:val="21"/>
          <w:szCs w:val="21"/>
          <w:highlight w:val="none"/>
        </w:rPr>
        <w:t>的要求。</w:t>
      </w:r>
    </w:p>
    <w:p w14:paraId="7C896CE0">
      <w:pPr>
        <w:spacing w:before="63" w:line="219" w:lineRule="auto"/>
        <w:ind w:left="1426"/>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2.如果投标人中标，发包人将据此机械设备表</w:t>
      </w:r>
      <w:r>
        <w:rPr>
          <w:rFonts w:ascii="宋体" w:hAnsi="宋体" w:eastAsia="宋体" w:cs="宋体"/>
          <w:strike/>
          <w:dstrike w:val="0"/>
          <w:color w:val="auto"/>
          <w:spacing w:val="-2"/>
          <w:sz w:val="21"/>
          <w:szCs w:val="21"/>
          <w:highlight w:val="none"/>
        </w:rPr>
        <w:t>检查进场的机械设备。</w:t>
      </w:r>
    </w:p>
    <w:p w14:paraId="1C86B73D">
      <w:pPr>
        <w:pStyle w:val="3"/>
        <w:spacing w:line="261" w:lineRule="auto"/>
        <w:rPr>
          <w:strike/>
          <w:dstrike w:val="0"/>
          <w:color w:val="auto"/>
          <w:highlight w:val="none"/>
        </w:rPr>
      </w:pPr>
    </w:p>
    <w:p w14:paraId="70834D00">
      <w:pPr>
        <w:pStyle w:val="3"/>
        <w:spacing w:line="261" w:lineRule="auto"/>
        <w:rPr>
          <w:strike/>
          <w:dstrike w:val="0"/>
          <w:color w:val="auto"/>
          <w:highlight w:val="none"/>
        </w:rPr>
      </w:pPr>
    </w:p>
    <w:p w14:paraId="43345778">
      <w:pPr>
        <w:pStyle w:val="3"/>
        <w:spacing w:line="261" w:lineRule="auto"/>
        <w:rPr>
          <w:strike/>
          <w:dstrike w:val="0"/>
          <w:color w:val="auto"/>
          <w:highlight w:val="none"/>
        </w:rPr>
      </w:pPr>
    </w:p>
    <w:p w14:paraId="2274A5E6">
      <w:pPr>
        <w:pStyle w:val="3"/>
        <w:spacing w:line="261" w:lineRule="auto"/>
        <w:rPr>
          <w:strike/>
          <w:dstrike w:val="0"/>
          <w:color w:val="auto"/>
          <w:highlight w:val="none"/>
        </w:rPr>
      </w:pPr>
    </w:p>
    <w:p w14:paraId="55BEE623">
      <w:pPr>
        <w:pStyle w:val="3"/>
        <w:spacing w:line="261" w:lineRule="auto"/>
        <w:rPr>
          <w:strike/>
          <w:dstrike w:val="0"/>
          <w:color w:val="auto"/>
          <w:highlight w:val="none"/>
        </w:rPr>
      </w:pPr>
    </w:p>
    <w:p w14:paraId="0CB97E54">
      <w:pPr>
        <w:spacing w:before="58" w:line="241" w:lineRule="auto"/>
        <w:ind w:left="1422" w:right="1416"/>
        <w:jc w:val="both"/>
        <w:rPr>
          <w:rFonts w:ascii="宋体" w:hAnsi="宋体" w:eastAsia="宋体" w:cs="宋体"/>
          <w:strike/>
          <w:dstrike w:val="0"/>
          <w:color w:val="auto"/>
          <w:sz w:val="18"/>
          <w:szCs w:val="18"/>
          <w:highlight w:val="none"/>
        </w:rPr>
      </w:pPr>
      <w:r>
        <w:rPr>
          <w:rFonts w:ascii="宋体" w:hAnsi="宋体" w:eastAsia="宋体" w:cs="宋体"/>
          <w:strike/>
          <w:dstrike w:val="0"/>
          <w:color w:val="auto"/>
          <w:spacing w:val="-2"/>
          <w:sz w:val="18"/>
          <w:szCs w:val="18"/>
          <w:highlight w:val="none"/>
        </w:rPr>
        <w:t>① 仅适用于特大桥梁工程、长大隧道（含特长或长隧道）工程、桥隧比较大工程（桥隧比</w:t>
      </w:r>
      <w:r>
        <w:rPr>
          <w:rFonts w:ascii="Times New Roman" w:hAnsi="Times New Roman" w:eastAsia="Times New Roman" w:cs="Times New Roman"/>
          <w:strike/>
          <w:dstrike w:val="0"/>
          <w:color w:val="auto"/>
          <w:spacing w:val="-2"/>
          <w:sz w:val="18"/>
          <w:szCs w:val="18"/>
          <w:highlight w:val="none"/>
        </w:rPr>
        <w:t>≥35%</w:t>
      </w:r>
      <w:r>
        <w:rPr>
          <w:rFonts w:ascii="宋体" w:hAnsi="宋体" w:eastAsia="宋体" w:cs="宋体"/>
          <w:strike/>
          <w:dstrike w:val="0"/>
          <w:color w:val="auto"/>
          <w:spacing w:val="-2"/>
          <w:sz w:val="18"/>
          <w:szCs w:val="18"/>
          <w:highlight w:val="none"/>
        </w:rPr>
        <w:t>）、路面工程标类以</w:t>
      </w:r>
      <w:r>
        <w:rPr>
          <w:rFonts w:ascii="宋体" w:hAnsi="宋体" w:eastAsia="宋体" w:cs="宋体"/>
          <w:strike/>
          <w:dstrike w:val="0"/>
          <w:color w:val="auto"/>
          <w:spacing w:val="-3"/>
          <w:sz w:val="18"/>
          <w:szCs w:val="18"/>
          <w:highlight w:val="none"/>
        </w:rPr>
        <w:t>及高速公路改建、扩建项目的土建工程施工招标，</w:t>
      </w:r>
      <w:r>
        <w:rPr>
          <w:rFonts w:ascii="宋体" w:hAnsi="宋体" w:eastAsia="宋体" w:cs="宋体"/>
          <w:strike/>
          <w:dstrike w:val="0"/>
          <w:color w:val="auto"/>
          <w:spacing w:val="41"/>
          <w:sz w:val="18"/>
          <w:szCs w:val="18"/>
          <w:highlight w:val="none"/>
        </w:rPr>
        <w:t xml:space="preserve"> </w:t>
      </w:r>
      <w:r>
        <w:rPr>
          <w:rFonts w:ascii="宋体" w:hAnsi="宋体" w:eastAsia="宋体" w:cs="宋体"/>
          <w:strike/>
          <w:dstrike w:val="0"/>
          <w:color w:val="auto"/>
          <w:spacing w:val="-3"/>
          <w:sz w:val="18"/>
          <w:szCs w:val="18"/>
          <w:highlight w:val="none"/>
        </w:rPr>
        <w:t>选用对主要设备进行资格评审的情形，带</w:t>
      </w:r>
      <w:r>
        <w:rPr>
          <w:rFonts w:ascii="Times New Roman" w:hAnsi="Times New Roman" w:eastAsia="Times New Roman" w:cs="Times New Roman"/>
          <w:strike/>
          <w:dstrike w:val="0"/>
          <w:color w:val="auto"/>
          <w:spacing w:val="-3"/>
          <w:sz w:val="18"/>
          <w:szCs w:val="18"/>
          <w:highlight w:val="none"/>
        </w:rPr>
        <w:t>*</w:t>
      </w:r>
      <w:r>
        <w:rPr>
          <w:rFonts w:ascii="宋体" w:hAnsi="宋体" w:eastAsia="宋体" w:cs="宋体"/>
          <w:strike/>
          <w:dstrike w:val="0"/>
          <w:color w:val="auto"/>
          <w:spacing w:val="-3"/>
          <w:sz w:val="18"/>
          <w:szCs w:val="18"/>
          <w:highlight w:val="none"/>
        </w:rPr>
        <w:t>的设备，可要</w:t>
      </w:r>
      <w:r>
        <w:rPr>
          <w:rFonts w:ascii="宋体" w:hAnsi="宋体" w:eastAsia="宋体" w:cs="宋体"/>
          <w:strike/>
          <w:dstrike w:val="0"/>
          <w:color w:val="auto"/>
          <w:spacing w:val="-4"/>
          <w:sz w:val="18"/>
          <w:szCs w:val="18"/>
          <w:highlight w:val="none"/>
        </w:rPr>
        <w:t>求最多不</w:t>
      </w:r>
      <w:r>
        <w:rPr>
          <w:rFonts w:ascii="宋体" w:hAnsi="宋体" w:eastAsia="宋体" w:cs="宋体"/>
          <w:strike/>
          <w:dstrike w:val="0"/>
          <w:color w:val="auto"/>
          <w:spacing w:val="-1"/>
          <w:sz w:val="18"/>
          <w:szCs w:val="18"/>
          <w:highlight w:val="none"/>
        </w:rPr>
        <w:t>超过</w:t>
      </w:r>
      <w:r>
        <w:rPr>
          <w:rFonts w:ascii="宋体" w:hAnsi="宋体" w:eastAsia="宋体" w:cs="宋体"/>
          <w:strike/>
          <w:dstrike w:val="0"/>
          <w:color w:val="auto"/>
          <w:spacing w:val="-37"/>
          <w:sz w:val="18"/>
          <w:szCs w:val="18"/>
          <w:highlight w:val="none"/>
        </w:rPr>
        <w:t xml:space="preserve"> </w:t>
      </w:r>
      <w:r>
        <w:rPr>
          <w:rFonts w:ascii="Times New Roman" w:hAnsi="Times New Roman" w:eastAsia="Times New Roman" w:cs="Times New Roman"/>
          <w:strike/>
          <w:dstrike w:val="0"/>
          <w:color w:val="auto"/>
          <w:spacing w:val="-1"/>
          <w:sz w:val="18"/>
          <w:szCs w:val="18"/>
          <w:highlight w:val="none"/>
        </w:rPr>
        <w:t xml:space="preserve">5 </w:t>
      </w:r>
      <w:r>
        <w:rPr>
          <w:rFonts w:ascii="宋体" w:hAnsi="宋体" w:eastAsia="宋体" w:cs="宋体"/>
          <w:strike/>
          <w:dstrike w:val="0"/>
          <w:color w:val="auto"/>
          <w:spacing w:val="-1"/>
          <w:sz w:val="18"/>
          <w:szCs w:val="18"/>
          <w:highlight w:val="none"/>
        </w:rPr>
        <w:t>种主要设备提供相关证明材料。对常规性设备应按投标函的格式承</w:t>
      </w:r>
      <w:r>
        <w:rPr>
          <w:rFonts w:ascii="宋体" w:hAnsi="宋体" w:eastAsia="宋体" w:cs="宋体"/>
          <w:strike/>
          <w:dstrike w:val="0"/>
          <w:color w:val="auto"/>
          <w:spacing w:val="-2"/>
          <w:sz w:val="18"/>
          <w:szCs w:val="18"/>
          <w:highlight w:val="none"/>
        </w:rPr>
        <w:t>诺即可。</w:t>
      </w:r>
    </w:p>
    <w:p w14:paraId="4A249A5E">
      <w:pPr>
        <w:spacing w:line="241" w:lineRule="auto"/>
        <w:rPr>
          <w:rFonts w:ascii="宋体" w:hAnsi="宋体" w:eastAsia="宋体" w:cs="宋体"/>
          <w:strike/>
          <w:dstrike w:val="0"/>
          <w:color w:val="auto"/>
          <w:sz w:val="18"/>
          <w:szCs w:val="18"/>
          <w:highlight w:val="none"/>
        </w:rPr>
        <w:sectPr>
          <w:headerReference r:id="rId202" w:type="default"/>
          <w:footerReference r:id="rId203" w:type="default"/>
          <w:pgSz w:w="11905" w:h="16840"/>
          <w:pgMar w:top="1182" w:right="0" w:bottom="1171" w:left="0" w:header="849" w:footer="937" w:gutter="0"/>
          <w:pgNumType w:fmt="decimal"/>
          <w:cols w:space="720" w:num="1"/>
        </w:sectPr>
      </w:pPr>
    </w:p>
    <w:p w14:paraId="09F942F2">
      <w:pPr>
        <w:pStyle w:val="3"/>
        <w:spacing w:line="316" w:lineRule="auto"/>
        <w:rPr>
          <w:color w:val="auto"/>
          <w:highlight w:val="none"/>
        </w:rPr>
      </w:pPr>
    </w:p>
    <w:p w14:paraId="12BDEE8C">
      <w:pPr>
        <w:spacing w:before="87" w:line="227" w:lineRule="auto"/>
        <w:ind w:left="5123"/>
        <w:rPr>
          <w:rFonts w:ascii="宋体" w:hAnsi="宋体" w:eastAsia="宋体" w:cs="宋体"/>
          <w:color w:val="auto"/>
          <w:sz w:val="27"/>
          <w:szCs w:val="27"/>
          <w:highlight w:val="none"/>
        </w:rPr>
      </w:pPr>
      <w:r>
        <w:rPr>
          <w:rFonts w:ascii="宋体" w:hAnsi="宋体" w:eastAsia="宋体" w:cs="宋体"/>
          <w:b/>
          <w:bCs/>
          <w:color w:val="auto"/>
          <w:spacing w:val="5"/>
          <w:sz w:val="27"/>
          <w:szCs w:val="27"/>
          <w:highlight w:val="none"/>
        </w:rPr>
        <w:t>八、其他资料</w:t>
      </w:r>
    </w:p>
    <w:p w14:paraId="04ECCCA8">
      <w:pPr>
        <w:pStyle w:val="3"/>
        <w:spacing w:line="310" w:lineRule="auto"/>
        <w:rPr>
          <w:color w:val="auto"/>
          <w:highlight w:val="none"/>
        </w:rPr>
      </w:pPr>
    </w:p>
    <w:p w14:paraId="1DEA0AFD">
      <w:pPr>
        <w:spacing w:before="78" w:line="218" w:lineRule="auto"/>
        <w:ind w:left="144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1、提供“八-1、使用广东省信用评价等级的申</w:t>
      </w:r>
      <w:r>
        <w:rPr>
          <w:rFonts w:ascii="宋体" w:hAnsi="宋体" w:eastAsia="宋体" w:cs="宋体"/>
          <w:color w:val="auto"/>
          <w:spacing w:val="-3"/>
          <w:sz w:val="24"/>
          <w:szCs w:val="24"/>
          <w:highlight w:val="none"/>
        </w:rPr>
        <w:t>请承诺书”。</w:t>
      </w:r>
    </w:p>
    <w:p w14:paraId="58C846B8">
      <w:pPr>
        <w:spacing w:before="185" w:line="289" w:lineRule="auto"/>
        <w:ind w:left="1427" w:right="143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2、提供“八-2、投标人拟投入的关键设备承诺表”。【仅适用于投资规模大或技术要</w:t>
      </w:r>
      <w:r>
        <w:rPr>
          <w:rFonts w:ascii="宋体" w:hAnsi="宋体" w:eastAsia="宋体" w:cs="宋体"/>
          <w:strike/>
          <w:dstrike w:val="0"/>
          <w:color w:val="auto"/>
          <w:spacing w:val="-2"/>
          <w:sz w:val="24"/>
          <w:szCs w:val="24"/>
          <w:highlight w:val="none"/>
        </w:rPr>
        <w:t>求高的机电工程项目招标需增加关键设备选型作为评分因素的情形）】。</w:t>
      </w:r>
    </w:p>
    <w:p w14:paraId="6A2613C4">
      <w:pPr>
        <w:spacing w:before="183" w:line="219" w:lineRule="auto"/>
        <w:ind w:left="143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3、提供“八-3、投标人的自评分表”。</w:t>
      </w:r>
    </w:p>
    <w:p w14:paraId="1838D3AA">
      <w:pPr>
        <w:spacing w:before="183" w:line="290" w:lineRule="auto"/>
        <w:ind w:left="1426" w:right="1423" w:hanging="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4、提供最新年度广东省公路工程从业单位（</w:t>
      </w:r>
      <w:r>
        <w:rPr>
          <w:rFonts w:hint="eastAsia" w:ascii="宋体" w:hAnsi="宋体" w:eastAsia="宋体" w:cs="宋体"/>
          <w:color w:val="auto"/>
          <w:spacing w:val="-2"/>
          <w:sz w:val="24"/>
          <w:szCs w:val="24"/>
          <w:highlight w:val="none"/>
          <w:u w:val="single" w:color="auto"/>
          <w:lang w:val="en-US" w:eastAsia="zh-CN"/>
        </w:rPr>
        <w:t>土建</w:t>
      </w:r>
      <w:r>
        <w:rPr>
          <w:rFonts w:ascii="宋体" w:hAnsi="宋体" w:eastAsia="宋体" w:cs="宋体"/>
          <w:color w:val="auto"/>
          <w:spacing w:val="-2"/>
          <w:sz w:val="24"/>
          <w:szCs w:val="24"/>
          <w:highlight w:val="none"/>
          <w:u w:val="single" w:color="auto"/>
        </w:rPr>
        <w:t>施工单位</w:t>
      </w:r>
      <w:r>
        <w:rPr>
          <w:rFonts w:ascii="宋体" w:hAnsi="宋体" w:eastAsia="宋体" w:cs="宋体"/>
          <w:color w:val="auto"/>
          <w:spacing w:val="-2"/>
          <w:sz w:val="24"/>
          <w:szCs w:val="24"/>
          <w:highlight w:val="none"/>
        </w:rPr>
        <w:t>) 信用评价</w:t>
      </w:r>
      <w:r>
        <w:rPr>
          <w:rFonts w:ascii="宋体" w:hAnsi="宋体" w:eastAsia="宋体" w:cs="宋体"/>
          <w:color w:val="auto"/>
          <w:spacing w:val="-3"/>
          <w:sz w:val="24"/>
          <w:szCs w:val="24"/>
          <w:highlight w:val="none"/>
        </w:rPr>
        <w:t>等级（若有</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并标</w:t>
      </w:r>
      <w:r>
        <w:rPr>
          <w:rFonts w:ascii="宋体" w:hAnsi="宋体" w:eastAsia="宋体" w:cs="宋体"/>
          <w:color w:val="auto"/>
          <w:spacing w:val="-6"/>
          <w:sz w:val="24"/>
          <w:szCs w:val="24"/>
          <w:highlight w:val="none"/>
        </w:rPr>
        <w:t>识单位所在位置。</w:t>
      </w:r>
    </w:p>
    <w:p w14:paraId="77CE94DD">
      <w:pPr>
        <w:spacing w:before="182" w:line="289" w:lineRule="auto"/>
        <w:ind w:left="1426" w:right="1418" w:firstLine="3"/>
        <w:rPr>
          <w:rFonts w:ascii="宋体" w:hAnsi="宋体" w:eastAsia="宋体" w:cs="宋体"/>
          <w:color w:val="auto"/>
          <w:sz w:val="24"/>
          <w:szCs w:val="24"/>
          <w:highlight w:val="none"/>
        </w:rPr>
      </w:pPr>
      <w:r>
        <w:rPr>
          <w:rFonts w:ascii="宋体" w:hAnsi="宋体" w:eastAsia="宋体" w:cs="宋体"/>
          <w:color w:val="auto"/>
          <w:sz w:val="24"/>
          <w:szCs w:val="24"/>
          <w:highlight w:val="none"/>
        </w:rPr>
        <w:t>5、初次进入广东省的，但在最新年度的全国综合评价结果为</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C</w:t>
      </w:r>
      <w:r>
        <w:rPr>
          <w:rFonts w:ascii="宋体" w:hAnsi="宋体" w:eastAsia="宋体" w:cs="宋体"/>
          <w:color w:val="auto"/>
          <w:spacing w:val="-44"/>
          <w:sz w:val="24"/>
          <w:szCs w:val="24"/>
          <w:highlight w:val="none"/>
        </w:rPr>
        <w:t xml:space="preserve"> </w:t>
      </w:r>
      <w:r>
        <w:rPr>
          <w:rFonts w:ascii="宋体" w:hAnsi="宋体" w:eastAsia="宋体" w:cs="宋体"/>
          <w:color w:val="auto"/>
          <w:sz w:val="24"/>
          <w:szCs w:val="24"/>
          <w:highlight w:val="none"/>
        </w:rPr>
        <w:t>级或</w:t>
      </w:r>
      <w:r>
        <w:rPr>
          <w:rFonts w:ascii="宋体" w:hAnsi="宋体" w:eastAsia="宋体" w:cs="宋体"/>
          <w:color w:val="auto"/>
          <w:spacing w:val="-54"/>
          <w:sz w:val="24"/>
          <w:szCs w:val="24"/>
          <w:highlight w:val="none"/>
        </w:rPr>
        <w:t xml:space="preserve"> </w:t>
      </w:r>
      <w:r>
        <w:rPr>
          <w:rFonts w:ascii="宋体" w:hAnsi="宋体" w:eastAsia="宋体" w:cs="宋体"/>
          <w:color w:val="auto"/>
          <w:sz w:val="24"/>
          <w:szCs w:val="24"/>
          <w:highlight w:val="none"/>
        </w:rPr>
        <w:t>D</w:t>
      </w:r>
      <w:r>
        <w:rPr>
          <w:rFonts w:ascii="宋体" w:hAnsi="宋体" w:eastAsia="宋体" w:cs="宋体"/>
          <w:color w:val="auto"/>
          <w:spacing w:val="-45"/>
          <w:sz w:val="24"/>
          <w:szCs w:val="24"/>
          <w:highlight w:val="none"/>
        </w:rPr>
        <w:t xml:space="preserve"> </w:t>
      </w:r>
      <w:r>
        <w:rPr>
          <w:rFonts w:ascii="宋体" w:hAnsi="宋体" w:eastAsia="宋体" w:cs="宋体"/>
          <w:color w:val="auto"/>
          <w:sz w:val="24"/>
          <w:szCs w:val="24"/>
          <w:highlight w:val="none"/>
        </w:rPr>
        <w:t>级的，提供最新</w:t>
      </w:r>
      <w:r>
        <w:rPr>
          <w:rFonts w:ascii="宋体" w:hAnsi="宋体" w:eastAsia="宋体" w:cs="宋体"/>
          <w:color w:val="auto"/>
          <w:spacing w:val="-3"/>
          <w:sz w:val="24"/>
          <w:szCs w:val="24"/>
          <w:highlight w:val="none"/>
        </w:rPr>
        <w:t>年度的全国综合评价结果单位查询所在页。</w:t>
      </w:r>
    </w:p>
    <w:p w14:paraId="07913174">
      <w:pPr>
        <w:spacing w:before="185" w:line="289" w:lineRule="auto"/>
        <w:ind w:left="1426" w:right="142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6、如上一年度有信用评价而最新年度在广东省无信用等级的需提供上一年度的信用评</w:t>
      </w:r>
      <w:r>
        <w:rPr>
          <w:rFonts w:ascii="宋体" w:hAnsi="宋体" w:eastAsia="宋体" w:cs="宋体"/>
          <w:color w:val="auto"/>
          <w:spacing w:val="-3"/>
          <w:sz w:val="24"/>
          <w:szCs w:val="24"/>
          <w:highlight w:val="none"/>
        </w:rPr>
        <w:t>价（若有</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并标识单位所在位置。</w:t>
      </w:r>
    </w:p>
    <w:p w14:paraId="4ECC8943">
      <w:pPr>
        <w:spacing w:before="185" w:line="313" w:lineRule="auto"/>
        <w:ind w:left="1424" w:right="1426" w:firstLine="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7、详细说明投标人因公路工程（含附属设施）质量、安全事故被交通运输部行政处罚</w:t>
      </w:r>
      <w:r>
        <w:rPr>
          <w:rFonts w:ascii="宋体" w:hAnsi="宋体" w:eastAsia="宋体" w:cs="宋体"/>
          <w:color w:val="auto"/>
          <w:spacing w:val="-2"/>
          <w:sz w:val="24"/>
          <w:szCs w:val="24"/>
          <w:highlight w:val="none"/>
        </w:rPr>
        <w:t>且在处罚信息公示期内、广东省交通运输厅行政处罚且在处罚信息公示期内</w:t>
      </w:r>
      <w:r>
        <w:rPr>
          <w:rFonts w:ascii="宋体" w:hAnsi="宋体" w:eastAsia="宋体" w:cs="宋体"/>
          <w:color w:val="auto"/>
          <w:spacing w:val="-2"/>
          <w:sz w:val="24"/>
          <w:szCs w:val="24"/>
          <w:highlight w:val="none"/>
          <w:u w:val="single" w:color="auto"/>
        </w:rPr>
        <w:t>、（项目涉</w:t>
      </w:r>
      <w:r>
        <w:rPr>
          <w:rFonts w:ascii="宋体" w:hAnsi="宋体" w:eastAsia="宋体" w:cs="宋体"/>
          <w:color w:val="auto"/>
          <w:spacing w:val="-1"/>
          <w:sz w:val="24"/>
          <w:szCs w:val="24"/>
          <w:highlight w:val="none"/>
          <w:u w:val="single" w:color="auto"/>
        </w:rPr>
        <w:t>及各地级以上市）市交通运输局行政处罚且在处罚信息公示期内</w:t>
      </w:r>
      <w:r>
        <w:rPr>
          <w:rFonts w:ascii="宋体" w:hAnsi="宋体" w:eastAsia="宋体" w:cs="宋体"/>
          <w:color w:val="auto"/>
          <w:spacing w:val="-1"/>
          <w:sz w:val="24"/>
          <w:szCs w:val="24"/>
          <w:highlight w:val="none"/>
        </w:rPr>
        <w:t>的文件。</w:t>
      </w:r>
    </w:p>
    <w:p w14:paraId="79C166CD">
      <w:pPr>
        <w:spacing w:before="182" w:line="220" w:lineRule="auto"/>
        <w:ind w:left="142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8、投标人认为需要的其他内容。</w:t>
      </w:r>
    </w:p>
    <w:p w14:paraId="2A1C88F5">
      <w:pPr>
        <w:pStyle w:val="3"/>
        <w:spacing w:line="247" w:lineRule="auto"/>
        <w:rPr>
          <w:color w:val="auto"/>
          <w:highlight w:val="none"/>
        </w:rPr>
      </w:pPr>
    </w:p>
    <w:p w14:paraId="7DB90B7A">
      <w:pPr>
        <w:pStyle w:val="3"/>
        <w:spacing w:line="247" w:lineRule="auto"/>
        <w:rPr>
          <w:color w:val="auto"/>
          <w:highlight w:val="none"/>
        </w:rPr>
      </w:pPr>
    </w:p>
    <w:p w14:paraId="04371678">
      <w:pPr>
        <w:pStyle w:val="3"/>
        <w:spacing w:line="247" w:lineRule="auto"/>
        <w:rPr>
          <w:color w:val="auto"/>
          <w:highlight w:val="none"/>
        </w:rPr>
      </w:pPr>
    </w:p>
    <w:p w14:paraId="34DCCC21">
      <w:pPr>
        <w:pStyle w:val="3"/>
        <w:spacing w:line="247" w:lineRule="auto"/>
        <w:rPr>
          <w:color w:val="auto"/>
          <w:highlight w:val="none"/>
        </w:rPr>
      </w:pPr>
    </w:p>
    <w:p w14:paraId="11A81BC5">
      <w:pPr>
        <w:pStyle w:val="3"/>
        <w:spacing w:line="247" w:lineRule="auto"/>
        <w:rPr>
          <w:color w:val="auto"/>
          <w:highlight w:val="none"/>
        </w:rPr>
      </w:pPr>
    </w:p>
    <w:p w14:paraId="2A87AA75">
      <w:pPr>
        <w:pStyle w:val="3"/>
        <w:spacing w:line="247" w:lineRule="auto"/>
        <w:rPr>
          <w:color w:val="auto"/>
          <w:highlight w:val="none"/>
        </w:rPr>
      </w:pPr>
    </w:p>
    <w:p w14:paraId="209ED381">
      <w:pPr>
        <w:pStyle w:val="3"/>
        <w:spacing w:line="247" w:lineRule="auto"/>
        <w:rPr>
          <w:color w:val="auto"/>
          <w:highlight w:val="none"/>
        </w:rPr>
      </w:pPr>
    </w:p>
    <w:p w14:paraId="7B4036C1">
      <w:pPr>
        <w:pStyle w:val="3"/>
        <w:spacing w:line="247" w:lineRule="auto"/>
        <w:rPr>
          <w:color w:val="auto"/>
          <w:highlight w:val="none"/>
        </w:rPr>
      </w:pPr>
    </w:p>
    <w:p w14:paraId="33A6E5DD">
      <w:pPr>
        <w:pStyle w:val="3"/>
        <w:spacing w:line="247" w:lineRule="auto"/>
        <w:rPr>
          <w:color w:val="auto"/>
          <w:highlight w:val="none"/>
        </w:rPr>
      </w:pPr>
    </w:p>
    <w:p w14:paraId="007FEE48">
      <w:pPr>
        <w:pStyle w:val="3"/>
        <w:spacing w:line="247" w:lineRule="auto"/>
        <w:rPr>
          <w:color w:val="auto"/>
          <w:highlight w:val="none"/>
        </w:rPr>
      </w:pPr>
    </w:p>
    <w:p w14:paraId="2628E69A">
      <w:pPr>
        <w:pStyle w:val="3"/>
        <w:spacing w:line="247" w:lineRule="auto"/>
        <w:rPr>
          <w:color w:val="auto"/>
          <w:highlight w:val="none"/>
        </w:rPr>
      </w:pPr>
    </w:p>
    <w:p w14:paraId="3F72C75C">
      <w:pPr>
        <w:pStyle w:val="3"/>
        <w:spacing w:line="247" w:lineRule="auto"/>
        <w:rPr>
          <w:color w:val="auto"/>
          <w:highlight w:val="none"/>
        </w:rPr>
      </w:pPr>
    </w:p>
    <w:p w14:paraId="32E517EE">
      <w:pPr>
        <w:pStyle w:val="3"/>
        <w:spacing w:line="248" w:lineRule="auto"/>
        <w:rPr>
          <w:color w:val="auto"/>
          <w:highlight w:val="none"/>
        </w:rPr>
      </w:pPr>
    </w:p>
    <w:p w14:paraId="10BE6EC2">
      <w:pPr>
        <w:pStyle w:val="3"/>
        <w:spacing w:line="248" w:lineRule="auto"/>
        <w:rPr>
          <w:color w:val="auto"/>
          <w:highlight w:val="none"/>
        </w:rPr>
      </w:pPr>
    </w:p>
    <w:p w14:paraId="18514854">
      <w:pPr>
        <w:pStyle w:val="3"/>
        <w:spacing w:line="248" w:lineRule="auto"/>
        <w:rPr>
          <w:color w:val="auto"/>
          <w:highlight w:val="none"/>
        </w:rPr>
      </w:pPr>
    </w:p>
    <w:p w14:paraId="7D4AD264">
      <w:pPr>
        <w:pStyle w:val="3"/>
        <w:spacing w:line="248" w:lineRule="auto"/>
        <w:rPr>
          <w:color w:val="auto"/>
          <w:highlight w:val="none"/>
        </w:rPr>
      </w:pPr>
    </w:p>
    <w:p w14:paraId="2A08F562">
      <w:pPr>
        <w:pStyle w:val="3"/>
        <w:spacing w:line="248" w:lineRule="auto"/>
        <w:rPr>
          <w:color w:val="auto"/>
          <w:highlight w:val="none"/>
        </w:rPr>
      </w:pPr>
    </w:p>
    <w:p w14:paraId="439A19E4">
      <w:pPr>
        <w:pStyle w:val="3"/>
        <w:spacing w:line="248" w:lineRule="auto"/>
        <w:rPr>
          <w:color w:val="auto"/>
          <w:highlight w:val="none"/>
        </w:rPr>
      </w:pPr>
    </w:p>
    <w:p w14:paraId="6AD4B540">
      <w:pPr>
        <w:pStyle w:val="3"/>
        <w:spacing w:line="248" w:lineRule="auto"/>
        <w:rPr>
          <w:color w:val="auto"/>
          <w:highlight w:val="none"/>
        </w:rPr>
      </w:pPr>
    </w:p>
    <w:p w14:paraId="1345B0A2">
      <w:pPr>
        <w:pStyle w:val="3"/>
        <w:spacing w:line="248" w:lineRule="auto"/>
        <w:rPr>
          <w:color w:val="auto"/>
          <w:highlight w:val="none"/>
        </w:rPr>
      </w:pPr>
    </w:p>
    <w:p w14:paraId="00181B17">
      <w:pPr>
        <w:pStyle w:val="3"/>
        <w:spacing w:line="248" w:lineRule="auto"/>
        <w:rPr>
          <w:color w:val="auto"/>
          <w:highlight w:val="none"/>
        </w:rPr>
      </w:pPr>
    </w:p>
    <w:p w14:paraId="6561B23D">
      <w:pPr>
        <w:pStyle w:val="3"/>
        <w:spacing w:line="248" w:lineRule="auto"/>
        <w:rPr>
          <w:color w:val="auto"/>
          <w:highlight w:val="none"/>
        </w:rPr>
      </w:pPr>
    </w:p>
    <w:p w14:paraId="7963EE31">
      <w:pPr>
        <w:pStyle w:val="3"/>
        <w:spacing w:line="248" w:lineRule="auto"/>
        <w:rPr>
          <w:color w:val="auto"/>
          <w:highlight w:val="none"/>
        </w:rPr>
      </w:pPr>
    </w:p>
    <w:p w14:paraId="11A6776E">
      <w:pPr>
        <w:pStyle w:val="3"/>
        <w:spacing w:line="248" w:lineRule="auto"/>
        <w:rPr>
          <w:color w:val="auto"/>
          <w:highlight w:val="none"/>
        </w:rPr>
      </w:pPr>
    </w:p>
    <w:p w14:paraId="3E76EA51">
      <w:pPr>
        <w:pStyle w:val="3"/>
        <w:spacing w:line="248" w:lineRule="auto"/>
        <w:rPr>
          <w:color w:val="auto"/>
          <w:highlight w:val="none"/>
        </w:rPr>
      </w:pPr>
    </w:p>
    <w:p w14:paraId="3405B8BC">
      <w:pPr>
        <w:pStyle w:val="3"/>
        <w:spacing w:line="248" w:lineRule="auto"/>
        <w:rPr>
          <w:color w:val="auto"/>
          <w:highlight w:val="none"/>
        </w:rPr>
      </w:pPr>
    </w:p>
    <w:p w14:paraId="5F966194">
      <w:pPr>
        <w:spacing w:before="59" w:line="217" w:lineRule="auto"/>
        <w:ind w:left="1422"/>
        <w:rPr>
          <w:rFonts w:ascii="宋体" w:hAnsi="宋体" w:eastAsia="宋体" w:cs="宋体"/>
          <w:color w:val="auto"/>
          <w:sz w:val="18"/>
          <w:szCs w:val="18"/>
          <w:highlight w:val="none"/>
        </w:rPr>
      </w:pPr>
    </w:p>
    <w:p w14:paraId="742C8271">
      <w:pPr>
        <w:spacing w:line="217" w:lineRule="auto"/>
        <w:rPr>
          <w:rFonts w:ascii="宋体" w:hAnsi="宋体" w:eastAsia="宋体" w:cs="宋体"/>
          <w:color w:val="auto"/>
          <w:sz w:val="18"/>
          <w:szCs w:val="18"/>
          <w:highlight w:val="none"/>
        </w:rPr>
        <w:sectPr>
          <w:headerReference r:id="rId204" w:type="default"/>
          <w:footerReference r:id="rId205" w:type="default"/>
          <w:pgSz w:w="11905" w:h="16840"/>
          <w:pgMar w:top="1182" w:right="0" w:bottom="1171" w:left="0" w:header="849" w:footer="937" w:gutter="0"/>
          <w:pgNumType w:fmt="decimal"/>
          <w:cols w:space="720" w:num="1"/>
        </w:sectPr>
      </w:pPr>
    </w:p>
    <w:p w14:paraId="30C332A4">
      <w:pPr>
        <w:pStyle w:val="3"/>
        <w:spacing w:line="315" w:lineRule="auto"/>
        <w:rPr>
          <w:color w:val="auto"/>
          <w:highlight w:val="none"/>
        </w:rPr>
      </w:pPr>
    </w:p>
    <w:p w14:paraId="7051BEA2">
      <w:pPr>
        <w:spacing w:before="88" w:line="225" w:lineRule="auto"/>
        <w:ind w:left="3155"/>
        <w:rPr>
          <w:rFonts w:ascii="宋体" w:hAnsi="宋体" w:eastAsia="宋体" w:cs="宋体"/>
          <w:color w:val="auto"/>
          <w:sz w:val="27"/>
          <w:szCs w:val="27"/>
          <w:highlight w:val="none"/>
        </w:rPr>
      </w:pPr>
      <w:r>
        <w:rPr>
          <w:rFonts w:ascii="宋体" w:hAnsi="宋体" w:eastAsia="宋体" w:cs="宋体"/>
          <w:b/>
          <w:bCs/>
          <w:color w:val="auto"/>
          <w:spacing w:val="7"/>
          <w:sz w:val="27"/>
          <w:szCs w:val="27"/>
          <w:highlight w:val="none"/>
        </w:rPr>
        <w:t>八-1、使用广东省信用评价等级的申请承诺书</w:t>
      </w:r>
    </w:p>
    <w:p w14:paraId="3D6ACAF9">
      <w:pPr>
        <w:pStyle w:val="3"/>
        <w:spacing w:line="313" w:lineRule="auto"/>
        <w:rPr>
          <w:color w:val="auto"/>
          <w:highlight w:val="none"/>
        </w:rPr>
      </w:pPr>
    </w:p>
    <w:p w14:paraId="1452DDE7">
      <w:pPr>
        <w:spacing w:before="78" w:line="220" w:lineRule="auto"/>
        <w:ind w:left="14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致招标人：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（招标人全称）</w:t>
      </w:r>
    </w:p>
    <w:p w14:paraId="53BBB68B">
      <w:pPr>
        <w:spacing w:before="181" w:line="220" w:lineRule="auto"/>
        <w:ind w:left="19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按相关要求，现我单位对使用信用等级申请如下：</w:t>
      </w:r>
    </w:p>
    <w:p w14:paraId="2B2875C4">
      <w:pPr>
        <w:spacing w:before="183" w:line="313" w:lineRule="auto"/>
        <w:ind w:left="1425" w:right="1407"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一、我单位在</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1"/>
          <w:sz w:val="24"/>
          <w:szCs w:val="24"/>
          <w:highlight w:val="none"/>
        </w:rPr>
        <w:t xml:space="preserve"> </w:t>
      </w:r>
      <w:r>
        <w:rPr>
          <w:rFonts w:ascii="宋体" w:hAnsi="宋体" w:eastAsia="宋体" w:cs="宋体"/>
          <w:color w:val="auto"/>
          <w:spacing w:val="-1"/>
          <w:sz w:val="24"/>
          <w:szCs w:val="24"/>
          <w:highlight w:val="none"/>
        </w:rPr>
        <w:t>施工招标（</w:t>
      </w:r>
      <w:r>
        <w:rPr>
          <w:rFonts w:ascii="宋体" w:hAnsi="宋体" w:eastAsia="宋体" w:cs="宋体"/>
          <w:color w:val="auto"/>
          <w:spacing w:val="-1"/>
          <w:sz w:val="24"/>
          <w:szCs w:val="24"/>
          <w:highlight w:val="none"/>
          <w:u w:val="single" w:color="auto"/>
        </w:rPr>
        <w:t xml:space="preserve">      标类/标段</w:t>
      </w:r>
      <w:r>
        <w:rPr>
          <w:rFonts w:ascii="宋体" w:hAnsi="宋体" w:eastAsia="宋体" w:cs="宋体"/>
          <w:color w:val="auto"/>
          <w:spacing w:val="-1"/>
          <w:sz w:val="24"/>
          <w:szCs w:val="24"/>
          <w:highlight w:val="none"/>
        </w:rPr>
        <w:t>）的招标中，</w:t>
      </w:r>
      <w:r>
        <w:rPr>
          <w:rFonts w:ascii="宋体" w:hAnsi="宋体" w:eastAsia="宋体" w:cs="宋体"/>
          <w:b/>
          <w:bCs/>
          <w:color w:val="auto"/>
          <w:spacing w:val="-1"/>
          <w:sz w:val="24"/>
          <w:szCs w:val="24"/>
          <w:highlight w:val="none"/>
        </w:rPr>
        <w:t>第</w:t>
      </w:r>
      <w:r>
        <w:rPr>
          <w:rFonts w:ascii="宋体" w:hAnsi="宋体" w:eastAsia="宋体" w:cs="宋体"/>
          <w:color w:val="auto"/>
          <w:spacing w:val="-113"/>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b/>
          <w:bCs/>
          <w:color w:val="auto"/>
          <w:spacing w:val="-1"/>
          <w:sz w:val="24"/>
          <w:szCs w:val="24"/>
          <w:highlight w:val="none"/>
        </w:rPr>
        <w:t>次使用（或不使用）</w:t>
      </w:r>
      <w:r>
        <w:rPr>
          <w:rFonts w:ascii="宋体" w:hAnsi="宋体" w:eastAsia="宋体" w:cs="宋体"/>
          <w:color w:val="auto"/>
          <w:spacing w:val="-1"/>
          <w:sz w:val="24"/>
          <w:szCs w:val="24"/>
          <w:highlight w:val="none"/>
        </w:rPr>
        <w:t>广东省交通运输厅发布的</w:t>
      </w:r>
      <w:r>
        <w:rPr>
          <w:rFonts w:ascii="宋体" w:hAnsi="宋体" w:eastAsia="宋体" w:cs="宋体"/>
          <w:color w:val="auto"/>
          <w:spacing w:val="-115"/>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
          <w:sz w:val="24"/>
          <w:szCs w:val="24"/>
          <w:highlight w:val="none"/>
        </w:rPr>
        <w:t>年度信用评价</w:t>
      </w:r>
      <w:r>
        <w:rPr>
          <w:rFonts w:ascii="宋体" w:hAnsi="宋体" w:eastAsia="宋体" w:cs="宋体"/>
          <w:color w:val="auto"/>
          <w:spacing w:val="-118"/>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
          <w:sz w:val="24"/>
          <w:szCs w:val="24"/>
          <w:highlight w:val="none"/>
        </w:rPr>
        <w:t>等级结果</w:t>
      </w:r>
      <w:r>
        <w:rPr>
          <w:rFonts w:ascii="宋体" w:hAnsi="宋体" w:eastAsia="宋体" w:cs="宋体"/>
          <w:color w:val="auto"/>
          <w:spacing w:val="-5"/>
          <w:sz w:val="24"/>
          <w:szCs w:val="24"/>
          <w:highlight w:val="none"/>
        </w:rPr>
        <w:t>和对应等级分值。</w:t>
      </w:r>
    </w:p>
    <w:p w14:paraId="155520DA">
      <w:pPr>
        <w:spacing w:before="183" w:line="313" w:lineRule="auto"/>
        <w:ind w:left="1424" w:right="1415" w:firstLine="484"/>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二、我单位承诺，</w:t>
      </w:r>
      <w:r>
        <w:rPr>
          <w:rFonts w:ascii="宋体" w:hAnsi="宋体" w:eastAsia="宋体" w:cs="宋体"/>
          <w:color w:val="auto"/>
          <w:spacing w:val="53"/>
          <w:sz w:val="24"/>
          <w:szCs w:val="24"/>
          <w:highlight w:val="none"/>
        </w:rPr>
        <w:t xml:space="preserve"> </w:t>
      </w:r>
      <w:r>
        <w:rPr>
          <w:rFonts w:ascii="宋体" w:hAnsi="宋体" w:eastAsia="宋体" w:cs="宋体"/>
          <w:color w:val="auto"/>
          <w:spacing w:val="-8"/>
          <w:sz w:val="24"/>
          <w:szCs w:val="24"/>
          <w:highlight w:val="none"/>
        </w:rPr>
        <w:t>在递交本次申请后，我单位将失去一次使用</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8"/>
          <w:sz w:val="24"/>
          <w:szCs w:val="24"/>
          <w:highlight w:val="none"/>
        </w:rPr>
        <w:t>等级结果</w:t>
      </w:r>
      <w:r>
        <w:rPr>
          <w:rFonts w:ascii="宋体" w:hAnsi="宋体" w:eastAsia="宋体" w:cs="宋体"/>
          <w:b/>
          <w:bCs/>
          <w:color w:val="auto"/>
          <w:spacing w:val="-8"/>
          <w:sz w:val="24"/>
          <w:szCs w:val="24"/>
          <w:highlight w:val="none"/>
        </w:rPr>
        <w:t>（不</w:t>
      </w:r>
      <w:r>
        <w:rPr>
          <w:rFonts w:ascii="宋体" w:hAnsi="宋体" w:eastAsia="宋体" w:cs="宋体"/>
          <w:b/>
          <w:bCs/>
          <w:color w:val="auto"/>
          <w:spacing w:val="1"/>
          <w:sz w:val="24"/>
          <w:szCs w:val="24"/>
          <w:highlight w:val="none"/>
        </w:rPr>
        <w:t>使用时上述填“/”）</w:t>
      </w:r>
      <w:r>
        <w:rPr>
          <w:rFonts w:ascii="宋体" w:hAnsi="宋体" w:eastAsia="宋体" w:cs="宋体"/>
          <w:color w:val="auto"/>
          <w:spacing w:val="1"/>
          <w:sz w:val="24"/>
          <w:szCs w:val="24"/>
          <w:highlight w:val="none"/>
        </w:rPr>
        <w:t>参与投标的机会。当累计使用超过规定的次数，我单位同意按降</w:t>
      </w:r>
      <w:r>
        <w:rPr>
          <w:rFonts w:ascii="宋体" w:hAnsi="宋体" w:eastAsia="宋体" w:cs="宋体"/>
          <w:color w:val="auto"/>
          <w:spacing w:val="-2"/>
          <w:sz w:val="24"/>
          <w:szCs w:val="24"/>
          <w:highlight w:val="none"/>
        </w:rPr>
        <w:t>低一个信用等级对应分值来认定参与投标评审。</w:t>
      </w:r>
    </w:p>
    <w:p w14:paraId="10A2023D">
      <w:pPr>
        <w:spacing w:before="181" w:line="290" w:lineRule="auto"/>
        <w:ind w:left="1431" w:right="1416" w:firstLine="47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三、如果我单位发生违反规定使用信用等级结果的情形，</w:t>
      </w:r>
      <w:r>
        <w:rPr>
          <w:rFonts w:ascii="宋体" w:hAnsi="宋体" w:eastAsia="宋体" w:cs="宋体"/>
          <w:color w:val="auto"/>
          <w:spacing w:val="37"/>
          <w:sz w:val="24"/>
          <w:szCs w:val="24"/>
          <w:highlight w:val="none"/>
        </w:rPr>
        <w:t xml:space="preserve"> </w:t>
      </w:r>
      <w:r>
        <w:rPr>
          <w:rFonts w:ascii="宋体" w:hAnsi="宋体" w:eastAsia="宋体" w:cs="宋体"/>
          <w:color w:val="auto"/>
          <w:spacing w:val="-6"/>
          <w:sz w:val="24"/>
          <w:szCs w:val="24"/>
          <w:highlight w:val="none"/>
        </w:rPr>
        <w:t>自愿接受省级交通运输主</w:t>
      </w:r>
      <w:r>
        <w:rPr>
          <w:rFonts w:ascii="宋体" w:hAnsi="宋体" w:eastAsia="宋体" w:cs="宋体"/>
          <w:color w:val="auto"/>
          <w:spacing w:val="-7"/>
          <w:sz w:val="24"/>
          <w:szCs w:val="24"/>
          <w:highlight w:val="none"/>
        </w:rPr>
        <w:t>管部门的处理。</w:t>
      </w:r>
    </w:p>
    <w:p w14:paraId="0385BFFF">
      <w:pPr>
        <w:spacing w:before="183" w:line="362" w:lineRule="auto"/>
        <w:ind w:left="1905" w:right="1848" w:firstLine="1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附件：</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单位使用</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
          <w:sz w:val="24"/>
          <w:szCs w:val="24"/>
          <w:highlight w:val="none"/>
        </w:rPr>
        <w:t>年度广东省公路工程从</w:t>
      </w:r>
      <w:r>
        <w:rPr>
          <w:rFonts w:ascii="宋体" w:hAnsi="宋体" w:eastAsia="宋体" w:cs="宋体"/>
          <w:color w:val="auto"/>
          <w:spacing w:val="-2"/>
          <w:sz w:val="24"/>
          <w:szCs w:val="24"/>
          <w:highlight w:val="none"/>
        </w:rPr>
        <w:t>业单位信用等级情况汇总表特此承诺</w:t>
      </w:r>
    </w:p>
    <w:p w14:paraId="1B127130">
      <w:pPr>
        <w:pStyle w:val="3"/>
        <w:spacing w:line="382" w:lineRule="auto"/>
        <w:rPr>
          <w:color w:val="auto"/>
          <w:highlight w:val="none"/>
        </w:rPr>
      </w:pPr>
    </w:p>
    <w:p w14:paraId="044D4BDE">
      <w:pPr>
        <w:spacing w:before="78" w:line="360" w:lineRule="auto"/>
        <w:ind w:left="4548" w:right="16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投标人（单位全称</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投标人的法定代表人或其委托代理人签名：</w:t>
      </w:r>
      <w:r>
        <w:rPr>
          <w:rFonts w:ascii="宋体" w:hAnsi="宋体" w:eastAsia="宋体" w:cs="宋体"/>
          <w:color w:val="auto"/>
          <w:sz w:val="24"/>
          <w:szCs w:val="24"/>
          <w:highlight w:val="none"/>
          <w:u w:val="single" w:color="auto"/>
        </w:rPr>
        <w:t xml:space="preserve">          </w:t>
      </w:r>
    </w:p>
    <w:p w14:paraId="4CC1E314">
      <w:pPr>
        <w:tabs>
          <w:tab w:val="left" w:pos="8015"/>
        </w:tabs>
        <w:spacing w:before="1" w:line="219" w:lineRule="auto"/>
        <w:ind w:left="7415"/>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360E2934">
      <w:pPr>
        <w:pStyle w:val="3"/>
        <w:rPr>
          <w:color w:val="auto"/>
          <w:highlight w:val="none"/>
        </w:rPr>
      </w:pPr>
    </w:p>
    <w:p w14:paraId="1904C757">
      <w:pPr>
        <w:pStyle w:val="3"/>
        <w:spacing w:line="241" w:lineRule="auto"/>
        <w:rPr>
          <w:color w:val="auto"/>
          <w:highlight w:val="none"/>
        </w:rPr>
      </w:pPr>
    </w:p>
    <w:p w14:paraId="2C1A2CB1">
      <w:pPr>
        <w:pStyle w:val="3"/>
        <w:spacing w:line="241" w:lineRule="auto"/>
        <w:rPr>
          <w:color w:val="auto"/>
          <w:highlight w:val="none"/>
        </w:rPr>
      </w:pPr>
    </w:p>
    <w:p w14:paraId="67CEB47D">
      <w:pPr>
        <w:pStyle w:val="3"/>
        <w:spacing w:line="241" w:lineRule="auto"/>
        <w:rPr>
          <w:color w:val="auto"/>
          <w:highlight w:val="none"/>
        </w:rPr>
      </w:pPr>
    </w:p>
    <w:p w14:paraId="3427D3CD">
      <w:pPr>
        <w:pStyle w:val="3"/>
        <w:spacing w:line="241" w:lineRule="auto"/>
        <w:rPr>
          <w:color w:val="auto"/>
          <w:highlight w:val="none"/>
        </w:rPr>
      </w:pPr>
    </w:p>
    <w:p w14:paraId="27DF3687">
      <w:pPr>
        <w:pStyle w:val="3"/>
        <w:spacing w:line="241" w:lineRule="auto"/>
        <w:rPr>
          <w:color w:val="auto"/>
          <w:highlight w:val="none"/>
        </w:rPr>
      </w:pPr>
    </w:p>
    <w:p w14:paraId="10503E61">
      <w:pPr>
        <w:spacing w:before="6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7F71604A">
      <w:pPr>
        <w:spacing w:before="58" w:line="247" w:lineRule="auto"/>
        <w:ind w:left="1423" w:right="1414" w:firstLine="1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1、AA、A</w:t>
      </w:r>
      <w:r>
        <w:rPr>
          <w:rFonts w:ascii="宋体" w:hAnsi="宋体" w:eastAsia="宋体" w:cs="宋体"/>
          <w:color w:val="auto"/>
          <w:spacing w:val="-42"/>
          <w:sz w:val="21"/>
          <w:szCs w:val="21"/>
          <w:highlight w:val="none"/>
        </w:rPr>
        <w:t xml:space="preserve"> </w:t>
      </w:r>
      <w:r>
        <w:rPr>
          <w:rFonts w:ascii="宋体" w:hAnsi="宋体" w:eastAsia="宋体" w:cs="宋体"/>
          <w:color w:val="auto"/>
          <w:spacing w:val="-5"/>
          <w:sz w:val="21"/>
          <w:szCs w:val="21"/>
          <w:highlight w:val="none"/>
        </w:rPr>
        <w:t>级信用等级企业必须填写此申请承诺书；选择“使用”时需和</w:t>
      </w:r>
      <w:r>
        <w:rPr>
          <w:rFonts w:ascii="宋体" w:hAnsi="宋体" w:eastAsia="宋体" w:cs="宋体"/>
          <w:color w:val="auto"/>
          <w:spacing w:val="-6"/>
          <w:sz w:val="21"/>
          <w:szCs w:val="21"/>
          <w:highlight w:val="none"/>
        </w:rPr>
        <w:t>附表（</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单位使用</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1"/>
          <w:sz w:val="21"/>
          <w:szCs w:val="21"/>
          <w:highlight w:val="none"/>
        </w:rPr>
        <w:t>度广东省公路工程从业单位信用等级情况汇总表）一起编入投标</w:t>
      </w:r>
      <w:r>
        <w:rPr>
          <w:rFonts w:ascii="宋体" w:hAnsi="宋体" w:eastAsia="宋体" w:cs="宋体"/>
          <w:color w:val="auto"/>
          <w:spacing w:val="-2"/>
          <w:sz w:val="21"/>
          <w:szCs w:val="21"/>
          <w:highlight w:val="none"/>
        </w:rPr>
        <w:t>文件中。</w:t>
      </w:r>
    </w:p>
    <w:p w14:paraId="1D495D99">
      <w:pPr>
        <w:spacing w:before="64" w:line="260" w:lineRule="auto"/>
        <w:ind w:left="1422" w:right="1414" w:firstLine="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2、AA、A 级信用等级企业应区分标段、分别填写并提交此申请承诺书；</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如同时对多个标段选择“使</w:t>
      </w:r>
      <w:r>
        <w:rPr>
          <w:rFonts w:ascii="宋体" w:hAnsi="宋体" w:eastAsia="宋体" w:cs="宋体"/>
          <w:color w:val="auto"/>
          <w:spacing w:val="1"/>
          <w:sz w:val="21"/>
          <w:szCs w:val="21"/>
          <w:highlight w:val="none"/>
        </w:rPr>
        <w:t>用”时，使用次数应按标段累加（即各个标段申请承诺书的使</w:t>
      </w:r>
      <w:r>
        <w:rPr>
          <w:rFonts w:ascii="宋体" w:hAnsi="宋体" w:eastAsia="宋体" w:cs="宋体"/>
          <w:color w:val="auto"/>
          <w:sz w:val="21"/>
          <w:szCs w:val="21"/>
          <w:highlight w:val="none"/>
        </w:rPr>
        <w:t>用次数应不一致）。如同时对多个标</w:t>
      </w:r>
      <w:r>
        <w:rPr>
          <w:rFonts w:ascii="宋体" w:hAnsi="宋体" w:eastAsia="宋体" w:cs="宋体"/>
          <w:color w:val="auto"/>
          <w:spacing w:val="1"/>
          <w:sz w:val="21"/>
          <w:szCs w:val="21"/>
          <w:highlight w:val="none"/>
        </w:rPr>
        <w:t>段选择“使用”而多个标段所附申请承诺书的使用次数为同一次</w:t>
      </w:r>
      <w:r>
        <w:rPr>
          <w:rFonts w:ascii="宋体" w:hAnsi="宋体" w:eastAsia="宋体" w:cs="宋体"/>
          <w:color w:val="auto"/>
          <w:sz w:val="21"/>
          <w:szCs w:val="21"/>
          <w:highlight w:val="none"/>
        </w:rPr>
        <w:t>时，多个标段均视为未正确填报申</w:t>
      </w:r>
      <w:r>
        <w:rPr>
          <w:rFonts w:ascii="宋体" w:hAnsi="宋体" w:eastAsia="宋体" w:cs="宋体"/>
          <w:color w:val="auto"/>
          <w:spacing w:val="-2"/>
          <w:sz w:val="21"/>
          <w:szCs w:val="21"/>
          <w:highlight w:val="none"/>
        </w:rPr>
        <w:t>请承诺书，均按不承诺使用对应的信用等级处理。</w:t>
      </w:r>
    </w:p>
    <w:p w14:paraId="420D7A40">
      <w:pPr>
        <w:spacing w:before="62" w:line="248" w:lineRule="auto"/>
        <w:ind w:left="1425" w:right="1416" w:firstLine="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3、中标候选人公示中， 将对所有承诺使用最新年度</w:t>
      </w:r>
      <w:r>
        <w:rPr>
          <w:rFonts w:ascii="宋体" w:hAnsi="宋体" w:eastAsia="宋体" w:cs="宋体"/>
          <w:color w:val="auto"/>
          <w:spacing w:val="-49"/>
          <w:sz w:val="21"/>
          <w:szCs w:val="21"/>
          <w:highlight w:val="none"/>
        </w:rPr>
        <w:t xml:space="preserve"> </w:t>
      </w:r>
      <w:r>
        <w:rPr>
          <w:rFonts w:ascii="宋体" w:hAnsi="宋体" w:eastAsia="宋体" w:cs="宋体"/>
          <w:color w:val="auto"/>
          <w:spacing w:val="-4"/>
          <w:sz w:val="21"/>
          <w:szCs w:val="21"/>
          <w:highlight w:val="none"/>
        </w:rPr>
        <w:t>AA、A</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rPr>
        <w:t>级投标人的</w:t>
      </w:r>
      <w:r>
        <w:rPr>
          <w:rFonts w:ascii="宋体" w:hAnsi="宋体" w:eastAsia="宋体" w:cs="宋体"/>
          <w:color w:val="auto"/>
          <w:spacing w:val="-5"/>
          <w:sz w:val="21"/>
          <w:szCs w:val="21"/>
          <w:highlight w:val="none"/>
        </w:rPr>
        <w:t>年度信用等级使用情况进行公</w:t>
      </w:r>
      <w:r>
        <w:rPr>
          <w:rFonts w:ascii="宋体" w:hAnsi="宋体" w:eastAsia="宋体" w:cs="宋体"/>
          <w:color w:val="auto"/>
          <w:spacing w:val="-10"/>
          <w:sz w:val="21"/>
          <w:szCs w:val="21"/>
          <w:highlight w:val="none"/>
        </w:rPr>
        <w:t>开。</w:t>
      </w:r>
    </w:p>
    <w:p w14:paraId="6EBA0FA3">
      <w:pPr>
        <w:spacing w:before="61" w:line="220" w:lineRule="auto"/>
        <w:ind w:left="1423"/>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4、以联合体形式投标的，联合体各成员应分别填写。</w:t>
      </w:r>
    </w:p>
    <w:p w14:paraId="26A09CAD">
      <w:pPr>
        <w:spacing w:line="220" w:lineRule="auto"/>
        <w:rPr>
          <w:rFonts w:ascii="宋体" w:hAnsi="宋体" w:eastAsia="宋体" w:cs="宋体"/>
          <w:strike/>
          <w:dstrike w:val="0"/>
          <w:color w:val="auto"/>
          <w:sz w:val="21"/>
          <w:szCs w:val="21"/>
          <w:highlight w:val="none"/>
        </w:rPr>
        <w:sectPr>
          <w:headerReference r:id="rId206" w:type="default"/>
          <w:footerReference r:id="rId207" w:type="default"/>
          <w:pgSz w:w="11905" w:h="16840"/>
          <w:pgMar w:top="1182" w:right="0" w:bottom="1171" w:left="0" w:header="849" w:footer="937" w:gutter="0"/>
          <w:pgNumType w:fmt="decimal"/>
          <w:cols w:space="720" w:num="1"/>
        </w:sectPr>
      </w:pPr>
    </w:p>
    <w:p w14:paraId="260377EF">
      <w:pPr>
        <w:pStyle w:val="3"/>
        <w:spacing w:line="267" w:lineRule="auto"/>
        <w:rPr>
          <w:color w:val="auto"/>
          <w:highlight w:val="none"/>
        </w:rPr>
      </w:pPr>
    </w:p>
    <w:p w14:paraId="2D5304ED">
      <w:pPr>
        <w:spacing w:before="78" w:line="219" w:lineRule="auto"/>
        <w:ind w:left="1444"/>
        <w:rPr>
          <w:rFonts w:ascii="宋体" w:hAnsi="宋体" w:eastAsia="宋体" w:cs="宋体"/>
          <w:color w:val="auto"/>
          <w:sz w:val="24"/>
          <w:szCs w:val="24"/>
          <w:highlight w:val="none"/>
        </w:rPr>
      </w:pPr>
      <w:r>
        <w:rPr>
          <w:rFonts w:ascii="宋体" w:hAnsi="宋体" w:eastAsia="宋体" w:cs="宋体"/>
          <w:color w:val="auto"/>
          <w:spacing w:val="-19"/>
          <w:sz w:val="24"/>
          <w:szCs w:val="24"/>
          <w:highlight w:val="none"/>
        </w:rPr>
        <w:t>附表：</w:t>
      </w:r>
    </w:p>
    <w:p w14:paraId="55A1FFBC">
      <w:pPr>
        <w:tabs>
          <w:tab w:val="left" w:pos="3637"/>
        </w:tabs>
        <w:spacing w:before="240" w:line="422" w:lineRule="auto"/>
        <w:ind w:left="4697" w:right="2081" w:hanging="2605"/>
        <w:rPr>
          <w:rFonts w:ascii="宋体" w:hAnsi="宋体" w:eastAsia="宋体" w:cs="宋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111"/>
          <w:sz w:val="27"/>
          <w:szCs w:val="27"/>
          <w:highlight w:val="none"/>
        </w:rPr>
        <w:t xml:space="preserve"> </w:t>
      </w:r>
      <w:r>
        <w:rPr>
          <w:rFonts w:ascii="宋体" w:hAnsi="宋体" w:eastAsia="宋体" w:cs="宋体"/>
          <w:b/>
          <w:bCs/>
          <w:color w:val="auto"/>
          <w:spacing w:val="6"/>
          <w:sz w:val="27"/>
          <w:szCs w:val="27"/>
          <w:highlight w:val="none"/>
        </w:rPr>
        <w:t>单位使用</w:t>
      </w:r>
      <w:r>
        <w:rPr>
          <w:rFonts w:ascii="宋体" w:hAnsi="宋体" w:eastAsia="宋体" w:cs="宋体"/>
          <w:color w:val="auto"/>
          <w:spacing w:val="-134"/>
          <w:sz w:val="27"/>
          <w:szCs w:val="27"/>
          <w:highlight w:val="none"/>
        </w:rPr>
        <w:t xml:space="preserve"> </w:t>
      </w:r>
      <w:r>
        <w:rPr>
          <w:rFonts w:ascii="宋体" w:hAnsi="宋体" w:eastAsia="宋体" w:cs="宋体"/>
          <w:color w:val="auto"/>
          <w:spacing w:val="5"/>
          <w:sz w:val="27"/>
          <w:szCs w:val="27"/>
          <w:highlight w:val="none"/>
          <w:u w:val="single" w:color="auto"/>
        </w:rPr>
        <w:t xml:space="preserve">          </w:t>
      </w:r>
      <w:r>
        <w:rPr>
          <w:rFonts w:ascii="宋体" w:hAnsi="宋体" w:eastAsia="宋体" w:cs="宋体"/>
          <w:color w:val="auto"/>
          <w:spacing w:val="-116"/>
          <w:sz w:val="27"/>
          <w:szCs w:val="27"/>
          <w:highlight w:val="none"/>
        </w:rPr>
        <w:t xml:space="preserve"> </w:t>
      </w:r>
      <w:r>
        <w:rPr>
          <w:rFonts w:ascii="宋体" w:hAnsi="宋体" w:eastAsia="宋体" w:cs="宋体"/>
          <w:b/>
          <w:bCs/>
          <w:color w:val="auto"/>
          <w:spacing w:val="6"/>
          <w:sz w:val="27"/>
          <w:szCs w:val="27"/>
          <w:highlight w:val="none"/>
        </w:rPr>
        <w:t>年度广东省公路工程从业单位</w:t>
      </w:r>
      <w:r>
        <w:rPr>
          <w:rFonts w:ascii="宋体" w:hAnsi="宋体" w:eastAsia="宋体" w:cs="宋体"/>
          <w:b/>
          <w:bCs/>
          <w:color w:val="auto"/>
          <w:spacing w:val="7"/>
          <w:sz w:val="27"/>
          <w:szCs w:val="27"/>
          <w:highlight w:val="none"/>
        </w:rPr>
        <w:t>信用等级情况汇总表</w:t>
      </w:r>
    </w:p>
    <w:tbl>
      <w:tblPr>
        <w:tblStyle w:val="16"/>
        <w:tblW w:w="9539" w:type="dxa"/>
        <w:tblInd w:w="11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3163"/>
        <w:gridCol w:w="1259"/>
        <w:gridCol w:w="1545"/>
        <w:gridCol w:w="1409"/>
        <w:gridCol w:w="1297"/>
      </w:tblGrid>
      <w:tr w14:paraId="5D053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66" w:type="dxa"/>
            <w:vAlign w:val="top"/>
          </w:tcPr>
          <w:p w14:paraId="28313327">
            <w:pPr>
              <w:spacing w:line="395" w:lineRule="auto"/>
              <w:rPr>
                <w:rFonts w:ascii="Arial"/>
                <w:color w:val="auto"/>
                <w:sz w:val="21"/>
                <w:highlight w:val="none"/>
              </w:rPr>
            </w:pPr>
          </w:p>
          <w:p w14:paraId="341435C4">
            <w:pPr>
              <w:pStyle w:val="17"/>
              <w:spacing w:before="68" w:line="221" w:lineRule="auto"/>
              <w:ind w:left="226"/>
              <w:rPr>
                <w:color w:val="auto"/>
                <w:highlight w:val="none"/>
              </w:rPr>
            </w:pPr>
            <w:r>
              <w:rPr>
                <w:color w:val="auto"/>
                <w:spacing w:val="-2"/>
                <w:highlight w:val="none"/>
              </w:rPr>
              <w:t>序号</w:t>
            </w:r>
          </w:p>
        </w:tc>
        <w:tc>
          <w:tcPr>
            <w:tcW w:w="3163" w:type="dxa"/>
            <w:vAlign w:val="top"/>
          </w:tcPr>
          <w:p w14:paraId="4940CA50">
            <w:pPr>
              <w:spacing w:line="395" w:lineRule="auto"/>
              <w:rPr>
                <w:rFonts w:ascii="Arial"/>
                <w:color w:val="auto"/>
                <w:sz w:val="21"/>
                <w:highlight w:val="none"/>
              </w:rPr>
            </w:pPr>
          </w:p>
          <w:p w14:paraId="620B8DA3">
            <w:pPr>
              <w:pStyle w:val="17"/>
              <w:spacing w:before="69" w:line="220" w:lineRule="auto"/>
              <w:ind w:left="1060"/>
              <w:rPr>
                <w:color w:val="auto"/>
                <w:highlight w:val="none"/>
              </w:rPr>
            </w:pPr>
            <w:r>
              <w:rPr>
                <w:color w:val="auto"/>
                <w:spacing w:val="-2"/>
                <w:highlight w:val="none"/>
              </w:rPr>
              <w:t>招标人名称</w:t>
            </w:r>
          </w:p>
        </w:tc>
        <w:tc>
          <w:tcPr>
            <w:tcW w:w="1259" w:type="dxa"/>
            <w:vAlign w:val="top"/>
          </w:tcPr>
          <w:p w14:paraId="71DAFA53">
            <w:pPr>
              <w:rPr>
                <w:rFonts w:ascii="Arial"/>
                <w:color w:val="auto"/>
                <w:sz w:val="21"/>
                <w:highlight w:val="none"/>
              </w:rPr>
            </w:pPr>
          </w:p>
          <w:p w14:paraId="0F270F69">
            <w:pPr>
              <w:pStyle w:val="17"/>
              <w:spacing w:before="68" w:line="277" w:lineRule="auto"/>
              <w:ind w:left="214" w:right="113" w:hanging="101"/>
              <w:rPr>
                <w:color w:val="auto"/>
                <w:highlight w:val="none"/>
              </w:rPr>
            </w:pPr>
            <w:r>
              <w:rPr>
                <w:color w:val="auto"/>
                <w:spacing w:val="-5"/>
                <w:highlight w:val="none"/>
              </w:rPr>
              <w:t>标类或（标</w:t>
            </w:r>
            <w:r>
              <w:rPr>
                <w:color w:val="auto"/>
                <w:spacing w:val="-2"/>
                <w:highlight w:val="none"/>
              </w:rPr>
              <w:t>段）名称</w:t>
            </w:r>
          </w:p>
        </w:tc>
        <w:tc>
          <w:tcPr>
            <w:tcW w:w="1545" w:type="dxa"/>
            <w:vAlign w:val="top"/>
          </w:tcPr>
          <w:p w14:paraId="5A944C2B">
            <w:pPr>
              <w:spacing w:line="241" w:lineRule="auto"/>
              <w:rPr>
                <w:rFonts w:ascii="Arial"/>
                <w:color w:val="auto"/>
                <w:sz w:val="21"/>
                <w:highlight w:val="none"/>
              </w:rPr>
            </w:pPr>
          </w:p>
          <w:p w14:paraId="5CAA8986">
            <w:pPr>
              <w:pStyle w:val="17"/>
              <w:spacing w:before="68" w:line="276" w:lineRule="auto"/>
              <w:ind w:left="257" w:right="140" w:hanging="109"/>
              <w:rPr>
                <w:color w:val="auto"/>
                <w:highlight w:val="none"/>
              </w:rPr>
            </w:pPr>
            <w:r>
              <w:rPr>
                <w:color w:val="auto"/>
                <w:spacing w:val="-2"/>
                <w:highlight w:val="none"/>
              </w:rPr>
              <w:t>递交文件时间</w:t>
            </w:r>
            <w:r>
              <w:rPr>
                <w:color w:val="auto"/>
                <w:spacing w:val="-5"/>
                <w:highlight w:val="none"/>
              </w:rPr>
              <w:t>（年月日）</w:t>
            </w:r>
          </w:p>
        </w:tc>
        <w:tc>
          <w:tcPr>
            <w:tcW w:w="1409" w:type="dxa"/>
            <w:vAlign w:val="top"/>
          </w:tcPr>
          <w:p w14:paraId="46C63C3A">
            <w:pPr>
              <w:spacing w:line="241" w:lineRule="auto"/>
              <w:rPr>
                <w:rFonts w:ascii="Arial"/>
                <w:color w:val="auto"/>
                <w:sz w:val="21"/>
                <w:highlight w:val="none"/>
              </w:rPr>
            </w:pPr>
          </w:p>
          <w:p w14:paraId="49BB9D4E">
            <w:pPr>
              <w:pStyle w:val="17"/>
              <w:spacing w:before="68" w:line="277" w:lineRule="auto"/>
              <w:ind w:left="188" w:right="176" w:hanging="2"/>
              <w:rPr>
                <w:color w:val="auto"/>
                <w:highlight w:val="none"/>
              </w:rPr>
            </w:pPr>
            <w:r>
              <w:rPr>
                <w:color w:val="auto"/>
                <w:spacing w:val="-2"/>
                <w:highlight w:val="none"/>
              </w:rPr>
              <w:t>使用信用等</w:t>
            </w:r>
            <w:r>
              <w:rPr>
                <w:color w:val="auto"/>
                <w:spacing w:val="-3"/>
                <w:highlight w:val="none"/>
              </w:rPr>
              <w:t>级（AA/A）</w:t>
            </w:r>
          </w:p>
        </w:tc>
        <w:tc>
          <w:tcPr>
            <w:tcW w:w="1297" w:type="dxa"/>
            <w:vAlign w:val="top"/>
          </w:tcPr>
          <w:p w14:paraId="284E733B">
            <w:pPr>
              <w:spacing w:line="395" w:lineRule="auto"/>
              <w:rPr>
                <w:rFonts w:ascii="Arial"/>
                <w:color w:val="auto"/>
                <w:sz w:val="21"/>
                <w:highlight w:val="none"/>
              </w:rPr>
            </w:pPr>
          </w:p>
          <w:p w14:paraId="5453C8DE">
            <w:pPr>
              <w:pStyle w:val="17"/>
              <w:spacing w:before="68" w:line="221" w:lineRule="auto"/>
              <w:ind w:left="445"/>
              <w:rPr>
                <w:color w:val="auto"/>
                <w:highlight w:val="none"/>
              </w:rPr>
            </w:pPr>
            <w:r>
              <w:rPr>
                <w:color w:val="auto"/>
                <w:spacing w:val="-3"/>
                <w:highlight w:val="none"/>
              </w:rPr>
              <w:t>备注</w:t>
            </w:r>
          </w:p>
        </w:tc>
      </w:tr>
      <w:tr w14:paraId="5BC6A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737AA7F2">
            <w:pPr>
              <w:pStyle w:val="17"/>
              <w:spacing w:before="307" w:line="241" w:lineRule="auto"/>
              <w:ind w:left="401"/>
              <w:rPr>
                <w:color w:val="auto"/>
                <w:highlight w:val="none"/>
              </w:rPr>
            </w:pPr>
            <w:r>
              <w:rPr>
                <w:color w:val="auto"/>
                <w:highlight w:val="none"/>
              </w:rPr>
              <w:t>1</w:t>
            </w:r>
          </w:p>
        </w:tc>
        <w:tc>
          <w:tcPr>
            <w:tcW w:w="3163" w:type="dxa"/>
            <w:vAlign w:val="top"/>
          </w:tcPr>
          <w:p w14:paraId="318C2FE6">
            <w:pPr>
              <w:rPr>
                <w:rFonts w:ascii="Arial"/>
                <w:color w:val="auto"/>
                <w:sz w:val="21"/>
                <w:highlight w:val="none"/>
              </w:rPr>
            </w:pPr>
          </w:p>
        </w:tc>
        <w:tc>
          <w:tcPr>
            <w:tcW w:w="1259" w:type="dxa"/>
            <w:vAlign w:val="top"/>
          </w:tcPr>
          <w:p w14:paraId="6F683510">
            <w:pPr>
              <w:rPr>
                <w:rFonts w:ascii="Arial"/>
                <w:color w:val="auto"/>
                <w:sz w:val="21"/>
                <w:highlight w:val="none"/>
              </w:rPr>
            </w:pPr>
          </w:p>
        </w:tc>
        <w:tc>
          <w:tcPr>
            <w:tcW w:w="1545" w:type="dxa"/>
            <w:vAlign w:val="top"/>
          </w:tcPr>
          <w:p w14:paraId="514D9A38">
            <w:pPr>
              <w:rPr>
                <w:rFonts w:ascii="Arial"/>
                <w:color w:val="auto"/>
                <w:sz w:val="21"/>
                <w:highlight w:val="none"/>
              </w:rPr>
            </w:pPr>
          </w:p>
        </w:tc>
        <w:tc>
          <w:tcPr>
            <w:tcW w:w="1409" w:type="dxa"/>
            <w:vAlign w:val="top"/>
          </w:tcPr>
          <w:p w14:paraId="345B96E0">
            <w:pPr>
              <w:rPr>
                <w:rFonts w:ascii="Arial"/>
                <w:color w:val="auto"/>
                <w:sz w:val="21"/>
                <w:highlight w:val="none"/>
              </w:rPr>
            </w:pPr>
          </w:p>
        </w:tc>
        <w:tc>
          <w:tcPr>
            <w:tcW w:w="1297" w:type="dxa"/>
            <w:vAlign w:val="top"/>
          </w:tcPr>
          <w:p w14:paraId="6582CF84">
            <w:pPr>
              <w:rPr>
                <w:rFonts w:ascii="Arial"/>
                <w:color w:val="auto"/>
                <w:sz w:val="21"/>
                <w:highlight w:val="none"/>
              </w:rPr>
            </w:pPr>
          </w:p>
        </w:tc>
      </w:tr>
      <w:tr w14:paraId="0E5CD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153C0CFC">
            <w:pPr>
              <w:pStyle w:val="17"/>
              <w:spacing w:before="306" w:line="241" w:lineRule="auto"/>
              <w:ind w:left="388"/>
              <w:rPr>
                <w:color w:val="auto"/>
                <w:highlight w:val="none"/>
              </w:rPr>
            </w:pPr>
            <w:r>
              <w:rPr>
                <w:color w:val="auto"/>
                <w:highlight w:val="none"/>
              </w:rPr>
              <w:t>2</w:t>
            </w:r>
          </w:p>
        </w:tc>
        <w:tc>
          <w:tcPr>
            <w:tcW w:w="3163" w:type="dxa"/>
            <w:vAlign w:val="top"/>
          </w:tcPr>
          <w:p w14:paraId="52484F0A">
            <w:pPr>
              <w:rPr>
                <w:rFonts w:ascii="Arial"/>
                <w:color w:val="auto"/>
                <w:sz w:val="21"/>
                <w:highlight w:val="none"/>
              </w:rPr>
            </w:pPr>
          </w:p>
        </w:tc>
        <w:tc>
          <w:tcPr>
            <w:tcW w:w="1259" w:type="dxa"/>
            <w:vAlign w:val="top"/>
          </w:tcPr>
          <w:p w14:paraId="71D477C9">
            <w:pPr>
              <w:rPr>
                <w:rFonts w:ascii="Arial"/>
                <w:color w:val="auto"/>
                <w:sz w:val="21"/>
                <w:highlight w:val="none"/>
              </w:rPr>
            </w:pPr>
          </w:p>
        </w:tc>
        <w:tc>
          <w:tcPr>
            <w:tcW w:w="1545" w:type="dxa"/>
            <w:vAlign w:val="top"/>
          </w:tcPr>
          <w:p w14:paraId="022E3E63">
            <w:pPr>
              <w:rPr>
                <w:rFonts w:ascii="Arial"/>
                <w:color w:val="auto"/>
                <w:sz w:val="21"/>
                <w:highlight w:val="none"/>
              </w:rPr>
            </w:pPr>
          </w:p>
        </w:tc>
        <w:tc>
          <w:tcPr>
            <w:tcW w:w="1409" w:type="dxa"/>
            <w:vAlign w:val="top"/>
          </w:tcPr>
          <w:p w14:paraId="7FBE052E">
            <w:pPr>
              <w:rPr>
                <w:rFonts w:ascii="Arial"/>
                <w:color w:val="auto"/>
                <w:sz w:val="21"/>
                <w:highlight w:val="none"/>
              </w:rPr>
            </w:pPr>
          </w:p>
        </w:tc>
        <w:tc>
          <w:tcPr>
            <w:tcW w:w="1297" w:type="dxa"/>
            <w:vAlign w:val="top"/>
          </w:tcPr>
          <w:p w14:paraId="14DA9645">
            <w:pPr>
              <w:rPr>
                <w:rFonts w:ascii="Arial"/>
                <w:color w:val="auto"/>
                <w:sz w:val="21"/>
                <w:highlight w:val="none"/>
              </w:rPr>
            </w:pPr>
          </w:p>
        </w:tc>
      </w:tr>
      <w:tr w14:paraId="52FD1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5E6B0439">
            <w:pPr>
              <w:pStyle w:val="17"/>
              <w:spacing w:before="308"/>
              <w:ind w:left="390"/>
              <w:rPr>
                <w:color w:val="auto"/>
                <w:highlight w:val="none"/>
              </w:rPr>
            </w:pPr>
            <w:r>
              <w:rPr>
                <w:color w:val="auto"/>
                <w:highlight w:val="none"/>
              </w:rPr>
              <w:t>3</w:t>
            </w:r>
          </w:p>
        </w:tc>
        <w:tc>
          <w:tcPr>
            <w:tcW w:w="3163" w:type="dxa"/>
            <w:vAlign w:val="top"/>
          </w:tcPr>
          <w:p w14:paraId="5A5EB564">
            <w:pPr>
              <w:rPr>
                <w:rFonts w:ascii="Arial"/>
                <w:color w:val="auto"/>
                <w:sz w:val="21"/>
                <w:highlight w:val="none"/>
              </w:rPr>
            </w:pPr>
          </w:p>
        </w:tc>
        <w:tc>
          <w:tcPr>
            <w:tcW w:w="1259" w:type="dxa"/>
            <w:vAlign w:val="top"/>
          </w:tcPr>
          <w:p w14:paraId="01F66376">
            <w:pPr>
              <w:rPr>
                <w:rFonts w:ascii="Arial"/>
                <w:color w:val="auto"/>
                <w:sz w:val="21"/>
                <w:highlight w:val="none"/>
              </w:rPr>
            </w:pPr>
          </w:p>
        </w:tc>
        <w:tc>
          <w:tcPr>
            <w:tcW w:w="1545" w:type="dxa"/>
            <w:vAlign w:val="top"/>
          </w:tcPr>
          <w:p w14:paraId="6BC4DB6A">
            <w:pPr>
              <w:rPr>
                <w:rFonts w:ascii="Arial"/>
                <w:color w:val="auto"/>
                <w:sz w:val="21"/>
                <w:highlight w:val="none"/>
              </w:rPr>
            </w:pPr>
          </w:p>
        </w:tc>
        <w:tc>
          <w:tcPr>
            <w:tcW w:w="1409" w:type="dxa"/>
            <w:vAlign w:val="top"/>
          </w:tcPr>
          <w:p w14:paraId="18621C71">
            <w:pPr>
              <w:rPr>
                <w:rFonts w:ascii="Arial"/>
                <w:color w:val="auto"/>
                <w:sz w:val="21"/>
                <w:highlight w:val="none"/>
              </w:rPr>
            </w:pPr>
          </w:p>
        </w:tc>
        <w:tc>
          <w:tcPr>
            <w:tcW w:w="1297" w:type="dxa"/>
            <w:vAlign w:val="top"/>
          </w:tcPr>
          <w:p w14:paraId="23E94C8F">
            <w:pPr>
              <w:rPr>
                <w:rFonts w:ascii="Arial"/>
                <w:color w:val="auto"/>
                <w:sz w:val="21"/>
                <w:highlight w:val="none"/>
              </w:rPr>
            </w:pPr>
          </w:p>
        </w:tc>
      </w:tr>
      <w:tr w14:paraId="7D7B7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5C82F717">
            <w:pPr>
              <w:pStyle w:val="17"/>
              <w:spacing w:before="307" w:line="241" w:lineRule="auto"/>
              <w:ind w:left="385"/>
              <w:rPr>
                <w:color w:val="auto"/>
                <w:highlight w:val="none"/>
              </w:rPr>
            </w:pPr>
            <w:r>
              <w:rPr>
                <w:color w:val="auto"/>
                <w:highlight w:val="none"/>
              </w:rPr>
              <w:t>4</w:t>
            </w:r>
          </w:p>
        </w:tc>
        <w:tc>
          <w:tcPr>
            <w:tcW w:w="3163" w:type="dxa"/>
            <w:vAlign w:val="top"/>
          </w:tcPr>
          <w:p w14:paraId="5F17FFEB">
            <w:pPr>
              <w:rPr>
                <w:rFonts w:ascii="Arial"/>
                <w:color w:val="auto"/>
                <w:sz w:val="21"/>
                <w:highlight w:val="none"/>
              </w:rPr>
            </w:pPr>
          </w:p>
        </w:tc>
        <w:tc>
          <w:tcPr>
            <w:tcW w:w="1259" w:type="dxa"/>
            <w:vAlign w:val="top"/>
          </w:tcPr>
          <w:p w14:paraId="131CBAE3">
            <w:pPr>
              <w:rPr>
                <w:rFonts w:ascii="Arial"/>
                <w:color w:val="auto"/>
                <w:sz w:val="21"/>
                <w:highlight w:val="none"/>
              </w:rPr>
            </w:pPr>
          </w:p>
        </w:tc>
        <w:tc>
          <w:tcPr>
            <w:tcW w:w="1545" w:type="dxa"/>
            <w:vAlign w:val="top"/>
          </w:tcPr>
          <w:p w14:paraId="287BF61A">
            <w:pPr>
              <w:rPr>
                <w:rFonts w:ascii="Arial"/>
                <w:color w:val="auto"/>
                <w:sz w:val="21"/>
                <w:highlight w:val="none"/>
              </w:rPr>
            </w:pPr>
          </w:p>
        </w:tc>
        <w:tc>
          <w:tcPr>
            <w:tcW w:w="1409" w:type="dxa"/>
            <w:vAlign w:val="top"/>
          </w:tcPr>
          <w:p w14:paraId="01A7C089">
            <w:pPr>
              <w:rPr>
                <w:rFonts w:ascii="Arial"/>
                <w:color w:val="auto"/>
                <w:sz w:val="21"/>
                <w:highlight w:val="none"/>
              </w:rPr>
            </w:pPr>
          </w:p>
        </w:tc>
        <w:tc>
          <w:tcPr>
            <w:tcW w:w="1297" w:type="dxa"/>
            <w:vAlign w:val="top"/>
          </w:tcPr>
          <w:p w14:paraId="28821771">
            <w:pPr>
              <w:rPr>
                <w:rFonts w:ascii="Arial"/>
                <w:color w:val="auto"/>
                <w:sz w:val="21"/>
                <w:highlight w:val="none"/>
              </w:rPr>
            </w:pPr>
          </w:p>
        </w:tc>
      </w:tr>
      <w:tr w14:paraId="374EB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6159EEF1">
            <w:pPr>
              <w:pStyle w:val="17"/>
              <w:spacing w:before="309"/>
              <w:ind w:left="390"/>
              <w:rPr>
                <w:color w:val="auto"/>
                <w:highlight w:val="none"/>
              </w:rPr>
            </w:pPr>
            <w:r>
              <w:rPr>
                <w:color w:val="auto"/>
                <w:highlight w:val="none"/>
              </w:rPr>
              <w:t>5</w:t>
            </w:r>
          </w:p>
        </w:tc>
        <w:tc>
          <w:tcPr>
            <w:tcW w:w="3163" w:type="dxa"/>
            <w:vAlign w:val="top"/>
          </w:tcPr>
          <w:p w14:paraId="2E00C040">
            <w:pPr>
              <w:rPr>
                <w:rFonts w:ascii="Arial"/>
                <w:color w:val="auto"/>
                <w:sz w:val="21"/>
                <w:highlight w:val="none"/>
              </w:rPr>
            </w:pPr>
          </w:p>
        </w:tc>
        <w:tc>
          <w:tcPr>
            <w:tcW w:w="1259" w:type="dxa"/>
            <w:vAlign w:val="top"/>
          </w:tcPr>
          <w:p w14:paraId="0E1C24CB">
            <w:pPr>
              <w:rPr>
                <w:rFonts w:ascii="Arial"/>
                <w:color w:val="auto"/>
                <w:sz w:val="21"/>
                <w:highlight w:val="none"/>
              </w:rPr>
            </w:pPr>
          </w:p>
        </w:tc>
        <w:tc>
          <w:tcPr>
            <w:tcW w:w="1545" w:type="dxa"/>
            <w:vAlign w:val="top"/>
          </w:tcPr>
          <w:p w14:paraId="18FFC46F">
            <w:pPr>
              <w:rPr>
                <w:rFonts w:ascii="Arial"/>
                <w:color w:val="auto"/>
                <w:sz w:val="21"/>
                <w:highlight w:val="none"/>
              </w:rPr>
            </w:pPr>
          </w:p>
        </w:tc>
        <w:tc>
          <w:tcPr>
            <w:tcW w:w="1409" w:type="dxa"/>
            <w:vAlign w:val="top"/>
          </w:tcPr>
          <w:p w14:paraId="71484D14">
            <w:pPr>
              <w:rPr>
                <w:rFonts w:ascii="Arial"/>
                <w:color w:val="auto"/>
                <w:sz w:val="21"/>
                <w:highlight w:val="none"/>
              </w:rPr>
            </w:pPr>
          </w:p>
        </w:tc>
        <w:tc>
          <w:tcPr>
            <w:tcW w:w="1297" w:type="dxa"/>
            <w:vAlign w:val="top"/>
          </w:tcPr>
          <w:p w14:paraId="48E3CCA8">
            <w:pPr>
              <w:rPr>
                <w:rFonts w:ascii="Arial"/>
                <w:color w:val="auto"/>
                <w:sz w:val="21"/>
                <w:highlight w:val="none"/>
              </w:rPr>
            </w:pPr>
          </w:p>
        </w:tc>
      </w:tr>
      <w:tr w14:paraId="13FD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4BEBD782">
            <w:pPr>
              <w:pStyle w:val="17"/>
              <w:spacing w:before="308"/>
              <w:ind w:left="387"/>
              <w:rPr>
                <w:color w:val="auto"/>
                <w:highlight w:val="none"/>
              </w:rPr>
            </w:pPr>
            <w:r>
              <w:rPr>
                <w:color w:val="auto"/>
                <w:highlight w:val="none"/>
              </w:rPr>
              <w:t>6</w:t>
            </w:r>
          </w:p>
        </w:tc>
        <w:tc>
          <w:tcPr>
            <w:tcW w:w="3163" w:type="dxa"/>
            <w:vAlign w:val="top"/>
          </w:tcPr>
          <w:p w14:paraId="281DDE29">
            <w:pPr>
              <w:rPr>
                <w:rFonts w:ascii="Arial"/>
                <w:color w:val="auto"/>
                <w:sz w:val="21"/>
                <w:highlight w:val="none"/>
              </w:rPr>
            </w:pPr>
          </w:p>
        </w:tc>
        <w:tc>
          <w:tcPr>
            <w:tcW w:w="1259" w:type="dxa"/>
            <w:vAlign w:val="top"/>
          </w:tcPr>
          <w:p w14:paraId="19EF0C46">
            <w:pPr>
              <w:rPr>
                <w:rFonts w:ascii="Arial"/>
                <w:color w:val="auto"/>
                <w:sz w:val="21"/>
                <w:highlight w:val="none"/>
              </w:rPr>
            </w:pPr>
          </w:p>
        </w:tc>
        <w:tc>
          <w:tcPr>
            <w:tcW w:w="1545" w:type="dxa"/>
            <w:vAlign w:val="top"/>
          </w:tcPr>
          <w:p w14:paraId="265A45E5">
            <w:pPr>
              <w:rPr>
                <w:rFonts w:ascii="Arial"/>
                <w:color w:val="auto"/>
                <w:sz w:val="21"/>
                <w:highlight w:val="none"/>
              </w:rPr>
            </w:pPr>
          </w:p>
        </w:tc>
        <w:tc>
          <w:tcPr>
            <w:tcW w:w="1409" w:type="dxa"/>
            <w:vAlign w:val="top"/>
          </w:tcPr>
          <w:p w14:paraId="70E3598F">
            <w:pPr>
              <w:rPr>
                <w:rFonts w:ascii="Arial"/>
                <w:color w:val="auto"/>
                <w:sz w:val="21"/>
                <w:highlight w:val="none"/>
              </w:rPr>
            </w:pPr>
          </w:p>
        </w:tc>
        <w:tc>
          <w:tcPr>
            <w:tcW w:w="1297" w:type="dxa"/>
            <w:vAlign w:val="top"/>
          </w:tcPr>
          <w:p w14:paraId="424FFA4C">
            <w:pPr>
              <w:rPr>
                <w:rFonts w:ascii="Arial"/>
                <w:color w:val="auto"/>
                <w:sz w:val="21"/>
                <w:highlight w:val="none"/>
              </w:rPr>
            </w:pPr>
          </w:p>
        </w:tc>
      </w:tr>
      <w:tr w14:paraId="6B89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45B2DB85">
            <w:pPr>
              <w:rPr>
                <w:rFonts w:ascii="Arial"/>
                <w:color w:val="auto"/>
                <w:sz w:val="21"/>
                <w:highlight w:val="none"/>
              </w:rPr>
            </w:pPr>
          </w:p>
          <w:p w14:paraId="30975DD4">
            <w:pPr>
              <w:pStyle w:val="17"/>
              <w:spacing w:before="68"/>
              <w:ind w:left="391"/>
              <w:rPr>
                <w:color w:val="auto"/>
                <w:highlight w:val="none"/>
              </w:rPr>
            </w:pPr>
            <w:r>
              <w:rPr>
                <w:color w:val="auto"/>
                <w:highlight w:val="none"/>
              </w:rPr>
              <w:t>7</w:t>
            </w:r>
          </w:p>
        </w:tc>
        <w:tc>
          <w:tcPr>
            <w:tcW w:w="3163" w:type="dxa"/>
            <w:vAlign w:val="top"/>
          </w:tcPr>
          <w:p w14:paraId="6880628B">
            <w:pPr>
              <w:rPr>
                <w:rFonts w:ascii="Arial"/>
                <w:color w:val="auto"/>
                <w:sz w:val="21"/>
                <w:highlight w:val="none"/>
              </w:rPr>
            </w:pPr>
          </w:p>
        </w:tc>
        <w:tc>
          <w:tcPr>
            <w:tcW w:w="1259" w:type="dxa"/>
            <w:vAlign w:val="top"/>
          </w:tcPr>
          <w:p w14:paraId="390C563F">
            <w:pPr>
              <w:rPr>
                <w:rFonts w:ascii="Arial"/>
                <w:color w:val="auto"/>
                <w:sz w:val="21"/>
                <w:highlight w:val="none"/>
              </w:rPr>
            </w:pPr>
          </w:p>
        </w:tc>
        <w:tc>
          <w:tcPr>
            <w:tcW w:w="1545" w:type="dxa"/>
            <w:vAlign w:val="top"/>
          </w:tcPr>
          <w:p w14:paraId="1BC17333">
            <w:pPr>
              <w:rPr>
                <w:rFonts w:ascii="Arial"/>
                <w:color w:val="auto"/>
                <w:sz w:val="21"/>
                <w:highlight w:val="none"/>
              </w:rPr>
            </w:pPr>
          </w:p>
        </w:tc>
        <w:tc>
          <w:tcPr>
            <w:tcW w:w="1409" w:type="dxa"/>
            <w:vAlign w:val="top"/>
          </w:tcPr>
          <w:p w14:paraId="79DF41E2">
            <w:pPr>
              <w:rPr>
                <w:rFonts w:ascii="Arial"/>
                <w:color w:val="auto"/>
                <w:sz w:val="21"/>
                <w:highlight w:val="none"/>
              </w:rPr>
            </w:pPr>
          </w:p>
        </w:tc>
        <w:tc>
          <w:tcPr>
            <w:tcW w:w="1297" w:type="dxa"/>
            <w:vAlign w:val="top"/>
          </w:tcPr>
          <w:p w14:paraId="70E01C25">
            <w:pPr>
              <w:rPr>
                <w:rFonts w:ascii="Arial"/>
                <w:color w:val="auto"/>
                <w:sz w:val="21"/>
                <w:highlight w:val="none"/>
              </w:rPr>
            </w:pPr>
          </w:p>
        </w:tc>
      </w:tr>
      <w:tr w14:paraId="2A630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03FC7193">
            <w:pPr>
              <w:pStyle w:val="17"/>
              <w:spacing w:before="309"/>
              <w:ind w:left="386"/>
              <w:rPr>
                <w:color w:val="auto"/>
                <w:highlight w:val="none"/>
              </w:rPr>
            </w:pPr>
            <w:r>
              <w:rPr>
                <w:color w:val="auto"/>
                <w:highlight w:val="none"/>
              </w:rPr>
              <w:t>8</w:t>
            </w:r>
          </w:p>
        </w:tc>
        <w:tc>
          <w:tcPr>
            <w:tcW w:w="3163" w:type="dxa"/>
            <w:vAlign w:val="top"/>
          </w:tcPr>
          <w:p w14:paraId="30367143">
            <w:pPr>
              <w:rPr>
                <w:rFonts w:ascii="Arial"/>
                <w:color w:val="auto"/>
                <w:sz w:val="21"/>
                <w:highlight w:val="none"/>
              </w:rPr>
            </w:pPr>
          </w:p>
        </w:tc>
        <w:tc>
          <w:tcPr>
            <w:tcW w:w="1259" w:type="dxa"/>
            <w:vAlign w:val="top"/>
          </w:tcPr>
          <w:p w14:paraId="4F94FCC0">
            <w:pPr>
              <w:rPr>
                <w:rFonts w:ascii="Arial"/>
                <w:color w:val="auto"/>
                <w:sz w:val="21"/>
                <w:highlight w:val="none"/>
              </w:rPr>
            </w:pPr>
          </w:p>
        </w:tc>
        <w:tc>
          <w:tcPr>
            <w:tcW w:w="1545" w:type="dxa"/>
            <w:vAlign w:val="top"/>
          </w:tcPr>
          <w:p w14:paraId="501FF9CC">
            <w:pPr>
              <w:rPr>
                <w:rFonts w:ascii="Arial"/>
                <w:color w:val="auto"/>
                <w:sz w:val="21"/>
                <w:highlight w:val="none"/>
              </w:rPr>
            </w:pPr>
          </w:p>
        </w:tc>
        <w:tc>
          <w:tcPr>
            <w:tcW w:w="1409" w:type="dxa"/>
            <w:vAlign w:val="top"/>
          </w:tcPr>
          <w:p w14:paraId="734982B5">
            <w:pPr>
              <w:rPr>
                <w:rFonts w:ascii="Arial"/>
                <w:color w:val="auto"/>
                <w:sz w:val="21"/>
                <w:highlight w:val="none"/>
              </w:rPr>
            </w:pPr>
          </w:p>
        </w:tc>
        <w:tc>
          <w:tcPr>
            <w:tcW w:w="1297" w:type="dxa"/>
            <w:vAlign w:val="top"/>
          </w:tcPr>
          <w:p w14:paraId="7084DC6A">
            <w:pPr>
              <w:rPr>
                <w:rFonts w:ascii="Arial"/>
                <w:color w:val="auto"/>
                <w:sz w:val="21"/>
                <w:highlight w:val="none"/>
              </w:rPr>
            </w:pPr>
          </w:p>
        </w:tc>
      </w:tr>
      <w:tr w14:paraId="09A74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66" w:type="dxa"/>
            <w:vAlign w:val="top"/>
          </w:tcPr>
          <w:p w14:paraId="10CCF9B0">
            <w:pPr>
              <w:spacing w:line="395" w:lineRule="auto"/>
              <w:rPr>
                <w:rFonts w:ascii="Arial"/>
                <w:color w:val="auto"/>
                <w:sz w:val="21"/>
                <w:highlight w:val="none"/>
              </w:rPr>
            </w:pPr>
          </w:p>
          <w:p w14:paraId="31CBC6A8">
            <w:pPr>
              <w:pStyle w:val="17"/>
              <w:spacing w:before="68" w:line="87" w:lineRule="exact"/>
              <w:ind w:left="286"/>
              <w:rPr>
                <w:color w:val="auto"/>
                <w:highlight w:val="none"/>
              </w:rPr>
            </w:pPr>
            <w:r>
              <w:rPr>
                <w:color w:val="auto"/>
                <w:spacing w:val="-5"/>
                <w:position w:val="1"/>
                <w:highlight w:val="none"/>
              </w:rPr>
              <w:t>...</w:t>
            </w:r>
          </w:p>
        </w:tc>
        <w:tc>
          <w:tcPr>
            <w:tcW w:w="3163" w:type="dxa"/>
            <w:vAlign w:val="top"/>
          </w:tcPr>
          <w:p w14:paraId="2704B70D">
            <w:pPr>
              <w:rPr>
                <w:rFonts w:ascii="Arial"/>
                <w:color w:val="auto"/>
                <w:sz w:val="21"/>
                <w:highlight w:val="none"/>
              </w:rPr>
            </w:pPr>
          </w:p>
        </w:tc>
        <w:tc>
          <w:tcPr>
            <w:tcW w:w="1259" w:type="dxa"/>
            <w:vAlign w:val="top"/>
          </w:tcPr>
          <w:p w14:paraId="1F2882DB">
            <w:pPr>
              <w:rPr>
                <w:rFonts w:ascii="Arial"/>
                <w:color w:val="auto"/>
                <w:sz w:val="21"/>
                <w:highlight w:val="none"/>
              </w:rPr>
            </w:pPr>
          </w:p>
        </w:tc>
        <w:tc>
          <w:tcPr>
            <w:tcW w:w="1545" w:type="dxa"/>
            <w:vAlign w:val="top"/>
          </w:tcPr>
          <w:p w14:paraId="521E3B28">
            <w:pPr>
              <w:rPr>
                <w:rFonts w:ascii="Arial"/>
                <w:color w:val="auto"/>
                <w:sz w:val="21"/>
                <w:highlight w:val="none"/>
              </w:rPr>
            </w:pPr>
          </w:p>
        </w:tc>
        <w:tc>
          <w:tcPr>
            <w:tcW w:w="1409" w:type="dxa"/>
            <w:vAlign w:val="top"/>
          </w:tcPr>
          <w:p w14:paraId="0C160AD4">
            <w:pPr>
              <w:rPr>
                <w:rFonts w:ascii="Arial"/>
                <w:color w:val="auto"/>
                <w:sz w:val="21"/>
                <w:highlight w:val="none"/>
              </w:rPr>
            </w:pPr>
          </w:p>
        </w:tc>
        <w:tc>
          <w:tcPr>
            <w:tcW w:w="1297" w:type="dxa"/>
            <w:vAlign w:val="top"/>
          </w:tcPr>
          <w:p w14:paraId="01E5113F">
            <w:pPr>
              <w:rPr>
                <w:rFonts w:ascii="Arial"/>
                <w:color w:val="auto"/>
                <w:sz w:val="21"/>
                <w:highlight w:val="none"/>
              </w:rPr>
            </w:pPr>
          </w:p>
        </w:tc>
      </w:tr>
    </w:tbl>
    <w:p w14:paraId="0F185F68">
      <w:pPr>
        <w:spacing w:before="48" w:line="224" w:lineRule="auto"/>
        <w:ind w:left="142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注：</w:t>
      </w:r>
    </w:p>
    <w:p w14:paraId="3DC7FB1D">
      <w:pPr>
        <w:spacing w:before="57" w:line="218" w:lineRule="auto"/>
        <w:ind w:left="1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1、应如实填报信用评价等级使用情况。</w:t>
      </w:r>
    </w:p>
    <w:p w14:paraId="64CB96A4">
      <w:pPr>
        <w:spacing w:before="64" w:line="220" w:lineRule="auto"/>
        <w:ind w:left="1426"/>
        <w:rPr>
          <w:rFonts w:ascii="宋体" w:hAnsi="宋体" w:eastAsia="宋体" w:cs="宋体"/>
          <w:color w:val="auto"/>
          <w:sz w:val="21"/>
          <w:szCs w:val="21"/>
          <w:highlight w:val="none"/>
        </w:rPr>
        <w:sectPr>
          <w:headerReference r:id="rId208" w:type="default"/>
          <w:footerReference r:id="rId209" w:type="default"/>
          <w:pgSz w:w="11905" w:h="16840"/>
          <w:pgMar w:top="1182" w:right="0" w:bottom="1171" w:left="0" w:header="849" w:footer="937" w:gutter="0"/>
          <w:pgNumType w:fmt="decimal"/>
          <w:cols w:space="720" w:num="1"/>
        </w:sectPr>
      </w:pPr>
      <w:r>
        <w:rPr>
          <w:rFonts w:ascii="宋体" w:hAnsi="宋体" w:eastAsia="宋体" w:cs="宋体"/>
          <w:strike/>
          <w:dstrike w:val="0"/>
          <w:color w:val="auto"/>
          <w:spacing w:val="-2"/>
          <w:sz w:val="21"/>
          <w:szCs w:val="21"/>
          <w:highlight w:val="none"/>
        </w:rPr>
        <w:t>2、以联合体形式投标的，联合体各成员应分别填写。</w:t>
      </w:r>
    </w:p>
    <w:p w14:paraId="12037600">
      <w:pPr>
        <w:pStyle w:val="3"/>
        <w:spacing w:line="293" w:lineRule="auto"/>
        <w:rPr>
          <w:color w:val="auto"/>
          <w:highlight w:val="none"/>
        </w:rPr>
      </w:pPr>
    </w:p>
    <w:p w14:paraId="62EEE8F1">
      <w:pPr>
        <w:spacing w:before="88" w:line="241" w:lineRule="auto"/>
        <w:ind w:left="3508"/>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6"/>
          <w:sz w:val="27"/>
          <w:szCs w:val="27"/>
          <w:highlight w:val="none"/>
        </w:rPr>
        <w:t>八-2、投标人拟投入的关键设备承诺表</w:t>
      </w:r>
      <w:r>
        <w:rPr>
          <w:rFonts w:ascii="宋体" w:hAnsi="宋体" w:eastAsia="宋体" w:cs="宋体"/>
          <w:b/>
          <w:bCs/>
          <w:strike/>
          <w:dstrike w:val="0"/>
          <w:color w:val="auto"/>
          <w:spacing w:val="6"/>
          <w:position w:val="14"/>
          <w:sz w:val="13"/>
          <w:szCs w:val="13"/>
          <w:highlight w:val="none"/>
        </w:rPr>
        <w:t>①</w:t>
      </w:r>
    </w:p>
    <w:p w14:paraId="20F81A17">
      <w:pPr>
        <w:spacing w:before="37"/>
        <w:rPr>
          <w:strike/>
          <w:dstrike w:val="0"/>
          <w:color w:val="auto"/>
          <w:highlight w:val="none"/>
        </w:rPr>
      </w:pPr>
    </w:p>
    <w:tbl>
      <w:tblPr>
        <w:tblStyle w:val="16"/>
        <w:tblW w:w="9421" w:type="dxa"/>
        <w:tblInd w:w="1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321C8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054" w:type="dxa"/>
            <w:vAlign w:val="top"/>
          </w:tcPr>
          <w:p w14:paraId="7D8EC331">
            <w:pPr>
              <w:spacing w:line="395" w:lineRule="auto"/>
              <w:rPr>
                <w:rFonts w:ascii="Arial"/>
                <w:strike/>
                <w:dstrike w:val="0"/>
                <w:color w:val="auto"/>
                <w:sz w:val="21"/>
                <w:highlight w:val="none"/>
              </w:rPr>
            </w:pPr>
          </w:p>
          <w:p w14:paraId="297A80A6">
            <w:pPr>
              <w:pStyle w:val="17"/>
              <w:spacing w:before="68" w:line="221" w:lineRule="auto"/>
              <w:ind w:left="321"/>
              <w:rPr>
                <w:strike/>
                <w:dstrike w:val="0"/>
                <w:color w:val="auto"/>
                <w:highlight w:val="none"/>
              </w:rPr>
            </w:pPr>
            <w:r>
              <w:rPr>
                <w:strike/>
                <w:dstrike w:val="0"/>
                <w:color w:val="auto"/>
                <w:spacing w:val="-2"/>
                <w:highlight w:val="none"/>
              </w:rPr>
              <w:t>序号</w:t>
            </w:r>
          </w:p>
        </w:tc>
        <w:tc>
          <w:tcPr>
            <w:tcW w:w="1949" w:type="dxa"/>
            <w:vAlign w:val="top"/>
          </w:tcPr>
          <w:p w14:paraId="779829BB">
            <w:pPr>
              <w:spacing w:line="395" w:lineRule="auto"/>
              <w:rPr>
                <w:rFonts w:ascii="Arial"/>
                <w:strike/>
                <w:dstrike w:val="0"/>
                <w:color w:val="auto"/>
                <w:sz w:val="21"/>
                <w:highlight w:val="none"/>
              </w:rPr>
            </w:pPr>
          </w:p>
          <w:p w14:paraId="54B2A0A6">
            <w:pPr>
              <w:pStyle w:val="17"/>
              <w:spacing w:before="68" w:line="221" w:lineRule="auto"/>
              <w:ind w:left="561"/>
              <w:rPr>
                <w:strike/>
                <w:dstrike w:val="0"/>
                <w:color w:val="auto"/>
                <w:highlight w:val="none"/>
              </w:rPr>
            </w:pPr>
            <w:r>
              <w:rPr>
                <w:strike/>
                <w:dstrike w:val="0"/>
                <w:color w:val="auto"/>
                <w:spacing w:val="-3"/>
                <w:highlight w:val="none"/>
              </w:rPr>
              <w:t>设备名称</w:t>
            </w:r>
          </w:p>
        </w:tc>
        <w:tc>
          <w:tcPr>
            <w:tcW w:w="1390" w:type="dxa"/>
            <w:vAlign w:val="top"/>
          </w:tcPr>
          <w:p w14:paraId="61803521">
            <w:pPr>
              <w:spacing w:line="394" w:lineRule="auto"/>
              <w:rPr>
                <w:rFonts w:ascii="Arial"/>
                <w:strike/>
                <w:dstrike w:val="0"/>
                <w:color w:val="auto"/>
                <w:sz w:val="21"/>
                <w:highlight w:val="none"/>
              </w:rPr>
            </w:pPr>
          </w:p>
          <w:p w14:paraId="0FB82B76">
            <w:pPr>
              <w:pStyle w:val="17"/>
              <w:spacing w:before="69" w:line="220" w:lineRule="auto"/>
              <w:ind w:left="281"/>
              <w:rPr>
                <w:strike/>
                <w:dstrike w:val="0"/>
                <w:color w:val="auto"/>
                <w:highlight w:val="none"/>
              </w:rPr>
            </w:pPr>
            <w:r>
              <w:rPr>
                <w:strike/>
                <w:dstrike w:val="0"/>
                <w:color w:val="auto"/>
                <w:spacing w:val="-2"/>
                <w:highlight w:val="none"/>
              </w:rPr>
              <w:t>生产厂家</w:t>
            </w:r>
          </w:p>
        </w:tc>
        <w:tc>
          <w:tcPr>
            <w:tcW w:w="1259" w:type="dxa"/>
            <w:vAlign w:val="top"/>
          </w:tcPr>
          <w:p w14:paraId="475F7E05">
            <w:pPr>
              <w:rPr>
                <w:rFonts w:ascii="Arial"/>
                <w:strike/>
                <w:dstrike w:val="0"/>
                <w:color w:val="auto"/>
                <w:sz w:val="21"/>
                <w:highlight w:val="none"/>
              </w:rPr>
            </w:pPr>
          </w:p>
          <w:p w14:paraId="702484E2">
            <w:pPr>
              <w:pStyle w:val="17"/>
              <w:spacing w:before="68" w:line="281" w:lineRule="auto"/>
              <w:ind w:left="529" w:right="206" w:hanging="311"/>
              <w:rPr>
                <w:strike/>
                <w:dstrike w:val="0"/>
                <w:color w:val="auto"/>
                <w:highlight w:val="none"/>
              </w:rPr>
            </w:pPr>
            <w:r>
              <w:rPr>
                <w:strike/>
                <w:dstrike w:val="0"/>
                <w:color w:val="auto"/>
                <w:spacing w:val="-3"/>
                <w:highlight w:val="none"/>
              </w:rPr>
              <w:t>工厂所在</w:t>
            </w:r>
            <w:r>
              <w:rPr>
                <w:strike/>
                <w:dstrike w:val="0"/>
                <w:color w:val="auto"/>
                <w:highlight w:val="none"/>
              </w:rPr>
              <w:t>地</w:t>
            </w:r>
          </w:p>
        </w:tc>
        <w:tc>
          <w:tcPr>
            <w:tcW w:w="1305" w:type="dxa"/>
            <w:vAlign w:val="top"/>
          </w:tcPr>
          <w:p w14:paraId="08ECC0FD">
            <w:pPr>
              <w:spacing w:line="394" w:lineRule="auto"/>
              <w:rPr>
                <w:rFonts w:ascii="Arial"/>
                <w:strike/>
                <w:dstrike w:val="0"/>
                <w:color w:val="auto"/>
                <w:sz w:val="21"/>
                <w:highlight w:val="none"/>
              </w:rPr>
            </w:pPr>
          </w:p>
          <w:p w14:paraId="1EA2F5BD">
            <w:pPr>
              <w:pStyle w:val="17"/>
              <w:spacing w:before="69" w:line="220" w:lineRule="auto"/>
              <w:ind w:left="465"/>
              <w:rPr>
                <w:strike/>
                <w:dstrike w:val="0"/>
                <w:color w:val="auto"/>
                <w:highlight w:val="none"/>
              </w:rPr>
            </w:pPr>
            <w:r>
              <w:rPr>
                <w:strike/>
                <w:dstrike w:val="0"/>
                <w:color w:val="auto"/>
                <w:spacing w:val="-7"/>
                <w:highlight w:val="none"/>
              </w:rPr>
              <w:t>品牌</w:t>
            </w:r>
          </w:p>
        </w:tc>
        <w:tc>
          <w:tcPr>
            <w:tcW w:w="1244" w:type="dxa"/>
            <w:vAlign w:val="top"/>
          </w:tcPr>
          <w:p w14:paraId="1B0DC3A6">
            <w:pPr>
              <w:spacing w:line="394" w:lineRule="auto"/>
              <w:rPr>
                <w:rFonts w:ascii="Arial"/>
                <w:strike/>
                <w:dstrike w:val="0"/>
                <w:color w:val="auto"/>
                <w:sz w:val="21"/>
                <w:highlight w:val="none"/>
              </w:rPr>
            </w:pPr>
          </w:p>
          <w:p w14:paraId="6D2BD486">
            <w:pPr>
              <w:pStyle w:val="17"/>
              <w:spacing w:before="69" w:line="220" w:lineRule="auto"/>
              <w:ind w:left="208"/>
              <w:rPr>
                <w:strike/>
                <w:dstrike w:val="0"/>
                <w:color w:val="auto"/>
                <w:highlight w:val="none"/>
              </w:rPr>
            </w:pPr>
            <w:r>
              <w:rPr>
                <w:strike/>
                <w:dstrike w:val="0"/>
                <w:color w:val="auto"/>
                <w:spacing w:val="-2"/>
                <w:highlight w:val="none"/>
              </w:rPr>
              <w:t>权重系数</w:t>
            </w:r>
          </w:p>
        </w:tc>
        <w:tc>
          <w:tcPr>
            <w:tcW w:w="1220" w:type="dxa"/>
            <w:vAlign w:val="top"/>
          </w:tcPr>
          <w:p w14:paraId="60199D16">
            <w:pPr>
              <w:spacing w:line="395" w:lineRule="auto"/>
              <w:rPr>
                <w:rFonts w:ascii="Arial"/>
                <w:strike/>
                <w:dstrike w:val="0"/>
                <w:color w:val="auto"/>
                <w:sz w:val="21"/>
                <w:highlight w:val="none"/>
              </w:rPr>
            </w:pPr>
          </w:p>
          <w:p w14:paraId="73B6FA29">
            <w:pPr>
              <w:pStyle w:val="17"/>
              <w:spacing w:before="68" w:line="221" w:lineRule="auto"/>
              <w:ind w:left="407"/>
              <w:rPr>
                <w:strike/>
                <w:dstrike w:val="0"/>
                <w:color w:val="auto"/>
                <w:highlight w:val="none"/>
              </w:rPr>
            </w:pPr>
            <w:r>
              <w:rPr>
                <w:strike/>
                <w:dstrike w:val="0"/>
                <w:color w:val="auto"/>
                <w:spacing w:val="-3"/>
                <w:highlight w:val="none"/>
              </w:rPr>
              <w:t>备注</w:t>
            </w:r>
          </w:p>
        </w:tc>
      </w:tr>
      <w:tr w14:paraId="560A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421" w:type="dxa"/>
            <w:gridSpan w:val="7"/>
            <w:vAlign w:val="top"/>
          </w:tcPr>
          <w:p w14:paraId="13FFB011">
            <w:pPr>
              <w:pStyle w:val="17"/>
              <w:spacing w:before="305" w:line="220" w:lineRule="auto"/>
              <w:ind w:left="4302"/>
              <w:rPr>
                <w:strike/>
                <w:dstrike w:val="0"/>
                <w:color w:val="auto"/>
                <w:highlight w:val="none"/>
              </w:rPr>
            </w:pPr>
            <w:r>
              <w:rPr>
                <w:strike/>
                <w:dstrike w:val="0"/>
                <w:color w:val="auto"/>
                <w:spacing w:val="-3"/>
                <w:highlight w:val="none"/>
              </w:rPr>
              <w:t>收费系统</w:t>
            </w:r>
          </w:p>
        </w:tc>
      </w:tr>
      <w:tr w14:paraId="0A651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6C127B7B">
            <w:pPr>
              <w:pStyle w:val="17"/>
              <w:spacing w:before="305" w:line="241" w:lineRule="auto"/>
              <w:ind w:left="495"/>
              <w:rPr>
                <w:strike/>
                <w:dstrike w:val="0"/>
                <w:color w:val="auto"/>
                <w:highlight w:val="none"/>
              </w:rPr>
            </w:pPr>
            <w:r>
              <w:rPr>
                <w:strike/>
                <w:dstrike w:val="0"/>
                <w:color w:val="auto"/>
                <w:highlight w:val="none"/>
              </w:rPr>
              <w:t>1</w:t>
            </w:r>
          </w:p>
        </w:tc>
        <w:tc>
          <w:tcPr>
            <w:tcW w:w="1949" w:type="dxa"/>
            <w:vAlign w:val="top"/>
          </w:tcPr>
          <w:p w14:paraId="2CD00795">
            <w:pPr>
              <w:pStyle w:val="17"/>
              <w:spacing w:before="305" w:line="219" w:lineRule="auto"/>
              <w:ind w:left="455"/>
              <w:rPr>
                <w:strike/>
                <w:dstrike w:val="0"/>
                <w:color w:val="auto"/>
                <w:highlight w:val="none"/>
              </w:rPr>
            </w:pPr>
            <w:r>
              <w:rPr>
                <w:strike/>
                <w:dstrike w:val="0"/>
                <w:color w:val="auto"/>
                <w:spacing w:val="-2"/>
                <w:highlight w:val="none"/>
              </w:rPr>
              <w:t>车道工控机</w:t>
            </w:r>
          </w:p>
        </w:tc>
        <w:tc>
          <w:tcPr>
            <w:tcW w:w="1390" w:type="dxa"/>
            <w:vAlign w:val="top"/>
          </w:tcPr>
          <w:p w14:paraId="2D9A7987">
            <w:pPr>
              <w:rPr>
                <w:rFonts w:ascii="Arial"/>
                <w:strike/>
                <w:dstrike w:val="0"/>
                <w:color w:val="auto"/>
                <w:sz w:val="21"/>
                <w:highlight w:val="none"/>
              </w:rPr>
            </w:pPr>
          </w:p>
        </w:tc>
        <w:tc>
          <w:tcPr>
            <w:tcW w:w="1259" w:type="dxa"/>
            <w:vAlign w:val="top"/>
          </w:tcPr>
          <w:p w14:paraId="1E0E9C35">
            <w:pPr>
              <w:rPr>
                <w:rFonts w:ascii="Arial"/>
                <w:strike/>
                <w:dstrike w:val="0"/>
                <w:color w:val="auto"/>
                <w:sz w:val="21"/>
                <w:highlight w:val="none"/>
              </w:rPr>
            </w:pPr>
          </w:p>
        </w:tc>
        <w:tc>
          <w:tcPr>
            <w:tcW w:w="1305" w:type="dxa"/>
            <w:vAlign w:val="top"/>
          </w:tcPr>
          <w:p w14:paraId="59618364">
            <w:pPr>
              <w:rPr>
                <w:rFonts w:ascii="Arial"/>
                <w:strike/>
                <w:dstrike w:val="0"/>
                <w:color w:val="auto"/>
                <w:sz w:val="21"/>
                <w:highlight w:val="none"/>
              </w:rPr>
            </w:pPr>
          </w:p>
        </w:tc>
        <w:tc>
          <w:tcPr>
            <w:tcW w:w="1244" w:type="dxa"/>
            <w:vAlign w:val="top"/>
          </w:tcPr>
          <w:p w14:paraId="6B37E128">
            <w:pPr>
              <w:rPr>
                <w:rFonts w:ascii="Arial"/>
                <w:strike/>
                <w:dstrike w:val="0"/>
                <w:color w:val="auto"/>
                <w:sz w:val="21"/>
                <w:highlight w:val="none"/>
              </w:rPr>
            </w:pPr>
          </w:p>
        </w:tc>
        <w:tc>
          <w:tcPr>
            <w:tcW w:w="1220" w:type="dxa"/>
            <w:vAlign w:val="top"/>
          </w:tcPr>
          <w:p w14:paraId="112C34BD">
            <w:pPr>
              <w:rPr>
                <w:rFonts w:ascii="Arial"/>
                <w:strike/>
                <w:dstrike w:val="0"/>
                <w:color w:val="auto"/>
                <w:sz w:val="21"/>
                <w:highlight w:val="none"/>
              </w:rPr>
            </w:pPr>
          </w:p>
        </w:tc>
      </w:tr>
      <w:tr w14:paraId="7C19D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548FBA79">
            <w:pPr>
              <w:pStyle w:val="17"/>
              <w:spacing w:before="307" w:line="241" w:lineRule="auto"/>
              <w:ind w:left="482"/>
              <w:rPr>
                <w:strike/>
                <w:dstrike w:val="0"/>
                <w:color w:val="auto"/>
                <w:highlight w:val="none"/>
              </w:rPr>
            </w:pPr>
            <w:r>
              <w:rPr>
                <w:strike/>
                <w:dstrike w:val="0"/>
                <w:color w:val="auto"/>
                <w:highlight w:val="none"/>
              </w:rPr>
              <w:t>2</w:t>
            </w:r>
          </w:p>
        </w:tc>
        <w:tc>
          <w:tcPr>
            <w:tcW w:w="1949" w:type="dxa"/>
            <w:vAlign w:val="top"/>
          </w:tcPr>
          <w:p w14:paraId="25269BA9">
            <w:pPr>
              <w:pStyle w:val="17"/>
              <w:spacing w:before="306" w:line="220" w:lineRule="auto"/>
              <w:ind w:left="350"/>
              <w:rPr>
                <w:strike/>
                <w:dstrike w:val="0"/>
                <w:color w:val="auto"/>
                <w:highlight w:val="none"/>
              </w:rPr>
            </w:pPr>
            <w:r>
              <w:rPr>
                <w:strike/>
                <w:dstrike w:val="0"/>
                <w:color w:val="auto"/>
                <w:spacing w:val="-5"/>
                <w:highlight w:val="none"/>
              </w:rPr>
              <w:t>车道</w:t>
            </w:r>
            <w:r>
              <w:rPr>
                <w:strike/>
                <w:dstrike w:val="0"/>
                <w:color w:val="auto"/>
                <w:spacing w:val="-42"/>
                <w:highlight w:val="none"/>
              </w:rPr>
              <w:t xml:space="preserve"> </w:t>
            </w:r>
            <w:r>
              <w:rPr>
                <w:strike/>
                <w:dstrike w:val="0"/>
                <w:color w:val="auto"/>
                <w:spacing w:val="-5"/>
                <w:highlight w:val="none"/>
              </w:rPr>
              <w:t>RSU</w:t>
            </w:r>
            <w:r>
              <w:rPr>
                <w:strike/>
                <w:dstrike w:val="0"/>
                <w:color w:val="auto"/>
                <w:spacing w:val="-39"/>
                <w:highlight w:val="none"/>
              </w:rPr>
              <w:t xml:space="preserve"> </w:t>
            </w:r>
            <w:r>
              <w:rPr>
                <w:strike/>
                <w:dstrike w:val="0"/>
                <w:color w:val="auto"/>
                <w:spacing w:val="-5"/>
                <w:highlight w:val="none"/>
              </w:rPr>
              <w:t>天线</w:t>
            </w:r>
          </w:p>
        </w:tc>
        <w:tc>
          <w:tcPr>
            <w:tcW w:w="1390" w:type="dxa"/>
            <w:vAlign w:val="top"/>
          </w:tcPr>
          <w:p w14:paraId="12EBC62E">
            <w:pPr>
              <w:rPr>
                <w:rFonts w:ascii="Arial"/>
                <w:strike/>
                <w:dstrike w:val="0"/>
                <w:color w:val="auto"/>
                <w:sz w:val="21"/>
                <w:highlight w:val="none"/>
              </w:rPr>
            </w:pPr>
          </w:p>
        </w:tc>
        <w:tc>
          <w:tcPr>
            <w:tcW w:w="1259" w:type="dxa"/>
            <w:vAlign w:val="top"/>
          </w:tcPr>
          <w:p w14:paraId="6F82B769">
            <w:pPr>
              <w:rPr>
                <w:rFonts w:ascii="Arial"/>
                <w:strike/>
                <w:dstrike w:val="0"/>
                <w:color w:val="auto"/>
                <w:sz w:val="21"/>
                <w:highlight w:val="none"/>
              </w:rPr>
            </w:pPr>
          </w:p>
        </w:tc>
        <w:tc>
          <w:tcPr>
            <w:tcW w:w="1305" w:type="dxa"/>
            <w:vAlign w:val="top"/>
          </w:tcPr>
          <w:p w14:paraId="1AC098A9">
            <w:pPr>
              <w:rPr>
                <w:rFonts w:ascii="Arial"/>
                <w:strike/>
                <w:dstrike w:val="0"/>
                <w:color w:val="auto"/>
                <w:sz w:val="21"/>
                <w:highlight w:val="none"/>
              </w:rPr>
            </w:pPr>
          </w:p>
        </w:tc>
        <w:tc>
          <w:tcPr>
            <w:tcW w:w="1244" w:type="dxa"/>
            <w:vAlign w:val="top"/>
          </w:tcPr>
          <w:p w14:paraId="170511BF">
            <w:pPr>
              <w:rPr>
                <w:rFonts w:ascii="Arial"/>
                <w:strike/>
                <w:dstrike w:val="0"/>
                <w:color w:val="auto"/>
                <w:sz w:val="21"/>
                <w:highlight w:val="none"/>
              </w:rPr>
            </w:pPr>
          </w:p>
        </w:tc>
        <w:tc>
          <w:tcPr>
            <w:tcW w:w="1220" w:type="dxa"/>
            <w:vAlign w:val="top"/>
          </w:tcPr>
          <w:p w14:paraId="3AF02D38">
            <w:pPr>
              <w:rPr>
                <w:rFonts w:ascii="Arial"/>
                <w:strike/>
                <w:dstrike w:val="0"/>
                <w:color w:val="auto"/>
                <w:sz w:val="21"/>
                <w:highlight w:val="none"/>
              </w:rPr>
            </w:pPr>
          </w:p>
        </w:tc>
      </w:tr>
      <w:tr w14:paraId="56DE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31F6639E">
            <w:pPr>
              <w:pStyle w:val="17"/>
              <w:spacing w:before="306"/>
              <w:ind w:left="483"/>
              <w:rPr>
                <w:strike/>
                <w:dstrike w:val="0"/>
                <w:color w:val="auto"/>
                <w:highlight w:val="none"/>
              </w:rPr>
            </w:pPr>
            <w:r>
              <w:rPr>
                <w:strike/>
                <w:dstrike w:val="0"/>
                <w:color w:val="auto"/>
                <w:highlight w:val="none"/>
              </w:rPr>
              <w:t>3</w:t>
            </w:r>
          </w:p>
        </w:tc>
        <w:tc>
          <w:tcPr>
            <w:tcW w:w="1949" w:type="dxa"/>
            <w:vAlign w:val="top"/>
          </w:tcPr>
          <w:p w14:paraId="69F37E6A">
            <w:pPr>
              <w:pStyle w:val="17"/>
              <w:spacing w:before="307" w:line="220" w:lineRule="auto"/>
              <w:ind w:left="372"/>
              <w:rPr>
                <w:strike/>
                <w:dstrike w:val="0"/>
                <w:color w:val="auto"/>
                <w:highlight w:val="none"/>
              </w:rPr>
            </w:pPr>
            <w:r>
              <w:rPr>
                <w:strike/>
                <w:dstrike w:val="0"/>
                <w:color w:val="auto"/>
                <w:spacing w:val="-5"/>
                <w:highlight w:val="none"/>
              </w:rPr>
              <w:t>ETC</w:t>
            </w:r>
            <w:r>
              <w:rPr>
                <w:strike/>
                <w:dstrike w:val="0"/>
                <w:color w:val="auto"/>
                <w:spacing w:val="-17"/>
                <w:highlight w:val="none"/>
              </w:rPr>
              <w:t xml:space="preserve"> </w:t>
            </w:r>
            <w:r>
              <w:rPr>
                <w:strike/>
                <w:dstrike w:val="0"/>
                <w:color w:val="auto"/>
                <w:spacing w:val="-5"/>
                <w:highlight w:val="none"/>
              </w:rPr>
              <w:t>门架系统</w:t>
            </w:r>
          </w:p>
        </w:tc>
        <w:tc>
          <w:tcPr>
            <w:tcW w:w="1390" w:type="dxa"/>
            <w:vAlign w:val="top"/>
          </w:tcPr>
          <w:p w14:paraId="1038138A">
            <w:pPr>
              <w:rPr>
                <w:rFonts w:ascii="Arial"/>
                <w:strike/>
                <w:dstrike w:val="0"/>
                <w:color w:val="auto"/>
                <w:sz w:val="21"/>
                <w:highlight w:val="none"/>
              </w:rPr>
            </w:pPr>
          </w:p>
        </w:tc>
        <w:tc>
          <w:tcPr>
            <w:tcW w:w="1259" w:type="dxa"/>
            <w:vAlign w:val="top"/>
          </w:tcPr>
          <w:p w14:paraId="4484A49D">
            <w:pPr>
              <w:rPr>
                <w:rFonts w:ascii="Arial"/>
                <w:strike/>
                <w:dstrike w:val="0"/>
                <w:color w:val="auto"/>
                <w:sz w:val="21"/>
                <w:highlight w:val="none"/>
              </w:rPr>
            </w:pPr>
          </w:p>
        </w:tc>
        <w:tc>
          <w:tcPr>
            <w:tcW w:w="1305" w:type="dxa"/>
            <w:vAlign w:val="top"/>
          </w:tcPr>
          <w:p w14:paraId="37863BE1">
            <w:pPr>
              <w:rPr>
                <w:rFonts w:ascii="Arial"/>
                <w:strike/>
                <w:dstrike w:val="0"/>
                <w:color w:val="auto"/>
                <w:sz w:val="21"/>
                <w:highlight w:val="none"/>
              </w:rPr>
            </w:pPr>
          </w:p>
        </w:tc>
        <w:tc>
          <w:tcPr>
            <w:tcW w:w="1244" w:type="dxa"/>
            <w:vAlign w:val="top"/>
          </w:tcPr>
          <w:p w14:paraId="086E1C3B">
            <w:pPr>
              <w:rPr>
                <w:rFonts w:ascii="Arial"/>
                <w:strike/>
                <w:dstrike w:val="0"/>
                <w:color w:val="auto"/>
                <w:sz w:val="21"/>
                <w:highlight w:val="none"/>
              </w:rPr>
            </w:pPr>
          </w:p>
        </w:tc>
        <w:tc>
          <w:tcPr>
            <w:tcW w:w="1220" w:type="dxa"/>
            <w:vAlign w:val="top"/>
          </w:tcPr>
          <w:p w14:paraId="52B32257">
            <w:pPr>
              <w:rPr>
                <w:rFonts w:ascii="Arial"/>
                <w:strike/>
                <w:dstrike w:val="0"/>
                <w:color w:val="auto"/>
                <w:sz w:val="21"/>
                <w:highlight w:val="none"/>
              </w:rPr>
            </w:pPr>
          </w:p>
        </w:tc>
      </w:tr>
      <w:tr w14:paraId="19B9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49184337">
            <w:pPr>
              <w:pStyle w:val="17"/>
              <w:spacing w:before="308" w:line="241" w:lineRule="auto"/>
              <w:ind w:left="478"/>
              <w:rPr>
                <w:strike/>
                <w:dstrike w:val="0"/>
                <w:color w:val="auto"/>
                <w:highlight w:val="none"/>
              </w:rPr>
            </w:pPr>
            <w:r>
              <w:rPr>
                <w:strike/>
                <w:dstrike w:val="0"/>
                <w:color w:val="auto"/>
                <w:highlight w:val="none"/>
              </w:rPr>
              <w:t>4</w:t>
            </w:r>
          </w:p>
        </w:tc>
        <w:tc>
          <w:tcPr>
            <w:tcW w:w="1949" w:type="dxa"/>
            <w:vAlign w:val="top"/>
          </w:tcPr>
          <w:p w14:paraId="5973283A">
            <w:pPr>
              <w:pStyle w:val="17"/>
              <w:spacing w:before="308" w:line="221" w:lineRule="auto"/>
              <w:ind w:left="558"/>
              <w:rPr>
                <w:strike/>
                <w:dstrike w:val="0"/>
                <w:color w:val="auto"/>
                <w:highlight w:val="none"/>
              </w:rPr>
            </w:pPr>
            <w:r>
              <w:rPr>
                <w:strike/>
                <w:dstrike w:val="0"/>
                <w:color w:val="auto"/>
                <w:spacing w:val="-2"/>
                <w:highlight w:val="none"/>
              </w:rPr>
              <w:t>计重设备</w:t>
            </w:r>
          </w:p>
        </w:tc>
        <w:tc>
          <w:tcPr>
            <w:tcW w:w="1390" w:type="dxa"/>
            <w:vAlign w:val="top"/>
          </w:tcPr>
          <w:p w14:paraId="6C82E92B">
            <w:pPr>
              <w:rPr>
                <w:rFonts w:ascii="Arial"/>
                <w:strike/>
                <w:dstrike w:val="0"/>
                <w:color w:val="auto"/>
                <w:sz w:val="21"/>
                <w:highlight w:val="none"/>
              </w:rPr>
            </w:pPr>
          </w:p>
        </w:tc>
        <w:tc>
          <w:tcPr>
            <w:tcW w:w="1259" w:type="dxa"/>
            <w:vAlign w:val="top"/>
          </w:tcPr>
          <w:p w14:paraId="60ABEE51">
            <w:pPr>
              <w:rPr>
                <w:rFonts w:ascii="Arial"/>
                <w:strike/>
                <w:dstrike w:val="0"/>
                <w:color w:val="auto"/>
                <w:sz w:val="21"/>
                <w:highlight w:val="none"/>
              </w:rPr>
            </w:pPr>
          </w:p>
        </w:tc>
        <w:tc>
          <w:tcPr>
            <w:tcW w:w="1305" w:type="dxa"/>
            <w:vAlign w:val="top"/>
          </w:tcPr>
          <w:p w14:paraId="796A7A84">
            <w:pPr>
              <w:rPr>
                <w:rFonts w:ascii="Arial"/>
                <w:strike/>
                <w:dstrike w:val="0"/>
                <w:color w:val="auto"/>
                <w:sz w:val="21"/>
                <w:highlight w:val="none"/>
              </w:rPr>
            </w:pPr>
          </w:p>
        </w:tc>
        <w:tc>
          <w:tcPr>
            <w:tcW w:w="1244" w:type="dxa"/>
            <w:vAlign w:val="top"/>
          </w:tcPr>
          <w:p w14:paraId="456C6AB7">
            <w:pPr>
              <w:rPr>
                <w:rFonts w:ascii="Arial"/>
                <w:strike/>
                <w:dstrike w:val="0"/>
                <w:color w:val="auto"/>
                <w:sz w:val="21"/>
                <w:highlight w:val="none"/>
              </w:rPr>
            </w:pPr>
          </w:p>
        </w:tc>
        <w:tc>
          <w:tcPr>
            <w:tcW w:w="1220" w:type="dxa"/>
            <w:vAlign w:val="top"/>
          </w:tcPr>
          <w:p w14:paraId="7C0EEC59">
            <w:pPr>
              <w:rPr>
                <w:rFonts w:ascii="Arial"/>
                <w:strike/>
                <w:dstrike w:val="0"/>
                <w:color w:val="auto"/>
                <w:sz w:val="21"/>
                <w:highlight w:val="none"/>
              </w:rPr>
            </w:pPr>
          </w:p>
        </w:tc>
      </w:tr>
      <w:tr w14:paraId="18D0F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50663B98">
            <w:pPr>
              <w:pStyle w:val="17"/>
              <w:spacing w:before="307"/>
              <w:ind w:left="483"/>
              <w:rPr>
                <w:strike/>
                <w:dstrike w:val="0"/>
                <w:color w:val="auto"/>
                <w:highlight w:val="none"/>
              </w:rPr>
            </w:pPr>
            <w:r>
              <w:rPr>
                <w:strike/>
                <w:dstrike w:val="0"/>
                <w:color w:val="auto"/>
                <w:highlight w:val="none"/>
              </w:rPr>
              <w:t>5</w:t>
            </w:r>
          </w:p>
        </w:tc>
        <w:tc>
          <w:tcPr>
            <w:tcW w:w="1949" w:type="dxa"/>
            <w:vAlign w:val="top"/>
          </w:tcPr>
          <w:p w14:paraId="51074820">
            <w:pPr>
              <w:pStyle w:val="17"/>
              <w:spacing w:before="307" w:line="219" w:lineRule="auto"/>
              <w:ind w:left="455"/>
              <w:rPr>
                <w:strike/>
                <w:dstrike w:val="0"/>
                <w:color w:val="auto"/>
                <w:highlight w:val="none"/>
              </w:rPr>
            </w:pPr>
            <w:r>
              <w:rPr>
                <w:strike/>
                <w:dstrike w:val="0"/>
                <w:color w:val="auto"/>
                <w:spacing w:val="-2"/>
                <w:highlight w:val="none"/>
              </w:rPr>
              <w:t>车道摄像机</w:t>
            </w:r>
          </w:p>
        </w:tc>
        <w:tc>
          <w:tcPr>
            <w:tcW w:w="1390" w:type="dxa"/>
            <w:vAlign w:val="top"/>
          </w:tcPr>
          <w:p w14:paraId="791B2AA3">
            <w:pPr>
              <w:rPr>
                <w:rFonts w:ascii="Arial"/>
                <w:strike/>
                <w:dstrike w:val="0"/>
                <w:color w:val="auto"/>
                <w:sz w:val="21"/>
                <w:highlight w:val="none"/>
              </w:rPr>
            </w:pPr>
          </w:p>
        </w:tc>
        <w:tc>
          <w:tcPr>
            <w:tcW w:w="1259" w:type="dxa"/>
            <w:vAlign w:val="top"/>
          </w:tcPr>
          <w:p w14:paraId="460EB5B3">
            <w:pPr>
              <w:rPr>
                <w:rFonts w:ascii="Arial"/>
                <w:strike/>
                <w:dstrike w:val="0"/>
                <w:color w:val="auto"/>
                <w:sz w:val="21"/>
                <w:highlight w:val="none"/>
              </w:rPr>
            </w:pPr>
          </w:p>
        </w:tc>
        <w:tc>
          <w:tcPr>
            <w:tcW w:w="1305" w:type="dxa"/>
            <w:vAlign w:val="top"/>
          </w:tcPr>
          <w:p w14:paraId="5C52AB45">
            <w:pPr>
              <w:rPr>
                <w:rFonts w:ascii="Arial"/>
                <w:strike/>
                <w:dstrike w:val="0"/>
                <w:color w:val="auto"/>
                <w:sz w:val="21"/>
                <w:highlight w:val="none"/>
              </w:rPr>
            </w:pPr>
          </w:p>
        </w:tc>
        <w:tc>
          <w:tcPr>
            <w:tcW w:w="1244" w:type="dxa"/>
            <w:vAlign w:val="top"/>
          </w:tcPr>
          <w:p w14:paraId="36E16785">
            <w:pPr>
              <w:rPr>
                <w:rFonts w:ascii="Arial"/>
                <w:strike/>
                <w:dstrike w:val="0"/>
                <w:color w:val="auto"/>
                <w:sz w:val="21"/>
                <w:highlight w:val="none"/>
              </w:rPr>
            </w:pPr>
          </w:p>
        </w:tc>
        <w:tc>
          <w:tcPr>
            <w:tcW w:w="1220" w:type="dxa"/>
            <w:vAlign w:val="top"/>
          </w:tcPr>
          <w:p w14:paraId="3C937FAE">
            <w:pPr>
              <w:rPr>
                <w:rFonts w:ascii="Arial"/>
                <w:strike/>
                <w:dstrike w:val="0"/>
                <w:color w:val="auto"/>
                <w:sz w:val="21"/>
                <w:highlight w:val="none"/>
              </w:rPr>
            </w:pPr>
          </w:p>
        </w:tc>
      </w:tr>
      <w:tr w14:paraId="68126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05FA8351">
            <w:pPr>
              <w:pStyle w:val="17"/>
              <w:spacing w:before="309"/>
              <w:ind w:left="481"/>
              <w:rPr>
                <w:strike/>
                <w:dstrike w:val="0"/>
                <w:color w:val="auto"/>
                <w:highlight w:val="none"/>
              </w:rPr>
            </w:pPr>
            <w:r>
              <w:rPr>
                <w:strike/>
                <w:dstrike w:val="0"/>
                <w:color w:val="auto"/>
                <w:highlight w:val="none"/>
              </w:rPr>
              <w:t>6</w:t>
            </w:r>
          </w:p>
        </w:tc>
        <w:tc>
          <w:tcPr>
            <w:tcW w:w="1949" w:type="dxa"/>
            <w:vAlign w:val="top"/>
          </w:tcPr>
          <w:p w14:paraId="2FE3CF00">
            <w:pPr>
              <w:pStyle w:val="17"/>
              <w:spacing w:before="309" w:line="220" w:lineRule="auto"/>
              <w:ind w:left="571"/>
              <w:rPr>
                <w:strike/>
                <w:dstrike w:val="0"/>
                <w:color w:val="auto"/>
                <w:highlight w:val="none"/>
              </w:rPr>
            </w:pPr>
            <w:r>
              <w:rPr>
                <w:strike/>
                <w:dstrike w:val="0"/>
                <w:color w:val="auto"/>
                <w:spacing w:val="-5"/>
                <w:highlight w:val="none"/>
              </w:rPr>
              <w:t>防雷设备</w:t>
            </w:r>
          </w:p>
        </w:tc>
        <w:tc>
          <w:tcPr>
            <w:tcW w:w="1390" w:type="dxa"/>
            <w:vAlign w:val="top"/>
          </w:tcPr>
          <w:p w14:paraId="1F58D29E">
            <w:pPr>
              <w:rPr>
                <w:rFonts w:ascii="Arial"/>
                <w:strike/>
                <w:dstrike w:val="0"/>
                <w:color w:val="auto"/>
                <w:sz w:val="21"/>
                <w:highlight w:val="none"/>
              </w:rPr>
            </w:pPr>
          </w:p>
        </w:tc>
        <w:tc>
          <w:tcPr>
            <w:tcW w:w="1259" w:type="dxa"/>
            <w:vAlign w:val="top"/>
          </w:tcPr>
          <w:p w14:paraId="66B206F5">
            <w:pPr>
              <w:rPr>
                <w:rFonts w:ascii="Arial"/>
                <w:strike/>
                <w:dstrike w:val="0"/>
                <w:color w:val="auto"/>
                <w:sz w:val="21"/>
                <w:highlight w:val="none"/>
              </w:rPr>
            </w:pPr>
          </w:p>
        </w:tc>
        <w:tc>
          <w:tcPr>
            <w:tcW w:w="1305" w:type="dxa"/>
            <w:vAlign w:val="top"/>
          </w:tcPr>
          <w:p w14:paraId="1EA43A46">
            <w:pPr>
              <w:rPr>
                <w:rFonts w:ascii="Arial"/>
                <w:strike/>
                <w:dstrike w:val="0"/>
                <w:color w:val="auto"/>
                <w:sz w:val="21"/>
                <w:highlight w:val="none"/>
              </w:rPr>
            </w:pPr>
          </w:p>
        </w:tc>
        <w:tc>
          <w:tcPr>
            <w:tcW w:w="1244" w:type="dxa"/>
            <w:vAlign w:val="top"/>
          </w:tcPr>
          <w:p w14:paraId="1E10E293">
            <w:pPr>
              <w:rPr>
                <w:rFonts w:ascii="Arial"/>
                <w:strike/>
                <w:dstrike w:val="0"/>
                <w:color w:val="auto"/>
                <w:sz w:val="21"/>
                <w:highlight w:val="none"/>
              </w:rPr>
            </w:pPr>
          </w:p>
        </w:tc>
        <w:tc>
          <w:tcPr>
            <w:tcW w:w="1220" w:type="dxa"/>
            <w:vAlign w:val="top"/>
          </w:tcPr>
          <w:p w14:paraId="5916F9DA">
            <w:pPr>
              <w:rPr>
                <w:rFonts w:ascii="Arial"/>
                <w:strike/>
                <w:dstrike w:val="0"/>
                <w:color w:val="auto"/>
                <w:sz w:val="21"/>
                <w:highlight w:val="none"/>
              </w:rPr>
            </w:pPr>
          </w:p>
        </w:tc>
      </w:tr>
      <w:tr w14:paraId="3A5CC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261C6F38">
            <w:pPr>
              <w:spacing w:line="392" w:lineRule="auto"/>
              <w:rPr>
                <w:rFonts w:ascii="Arial"/>
                <w:strike/>
                <w:dstrike w:val="0"/>
                <w:color w:val="auto"/>
                <w:sz w:val="21"/>
                <w:highlight w:val="none"/>
              </w:rPr>
            </w:pPr>
          </w:p>
          <w:p w14:paraId="2D375DA7">
            <w:pPr>
              <w:pStyle w:val="17"/>
              <w:spacing w:before="69" w:line="86"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77D31625">
            <w:pPr>
              <w:rPr>
                <w:rFonts w:ascii="Arial"/>
                <w:strike/>
                <w:dstrike w:val="0"/>
                <w:color w:val="auto"/>
                <w:sz w:val="21"/>
                <w:highlight w:val="none"/>
              </w:rPr>
            </w:pPr>
          </w:p>
        </w:tc>
        <w:tc>
          <w:tcPr>
            <w:tcW w:w="1390" w:type="dxa"/>
            <w:vAlign w:val="top"/>
          </w:tcPr>
          <w:p w14:paraId="4587B9CA">
            <w:pPr>
              <w:rPr>
                <w:rFonts w:ascii="Arial"/>
                <w:strike/>
                <w:dstrike w:val="0"/>
                <w:color w:val="auto"/>
                <w:sz w:val="21"/>
                <w:highlight w:val="none"/>
              </w:rPr>
            </w:pPr>
          </w:p>
        </w:tc>
        <w:tc>
          <w:tcPr>
            <w:tcW w:w="1259" w:type="dxa"/>
            <w:vAlign w:val="top"/>
          </w:tcPr>
          <w:p w14:paraId="3B6DAA49">
            <w:pPr>
              <w:rPr>
                <w:rFonts w:ascii="Arial"/>
                <w:strike/>
                <w:dstrike w:val="0"/>
                <w:color w:val="auto"/>
                <w:sz w:val="21"/>
                <w:highlight w:val="none"/>
              </w:rPr>
            </w:pPr>
          </w:p>
        </w:tc>
        <w:tc>
          <w:tcPr>
            <w:tcW w:w="1305" w:type="dxa"/>
            <w:vAlign w:val="top"/>
          </w:tcPr>
          <w:p w14:paraId="0AD0A1CD">
            <w:pPr>
              <w:rPr>
                <w:rFonts w:ascii="Arial"/>
                <w:strike/>
                <w:dstrike w:val="0"/>
                <w:color w:val="auto"/>
                <w:sz w:val="21"/>
                <w:highlight w:val="none"/>
              </w:rPr>
            </w:pPr>
          </w:p>
        </w:tc>
        <w:tc>
          <w:tcPr>
            <w:tcW w:w="1244" w:type="dxa"/>
            <w:vAlign w:val="top"/>
          </w:tcPr>
          <w:p w14:paraId="07917040">
            <w:pPr>
              <w:rPr>
                <w:rFonts w:ascii="Arial"/>
                <w:strike/>
                <w:dstrike w:val="0"/>
                <w:color w:val="auto"/>
                <w:sz w:val="21"/>
                <w:highlight w:val="none"/>
              </w:rPr>
            </w:pPr>
          </w:p>
        </w:tc>
        <w:tc>
          <w:tcPr>
            <w:tcW w:w="1220" w:type="dxa"/>
            <w:vAlign w:val="top"/>
          </w:tcPr>
          <w:p w14:paraId="39560E16">
            <w:pPr>
              <w:rPr>
                <w:rFonts w:ascii="Arial"/>
                <w:strike/>
                <w:dstrike w:val="0"/>
                <w:color w:val="auto"/>
                <w:sz w:val="21"/>
                <w:highlight w:val="none"/>
              </w:rPr>
            </w:pPr>
          </w:p>
        </w:tc>
      </w:tr>
      <w:tr w14:paraId="04436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421" w:type="dxa"/>
            <w:gridSpan w:val="7"/>
            <w:vAlign w:val="top"/>
          </w:tcPr>
          <w:p w14:paraId="706C6890">
            <w:pPr>
              <w:rPr>
                <w:rFonts w:ascii="Arial"/>
                <w:strike/>
                <w:dstrike w:val="0"/>
                <w:color w:val="auto"/>
                <w:sz w:val="21"/>
                <w:highlight w:val="none"/>
              </w:rPr>
            </w:pPr>
          </w:p>
          <w:p w14:paraId="1A8D39F3">
            <w:pPr>
              <w:pStyle w:val="17"/>
              <w:spacing w:before="69" w:line="220" w:lineRule="auto"/>
              <w:ind w:left="4296"/>
              <w:rPr>
                <w:strike/>
                <w:dstrike w:val="0"/>
                <w:color w:val="auto"/>
                <w:highlight w:val="none"/>
              </w:rPr>
            </w:pPr>
            <w:r>
              <w:rPr>
                <w:strike/>
                <w:dstrike w:val="0"/>
                <w:color w:val="auto"/>
                <w:spacing w:val="-2"/>
                <w:highlight w:val="none"/>
              </w:rPr>
              <w:t>监控系统</w:t>
            </w:r>
          </w:p>
        </w:tc>
      </w:tr>
      <w:tr w14:paraId="61E58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317040B0">
            <w:pPr>
              <w:rPr>
                <w:rFonts w:ascii="Arial"/>
                <w:strike/>
                <w:dstrike w:val="0"/>
                <w:color w:val="auto"/>
                <w:sz w:val="21"/>
                <w:highlight w:val="none"/>
              </w:rPr>
            </w:pPr>
          </w:p>
          <w:p w14:paraId="5316D84B">
            <w:pPr>
              <w:pStyle w:val="17"/>
              <w:spacing w:before="68" w:line="241" w:lineRule="auto"/>
              <w:ind w:left="495"/>
              <w:rPr>
                <w:strike/>
                <w:dstrike w:val="0"/>
                <w:color w:val="auto"/>
                <w:highlight w:val="none"/>
              </w:rPr>
            </w:pPr>
            <w:r>
              <w:rPr>
                <w:strike/>
                <w:dstrike w:val="0"/>
                <w:color w:val="auto"/>
                <w:highlight w:val="none"/>
              </w:rPr>
              <w:t>1</w:t>
            </w:r>
          </w:p>
        </w:tc>
        <w:tc>
          <w:tcPr>
            <w:tcW w:w="1949" w:type="dxa"/>
            <w:vAlign w:val="top"/>
          </w:tcPr>
          <w:p w14:paraId="66F99313">
            <w:pPr>
              <w:pStyle w:val="17"/>
              <w:spacing w:before="309" w:line="219" w:lineRule="auto"/>
              <w:ind w:left="454"/>
              <w:rPr>
                <w:strike/>
                <w:dstrike w:val="0"/>
                <w:color w:val="auto"/>
                <w:highlight w:val="none"/>
              </w:rPr>
            </w:pPr>
            <w:r>
              <w:rPr>
                <w:strike/>
                <w:dstrike w:val="0"/>
                <w:color w:val="auto"/>
                <w:spacing w:val="-2"/>
                <w:highlight w:val="none"/>
              </w:rPr>
              <w:t>监控摄像机</w:t>
            </w:r>
          </w:p>
        </w:tc>
        <w:tc>
          <w:tcPr>
            <w:tcW w:w="1390" w:type="dxa"/>
            <w:vAlign w:val="top"/>
          </w:tcPr>
          <w:p w14:paraId="0E1A29CB">
            <w:pPr>
              <w:rPr>
                <w:rFonts w:ascii="Arial"/>
                <w:strike/>
                <w:dstrike w:val="0"/>
                <w:color w:val="auto"/>
                <w:sz w:val="21"/>
                <w:highlight w:val="none"/>
              </w:rPr>
            </w:pPr>
          </w:p>
        </w:tc>
        <w:tc>
          <w:tcPr>
            <w:tcW w:w="1259" w:type="dxa"/>
            <w:vAlign w:val="top"/>
          </w:tcPr>
          <w:p w14:paraId="7E75DCD0">
            <w:pPr>
              <w:rPr>
                <w:rFonts w:ascii="Arial"/>
                <w:strike/>
                <w:dstrike w:val="0"/>
                <w:color w:val="auto"/>
                <w:sz w:val="21"/>
                <w:highlight w:val="none"/>
              </w:rPr>
            </w:pPr>
          </w:p>
        </w:tc>
        <w:tc>
          <w:tcPr>
            <w:tcW w:w="1305" w:type="dxa"/>
            <w:vAlign w:val="top"/>
          </w:tcPr>
          <w:p w14:paraId="16D75C53">
            <w:pPr>
              <w:rPr>
                <w:rFonts w:ascii="Arial"/>
                <w:strike/>
                <w:dstrike w:val="0"/>
                <w:color w:val="auto"/>
                <w:sz w:val="21"/>
                <w:highlight w:val="none"/>
              </w:rPr>
            </w:pPr>
          </w:p>
        </w:tc>
        <w:tc>
          <w:tcPr>
            <w:tcW w:w="1244" w:type="dxa"/>
            <w:vAlign w:val="top"/>
          </w:tcPr>
          <w:p w14:paraId="00A7354B">
            <w:pPr>
              <w:rPr>
                <w:rFonts w:ascii="Arial"/>
                <w:strike/>
                <w:dstrike w:val="0"/>
                <w:color w:val="auto"/>
                <w:sz w:val="21"/>
                <w:highlight w:val="none"/>
              </w:rPr>
            </w:pPr>
          </w:p>
        </w:tc>
        <w:tc>
          <w:tcPr>
            <w:tcW w:w="1220" w:type="dxa"/>
            <w:vAlign w:val="top"/>
          </w:tcPr>
          <w:p w14:paraId="1DF9739D">
            <w:pPr>
              <w:rPr>
                <w:rFonts w:ascii="Arial"/>
                <w:strike/>
                <w:dstrike w:val="0"/>
                <w:color w:val="auto"/>
                <w:sz w:val="21"/>
                <w:highlight w:val="none"/>
              </w:rPr>
            </w:pPr>
          </w:p>
        </w:tc>
      </w:tr>
      <w:tr w14:paraId="2C18F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7933B4A3">
            <w:pPr>
              <w:spacing w:line="241" w:lineRule="auto"/>
              <w:rPr>
                <w:rFonts w:ascii="Arial"/>
                <w:strike/>
                <w:dstrike w:val="0"/>
                <w:color w:val="auto"/>
                <w:sz w:val="21"/>
                <w:highlight w:val="none"/>
              </w:rPr>
            </w:pPr>
          </w:p>
          <w:p w14:paraId="394F5825">
            <w:pPr>
              <w:pStyle w:val="17"/>
              <w:spacing w:before="69" w:line="241" w:lineRule="auto"/>
              <w:ind w:left="482"/>
              <w:rPr>
                <w:strike/>
                <w:dstrike w:val="0"/>
                <w:color w:val="auto"/>
                <w:highlight w:val="none"/>
              </w:rPr>
            </w:pPr>
            <w:r>
              <w:rPr>
                <w:strike/>
                <w:dstrike w:val="0"/>
                <w:color w:val="auto"/>
                <w:highlight w:val="none"/>
              </w:rPr>
              <w:t>2</w:t>
            </w:r>
          </w:p>
        </w:tc>
        <w:tc>
          <w:tcPr>
            <w:tcW w:w="1949" w:type="dxa"/>
            <w:vAlign w:val="top"/>
          </w:tcPr>
          <w:p w14:paraId="5ADCA64C">
            <w:pPr>
              <w:spacing w:line="241" w:lineRule="auto"/>
              <w:rPr>
                <w:rFonts w:ascii="Arial"/>
                <w:strike/>
                <w:dstrike w:val="0"/>
                <w:color w:val="auto"/>
                <w:sz w:val="21"/>
                <w:highlight w:val="none"/>
              </w:rPr>
            </w:pPr>
          </w:p>
          <w:p w14:paraId="62DA0744">
            <w:pPr>
              <w:pStyle w:val="17"/>
              <w:spacing w:before="68" w:line="219" w:lineRule="auto"/>
              <w:ind w:left="455"/>
              <w:rPr>
                <w:strike/>
                <w:dstrike w:val="0"/>
                <w:color w:val="auto"/>
                <w:highlight w:val="none"/>
              </w:rPr>
            </w:pPr>
            <w:r>
              <w:rPr>
                <w:strike/>
                <w:dstrike w:val="0"/>
                <w:color w:val="auto"/>
                <w:spacing w:val="-2"/>
                <w:highlight w:val="none"/>
              </w:rPr>
              <w:t>可变情报板</w:t>
            </w:r>
          </w:p>
        </w:tc>
        <w:tc>
          <w:tcPr>
            <w:tcW w:w="1390" w:type="dxa"/>
            <w:vAlign w:val="top"/>
          </w:tcPr>
          <w:p w14:paraId="54FF17C8">
            <w:pPr>
              <w:rPr>
                <w:rFonts w:ascii="Arial"/>
                <w:strike/>
                <w:dstrike w:val="0"/>
                <w:color w:val="auto"/>
                <w:sz w:val="21"/>
                <w:highlight w:val="none"/>
              </w:rPr>
            </w:pPr>
          </w:p>
        </w:tc>
        <w:tc>
          <w:tcPr>
            <w:tcW w:w="1259" w:type="dxa"/>
            <w:vAlign w:val="top"/>
          </w:tcPr>
          <w:p w14:paraId="52CD62FB">
            <w:pPr>
              <w:rPr>
                <w:rFonts w:ascii="Arial"/>
                <w:strike/>
                <w:dstrike w:val="0"/>
                <w:color w:val="auto"/>
                <w:sz w:val="21"/>
                <w:highlight w:val="none"/>
              </w:rPr>
            </w:pPr>
          </w:p>
        </w:tc>
        <w:tc>
          <w:tcPr>
            <w:tcW w:w="1305" w:type="dxa"/>
            <w:vAlign w:val="top"/>
          </w:tcPr>
          <w:p w14:paraId="5F078D97">
            <w:pPr>
              <w:rPr>
                <w:rFonts w:ascii="Arial"/>
                <w:strike/>
                <w:dstrike w:val="0"/>
                <w:color w:val="auto"/>
                <w:sz w:val="21"/>
                <w:highlight w:val="none"/>
              </w:rPr>
            </w:pPr>
          </w:p>
        </w:tc>
        <w:tc>
          <w:tcPr>
            <w:tcW w:w="1244" w:type="dxa"/>
            <w:vAlign w:val="top"/>
          </w:tcPr>
          <w:p w14:paraId="287D31FB">
            <w:pPr>
              <w:rPr>
                <w:rFonts w:ascii="Arial"/>
                <w:strike/>
                <w:dstrike w:val="0"/>
                <w:color w:val="auto"/>
                <w:sz w:val="21"/>
                <w:highlight w:val="none"/>
              </w:rPr>
            </w:pPr>
          </w:p>
        </w:tc>
        <w:tc>
          <w:tcPr>
            <w:tcW w:w="1220" w:type="dxa"/>
            <w:vAlign w:val="top"/>
          </w:tcPr>
          <w:p w14:paraId="55CA1F88">
            <w:pPr>
              <w:rPr>
                <w:rFonts w:ascii="Arial"/>
                <w:strike/>
                <w:dstrike w:val="0"/>
                <w:color w:val="auto"/>
                <w:sz w:val="21"/>
                <w:highlight w:val="none"/>
              </w:rPr>
            </w:pPr>
          </w:p>
        </w:tc>
      </w:tr>
      <w:tr w14:paraId="1A3DE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529DE0B5">
            <w:pPr>
              <w:rPr>
                <w:rFonts w:ascii="Arial"/>
                <w:strike/>
                <w:dstrike w:val="0"/>
                <w:color w:val="auto"/>
                <w:sz w:val="21"/>
                <w:highlight w:val="none"/>
              </w:rPr>
            </w:pPr>
          </w:p>
          <w:p w14:paraId="529BE919">
            <w:pPr>
              <w:pStyle w:val="17"/>
              <w:spacing w:before="68"/>
              <w:ind w:left="483"/>
              <w:rPr>
                <w:strike/>
                <w:dstrike w:val="0"/>
                <w:color w:val="auto"/>
                <w:highlight w:val="none"/>
              </w:rPr>
            </w:pPr>
            <w:r>
              <w:rPr>
                <w:strike/>
                <w:dstrike w:val="0"/>
                <w:color w:val="auto"/>
                <w:highlight w:val="none"/>
              </w:rPr>
              <w:t>3</w:t>
            </w:r>
          </w:p>
        </w:tc>
        <w:tc>
          <w:tcPr>
            <w:tcW w:w="1949" w:type="dxa"/>
            <w:vAlign w:val="top"/>
          </w:tcPr>
          <w:p w14:paraId="1DBBE836">
            <w:pPr>
              <w:rPr>
                <w:rFonts w:ascii="Arial"/>
                <w:strike/>
                <w:dstrike w:val="0"/>
                <w:color w:val="auto"/>
                <w:sz w:val="21"/>
                <w:highlight w:val="none"/>
              </w:rPr>
            </w:pPr>
          </w:p>
          <w:p w14:paraId="775F5C04">
            <w:pPr>
              <w:pStyle w:val="17"/>
              <w:spacing w:before="69" w:line="219" w:lineRule="auto"/>
              <w:ind w:left="140"/>
              <w:rPr>
                <w:strike/>
                <w:dstrike w:val="0"/>
                <w:color w:val="auto"/>
                <w:highlight w:val="none"/>
              </w:rPr>
            </w:pPr>
            <w:r>
              <w:rPr>
                <w:strike/>
                <w:dstrike w:val="0"/>
                <w:color w:val="auto"/>
                <w:spacing w:val="-2"/>
                <w:highlight w:val="none"/>
              </w:rPr>
              <w:t>工业以太网交换机</w:t>
            </w:r>
          </w:p>
        </w:tc>
        <w:tc>
          <w:tcPr>
            <w:tcW w:w="1390" w:type="dxa"/>
            <w:vAlign w:val="top"/>
          </w:tcPr>
          <w:p w14:paraId="0A32FCED">
            <w:pPr>
              <w:rPr>
                <w:rFonts w:ascii="Arial"/>
                <w:strike/>
                <w:dstrike w:val="0"/>
                <w:color w:val="auto"/>
                <w:sz w:val="21"/>
                <w:highlight w:val="none"/>
              </w:rPr>
            </w:pPr>
          </w:p>
        </w:tc>
        <w:tc>
          <w:tcPr>
            <w:tcW w:w="1259" w:type="dxa"/>
            <w:vAlign w:val="top"/>
          </w:tcPr>
          <w:p w14:paraId="1D09C75C">
            <w:pPr>
              <w:rPr>
                <w:rFonts w:ascii="Arial"/>
                <w:strike/>
                <w:dstrike w:val="0"/>
                <w:color w:val="auto"/>
                <w:sz w:val="21"/>
                <w:highlight w:val="none"/>
              </w:rPr>
            </w:pPr>
          </w:p>
        </w:tc>
        <w:tc>
          <w:tcPr>
            <w:tcW w:w="1305" w:type="dxa"/>
            <w:vAlign w:val="top"/>
          </w:tcPr>
          <w:p w14:paraId="7F861538">
            <w:pPr>
              <w:rPr>
                <w:rFonts w:ascii="Arial"/>
                <w:strike/>
                <w:dstrike w:val="0"/>
                <w:color w:val="auto"/>
                <w:sz w:val="21"/>
                <w:highlight w:val="none"/>
              </w:rPr>
            </w:pPr>
          </w:p>
        </w:tc>
        <w:tc>
          <w:tcPr>
            <w:tcW w:w="1244" w:type="dxa"/>
            <w:vAlign w:val="top"/>
          </w:tcPr>
          <w:p w14:paraId="19906225">
            <w:pPr>
              <w:rPr>
                <w:rFonts w:ascii="Arial"/>
                <w:strike/>
                <w:dstrike w:val="0"/>
                <w:color w:val="auto"/>
                <w:sz w:val="21"/>
                <w:highlight w:val="none"/>
              </w:rPr>
            </w:pPr>
          </w:p>
        </w:tc>
        <w:tc>
          <w:tcPr>
            <w:tcW w:w="1220" w:type="dxa"/>
            <w:vAlign w:val="top"/>
          </w:tcPr>
          <w:p w14:paraId="1EF1F03B">
            <w:pPr>
              <w:rPr>
                <w:rFonts w:ascii="Arial"/>
                <w:strike/>
                <w:dstrike w:val="0"/>
                <w:color w:val="auto"/>
                <w:sz w:val="21"/>
                <w:highlight w:val="none"/>
              </w:rPr>
            </w:pPr>
          </w:p>
        </w:tc>
      </w:tr>
      <w:tr w14:paraId="1AD47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7818DA03">
            <w:pPr>
              <w:spacing w:line="242" w:lineRule="auto"/>
              <w:rPr>
                <w:rFonts w:ascii="Arial"/>
                <w:strike/>
                <w:dstrike w:val="0"/>
                <w:color w:val="auto"/>
                <w:sz w:val="21"/>
                <w:highlight w:val="none"/>
              </w:rPr>
            </w:pPr>
          </w:p>
          <w:p w14:paraId="57616111">
            <w:pPr>
              <w:pStyle w:val="17"/>
              <w:spacing w:before="69" w:line="241" w:lineRule="auto"/>
              <w:ind w:left="478"/>
              <w:rPr>
                <w:strike/>
                <w:dstrike w:val="0"/>
                <w:color w:val="auto"/>
                <w:highlight w:val="none"/>
              </w:rPr>
            </w:pPr>
            <w:r>
              <w:rPr>
                <w:strike/>
                <w:dstrike w:val="0"/>
                <w:color w:val="auto"/>
                <w:highlight w:val="none"/>
              </w:rPr>
              <w:t>4</w:t>
            </w:r>
          </w:p>
        </w:tc>
        <w:tc>
          <w:tcPr>
            <w:tcW w:w="1949" w:type="dxa"/>
            <w:vAlign w:val="top"/>
          </w:tcPr>
          <w:p w14:paraId="033B67FB">
            <w:pPr>
              <w:spacing w:line="242" w:lineRule="auto"/>
              <w:rPr>
                <w:rFonts w:ascii="Arial"/>
                <w:strike/>
                <w:dstrike w:val="0"/>
                <w:color w:val="auto"/>
                <w:sz w:val="21"/>
                <w:highlight w:val="none"/>
              </w:rPr>
            </w:pPr>
          </w:p>
          <w:p w14:paraId="374FEFC8">
            <w:pPr>
              <w:pStyle w:val="17"/>
              <w:spacing w:before="68" w:line="220" w:lineRule="auto"/>
              <w:ind w:left="663"/>
              <w:rPr>
                <w:strike/>
                <w:dstrike w:val="0"/>
                <w:color w:val="auto"/>
                <w:highlight w:val="none"/>
              </w:rPr>
            </w:pPr>
            <w:r>
              <w:rPr>
                <w:strike/>
                <w:dstrike w:val="0"/>
                <w:color w:val="auto"/>
                <w:spacing w:val="-2"/>
                <w:highlight w:val="none"/>
              </w:rPr>
              <w:t>服务器</w:t>
            </w:r>
          </w:p>
        </w:tc>
        <w:tc>
          <w:tcPr>
            <w:tcW w:w="1390" w:type="dxa"/>
            <w:vAlign w:val="top"/>
          </w:tcPr>
          <w:p w14:paraId="0661CDF8">
            <w:pPr>
              <w:rPr>
                <w:rFonts w:ascii="Arial"/>
                <w:strike/>
                <w:dstrike w:val="0"/>
                <w:color w:val="auto"/>
                <w:sz w:val="21"/>
                <w:highlight w:val="none"/>
              </w:rPr>
            </w:pPr>
          </w:p>
        </w:tc>
        <w:tc>
          <w:tcPr>
            <w:tcW w:w="1259" w:type="dxa"/>
            <w:vAlign w:val="top"/>
          </w:tcPr>
          <w:p w14:paraId="19A42C68">
            <w:pPr>
              <w:rPr>
                <w:rFonts w:ascii="Arial"/>
                <w:strike/>
                <w:dstrike w:val="0"/>
                <w:color w:val="auto"/>
                <w:sz w:val="21"/>
                <w:highlight w:val="none"/>
              </w:rPr>
            </w:pPr>
          </w:p>
        </w:tc>
        <w:tc>
          <w:tcPr>
            <w:tcW w:w="1305" w:type="dxa"/>
            <w:vAlign w:val="top"/>
          </w:tcPr>
          <w:p w14:paraId="3A1AB83F">
            <w:pPr>
              <w:rPr>
                <w:rFonts w:ascii="Arial"/>
                <w:strike/>
                <w:dstrike w:val="0"/>
                <w:color w:val="auto"/>
                <w:sz w:val="21"/>
                <w:highlight w:val="none"/>
              </w:rPr>
            </w:pPr>
          </w:p>
        </w:tc>
        <w:tc>
          <w:tcPr>
            <w:tcW w:w="1244" w:type="dxa"/>
            <w:vAlign w:val="top"/>
          </w:tcPr>
          <w:p w14:paraId="5D065D88">
            <w:pPr>
              <w:rPr>
                <w:rFonts w:ascii="Arial"/>
                <w:strike/>
                <w:dstrike w:val="0"/>
                <w:color w:val="auto"/>
                <w:sz w:val="21"/>
                <w:highlight w:val="none"/>
              </w:rPr>
            </w:pPr>
          </w:p>
        </w:tc>
        <w:tc>
          <w:tcPr>
            <w:tcW w:w="1220" w:type="dxa"/>
            <w:vAlign w:val="top"/>
          </w:tcPr>
          <w:p w14:paraId="22502318">
            <w:pPr>
              <w:rPr>
                <w:rFonts w:ascii="Arial"/>
                <w:strike/>
                <w:dstrike w:val="0"/>
                <w:color w:val="auto"/>
                <w:sz w:val="21"/>
                <w:highlight w:val="none"/>
              </w:rPr>
            </w:pPr>
          </w:p>
        </w:tc>
      </w:tr>
      <w:tr w14:paraId="3A935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054" w:type="dxa"/>
            <w:vAlign w:val="top"/>
          </w:tcPr>
          <w:p w14:paraId="53CD07C5">
            <w:pPr>
              <w:rPr>
                <w:rFonts w:ascii="Arial"/>
                <w:strike/>
                <w:dstrike w:val="0"/>
                <w:color w:val="auto"/>
                <w:sz w:val="21"/>
                <w:highlight w:val="none"/>
              </w:rPr>
            </w:pPr>
          </w:p>
          <w:p w14:paraId="2DD70B59">
            <w:pPr>
              <w:pStyle w:val="17"/>
              <w:spacing w:before="68"/>
              <w:ind w:left="483"/>
              <w:rPr>
                <w:strike/>
                <w:dstrike w:val="0"/>
                <w:color w:val="auto"/>
                <w:highlight w:val="none"/>
              </w:rPr>
            </w:pPr>
            <w:r>
              <w:rPr>
                <w:strike/>
                <w:dstrike w:val="0"/>
                <w:color w:val="auto"/>
                <w:highlight w:val="none"/>
              </w:rPr>
              <w:t>5</w:t>
            </w:r>
          </w:p>
        </w:tc>
        <w:tc>
          <w:tcPr>
            <w:tcW w:w="1949" w:type="dxa"/>
            <w:vAlign w:val="top"/>
          </w:tcPr>
          <w:p w14:paraId="6296CC82">
            <w:pPr>
              <w:rPr>
                <w:rFonts w:ascii="Arial"/>
                <w:strike/>
                <w:dstrike w:val="0"/>
                <w:color w:val="auto"/>
                <w:sz w:val="21"/>
                <w:highlight w:val="none"/>
              </w:rPr>
            </w:pPr>
          </w:p>
          <w:p w14:paraId="44F12B03">
            <w:pPr>
              <w:pStyle w:val="17"/>
              <w:spacing w:before="68" w:line="220" w:lineRule="auto"/>
              <w:ind w:left="347"/>
              <w:rPr>
                <w:strike/>
                <w:dstrike w:val="0"/>
                <w:color w:val="auto"/>
                <w:highlight w:val="none"/>
              </w:rPr>
            </w:pPr>
            <w:r>
              <w:rPr>
                <w:strike/>
                <w:dstrike w:val="0"/>
                <w:color w:val="auto"/>
                <w:spacing w:val="-2"/>
                <w:highlight w:val="none"/>
              </w:rPr>
              <w:t>视频存储设备</w:t>
            </w:r>
          </w:p>
        </w:tc>
        <w:tc>
          <w:tcPr>
            <w:tcW w:w="1390" w:type="dxa"/>
            <w:vAlign w:val="top"/>
          </w:tcPr>
          <w:p w14:paraId="69A13F8B">
            <w:pPr>
              <w:rPr>
                <w:rFonts w:ascii="Arial"/>
                <w:strike/>
                <w:dstrike w:val="0"/>
                <w:color w:val="auto"/>
                <w:sz w:val="21"/>
                <w:highlight w:val="none"/>
              </w:rPr>
            </w:pPr>
          </w:p>
        </w:tc>
        <w:tc>
          <w:tcPr>
            <w:tcW w:w="1259" w:type="dxa"/>
            <w:vAlign w:val="top"/>
          </w:tcPr>
          <w:p w14:paraId="07C39850">
            <w:pPr>
              <w:rPr>
                <w:rFonts w:ascii="Arial"/>
                <w:strike/>
                <w:dstrike w:val="0"/>
                <w:color w:val="auto"/>
                <w:sz w:val="21"/>
                <w:highlight w:val="none"/>
              </w:rPr>
            </w:pPr>
          </w:p>
        </w:tc>
        <w:tc>
          <w:tcPr>
            <w:tcW w:w="1305" w:type="dxa"/>
            <w:vAlign w:val="top"/>
          </w:tcPr>
          <w:p w14:paraId="0FAD7964">
            <w:pPr>
              <w:rPr>
                <w:rFonts w:ascii="Arial"/>
                <w:strike/>
                <w:dstrike w:val="0"/>
                <w:color w:val="auto"/>
                <w:sz w:val="21"/>
                <w:highlight w:val="none"/>
              </w:rPr>
            </w:pPr>
          </w:p>
        </w:tc>
        <w:tc>
          <w:tcPr>
            <w:tcW w:w="1244" w:type="dxa"/>
            <w:vAlign w:val="top"/>
          </w:tcPr>
          <w:p w14:paraId="26C6B207">
            <w:pPr>
              <w:rPr>
                <w:rFonts w:ascii="Arial"/>
                <w:strike/>
                <w:dstrike w:val="0"/>
                <w:color w:val="auto"/>
                <w:sz w:val="21"/>
                <w:highlight w:val="none"/>
              </w:rPr>
            </w:pPr>
          </w:p>
        </w:tc>
        <w:tc>
          <w:tcPr>
            <w:tcW w:w="1220" w:type="dxa"/>
            <w:vAlign w:val="top"/>
          </w:tcPr>
          <w:p w14:paraId="1065DAED">
            <w:pPr>
              <w:rPr>
                <w:rFonts w:ascii="Arial"/>
                <w:strike/>
                <w:dstrike w:val="0"/>
                <w:color w:val="auto"/>
                <w:sz w:val="21"/>
                <w:highlight w:val="none"/>
              </w:rPr>
            </w:pPr>
          </w:p>
        </w:tc>
      </w:tr>
    </w:tbl>
    <w:p w14:paraId="5995E5E1">
      <w:pPr>
        <w:pStyle w:val="3"/>
        <w:spacing w:line="252" w:lineRule="auto"/>
        <w:rPr>
          <w:strike/>
          <w:dstrike w:val="0"/>
          <w:color w:val="auto"/>
          <w:highlight w:val="none"/>
        </w:rPr>
      </w:pPr>
    </w:p>
    <w:p w14:paraId="3292017F">
      <w:pPr>
        <w:spacing w:before="59" w:line="241" w:lineRule="auto"/>
        <w:ind w:left="1422" w:right="1416"/>
        <w:jc w:val="both"/>
        <w:rPr>
          <w:rFonts w:ascii="宋体" w:hAnsi="宋体" w:eastAsia="宋体" w:cs="宋体"/>
          <w:strike/>
          <w:dstrike w:val="0"/>
          <w:color w:val="auto"/>
          <w:sz w:val="18"/>
          <w:szCs w:val="18"/>
          <w:highlight w:val="none"/>
        </w:rPr>
      </w:pPr>
      <w:r>
        <w:rPr>
          <w:rFonts w:ascii="宋体" w:hAnsi="宋体" w:eastAsia="宋体" w:cs="宋体"/>
          <w:strike/>
          <w:dstrike w:val="0"/>
          <w:color w:val="auto"/>
          <w:sz w:val="18"/>
          <w:szCs w:val="18"/>
          <w:highlight w:val="none"/>
        </w:rPr>
        <w:t>① 本表仅适用于投资规模大或技术要求高的机电工程项</w:t>
      </w:r>
      <w:r>
        <w:rPr>
          <w:rFonts w:ascii="宋体" w:hAnsi="宋体" w:eastAsia="宋体" w:cs="宋体"/>
          <w:strike/>
          <w:dstrike w:val="0"/>
          <w:color w:val="auto"/>
          <w:spacing w:val="-1"/>
          <w:sz w:val="18"/>
          <w:szCs w:val="18"/>
          <w:highlight w:val="none"/>
        </w:rPr>
        <w:t>目招标需增加关键设备选型作为评分因素的情形。招标人可根据项目实际情况对表格进行完善。 招标标段建安费不少于</w:t>
      </w:r>
      <w:r>
        <w:rPr>
          <w:rFonts w:ascii="宋体" w:hAnsi="宋体" w:eastAsia="宋体" w:cs="宋体"/>
          <w:strike/>
          <w:dstrike w:val="0"/>
          <w:color w:val="auto"/>
          <w:spacing w:val="-25"/>
          <w:sz w:val="18"/>
          <w:szCs w:val="18"/>
          <w:highlight w:val="none"/>
        </w:rPr>
        <w:t xml:space="preserve"> </w:t>
      </w:r>
      <w:r>
        <w:rPr>
          <w:rFonts w:ascii="Times New Roman" w:hAnsi="Times New Roman" w:eastAsia="Times New Roman" w:cs="Times New Roman"/>
          <w:strike/>
          <w:dstrike w:val="0"/>
          <w:color w:val="auto"/>
          <w:spacing w:val="-1"/>
          <w:sz w:val="18"/>
          <w:szCs w:val="18"/>
          <w:highlight w:val="none"/>
        </w:rPr>
        <w:t>10000</w:t>
      </w:r>
      <w:r>
        <w:rPr>
          <w:rFonts w:ascii="Times New Roman" w:hAnsi="Times New Roman" w:eastAsia="Times New Roman" w:cs="Times New Roman"/>
          <w:strike/>
          <w:dstrike w:val="0"/>
          <w:color w:val="auto"/>
          <w:spacing w:val="12"/>
          <w:sz w:val="18"/>
          <w:szCs w:val="18"/>
          <w:highlight w:val="none"/>
        </w:rPr>
        <w:t xml:space="preserve"> </w:t>
      </w:r>
      <w:r>
        <w:rPr>
          <w:rFonts w:ascii="宋体" w:hAnsi="宋体" w:eastAsia="宋体" w:cs="宋体"/>
          <w:strike/>
          <w:dstrike w:val="0"/>
          <w:color w:val="auto"/>
          <w:spacing w:val="-1"/>
          <w:sz w:val="18"/>
          <w:szCs w:val="18"/>
          <w:highlight w:val="none"/>
        </w:rPr>
        <w:t>万元，关键设备原则上不超过</w:t>
      </w:r>
      <w:r>
        <w:rPr>
          <w:rFonts w:ascii="宋体" w:hAnsi="宋体" w:eastAsia="宋体" w:cs="宋体"/>
          <w:strike/>
          <w:dstrike w:val="0"/>
          <w:color w:val="auto"/>
          <w:spacing w:val="-25"/>
          <w:sz w:val="18"/>
          <w:szCs w:val="18"/>
          <w:highlight w:val="none"/>
        </w:rPr>
        <w:t xml:space="preserve"> </w:t>
      </w:r>
      <w:r>
        <w:rPr>
          <w:rFonts w:ascii="Times New Roman" w:hAnsi="Times New Roman" w:eastAsia="Times New Roman" w:cs="Times New Roman"/>
          <w:strike/>
          <w:dstrike w:val="0"/>
          <w:color w:val="auto"/>
          <w:spacing w:val="-1"/>
          <w:sz w:val="18"/>
          <w:szCs w:val="18"/>
          <w:highlight w:val="none"/>
        </w:rPr>
        <w:t>15</w:t>
      </w:r>
      <w:r>
        <w:rPr>
          <w:rFonts w:ascii="Times New Roman" w:hAnsi="Times New Roman" w:eastAsia="Times New Roman" w:cs="Times New Roman"/>
          <w:strike/>
          <w:dstrike w:val="0"/>
          <w:color w:val="auto"/>
          <w:spacing w:val="-2"/>
          <w:sz w:val="18"/>
          <w:szCs w:val="18"/>
          <w:highlight w:val="none"/>
        </w:rPr>
        <w:t xml:space="preserve"> </w:t>
      </w:r>
      <w:r>
        <w:rPr>
          <w:rFonts w:ascii="宋体" w:hAnsi="宋体" w:eastAsia="宋体" w:cs="宋体"/>
          <w:strike/>
          <w:dstrike w:val="0"/>
          <w:color w:val="auto"/>
          <w:spacing w:val="-2"/>
          <w:sz w:val="18"/>
          <w:szCs w:val="18"/>
          <w:highlight w:val="none"/>
        </w:rPr>
        <w:t>个；招标标段</w:t>
      </w:r>
      <w:r>
        <w:rPr>
          <w:rFonts w:ascii="宋体" w:hAnsi="宋体" w:eastAsia="宋体" w:cs="宋体"/>
          <w:strike/>
          <w:dstrike w:val="0"/>
          <w:color w:val="auto"/>
          <w:spacing w:val="-3"/>
          <w:sz w:val="18"/>
          <w:szCs w:val="18"/>
          <w:highlight w:val="none"/>
        </w:rPr>
        <w:t>建安费少于</w:t>
      </w:r>
      <w:r>
        <w:rPr>
          <w:rFonts w:ascii="宋体" w:hAnsi="宋体" w:eastAsia="宋体" w:cs="宋体"/>
          <w:strike/>
          <w:dstrike w:val="0"/>
          <w:color w:val="auto"/>
          <w:spacing w:val="-15"/>
          <w:sz w:val="18"/>
          <w:szCs w:val="18"/>
          <w:highlight w:val="none"/>
        </w:rPr>
        <w:t xml:space="preserve"> </w:t>
      </w:r>
      <w:r>
        <w:rPr>
          <w:rFonts w:ascii="Times New Roman" w:hAnsi="Times New Roman" w:eastAsia="Times New Roman" w:cs="Times New Roman"/>
          <w:strike/>
          <w:dstrike w:val="0"/>
          <w:color w:val="auto"/>
          <w:spacing w:val="-3"/>
          <w:sz w:val="18"/>
          <w:szCs w:val="18"/>
          <w:highlight w:val="none"/>
        </w:rPr>
        <w:t>10000</w:t>
      </w:r>
      <w:r>
        <w:rPr>
          <w:rFonts w:ascii="Times New Roman" w:hAnsi="Times New Roman" w:eastAsia="Times New Roman" w:cs="Times New Roman"/>
          <w:strike/>
          <w:dstrike w:val="0"/>
          <w:color w:val="auto"/>
          <w:spacing w:val="11"/>
          <w:w w:val="101"/>
          <w:sz w:val="18"/>
          <w:szCs w:val="18"/>
          <w:highlight w:val="none"/>
        </w:rPr>
        <w:t xml:space="preserve"> </w:t>
      </w:r>
      <w:r>
        <w:rPr>
          <w:rFonts w:ascii="宋体" w:hAnsi="宋体" w:eastAsia="宋体" w:cs="宋体"/>
          <w:strike/>
          <w:dstrike w:val="0"/>
          <w:color w:val="auto"/>
          <w:spacing w:val="-3"/>
          <w:sz w:val="18"/>
          <w:szCs w:val="18"/>
          <w:highlight w:val="none"/>
        </w:rPr>
        <w:t>万元，关键设备宜为</w:t>
      </w:r>
      <w:r>
        <w:rPr>
          <w:rFonts w:ascii="宋体" w:hAnsi="宋体" w:eastAsia="宋体" w:cs="宋体"/>
          <w:strike/>
          <w:dstrike w:val="0"/>
          <w:color w:val="auto"/>
          <w:spacing w:val="-25"/>
          <w:sz w:val="18"/>
          <w:szCs w:val="18"/>
          <w:highlight w:val="none"/>
        </w:rPr>
        <w:t xml:space="preserve"> </w:t>
      </w:r>
      <w:r>
        <w:rPr>
          <w:rFonts w:ascii="Times New Roman" w:hAnsi="Times New Roman" w:eastAsia="Times New Roman" w:cs="Times New Roman"/>
          <w:strike/>
          <w:dstrike w:val="0"/>
          <w:color w:val="auto"/>
          <w:spacing w:val="-3"/>
          <w:sz w:val="18"/>
          <w:szCs w:val="18"/>
          <w:highlight w:val="none"/>
        </w:rPr>
        <w:t xml:space="preserve">10-15 </w:t>
      </w:r>
      <w:r>
        <w:rPr>
          <w:rFonts w:ascii="宋体" w:hAnsi="宋体" w:eastAsia="宋体" w:cs="宋体"/>
          <w:strike/>
          <w:dstrike w:val="0"/>
          <w:color w:val="auto"/>
          <w:spacing w:val="-3"/>
          <w:sz w:val="18"/>
          <w:szCs w:val="18"/>
          <w:highlight w:val="none"/>
        </w:rPr>
        <w:t>个。</w:t>
      </w:r>
    </w:p>
    <w:p w14:paraId="0DE74340">
      <w:pPr>
        <w:spacing w:before="34" w:line="322" w:lineRule="auto"/>
        <w:ind w:left="1423" w:right="1366"/>
        <w:jc w:val="both"/>
        <w:rPr>
          <w:rFonts w:ascii="宋体" w:hAnsi="宋体" w:eastAsia="宋体" w:cs="宋体"/>
          <w:strike/>
          <w:dstrike w:val="0"/>
          <w:color w:val="auto"/>
          <w:sz w:val="18"/>
          <w:szCs w:val="18"/>
          <w:highlight w:val="none"/>
        </w:rPr>
      </w:pPr>
      <w:r>
        <w:rPr>
          <w:rFonts w:ascii="宋体" w:hAnsi="宋体" w:eastAsia="宋体" w:cs="宋体"/>
          <w:strike/>
          <w:dstrike w:val="0"/>
          <w:color w:val="auto"/>
          <w:spacing w:val="-1"/>
          <w:sz w:val="18"/>
          <w:szCs w:val="18"/>
          <w:highlight w:val="none"/>
        </w:rPr>
        <w:t>招标人在编制招标文件时应根据项目的实际情况优先在本表的设备中进行选择，</w:t>
      </w:r>
      <w:r>
        <w:rPr>
          <w:rFonts w:ascii="宋体" w:hAnsi="宋体" w:eastAsia="宋体" w:cs="宋体"/>
          <w:strike/>
          <w:dstrike w:val="0"/>
          <w:color w:val="auto"/>
          <w:spacing w:val="-2"/>
          <w:sz w:val="18"/>
          <w:szCs w:val="18"/>
          <w:highlight w:val="none"/>
        </w:rPr>
        <w:t>如上表设备未能覆盖招标项目所需，招标人可另行增加符合招标项目所需的设备。</w:t>
      </w:r>
    </w:p>
    <w:p w14:paraId="13361672">
      <w:pPr>
        <w:spacing w:line="322" w:lineRule="auto"/>
        <w:rPr>
          <w:rFonts w:ascii="宋体" w:hAnsi="宋体" w:eastAsia="宋体" w:cs="宋体"/>
          <w:strike/>
          <w:dstrike w:val="0"/>
          <w:color w:val="auto"/>
          <w:sz w:val="18"/>
          <w:szCs w:val="18"/>
          <w:highlight w:val="none"/>
        </w:rPr>
        <w:sectPr>
          <w:headerReference r:id="rId210" w:type="default"/>
          <w:footerReference r:id="rId211" w:type="default"/>
          <w:pgSz w:w="11905" w:h="16840"/>
          <w:pgMar w:top="1182" w:right="0" w:bottom="1171" w:left="0" w:header="849" w:footer="937" w:gutter="0"/>
          <w:pgNumType w:fmt="decimal"/>
          <w:cols w:space="720" w:num="1"/>
        </w:sectPr>
      </w:pPr>
    </w:p>
    <w:p w14:paraId="7C4C2BA5">
      <w:pPr>
        <w:spacing w:line="234" w:lineRule="exact"/>
        <w:rPr>
          <w:color w:val="auto"/>
          <w:highlight w:val="none"/>
        </w:rPr>
      </w:pPr>
    </w:p>
    <w:tbl>
      <w:tblPr>
        <w:tblStyle w:val="16"/>
        <w:tblW w:w="9421" w:type="dxa"/>
        <w:tblInd w:w="1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2EA4C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1054" w:type="dxa"/>
            <w:vAlign w:val="top"/>
          </w:tcPr>
          <w:p w14:paraId="59F375D1">
            <w:pPr>
              <w:spacing w:line="241" w:lineRule="auto"/>
              <w:rPr>
                <w:rFonts w:ascii="Arial"/>
                <w:strike/>
                <w:dstrike w:val="0"/>
                <w:color w:val="auto"/>
                <w:sz w:val="21"/>
                <w:highlight w:val="none"/>
              </w:rPr>
            </w:pPr>
          </w:p>
          <w:p w14:paraId="1AF67B81">
            <w:pPr>
              <w:pStyle w:val="17"/>
              <w:spacing w:before="68"/>
              <w:ind w:left="481"/>
              <w:rPr>
                <w:strike/>
                <w:dstrike w:val="0"/>
                <w:color w:val="auto"/>
                <w:highlight w:val="none"/>
              </w:rPr>
            </w:pPr>
            <w:r>
              <w:rPr>
                <w:strike/>
                <w:dstrike w:val="0"/>
                <w:color w:val="auto"/>
                <w:highlight w:val="none"/>
              </w:rPr>
              <w:t>6</w:t>
            </w:r>
          </w:p>
        </w:tc>
        <w:tc>
          <w:tcPr>
            <w:tcW w:w="1949" w:type="dxa"/>
            <w:vAlign w:val="top"/>
          </w:tcPr>
          <w:p w14:paraId="219873C5">
            <w:pPr>
              <w:spacing w:line="241" w:lineRule="auto"/>
              <w:rPr>
                <w:rFonts w:ascii="Arial"/>
                <w:strike/>
                <w:dstrike w:val="0"/>
                <w:color w:val="auto"/>
                <w:sz w:val="21"/>
                <w:highlight w:val="none"/>
              </w:rPr>
            </w:pPr>
          </w:p>
          <w:p w14:paraId="1E5CFCD5">
            <w:pPr>
              <w:pStyle w:val="17"/>
              <w:spacing w:before="69" w:line="220" w:lineRule="auto"/>
              <w:ind w:left="571"/>
              <w:rPr>
                <w:strike/>
                <w:dstrike w:val="0"/>
                <w:color w:val="auto"/>
                <w:highlight w:val="none"/>
              </w:rPr>
            </w:pPr>
            <w:r>
              <w:rPr>
                <w:strike/>
                <w:dstrike w:val="0"/>
                <w:color w:val="auto"/>
                <w:spacing w:val="-5"/>
                <w:highlight w:val="none"/>
              </w:rPr>
              <w:t>防雷设备</w:t>
            </w:r>
          </w:p>
        </w:tc>
        <w:tc>
          <w:tcPr>
            <w:tcW w:w="1390" w:type="dxa"/>
            <w:vAlign w:val="top"/>
          </w:tcPr>
          <w:p w14:paraId="700F0178">
            <w:pPr>
              <w:rPr>
                <w:rFonts w:ascii="Arial"/>
                <w:strike/>
                <w:dstrike w:val="0"/>
                <w:color w:val="auto"/>
                <w:sz w:val="21"/>
                <w:highlight w:val="none"/>
              </w:rPr>
            </w:pPr>
          </w:p>
        </w:tc>
        <w:tc>
          <w:tcPr>
            <w:tcW w:w="1259" w:type="dxa"/>
            <w:vAlign w:val="top"/>
          </w:tcPr>
          <w:p w14:paraId="538E6C86">
            <w:pPr>
              <w:rPr>
                <w:rFonts w:ascii="Arial"/>
                <w:strike/>
                <w:dstrike w:val="0"/>
                <w:color w:val="auto"/>
                <w:sz w:val="21"/>
                <w:highlight w:val="none"/>
              </w:rPr>
            </w:pPr>
          </w:p>
        </w:tc>
        <w:tc>
          <w:tcPr>
            <w:tcW w:w="1305" w:type="dxa"/>
            <w:vAlign w:val="top"/>
          </w:tcPr>
          <w:p w14:paraId="20E1C60B">
            <w:pPr>
              <w:rPr>
                <w:rFonts w:ascii="Arial"/>
                <w:strike/>
                <w:dstrike w:val="0"/>
                <w:color w:val="auto"/>
                <w:sz w:val="21"/>
                <w:highlight w:val="none"/>
              </w:rPr>
            </w:pPr>
          </w:p>
        </w:tc>
        <w:tc>
          <w:tcPr>
            <w:tcW w:w="1244" w:type="dxa"/>
            <w:vAlign w:val="top"/>
          </w:tcPr>
          <w:p w14:paraId="1165E056">
            <w:pPr>
              <w:rPr>
                <w:rFonts w:ascii="Arial"/>
                <w:strike/>
                <w:dstrike w:val="0"/>
                <w:color w:val="auto"/>
                <w:sz w:val="21"/>
                <w:highlight w:val="none"/>
              </w:rPr>
            </w:pPr>
          </w:p>
        </w:tc>
        <w:tc>
          <w:tcPr>
            <w:tcW w:w="1220" w:type="dxa"/>
            <w:vAlign w:val="top"/>
          </w:tcPr>
          <w:p w14:paraId="529E4C03">
            <w:pPr>
              <w:rPr>
                <w:rFonts w:ascii="Arial"/>
                <w:strike/>
                <w:dstrike w:val="0"/>
                <w:color w:val="auto"/>
                <w:sz w:val="21"/>
                <w:highlight w:val="none"/>
              </w:rPr>
            </w:pPr>
          </w:p>
        </w:tc>
      </w:tr>
      <w:tr w14:paraId="73AAF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745B227A">
            <w:pPr>
              <w:spacing w:line="389" w:lineRule="auto"/>
              <w:rPr>
                <w:rFonts w:ascii="Arial"/>
                <w:strike/>
                <w:dstrike w:val="0"/>
                <w:color w:val="auto"/>
                <w:sz w:val="21"/>
                <w:highlight w:val="none"/>
              </w:rPr>
            </w:pPr>
          </w:p>
          <w:p w14:paraId="0DBC99CB">
            <w:pPr>
              <w:pStyle w:val="17"/>
              <w:spacing w:before="69" w:line="86"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2A5B60CC">
            <w:pPr>
              <w:rPr>
                <w:rFonts w:ascii="Arial"/>
                <w:strike/>
                <w:dstrike w:val="0"/>
                <w:color w:val="auto"/>
                <w:sz w:val="21"/>
                <w:highlight w:val="none"/>
              </w:rPr>
            </w:pPr>
          </w:p>
        </w:tc>
        <w:tc>
          <w:tcPr>
            <w:tcW w:w="1390" w:type="dxa"/>
            <w:vAlign w:val="top"/>
          </w:tcPr>
          <w:p w14:paraId="56CD2780">
            <w:pPr>
              <w:rPr>
                <w:rFonts w:ascii="Arial"/>
                <w:strike/>
                <w:dstrike w:val="0"/>
                <w:color w:val="auto"/>
                <w:sz w:val="21"/>
                <w:highlight w:val="none"/>
              </w:rPr>
            </w:pPr>
          </w:p>
        </w:tc>
        <w:tc>
          <w:tcPr>
            <w:tcW w:w="1259" w:type="dxa"/>
            <w:vAlign w:val="top"/>
          </w:tcPr>
          <w:p w14:paraId="60F84AD7">
            <w:pPr>
              <w:rPr>
                <w:rFonts w:ascii="Arial"/>
                <w:strike/>
                <w:dstrike w:val="0"/>
                <w:color w:val="auto"/>
                <w:sz w:val="21"/>
                <w:highlight w:val="none"/>
              </w:rPr>
            </w:pPr>
          </w:p>
        </w:tc>
        <w:tc>
          <w:tcPr>
            <w:tcW w:w="1305" w:type="dxa"/>
            <w:vAlign w:val="top"/>
          </w:tcPr>
          <w:p w14:paraId="3E9F328D">
            <w:pPr>
              <w:rPr>
                <w:rFonts w:ascii="Arial"/>
                <w:strike/>
                <w:dstrike w:val="0"/>
                <w:color w:val="auto"/>
                <w:sz w:val="21"/>
                <w:highlight w:val="none"/>
              </w:rPr>
            </w:pPr>
          </w:p>
        </w:tc>
        <w:tc>
          <w:tcPr>
            <w:tcW w:w="1244" w:type="dxa"/>
            <w:vAlign w:val="top"/>
          </w:tcPr>
          <w:p w14:paraId="6CF592C3">
            <w:pPr>
              <w:rPr>
                <w:rFonts w:ascii="Arial"/>
                <w:strike/>
                <w:dstrike w:val="0"/>
                <w:color w:val="auto"/>
                <w:sz w:val="21"/>
                <w:highlight w:val="none"/>
              </w:rPr>
            </w:pPr>
          </w:p>
        </w:tc>
        <w:tc>
          <w:tcPr>
            <w:tcW w:w="1220" w:type="dxa"/>
            <w:vAlign w:val="top"/>
          </w:tcPr>
          <w:p w14:paraId="0DA05FC1">
            <w:pPr>
              <w:rPr>
                <w:rFonts w:ascii="Arial"/>
                <w:strike/>
                <w:dstrike w:val="0"/>
                <w:color w:val="auto"/>
                <w:sz w:val="21"/>
                <w:highlight w:val="none"/>
              </w:rPr>
            </w:pPr>
          </w:p>
        </w:tc>
      </w:tr>
      <w:tr w14:paraId="37387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421" w:type="dxa"/>
            <w:gridSpan w:val="7"/>
            <w:vAlign w:val="top"/>
          </w:tcPr>
          <w:p w14:paraId="384C804D">
            <w:pPr>
              <w:pStyle w:val="17"/>
              <w:spacing w:before="306" w:line="220" w:lineRule="auto"/>
              <w:ind w:left="4295"/>
              <w:rPr>
                <w:strike/>
                <w:dstrike w:val="0"/>
                <w:color w:val="auto"/>
                <w:highlight w:val="none"/>
              </w:rPr>
            </w:pPr>
            <w:r>
              <w:rPr>
                <w:strike/>
                <w:dstrike w:val="0"/>
                <w:color w:val="auto"/>
                <w:spacing w:val="-2"/>
                <w:highlight w:val="none"/>
              </w:rPr>
              <w:t>通信系统</w:t>
            </w:r>
          </w:p>
        </w:tc>
      </w:tr>
      <w:tr w14:paraId="2C142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442D2588">
            <w:pPr>
              <w:pStyle w:val="17"/>
              <w:spacing w:before="306" w:line="241" w:lineRule="auto"/>
              <w:ind w:left="495"/>
              <w:rPr>
                <w:strike/>
                <w:dstrike w:val="0"/>
                <w:color w:val="auto"/>
                <w:highlight w:val="none"/>
              </w:rPr>
            </w:pPr>
            <w:r>
              <w:rPr>
                <w:strike/>
                <w:dstrike w:val="0"/>
                <w:color w:val="auto"/>
                <w:highlight w:val="none"/>
              </w:rPr>
              <w:t>1</w:t>
            </w:r>
          </w:p>
        </w:tc>
        <w:tc>
          <w:tcPr>
            <w:tcW w:w="1949" w:type="dxa"/>
            <w:vAlign w:val="top"/>
          </w:tcPr>
          <w:p w14:paraId="2CB2B6D7">
            <w:pPr>
              <w:pStyle w:val="17"/>
              <w:spacing w:before="306" w:line="219" w:lineRule="auto"/>
              <w:ind w:left="347"/>
              <w:rPr>
                <w:strike/>
                <w:dstrike w:val="0"/>
                <w:color w:val="auto"/>
                <w:highlight w:val="none"/>
              </w:rPr>
            </w:pPr>
            <w:r>
              <w:rPr>
                <w:strike/>
                <w:dstrike w:val="0"/>
                <w:color w:val="auto"/>
                <w:spacing w:val="-2"/>
                <w:highlight w:val="none"/>
              </w:rPr>
              <w:t>干线传输设备</w:t>
            </w:r>
          </w:p>
        </w:tc>
        <w:tc>
          <w:tcPr>
            <w:tcW w:w="1390" w:type="dxa"/>
            <w:vAlign w:val="top"/>
          </w:tcPr>
          <w:p w14:paraId="0A040E55">
            <w:pPr>
              <w:rPr>
                <w:rFonts w:ascii="Arial"/>
                <w:strike/>
                <w:dstrike w:val="0"/>
                <w:color w:val="auto"/>
                <w:sz w:val="21"/>
                <w:highlight w:val="none"/>
              </w:rPr>
            </w:pPr>
          </w:p>
        </w:tc>
        <w:tc>
          <w:tcPr>
            <w:tcW w:w="1259" w:type="dxa"/>
            <w:vAlign w:val="top"/>
          </w:tcPr>
          <w:p w14:paraId="10D40DEB">
            <w:pPr>
              <w:rPr>
                <w:rFonts w:ascii="Arial"/>
                <w:strike/>
                <w:dstrike w:val="0"/>
                <w:color w:val="auto"/>
                <w:sz w:val="21"/>
                <w:highlight w:val="none"/>
              </w:rPr>
            </w:pPr>
          </w:p>
        </w:tc>
        <w:tc>
          <w:tcPr>
            <w:tcW w:w="1305" w:type="dxa"/>
            <w:vAlign w:val="top"/>
          </w:tcPr>
          <w:p w14:paraId="324B4671">
            <w:pPr>
              <w:rPr>
                <w:rFonts w:ascii="Arial"/>
                <w:strike/>
                <w:dstrike w:val="0"/>
                <w:color w:val="auto"/>
                <w:sz w:val="21"/>
                <w:highlight w:val="none"/>
              </w:rPr>
            </w:pPr>
          </w:p>
        </w:tc>
        <w:tc>
          <w:tcPr>
            <w:tcW w:w="1244" w:type="dxa"/>
            <w:vAlign w:val="top"/>
          </w:tcPr>
          <w:p w14:paraId="72FF6029">
            <w:pPr>
              <w:rPr>
                <w:rFonts w:ascii="Arial"/>
                <w:strike/>
                <w:dstrike w:val="0"/>
                <w:color w:val="auto"/>
                <w:sz w:val="21"/>
                <w:highlight w:val="none"/>
              </w:rPr>
            </w:pPr>
          </w:p>
        </w:tc>
        <w:tc>
          <w:tcPr>
            <w:tcW w:w="1220" w:type="dxa"/>
            <w:vAlign w:val="top"/>
          </w:tcPr>
          <w:p w14:paraId="0D74873D">
            <w:pPr>
              <w:rPr>
                <w:rFonts w:ascii="Arial"/>
                <w:strike/>
                <w:dstrike w:val="0"/>
                <w:color w:val="auto"/>
                <w:sz w:val="21"/>
                <w:highlight w:val="none"/>
              </w:rPr>
            </w:pPr>
          </w:p>
        </w:tc>
      </w:tr>
      <w:tr w14:paraId="6FCF2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54" w:type="dxa"/>
            <w:vAlign w:val="top"/>
          </w:tcPr>
          <w:p w14:paraId="1F47CD75">
            <w:pPr>
              <w:spacing w:line="271" w:lineRule="auto"/>
              <w:rPr>
                <w:rFonts w:ascii="Arial"/>
                <w:strike/>
                <w:dstrike w:val="0"/>
                <w:color w:val="auto"/>
                <w:sz w:val="21"/>
                <w:highlight w:val="none"/>
              </w:rPr>
            </w:pPr>
          </w:p>
          <w:p w14:paraId="1B53EC54">
            <w:pPr>
              <w:pStyle w:val="17"/>
              <w:spacing w:before="68" w:line="241" w:lineRule="auto"/>
              <w:ind w:left="482"/>
              <w:rPr>
                <w:strike/>
                <w:dstrike w:val="0"/>
                <w:color w:val="auto"/>
                <w:highlight w:val="none"/>
              </w:rPr>
            </w:pPr>
            <w:r>
              <w:rPr>
                <w:strike/>
                <w:dstrike w:val="0"/>
                <w:color w:val="auto"/>
                <w:highlight w:val="none"/>
              </w:rPr>
              <w:t>2</w:t>
            </w:r>
          </w:p>
        </w:tc>
        <w:tc>
          <w:tcPr>
            <w:tcW w:w="1949" w:type="dxa"/>
            <w:vAlign w:val="top"/>
          </w:tcPr>
          <w:p w14:paraId="5BB058D8">
            <w:pPr>
              <w:pStyle w:val="17"/>
              <w:spacing w:before="139" w:line="288" w:lineRule="auto"/>
              <w:ind w:left="405" w:right="238" w:hanging="162"/>
              <w:rPr>
                <w:strike/>
                <w:dstrike w:val="0"/>
                <w:color w:val="auto"/>
                <w:highlight w:val="none"/>
              </w:rPr>
            </w:pPr>
            <w:r>
              <w:rPr>
                <w:strike/>
                <w:dstrike w:val="0"/>
                <w:color w:val="auto"/>
                <w:spacing w:val="-2"/>
                <w:highlight w:val="none"/>
              </w:rPr>
              <w:t>接入网传输设备（OLT/ONU）</w:t>
            </w:r>
          </w:p>
        </w:tc>
        <w:tc>
          <w:tcPr>
            <w:tcW w:w="1390" w:type="dxa"/>
            <w:vAlign w:val="top"/>
          </w:tcPr>
          <w:p w14:paraId="11DFDC6C">
            <w:pPr>
              <w:rPr>
                <w:rFonts w:ascii="Arial"/>
                <w:strike/>
                <w:dstrike w:val="0"/>
                <w:color w:val="auto"/>
                <w:sz w:val="21"/>
                <w:highlight w:val="none"/>
              </w:rPr>
            </w:pPr>
          </w:p>
        </w:tc>
        <w:tc>
          <w:tcPr>
            <w:tcW w:w="1259" w:type="dxa"/>
            <w:vAlign w:val="top"/>
          </w:tcPr>
          <w:p w14:paraId="36C14740">
            <w:pPr>
              <w:rPr>
                <w:rFonts w:ascii="Arial"/>
                <w:strike/>
                <w:dstrike w:val="0"/>
                <w:color w:val="auto"/>
                <w:sz w:val="21"/>
                <w:highlight w:val="none"/>
              </w:rPr>
            </w:pPr>
          </w:p>
        </w:tc>
        <w:tc>
          <w:tcPr>
            <w:tcW w:w="1305" w:type="dxa"/>
            <w:vAlign w:val="top"/>
          </w:tcPr>
          <w:p w14:paraId="3216D374">
            <w:pPr>
              <w:rPr>
                <w:rFonts w:ascii="Arial"/>
                <w:strike/>
                <w:dstrike w:val="0"/>
                <w:color w:val="auto"/>
                <w:sz w:val="21"/>
                <w:highlight w:val="none"/>
              </w:rPr>
            </w:pPr>
          </w:p>
        </w:tc>
        <w:tc>
          <w:tcPr>
            <w:tcW w:w="1244" w:type="dxa"/>
            <w:vAlign w:val="top"/>
          </w:tcPr>
          <w:p w14:paraId="1D35B8BF">
            <w:pPr>
              <w:rPr>
                <w:rFonts w:ascii="Arial"/>
                <w:strike/>
                <w:dstrike w:val="0"/>
                <w:color w:val="auto"/>
                <w:sz w:val="21"/>
                <w:highlight w:val="none"/>
              </w:rPr>
            </w:pPr>
          </w:p>
        </w:tc>
        <w:tc>
          <w:tcPr>
            <w:tcW w:w="1220" w:type="dxa"/>
            <w:vAlign w:val="top"/>
          </w:tcPr>
          <w:p w14:paraId="6923B3A0">
            <w:pPr>
              <w:rPr>
                <w:rFonts w:ascii="Arial"/>
                <w:strike/>
                <w:dstrike w:val="0"/>
                <w:color w:val="auto"/>
                <w:sz w:val="21"/>
                <w:highlight w:val="none"/>
              </w:rPr>
            </w:pPr>
          </w:p>
        </w:tc>
      </w:tr>
      <w:tr w14:paraId="3732F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29BC76FC">
            <w:pPr>
              <w:pStyle w:val="17"/>
              <w:spacing w:before="308"/>
              <w:ind w:left="483"/>
              <w:rPr>
                <w:strike/>
                <w:dstrike w:val="0"/>
                <w:color w:val="auto"/>
                <w:highlight w:val="none"/>
              </w:rPr>
            </w:pPr>
            <w:r>
              <w:rPr>
                <w:strike/>
                <w:dstrike w:val="0"/>
                <w:color w:val="auto"/>
                <w:highlight w:val="none"/>
              </w:rPr>
              <w:t>3</w:t>
            </w:r>
          </w:p>
        </w:tc>
        <w:tc>
          <w:tcPr>
            <w:tcW w:w="1949" w:type="dxa"/>
            <w:vAlign w:val="top"/>
          </w:tcPr>
          <w:p w14:paraId="1472D593">
            <w:pPr>
              <w:pStyle w:val="17"/>
              <w:spacing w:before="308" w:line="219" w:lineRule="auto"/>
              <w:ind w:left="453"/>
              <w:rPr>
                <w:strike/>
                <w:dstrike w:val="0"/>
                <w:color w:val="auto"/>
                <w:highlight w:val="none"/>
              </w:rPr>
            </w:pPr>
            <w:r>
              <w:rPr>
                <w:strike/>
                <w:dstrike w:val="0"/>
                <w:color w:val="auto"/>
                <w:spacing w:val="-2"/>
                <w:highlight w:val="none"/>
              </w:rPr>
              <w:t>语音交换机</w:t>
            </w:r>
          </w:p>
        </w:tc>
        <w:tc>
          <w:tcPr>
            <w:tcW w:w="1390" w:type="dxa"/>
            <w:vAlign w:val="top"/>
          </w:tcPr>
          <w:p w14:paraId="4F10E181">
            <w:pPr>
              <w:rPr>
                <w:rFonts w:ascii="Arial"/>
                <w:strike/>
                <w:dstrike w:val="0"/>
                <w:color w:val="auto"/>
                <w:sz w:val="21"/>
                <w:highlight w:val="none"/>
              </w:rPr>
            </w:pPr>
          </w:p>
        </w:tc>
        <w:tc>
          <w:tcPr>
            <w:tcW w:w="1259" w:type="dxa"/>
            <w:vAlign w:val="top"/>
          </w:tcPr>
          <w:p w14:paraId="032DC3ED">
            <w:pPr>
              <w:rPr>
                <w:rFonts w:ascii="Arial"/>
                <w:strike/>
                <w:dstrike w:val="0"/>
                <w:color w:val="auto"/>
                <w:sz w:val="21"/>
                <w:highlight w:val="none"/>
              </w:rPr>
            </w:pPr>
          </w:p>
        </w:tc>
        <w:tc>
          <w:tcPr>
            <w:tcW w:w="1305" w:type="dxa"/>
            <w:vAlign w:val="top"/>
          </w:tcPr>
          <w:p w14:paraId="7FF83010">
            <w:pPr>
              <w:rPr>
                <w:rFonts w:ascii="Arial"/>
                <w:strike/>
                <w:dstrike w:val="0"/>
                <w:color w:val="auto"/>
                <w:sz w:val="21"/>
                <w:highlight w:val="none"/>
              </w:rPr>
            </w:pPr>
          </w:p>
        </w:tc>
        <w:tc>
          <w:tcPr>
            <w:tcW w:w="1244" w:type="dxa"/>
            <w:vAlign w:val="top"/>
          </w:tcPr>
          <w:p w14:paraId="3BBD0764">
            <w:pPr>
              <w:rPr>
                <w:rFonts w:ascii="Arial"/>
                <w:strike/>
                <w:dstrike w:val="0"/>
                <w:color w:val="auto"/>
                <w:sz w:val="21"/>
                <w:highlight w:val="none"/>
              </w:rPr>
            </w:pPr>
          </w:p>
        </w:tc>
        <w:tc>
          <w:tcPr>
            <w:tcW w:w="1220" w:type="dxa"/>
            <w:vAlign w:val="top"/>
          </w:tcPr>
          <w:p w14:paraId="0EE136CD">
            <w:pPr>
              <w:rPr>
                <w:rFonts w:ascii="Arial"/>
                <w:strike/>
                <w:dstrike w:val="0"/>
                <w:color w:val="auto"/>
                <w:sz w:val="21"/>
                <w:highlight w:val="none"/>
              </w:rPr>
            </w:pPr>
          </w:p>
        </w:tc>
      </w:tr>
      <w:tr w14:paraId="02C15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2A03C77E">
            <w:pPr>
              <w:spacing w:line="391" w:lineRule="auto"/>
              <w:rPr>
                <w:rFonts w:ascii="Arial"/>
                <w:strike/>
                <w:dstrike w:val="0"/>
                <w:color w:val="auto"/>
                <w:sz w:val="21"/>
                <w:highlight w:val="none"/>
              </w:rPr>
            </w:pPr>
          </w:p>
          <w:p w14:paraId="70BE4413">
            <w:pPr>
              <w:pStyle w:val="17"/>
              <w:spacing w:before="69" w:line="86"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32C1AF69">
            <w:pPr>
              <w:rPr>
                <w:rFonts w:ascii="Arial"/>
                <w:strike/>
                <w:dstrike w:val="0"/>
                <w:color w:val="auto"/>
                <w:sz w:val="21"/>
                <w:highlight w:val="none"/>
              </w:rPr>
            </w:pPr>
          </w:p>
        </w:tc>
        <w:tc>
          <w:tcPr>
            <w:tcW w:w="1390" w:type="dxa"/>
            <w:vAlign w:val="top"/>
          </w:tcPr>
          <w:p w14:paraId="44EDE3B0">
            <w:pPr>
              <w:rPr>
                <w:rFonts w:ascii="Arial"/>
                <w:strike/>
                <w:dstrike w:val="0"/>
                <w:color w:val="auto"/>
                <w:sz w:val="21"/>
                <w:highlight w:val="none"/>
              </w:rPr>
            </w:pPr>
          </w:p>
        </w:tc>
        <w:tc>
          <w:tcPr>
            <w:tcW w:w="1259" w:type="dxa"/>
            <w:vAlign w:val="top"/>
          </w:tcPr>
          <w:p w14:paraId="381CC260">
            <w:pPr>
              <w:rPr>
                <w:rFonts w:ascii="Arial"/>
                <w:strike/>
                <w:dstrike w:val="0"/>
                <w:color w:val="auto"/>
                <w:sz w:val="21"/>
                <w:highlight w:val="none"/>
              </w:rPr>
            </w:pPr>
          </w:p>
        </w:tc>
        <w:tc>
          <w:tcPr>
            <w:tcW w:w="1305" w:type="dxa"/>
            <w:vAlign w:val="top"/>
          </w:tcPr>
          <w:p w14:paraId="2E988E3D">
            <w:pPr>
              <w:rPr>
                <w:rFonts w:ascii="Arial"/>
                <w:strike/>
                <w:dstrike w:val="0"/>
                <w:color w:val="auto"/>
                <w:sz w:val="21"/>
                <w:highlight w:val="none"/>
              </w:rPr>
            </w:pPr>
          </w:p>
        </w:tc>
        <w:tc>
          <w:tcPr>
            <w:tcW w:w="1244" w:type="dxa"/>
            <w:vAlign w:val="top"/>
          </w:tcPr>
          <w:p w14:paraId="39E27A05">
            <w:pPr>
              <w:rPr>
                <w:rFonts w:ascii="Arial"/>
                <w:strike/>
                <w:dstrike w:val="0"/>
                <w:color w:val="auto"/>
                <w:sz w:val="21"/>
                <w:highlight w:val="none"/>
              </w:rPr>
            </w:pPr>
          </w:p>
        </w:tc>
        <w:tc>
          <w:tcPr>
            <w:tcW w:w="1220" w:type="dxa"/>
            <w:vAlign w:val="top"/>
          </w:tcPr>
          <w:p w14:paraId="1A6D7B97">
            <w:pPr>
              <w:rPr>
                <w:rFonts w:ascii="Arial"/>
                <w:strike/>
                <w:dstrike w:val="0"/>
                <w:color w:val="auto"/>
                <w:sz w:val="21"/>
                <w:highlight w:val="none"/>
              </w:rPr>
            </w:pPr>
          </w:p>
        </w:tc>
      </w:tr>
      <w:tr w14:paraId="3497C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421" w:type="dxa"/>
            <w:gridSpan w:val="7"/>
            <w:vAlign w:val="top"/>
          </w:tcPr>
          <w:p w14:paraId="00D39DD3">
            <w:pPr>
              <w:pStyle w:val="17"/>
              <w:spacing w:before="309" w:line="219" w:lineRule="auto"/>
              <w:ind w:left="4189"/>
              <w:rPr>
                <w:strike/>
                <w:dstrike w:val="0"/>
                <w:color w:val="auto"/>
                <w:highlight w:val="none"/>
              </w:rPr>
            </w:pPr>
            <w:r>
              <w:rPr>
                <w:strike/>
                <w:dstrike w:val="0"/>
                <w:color w:val="auto"/>
                <w:spacing w:val="-2"/>
                <w:highlight w:val="none"/>
              </w:rPr>
              <w:t>供配电系统</w:t>
            </w:r>
          </w:p>
        </w:tc>
      </w:tr>
      <w:tr w14:paraId="1F010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0B80CCCC">
            <w:pPr>
              <w:pStyle w:val="17"/>
              <w:spacing w:before="309" w:line="241" w:lineRule="auto"/>
              <w:ind w:left="495"/>
              <w:rPr>
                <w:strike/>
                <w:dstrike w:val="0"/>
                <w:color w:val="auto"/>
                <w:highlight w:val="none"/>
              </w:rPr>
            </w:pPr>
            <w:r>
              <w:rPr>
                <w:strike/>
                <w:dstrike w:val="0"/>
                <w:color w:val="auto"/>
                <w:highlight w:val="none"/>
              </w:rPr>
              <w:t>1</w:t>
            </w:r>
          </w:p>
        </w:tc>
        <w:tc>
          <w:tcPr>
            <w:tcW w:w="1949" w:type="dxa"/>
            <w:vAlign w:val="top"/>
          </w:tcPr>
          <w:p w14:paraId="1BC46518">
            <w:pPr>
              <w:pStyle w:val="17"/>
              <w:spacing w:before="308" w:line="221" w:lineRule="auto"/>
              <w:ind w:left="663"/>
              <w:rPr>
                <w:strike/>
                <w:dstrike w:val="0"/>
                <w:color w:val="auto"/>
                <w:highlight w:val="none"/>
              </w:rPr>
            </w:pPr>
            <w:r>
              <w:rPr>
                <w:strike/>
                <w:dstrike w:val="0"/>
                <w:color w:val="auto"/>
                <w:spacing w:val="-2"/>
                <w:highlight w:val="none"/>
              </w:rPr>
              <w:t>变压器</w:t>
            </w:r>
          </w:p>
        </w:tc>
        <w:tc>
          <w:tcPr>
            <w:tcW w:w="1390" w:type="dxa"/>
            <w:vAlign w:val="top"/>
          </w:tcPr>
          <w:p w14:paraId="52B58CEF">
            <w:pPr>
              <w:rPr>
                <w:rFonts w:ascii="Arial"/>
                <w:strike/>
                <w:dstrike w:val="0"/>
                <w:color w:val="auto"/>
                <w:sz w:val="21"/>
                <w:highlight w:val="none"/>
              </w:rPr>
            </w:pPr>
          </w:p>
        </w:tc>
        <w:tc>
          <w:tcPr>
            <w:tcW w:w="1259" w:type="dxa"/>
            <w:vAlign w:val="top"/>
          </w:tcPr>
          <w:p w14:paraId="256A94B1">
            <w:pPr>
              <w:rPr>
                <w:rFonts w:ascii="Arial"/>
                <w:strike/>
                <w:dstrike w:val="0"/>
                <w:color w:val="auto"/>
                <w:sz w:val="21"/>
                <w:highlight w:val="none"/>
              </w:rPr>
            </w:pPr>
          </w:p>
        </w:tc>
        <w:tc>
          <w:tcPr>
            <w:tcW w:w="1305" w:type="dxa"/>
            <w:vAlign w:val="top"/>
          </w:tcPr>
          <w:p w14:paraId="74D062D1">
            <w:pPr>
              <w:rPr>
                <w:rFonts w:ascii="Arial"/>
                <w:strike/>
                <w:dstrike w:val="0"/>
                <w:color w:val="auto"/>
                <w:sz w:val="21"/>
                <w:highlight w:val="none"/>
              </w:rPr>
            </w:pPr>
          </w:p>
        </w:tc>
        <w:tc>
          <w:tcPr>
            <w:tcW w:w="1244" w:type="dxa"/>
            <w:vAlign w:val="top"/>
          </w:tcPr>
          <w:p w14:paraId="66DC84C9">
            <w:pPr>
              <w:rPr>
                <w:rFonts w:ascii="Arial"/>
                <w:strike/>
                <w:dstrike w:val="0"/>
                <w:color w:val="auto"/>
                <w:sz w:val="21"/>
                <w:highlight w:val="none"/>
              </w:rPr>
            </w:pPr>
          </w:p>
        </w:tc>
        <w:tc>
          <w:tcPr>
            <w:tcW w:w="1220" w:type="dxa"/>
            <w:vAlign w:val="top"/>
          </w:tcPr>
          <w:p w14:paraId="6B181132">
            <w:pPr>
              <w:rPr>
                <w:rFonts w:ascii="Arial"/>
                <w:strike/>
                <w:dstrike w:val="0"/>
                <w:color w:val="auto"/>
                <w:sz w:val="21"/>
                <w:highlight w:val="none"/>
              </w:rPr>
            </w:pPr>
          </w:p>
        </w:tc>
      </w:tr>
      <w:tr w14:paraId="75B8E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0C4B4FA0">
            <w:pPr>
              <w:rPr>
                <w:rFonts w:ascii="Arial"/>
                <w:strike/>
                <w:dstrike w:val="0"/>
                <w:color w:val="auto"/>
                <w:sz w:val="21"/>
                <w:highlight w:val="none"/>
              </w:rPr>
            </w:pPr>
          </w:p>
          <w:p w14:paraId="0D088621">
            <w:pPr>
              <w:pStyle w:val="17"/>
              <w:spacing w:before="69" w:line="241" w:lineRule="auto"/>
              <w:ind w:left="482"/>
              <w:rPr>
                <w:strike/>
                <w:dstrike w:val="0"/>
                <w:color w:val="auto"/>
                <w:highlight w:val="none"/>
              </w:rPr>
            </w:pPr>
            <w:r>
              <w:rPr>
                <w:strike/>
                <w:dstrike w:val="0"/>
                <w:color w:val="auto"/>
                <w:highlight w:val="none"/>
              </w:rPr>
              <w:t>2</w:t>
            </w:r>
          </w:p>
        </w:tc>
        <w:tc>
          <w:tcPr>
            <w:tcW w:w="1949" w:type="dxa"/>
            <w:vAlign w:val="top"/>
          </w:tcPr>
          <w:p w14:paraId="42E91F0F">
            <w:pPr>
              <w:rPr>
                <w:rFonts w:ascii="Arial"/>
                <w:strike/>
                <w:dstrike w:val="0"/>
                <w:color w:val="auto"/>
                <w:sz w:val="21"/>
                <w:highlight w:val="none"/>
              </w:rPr>
            </w:pPr>
          </w:p>
          <w:p w14:paraId="497F7C64">
            <w:pPr>
              <w:pStyle w:val="17"/>
              <w:spacing w:before="68" w:line="220" w:lineRule="auto"/>
              <w:ind w:left="669"/>
              <w:rPr>
                <w:strike/>
                <w:dstrike w:val="0"/>
                <w:color w:val="auto"/>
                <w:highlight w:val="none"/>
              </w:rPr>
            </w:pPr>
            <w:r>
              <w:rPr>
                <w:strike/>
                <w:dstrike w:val="0"/>
                <w:color w:val="auto"/>
                <w:spacing w:val="-4"/>
                <w:highlight w:val="none"/>
              </w:rPr>
              <w:t>高压柜</w:t>
            </w:r>
          </w:p>
        </w:tc>
        <w:tc>
          <w:tcPr>
            <w:tcW w:w="1390" w:type="dxa"/>
            <w:vAlign w:val="top"/>
          </w:tcPr>
          <w:p w14:paraId="28708A29">
            <w:pPr>
              <w:rPr>
                <w:rFonts w:ascii="Arial"/>
                <w:strike/>
                <w:dstrike w:val="0"/>
                <w:color w:val="auto"/>
                <w:sz w:val="21"/>
                <w:highlight w:val="none"/>
              </w:rPr>
            </w:pPr>
          </w:p>
        </w:tc>
        <w:tc>
          <w:tcPr>
            <w:tcW w:w="1259" w:type="dxa"/>
            <w:vAlign w:val="top"/>
          </w:tcPr>
          <w:p w14:paraId="089B955B">
            <w:pPr>
              <w:rPr>
                <w:rFonts w:ascii="Arial"/>
                <w:strike/>
                <w:dstrike w:val="0"/>
                <w:color w:val="auto"/>
                <w:sz w:val="21"/>
                <w:highlight w:val="none"/>
              </w:rPr>
            </w:pPr>
          </w:p>
        </w:tc>
        <w:tc>
          <w:tcPr>
            <w:tcW w:w="1305" w:type="dxa"/>
            <w:vAlign w:val="top"/>
          </w:tcPr>
          <w:p w14:paraId="72FDC255">
            <w:pPr>
              <w:rPr>
                <w:rFonts w:ascii="Arial"/>
                <w:strike/>
                <w:dstrike w:val="0"/>
                <w:color w:val="auto"/>
                <w:sz w:val="21"/>
                <w:highlight w:val="none"/>
              </w:rPr>
            </w:pPr>
          </w:p>
        </w:tc>
        <w:tc>
          <w:tcPr>
            <w:tcW w:w="1244" w:type="dxa"/>
            <w:vAlign w:val="top"/>
          </w:tcPr>
          <w:p w14:paraId="738ABFED">
            <w:pPr>
              <w:rPr>
                <w:rFonts w:ascii="Arial"/>
                <w:strike/>
                <w:dstrike w:val="0"/>
                <w:color w:val="auto"/>
                <w:sz w:val="21"/>
                <w:highlight w:val="none"/>
              </w:rPr>
            </w:pPr>
          </w:p>
        </w:tc>
        <w:tc>
          <w:tcPr>
            <w:tcW w:w="1220" w:type="dxa"/>
            <w:vAlign w:val="top"/>
          </w:tcPr>
          <w:p w14:paraId="529B2BD0">
            <w:pPr>
              <w:rPr>
                <w:rFonts w:ascii="Arial"/>
                <w:strike/>
                <w:dstrike w:val="0"/>
                <w:color w:val="auto"/>
                <w:sz w:val="21"/>
                <w:highlight w:val="none"/>
              </w:rPr>
            </w:pPr>
          </w:p>
        </w:tc>
      </w:tr>
      <w:tr w14:paraId="001E9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3E8EC279">
            <w:pPr>
              <w:pStyle w:val="17"/>
              <w:spacing w:before="309"/>
              <w:ind w:left="483"/>
              <w:rPr>
                <w:strike/>
                <w:dstrike w:val="0"/>
                <w:color w:val="auto"/>
                <w:highlight w:val="none"/>
              </w:rPr>
            </w:pPr>
            <w:r>
              <w:rPr>
                <w:strike/>
                <w:dstrike w:val="0"/>
                <w:color w:val="auto"/>
                <w:highlight w:val="none"/>
              </w:rPr>
              <w:t>3</w:t>
            </w:r>
          </w:p>
        </w:tc>
        <w:tc>
          <w:tcPr>
            <w:tcW w:w="1949" w:type="dxa"/>
            <w:vAlign w:val="top"/>
          </w:tcPr>
          <w:p w14:paraId="0694DFDC">
            <w:pPr>
              <w:rPr>
                <w:rFonts w:ascii="Arial"/>
                <w:strike/>
                <w:dstrike w:val="0"/>
                <w:color w:val="auto"/>
                <w:sz w:val="21"/>
                <w:highlight w:val="none"/>
              </w:rPr>
            </w:pPr>
          </w:p>
          <w:p w14:paraId="145AAB98">
            <w:pPr>
              <w:pStyle w:val="17"/>
              <w:spacing w:before="68" w:line="220" w:lineRule="auto"/>
              <w:ind w:left="663"/>
              <w:rPr>
                <w:strike/>
                <w:dstrike w:val="0"/>
                <w:color w:val="auto"/>
                <w:highlight w:val="none"/>
              </w:rPr>
            </w:pPr>
            <w:r>
              <w:rPr>
                <w:strike/>
                <w:dstrike w:val="0"/>
                <w:color w:val="auto"/>
                <w:spacing w:val="-2"/>
                <w:highlight w:val="none"/>
              </w:rPr>
              <w:t>配电柜</w:t>
            </w:r>
          </w:p>
        </w:tc>
        <w:tc>
          <w:tcPr>
            <w:tcW w:w="1390" w:type="dxa"/>
            <w:vAlign w:val="top"/>
          </w:tcPr>
          <w:p w14:paraId="63A41B76">
            <w:pPr>
              <w:rPr>
                <w:rFonts w:ascii="Arial"/>
                <w:strike/>
                <w:dstrike w:val="0"/>
                <w:color w:val="auto"/>
                <w:sz w:val="21"/>
                <w:highlight w:val="none"/>
              </w:rPr>
            </w:pPr>
          </w:p>
        </w:tc>
        <w:tc>
          <w:tcPr>
            <w:tcW w:w="1259" w:type="dxa"/>
            <w:vAlign w:val="top"/>
          </w:tcPr>
          <w:p w14:paraId="22572AA8">
            <w:pPr>
              <w:rPr>
                <w:rFonts w:ascii="Arial"/>
                <w:strike/>
                <w:dstrike w:val="0"/>
                <w:color w:val="auto"/>
                <w:sz w:val="21"/>
                <w:highlight w:val="none"/>
              </w:rPr>
            </w:pPr>
          </w:p>
        </w:tc>
        <w:tc>
          <w:tcPr>
            <w:tcW w:w="1305" w:type="dxa"/>
            <w:vAlign w:val="top"/>
          </w:tcPr>
          <w:p w14:paraId="6A8CF82F">
            <w:pPr>
              <w:rPr>
                <w:rFonts w:ascii="Arial"/>
                <w:strike/>
                <w:dstrike w:val="0"/>
                <w:color w:val="auto"/>
                <w:sz w:val="21"/>
                <w:highlight w:val="none"/>
              </w:rPr>
            </w:pPr>
          </w:p>
        </w:tc>
        <w:tc>
          <w:tcPr>
            <w:tcW w:w="1244" w:type="dxa"/>
            <w:vAlign w:val="top"/>
          </w:tcPr>
          <w:p w14:paraId="6665825A">
            <w:pPr>
              <w:rPr>
                <w:rFonts w:ascii="Arial"/>
                <w:strike/>
                <w:dstrike w:val="0"/>
                <w:color w:val="auto"/>
                <w:sz w:val="21"/>
                <w:highlight w:val="none"/>
              </w:rPr>
            </w:pPr>
          </w:p>
        </w:tc>
        <w:tc>
          <w:tcPr>
            <w:tcW w:w="1220" w:type="dxa"/>
            <w:vAlign w:val="top"/>
          </w:tcPr>
          <w:p w14:paraId="0F14F3A5">
            <w:pPr>
              <w:rPr>
                <w:rFonts w:ascii="Arial"/>
                <w:strike/>
                <w:dstrike w:val="0"/>
                <w:color w:val="auto"/>
                <w:sz w:val="21"/>
                <w:highlight w:val="none"/>
              </w:rPr>
            </w:pPr>
          </w:p>
        </w:tc>
      </w:tr>
      <w:tr w14:paraId="33344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66995D4A">
            <w:pPr>
              <w:spacing w:line="241" w:lineRule="auto"/>
              <w:rPr>
                <w:rFonts w:ascii="Arial"/>
                <w:strike/>
                <w:dstrike w:val="0"/>
                <w:color w:val="auto"/>
                <w:sz w:val="21"/>
                <w:highlight w:val="none"/>
              </w:rPr>
            </w:pPr>
          </w:p>
          <w:p w14:paraId="536942D1">
            <w:pPr>
              <w:pStyle w:val="17"/>
              <w:spacing w:before="69" w:line="241" w:lineRule="auto"/>
              <w:ind w:left="478"/>
              <w:rPr>
                <w:strike/>
                <w:dstrike w:val="0"/>
                <w:color w:val="auto"/>
                <w:highlight w:val="none"/>
              </w:rPr>
            </w:pPr>
            <w:r>
              <w:rPr>
                <w:strike/>
                <w:dstrike w:val="0"/>
                <w:color w:val="auto"/>
                <w:highlight w:val="none"/>
              </w:rPr>
              <w:t>4</w:t>
            </w:r>
          </w:p>
        </w:tc>
        <w:tc>
          <w:tcPr>
            <w:tcW w:w="1949" w:type="dxa"/>
            <w:vAlign w:val="top"/>
          </w:tcPr>
          <w:p w14:paraId="4E2190A4">
            <w:pPr>
              <w:spacing w:line="241" w:lineRule="auto"/>
              <w:rPr>
                <w:rFonts w:ascii="Arial"/>
                <w:strike/>
                <w:dstrike w:val="0"/>
                <w:color w:val="auto"/>
                <w:sz w:val="21"/>
                <w:highlight w:val="none"/>
              </w:rPr>
            </w:pPr>
          </w:p>
          <w:p w14:paraId="7CCCA17B">
            <w:pPr>
              <w:pStyle w:val="17"/>
              <w:spacing w:before="68" w:line="219" w:lineRule="auto"/>
              <w:ind w:left="453"/>
              <w:rPr>
                <w:strike/>
                <w:dstrike w:val="0"/>
                <w:color w:val="auto"/>
                <w:highlight w:val="none"/>
              </w:rPr>
            </w:pPr>
            <w:r>
              <w:rPr>
                <w:strike/>
                <w:dstrike w:val="0"/>
                <w:color w:val="auto"/>
                <w:spacing w:val="-2"/>
                <w:highlight w:val="none"/>
              </w:rPr>
              <w:t>柴油发电机</w:t>
            </w:r>
          </w:p>
        </w:tc>
        <w:tc>
          <w:tcPr>
            <w:tcW w:w="1390" w:type="dxa"/>
            <w:vAlign w:val="top"/>
          </w:tcPr>
          <w:p w14:paraId="5A985DBF">
            <w:pPr>
              <w:rPr>
                <w:rFonts w:ascii="Arial"/>
                <w:strike/>
                <w:dstrike w:val="0"/>
                <w:color w:val="auto"/>
                <w:sz w:val="21"/>
                <w:highlight w:val="none"/>
              </w:rPr>
            </w:pPr>
          </w:p>
        </w:tc>
        <w:tc>
          <w:tcPr>
            <w:tcW w:w="1259" w:type="dxa"/>
            <w:vAlign w:val="top"/>
          </w:tcPr>
          <w:p w14:paraId="65358DDB">
            <w:pPr>
              <w:rPr>
                <w:rFonts w:ascii="Arial"/>
                <w:strike/>
                <w:dstrike w:val="0"/>
                <w:color w:val="auto"/>
                <w:sz w:val="21"/>
                <w:highlight w:val="none"/>
              </w:rPr>
            </w:pPr>
          </w:p>
        </w:tc>
        <w:tc>
          <w:tcPr>
            <w:tcW w:w="1305" w:type="dxa"/>
            <w:vAlign w:val="top"/>
          </w:tcPr>
          <w:p w14:paraId="075A6E65">
            <w:pPr>
              <w:rPr>
                <w:rFonts w:ascii="Arial"/>
                <w:strike/>
                <w:dstrike w:val="0"/>
                <w:color w:val="auto"/>
                <w:sz w:val="21"/>
                <w:highlight w:val="none"/>
              </w:rPr>
            </w:pPr>
          </w:p>
        </w:tc>
        <w:tc>
          <w:tcPr>
            <w:tcW w:w="1244" w:type="dxa"/>
            <w:vAlign w:val="top"/>
          </w:tcPr>
          <w:p w14:paraId="18EDB80A">
            <w:pPr>
              <w:rPr>
                <w:rFonts w:ascii="Arial"/>
                <w:strike/>
                <w:dstrike w:val="0"/>
                <w:color w:val="auto"/>
                <w:sz w:val="21"/>
                <w:highlight w:val="none"/>
              </w:rPr>
            </w:pPr>
          </w:p>
        </w:tc>
        <w:tc>
          <w:tcPr>
            <w:tcW w:w="1220" w:type="dxa"/>
            <w:vAlign w:val="top"/>
          </w:tcPr>
          <w:p w14:paraId="12E60AB0">
            <w:pPr>
              <w:rPr>
                <w:rFonts w:ascii="Arial"/>
                <w:strike/>
                <w:dstrike w:val="0"/>
                <w:color w:val="auto"/>
                <w:sz w:val="21"/>
                <w:highlight w:val="none"/>
              </w:rPr>
            </w:pPr>
          </w:p>
        </w:tc>
      </w:tr>
      <w:tr w14:paraId="39B08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50320FDC">
            <w:pPr>
              <w:pStyle w:val="17"/>
              <w:spacing w:before="309"/>
              <w:ind w:left="483"/>
              <w:rPr>
                <w:strike/>
                <w:dstrike w:val="0"/>
                <w:color w:val="auto"/>
                <w:highlight w:val="none"/>
              </w:rPr>
            </w:pPr>
            <w:r>
              <w:rPr>
                <w:strike/>
                <w:dstrike w:val="0"/>
                <w:color w:val="auto"/>
                <w:highlight w:val="none"/>
              </w:rPr>
              <w:t>5</w:t>
            </w:r>
          </w:p>
        </w:tc>
        <w:tc>
          <w:tcPr>
            <w:tcW w:w="1949" w:type="dxa"/>
            <w:vAlign w:val="top"/>
          </w:tcPr>
          <w:p w14:paraId="3E3A31B5">
            <w:pPr>
              <w:spacing w:line="318" w:lineRule="auto"/>
              <w:rPr>
                <w:rFonts w:ascii="Arial"/>
                <w:strike/>
                <w:dstrike w:val="0"/>
                <w:color w:val="auto"/>
                <w:sz w:val="21"/>
                <w:highlight w:val="none"/>
              </w:rPr>
            </w:pPr>
          </w:p>
          <w:p w14:paraId="7B1A2C28">
            <w:pPr>
              <w:pStyle w:val="17"/>
              <w:spacing w:before="68" w:line="163" w:lineRule="exact"/>
              <w:ind w:left="816"/>
              <w:rPr>
                <w:strike/>
                <w:dstrike w:val="0"/>
                <w:color w:val="auto"/>
                <w:highlight w:val="none"/>
              </w:rPr>
            </w:pPr>
            <w:r>
              <w:rPr>
                <w:strike/>
                <w:dstrike w:val="0"/>
                <w:color w:val="auto"/>
                <w:spacing w:val="-2"/>
                <w:position w:val="1"/>
                <w:highlight w:val="none"/>
              </w:rPr>
              <w:t>ups</w:t>
            </w:r>
          </w:p>
        </w:tc>
        <w:tc>
          <w:tcPr>
            <w:tcW w:w="1390" w:type="dxa"/>
            <w:vAlign w:val="top"/>
          </w:tcPr>
          <w:p w14:paraId="0EACC96A">
            <w:pPr>
              <w:rPr>
                <w:rFonts w:ascii="Arial"/>
                <w:strike/>
                <w:dstrike w:val="0"/>
                <w:color w:val="auto"/>
                <w:sz w:val="21"/>
                <w:highlight w:val="none"/>
              </w:rPr>
            </w:pPr>
          </w:p>
        </w:tc>
        <w:tc>
          <w:tcPr>
            <w:tcW w:w="1259" w:type="dxa"/>
            <w:vAlign w:val="top"/>
          </w:tcPr>
          <w:p w14:paraId="7A94B10F">
            <w:pPr>
              <w:rPr>
                <w:rFonts w:ascii="Arial"/>
                <w:strike/>
                <w:dstrike w:val="0"/>
                <w:color w:val="auto"/>
                <w:sz w:val="21"/>
                <w:highlight w:val="none"/>
              </w:rPr>
            </w:pPr>
          </w:p>
        </w:tc>
        <w:tc>
          <w:tcPr>
            <w:tcW w:w="1305" w:type="dxa"/>
            <w:vAlign w:val="top"/>
          </w:tcPr>
          <w:p w14:paraId="2A163C1F">
            <w:pPr>
              <w:rPr>
                <w:rFonts w:ascii="Arial"/>
                <w:strike/>
                <w:dstrike w:val="0"/>
                <w:color w:val="auto"/>
                <w:sz w:val="21"/>
                <w:highlight w:val="none"/>
              </w:rPr>
            </w:pPr>
          </w:p>
        </w:tc>
        <w:tc>
          <w:tcPr>
            <w:tcW w:w="1244" w:type="dxa"/>
            <w:vAlign w:val="top"/>
          </w:tcPr>
          <w:p w14:paraId="08AA9936">
            <w:pPr>
              <w:rPr>
                <w:rFonts w:ascii="Arial"/>
                <w:strike/>
                <w:dstrike w:val="0"/>
                <w:color w:val="auto"/>
                <w:sz w:val="21"/>
                <w:highlight w:val="none"/>
              </w:rPr>
            </w:pPr>
          </w:p>
        </w:tc>
        <w:tc>
          <w:tcPr>
            <w:tcW w:w="1220" w:type="dxa"/>
            <w:vAlign w:val="top"/>
          </w:tcPr>
          <w:p w14:paraId="0616ECA3">
            <w:pPr>
              <w:rPr>
                <w:rFonts w:ascii="Arial"/>
                <w:strike/>
                <w:dstrike w:val="0"/>
                <w:color w:val="auto"/>
                <w:sz w:val="21"/>
                <w:highlight w:val="none"/>
              </w:rPr>
            </w:pPr>
          </w:p>
        </w:tc>
      </w:tr>
      <w:tr w14:paraId="4A0A6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28515F3B">
            <w:pPr>
              <w:spacing w:line="395" w:lineRule="auto"/>
              <w:rPr>
                <w:rFonts w:ascii="Arial"/>
                <w:strike/>
                <w:dstrike w:val="0"/>
                <w:color w:val="auto"/>
                <w:sz w:val="21"/>
                <w:highlight w:val="none"/>
              </w:rPr>
            </w:pPr>
          </w:p>
          <w:p w14:paraId="387DA694">
            <w:pPr>
              <w:pStyle w:val="17"/>
              <w:spacing w:before="68" w:line="87"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753AF8C5">
            <w:pPr>
              <w:rPr>
                <w:rFonts w:ascii="Arial"/>
                <w:strike/>
                <w:dstrike w:val="0"/>
                <w:color w:val="auto"/>
                <w:sz w:val="21"/>
                <w:highlight w:val="none"/>
              </w:rPr>
            </w:pPr>
          </w:p>
        </w:tc>
        <w:tc>
          <w:tcPr>
            <w:tcW w:w="1390" w:type="dxa"/>
            <w:vAlign w:val="top"/>
          </w:tcPr>
          <w:p w14:paraId="7D586D9B">
            <w:pPr>
              <w:rPr>
                <w:rFonts w:ascii="Arial"/>
                <w:strike/>
                <w:dstrike w:val="0"/>
                <w:color w:val="auto"/>
                <w:sz w:val="21"/>
                <w:highlight w:val="none"/>
              </w:rPr>
            </w:pPr>
          </w:p>
        </w:tc>
        <w:tc>
          <w:tcPr>
            <w:tcW w:w="1259" w:type="dxa"/>
            <w:vAlign w:val="top"/>
          </w:tcPr>
          <w:p w14:paraId="0758CF5B">
            <w:pPr>
              <w:rPr>
                <w:rFonts w:ascii="Arial"/>
                <w:strike/>
                <w:dstrike w:val="0"/>
                <w:color w:val="auto"/>
                <w:sz w:val="21"/>
                <w:highlight w:val="none"/>
              </w:rPr>
            </w:pPr>
          </w:p>
        </w:tc>
        <w:tc>
          <w:tcPr>
            <w:tcW w:w="1305" w:type="dxa"/>
            <w:vAlign w:val="top"/>
          </w:tcPr>
          <w:p w14:paraId="01B84C25">
            <w:pPr>
              <w:rPr>
                <w:rFonts w:ascii="Arial"/>
                <w:strike/>
                <w:dstrike w:val="0"/>
                <w:color w:val="auto"/>
                <w:sz w:val="21"/>
                <w:highlight w:val="none"/>
              </w:rPr>
            </w:pPr>
          </w:p>
        </w:tc>
        <w:tc>
          <w:tcPr>
            <w:tcW w:w="1244" w:type="dxa"/>
            <w:vAlign w:val="top"/>
          </w:tcPr>
          <w:p w14:paraId="2BE91206">
            <w:pPr>
              <w:rPr>
                <w:rFonts w:ascii="Arial"/>
                <w:strike/>
                <w:dstrike w:val="0"/>
                <w:color w:val="auto"/>
                <w:sz w:val="21"/>
                <w:highlight w:val="none"/>
              </w:rPr>
            </w:pPr>
          </w:p>
        </w:tc>
        <w:tc>
          <w:tcPr>
            <w:tcW w:w="1220" w:type="dxa"/>
            <w:vAlign w:val="top"/>
          </w:tcPr>
          <w:p w14:paraId="100536BB">
            <w:pPr>
              <w:rPr>
                <w:rFonts w:ascii="Arial"/>
                <w:strike/>
                <w:dstrike w:val="0"/>
                <w:color w:val="auto"/>
                <w:sz w:val="21"/>
                <w:highlight w:val="none"/>
              </w:rPr>
            </w:pPr>
          </w:p>
        </w:tc>
      </w:tr>
      <w:tr w14:paraId="0EB27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421" w:type="dxa"/>
            <w:gridSpan w:val="7"/>
            <w:vAlign w:val="top"/>
          </w:tcPr>
          <w:p w14:paraId="0C0EE81E">
            <w:pPr>
              <w:rPr>
                <w:rFonts w:ascii="Arial"/>
                <w:strike/>
                <w:dstrike w:val="0"/>
                <w:color w:val="auto"/>
                <w:sz w:val="21"/>
                <w:highlight w:val="none"/>
              </w:rPr>
            </w:pPr>
          </w:p>
          <w:p w14:paraId="731431D9">
            <w:pPr>
              <w:pStyle w:val="17"/>
              <w:spacing w:before="68" w:line="220" w:lineRule="auto"/>
              <w:ind w:left="4096"/>
              <w:rPr>
                <w:strike/>
                <w:dstrike w:val="0"/>
                <w:color w:val="auto"/>
                <w:highlight w:val="none"/>
              </w:rPr>
            </w:pPr>
            <w:r>
              <w:rPr>
                <w:strike/>
                <w:dstrike w:val="0"/>
                <w:color w:val="auto"/>
                <w:spacing w:val="-3"/>
                <w:highlight w:val="none"/>
              </w:rPr>
              <w:t>隧道监控系统</w:t>
            </w:r>
          </w:p>
        </w:tc>
      </w:tr>
      <w:tr w14:paraId="2ED3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5E4AFF04">
            <w:pPr>
              <w:spacing w:line="241" w:lineRule="auto"/>
              <w:rPr>
                <w:rFonts w:ascii="Arial"/>
                <w:strike/>
                <w:dstrike w:val="0"/>
                <w:color w:val="auto"/>
                <w:sz w:val="21"/>
                <w:highlight w:val="none"/>
              </w:rPr>
            </w:pPr>
          </w:p>
          <w:p w14:paraId="1EB367E5">
            <w:pPr>
              <w:pStyle w:val="17"/>
              <w:spacing w:before="69" w:line="241" w:lineRule="auto"/>
              <w:ind w:left="495"/>
              <w:rPr>
                <w:strike/>
                <w:dstrike w:val="0"/>
                <w:color w:val="auto"/>
                <w:highlight w:val="none"/>
              </w:rPr>
            </w:pPr>
            <w:r>
              <w:rPr>
                <w:strike/>
                <w:dstrike w:val="0"/>
                <w:color w:val="auto"/>
                <w:highlight w:val="none"/>
              </w:rPr>
              <w:t>1</w:t>
            </w:r>
          </w:p>
        </w:tc>
        <w:tc>
          <w:tcPr>
            <w:tcW w:w="1949" w:type="dxa"/>
            <w:vAlign w:val="top"/>
          </w:tcPr>
          <w:p w14:paraId="6A248308">
            <w:pPr>
              <w:spacing w:line="241" w:lineRule="auto"/>
              <w:rPr>
                <w:rFonts w:ascii="Arial"/>
                <w:strike/>
                <w:dstrike w:val="0"/>
                <w:color w:val="auto"/>
                <w:sz w:val="21"/>
                <w:highlight w:val="none"/>
              </w:rPr>
            </w:pPr>
          </w:p>
          <w:p w14:paraId="592C8419">
            <w:pPr>
              <w:pStyle w:val="17"/>
              <w:spacing w:before="68" w:line="219" w:lineRule="auto"/>
              <w:ind w:left="663"/>
              <w:rPr>
                <w:strike/>
                <w:dstrike w:val="0"/>
                <w:color w:val="auto"/>
                <w:highlight w:val="none"/>
              </w:rPr>
            </w:pPr>
            <w:r>
              <w:rPr>
                <w:strike/>
                <w:dstrike w:val="0"/>
                <w:color w:val="auto"/>
                <w:spacing w:val="-2"/>
                <w:highlight w:val="none"/>
              </w:rPr>
              <w:t>摄像机</w:t>
            </w:r>
          </w:p>
        </w:tc>
        <w:tc>
          <w:tcPr>
            <w:tcW w:w="1390" w:type="dxa"/>
            <w:vAlign w:val="top"/>
          </w:tcPr>
          <w:p w14:paraId="00625DDE">
            <w:pPr>
              <w:rPr>
                <w:rFonts w:ascii="Arial"/>
                <w:strike/>
                <w:dstrike w:val="0"/>
                <w:color w:val="auto"/>
                <w:sz w:val="21"/>
                <w:highlight w:val="none"/>
              </w:rPr>
            </w:pPr>
          </w:p>
        </w:tc>
        <w:tc>
          <w:tcPr>
            <w:tcW w:w="1259" w:type="dxa"/>
            <w:vAlign w:val="top"/>
          </w:tcPr>
          <w:p w14:paraId="11C88B78">
            <w:pPr>
              <w:rPr>
                <w:rFonts w:ascii="Arial"/>
                <w:strike/>
                <w:dstrike w:val="0"/>
                <w:color w:val="auto"/>
                <w:sz w:val="21"/>
                <w:highlight w:val="none"/>
              </w:rPr>
            </w:pPr>
          </w:p>
        </w:tc>
        <w:tc>
          <w:tcPr>
            <w:tcW w:w="1305" w:type="dxa"/>
            <w:vAlign w:val="top"/>
          </w:tcPr>
          <w:p w14:paraId="5FC7D9C7">
            <w:pPr>
              <w:rPr>
                <w:rFonts w:ascii="Arial"/>
                <w:strike/>
                <w:dstrike w:val="0"/>
                <w:color w:val="auto"/>
                <w:sz w:val="21"/>
                <w:highlight w:val="none"/>
              </w:rPr>
            </w:pPr>
          </w:p>
        </w:tc>
        <w:tc>
          <w:tcPr>
            <w:tcW w:w="1244" w:type="dxa"/>
            <w:vAlign w:val="top"/>
          </w:tcPr>
          <w:p w14:paraId="27CF87D9">
            <w:pPr>
              <w:rPr>
                <w:rFonts w:ascii="Arial"/>
                <w:strike/>
                <w:dstrike w:val="0"/>
                <w:color w:val="auto"/>
                <w:sz w:val="21"/>
                <w:highlight w:val="none"/>
              </w:rPr>
            </w:pPr>
          </w:p>
        </w:tc>
        <w:tc>
          <w:tcPr>
            <w:tcW w:w="1220" w:type="dxa"/>
            <w:vAlign w:val="top"/>
          </w:tcPr>
          <w:p w14:paraId="3B3809FD">
            <w:pPr>
              <w:rPr>
                <w:rFonts w:ascii="Arial"/>
                <w:strike/>
                <w:dstrike w:val="0"/>
                <w:color w:val="auto"/>
                <w:sz w:val="21"/>
                <w:highlight w:val="none"/>
              </w:rPr>
            </w:pPr>
          </w:p>
        </w:tc>
      </w:tr>
      <w:tr w14:paraId="048A1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1FA566F5">
            <w:pPr>
              <w:rPr>
                <w:rFonts w:ascii="Arial"/>
                <w:strike/>
                <w:dstrike w:val="0"/>
                <w:color w:val="auto"/>
                <w:sz w:val="21"/>
                <w:highlight w:val="none"/>
              </w:rPr>
            </w:pPr>
          </w:p>
          <w:p w14:paraId="122F894C">
            <w:pPr>
              <w:pStyle w:val="17"/>
              <w:spacing w:before="68" w:line="241" w:lineRule="auto"/>
              <w:ind w:left="482"/>
              <w:rPr>
                <w:strike/>
                <w:dstrike w:val="0"/>
                <w:color w:val="auto"/>
                <w:highlight w:val="none"/>
              </w:rPr>
            </w:pPr>
            <w:r>
              <w:rPr>
                <w:strike/>
                <w:dstrike w:val="0"/>
                <w:color w:val="auto"/>
                <w:highlight w:val="none"/>
              </w:rPr>
              <w:t>2</w:t>
            </w:r>
          </w:p>
        </w:tc>
        <w:tc>
          <w:tcPr>
            <w:tcW w:w="1949" w:type="dxa"/>
            <w:vAlign w:val="top"/>
          </w:tcPr>
          <w:p w14:paraId="1FA12624">
            <w:pPr>
              <w:pStyle w:val="17"/>
              <w:spacing w:before="309" w:line="220" w:lineRule="auto"/>
              <w:ind w:left="245"/>
              <w:rPr>
                <w:strike/>
                <w:dstrike w:val="0"/>
                <w:color w:val="auto"/>
                <w:highlight w:val="none"/>
              </w:rPr>
            </w:pPr>
            <w:r>
              <w:rPr>
                <w:strike/>
                <w:dstrike w:val="0"/>
                <w:color w:val="auto"/>
                <w:spacing w:val="-2"/>
                <w:highlight w:val="none"/>
              </w:rPr>
              <w:t>火灾报警控制器</w:t>
            </w:r>
          </w:p>
        </w:tc>
        <w:tc>
          <w:tcPr>
            <w:tcW w:w="1390" w:type="dxa"/>
            <w:vAlign w:val="top"/>
          </w:tcPr>
          <w:p w14:paraId="4F42BE38">
            <w:pPr>
              <w:rPr>
                <w:rFonts w:ascii="Arial"/>
                <w:strike/>
                <w:dstrike w:val="0"/>
                <w:color w:val="auto"/>
                <w:sz w:val="21"/>
                <w:highlight w:val="none"/>
              </w:rPr>
            </w:pPr>
          </w:p>
        </w:tc>
        <w:tc>
          <w:tcPr>
            <w:tcW w:w="1259" w:type="dxa"/>
            <w:vAlign w:val="top"/>
          </w:tcPr>
          <w:p w14:paraId="217B9C77">
            <w:pPr>
              <w:rPr>
                <w:rFonts w:ascii="Arial"/>
                <w:strike/>
                <w:dstrike w:val="0"/>
                <w:color w:val="auto"/>
                <w:sz w:val="21"/>
                <w:highlight w:val="none"/>
              </w:rPr>
            </w:pPr>
          </w:p>
        </w:tc>
        <w:tc>
          <w:tcPr>
            <w:tcW w:w="1305" w:type="dxa"/>
            <w:vAlign w:val="top"/>
          </w:tcPr>
          <w:p w14:paraId="74CF23D2">
            <w:pPr>
              <w:rPr>
                <w:rFonts w:ascii="Arial"/>
                <w:strike/>
                <w:dstrike w:val="0"/>
                <w:color w:val="auto"/>
                <w:sz w:val="21"/>
                <w:highlight w:val="none"/>
              </w:rPr>
            </w:pPr>
          </w:p>
        </w:tc>
        <w:tc>
          <w:tcPr>
            <w:tcW w:w="1244" w:type="dxa"/>
            <w:vAlign w:val="top"/>
          </w:tcPr>
          <w:p w14:paraId="0B95A902">
            <w:pPr>
              <w:rPr>
                <w:rFonts w:ascii="Arial"/>
                <w:strike/>
                <w:dstrike w:val="0"/>
                <w:color w:val="auto"/>
                <w:sz w:val="21"/>
                <w:highlight w:val="none"/>
              </w:rPr>
            </w:pPr>
          </w:p>
        </w:tc>
        <w:tc>
          <w:tcPr>
            <w:tcW w:w="1220" w:type="dxa"/>
            <w:vAlign w:val="top"/>
          </w:tcPr>
          <w:p w14:paraId="2343965E">
            <w:pPr>
              <w:rPr>
                <w:rFonts w:ascii="Arial"/>
                <w:strike/>
                <w:dstrike w:val="0"/>
                <w:color w:val="auto"/>
                <w:sz w:val="21"/>
                <w:highlight w:val="none"/>
              </w:rPr>
            </w:pPr>
          </w:p>
        </w:tc>
      </w:tr>
      <w:tr w14:paraId="4FE37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054" w:type="dxa"/>
            <w:vAlign w:val="top"/>
          </w:tcPr>
          <w:p w14:paraId="353B0A9D">
            <w:pPr>
              <w:spacing w:line="241" w:lineRule="auto"/>
              <w:rPr>
                <w:rFonts w:ascii="Arial"/>
                <w:strike/>
                <w:dstrike w:val="0"/>
                <w:color w:val="auto"/>
                <w:sz w:val="21"/>
                <w:highlight w:val="none"/>
              </w:rPr>
            </w:pPr>
          </w:p>
          <w:p w14:paraId="27654C2A">
            <w:pPr>
              <w:pStyle w:val="17"/>
              <w:spacing w:before="68"/>
              <w:ind w:left="483"/>
              <w:rPr>
                <w:strike/>
                <w:dstrike w:val="0"/>
                <w:color w:val="auto"/>
                <w:highlight w:val="none"/>
              </w:rPr>
            </w:pPr>
            <w:r>
              <w:rPr>
                <w:strike/>
                <w:dstrike w:val="0"/>
                <w:color w:val="auto"/>
                <w:highlight w:val="none"/>
              </w:rPr>
              <w:t>3</w:t>
            </w:r>
          </w:p>
        </w:tc>
        <w:tc>
          <w:tcPr>
            <w:tcW w:w="1949" w:type="dxa"/>
            <w:vAlign w:val="top"/>
          </w:tcPr>
          <w:p w14:paraId="2DD98294">
            <w:pPr>
              <w:spacing w:line="241" w:lineRule="auto"/>
              <w:rPr>
                <w:rFonts w:ascii="Arial"/>
                <w:strike/>
                <w:dstrike w:val="0"/>
                <w:color w:val="auto"/>
                <w:sz w:val="21"/>
                <w:highlight w:val="none"/>
              </w:rPr>
            </w:pPr>
          </w:p>
          <w:p w14:paraId="75638B19">
            <w:pPr>
              <w:pStyle w:val="17"/>
              <w:spacing w:before="69" w:line="220" w:lineRule="auto"/>
              <w:ind w:left="240"/>
              <w:rPr>
                <w:strike/>
                <w:dstrike w:val="0"/>
                <w:color w:val="auto"/>
                <w:highlight w:val="none"/>
              </w:rPr>
            </w:pPr>
            <w:r>
              <w:rPr>
                <w:strike/>
                <w:dstrike w:val="0"/>
                <w:color w:val="auto"/>
                <w:spacing w:val="-1"/>
                <w:highlight w:val="none"/>
              </w:rPr>
              <w:t>PLC/智能控制器</w:t>
            </w:r>
          </w:p>
        </w:tc>
        <w:tc>
          <w:tcPr>
            <w:tcW w:w="1390" w:type="dxa"/>
            <w:vAlign w:val="top"/>
          </w:tcPr>
          <w:p w14:paraId="4EFCE6EB">
            <w:pPr>
              <w:rPr>
                <w:rFonts w:ascii="Arial"/>
                <w:strike/>
                <w:dstrike w:val="0"/>
                <w:color w:val="auto"/>
                <w:sz w:val="21"/>
                <w:highlight w:val="none"/>
              </w:rPr>
            </w:pPr>
          </w:p>
        </w:tc>
        <w:tc>
          <w:tcPr>
            <w:tcW w:w="1259" w:type="dxa"/>
            <w:vAlign w:val="top"/>
          </w:tcPr>
          <w:p w14:paraId="6381FEBD">
            <w:pPr>
              <w:rPr>
                <w:rFonts w:ascii="Arial"/>
                <w:strike/>
                <w:dstrike w:val="0"/>
                <w:color w:val="auto"/>
                <w:sz w:val="21"/>
                <w:highlight w:val="none"/>
              </w:rPr>
            </w:pPr>
          </w:p>
        </w:tc>
        <w:tc>
          <w:tcPr>
            <w:tcW w:w="1305" w:type="dxa"/>
            <w:vAlign w:val="top"/>
          </w:tcPr>
          <w:p w14:paraId="28B1D726">
            <w:pPr>
              <w:rPr>
                <w:rFonts w:ascii="Arial"/>
                <w:strike/>
                <w:dstrike w:val="0"/>
                <w:color w:val="auto"/>
                <w:sz w:val="21"/>
                <w:highlight w:val="none"/>
              </w:rPr>
            </w:pPr>
          </w:p>
        </w:tc>
        <w:tc>
          <w:tcPr>
            <w:tcW w:w="1244" w:type="dxa"/>
            <w:vAlign w:val="top"/>
          </w:tcPr>
          <w:p w14:paraId="7A93D901">
            <w:pPr>
              <w:rPr>
                <w:rFonts w:ascii="Arial"/>
                <w:strike/>
                <w:dstrike w:val="0"/>
                <w:color w:val="auto"/>
                <w:sz w:val="21"/>
                <w:highlight w:val="none"/>
              </w:rPr>
            </w:pPr>
          </w:p>
        </w:tc>
        <w:tc>
          <w:tcPr>
            <w:tcW w:w="1220" w:type="dxa"/>
            <w:vAlign w:val="top"/>
          </w:tcPr>
          <w:p w14:paraId="2E86E311">
            <w:pPr>
              <w:rPr>
                <w:rFonts w:ascii="Arial"/>
                <w:strike/>
                <w:dstrike w:val="0"/>
                <w:color w:val="auto"/>
                <w:sz w:val="21"/>
                <w:highlight w:val="none"/>
              </w:rPr>
            </w:pPr>
          </w:p>
        </w:tc>
      </w:tr>
    </w:tbl>
    <w:p w14:paraId="546DE1A9">
      <w:pPr>
        <w:pStyle w:val="3"/>
        <w:rPr>
          <w:strike/>
          <w:dstrike w:val="0"/>
          <w:color w:val="auto"/>
          <w:highlight w:val="none"/>
        </w:rPr>
      </w:pPr>
    </w:p>
    <w:p w14:paraId="78159EE1">
      <w:pPr>
        <w:rPr>
          <w:strike/>
          <w:dstrike w:val="0"/>
          <w:color w:val="auto"/>
          <w:highlight w:val="none"/>
        </w:rPr>
        <w:sectPr>
          <w:headerReference r:id="rId212" w:type="default"/>
          <w:footerReference r:id="rId213" w:type="default"/>
          <w:pgSz w:w="11905" w:h="16840"/>
          <w:pgMar w:top="1182" w:right="0" w:bottom="1171" w:left="0" w:header="849" w:footer="937" w:gutter="0"/>
          <w:pgNumType w:fmt="decimal"/>
          <w:cols w:space="720" w:num="1"/>
        </w:sectPr>
      </w:pPr>
    </w:p>
    <w:p w14:paraId="72ED1B4E">
      <w:pPr>
        <w:spacing w:line="234" w:lineRule="exact"/>
        <w:rPr>
          <w:strike/>
          <w:dstrike w:val="0"/>
          <w:color w:val="auto"/>
          <w:highlight w:val="none"/>
        </w:rPr>
      </w:pPr>
    </w:p>
    <w:tbl>
      <w:tblPr>
        <w:tblStyle w:val="16"/>
        <w:tblW w:w="9421" w:type="dxa"/>
        <w:tblInd w:w="1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0D46B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1054" w:type="dxa"/>
            <w:vAlign w:val="top"/>
          </w:tcPr>
          <w:p w14:paraId="7FD5A2F8">
            <w:pPr>
              <w:spacing w:line="241" w:lineRule="auto"/>
              <w:rPr>
                <w:rFonts w:ascii="Arial"/>
                <w:strike/>
                <w:dstrike w:val="0"/>
                <w:color w:val="auto"/>
                <w:sz w:val="21"/>
                <w:highlight w:val="none"/>
              </w:rPr>
            </w:pPr>
          </w:p>
          <w:p w14:paraId="38A59261">
            <w:pPr>
              <w:pStyle w:val="17"/>
              <w:spacing w:before="69" w:line="241" w:lineRule="auto"/>
              <w:ind w:left="478"/>
              <w:rPr>
                <w:strike/>
                <w:dstrike w:val="0"/>
                <w:color w:val="auto"/>
                <w:highlight w:val="none"/>
              </w:rPr>
            </w:pPr>
            <w:r>
              <w:rPr>
                <w:strike/>
                <w:dstrike w:val="0"/>
                <w:color w:val="auto"/>
                <w:highlight w:val="none"/>
              </w:rPr>
              <w:t>4</w:t>
            </w:r>
          </w:p>
        </w:tc>
        <w:tc>
          <w:tcPr>
            <w:tcW w:w="1949" w:type="dxa"/>
            <w:vAlign w:val="top"/>
          </w:tcPr>
          <w:p w14:paraId="7472C59E">
            <w:pPr>
              <w:spacing w:line="241" w:lineRule="auto"/>
              <w:rPr>
                <w:rFonts w:ascii="Arial"/>
                <w:strike/>
                <w:dstrike w:val="0"/>
                <w:color w:val="auto"/>
                <w:sz w:val="21"/>
                <w:highlight w:val="none"/>
              </w:rPr>
            </w:pPr>
          </w:p>
          <w:p w14:paraId="55690F30">
            <w:pPr>
              <w:pStyle w:val="17"/>
              <w:spacing w:before="69" w:line="220" w:lineRule="auto"/>
              <w:ind w:left="469"/>
              <w:rPr>
                <w:strike/>
                <w:dstrike w:val="0"/>
                <w:color w:val="auto"/>
                <w:highlight w:val="none"/>
              </w:rPr>
            </w:pPr>
            <w:r>
              <w:rPr>
                <w:strike/>
                <w:dstrike w:val="0"/>
                <w:color w:val="auto"/>
                <w:spacing w:val="-4"/>
                <w:highlight w:val="none"/>
              </w:rPr>
              <w:t>区域控制器</w:t>
            </w:r>
          </w:p>
        </w:tc>
        <w:tc>
          <w:tcPr>
            <w:tcW w:w="1390" w:type="dxa"/>
            <w:vAlign w:val="top"/>
          </w:tcPr>
          <w:p w14:paraId="69473862">
            <w:pPr>
              <w:rPr>
                <w:rFonts w:ascii="Arial"/>
                <w:strike/>
                <w:dstrike w:val="0"/>
                <w:color w:val="auto"/>
                <w:sz w:val="21"/>
                <w:highlight w:val="none"/>
              </w:rPr>
            </w:pPr>
          </w:p>
        </w:tc>
        <w:tc>
          <w:tcPr>
            <w:tcW w:w="1259" w:type="dxa"/>
            <w:vAlign w:val="top"/>
          </w:tcPr>
          <w:p w14:paraId="0C63A531">
            <w:pPr>
              <w:rPr>
                <w:rFonts w:ascii="Arial"/>
                <w:strike/>
                <w:dstrike w:val="0"/>
                <w:color w:val="auto"/>
                <w:sz w:val="21"/>
                <w:highlight w:val="none"/>
              </w:rPr>
            </w:pPr>
          </w:p>
        </w:tc>
        <w:tc>
          <w:tcPr>
            <w:tcW w:w="1305" w:type="dxa"/>
            <w:vAlign w:val="top"/>
          </w:tcPr>
          <w:p w14:paraId="171809D9">
            <w:pPr>
              <w:rPr>
                <w:rFonts w:ascii="Arial"/>
                <w:strike/>
                <w:dstrike w:val="0"/>
                <w:color w:val="auto"/>
                <w:sz w:val="21"/>
                <w:highlight w:val="none"/>
              </w:rPr>
            </w:pPr>
          </w:p>
        </w:tc>
        <w:tc>
          <w:tcPr>
            <w:tcW w:w="1244" w:type="dxa"/>
            <w:vAlign w:val="top"/>
          </w:tcPr>
          <w:p w14:paraId="289F6941">
            <w:pPr>
              <w:rPr>
                <w:rFonts w:ascii="Arial"/>
                <w:strike/>
                <w:dstrike w:val="0"/>
                <w:color w:val="auto"/>
                <w:sz w:val="21"/>
                <w:highlight w:val="none"/>
              </w:rPr>
            </w:pPr>
          </w:p>
        </w:tc>
        <w:tc>
          <w:tcPr>
            <w:tcW w:w="1220" w:type="dxa"/>
            <w:vAlign w:val="top"/>
          </w:tcPr>
          <w:p w14:paraId="7782A4C9">
            <w:pPr>
              <w:rPr>
                <w:rFonts w:ascii="Arial"/>
                <w:strike/>
                <w:dstrike w:val="0"/>
                <w:color w:val="auto"/>
                <w:sz w:val="21"/>
                <w:highlight w:val="none"/>
              </w:rPr>
            </w:pPr>
          </w:p>
        </w:tc>
      </w:tr>
      <w:tr w14:paraId="6EDE6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0247CEBF">
            <w:pPr>
              <w:pStyle w:val="17"/>
              <w:spacing w:before="305"/>
              <w:ind w:left="483"/>
              <w:rPr>
                <w:strike/>
                <w:dstrike w:val="0"/>
                <w:color w:val="auto"/>
                <w:highlight w:val="none"/>
              </w:rPr>
            </w:pPr>
            <w:r>
              <w:rPr>
                <w:strike/>
                <w:dstrike w:val="0"/>
                <w:color w:val="auto"/>
                <w:highlight w:val="none"/>
              </w:rPr>
              <w:t>5</w:t>
            </w:r>
          </w:p>
        </w:tc>
        <w:tc>
          <w:tcPr>
            <w:tcW w:w="1949" w:type="dxa"/>
            <w:vAlign w:val="top"/>
          </w:tcPr>
          <w:p w14:paraId="72170127">
            <w:pPr>
              <w:pStyle w:val="17"/>
              <w:spacing w:before="305" w:line="219" w:lineRule="auto"/>
              <w:ind w:left="455"/>
              <w:rPr>
                <w:strike/>
                <w:dstrike w:val="0"/>
                <w:color w:val="auto"/>
                <w:highlight w:val="none"/>
              </w:rPr>
            </w:pPr>
            <w:r>
              <w:rPr>
                <w:strike/>
                <w:dstrike w:val="0"/>
                <w:color w:val="auto"/>
                <w:spacing w:val="-2"/>
                <w:highlight w:val="none"/>
              </w:rPr>
              <w:t>可变情报板</w:t>
            </w:r>
          </w:p>
        </w:tc>
        <w:tc>
          <w:tcPr>
            <w:tcW w:w="1390" w:type="dxa"/>
            <w:vAlign w:val="top"/>
          </w:tcPr>
          <w:p w14:paraId="325F8F2A">
            <w:pPr>
              <w:rPr>
                <w:rFonts w:ascii="Arial"/>
                <w:strike/>
                <w:dstrike w:val="0"/>
                <w:color w:val="auto"/>
                <w:sz w:val="21"/>
                <w:highlight w:val="none"/>
              </w:rPr>
            </w:pPr>
          </w:p>
        </w:tc>
        <w:tc>
          <w:tcPr>
            <w:tcW w:w="1259" w:type="dxa"/>
            <w:vAlign w:val="top"/>
          </w:tcPr>
          <w:p w14:paraId="635B86AC">
            <w:pPr>
              <w:rPr>
                <w:rFonts w:ascii="Arial"/>
                <w:strike/>
                <w:dstrike w:val="0"/>
                <w:color w:val="auto"/>
                <w:sz w:val="21"/>
                <w:highlight w:val="none"/>
              </w:rPr>
            </w:pPr>
          </w:p>
        </w:tc>
        <w:tc>
          <w:tcPr>
            <w:tcW w:w="1305" w:type="dxa"/>
            <w:vAlign w:val="top"/>
          </w:tcPr>
          <w:p w14:paraId="1E2D88F3">
            <w:pPr>
              <w:rPr>
                <w:rFonts w:ascii="Arial"/>
                <w:strike/>
                <w:dstrike w:val="0"/>
                <w:color w:val="auto"/>
                <w:sz w:val="21"/>
                <w:highlight w:val="none"/>
              </w:rPr>
            </w:pPr>
          </w:p>
        </w:tc>
        <w:tc>
          <w:tcPr>
            <w:tcW w:w="1244" w:type="dxa"/>
            <w:vAlign w:val="top"/>
          </w:tcPr>
          <w:p w14:paraId="38A2B6CB">
            <w:pPr>
              <w:rPr>
                <w:rFonts w:ascii="Arial"/>
                <w:strike/>
                <w:dstrike w:val="0"/>
                <w:color w:val="auto"/>
                <w:sz w:val="21"/>
                <w:highlight w:val="none"/>
              </w:rPr>
            </w:pPr>
          </w:p>
        </w:tc>
        <w:tc>
          <w:tcPr>
            <w:tcW w:w="1220" w:type="dxa"/>
            <w:vAlign w:val="top"/>
          </w:tcPr>
          <w:p w14:paraId="75ABDA04">
            <w:pPr>
              <w:rPr>
                <w:rFonts w:ascii="Arial"/>
                <w:strike/>
                <w:dstrike w:val="0"/>
                <w:color w:val="auto"/>
                <w:sz w:val="21"/>
                <w:highlight w:val="none"/>
              </w:rPr>
            </w:pPr>
          </w:p>
        </w:tc>
      </w:tr>
      <w:tr w14:paraId="4ADD4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6245C4F6">
            <w:pPr>
              <w:spacing w:line="391" w:lineRule="auto"/>
              <w:rPr>
                <w:rFonts w:ascii="Arial"/>
                <w:strike/>
                <w:dstrike w:val="0"/>
                <w:color w:val="auto"/>
                <w:sz w:val="21"/>
                <w:highlight w:val="none"/>
              </w:rPr>
            </w:pPr>
          </w:p>
          <w:p w14:paraId="4A3D9788">
            <w:pPr>
              <w:pStyle w:val="17"/>
              <w:spacing w:before="68" w:line="87"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7D58FCC1">
            <w:pPr>
              <w:rPr>
                <w:rFonts w:ascii="Arial"/>
                <w:strike/>
                <w:dstrike w:val="0"/>
                <w:color w:val="auto"/>
                <w:sz w:val="21"/>
                <w:highlight w:val="none"/>
              </w:rPr>
            </w:pPr>
          </w:p>
        </w:tc>
        <w:tc>
          <w:tcPr>
            <w:tcW w:w="1390" w:type="dxa"/>
            <w:vAlign w:val="top"/>
          </w:tcPr>
          <w:p w14:paraId="08C1AC26">
            <w:pPr>
              <w:rPr>
                <w:rFonts w:ascii="Arial"/>
                <w:strike/>
                <w:dstrike w:val="0"/>
                <w:color w:val="auto"/>
                <w:sz w:val="21"/>
                <w:highlight w:val="none"/>
              </w:rPr>
            </w:pPr>
          </w:p>
        </w:tc>
        <w:tc>
          <w:tcPr>
            <w:tcW w:w="1259" w:type="dxa"/>
            <w:vAlign w:val="top"/>
          </w:tcPr>
          <w:p w14:paraId="7FAEC1ED">
            <w:pPr>
              <w:rPr>
                <w:rFonts w:ascii="Arial"/>
                <w:strike/>
                <w:dstrike w:val="0"/>
                <w:color w:val="auto"/>
                <w:sz w:val="21"/>
                <w:highlight w:val="none"/>
              </w:rPr>
            </w:pPr>
          </w:p>
        </w:tc>
        <w:tc>
          <w:tcPr>
            <w:tcW w:w="1305" w:type="dxa"/>
            <w:vAlign w:val="top"/>
          </w:tcPr>
          <w:p w14:paraId="6F9F14A4">
            <w:pPr>
              <w:rPr>
                <w:rFonts w:ascii="Arial"/>
                <w:strike/>
                <w:dstrike w:val="0"/>
                <w:color w:val="auto"/>
                <w:sz w:val="21"/>
                <w:highlight w:val="none"/>
              </w:rPr>
            </w:pPr>
          </w:p>
        </w:tc>
        <w:tc>
          <w:tcPr>
            <w:tcW w:w="1244" w:type="dxa"/>
            <w:vAlign w:val="top"/>
          </w:tcPr>
          <w:p w14:paraId="3B001405">
            <w:pPr>
              <w:rPr>
                <w:rFonts w:ascii="Arial"/>
                <w:strike/>
                <w:dstrike w:val="0"/>
                <w:color w:val="auto"/>
                <w:sz w:val="21"/>
                <w:highlight w:val="none"/>
              </w:rPr>
            </w:pPr>
          </w:p>
        </w:tc>
        <w:tc>
          <w:tcPr>
            <w:tcW w:w="1220" w:type="dxa"/>
            <w:vAlign w:val="top"/>
          </w:tcPr>
          <w:p w14:paraId="679B7974">
            <w:pPr>
              <w:rPr>
                <w:rFonts w:ascii="Arial"/>
                <w:strike/>
                <w:dstrike w:val="0"/>
                <w:color w:val="auto"/>
                <w:sz w:val="21"/>
                <w:highlight w:val="none"/>
              </w:rPr>
            </w:pPr>
          </w:p>
        </w:tc>
      </w:tr>
      <w:tr w14:paraId="075FB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421" w:type="dxa"/>
            <w:gridSpan w:val="7"/>
            <w:vAlign w:val="top"/>
          </w:tcPr>
          <w:p w14:paraId="6DC9F47D">
            <w:pPr>
              <w:pStyle w:val="17"/>
              <w:spacing w:before="307" w:line="220" w:lineRule="auto"/>
              <w:ind w:left="4096"/>
              <w:rPr>
                <w:strike/>
                <w:dstrike w:val="0"/>
                <w:color w:val="auto"/>
                <w:highlight w:val="none"/>
              </w:rPr>
            </w:pPr>
            <w:r>
              <w:rPr>
                <w:strike/>
                <w:dstrike w:val="0"/>
                <w:color w:val="auto"/>
                <w:spacing w:val="-3"/>
                <w:highlight w:val="none"/>
              </w:rPr>
              <w:t>隧道通风系统</w:t>
            </w:r>
          </w:p>
        </w:tc>
      </w:tr>
      <w:tr w14:paraId="78BB2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0F551ACD">
            <w:pPr>
              <w:pStyle w:val="17"/>
              <w:spacing w:before="308" w:line="241" w:lineRule="auto"/>
              <w:ind w:left="495"/>
              <w:rPr>
                <w:strike/>
                <w:dstrike w:val="0"/>
                <w:color w:val="auto"/>
                <w:highlight w:val="none"/>
              </w:rPr>
            </w:pPr>
            <w:r>
              <w:rPr>
                <w:strike/>
                <w:dstrike w:val="0"/>
                <w:color w:val="auto"/>
                <w:highlight w:val="none"/>
              </w:rPr>
              <w:t>1</w:t>
            </w:r>
          </w:p>
        </w:tc>
        <w:tc>
          <w:tcPr>
            <w:tcW w:w="1949" w:type="dxa"/>
            <w:vAlign w:val="top"/>
          </w:tcPr>
          <w:p w14:paraId="69344C83">
            <w:pPr>
              <w:pStyle w:val="17"/>
              <w:spacing w:before="308" w:line="219" w:lineRule="auto"/>
              <w:ind w:left="769"/>
              <w:rPr>
                <w:strike/>
                <w:dstrike w:val="0"/>
                <w:color w:val="auto"/>
                <w:highlight w:val="none"/>
              </w:rPr>
            </w:pPr>
            <w:r>
              <w:rPr>
                <w:strike/>
                <w:dstrike w:val="0"/>
                <w:color w:val="auto"/>
                <w:spacing w:val="-5"/>
                <w:highlight w:val="none"/>
              </w:rPr>
              <w:t>风机</w:t>
            </w:r>
          </w:p>
        </w:tc>
        <w:tc>
          <w:tcPr>
            <w:tcW w:w="1390" w:type="dxa"/>
            <w:vAlign w:val="top"/>
          </w:tcPr>
          <w:p w14:paraId="48A2B946">
            <w:pPr>
              <w:rPr>
                <w:rFonts w:ascii="Arial"/>
                <w:strike/>
                <w:dstrike w:val="0"/>
                <w:color w:val="auto"/>
                <w:sz w:val="21"/>
                <w:highlight w:val="none"/>
              </w:rPr>
            </w:pPr>
          </w:p>
        </w:tc>
        <w:tc>
          <w:tcPr>
            <w:tcW w:w="1259" w:type="dxa"/>
            <w:vAlign w:val="top"/>
          </w:tcPr>
          <w:p w14:paraId="77B2B377">
            <w:pPr>
              <w:rPr>
                <w:rFonts w:ascii="Arial"/>
                <w:strike/>
                <w:dstrike w:val="0"/>
                <w:color w:val="auto"/>
                <w:sz w:val="21"/>
                <w:highlight w:val="none"/>
              </w:rPr>
            </w:pPr>
          </w:p>
        </w:tc>
        <w:tc>
          <w:tcPr>
            <w:tcW w:w="1305" w:type="dxa"/>
            <w:vAlign w:val="top"/>
          </w:tcPr>
          <w:p w14:paraId="02EA5631">
            <w:pPr>
              <w:rPr>
                <w:rFonts w:ascii="Arial"/>
                <w:strike/>
                <w:dstrike w:val="0"/>
                <w:color w:val="auto"/>
                <w:sz w:val="21"/>
                <w:highlight w:val="none"/>
              </w:rPr>
            </w:pPr>
          </w:p>
        </w:tc>
        <w:tc>
          <w:tcPr>
            <w:tcW w:w="1244" w:type="dxa"/>
            <w:vAlign w:val="top"/>
          </w:tcPr>
          <w:p w14:paraId="28247D99">
            <w:pPr>
              <w:rPr>
                <w:rFonts w:ascii="Arial"/>
                <w:strike/>
                <w:dstrike w:val="0"/>
                <w:color w:val="auto"/>
                <w:sz w:val="21"/>
                <w:highlight w:val="none"/>
              </w:rPr>
            </w:pPr>
          </w:p>
        </w:tc>
        <w:tc>
          <w:tcPr>
            <w:tcW w:w="1220" w:type="dxa"/>
            <w:vAlign w:val="top"/>
          </w:tcPr>
          <w:p w14:paraId="2BD8AC23">
            <w:pPr>
              <w:rPr>
                <w:rFonts w:ascii="Arial"/>
                <w:strike/>
                <w:dstrike w:val="0"/>
                <w:color w:val="auto"/>
                <w:sz w:val="21"/>
                <w:highlight w:val="none"/>
              </w:rPr>
            </w:pPr>
          </w:p>
        </w:tc>
      </w:tr>
      <w:tr w14:paraId="6E309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3D34C5AE">
            <w:pPr>
              <w:pStyle w:val="17"/>
              <w:spacing w:before="307" w:line="241" w:lineRule="auto"/>
              <w:ind w:left="482"/>
              <w:rPr>
                <w:strike/>
                <w:dstrike w:val="0"/>
                <w:color w:val="auto"/>
                <w:highlight w:val="none"/>
              </w:rPr>
            </w:pPr>
            <w:r>
              <w:rPr>
                <w:strike/>
                <w:dstrike w:val="0"/>
                <w:color w:val="auto"/>
                <w:highlight w:val="none"/>
              </w:rPr>
              <w:t>2</w:t>
            </w:r>
          </w:p>
        </w:tc>
        <w:tc>
          <w:tcPr>
            <w:tcW w:w="1949" w:type="dxa"/>
            <w:vAlign w:val="top"/>
          </w:tcPr>
          <w:p w14:paraId="69F9C933">
            <w:pPr>
              <w:pStyle w:val="17"/>
              <w:spacing w:before="307" w:line="219" w:lineRule="auto"/>
              <w:ind w:left="454"/>
              <w:rPr>
                <w:strike/>
                <w:dstrike w:val="0"/>
                <w:color w:val="auto"/>
                <w:highlight w:val="none"/>
              </w:rPr>
            </w:pPr>
            <w:r>
              <w:rPr>
                <w:strike/>
                <w:dstrike w:val="0"/>
                <w:color w:val="auto"/>
                <w:spacing w:val="-2"/>
                <w:highlight w:val="none"/>
              </w:rPr>
              <w:t>风机控制柜</w:t>
            </w:r>
          </w:p>
        </w:tc>
        <w:tc>
          <w:tcPr>
            <w:tcW w:w="1390" w:type="dxa"/>
            <w:vAlign w:val="top"/>
          </w:tcPr>
          <w:p w14:paraId="635042E0">
            <w:pPr>
              <w:rPr>
                <w:rFonts w:ascii="Arial"/>
                <w:strike/>
                <w:dstrike w:val="0"/>
                <w:color w:val="auto"/>
                <w:sz w:val="21"/>
                <w:highlight w:val="none"/>
              </w:rPr>
            </w:pPr>
          </w:p>
        </w:tc>
        <w:tc>
          <w:tcPr>
            <w:tcW w:w="1259" w:type="dxa"/>
            <w:vAlign w:val="top"/>
          </w:tcPr>
          <w:p w14:paraId="18008E77">
            <w:pPr>
              <w:rPr>
                <w:rFonts w:ascii="Arial"/>
                <w:strike/>
                <w:dstrike w:val="0"/>
                <w:color w:val="auto"/>
                <w:sz w:val="21"/>
                <w:highlight w:val="none"/>
              </w:rPr>
            </w:pPr>
          </w:p>
        </w:tc>
        <w:tc>
          <w:tcPr>
            <w:tcW w:w="1305" w:type="dxa"/>
            <w:vAlign w:val="top"/>
          </w:tcPr>
          <w:p w14:paraId="25B8DE5F">
            <w:pPr>
              <w:rPr>
                <w:rFonts w:ascii="Arial"/>
                <w:strike/>
                <w:dstrike w:val="0"/>
                <w:color w:val="auto"/>
                <w:sz w:val="21"/>
                <w:highlight w:val="none"/>
              </w:rPr>
            </w:pPr>
          </w:p>
        </w:tc>
        <w:tc>
          <w:tcPr>
            <w:tcW w:w="1244" w:type="dxa"/>
            <w:vAlign w:val="top"/>
          </w:tcPr>
          <w:p w14:paraId="36526FDA">
            <w:pPr>
              <w:rPr>
                <w:rFonts w:ascii="Arial"/>
                <w:strike/>
                <w:dstrike w:val="0"/>
                <w:color w:val="auto"/>
                <w:sz w:val="21"/>
                <w:highlight w:val="none"/>
              </w:rPr>
            </w:pPr>
          </w:p>
        </w:tc>
        <w:tc>
          <w:tcPr>
            <w:tcW w:w="1220" w:type="dxa"/>
            <w:vAlign w:val="top"/>
          </w:tcPr>
          <w:p w14:paraId="615E23B3">
            <w:pPr>
              <w:rPr>
                <w:rFonts w:ascii="Arial"/>
                <w:strike/>
                <w:dstrike w:val="0"/>
                <w:color w:val="auto"/>
                <w:sz w:val="21"/>
                <w:highlight w:val="none"/>
              </w:rPr>
            </w:pPr>
          </w:p>
        </w:tc>
      </w:tr>
      <w:tr w14:paraId="4AEDE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29760950">
            <w:pPr>
              <w:spacing w:line="393" w:lineRule="auto"/>
              <w:rPr>
                <w:rFonts w:ascii="Arial"/>
                <w:strike/>
                <w:dstrike w:val="0"/>
                <w:color w:val="auto"/>
                <w:sz w:val="21"/>
                <w:highlight w:val="none"/>
              </w:rPr>
            </w:pPr>
          </w:p>
          <w:p w14:paraId="0794B68C">
            <w:pPr>
              <w:pStyle w:val="17"/>
              <w:spacing w:before="68" w:line="87"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73E19D9F">
            <w:pPr>
              <w:rPr>
                <w:rFonts w:ascii="Arial"/>
                <w:strike/>
                <w:dstrike w:val="0"/>
                <w:color w:val="auto"/>
                <w:sz w:val="21"/>
                <w:highlight w:val="none"/>
              </w:rPr>
            </w:pPr>
          </w:p>
        </w:tc>
        <w:tc>
          <w:tcPr>
            <w:tcW w:w="1390" w:type="dxa"/>
            <w:vAlign w:val="top"/>
          </w:tcPr>
          <w:p w14:paraId="1BCA10ED">
            <w:pPr>
              <w:rPr>
                <w:rFonts w:ascii="Arial"/>
                <w:strike/>
                <w:dstrike w:val="0"/>
                <w:color w:val="auto"/>
                <w:sz w:val="21"/>
                <w:highlight w:val="none"/>
              </w:rPr>
            </w:pPr>
          </w:p>
        </w:tc>
        <w:tc>
          <w:tcPr>
            <w:tcW w:w="1259" w:type="dxa"/>
            <w:vAlign w:val="top"/>
          </w:tcPr>
          <w:p w14:paraId="46ABD391">
            <w:pPr>
              <w:rPr>
                <w:rFonts w:ascii="Arial"/>
                <w:strike/>
                <w:dstrike w:val="0"/>
                <w:color w:val="auto"/>
                <w:sz w:val="21"/>
                <w:highlight w:val="none"/>
              </w:rPr>
            </w:pPr>
          </w:p>
        </w:tc>
        <w:tc>
          <w:tcPr>
            <w:tcW w:w="1305" w:type="dxa"/>
            <w:vAlign w:val="top"/>
          </w:tcPr>
          <w:p w14:paraId="7A7932DF">
            <w:pPr>
              <w:rPr>
                <w:rFonts w:ascii="Arial"/>
                <w:strike/>
                <w:dstrike w:val="0"/>
                <w:color w:val="auto"/>
                <w:sz w:val="21"/>
                <w:highlight w:val="none"/>
              </w:rPr>
            </w:pPr>
          </w:p>
        </w:tc>
        <w:tc>
          <w:tcPr>
            <w:tcW w:w="1244" w:type="dxa"/>
            <w:vAlign w:val="top"/>
          </w:tcPr>
          <w:p w14:paraId="09BE6DBA">
            <w:pPr>
              <w:rPr>
                <w:rFonts w:ascii="Arial"/>
                <w:strike/>
                <w:dstrike w:val="0"/>
                <w:color w:val="auto"/>
                <w:sz w:val="21"/>
                <w:highlight w:val="none"/>
              </w:rPr>
            </w:pPr>
          </w:p>
        </w:tc>
        <w:tc>
          <w:tcPr>
            <w:tcW w:w="1220" w:type="dxa"/>
            <w:vAlign w:val="top"/>
          </w:tcPr>
          <w:p w14:paraId="4E0D535D">
            <w:pPr>
              <w:rPr>
                <w:rFonts w:ascii="Arial"/>
                <w:strike/>
                <w:dstrike w:val="0"/>
                <w:color w:val="auto"/>
                <w:sz w:val="21"/>
                <w:highlight w:val="none"/>
              </w:rPr>
            </w:pPr>
          </w:p>
        </w:tc>
      </w:tr>
      <w:tr w14:paraId="09A02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421" w:type="dxa"/>
            <w:gridSpan w:val="7"/>
            <w:vAlign w:val="top"/>
          </w:tcPr>
          <w:p w14:paraId="1316FE75">
            <w:pPr>
              <w:pStyle w:val="17"/>
              <w:spacing w:before="309" w:line="220" w:lineRule="auto"/>
              <w:ind w:left="4096"/>
              <w:rPr>
                <w:strike/>
                <w:dstrike w:val="0"/>
                <w:color w:val="auto"/>
                <w:highlight w:val="none"/>
              </w:rPr>
            </w:pPr>
            <w:r>
              <w:rPr>
                <w:strike/>
                <w:dstrike w:val="0"/>
                <w:color w:val="auto"/>
                <w:spacing w:val="-3"/>
                <w:highlight w:val="none"/>
              </w:rPr>
              <w:t>隧道消防系统</w:t>
            </w:r>
          </w:p>
        </w:tc>
      </w:tr>
      <w:tr w14:paraId="1205D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447D94D8">
            <w:pPr>
              <w:rPr>
                <w:rFonts w:ascii="Arial"/>
                <w:strike/>
                <w:dstrike w:val="0"/>
                <w:color w:val="auto"/>
                <w:sz w:val="21"/>
                <w:highlight w:val="none"/>
              </w:rPr>
            </w:pPr>
          </w:p>
          <w:p w14:paraId="4661970E">
            <w:pPr>
              <w:pStyle w:val="17"/>
              <w:spacing w:before="69" w:line="241" w:lineRule="auto"/>
              <w:ind w:left="495"/>
              <w:rPr>
                <w:strike/>
                <w:dstrike w:val="0"/>
                <w:color w:val="auto"/>
                <w:highlight w:val="none"/>
              </w:rPr>
            </w:pPr>
            <w:r>
              <w:rPr>
                <w:strike/>
                <w:dstrike w:val="0"/>
                <w:color w:val="auto"/>
                <w:highlight w:val="none"/>
              </w:rPr>
              <w:t>1</w:t>
            </w:r>
          </w:p>
        </w:tc>
        <w:tc>
          <w:tcPr>
            <w:tcW w:w="1949" w:type="dxa"/>
            <w:vAlign w:val="top"/>
          </w:tcPr>
          <w:p w14:paraId="500953DC">
            <w:pPr>
              <w:rPr>
                <w:rFonts w:ascii="Arial"/>
                <w:strike/>
                <w:dstrike w:val="0"/>
                <w:color w:val="auto"/>
                <w:sz w:val="21"/>
                <w:highlight w:val="none"/>
              </w:rPr>
            </w:pPr>
          </w:p>
          <w:p w14:paraId="6C221E78">
            <w:pPr>
              <w:pStyle w:val="17"/>
              <w:spacing w:before="68" w:line="220" w:lineRule="auto"/>
              <w:ind w:left="561"/>
              <w:rPr>
                <w:strike/>
                <w:dstrike w:val="0"/>
                <w:color w:val="auto"/>
                <w:highlight w:val="none"/>
              </w:rPr>
            </w:pPr>
            <w:r>
              <w:rPr>
                <w:strike/>
                <w:dstrike w:val="0"/>
                <w:color w:val="auto"/>
                <w:spacing w:val="-3"/>
                <w:highlight w:val="none"/>
              </w:rPr>
              <w:t>灭火装置</w:t>
            </w:r>
          </w:p>
        </w:tc>
        <w:tc>
          <w:tcPr>
            <w:tcW w:w="1390" w:type="dxa"/>
            <w:vAlign w:val="top"/>
          </w:tcPr>
          <w:p w14:paraId="2D5D6500">
            <w:pPr>
              <w:rPr>
                <w:rFonts w:ascii="Arial"/>
                <w:strike/>
                <w:dstrike w:val="0"/>
                <w:color w:val="auto"/>
                <w:sz w:val="21"/>
                <w:highlight w:val="none"/>
              </w:rPr>
            </w:pPr>
          </w:p>
        </w:tc>
        <w:tc>
          <w:tcPr>
            <w:tcW w:w="1259" w:type="dxa"/>
            <w:vAlign w:val="top"/>
          </w:tcPr>
          <w:p w14:paraId="1F4B930F">
            <w:pPr>
              <w:rPr>
                <w:rFonts w:ascii="Arial"/>
                <w:strike/>
                <w:dstrike w:val="0"/>
                <w:color w:val="auto"/>
                <w:sz w:val="21"/>
                <w:highlight w:val="none"/>
              </w:rPr>
            </w:pPr>
          </w:p>
        </w:tc>
        <w:tc>
          <w:tcPr>
            <w:tcW w:w="1305" w:type="dxa"/>
            <w:vAlign w:val="top"/>
          </w:tcPr>
          <w:p w14:paraId="26B7DCB8">
            <w:pPr>
              <w:rPr>
                <w:rFonts w:ascii="Arial"/>
                <w:strike/>
                <w:dstrike w:val="0"/>
                <w:color w:val="auto"/>
                <w:sz w:val="21"/>
                <w:highlight w:val="none"/>
              </w:rPr>
            </w:pPr>
          </w:p>
        </w:tc>
        <w:tc>
          <w:tcPr>
            <w:tcW w:w="1244" w:type="dxa"/>
            <w:vAlign w:val="top"/>
          </w:tcPr>
          <w:p w14:paraId="20C02A77">
            <w:pPr>
              <w:rPr>
                <w:rFonts w:ascii="Arial"/>
                <w:strike/>
                <w:dstrike w:val="0"/>
                <w:color w:val="auto"/>
                <w:sz w:val="21"/>
                <w:highlight w:val="none"/>
              </w:rPr>
            </w:pPr>
          </w:p>
        </w:tc>
        <w:tc>
          <w:tcPr>
            <w:tcW w:w="1220" w:type="dxa"/>
            <w:vAlign w:val="top"/>
          </w:tcPr>
          <w:p w14:paraId="3441125B">
            <w:pPr>
              <w:rPr>
                <w:rFonts w:ascii="Arial"/>
                <w:strike/>
                <w:dstrike w:val="0"/>
                <w:color w:val="auto"/>
                <w:sz w:val="21"/>
                <w:highlight w:val="none"/>
              </w:rPr>
            </w:pPr>
          </w:p>
        </w:tc>
      </w:tr>
      <w:tr w14:paraId="130FC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3CF6C9FC">
            <w:pPr>
              <w:rPr>
                <w:rFonts w:ascii="Arial"/>
                <w:strike/>
                <w:dstrike w:val="0"/>
                <w:color w:val="auto"/>
                <w:sz w:val="21"/>
                <w:highlight w:val="none"/>
              </w:rPr>
            </w:pPr>
          </w:p>
          <w:p w14:paraId="2D8CF90F">
            <w:pPr>
              <w:pStyle w:val="17"/>
              <w:spacing w:before="68" w:line="241" w:lineRule="auto"/>
              <w:ind w:left="482"/>
              <w:rPr>
                <w:strike/>
                <w:dstrike w:val="0"/>
                <w:color w:val="auto"/>
                <w:highlight w:val="none"/>
              </w:rPr>
            </w:pPr>
            <w:r>
              <w:rPr>
                <w:strike/>
                <w:dstrike w:val="0"/>
                <w:color w:val="auto"/>
                <w:highlight w:val="none"/>
              </w:rPr>
              <w:t>2</w:t>
            </w:r>
          </w:p>
        </w:tc>
        <w:tc>
          <w:tcPr>
            <w:tcW w:w="1949" w:type="dxa"/>
            <w:vAlign w:val="top"/>
          </w:tcPr>
          <w:p w14:paraId="62D017EC">
            <w:pPr>
              <w:pStyle w:val="17"/>
              <w:spacing w:before="309" w:line="220" w:lineRule="auto"/>
              <w:ind w:left="467"/>
              <w:rPr>
                <w:strike/>
                <w:dstrike w:val="0"/>
                <w:color w:val="auto"/>
                <w:highlight w:val="none"/>
              </w:rPr>
            </w:pPr>
            <w:r>
              <w:rPr>
                <w:strike/>
                <w:dstrike w:val="0"/>
                <w:color w:val="auto"/>
                <w:spacing w:val="-4"/>
                <w:highlight w:val="none"/>
              </w:rPr>
              <w:t>防火卷帘门</w:t>
            </w:r>
          </w:p>
        </w:tc>
        <w:tc>
          <w:tcPr>
            <w:tcW w:w="1390" w:type="dxa"/>
            <w:vAlign w:val="top"/>
          </w:tcPr>
          <w:p w14:paraId="525F241C">
            <w:pPr>
              <w:rPr>
                <w:rFonts w:ascii="Arial"/>
                <w:strike/>
                <w:dstrike w:val="0"/>
                <w:color w:val="auto"/>
                <w:sz w:val="21"/>
                <w:highlight w:val="none"/>
              </w:rPr>
            </w:pPr>
          </w:p>
        </w:tc>
        <w:tc>
          <w:tcPr>
            <w:tcW w:w="1259" w:type="dxa"/>
            <w:vAlign w:val="top"/>
          </w:tcPr>
          <w:p w14:paraId="5EC2DD50">
            <w:pPr>
              <w:rPr>
                <w:rFonts w:ascii="Arial"/>
                <w:strike/>
                <w:dstrike w:val="0"/>
                <w:color w:val="auto"/>
                <w:sz w:val="21"/>
                <w:highlight w:val="none"/>
              </w:rPr>
            </w:pPr>
          </w:p>
        </w:tc>
        <w:tc>
          <w:tcPr>
            <w:tcW w:w="1305" w:type="dxa"/>
            <w:vAlign w:val="top"/>
          </w:tcPr>
          <w:p w14:paraId="572E6459">
            <w:pPr>
              <w:rPr>
                <w:rFonts w:ascii="Arial"/>
                <w:strike/>
                <w:dstrike w:val="0"/>
                <w:color w:val="auto"/>
                <w:sz w:val="21"/>
                <w:highlight w:val="none"/>
              </w:rPr>
            </w:pPr>
          </w:p>
        </w:tc>
        <w:tc>
          <w:tcPr>
            <w:tcW w:w="1244" w:type="dxa"/>
            <w:vAlign w:val="top"/>
          </w:tcPr>
          <w:p w14:paraId="66F5C15A">
            <w:pPr>
              <w:rPr>
                <w:rFonts w:ascii="Arial"/>
                <w:strike/>
                <w:dstrike w:val="0"/>
                <w:color w:val="auto"/>
                <w:sz w:val="21"/>
                <w:highlight w:val="none"/>
              </w:rPr>
            </w:pPr>
          </w:p>
        </w:tc>
        <w:tc>
          <w:tcPr>
            <w:tcW w:w="1220" w:type="dxa"/>
            <w:vAlign w:val="top"/>
          </w:tcPr>
          <w:p w14:paraId="59E25CF9">
            <w:pPr>
              <w:rPr>
                <w:rFonts w:ascii="Arial"/>
                <w:strike/>
                <w:dstrike w:val="0"/>
                <w:color w:val="auto"/>
                <w:sz w:val="21"/>
                <w:highlight w:val="none"/>
              </w:rPr>
            </w:pPr>
          </w:p>
        </w:tc>
      </w:tr>
      <w:tr w14:paraId="7F14D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634BAD82">
            <w:pPr>
              <w:spacing w:line="241" w:lineRule="auto"/>
              <w:rPr>
                <w:rFonts w:ascii="Arial"/>
                <w:strike/>
                <w:dstrike w:val="0"/>
                <w:color w:val="auto"/>
                <w:sz w:val="21"/>
                <w:highlight w:val="none"/>
              </w:rPr>
            </w:pPr>
          </w:p>
          <w:p w14:paraId="699DF2B9">
            <w:pPr>
              <w:pStyle w:val="17"/>
              <w:spacing w:before="68"/>
              <w:ind w:left="483"/>
              <w:rPr>
                <w:strike/>
                <w:dstrike w:val="0"/>
                <w:color w:val="auto"/>
                <w:highlight w:val="none"/>
              </w:rPr>
            </w:pPr>
            <w:r>
              <w:rPr>
                <w:strike/>
                <w:dstrike w:val="0"/>
                <w:color w:val="auto"/>
                <w:highlight w:val="none"/>
              </w:rPr>
              <w:t>3</w:t>
            </w:r>
          </w:p>
        </w:tc>
        <w:tc>
          <w:tcPr>
            <w:tcW w:w="1949" w:type="dxa"/>
            <w:vAlign w:val="top"/>
          </w:tcPr>
          <w:p w14:paraId="0B3E3E50">
            <w:pPr>
              <w:spacing w:line="241" w:lineRule="auto"/>
              <w:rPr>
                <w:rFonts w:ascii="Arial"/>
                <w:strike/>
                <w:dstrike w:val="0"/>
                <w:color w:val="auto"/>
                <w:sz w:val="21"/>
                <w:highlight w:val="none"/>
              </w:rPr>
            </w:pPr>
          </w:p>
          <w:p w14:paraId="52E2111C">
            <w:pPr>
              <w:pStyle w:val="17"/>
              <w:spacing w:before="68" w:line="220" w:lineRule="auto"/>
              <w:ind w:left="455"/>
              <w:rPr>
                <w:strike/>
                <w:dstrike w:val="0"/>
                <w:color w:val="auto"/>
                <w:highlight w:val="none"/>
              </w:rPr>
            </w:pPr>
            <w:r>
              <w:rPr>
                <w:strike/>
                <w:dstrike w:val="0"/>
                <w:color w:val="auto"/>
                <w:spacing w:val="-2"/>
                <w:highlight w:val="none"/>
              </w:rPr>
              <w:t>火灾探测器</w:t>
            </w:r>
          </w:p>
        </w:tc>
        <w:tc>
          <w:tcPr>
            <w:tcW w:w="1390" w:type="dxa"/>
            <w:vAlign w:val="top"/>
          </w:tcPr>
          <w:p w14:paraId="1BB864FA">
            <w:pPr>
              <w:rPr>
                <w:rFonts w:ascii="Arial"/>
                <w:strike/>
                <w:dstrike w:val="0"/>
                <w:color w:val="auto"/>
                <w:sz w:val="21"/>
                <w:highlight w:val="none"/>
              </w:rPr>
            </w:pPr>
          </w:p>
        </w:tc>
        <w:tc>
          <w:tcPr>
            <w:tcW w:w="1259" w:type="dxa"/>
            <w:vAlign w:val="top"/>
          </w:tcPr>
          <w:p w14:paraId="3D35F73D">
            <w:pPr>
              <w:rPr>
                <w:rFonts w:ascii="Arial"/>
                <w:strike/>
                <w:dstrike w:val="0"/>
                <w:color w:val="auto"/>
                <w:sz w:val="21"/>
                <w:highlight w:val="none"/>
              </w:rPr>
            </w:pPr>
          </w:p>
        </w:tc>
        <w:tc>
          <w:tcPr>
            <w:tcW w:w="1305" w:type="dxa"/>
            <w:vAlign w:val="top"/>
          </w:tcPr>
          <w:p w14:paraId="1B21AD9A">
            <w:pPr>
              <w:rPr>
                <w:rFonts w:ascii="Arial"/>
                <w:strike/>
                <w:dstrike w:val="0"/>
                <w:color w:val="auto"/>
                <w:sz w:val="21"/>
                <w:highlight w:val="none"/>
              </w:rPr>
            </w:pPr>
          </w:p>
        </w:tc>
        <w:tc>
          <w:tcPr>
            <w:tcW w:w="1244" w:type="dxa"/>
            <w:vAlign w:val="top"/>
          </w:tcPr>
          <w:p w14:paraId="34575C39">
            <w:pPr>
              <w:rPr>
                <w:rFonts w:ascii="Arial"/>
                <w:strike/>
                <w:dstrike w:val="0"/>
                <w:color w:val="auto"/>
                <w:sz w:val="21"/>
                <w:highlight w:val="none"/>
              </w:rPr>
            </w:pPr>
          </w:p>
        </w:tc>
        <w:tc>
          <w:tcPr>
            <w:tcW w:w="1220" w:type="dxa"/>
            <w:vAlign w:val="top"/>
          </w:tcPr>
          <w:p w14:paraId="3DD7ADAC">
            <w:pPr>
              <w:rPr>
                <w:rFonts w:ascii="Arial"/>
                <w:strike/>
                <w:dstrike w:val="0"/>
                <w:color w:val="auto"/>
                <w:sz w:val="21"/>
                <w:highlight w:val="none"/>
              </w:rPr>
            </w:pPr>
          </w:p>
        </w:tc>
      </w:tr>
      <w:tr w14:paraId="782DD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25C69468">
            <w:pPr>
              <w:spacing w:line="241" w:lineRule="auto"/>
              <w:rPr>
                <w:rFonts w:ascii="Arial"/>
                <w:strike/>
                <w:dstrike w:val="0"/>
                <w:color w:val="auto"/>
                <w:sz w:val="21"/>
                <w:highlight w:val="none"/>
              </w:rPr>
            </w:pPr>
          </w:p>
          <w:p w14:paraId="7E117E5A">
            <w:pPr>
              <w:pStyle w:val="17"/>
              <w:spacing w:before="68" w:line="241" w:lineRule="auto"/>
              <w:ind w:left="478"/>
              <w:rPr>
                <w:strike/>
                <w:dstrike w:val="0"/>
                <w:color w:val="auto"/>
                <w:highlight w:val="none"/>
              </w:rPr>
            </w:pPr>
            <w:r>
              <w:rPr>
                <w:strike/>
                <w:dstrike w:val="0"/>
                <w:color w:val="auto"/>
                <w:highlight w:val="none"/>
              </w:rPr>
              <w:t>4</w:t>
            </w:r>
          </w:p>
        </w:tc>
        <w:tc>
          <w:tcPr>
            <w:tcW w:w="1949" w:type="dxa"/>
            <w:vAlign w:val="top"/>
          </w:tcPr>
          <w:p w14:paraId="20B72490">
            <w:pPr>
              <w:rPr>
                <w:rFonts w:ascii="Arial"/>
                <w:strike/>
                <w:dstrike w:val="0"/>
                <w:color w:val="auto"/>
                <w:sz w:val="21"/>
                <w:highlight w:val="none"/>
              </w:rPr>
            </w:pPr>
          </w:p>
          <w:p w14:paraId="3C4FAFFA">
            <w:pPr>
              <w:pStyle w:val="17"/>
              <w:spacing w:before="68" w:line="220" w:lineRule="auto"/>
              <w:ind w:left="456"/>
              <w:rPr>
                <w:strike/>
                <w:dstrike w:val="0"/>
                <w:color w:val="auto"/>
                <w:highlight w:val="none"/>
              </w:rPr>
            </w:pPr>
            <w:r>
              <w:rPr>
                <w:strike/>
                <w:dstrike w:val="0"/>
                <w:color w:val="auto"/>
                <w:spacing w:val="-2"/>
                <w:highlight w:val="none"/>
              </w:rPr>
              <w:t>水泵控制柜</w:t>
            </w:r>
          </w:p>
        </w:tc>
        <w:tc>
          <w:tcPr>
            <w:tcW w:w="1390" w:type="dxa"/>
            <w:vAlign w:val="top"/>
          </w:tcPr>
          <w:p w14:paraId="7C81C951">
            <w:pPr>
              <w:rPr>
                <w:rFonts w:ascii="Arial"/>
                <w:strike/>
                <w:dstrike w:val="0"/>
                <w:color w:val="auto"/>
                <w:sz w:val="21"/>
                <w:highlight w:val="none"/>
              </w:rPr>
            </w:pPr>
          </w:p>
        </w:tc>
        <w:tc>
          <w:tcPr>
            <w:tcW w:w="1259" w:type="dxa"/>
            <w:vAlign w:val="top"/>
          </w:tcPr>
          <w:p w14:paraId="65886A34">
            <w:pPr>
              <w:rPr>
                <w:rFonts w:ascii="Arial"/>
                <w:strike/>
                <w:dstrike w:val="0"/>
                <w:color w:val="auto"/>
                <w:sz w:val="21"/>
                <w:highlight w:val="none"/>
              </w:rPr>
            </w:pPr>
          </w:p>
        </w:tc>
        <w:tc>
          <w:tcPr>
            <w:tcW w:w="1305" w:type="dxa"/>
            <w:vAlign w:val="top"/>
          </w:tcPr>
          <w:p w14:paraId="3CFA962F">
            <w:pPr>
              <w:rPr>
                <w:rFonts w:ascii="Arial"/>
                <w:strike/>
                <w:dstrike w:val="0"/>
                <w:color w:val="auto"/>
                <w:sz w:val="21"/>
                <w:highlight w:val="none"/>
              </w:rPr>
            </w:pPr>
          </w:p>
        </w:tc>
        <w:tc>
          <w:tcPr>
            <w:tcW w:w="1244" w:type="dxa"/>
            <w:vAlign w:val="top"/>
          </w:tcPr>
          <w:p w14:paraId="4C7D1C64">
            <w:pPr>
              <w:rPr>
                <w:rFonts w:ascii="Arial"/>
                <w:strike/>
                <w:dstrike w:val="0"/>
                <w:color w:val="auto"/>
                <w:sz w:val="21"/>
                <w:highlight w:val="none"/>
              </w:rPr>
            </w:pPr>
          </w:p>
        </w:tc>
        <w:tc>
          <w:tcPr>
            <w:tcW w:w="1220" w:type="dxa"/>
            <w:vAlign w:val="top"/>
          </w:tcPr>
          <w:p w14:paraId="5380E1B2">
            <w:pPr>
              <w:rPr>
                <w:rFonts w:ascii="Arial"/>
                <w:strike/>
                <w:dstrike w:val="0"/>
                <w:color w:val="auto"/>
                <w:sz w:val="21"/>
                <w:highlight w:val="none"/>
              </w:rPr>
            </w:pPr>
          </w:p>
        </w:tc>
      </w:tr>
      <w:tr w14:paraId="083F9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709E85D6">
            <w:pPr>
              <w:spacing w:line="396" w:lineRule="auto"/>
              <w:rPr>
                <w:rFonts w:ascii="Arial"/>
                <w:strike/>
                <w:dstrike w:val="0"/>
                <w:color w:val="auto"/>
                <w:sz w:val="21"/>
                <w:highlight w:val="none"/>
              </w:rPr>
            </w:pPr>
          </w:p>
          <w:p w14:paraId="5D962683">
            <w:pPr>
              <w:pStyle w:val="17"/>
              <w:spacing w:before="68" w:line="87"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3D75D680">
            <w:pPr>
              <w:rPr>
                <w:rFonts w:ascii="Arial"/>
                <w:strike/>
                <w:dstrike w:val="0"/>
                <w:color w:val="auto"/>
                <w:sz w:val="21"/>
                <w:highlight w:val="none"/>
              </w:rPr>
            </w:pPr>
          </w:p>
        </w:tc>
        <w:tc>
          <w:tcPr>
            <w:tcW w:w="1390" w:type="dxa"/>
            <w:vAlign w:val="top"/>
          </w:tcPr>
          <w:p w14:paraId="2EB39EAF">
            <w:pPr>
              <w:rPr>
                <w:rFonts w:ascii="Arial"/>
                <w:strike/>
                <w:dstrike w:val="0"/>
                <w:color w:val="auto"/>
                <w:sz w:val="21"/>
                <w:highlight w:val="none"/>
              </w:rPr>
            </w:pPr>
          </w:p>
        </w:tc>
        <w:tc>
          <w:tcPr>
            <w:tcW w:w="1259" w:type="dxa"/>
            <w:vAlign w:val="top"/>
          </w:tcPr>
          <w:p w14:paraId="71AB7478">
            <w:pPr>
              <w:rPr>
                <w:rFonts w:ascii="Arial"/>
                <w:strike/>
                <w:dstrike w:val="0"/>
                <w:color w:val="auto"/>
                <w:sz w:val="21"/>
                <w:highlight w:val="none"/>
              </w:rPr>
            </w:pPr>
          </w:p>
        </w:tc>
        <w:tc>
          <w:tcPr>
            <w:tcW w:w="1305" w:type="dxa"/>
            <w:vAlign w:val="top"/>
          </w:tcPr>
          <w:p w14:paraId="79BAC352">
            <w:pPr>
              <w:rPr>
                <w:rFonts w:ascii="Arial"/>
                <w:strike/>
                <w:dstrike w:val="0"/>
                <w:color w:val="auto"/>
                <w:sz w:val="21"/>
                <w:highlight w:val="none"/>
              </w:rPr>
            </w:pPr>
          </w:p>
        </w:tc>
        <w:tc>
          <w:tcPr>
            <w:tcW w:w="1244" w:type="dxa"/>
            <w:vAlign w:val="top"/>
          </w:tcPr>
          <w:p w14:paraId="00332666">
            <w:pPr>
              <w:rPr>
                <w:rFonts w:ascii="Arial"/>
                <w:strike/>
                <w:dstrike w:val="0"/>
                <w:color w:val="auto"/>
                <w:sz w:val="21"/>
                <w:highlight w:val="none"/>
              </w:rPr>
            </w:pPr>
          </w:p>
        </w:tc>
        <w:tc>
          <w:tcPr>
            <w:tcW w:w="1220" w:type="dxa"/>
            <w:vAlign w:val="top"/>
          </w:tcPr>
          <w:p w14:paraId="796B9992">
            <w:pPr>
              <w:rPr>
                <w:rFonts w:ascii="Arial"/>
                <w:strike/>
                <w:dstrike w:val="0"/>
                <w:color w:val="auto"/>
                <w:sz w:val="21"/>
                <w:highlight w:val="none"/>
              </w:rPr>
            </w:pPr>
          </w:p>
        </w:tc>
      </w:tr>
      <w:tr w14:paraId="7ECDA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421" w:type="dxa"/>
            <w:gridSpan w:val="7"/>
            <w:vAlign w:val="top"/>
          </w:tcPr>
          <w:p w14:paraId="6448FE49">
            <w:pPr>
              <w:rPr>
                <w:rFonts w:ascii="Arial"/>
                <w:strike/>
                <w:dstrike w:val="0"/>
                <w:color w:val="auto"/>
                <w:sz w:val="21"/>
                <w:highlight w:val="none"/>
              </w:rPr>
            </w:pPr>
          </w:p>
          <w:p w14:paraId="4BFCFFED">
            <w:pPr>
              <w:pStyle w:val="17"/>
              <w:spacing w:before="69" w:line="219" w:lineRule="auto"/>
              <w:ind w:left="3990"/>
              <w:rPr>
                <w:strike/>
                <w:dstrike w:val="0"/>
                <w:color w:val="auto"/>
                <w:highlight w:val="none"/>
              </w:rPr>
            </w:pPr>
            <w:r>
              <w:rPr>
                <w:strike/>
                <w:dstrike w:val="0"/>
                <w:color w:val="auto"/>
                <w:spacing w:val="-3"/>
                <w:highlight w:val="none"/>
              </w:rPr>
              <w:t>隧道供配电系统</w:t>
            </w:r>
          </w:p>
        </w:tc>
      </w:tr>
      <w:tr w14:paraId="7D03B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040E2297">
            <w:pPr>
              <w:spacing w:line="242" w:lineRule="auto"/>
              <w:rPr>
                <w:rFonts w:ascii="Arial"/>
                <w:strike/>
                <w:dstrike w:val="0"/>
                <w:color w:val="auto"/>
                <w:sz w:val="21"/>
                <w:highlight w:val="none"/>
              </w:rPr>
            </w:pPr>
          </w:p>
          <w:p w14:paraId="04B74516">
            <w:pPr>
              <w:pStyle w:val="17"/>
              <w:spacing w:before="69" w:line="241" w:lineRule="auto"/>
              <w:ind w:left="495"/>
              <w:rPr>
                <w:strike/>
                <w:dstrike w:val="0"/>
                <w:color w:val="auto"/>
                <w:highlight w:val="none"/>
              </w:rPr>
            </w:pPr>
            <w:r>
              <w:rPr>
                <w:strike/>
                <w:dstrike w:val="0"/>
                <w:color w:val="auto"/>
                <w:highlight w:val="none"/>
              </w:rPr>
              <w:t>1</w:t>
            </w:r>
          </w:p>
        </w:tc>
        <w:tc>
          <w:tcPr>
            <w:tcW w:w="1949" w:type="dxa"/>
            <w:vAlign w:val="top"/>
          </w:tcPr>
          <w:p w14:paraId="0A2309BD">
            <w:pPr>
              <w:spacing w:line="242" w:lineRule="auto"/>
              <w:rPr>
                <w:rFonts w:ascii="Arial"/>
                <w:strike/>
                <w:dstrike w:val="0"/>
                <w:color w:val="auto"/>
                <w:sz w:val="21"/>
                <w:highlight w:val="none"/>
              </w:rPr>
            </w:pPr>
          </w:p>
          <w:p w14:paraId="48150A96">
            <w:pPr>
              <w:pStyle w:val="17"/>
              <w:spacing w:before="68" w:line="221" w:lineRule="auto"/>
              <w:ind w:left="663"/>
              <w:rPr>
                <w:strike/>
                <w:dstrike w:val="0"/>
                <w:color w:val="auto"/>
                <w:highlight w:val="none"/>
              </w:rPr>
            </w:pPr>
            <w:r>
              <w:rPr>
                <w:strike/>
                <w:dstrike w:val="0"/>
                <w:color w:val="auto"/>
                <w:spacing w:val="-2"/>
                <w:highlight w:val="none"/>
              </w:rPr>
              <w:t>变压器</w:t>
            </w:r>
          </w:p>
        </w:tc>
        <w:tc>
          <w:tcPr>
            <w:tcW w:w="1390" w:type="dxa"/>
            <w:vAlign w:val="top"/>
          </w:tcPr>
          <w:p w14:paraId="3006B810">
            <w:pPr>
              <w:rPr>
                <w:rFonts w:ascii="Arial"/>
                <w:strike/>
                <w:dstrike w:val="0"/>
                <w:color w:val="auto"/>
                <w:sz w:val="21"/>
                <w:highlight w:val="none"/>
              </w:rPr>
            </w:pPr>
          </w:p>
        </w:tc>
        <w:tc>
          <w:tcPr>
            <w:tcW w:w="1259" w:type="dxa"/>
            <w:vAlign w:val="top"/>
          </w:tcPr>
          <w:p w14:paraId="59F136C4">
            <w:pPr>
              <w:rPr>
                <w:rFonts w:ascii="Arial"/>
                <w:strike/>
                <w:dstrike w:val="0"/>
                <w:color w:val="auto"/>
                <w:sz w:val="21"/>
                <w:highlight w:val="none"/>
              </w:rPr>
            </w:pPr>
          </w:p>
        </w:tc>
        <w:tc>
          <w:tcPr>
            <w:tcW w:w="1305" w:type="dxa"/>
            <w:vAlign w:val="top"/>
          </w:tcPr>
          <w:p w14:paraId="08A172A7">
            <w:pPr>
              <w:rPr>
                <w:rFonts w:ascii="Arial"/>
                <w:strike/>
                <w:dstrike w:val="0"/>
                <w:color w:val="auto"/>
                <w:sz w:val="21"/>
                <w:highlight w:val="none"/>
              </w:rPr>
            </w:pPr>
          </w:p>
        </w:tc>
        <w:tc>
          <w:tcPr>
            <w:tcW w:w="1244" w:type="dxa"/>
            <w:vAlign w:val="top"/>
          </w:tcPr>
          <w:p w14:paraId="29A7328E">
            <w:pPr>
              <w:rPr>
                <w:rFonts w:ascii="Arial"/>
                <w:strike/>
                <w:dstrike w:val="0"/>
                <w:color w:val="auto"/>
                <w:sz w:val="21"/>
                <w:highlight w:val="none"/>
              </w:rPr>
            </w:pPr>
          </w:p>
        </w:tc>
        <w:tc>
          <w:tcPr>
            <w:tcW w:w="1220" w:type="dxa"/>
            <w:vAlign w:val="top"/>
          </w:tcPr>
          <w:p w14:paraId="3FF6BA92">
            <w:pPr>
              <w:rPr>
                <w:rFonts w:ascii="Arial"/>
                <w:strike/>
                <w:dstrike w:val="0"/>
                <w:color w:val="auto"/>
                <w:sz w:val="21"/>
                <w:highlight w:val="none"/>
              </w:rPr>
            </w:pPr>
          </w:p>
        </w:tc>
      </w:tr>
      <w:tr w14:paraId="42DC6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58C179FA">
            <w:pPr>
              <w:spacing w:line="241" w:lineRule="auto"/>
              <w:rPr>
                <w:rFonts w:ascii="Arial"/>
                <w:strike/>
                <w:dstrike w:val="0"/>
                <w:color w:val="auto"/>
                <w:sz w:val="21"/>
                <w:highlight w:val="none"/>
              </w:rPr>
            </w:pPr>
          </w:p>
          <w:p w14:paraId="48714EB9">
            <w:pPr>
              <w:pStyle w:val="17"/>
              <w:spacing w:before="68" w:line="241" w:lineRule="auto"/>
              <w:ind w:left="482"/>
              <w:rPr>
                <w:strike/>
                <w:dstrike w:val="0"/>
                <w:color w:val="auto"/>
                <w:highlight w:val="none"/>
              </w:rPr>
            </w:pPr>
            <w:r>
              <w:rPr>
                <w:strike/>
                <w:dstrike w:val="0"/>
                <w:color w:val="auto"/>
                <w:highlight w:val="none"/>
              </w:rPr>
              <w:t>2</w:t>
            </w:r>
          </w:p>
        </w:tc>
        <w:tc>
          <w:tcPr>
            <w:tcW w:w="1949" w:type="dxa"/>
            <w:vAlign w:val="top"/>
          </w:tcPr>
          <w:p w14:paraId="0D9760F1">
            <w:pPr>
              <w:rPr>
                <w:rFonts w:ascii="Arial"/>
                <w:strike/>
                <w:dstrike w:val="0"/>
                <w:color w:val="auto"/>
                <w:sz w:val="21"/>
                <w:highlight w:val="none"/>
              </w:rPr>
            </w:pPr>
          </w:p>
          <w:p w14:paraId="2DD2D7AB">
            <w:pPr>
              <w:pStyle w:val="17"/>
              <w:spacing w:before="68" w:line="220" w:lineRule="auto"/>
              <w:ind w:left="669"/>
              <w:rPr>
                <w:strike/>
                <w:dstrike w:val="0"/>
                <w:color w:val="auto"/>
                <w:highlight w:val="none"/>
              </w:rPr>
            </w:pPr>
            <w:r>
              <w:rPr>
                <w:strike/>
                <w:dstrike w:val="0"/>
                <w:color w:val="auto"/>
                <w:spacing w:val="-4"/>
                <w:highlight w:val="none"/>
              </w:rPr>
              <w:t>高压柜</w:t>
            </w:r>
          </w:p>
        </w:tc>
        <w:tc>
          <w:tcPr>
            <w:tcW w:w="1390" w:type="dxa"/>
            <w:vAlign w:val="top"/>
          </w:tcPr>
          <w:p w14:paraId="59899FE9">
            <w:pPr>
              <w:rPr>
                <w:rFonts w:ascii="Arial"/>
                <w:strike/>
                <w:dstrike w:val="0"/>
                <w:color w:val="auto"/>
                <w:sz w:val="21"/>
                <w:highlight w:val="none"/>
              </w:rPr>
            </w:pPr>
          </w:p>
        </w:tc>
        <w:tc>
          <w:tcPr>
            <w:tcW w:w="1259" w:type="dxa"/>
            <w:vAlign w:val="top"/>
          </w:tcPr>
          <w:p w14:paraId="6B12477F">
            <w:pPr>
              <w:rPr>
                <w:rFonts w:ascii="Arial"/>
                <w:strike/>
                <w:dstrike w:val="0"/>
                <w:color w:val="auto"/>
                <w:sz w:val="21"/>
                <w:highlight w:val="none"/>
              </w:rPr>
            </w:pPr>
          </w:p>
        </w:tc>
        <w:tc>
          <w:tcPr>
            <w:tcW w:w="1305" w:type="dxa"/>
            <w:vAlign w:val="top"/>
          </w:tcPr>
          <w:p w14:paraId="44BD8570">
            <w:pPr>
              <w:rPr>
                <w:rFonts w:ascii="Arial"/>
                <w:strike/>
                <w:dstrike w:val="0"/>
                <w:color w:val="auto"/>
                <w:sz w:val="21"/>
                <w:highlight w:val="none"/>
              </w:rPr>
            </w:pPr>
          </w:p>
        </w:tc>
        <w:tc>
          <w:tcPr>
            <w:tcW w:w="1244" w:type="dxa"/>
            <w:vAlign w:val="top"/>
          </w:tcPr>
          <w:p w14:paraId="68B2AE20">
            <w:pPr>
              <w:rPr>
                <w:rFonts w:ascii="Arial"/>
                <w:strike/>
                <w:dstrike w:val="0"/>
                <w:color w:val="auto"/>
                <w:sz w:val="21"/>
                <w:highlight w:val="none"/>
              </w:rPr>
            </w:pPr>
          </w:p>
        </w:tc>
        <w:tc>
          <w:tcPr>
            <w:tcW w:w="1220" w:type="dxa"/>
            <w:vAlign w:val="top"/>
          </w:tcPr>
          <w:p w14:paraId="32E9BE45">
            <w:pPr>
              <w:rPr>
                <w:rFonts w:ascii="Arial"/>
                <w:strike/>
                <w:dstrike w:val="0"/>
                <w:color w:val="auto"/>
                <w:sz w:val="21"/>
                <w:highlight w:val="none"/>
              </w:rPr>
            </w:pPr>
          </w:p>
        </w:tc>
      </w:tr>
      <w:tr w14:paraId="2C89F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54" w:type="dxa"/>
            <w:vAlign w:val="top"/>
          </w:tcPr>
          <w:p w14:paraId="042F4F68">
            <w:pPr>
              <w:spacing w:line="242" w:lineRule="auto"/>
              <w:rPr>
                <w:rFonts w:ascii="Arial"/>
                <w:strike/>
                <w:dstrike w:val="0"/>
                <w:color w:val="auto"/>
                <w:sz w:val="21"/>
                <w:highlight w:val="none"/>
              </w:rPr>
            </w:pPr>
          </w:p>
          <w:p w14:paraId="1BEDFCE8">
            <w:pPr>
              <w:pStyle w:val="17"/>
              <w:spacing w:before="68"/>
              <w:ind w:left="483"/>
              <w:rPr>
                <w:strike/>
                <w:dstrike w:val="0"/>
                <w:color w:val="auto"/>
                <w:highlight w:val="none"/>
              </w:rPr>
            </w:pPr>
            <w:r>
              <w:rPr>
                <w:strike/>
                <w:dstrike w:val="0"/>
                <w:color w:val="auto"/>
                <w:highlight w:val="none"/>
              </w:rPr>
              <w:t>3</w:t>
            </w:r>
          </w:p>
        </w:tc>
        <w:tc>
          <w:tcPr>
            <w:tcW w:w="1949" w:type="dxa"/>
            <w:vAlign w:val="top"/>
          </w:tcPr>
          <w:p w14:paraId="0E910227">
            <w:pPr>
              <w:spacing w:line="242" w:lineRule="auto"/>
              <w:rPr>
                <w:rFonts w:ascii="Arial"/>
                <w:strike/>
                <w:dstrike w:val="0"/>
                <w:color w:val="auto"/>
                <w:sz w:val="21"/>
                <w:highlight w:val="none"/>
              </w:rPr>
            </w:pPr>
          </w:p>
          <w:p w14:paraId="6E59377C">
            <w:pPr>
              <w:pStyle w:val="17"/>
              <w:spacing w:before="69" w:line="220" w:lineRule="auto"/>
              <w:ind w:left="663"/>
              <w:rPr>
                <w:strike/>
                <w:dstrike w:val="0"/>
                <w:color w:val="auto"/>
                <w:highlight w:val="none"/>
              </w:rPr>
            </w:pPr>
            <w:r>
              <w:rPr>
                <w:strike/>
                <w:dstrike w:val="0"/>
                <w:color w:val="auto"/>
                <w:spacing w:val="-2"/>
                <w:highlight w:val="none"/>
              </w:rPr>
              <w:t>配电柜</w:t>
            </w:r>
          </w:p>
        </w:tc>
        <w:tc>
          <w:tcPr>
            <w:tcW w:w="1390" w:type="dxa"/>
            <w:vAlign w:val="top"/>
          </w:tcPr>
          <w:p w14:paraId="2AD513BF">
            <w:pPr>
              <w:rPr>
                <w:rFonts w:ascii="Arial"/>
                <w:strike/>
                <w:dstrike w:val="0"/>
                <w:color w:val="auto"/>
                <w:sz w:val="21"/>
                <w:highlight w:val="none"/>
              </w:rPr>
            </w:pPr>
          </w:p>
        </w:tc>
        <w:tc>
          <w:tcPr>
            <w:tcW w:w="1259" w:type="dxa"/>
            <w:vAlign w:val="top"/>
          </w:tcPr>
          <w:p w14:paraId="3D7E0B05">
            <w:pPr>
              <w:rPr>
                <w:rFonts w:ascii="Arial"/>
                <w:strike/>
                <w:dstrike w:val="0"/>
                <w:color w:val="auto"/>
                <w:sz w:val="21"/>
                <w:highlight w:val="none"/>
              </w:rPr>
            </w:pPr>
          </w:p>
        </w:tc>
        <w:tc>
          <w:tcPr>
            <w:tcW w:w="1305" w:type="dxa"/>
            <w:vAlign w:val="top"/>
          </w:tcPr>
          <w:p w14:paraId="001FE41D">
            <w:pPr>
              <w:rPr>
                <w:rFonts w:ascii="Arial"/>
                <w:strike/>
                <w:dstrike w:val="0"/>
                <w:color w:val="auto"/>
                <w:sz w:val="21"/>
                <w:highlight w:val="none"/>
              </w:rPr>
            </w:pPr>
          </w:p>
        </w:tc>
        <w:tc>
          <w:tcPr>
            <w:tcW w:w="1244" w:type="dxa"/>
            <w:vAlign w:val="top"/>
          </w:tcPr>
          <w:p w14:paraId="27593F1F">
            <w:pPr>
              <w:rPr>
                <w:rFonts w:ascii="Arial"/>
                <w:strike/>
                <w:dstrike w:val="0"/>
                <w:color w:val="auto"/>
                <w:sz w:val="21"/>
                <w:highlight w:val="none"/>
              </w:rPr>
            </w:pPr>
          </w:p>
        </w:tc>
        <w:tc>
          <w:tcPr>
            <w:tcW w:w="1220" w:type="dxa"/>
            <w:vAlign w:val="top"/>
          </w:tcPr>
          <w:p w14:paraId="6EC83EFA">
            <w:pPr>
              <w:rPr>
                <w:rFonts w:ascii="Arial"/>
                <w:strike/>
                <w:dstrike w:val="0"/>
                <w:color w:val="auto"/>
                <w:sz w:val="21"/>
                <w:highlight w:val="none"/>
              </w:rPr>
            </w:pPr>
          </w:p>
        </w:tc>
      </w:tr>
      <w:tr w14:paraId="21D47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054" w:type="dxa"/>
            <w:vAlign w:val="top"/>
          </w:tcPr>
          <w:p w14:paraId="3D05D476">
            <w:pPr>
              <w:spacing w:line="241" w:lineRule="auto"/>
              <w:rPr>
                <w:rFonts w:ascii="Arial"/>
                <w:strike/>
                <w:dstrike w:val="0"/>
                <w:color w:val="auto"/>
                <w:sz w:val="21"/>
                <w:highlight w:val="none"/>
              </w:rPr>
            </w:pPr>
          </w:p>
          <w:p w14:paraId="6CFE8E24">
            <w:pPr>
              <w:pStyle w:val="17"/>
              <w:spacing w:before="68" w:line="241" w:lineRule="auto"/>
              <w:ind w:left="478"/>
              <w:rPr>
                <w:strike/>
                <w:dstrike w:val="0"/>
                <w:color w:val="auto"/>
                <w:highlight w:val="none"/>
              </w:rPr>
            </w:pPr>
            <w:r>
              <w:rPr>
                <w:strike/>
                <w:dstrike w:val="0"/>
                <w:color w:val="auto"/>
                <w:highlight w:val="none"/>
              </w:rPr>
              <w:t>4</w:t>
            </w:r>
          </w:p>
        </w:tc>
        <w:tc>
          <w:tcPr>
            <w:tcW w:w="1949" w:type="dxa"/>
            <w:vAlign w:val="top"/>
          </w:tcPr>
          <w:p w14:paraId="53182368">
            <w:pPr>
              <w:rPr>
                <w:rFonts w:ascii="Arial"/>
                <w:strike/>
                <w:dstrike w:val="0"/>
                <w:color w:val="auto"/>
                <w:sz w:val="21"/>
                <w:highlight w:val="none"/>
              </w:rPr>
            </w:pPr>
          </w:p>
          <w:p w14:paraId="3E2563F0">
            <w:pPr>
              <w:pStyle w:val="17"/>
              <w:spacing w:before="69" w:line="219" w:lineRule="auto"/>
              <w:ind w:left="453"/>
              <w:rPr>
                <w:strike/>
                <w:dstrike w:val="0"/>
                <w:color w:val="auto"/>
                <w:highlight w:val="none"/>
              </w:rPr>
            </w:pPr>
            <w:r>
              <w:rPr>
                <w:strike/>
                <w:dstrike w:val="0"/>
                <w:color w:val="auto"/>
                <w:spacing w:val="-2"/>
                <w:highlight w:val="none"/>
              </w:rPr>
              <w:t>柴油发电机</w:t>
            </w:r>
          </w:p>
        </w:tc>
        <w:tc>
          <w:tcPr>
            <w:tcW w:w="1390" w:type="dxa"/>
            <w:vAlign w:val="top"/>
          </w:tcPr>
          <w:p w14:paraId="6BDB2ABB">
            <w:pPr>
              <w:rPr>
                <w:rFonts w:ascii="Arial"/>
                <w:strike/>
                <w:dstrike w:val="0"/>
                <w:color w:val="auto"/>
                <w:sz w:val="21"/>
                <w:highlight w:val="none"/>
              </w:rPr>
            </w:pPr>
          </w:p>
        </w:tc>
        <w:tc>
          <w:tcPr>
            <w:tcW w:w="1259" w:type="dxa"/>
            <w:vAlign w:val="top"/>
          </w:tcPr>
          <w:p w14:paraId="645C8053">
            <w:pPr>
              <w:rPr>
                <w:rFonts w:ascii="Arial"/>
                <w:strike/>
                <w:dstrike w:val="0"/>
                <w:color w:val="auto"/>
                <w:sz w:val="21"/>
                <w:highlight w:val="none"/>
              </w:rPr>
            </w:pPr>
          </w:p>
        </w:tc>
        <w:tc>
          <w:tcPr>
            <w:tcW w:w="1305" w:type="dxa"/>
            <w:vAlign w:val="top"/>
          </w:tcPr>
          <w:p w14:paraId="29F074B6">
            <w:pPr>
              <w:rPr>
                <w:rFonts w:ascii="Arial"/>
                <w:strike/>
                <w:dstrike w:val="0"/>
                <w:color w:val="auto"/>
                <w:sz w:val="21"/>
                <w:highlight w:val="none"/>
              </w:rPr>
            </w:pPr>
          </w:p>
        </w:tc>
        <w:tc>
          <w:tcPr>
            <w:tcW w:w="1244" w:type="dxa"/>
            <w:vAlign w:val="top"/>
          </w:tcPr>
          <w:p w14:paraId="625DF296">
            <w:pPr>
              <w:rPr>
                <w:rFonts w:ascii="Arial"/>
                <w:strike/>
                <w:dstrike w:val="0"/>
                <w:color w:val="auto"/>
                <w:sz w:val="21"/>
                <w:highlight w:val="none"/>
              </w:rPr>
            </w:pPr>
          </w:p>
        </w:tc>
        <w:tc>
          <w:tcPr>
            <w:tcW w:w="1220" w:type="dxa"/>
            <w:vAlign w:val="top"/>
          </w:tcPr>
          <w:p w14:paraId="0C07ADFB">
            <w:pPr>
              <w:rPr>
                <w:rFonts w:ascii="Arial"/>
                <w:strike/>
                <w:dstrike w:val="0"/>
                <w:color w:val="auto"/>
                <w:sz w:val="21"/>
                <w:highlight w:val="none"/>
              </w:rPr>
            </w:pPr>
          </w:p>
        </w:tc>
      </w:tr>
    </w:tbl>
    <w:p w14:paraId="4D8B1FB0">
      <w:pPr>
        <w:pStyle w:val="3"/>
        <w:rPr>
          <w:strike/>
          <w:dstrike w:val="0"/>
          <w:color w:val="auto"/>
          <w:highlight w:val="none"/>
        </w:rPr>
      </w:pPr>
    </w:p>
    <w:p w14:paraId="739FFEC3">
      <w:pPr>
        <w:rPr>
          <w:strike/>
          <w:dstrike w:val="0"/>
          <w:color w:val="auto"/>
          <w:highlight w:val="none"/>
        </w:rPr>
        <w:sectPr>
          <w:headerReference r:id="rId214" w:type="default"/>
          <w:footerReference r:id="rId215" w:type="default"/>
          <w:pgSz w:w="11905" w:h="16840"/>
          <w:pgMar w:top="1182" w:right="0" w:bottom="1171" w:left="0" w:header="849" w:footer="937" w:gutter="0"/>
          <w:pgNumType w:fmt="decimal"/>
          <w:cols w:space="720" w:num="1"/>
        </w:sectPr>
      </w:pPr>
    </w:p>
    <w:p w14:paraId="34C45796">
      <w:pPr>
        <w:spacing w:line="234" w:lineRule="exact"/>
        <w:rPr>
          <w:strike/>
          <w:dstrike w:val="0"/>
          <w:color w:val="auto"/>
          <w:highlight w:val="none"/>
        </w:rPr>
      </w:pPr>
    </w:p>
    <w:tbl>
      <w:tblPr>
        <w:tblStyle w:val="16"/>
        <w:tblW w:w="9421" w:type="dxa"/>
        <w:tblInd w:w="1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3A12A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054" w:type="dxa"/>
            <w:vAlign w:val="top"/>
          </w:tcPr>
          <w:p w14:paraId="617C7476">
            <w:pPr>
              <w:spacing w:line="241" w:lineRule="auto"/>
              <w:rPr>
                <w:rFonts w:ascii="Arial"/>
                <w:strike/>
                <w:dstrike w:val="0"/>
                <w:color w:val="auto"/>
                <w:sz w:val="21"/>
                <w:highlight w:val="none"/>
              </w:rPr>
            </w:pPr>
          </w:p>
          <w:p w14:paraId="5B0DBBD7">
            <w:pPr>
              <w:pStyle w:val="17"/>
              <w:spacing w:before="68"/>
              <w:ind w:left="483"/>
              <w:rPr>
                <w:strike/>
                <w:dstrike w:val="0"/>
                <w:color w:val="auto"/>
                <w:highlight w:val="none"/>
              </w:rPr>
            </w:pPr>
            <w:r>
              <w:rPr>
                <w:strike/>
                <w:dstrike w:val="0"/>
                <w:color w:val="auto"/>
                <w:highlight w:val="none"/>
              </w:rPr>
              <w:t>5</w:t>
            </w:r>
          </w:p>
        </w:tc>
        <w:tc>
          <w:tcPr>
            <w:tcW w:w="1949" w:type="dxa"/>
            <w:vAlign w:val="top"/>
          </w:tcPr>
          <w:p w14:paraId="3AF8C1EA">
            <w:pPr>
              <w:spacing w:line="274" w:lineRule="auto"/>
              <w:rPr>
                <w:rFonts w:ascii="Arial"/>
                <w:strike/>
                <w:dstrike w:val="0"/>
                <w:color w:val="auto"/>
                <w:sz w:val="21"/>
                <w:highlight w:val="none"/>
              </w:rPr>
            </w:pPr>
          </w:p>
          <w:p w14:paraId="2DDBD61C">
            <w:pPr>
              <w:pStyle w:val="17"/>
              <w:spacing w:before="68" w:line="183" w:lineRule="auto"/>
              <w:ind w:left="817"/>
              <w:rPr>
                <w:strike/>
                <w:dstrike w:val="0"/>
                <w:color w:val="auto"/>
                <w:highlight w:val="none"/>
              </w:rPr>
            </w:pPr>
            <w:r>
              <w:rPr>
                <w:strike/>
                <w:dstrike w:val="0"/>
                <w:color w:val="auto"/>
                <w:spacing w:val="-2"/>
                <w:highlight w:val="none"/>
              </w:rPr>
              <w:t>EPS</w:t>
            </w:r>
          </w:p>
        </w:tc>
        <w:tc>
          <w:tcPr>
            <w:tcW w:w="1390" w:type="dxa"/>
            <w:vAlign w:val="top"/>
          </w:tcPr>
          <w:p w14:paraId="64C43D64">
            <w:pPr>
              <w:rPr>
                <w:rFonts w:ascii="Arial"/>
                <w:strike/>
                <w:dstrike w:val="0"/>
                <w:color w:val="auto"/>
                <w:sz w:val="21"/>
                <w:highlight w:val="none"/>
              </w:rPr>
            </w:pPr>
          </w:p>
        </w:tc>
        <w:tc>
          <w:tcPr>
            <w:tcW w:w="1259" w:type="dxa"/>
            <w:vAlign w:val="top"/>
          </w:tcPr>
          <w:p w14:paraId="05E7FAB1">
            <w:pPr>
              <w:rPr>
                <w:rFonts w:ascii="Arial"/>
                <w:strike/>
                <w:dstrike w:val="0"/>
                <w:color w:val="auto"/>
                <w:sz w:val="21"/>
                <w:highlight w:val="none"/>
              </w:rPr>
            </w:pPr>
          </w:p>
        </w:tc>
        <w:tc>
          <w:tcPr>
            <w:tcW w:w="1305" w:type="dxa"/>
            <w:vAlign w:val="top"/>
          </w:tcPr>
          <w:p w14:paraId="5F650718">
            <w:pPr>
              <w:rPr>
                <w:rFonts w:ascii="Arial"/>
                <w:strike/>
                <w:dstrike w:val="0"/>
                <w:color w:val="auto"/>
                <w:sz w:val="21"/>
                <w:highlight w:val="none"/>
              </w:rPr>
            </w:pPr>
          </w:p>
        </w:tc>
        <w:tc>
          <w:tcPr>
            <w:tcW w:w="1244" w:type="dxa"/>
            <w:vAlign w:val="top"/>
          </w:tcPr>
          <w:p w14:paraId="72332339">
            <w:pPr>
              <w:rPr>
                <w:rFonts w:ascii="Arial"/>
                <w:strike/>
                <w:dstrike w:val="0"/>
                <w:color w:val="auto"/>
                <w:sz w:val="21"/>
                <w:highlight w:val="none"/>
              </w:rPr>
            </w:pPr>
          </w:p>
        </w:tc>
        <w:tc>
          <w:tcPr>
            <w:tcW w:w="1220" w:type="dxa"/>
            <w:vAlign w:val="top"/>
          </w:tcPr>
          <w:p w14:paraId="107E9AC5">
            <w:pPr>
              <w:rPr>
                <w:rFonts w:ascii="Arial"/>
                <w:strike/>
                <w:dstrike w:val="0"/>
                <w:color w:val="auto"/>
                <w:sz w:val="21"/>
                <w:highlight w:val="none"/>
              </w:rPr>
            </w:pPr>
          </w:p>
        </w:tc>
      </w:tr>
      <w:tr w14:paraId="2FC07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54" w:type="dxa"/>
            <w:vAlign w:val="top"/>
          </w:tcPr>
          <w:p w14:paraId="14ABF085">
            <w:pPr>
              <w:spacing w:line="390" w:lineRule="auto"/>
              <w:rPr>
                <w:rFonts w:ascii="Arial"/>
                <w:strike/>
                <w:dstrike w:val="0"/>
                <w:color w:val="auto"/>
                <w:sz w:val="21"/>
                <w:highlight w:val="none"/>
              </w:rPr>
            </w:pPr>
          </w:p>
          <w:p w14:paraId="0C5D39B6">
            <w:pPr>
              <w:pStyle w:val="17"/>
              <w:spacing w:before="69" w:line="86"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6AED2522">
            <w:pPr>
              <w:rPr>
                <w:rFonts w:ascii="Arial"/>
                <w:strike/>
                <w:dstrike w:val="0"/>
                <w:color w:val="auto"/>
                <w:sz w:val="21"/>
                <w:highlight w:val="none"/>
              </w:rPr>
            </w:pPr>
          </w:p>
        </w:tc>
        <w:tc>
          <w:tcPr>
            <w:tcW w:w="1390" w:type="dxa"/>
            <w:vAlign w:val="top"/>
          </w:tcPr>
          <w:p w14:paraId="4B3298A2">
            <w:pPr>
              <w:rPr>
                <w:rFonts w:ascii="Arial"/>
                <w:strike/>
                <w:dstrike w:val="0"/>
                <w:color w:val="auto"/>
                <w:sz w:val="21"/>
                <w:highlight w:val="none"/>
              </w:rPr>
            </w:pPr>
          </w:p>
        </w:tc>
        <w:tc>
          <w:tcPr>
            <w:tcW w:w="1259" w:type="dxa"/>
            <w:vAlign w:val="top"/>
          </w:tcPr>
          <w:p w14:paraId="5E33CFF7">
            <w:pPr>
              <w:rPr>
                <w:rFonts w:ascii="Arial"/>
                <w:strike/>
                <w:dstrike w:val="0"/>
                <w:color w:val="auto"/>
                <w:sz w:val="21"/>
                <w:highlight w:val="none"/>
              </w:rPr>
            </w:pPr>
          </w:p>
        </w:tc>
        <w:tc>
          <w:tcPr>
            <w:tcW w:w="1305" w:type="dxa"/>
            <w:vAlign w:val="top"/>
          </w:tcPr>
          <w:p w14:paraId="0C1A4B13">
            <w:pPr>
              <w:rPr>
                <w:rFonts w:ascii="Arial"/>
                <w:strike/>
                <w:dstrike w:val="0"/>
                <w:color w:val="auto"/>
                <w:sz w:val="21"/>
                <w:highlight w:val="none"/>
              </w:rPr>
            </w:pPr>
          </w:p>
        </w:tc>
        <w:tc>
          <w:tcPr>
            <w:tcW w:w="1244" w:type="dxa"/>
            <w:vAlign w:val="top"/>
          </w:tcPr>
          <w:p w14:paraId="5DC2246C">
            <w:pPr>
              <w:rPr>
                <w:rFonts w:ascii="Arial"/>
                <w:strike/>
                <w:dstrike w:val="0"/>
                <w:color w:val="auto"/>
                <w:sz w:val="21"/>
                <w:highlight w:val="none"/>
              </w:rPr>
            </w:pPr>
          </w:p>
        </w:tc>
        <w:tc>
          <w:tcPr>
            <w:tcW w:w="1220" w:type="dxa"/>
            <w:vAlign w:val="top"/>
          </w:tcPr>
          <w:p w14:paraId="1651BB0D">
            <w:pPr>
              <w:rPr>
                <w:rFonts w:ascii="Arial"/>
                <w:strike/>
                <w:dstrike w:val="0"/>
                <w:color w:val="auto"/>
                <w:sz w:val="21"/>
                <w:highlight w:val="none"/>
              </w:rPr>
            </w:pPr>
          </w:p>
        </w:tc>
      </w:tr>
      <w:tr w14:paraId="68E7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421" w:type="dxa"/>
            <w:gridSpan w:val="7"/>
            <w:vAlign w:val="top"/>
          </w:tcPr>
          <w:p w14:paraId="2EF84686">
            <w:pPr>
              <w:pStyle w:val="17"/>
              <w:spacing w:before="308" w:line="220" w:lineRule="auto"/>
              <w:ind w:left="4096"/>
              <w:rPr>
                <w:strike/>
                <w:dstrike w:val="0"/>
                <w:color w:val="auto"/>
                <w:highlight w:val="none"/>
              </w:rPr>
            </w:pPr>
            <w:r>
              <w:rPr>
                <w:strike/>
                <w:dstrike w:val="0"/>
                <w:color w:val="auto"/>
                <w:spacing w:val="-3"/>
                <w:highlight w:val="none"/>
              </w:rPr>
              <w:t>隧道照明系统</w:t>
            </w:r>
          </w:p>
        </w:tc>
      </w:tr>
      <w:tr w14:paraId="156E9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61FAE8CD">
            <w:pPr>
              <w:pStyle w:val="17"/>
              <w:spacing w:before="308" w:line="241" w:lineRule="auto"/>
              <w:ind w:left="495"/>
              <w:rPr>
                <w:strike/>
                <w:dstrike w:val="0"/>
                <w:color w:val="auto"/>
                <w:highlight w:val="none"/>
              </w:rPr>
            </w:pPr>
            <w:r>
              <w:rPr>
                <w:strike/>
                <w:dstrike w:val="0"/>
                <w:color w:val="auto"/>
                <w:highlight w:val="none"/>
              </w:rPr>
              <w:t>1</w:t>
            </w:r>
          </w:p>
        </w:tc>
        <w:tc>
          <w:tcPr>
            <w:tcW w:w="1949" w:type="dxa"/>
            <w:vAlign w:val="top"/>
          </w:tcPr>
          <w:p w14:paraId="6FF61B5D">
            <w:pPr>
              <w:pStyle w:val="17"/>
              <w:spacing w:before="308" w:line="220" w:lineRule="auto"/>
              <w:ind w:left="564"/>
              <w:rPr>
                <w:strike/>
                <w:dstrike w:val="0"/>
                <w:color w:val="auto"/>
                <w:highlight w:val="none"/>
              </w:rPr>
            </w:pPr>
            <w:r>
              <w:rPr>
                <w:strike/>
                <w:dstrike w:val="0"/>
                <w:color w:val="auto"/>
                <w:spacing w:val="-3"/>
                <w:highlight w:val="none"/>
              </w:rPr>
              <w:t>照明灯具</w:t>
            </w:r>
          </w:p>
        </w:tc>
        <w:tc>
          <w:tcPr>
            <w:tcW w:w="1390" w:type="dxa"/>
            <w:vAlign w:val="top"/>
          </w:tcPr>
          <w:p w14:paraId="77863484">
            <w:pPr>
              <w:rPr>
                <w:rFonts w:ascii="Arial"/>
                <w:strike/>
                <w:dstrike w:val="0"/>
                <w:color w:val="auto"/>
                <w:sz w:val="21"/>
                <w:highlight w:val="none"/>
              </w:rPr>
            </w:pPr>
          </w:p>
        </w:tc>
        <w:tc>
          <w:tcPr>
            <w:tcW w:w="1259" w:type="dxa"/>
            <w:vAlign w:val="top"/>
          </w:tcPr>
          <w:p w14:paraId="74DE7E9A">
            <w:pPr>
              <w:rPr>
                <w:rFonts w:ascii="Arial"/>
                <w:strike/>
                <w:dstrike w:val="0"/>
                <w:color w:val="auto"/>
                <w:sz w:val="21"/>
                <w:highlight w:val="none"/>
              </w:rPr>
            </w:pPr>
          </w:p>
        </w:tc>
        <w:tc>
          <w:tcPr>
            <w:tcW w:w="1305" w:type="dxa"/>
            <w:vAlign w:val="top"/>
          </w:tcPr>
          <w:p w14:paraId="1D1D4AD6">
            <w:pPr>
              <w:rPr>
                <w:rFonts w:ascii="Arial"/>
                <w:strike/>
                <w:dstrike w:val="0"/>
                <w:color w:val="auto"/>
                <w:sz w:val="21"/>
                <w:highlight w:val="none"/>
              </w:rPr>
            </w:pPr>
          </w:p>
        </w:tc>
        <w:tc>
          <w:tcPr>
            <w:tcW w:w="1244" w:type="dxa"/>
            <w:vAlign w:val="top"/>
          </w:tcPr>
          <w:p w14:paraId="0953B353">
            <w:pPr>
              <w:rPr>
                <w:rFonts w:ascii="Arial"/>
                <w:strike/>
                <w:dstrike w:val="0"/>
                <w:color w:val="auto"/>
                <w:sz w:val="21"/>
                <w:highlight w:val="none"/>
              </w:rPr>
            </w:pPr>
          </w:p>
        </w:tc>
        <w:tc>
          <w:tcPr>
            <w:tcW w:w="1220" w:type="dxa"/>
            <w:vAlign w:val="top"/>
          </w:tcPr>
          <w:p w14:paraId="3BA69D26">
            <w:pPr>
              <w:rPr>
                <w:rFonts w:ascii="Arial"/>
                <w:strike/>
                <w:dstrike w:val="0"/>
                <w:color w:val="auto"/>
                <w:sz w:val="21"/>
                <w:highlight w:val="none"/>
              </w:rPr>
            </w:pPr>
          </w:p>
        </w:tc>
      </w:tr>
      <w:tr w14:paraId="785DF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0E805D8C">
            <w:pPr>
              <w:rPr>
                <w:rFonts w:ascii="Arial"/>
                <w:strike/>
                <w:dstrike w:val="0"/>
                <w:color w:val="auto"/>
                <w:sz w:val="21"/>
                <w:highlight w:val="none"/>
              </w:rPr>
            </w:pPr>
          </w:p>
          <w:p w14:paraId="5DF362C8">
            <w:pPr>
              <w:pStyle w:val="17"/>
              <w:spacing w:before="69" w:line="241" w:lineRule="auto"/>
              <w:ind w:left="482"/>
              <w:rPr>
                <w:strike/>
                <w:dstrike w:val="0"/>
                <w:color w:val="auto"/>
                <w:highlight w:val="none"/>
              </w:rPr>
            </w:pPr>
            <w:r>
              <w:rPr>
                <w:strike/>
                <w:dstrike w:val="0"/>
                <w:color w:val="auto"/>
                <w:highlight w:val="none"/>
              </w:rPr>
              <w:t>2</w:t>
            </w:r>
          </w:p>
        </w:tc>
        <w:tc>
          <w:tcPr>
            <w:tcW w:w="1949" w:type="dxa"/>
            <w:vAlign w:val="top"/>
          </w:tcPr>
          <w:p w14:paraId="4BB76EE4">
            <w:pPr>
              <w:rPr>
                <w:rFonts w:ascii="Arial"/>
                <w:strike/>
                <w:dstrike w:val="0"/>
                <w:color w:val="auto"/>
                <w:sz w:val="21"/>
                <w:highlight w:val="none"/>
              </w:rPr>
            </w:pPr>
          </w:p>
          <w:p w14:paraId="0021A688">
            <w:pPr>
              <w:pStyle w:val="17"/>
              <w:spacing w:before="68" w:line="220" w:lineRule="auto"/>
              <w:ind w:left="249"/>
              <w:rPr>
                <w:strike/>
                <w:dstrike w:val="0"/>
                <w:color w:val="auto"/>
                <w:highlight w:val="none"/>
              </w:rPr>
            </w:pPr>
            <w:r>
              <w:rPr>
                <w:strike/>
                <w:dstrike w:val="0"/>
                <w:color w:val="auto"/>
                <w:spacing w:val="-2"/>
                <w:highlight w:val="none"/>
              </w:rPr>
              <w:t>智能调光控制器</w:t>
            </w:r>
          </w:p>
        </w:tc>
        <w:tc>
          <w:tcPr>
            <w:tcW w:w="1390" w:type="dxa"/>
            <w:vAlign w:val="top"/>
          </w:tcPr>
          <w:p w14:paraId="7A9CED8B">
            <w:pPr>
              <w:rPr>
                <w:rFonts w:ascii="Arial"/>
                <w:strike/>
                <w:dstrike w:val="0"/>
                <w:color w:val="auto"/>
                <w:sz w:val="21"/>
                <w:highlight w:val="none"/>
              </w:rPr>
            </w:pPr>
          </w:p>
        </w:tc>
        <w:tc>
          <w:tcPr>
            <w:tcW w:w="1259" w:type="dxa"/>
            <w:vAlign w:val="top"/>
          </w:tcPr>
          <w:p w14:paraId="5A7B53CF">
            <w:pPr>
              <w:rPr>
                <w:rFonts w:ascii="Arial"/>
                <w:strike/>
                <w:dstrike w:val="0"/>
                <w:color w:val="auto"/>
                <w:sz w:val="21"/>
                <w:highlight w:val="none"/>
              </w:rPr>
            </w:pPr>
          </w:p>
        </w:tc>
        <w:tc>
          <w:tcPr>
            <w:tcW w:w="1305" w:type="dxa"/>
            <w:vAlign w:val="top"/>
          </w:tcPr>
          <w:p w14:paraId="31DB6DA2">
            <w:pPr>
              <w:rPr>
                <w:rFonts w:ascii="Arial"/>
                <w:strike/>
                <w:dstrike w:val="0"/>
                <w:color w:val="auto"/>
                <w:sz w:val="21"/>
                <w:highlight w:val="none"/>
              </w:rPr>
            </w:pPr>
          </w:p>
        </w:tc>
        <w:tc>
          <w:tcPr>
            <w:tcW w:w="1244" w:type="dxa"/>
            <w:vAlign w:val="top"/>
          </w:tcPr>
          <w:p w14:paraId="39FFFF23">
            <w:pPr>
              <w:rPr>
                <w:rFonts w:ascii="Arial"/>
                <w:strike/>
                <w:dstrike w:val="0"/>
                <w:color w:val="auto"/>
                <w:sz w:val="21"/>
                <w:highlight w:val="none"/>
              </w:rPr>
            </w:pPr>
          </w:p>
        </w:tc>
        <w:tc>
          <w:tcPr>
            <w:tcW w:w="1220" w:type="dxa"/>
            <w:vAlign w:val="top"/>
          </w:tcPr>
          <w:p w14:paraId="4E81C824">
            <w:pPr>
              <w:rPr>
                <w:rFonts w:ascii="Arial"/>
                <w:strike/>
                <w:dstrike w:val="0"/>
                <w:color w:val="auto"/>
                <w:sz w:val="21"/>
                <w:highlight w:val="none"/>
              </w:rPr>
            </w:pPr>
          </w:p>
        </w:tc>
      </w:tr>
      <w:tr w14:paraId="1A902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054" w:type="dxa"/>
            <w:vAlign w:val="top"/>
          </w:tcPr>
          <w:p w14:paraId="0C4A6BF2">
            <w:pPr>
              <w:spacing w:line="393" w:lineRule="auto"/>
              <w:rPr>
                <w:rFonts w:ascii="Arial"/>
                <w:strike/>
                <w:dstrike w:val="0"/>
                <w:color w:val="auto"/>
                <w:sz w:val="21"/>
                <w:highlight w:val="none"/>
              </w:rPr>
            </w:pPr>
          </w:p>
          <w:p w14:paraId="19825054">
            <w:pPr>
              <w:pStyle w:val="17"/>
              <w:spacing w:before="69" w:line="86" w:lineRule="exact"/>
              <w:ind w:left="379"/>
              <w:rPr>
                <w:strike/>
                <w:dstrike w:val="0"/>
                <w:color w:val="auto"/>
                <w:highlight w:val="none"/>
              </w:rPr>
            </w:pPr>
            <w:r>
              <w:rPr>
                <w:strike/>
                <w:dstrike w:val="0"/>
                <w:color w:val="auto"/>
                <w:spacing w:val="-5"/>
                <w:position w:val="1"/>
                <w:highlight w:val="none"/>
              </w:rPr>
              <w:t>...</w:t>
            </w:r>
          </w:p>
        </w:tc>
        <w:tc>
          <w:tcPr>
            <w:tcW w:w="1949" w:type="dxa"/>
            <w:vAlign w:val="top"/>
          </w:tcPr>
          <w:p w14:paraId="0E8366BB">
            <w:pPr>
              <w:rPr>
                <w:rFonts w:ascii="Arial"/>
                <w:strike/>
                <w:dstrike w:val="0"/>
                <w:color w:val="auto"/>
                <w:sz w:val="21"/>
                <w:highlight w:val="none"/>
              </w:rPr>
            </w:pPr>
          </w:p>
        </w:tc>
        <w:tc>
          <w:tcPr>
            <w:tcW w:w="1390" w:type="dxa"/>
            <w:vAlign w:val="top"/>
          </w:tcPr>
          <w:p w14:paraId="06B492B4">
            <w:pPr>
              <w:rPr>
                <w:rFonts w:ascii="Arial"/>
                <w:strike/>
                <w:dstrike w:val="0"/>
                <w:color w:val="auto"/>
                <w:sz w:val="21"/>
                <w:highlight w:val="none"/>
              </w:rPr>
            </w:pPr>
          </w:p>
        </w:tc>
        <w:tc>
          <w:tcPr>
            <w:tcW w:w="1259" w:type="dxa"/>
            <w:vAlign w:val="top"/>
          </w:tcPr>
          <w:p w14:paraId="6E602FEC">
            <w:pPr>
              <w:rPr>
                <w:rFonts w:ascii="Arial"/>
                <w:strike/>
                <w:dstrike w:val="0"/>
                <w:color w:val="auto"/>
                <w:sz w:val="21"/>
                <w:highlight w:val="none"/>
              </w:rPr>
            </w:pPr>
          </w:p>
        </w:tc>
        <w:tc>
          <w:tcPr>
            <w:tcW w:w="1305" w:type="dxa"/>
            <w:vAlign w:val="top"/>
          </w:tcPr>
          <w:p w14:paraId="1EEFCB09">
            <w:pPr>
              <w:rPr>
                <w:rFonts w:ascii="Arial"/>
                <w:strike/>
                <w:dstrike w:val="0"/>
                <w:color w:val="auto"/>
                <w:sz w:val="21"/>
                <w:highlight w:val="none"/>
              </w:rPr>
            </w:pPr>
          </w:p>
        </w:tc>
        <w:tc>
          <w:tcPr>
            <w:tcW w:w="1244" w:type="dxa"/>
            <w:vAlign w:val="top"/>
          </w:tcPr>
          <w:p w14:paraId="799FF971">
            <w:pPr>
              <w:rPr>
                <w:rFonts w:ascii="Arial"/>
                <w:strike/>
                <w:dstrike w:val="0"/>
                <w:color w:val="auto"/>
                <w:sz w:val="21"/>
                <w:highlight w:val="none"/>
              </w:rPr>
            </w:pPr>
          </w:p>
        </w:tc>
        <w:tc>
          <w:tcPr>
            <w:tcW w:w="1220" w:type="dxa"/>
            <w:vAlign w:val="top"/>
          </w:tcPr>
          <w:p w14:paraId="74EAD6C4">
            <w:pPr>
              <w:rPr>
                <w:rFonts w:ascii="Arial"/>
                <w:strike/>
                <w:dstrike w:val="0"/>
                <w:color w:val="auto"/>
                <w:sz w:val="21"/>
                <w:highlight w:val="none"/>
              </w:rPr>
            </w:pPr>
          </w:p>
        </w:tc>
      </w:tr>
    </w:tbl>
    <w:p w14:paraId="6C34CAB4">
      <w:pPr>
        <w:pStyle w:val="3"/>
        <w:spacing w:line="250" w:lineRule="auto"/>
        <w:rPr>
          <w:strike/>
          <w:dstrike w:val="0"/>
          <w:color w:val="auto"/>
          <w:highlight w:val="none"/>
        </w:rPr>
      </w:pPr>
    </w:p>
    <w:p w14:paraId="5B1D3F57">
      <w:pPr>
        <w:pStyle w:val="3"/>
        <w:spacing w:line="250" w:lineRule="auto"/>
        <w:rPr>
          <w:strike/>
          <w:dstrike w:val="0"/>
          <w:color w:val="auto"/>
          <w:highlight w:val="none"/>
        </w:rPr>
      </w:pPr>
    </w:p>
    <w:p w14:paraId="5CD81950">
      <w:pPr>
        <w:spacing w:before="78" w:line="219" w:lineRule="auto"/>
        <w:ind w:left="454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投标人</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3"/>
          <w:sz w:val="24"/>
          <w:szCs w:val="24"/>
          <w:highlight w:val="none"/>
        </w:rPr>
        <w:t>盖单位章）</w:t>
      </w:r>
    </w:p>
    <w:p w14:paraId="3BE987C3">
      <w:pPr>
        <w:spacing w:before="182" w:line="220"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pacing w:val="-2"/>
          <w:sz w:val="24"/>
          <w:szCs w:val="24"/>
          <w:highlight w:val="none"/>
        </w:rPr>
        <w:t>签字）</w:t>
      </w:r>
    </w:p>
    <w:p w14:paraId="227230EA">
      <w:pPr>
        <w:pStyle w:val="3"/>
        <w:spacing w:line="257" w:lineRule="auto"/>
        <w:rPr>
          <w:strike/>
          <w:dstrike w:val="0"/>
          <w:color w:val="auto"/>
          <w:highlight w:val="none"/>
        </w:rPr>
      </w:pPr>
    </w:p>
    <w:p w14:paraId="6419AD95">
      <w:pPr>
        <w:pStyle w:val="3"/>
        <w:spacing w:line="257" w:lineRule="auto"/>
        <w:rPr>
          <w:strike/>
          <w:dstrike w:val="0"/>
          <w:color w:val="auto"/>
          <w:highlight w:val="none"/>
        </w:rPr>
      </w:pPr>
    </w:p>
    <w:p w14:paraId="66076BC9">
      <w:pPr>
        <w:spacing w:before="69" w:line="224" w:lineRule="auto"/>
        <w:ind w:left="1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5"/>
          <w:sz w:val="21"/>
          <w:szCs w:val="21"/>
          <w:highlight w:val="none"/>
        </w:rPr>
        <w:t>注：</w:t>
      </w:r>
    </w:p>
    <w:p w14:paraId="15A21EB7">
      <w:pPr>
        <w:spacing w:before="57" w:line="220" w:lineRule="auto"/>
        <w:ind w:left="1439"/>
        <w:rPr>
          <w:rFonts w:ascii="宋体" w:hAnsi="宋体" w:eastAsia="宋体" w:cs="宋体"/>
          <w:strike/>
          <w:dstrike w:val="0"/>
          <w:color w:val="auto"/>
          <w:sz w:val="21"/>
          <w:szCs w:val="21"/>
          <w:highlight w:val="none"/>
        </w:rPr>
      </w:pPr>
      <w:r>
        <w:rPr>
          <w:rFonts w:ascii="宋体" w:hAnsi="宋体" w:eastAsia="宋体" w:cs="宋体"/>
          <w:strike/>
          <w:dstrike w:val="0"/>
          <w:color w:val="auto"/>
          <w:spacing w:val="-2"/>
          <w:sz w:val="21"/>
          <w:szCs w:val="21"/>
          <w:highlight w:val="none"/>
        </w:rPr>
        <w:t>1、一个设备只允许填报一个品牌，漏填或多填均按否决投标处理。</w:t>
      </w:r>
    </w:p>
    <w:p w14:paraId="3FB12B27">
      <w:pPr>
        <w:spacing w:before="62" w:line="219" w:lineRule="auto"/>
        <w:ind w:left="1426"/>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2、填入的品牌名称应按照其官方发布的规范中文全称填入，并在备注中注明是进口或是国产设备。</w:t>
      </w:r>
    </w:p>
    <w:p w14:paraId="3508780C">
      <w:pPr>
        <w:spacing w:line="219" w:lineRule="auto"/>
        <w:rPr>
          <w:rFonts w:ascii="宋体" w:hAnsi="宋体" w:eastAsia="宋体" w:cs="宋体"/>
          <w:color w:val="auto"/>
          <w:sz w:val="21"/>
          <w:szCs w:val="21"/>
          <w:highlight w:val="none"/>
        </w:rPr>
        <w:sectPr>
          <w:headerReference r:id="rId216" w:type="default"/>
          <w:footerReference r:id="rId217" w:type="default"/>
          <w:pgSz w:w="11905" w:h="16840"/>
          <w:pgMar w:top="1182" w:right="0" w:bottom="1171" w:left="0" w:header="849" w:footer="937" w:gutter="0"/>
          <w:pgNumType w:fmt="decimal"/>
          <w:cols w:space="720" w:num="1"/>
        </w:sectPr>
      </w:pPr>
    </w:p>
    <w:p w14:paraId="43F7A783">
      <w:pPr>
        <w:pStyle w:val="3"/>
        <w:spacing w:line="316" w:lineRule="auto"/>
        <w:rPr>
          <w:color w:val="auto"/>
          <w:highlight w:val="none"/>
        </w:rPr>
      </w:pPr>
    </w:p>
    <w:p w14:paraId="53DA3809">
      <w:pPr>
        <w:spacing w:before="87" w:line="227" w:lineRule="auto"/>
        <w:ind w:left="4421"/>
        <w:rPr>
          <w:rFonts w:ascii="宋体" w:hAnsi="宋体" w:eastAsia="宋体" w:cs="宋体"/>
          <w:color w:val="auto"/>
          <w:sz w:val="27"/>
          <w:szCs w:val="27"/>
          <w:highlight w:val="none"/>
        </w:rPr>
      </w:pPr>
      <w:r>
        <w:rPr>
          <w:rFonts w:ascii="宋体" w:hAnsi="宋体" w:eastAsia="宋体" w:cs="宋体"/>
          <w:b/>
          <w:bCs/>
          <w:color w:val="auto"/>
          <w:spacing w:val="6"/>
          <w:sz w:val="27"/>
          <w:szCs w:val="27"/>
          <w:highlight w:val="none"/>
        </w:rPr>
        <w:t>八-3、投标人的自评分表</w:t>
      </w:r>
    </w:p>
    <w:p w14:paraId="648FCD62">
      <w:pPr>
        <w:spacing w:before="35"/>
        <w:rPr>
          <w:color w:val="auto"/>
          <w:highlight w:val="none"/>
        </w:rPr>
      </w:pPr>
    </w:p>
    <w:tbl>
      <w:tblPr>
        <w:tblStyle w:val="16"/>
        <w:tblW w:w="9421" w:type="dxa"/>
        <w:tblInd w:w="1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607EB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54" w:type="dxa"/>
            <w:vAlign w:val="top"/>
          </w:tcPr>
          <w:p w14:paraId="196B6783">
            <w:pPr>
              <w:spacing w:line="395" w:lineRule="auto"/>
              <w:rPr>
                <w:rFonts w:ascii="Arial"/>
                <w:color w:val="auto"/>
                <w:sz w:val="21"/>
                <w:highlight w:val="none"/>
              </w:rPr>
            </w:pPr>
          </w:p>
          <w:p w14:paraId="4206165D">
            <w:pPr>
              <w:pStyle w:val="17"/>
              <w:spacing w:before="68" w:line="221" w:lineRule="auto"/>
              <w:ind w:left="321"/>
              <w:rPr>
                <w:color w:val="auto"/>
                <w:highlight w:val="none"/>
              </w:rPr>
            </w:pPr>
            <w:r>
              <w:rPr>
                <w:color w:val="auto"/>
                <w:spacing w:val="-2"/>
                <w:highlight w:val="none"/>
              </w:rPr>
              <w:t>序号</w:t>
            </w:r>
          </w:p>
        </w:tc>
        <w:tc>
          <w:tcPr>
            <w:tcW w:w="1949" w:type="dxa"/>
            <w:vAlign w:val="top"/>
          </w:tcPr>
          <w:p w14:paraId="217A4724">
            <w:pPr>
              <w:spacing w:line="394" w:lineRule="auto"/>
              <w:rPr>
                <w:rFonts w:ascii="Arial"/>
                <w:color w:val="auto"/>
                <w:sz w:val="21"/>
                <w:highlight w:val="none"/>
              </w:rPr>
            </w:pPr>
          </w:p>
          <w:p w14:paraId="6179960B">
            <w:pPr>
              <w:pStyle w:val="17"/>
              <w:spacing w:before="69" w:line="220" w:lineRule="auto"/>
              <w:ind w:left="557"/>
              <w:rPr>
                <w:color w:val="auto"/>
                <w:highlight w:val="none"/>
              </w:rPr>
            </w:pPr>
            <w:r>
              <w:rPr>
                <w:color w:val="auto"/>
                <w:spacing w:val="-2"/>
                <w:highlight w:val="none"/>
              </w:rPr>
              <w:t>评分因素</w:t>
            </w:r>
          </w:p>
        </w:tc>
        <w:tc>
          <w:tcPr>
            <w:tcW w:w="1390" w:type="dxa"/>
            <w:vAlign w:val="top"/>
          </w:tcPr>
          <w:p w14:paraId="2AD3C711">
            <w:pPr>
              <w:spacing w:line="394" w:lineRule="auto"/>
              <w:rPr>
                <w:rFonts w:ascii="Arial"/>
                <w:color w:val="auto"/>
                <w:sz w:val="21"/>
                <w:highlight w:val="none"/>
              </w:rPr>
            </w:pPr>
          </w:p>
          <w:p w14:paraId="055AE17A">
            <w:pPr>
              <w:pStyle w:val="17"/>
              <w:spacing w:before="69" w:line="220" w:lineRule="auto"/>
              <w:ind w:left="489"/>
              <w:rPr>
                <w:color w:val="auto"/>
                <w:highlight w:val="none"/>
              </w:rPr>
            </w:pPr>
            <w:r>
              <w:rPr>
                <w:color w:val="auto"/>
                <w:spacing w:val="-3"/>
                <w:highlight w:val="none"/>
              </w:rPr>
              <w:t>满分</w:t>
            </w:r>
          </w:p>
        </w:tc>
        <w:tc>
          <w:tcPr>
            <w:tcW w:w="1259" w:type="dxa"/>
            <w:vAlign w:val="top"/>
          </w:tcPr>
          <w:p w14:paraId="69F662A8">
            <w:pPr>
              <w:spacing w:line="395" w:lineRule="auto"/>
              <w:rPr>
                <w:rFonts w:ascii="Arial"/>
                <w:color w:val="auto"/>
                <w:sz w:val="21"/>
                <w:highlight w:val="none"/>
              </w:rPr>
            </w:pPr>
          </w:p>
          <w:p w14:paraId="35CF58C3">
            <w:pPr>
              <w:pStyle w:val="17"/>
              <w:spacing w:before="69" w:line="220" w:lineRule="auto"/>
              <w:ind w:left="214"/>
              <w:rPr>
                <w:color w:val="auto"/>
                <w:highlight w:val="none"/>
              </w:rPr>
            </w:pPr>
            <w:r>
              <w:rPr>
                <w:color w:val="auto"/>
                <w:spacing w:val="-2"/>
                <w:highlight w:val="none"/>
              </w:rPr>
              <w:t>评分标准</w:t>
            </w:r>
          </w:p>
        </w:tc>
        <w:tc>
          <w:tcPr>
            <w:tcW w:w="1305" w:type="dxa"/>
            <w:vAlign w:val="top"/>
          </w:tcPr>
          <w:p w14:paraId="60586F8D">
            <w:pPr>
              <w:spacing w:line="395" w:lineRule="auto"/>
              <w:rPr>
                <w:rFonts w:ascii="Arial"/>
                <w:color w:val="auto"/>
                <w:sz w:val="21"/>
                <w:highlight w:val="none"/>
              </w:rPr>
            </w:pPr>
          </w:p>
          <w:p w14:paraId="428827E2">
            <w:pPr>
              <w:pStyle w:val="17"/>
              <w:spacing w:before="69" w:line="220" w:lineRule="auto"/>
              <w:ind w:left="378"/>
              <w:rPr>
                <w:color w:val="auto"/>
                <w:highlight w:val="none"/>
              </w:rPr>
            </w:pPr>
            <w:r>
              <w:rPr>
                <w:color w:val="auto"/>
                <w:spacing w:val="-10"/>
                <w:highlight w:val="none"/>
              </w:rPr>
              <w:t>自评分</w:t>
            </w:r>
          </w:p>
        </w:tc>
        <w:tc>
          <w:tcPr>
            <w:tcW w:w="1244" w:type="dxa"/>
            <w:vAlign w:val="top"/>
          </w:tcPr>
          <w:p w14:paraId="3ED7C8B8">
            <w:pPr>
              <w:spacing w:line="241" w:lineRule="auto"/>
              <w:rPr>
                <w:rFonts w:ascii="Arial"/>
                <w:color w:val="auto"/>
                <w:sz w:val="21"/>
                <w:highlight w:val="none"/>
              </w:rPr>
            </w:pPr>
          </w:p>
          <w:p w14:paraId="7CC6D94F">
            <w:pPr>
              <w:pStyle w:val="17"/>
              <w:spacing w:before="68" w:line="276" w:lineRule="auto"/>
              <w:ind w:left="421" w:right="198" w:hanging="213"/>
              <w:rPr>
                <w:color w:val="auto"/>
                <w:highlight w:val="none"/>
              </w:rPr>
            </w:pPr>
            <w:r>
              <w:rPr>
                <w:color w:val="auto"/>
                <w:spacing w:val="-2"/>
                <w:highlight w:val="none"/>
              </w:rPr>
              <w:t>评分情况</w:t>
            </w:r>
            <w:r>
              <w:rPr>
                <w:color w:val="auto"/>
                <w:spacing w:val="-3"/>
                <w:highlight w:val="none"/>
              </w:rPr>
              <w:t>说明</w:t>
            </w:r>
          </w:p>
        </w:tc>
        <w:tc>
          <w:tcPr>
            <w:tcW w:w="1220" w:type="dxa"/>
            <w:vAlign w:val="top"/>
          </w:tcPr>
          <w:p w14:paraId="1BEA4C59">
            <w:pPr>
              <w:spacing w:line="395" w:lineRule="auto"/>
              <w:rPr>
                <w:rFonts w:ascii="Arial"/>
                <w:color w:val="auto"/>
                <w:sz w:val="21"/>
                <w:highlight w:val="none"/>
              </w:rPr>
            </w:pPr>
          </w:p>
          <w:p w14:paraId="3F6A4393">
            <w:pPr>
              <w:pStyle w:val="17"/>
              <w:spacing w:before="69" w:line="220" w:lineRule="auto"/>
              <w:ind w:left="200"/>
              <w:rPr>
                <w:color w:val="auto"/>
                <w:highlight w:val="none"/>
              </w:rPr>
            </w:pPr>
            <w:r>
              <w:rPr>
                <w:color w:val="auto"/>
                <w:spacing w:val="-3"/>
                <w:highlight w:val="none"/>
              </w:rPr>
              <w:t>页码索引</w:t>
            </w:r>
          </w:p>
        </w:tc>
      </w:tr>
      <w:tr w14:paraId="5ADED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454307F6">
            <w:pPr>
              <w:rPr>
                <w:rFonts w:ascii="Arial"/>
                <w:color w:val="auto"/>
                <w:sz w:val="21"/>
                <w:highlight w:val="none"/>
              </w:rPr>
            </w:pPr>
          </w:p>
        </w:tc>
        <w:tc>
          <w:tcPr>
            <w:tcW w:w="1949" w:type="dxa"/>
            <w:vAlign w:val="top"/>
          </w:tcPr>
          <w:p w14:paraId="7E10B372">
            <w:pPr>
              <w:rPr>
                <w:rFonts w:ascii="Arial"/>
                <w:color w:val="auto"/>
                <w:sz w:val="21"/>
                <w:highlight w:val="none"/>
              </w:rPr>
            </w:pPr>
          </w:p>
        </w:tc>
        <w:tc>
          <w:tcPr>
            <w:tcW w:w="1390" w:type="dxa"/>
            <w:vAlign w:val="top"/>
          </w:tcPr>
          <w:p w14:paraId="53F56726">
            <w:pPr>
              <w:rPr>
                <w:rFonts w:ascii="Arial"/>
                <w:color w:val="auto"/>
                <w:sz w:val="21"/>
                <w:highlight w:val="none"/>
              </w:rPr>
            </w:pPr>
          </w:p>
        </w:tc>
        <w:tc>
          <w:tcPr>
            <w:tcW w:w="1259" w:type="dxa"/>
            <w:vAlign w:val="top"/>
          </w:tcPr>
          <w:p w14:paraId="608164F4">
            <w:pPr>
              <w:rPr>
                <w:rFonts w:ascii="Arial"/>
                <w:color w:val="auto"/>
                <w:sz w:val="21"/>
                <w:highlight w:val="none"/>
              </w:rPr>
            </w:pPr>
          </w:p>
        </w:tc>
        <w:tc>
          <w:tcPr>
            <w:tcW w:w="1305" w:type="dxa"/>
            <w:vAlign w:val="top"/>
          </w:tcPr>
          <w:p w14:paraId="180F8A55">
            <w:pPr>
              <w:rPr>
                <w:rFonts w:ascii="Arial"/>
                <w:color w:val="auto"/>
                <w:sz w:val="21"/>
                <w:highlight w:val="none"/>
              </w:rPr>
            </w:pPr>
          </w:p>
        </w:tc>
        <w:tc>
          <w:tcPr>
            <w:tcW w:w="1244" w:type="dxa"/>
            <w:vAlign w:val="top"/>
          </w:tcPr>
          <w:p w14:paraId="217F9AB6">
            <w:pPr>
              <w:rPr>
                <w:rFonts w:ascii="Arial"/>
                <w:color w:val="auto"/>
                <w:sz w:val="21"/>
                <w:highlight w:val="none"/>
              </w:rPr>
            </w:pPr>
          </w:p>
        </w:tc>
        <w:tc>
          <w:tcPr>
            <w:tcW w:w="1220" w:type="dxa"/>
            <w:vAlign w:val="top"/>
          </w:tcPr>
          <w:p w14:paraId="5E3BC372">
            <w:pPr>
              <w:rPr>
                <w:rFonts w:ascii="Arial"/>
                <w:color w:val="auto"/>
                <w:sz w:val="21"/>
                <w:highlight w:val="none"/>
              </w:rPr>
            </w:pPr>
          </w:p>
        </w:tc>
      </w:tr>
      <w:tr w14:paraId="34A34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54" w:type="dxa"/>
            <w:vAlign w:val="top"/>
          </w:tcPr>
          <w:p w14:paraId="591A71F9">
            <w:pPr>
              <w:rPr>
                <w:rFonts w:ascii="Arial"/>
                <w:color w:val="auto"/>
                <w:sz w:val="21"/>
                <w:highlight w:val="none"/>
              </w:rPr>
            </w:pPr>
          </w:p>
        </w:tc>
        <w:tc>
          <w:tcPr>
            <w:tcW w:w="1949" w:type="dxa"/>
            <w:vAlign w:val="top"/>
          </w:tcPr>
          <w:p w14:paraId="05CCC8E4">
            <w:pPr>
              <w:rPr>
                <w:rFonts w:ascii="Arial"/>
                <w:color w:val="auto"/>
                <w:sz w:val="21"/>
                <w:highlight w:val="none"/>
              </w:rPr>
            </w:pPr>
          </w:p>
        </w:tc>
        <w:tc>
          <w:tcPr>
            <w:tcW w:w="1390" w:type="dxa"/>
            <w:vAlign w:val="top"/>
          </w:tcPr>
          <w:p w14:paraId="6E81400C">
            <w:pPr>
              <w:rPr>
                <w:rFonts w:ascii="Arial"/>
                <w:color w:val="auto"/>
                <w:sz w:val="21"/>
                <w:highlight w:val="none"/>
              </w:rPr>
            </w:pPr>
          </w:p>
        </w:tc>
        <w:tc>
          <w:tcPr>
            <w:tcW w:w="1259" w:type="dxa"/>
            <w:vAlign w:val="top"/>
          </w:tcPr>
          <w:p w14:paraId="60D35A61">
            <w:pPr>
              <w:rPr>
                <w:rFonts w:ascii="Arial"/>
                <w:color w:val="auto"/>
                <w:sz w:val="21"/>
                <w:highlight w:val="none"/>
              </w:rPr>
            </w:pPr>
          </w:p>
        </w:tc>
        <w:tc>
          <w:tcPr>
            <w:tcW w:w="1305" w:type="dxa"/>
            <w:vAlign w:val="top"/>
          </w:tcPr>
          <w:p w14:paraId="7E2B272F">
            <w:pPr>
              <w:rPr>
                <w:rFonts w:ascii="Arial"/>
                <w:color w:val="auto"/>
                <w:sz w:val="21"/>
                <w:highlight w:val="none"/>
              </w:rPr>
            </w:pPr>
          </w:p>
        </w:tc>
        <w:tc>
          <w:tcPr>
            <w:tcW w:w="1244" w:type="dxa"/>
            <w:vAlign w:val="top"/>
          </w:tcPr>
          <w:p w14:paraId="14EAA90A">
            <w:pPr>
              <w:rPr>
                <w:rFonts w:ascii="Arial"/>
                <w:color w:val="auto"/>
                <w:sz w:val="21"/>
                <w:highlight w:val="none"/>
              </w:rPr>
            </w:pPr>
          </w:p>
        </w:tc>
        <w:tc>
          <w:tcPr>
            <w:tcW w:w="1220" w:type="dxa"/>
            <w:vAlign w:val="top"/>
          </w:tcPr>
          <w:p w14:paraId="5CDBE55A">
            <w:pPr>
              <w:rPr>
                <w:rFonts w:ascii="Arial"/>
                <w:color w:val="auto"/>
                <w:sz w:val="21"/>
                <w:highlight w:val="none"/>
              </w:rPr>
            </w:pPr>
          </w:p>
        </w:tc>
      </w:tr>
      <w:tr w14:paraId="30D4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32FB1494">
            <w:pPr>
              <w:rPr>
                <w:rFonts w:ascii="Arial"/>
                <w:color w:val="auto"/>
                <w:sz w:val="21"/>
                <w:highlight w:val="none"/>
              </w:rPr>
            </w:pPr>
          </w:p>
        </w:tc>
        <w:tc>
          <w:tcPr>
            <w:tcW w:w="1949" w:type="dxa"/>
            <w:vAlign w:val="top"/>
          </w:tcPr>
          <w:p w14:paraId="79D75E66">
            <w:pPr>
              <w:rPr>
                <w:rFonts w:ascii="Arial"/>
                <w:color w:val="auto"/>
                <w:sz w:val="21"/>
                <w:highlight w:val="none"/>
              </w:rPr>
            </w:pPr>
          </w:p>
        </w:tc>
        <w:tc>
          <w:tcPr>
            <w:tcW w:w="1390" w:type="dxa"/>
            <w:vAlign w:val="top"/>
          </w:tcPr>
          <w:p w14:paraId="54C06A20">
            <w:pPr>
              <w:rPr>
                <w:rFonts w:ascii="Arial"/>
                <w:color w:val="auto"/>
                <w:sz w:val="21"/>
                <w:highlight w:val="none"/>
              </w:rPr>
            </w:pPr>
          </w:p>
        </w:tc>
        <w:tc>
          <w:tcPr>
            <w:tcW w:w="1259" w:type="dxa"/>
            <w:vAlign w:val="top"/>
          </w:tcPr>
          <w:p w14:paraId="09EC97FB">
            <w:pPr>
              <w:rPr>
                <w:rFonts w:ascii="Arial"/>
                <w:color w:val="auto"/>
                <w:sz w:val="21"/>
                <w:highlight w:val="none"/>
              </w:rPr>
            </w:pPr>
          </w:p>
        </w:tc>
        <w:tc>
          <w:tcPr>
            <w:tcW w:w="1305" w:type="dxa"/>
            <w:vAlign w:val="top"/>
          </w:tcPr>
          <w:p w14:paraId="611869EB">
            <w:pPr>
              <w:rPr>
                <w:rFonts w:ascii="Arial"/>
                <w:color w:val="auto"/>
                <w:sz w:val="21"/>
                <w:highlight w:val="none"/>
              </w:rPr>
            </w:pPr>
          </w:p>
        </w:tc>
        <w:tc>
          <w:tcPr>
            <w:tcW w:w="1244" w:type="dxa"/>
            <w:vAlign w:val="top"/>
          </w:tcPr>
          <w:p w14:paraId="1F0C31EF">
            <w:pPr>
              <w:rPr>
                <w:rFonts w:ascii="Arial"/>
                <w:color w:val="auto"/>
                <w:sz w:val="21"/>
                <w:highlight w:val="none"/>
              </w:rPr>
            </w:pPr>
          </w:p>
        </w:tc>
        <w:tc>
          <w:tcPr>
            <w:tcW w:w="1220" w:type="dxa"/>
            <w:vAlign w:val="top"/>
          </w:tcPr>
          <w:p w14:paraId="6A2B27C8">
            <w:pPr>
              <w:rPr>
                <w:rFonts w:ascii="Arial"/>
                <w:color w:val="auto"/>
                <w:sz w:val="21"/>
                <w:highlight w:val="none"/>
              </w:rPr>
            </w:pPr>
          </w:p>
        </w:tc>
      </w:tr>
      <w:tr w14:paraId="45C89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76B47B01">
            <w:pPr>
              <w:rPr>
                <w:rFonts w:ascii="Arial"/>
                <w:color w:val="auto"/>
                <w:sz w:val="21"/>
                <w:highlight w:val="none"/>
              </w:rPr>
            </w:pPr>
          </w:p>
        </w:tc>
        <w:tc>
          <w:tcPr>
            <w:tcW w:w="1949" w:type="dxa"/>
            <w:vAlign w:val="top"/>
          </w:tcPr>
          <w:p w14:paraId="2CFA7703">
            <w:pPr>
              <w:rPr>
                <w:rFonts w:ascii="Arial"/>
                <w:color w:val="auto"/>
                <w:sz w:val="21"/>
                <w:highlight w:val="none"/>
              </w:rPr>
            </w:pPr>
          </w:p>
        </w:tc>
        <w:tc>
          <w:tcPr>
            <w:tcW w:w="1390" w:type="dxa"/>
            <w:vAlign w:val="top"/>
          </w:tcPr>
          <w:p w14:paraId="4D4D6FC3">
            <w:pPr>
              <w:rPr>
                <w:rFonts w:ascii="Arial"/>
                <w:color w:val="auto"/>
                <w:sz w:val="21"/>
                <w:highlight w:val="none"/>
              </w:rPr>
            </w:pPr>
          </w:p>
        </w:tc>
        <w:tc>
          <w:tcPr>
            <w:tcW w:w="1259" w:type="dxa"/>
            <w:vAlign w:val="top"/>
          </w:tcPr>
          <w:p w14:paraId="4246E1AB">
            <w:pPr>
              <w:rPr>
                <w:rFonts w:ascii="Arial"/>
                <w:color w:val="auto"/>
                <w:sz w:val="21"/>
                <w:highlight w:val="none"/>
              </w:rPr>
            </w:pPr>
          </w:p>
        </w:tc>
        <w:tc>
          <w:tcPr>
            <w:tcW w:w="1305" w:type="dxa"/>
            <w:vAlign w:val="top"/>
          </w:tcPr>
          <w:p w14:paraId="05039C2E">
            <w:pPr>
              <w:rPr>
                <w:rFonts w:ascii="Arial"/>
                <w:color w:val="auto"/>
                <w:sz w:val="21"/>
                <w:highlight w:val="none"/>
              </w:rPr>
            </w:pPr>
          </w:p>
        </w:tc>
        <w:tc>
          <w:tcPr>
            <w:tcW w:w="1244" w:type="dxa"/>
            <w:vAlign w:val="top"/>
          </w:tcPr>
          <w:p w14:paraId="683EDDC4">
            <w:pPr>
              <w:rPr>
                <w:rFonts w:ascii="Arial"/>
                <w:color w:val="auto"/>
                <w:sz w:val="21"/>
                <w:highlight w:val="none"/>
              </w:rPr>
            </w:pPr>
          </w:p>
        </w:tc>
        <w:tc>
          <w:tcPr>
            <w:tcW w:w="1220" w:type="dxa"/>
            <w:vAlign w:val="top"/>
          </w:tcPr>
          <w:p w14:paraId="367FADD7">
            <w:pPr>
              <w:rPr>
                <w:rFonts w:ascii="Arial"/>
                <w:color w:val="auto"/>
                <w:sz w:val="21"/>
                <w:highlight w:val="none"/>
              </w:rPr>
            </w:pPr>
          </w:p>
        </w:tc>
      </w:tr>
      <w:tr w14:paraId="0E9CD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2CC9186C">
            <w:pPr>
              <w:rPr>
                <w:rFonts w:ascii="Arial"/>
                <w:color w:val="auto"/>
                <w:sz w:val="21"/>
                <w:highlight w:val="none"/>
              </w:rPr>
            </w:pPr>
          </w:p>
        </w:tc>
        <w:tc>
          <w:tcPr>
            <w:tcW w:w="1949" w:type="dxa"/>
            <w:vAlign w:val="top"/>
          </w:tcPr>
          <w:p w14:paraId="5112D155">
            <w:pPr>
              <w:rPr>
                <w:rFonts w:ascii="Arial"/>
                <w:color w:val="auto"/>
                <w:sz w:val="21"/>
                <w:highlight w:val="none"/>
              </w:rPr>
            </w:pPr>
          </w:p>
        </w:tc>
        <w:tc>
          <w:tcPr>
            <w:tcW w:w="1390" w:type="dxa"/>
            <w:vAlign w:val="top"/>
          </w:tcPr>
          <w:p w14:paraId="63FEB067">
            <w:pPr>
              <w:rPr>
                <w:rFonts w:ascii="Arial"/>
                <w:color w:val="auto"/>
                <w:sz w:val="21"/>
                <w:highlight w:val="none"/>
              </w:rPr>
            </w:pPr>
          </w:p>
        </w:tc>
        <w:tc>
          <w:tcPr>
            <w:tcW w:w="1259" w:type="dxa"/>
            <w:vAlign w:val="top"/>
          </w:tcPr>
          <w:p w14:paraId="09A24223">
            <w:pPr>
              <w:rPr>
                <w:rFonts w:ascii="Arial"/>
                <w:color w:val="auto"/>
                <w:sz w:val="21"/>
                <w:highlight w:val="none"/>
              </w:rPr>
            </w:pPr>
          </w:p>
        </w:tc>
        <w:tc>
          <w:tcPr>
            <w:tcW w:w="1305" w:type="dxa"/>
            <w:vAlign w:val="top"/>
          </w:tcPr>
          <w:p w14:paraId="56EBFEFA">
            <w:pPr>
              <w:rPr>
                <w:rFonts w:ascii="Arial"/>
                <w:color w:val="auto"/>
                <w:sz w:val="21"/>
                <w:highlight w:val="none"/>
              </w:rPr>
            </w:pPr>
          </w:p>
        </w:tc>
        <w:tc>
          <w:tcPr>
            <w:tcW w:w="1244" w:type="dxa"/>
            <w:vAlign w:val="top"/>
          </w:tcPr>
          <w:p w14:paraId="20E5AE58">
            <w:pPr>
              <w:rPr>
                <w:rFonts w:ascii="Arial"/>
                <w:color w:val="auto"/>
                <w:sz w:val="21"/>
                <w:highlight w:val="none"/>
              </w:rPr>
            </w:pPr>
          </w:p>
        </w:tc>
        <w:tc>
          <w:tcPr>
            <w:tcW w:w="1220" w:type="dxa"/>
            <w:vAlign w:val="top"/>
          </w:tcPr>
          <w:p w14:paraId="56342316">
            <w:pPr>
              <w:rPr>
                <w:rFonts w:ascii="Arial"/>
                <w:color w:val="auto"/>
                <w:sz w:val="21"/>
                <w:highlight w:val="none"/>
              </w:rPr>
            </w:pPr>
          </w:p>
        </w:tc>
      </w:tr>
      <w:tr w14:paraId="3CA3C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3003" w:type="dxa"/>
            <w:gridSpan w:val="2"/>
            <w:vAlign w:val="top"/>
          </w:tcPr>
          <w:p w14:paraId="7012D89D">
            <w:pPr>
              <w:rPr>
                <w:rFonts w:ascii="Arial"/>
                <w:color w:val="auto"/>
                <w:sz w:val="21"/>
                <w:highlight w:val="none"/>
              </w:rPr>
            </w:pPr>
          </w:p>
          <w:p w14:paraId="5C8B7612">
            <w:pPr>
              <w:pStyle w:val="17"/>
              <w:spacing w:before="68" w:line="221" w:lineRule="auto"/>
              <w:ind w:left="1298"/>
              <w:rPr>
                <w:color w:val="auto"/>
                <w:highlight w:val="none"/>
              </w:rPr>
            </w:pPr>
            <w:r>
              <w:rPr>
                <w:color w:val="auto"/>
                <w:spacing w:val="-3"/>
                <w:highlight w:val="none"/>
              </w:rPr>
              <w:t>合计</w:t>
            </w:r>
          </w:p>
        </w:tc>
        <w:tc>
          <w:tcPr>
            <w:tcW w:w="1390" w:type="dxa"/>
            <w:vAlign w:val="top"/>
          </w:tcPr>
          <w:p w14:paraId="0E6EEC60">
            <w:pPr>
              <w:rPr>
                <w:rFonts w:ascii="Arial"/>
                <w:color w:val="auto"/>
                <w:sz w:val="21"/>
                <w:highlight w:val="none"/>
              </w:rPr>
            </w:pPr>
          </w:p>
        </w:tc>
        <w:tc>
          <w:tcPr>
            <w:tcW w:w="1259" w:type="dxa"/>
            <w:vAlign w:val="top"/>
          </w:tcPr>
          <w:p w14:paraId="60055634">
            <w:pPr>
              <w:spacing w:line="338" w:lineRule="auto"/>
              <w:rPr>
                <w:rFonts w:ascii="Arial"/>
                <w:color w:val="auto"/>
                <w:sz w:val="21"/>
                <w:highlight w:val="none"/>
              </w:rPr>
            </w:pPr>
          </w:p>
          <w:p w14:paraId="3AAC0238">
            <w:pPr>
              <w:pStyle w:val="17"/>
              <w:spacing w:before="68" w:line="143" w:lineRule="exact"/>
              <w:ind w:left="581"/>
              <w:rPr>
                <w:color w:val="auto"/>
                <w:highlight w:val="none"/>
              </w:rPr>
            </w:pPr>
            <w:r>
              <w:rPr>
                <w:color w:val="auto"/>
                <w:position w:val="-3"/>
                <w:highlight w:val="none"/>
              </w:rPr>
              <w:t>-</w:t>
            </w:r>
          </w:p>
        </w:tc>
        <w:tc>
          <w:tcPr>
            <w:tcW w:w="1305" w:type="dxa"/>
            <w:vAlign w:val="top"/>
          </w:tcPr>
          <w:p w14:paraId="354027C7">
            <w:pPr>
              <w:rPr>
                <w:rFonts w:ascii="Arial"/>
                <w:color w:val="auto"/>
                <w:sz w:val="21"/>
                <w:highlight w:val="none"/>
              </w:rPr>
            </w:pPr>
          </w:p>
        </w:tc>
        <w:tc>
          <w:tcPr>
            <w:tcW w:w="2464" w:type="dxa"/>
            <w:gridSpan w:val="2"/>
            <w:vAlign w:val="top"/>
          </w:tcPr>
          <w:p w14:paraId="729AACA4">
            <w:pPr>
              <w:spacing w:line="338" w:lineRule="auto"/>
              <w:rPr>
                <w:rFonts w:ascii="Arial"/>
                <w:color w:val="auto"/>
                <w:sz w:val="21"/>
                <w:highlight w:val="none"/>
              </w:rPr>
            </w:pPr>
          </w:p>
          <w:p w14:paraId="5532FE58">
            <w:pPr>
              <w:pStyle w:val="17"/>
              <w:spacing w:before="68" w:line="143" w:lineRule="exact"/>
              <w:ind w:left="1181"/>
              <w:rPr>
                <w:color w:val="auto"/>
                <w:highlight w:val="none"/>
              </w:rPr>
            </w:pPr>
            <w:r>
              <w:rPr>
                <w:color w:val="auto"/>
                <w:position w:val="-3"/>
                <w:highlight w:val="none"/>
              </w:rPr>
              <w:t>-</w:t>
            </w:r>
          </w:p>
        </w:tc>
      </w:tr>
    </w:tbl>
    <w:p w14:paraId="1227A732">
      <w:pPr>
        <w:pStyle w:val="3"/>
        <w:spacing w:line="250" w:lineRule="auto"/>
        <w:rPr>
          <w:color w:val="auto"/>
          <w:highlight w:val="none"/>
        </w:rPr>
      </w:pPr>
    </w:p>
    <w:p w14:paraId="5D13A8A5">
      <w:pPr>
        <w:pStyle w:val="3"/>
        <w:spacing w:line="250" w:lineRule="auto"/>
        <w:rPr>
          <w:color w:val="auto"/>
          <w:highlight w:val="none"/>
        </w:rPr>
      </w:pPr>
    </w:p>
    <w:p w14:paraId="616215B3">
      <w:pPr>
        <w:spacing w:before="78" w:line="219" w:lineRule="auto"/>
        <w:ind w:left="454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盖单位章）</w:t>
      </w:r>
    </w:p>
    <w:p w14:paraId="047FC75A">
      <w:pPr>
        <w:spacing w:before="183" w:line="220" w:lineRule="auto"/>
        <w:ind w:left="454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法定代表人或其委托代理人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签字）</w:t>
      </w:r>
    </w:p>
    <w:p w14:paraId="732F8121">
      <w:pPr>
        <w:rPr>
          <w:rFonts w:ascii="宋体" w:hAnsi="宋体" w:eastAsia="宋体" w:cs="宋体"/>
          <w:color w:val="auto"/>
          <w:sz w:val="24"/>
          <w:szCs w:val="24"/>
          <w:highlight w:val="none"/>
        </w:rPr>
      </w:pPr>
      <w:r>
        <w:rPr>
          <w:rFonts w:ascii="宋体" w:hAnsi="宋体" w:eastAsia="宋体" w:cs="宋体"/>
          <w:color w:val="auto"/>
          <w:sz w:val="24"/>
          <w:szCs w:val="24"/>
          <w:highlight w:val="none"/>
        </w:rPr>
        <w:br w:type="page"/>
      </w:r>
    </w:p>
    <w:p w14:paraId="284D00D6">
      <w:pPr>
        <w:jc w:val="center"/>
        <w:rPr>
          <w:rFonts w:hint="eastAsia" w:asciiTheme="minorEastAsia" w:hAnsiTheme="minorEastAsia" w:eastAsiaTheme="minorEastAsia" w:cstheme="minorEastAsia"/>
          <w:b/>
          <w:color w:val="auto"/>
          <w:sz w:val="28"/>
          <w:highlight w:val="none"/>
        </w:rPr>
      </w:pPr>
      <w:r>
        <w:rPr>
          <w:rFonts w:hint="eastAsia" w:asciiTheme="minorEastAsia" w:hAnsiTheme="minorEastAsia" w:eastAsiaTheme="minorEastAsia" w:cstheme="minorEastAsia"/>
          <w:b/>
          <w:color w:val="auto"/>
          <w:sz w:val="28"/>
          <w:highlight w:val="none"/>
        </w:rPr>
        <w:t>公示信息表（业绩）</w:t>
      </w:r>
    </w:p>
    <w:p w14:paraId="0C74D830">
      <w:pPr>
        <w:pStyle w:val="3"/>
        <w:spacing w:before="10" w:after="1"/>
        <w:rPr>
          <w:rFonts w:hint="eastAsia" w:asciiTheme="minorEastAsia" w:hAnsiTheme="minorEastAsia" w:eastAsiaTheme="minorEastAsia" w:cstheme="minorEastAsia"/>
          <w:b/>
          <w:color w:val="auto"/>
          <w:sz w:val="18"/>
          <w:highlight w:val="none"/>
        </w:rPr>
      </w:pPr>
    </w:p>
    <w:tbl>
      <w:tblPr>
        <w:tblStyle w:val="12"/>
        <w:tblW w:w="848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1727"/>
        <w:gridCol w:w="6759"/>
      </w:tblGrid>
      <w:tr w14:paraId="54BC001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637" w:hRule="atLeast"/>
          <w:jc w:val="center"/>
        </w:trPr>
        <w:tc>
          <w:tcPr>
            <w:tcW w:w="1727" w:type="dxa"/>
            <w:tcBorders>
              <w:bottom w:val="single" w:color="000000" w:sz="4" w:space="0"/>
              <w:right w:val="single" w:color="000000" w:sz="4" w:space="0"/>
            </w:tcBorders>
            <w:noWrap w:val="0"/>
            <w:vAlign w:val="top"/>
          </w:tcPr>
          <w:p w14:paraId="61ABA1B9">
            <w:pPr>
              <w:pStyle w:val="19"/>
              <w:spacing w:before="9"/>
              <w:rPr>
                <w:rFonts w:hint="eastAsia" w:asciiTheme="minorEastAsia" w:hAnsiTheme="minorEastAsia" w:eastAsiaTheme="minorEastAsia" w:cstheme="minorEastAsia"/>
                <w:b/>
                <w:color w:val="auto"/>
                <w:sz w:val="18"/>
                <w:highlight w:val="none"/>
              </w:rPr>
            </w:pPr>
          </w:p>
          <w:p w14:paraId="5FCDE27C">
            <w:pPr>
              <w:pStyle w:val="19"/>
              <w:ind w:left="631" w:right="616"/>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序号</w:t>
            </w:r>
          </w:p>
        </w:tc>
        <w:tc>
          <w:tcPr>
            <w:tcW w:w="6759" w:type="dxa"/>
            <w:tcBorders>
              <w:left w:val="single" w:color="000000" w:sz="4" w:space="0"/>
              <w:bottom w:val="single" w:color="000000" w:sz="4" w:space="0"/>
            </w:tcBorders>
            <w:noWrap w:val="0"/>
            <w:vAlign w:val="top"/>
          </w:tcPr>
          <w:p w14:paraId="4E4C86F2">
            <w:pPr>
              <w:pStyle w:val="19"/>
              <w:spacing w:before="9"/>
              <w:rPr>
                <w:rFonts w:hint="eastAsia" w:asciiTheme="minorEastAsia" w:hAnsiTheme="minorEastAsia" w:eastAsiaTheme="minorEastAsia" w:cstheme="minorEastAsia"/>
                <w:b/>
                <w:color w:val="auto"/>
                <w:sz w:val="18"/>
                <w:highlight w:val="none"/>
              </w:rPr>
            </w:pPr>
          </w:p>
          <w:p w14:paraId="6730BB45">
            <w:pPr>
              <w:pStyle w:val="19"/>
              <w:ind w:left="3150" w:right="3114"/>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项目名称</w:t>
            </w:r>
          </w:p>
        </w:tc>
      </w:tr>
      <w:tr w14:paraId="67AD82E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67" w:hRule="atLeast"/>
          <w:jc w:val="center"/>
        </w:trPr>
        <w:tc>
          <w:tcPr>
            <w:tcW w:w="1727" w:type="dxa"/>
            <w:tcBorders>
              <w:top w:val="single" w:color="000000" w:sz="4" w:space="0"/>
              <w:bottom w:val="single" w:color="000000" w:sz="4" w:space="0"/>
              <w:right w:val="single" w:color="000000" w:sz="4" w:space="0"/>
            </w:tcBorders>
            <w:noWrap w:val="0"/>
            <w:vAlign w:val="top"/>
          </w:tcPr>
          <w:p w14:paraId="23653864">
            <w:pPr>
              <w:pStyle w:val="19"/>
              <w:rPr>
                <w:rFonts w:hint="eastAsia" w:asciiTheme="minorEastAsia" w:hAnsiTheme="minorEastAsia" w:eastAsiaTheme="minorEastAsia" w:cstheme="minorEastAsia"/>
                <w:color w:val="auto"/>
                <w:sz w:val="20"/>
                <w:highlight w:val="none"/>
              </w:rPr>
            </w:pPr>
          </w:p>
        </w:tc>
        <w:tc>
          <w:tcPr>
            <w:tcW w:w="6759" w:type="dxa"/>
            <w:tcBorders>
              <w:top w:val="single" w:color="000000" w:sz="4" w:space="0"/>
              <w:left w:val="single" w:color="000000" w:sz="4" w:space="0"/>
              <w:bottom w:val="single" w:color="000000" w:sz="4" w:space="0"/>
            </w:tcBorders>
            <w:noWrap w:val="0"/>
            <w:vAlign w:val="top"/>
          </w:tcPr>
          <w:p w14:paraId="40A1D243">
            <w:pPr>
              <w:pStyle w:val="19"/>
              <w:rPr>
                <w:rFonts w:hint="eastAsia" w:asciiTheme="minorEastAsia" w:hAnsiTheme="minorEastAsia" w:eastAsiaTheme="minorEastAsia" w:cstheme="minorEastAsia"/>
                <w:color w:val="auto"/>
                <w:sz w:val="20"/>
                <w:highlight w:val="none"/>
              </w:rPr>
            </w:pPr>
          </w:p>
        </w:tc>
      </w:tr>
      <w:tr w14:paraId="409686B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67" w:hRule="atLeast"/>
          <w:jc w:val="center"/>
        </w:trPr>
        <w:tc>
          <w:tcPr>
            <w:tcW w:w="1727" w:type="dxa"/>
            <w:tcBorders>
              <w:top w:val="single" w:color="000000" w:sz="4" w:space="0"/>
              <w:bottom w:val="single" w:color="000000" w:sz="4" w:space="0"/>
              <w:right w:val="single" w:color="000000" w:sz="4" w:space="0"/>
            </w:tcBorders>
            <w:noWrap w:val="0"/>
            <w:vAlign w:val="top"/>
          </w:tcPr>
          <w:p w14:paraId="42D816A7">
            <w:pPr>
              <w:pStyle w:val="19"/>
              <w:rPr>
                <w:rFonts w:hint="eastAsia" w:asciiTheme="minorEastAsia" w:hAnsiTheme="minorEastAsia" w:eastAsiaTheme="minorEastAsia" w:cstheme="minorEastAsia"/>
                <w:color w:val="auto"/>
                <w:sz w:val="20"/>
                <w:highlight w:val="none"/>
              </w:rPr>
            </w:pPr>
          </w:p>
        </w:tc>
        <w:tc>
          <w:tcPr>
            <w:tcW w:w="6759" w:type="dxa"/>
            <w:tcBorders>
              <w:top w:val="single" w:color="000000" w:sz="4" w:space="0"/>
              <w:left w:val="single" w:color="000000" w:sz="4" w:space="0"/>
              <w:bottom w:val="single" w:color="000000" w:sz="4" w:space="0"/>
            </w:tcBorders>
            <w:noWrap w:val="0"/>
            <w:vAlign w:val="top"/>
          </w:tcPr>
          <w:p w14:paraId="03F17386">
            <w:pPr>
              <w:pStyle w:val="19"/>
              <w:rPr>
                <w:rFonts w:hint="eastAsia" w:asciiTheme="minorEastAsia" w:hAnsiTheme="minorEastAsia" w:eastAsiaTheme="minorEastAsia" w:cstheme="minorEastAsia"/>
                <w:color w:val="auto"/>
                <w:sz w:val="20"/>
                <w:highlight w:val="none"/>
              </w:rPr>
            </w:pPr>
          </w:p>
        </w:tc>
      </w:tr>
      <w:tr w14:paraId="3C5D012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566" w:hRule="atLeast"/>
          <w:jc w:val="center"/>
        </w:trPr>
        <w:tc>
          <w:tcPr>
            <w:tcW w:w="1727" w:type="dxa"/>
            <w:tcBorders>
              <w:top w:val="single" w:color="000000" w:sz="4" w:space="0"/>
              <w:right w:val="single" w:color="000000" w:sz="4" w:space="0"/>
            </w:tcBorders>
            <w:noWrap w:val="0"/>
            <w:vAlign w:val="top"/>
          </w:tcPr>
          <w:p w14:paraId="606A3114">
            <w:pPr>
              <w:pStyle w:val="19"/>
              <w:rPr>
                <w:rFonts w:hint="eastAsia" w:asciiTheme="minorEastAsia" w:hAnsiTheme="minorEastAsia" w:eastAsiaTheme="minorEastAsia" w:cstheme="minorEastAsia"/>
                <w:color w:val="auto"/>
                <w:sz w:val="20"/>
                <w:highlight w:val="none"/>
              </w:rPr>
            </w:pPr>
          </w:p>
        </w:tc>
        <w:tc>
          <w:tcPr>
            <w:tcW w:w="6759" w:type="dxa"/>
            <w:tcBorders>
              <w:top w:val="single" w:color="000000" w:sz="4" w:space="0"/>
              <w:left w:val="single" w:color="000000" w:sz="4" w:space="0"/>
            </w:tcBorders>
            <w:noWrap w:val="0"/>
            <w:vAlign w:val="top"/>
          </w:tcPr>
          <w:p w14:paraId="09E1E313">
            <w:pPr>
              <w:pStyle w:val="19"/>
              <w:rPr>
                <w:rFonts w:hint="eastAsia" w:asciiTheme="minorEastAsia" w:hAnsiTheme="minorEastAsia" w:eastAsiaTheme="minorEastAsia" w:cstheme="minorEastAsia"/>
                <w:color w:val="auto"/>
                <w:sz w:val="20"/>
                <w:highlight w:val="none"/>
              </w:rPr>
            </w:pPr>
          </w:p>
        </w:tc>
      </w:tr>
    </w:tbl>
    <w:p w14:paraId="624AE019">
      <w:pPr>
        <w:pStyle w:val="3"/>
        <w:tabs>
          <w:tab w:val="left" w:pos="10500"/>
        </w:tabs>
        <w:spacing w:line="364" w:lineRule="auto"/>
        <w:ind w:left="1060" w:leftChars="0" w:right="1405" w:rightChars="0" w:firstLine="420" w:firstLineChars="20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注：1、请各投标人将投标时申报的业绩汇总至本表，如被推荐为中标候选人将进行公示相关业绩信息。</w:t>
      </w:r>
    </w:p>
    <w:p w14:paraId="1057FE94">
      <w:pPr>
        <w:pStyle w:val="3"/>
        <w:tabs>
          <w:tab w:val="left" w:pos="10500"/>
        </w:tabs>
        <w:spacing w:line="364" w:lineRule="auto"/>
        <w:ind w:left="1060" w:leftChars="0" w:right="1405" w:rightChars="0" w:firstLine="420" w:firstLineChars="20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2、请各投标人填好本表后打印并编入投标文件中，同时将本表电子版（word或excel版）存入投标文件的电子文件中，随投标文件一并交于招标人。</w:t>
      </w:r>
    </w:p>
    <w:p w14:paraId="122594EA">
      <w:pPr>
        <w:pStyle w:val="3"/>
        <w:tabs>
          <w:tab w:val="left" w:pos="10500"/>
        </w:tabs>
        <w:spacing w:line="364" w:lineRule="auto"/>
        <w:ind w:left="1060" w:leftChars="0" w:right="1405" w:rightChars="0" w:firstLine="420" w:firstLineChars="20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3、本表内容仅用于信息公开，不作为投标文件评审内容。</w:t>
      </w:r>
    </w:p>
    <w:p w14:paraId="50BEFE24">
      <w:pPr>
        <w:spacing w:before="33"/>
        <w:ind w:left="0" w:right="183" w:firstLine="0"/>
        <w:jc w:val="center"/>
        <w:rPr>
          <w:rFonts w:hint="eastAsia" w:asciiTheme="minorEastAsia" w:hAnsiTheme="minorEastAsia" w:eastAsiaTheme="minorEastAsia" w:cstheme="minorEastAsia"/>
          <w:b/>
          <w:color w:val="auto"/>
          <w:sz w:val="28"/>
          <w:highlight w:val="none"/>
        </w:rPr>
      </w:pPr>
    </w:p>
    <w:p w14:paraId="4A9C43FC">
      <w:pPr>
        <w:spacing w:before="33"/>
        <w:ind w:left="0" w:right="183" w:firstLine="0"/>
        <w:jc w:val="center"/>
        <w:rPr>
          <w:rFonts w:hint="eastAsia" w:asciiTheme="minorEastAsia" w:hAnsiTheme="minorEastAsia" w:eastAsiaTheme="minorEastAsia" w:cstheme="minorEastAsia"/>
          <w:b/>
          <w:color w:val="auto"/>
          <w:sz w:val="28"/>
          <w:highlight w:val="none"/>
        </w:rPr>
      </w:pPr>
      <w:r>
        <w:rPr>
          <w:rFonts w:hint="eastAsia" w:asciiTheme="minorEastAsia" w:hAnsiTheme="minorEastAsia" w:eastAsiaTheme="minorEastAsia" w:cstheme="minorEastAsia"/>
          <w:b/>
          <w:color w:val="auto"/>
          <w:sz w:val="28"/>
          <w:highlight w:val="none"/>
        </w:rPr>
        <w:t>公示信息表（主要人员）</w:t>
      </w:r>
    </w:p>
    <w:p w14:paraId="252F5FAB">
      <w:pPr>
        <w:pStyle w:val="3"/>
        <w:spacing w:before="11" w:after="1"/>
        <w:rPr>
          <w:rFonts w:hint="eastAsia" w:asciiTheme="minorEastAsia" w:hAnsiTheme="minorEastAsia" w:eastAsiaTheme="minorEastAsia" w:cstheme="minorEastAsia"/>
          <w:b/>
          <w:color w:val="auto"/>
          <w:sz w:val="18"/>
          <w:highlight w:val="none"/>
        </w:rPr>
      </w:pPr>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2"/>
        <w:gridCol w:w="1166"/>
        <w:gridCol w:w="1545"/>
        <w:gridCol w:w="1366"/>
        <w:gridCol w:w="1497"/>
        <w:gridCol w:w="1437"/>
      </w:tblGrid>
      <w:tr w14:paraId="704F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512" w:type="dxa"/>
            <w:vMerge w:val="restart"/>
            <w:noWrap w:val="0"/>
            <w:vAlign w:val="top"/>
          </w:tcPr>
          <w:p w14:paraId="327C09B1">
            <w:pPr>
              <w:pStyle w:val="19"/>
              <w:spacing w:before="10"/>
              <w:rPr>
                <w:rFonts w:hint="eastAsia" w:asciiTheme="minorEastAsia" w:hAnsiTheme="minorEastAsia" w:eastAsiaTheme="minorEastAsia" w:cstheme="minorEastAsia"/>
                <w:b/>
                <w:color w:val="auto"/>
                <w:sz w:val="24"/>
                <w:highlight w:val="none"/>
              </w:rPr>
            </w:pPr>
          </w:p>
          <w:p w14:paraId="1B758419">
            <w:pPr>
              <w:pStyle w:val="19"/>
              <w:spacing w:before="1"/>
              <w:ind w:left="207" w:right="193"/>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任职</w:t>
            </w:r>
          </w:p>
        </w:tc>
        <w:tc>
          <w:tcPr>
            <w:tcW w:w="1166" w:type="dxa"/>
            <w:vMerge w:val="restart"/>
            <w:noWrap w:val="0"/>
            <w:vAlign w:val="top"/>
          </w:tcPr>
          <w:p w14:paraId="4751C185">
            <w:pPr>
              <w:pStyle w:val="19"/>
              <w:spacing w:before="10"/>
              <w:rPr>
                <w:rFonts w:hint="eastAsia" w:asciiTheme="minorEastAsia" w:hAnsiTheme="minorEastAsia" w:eastAsiaTheme="minorEastAsia" w:cstheme="minorEastAsia"/>
                <w:b/>
                <w:color w:val="auto"/>
                <w:sz w:val="24"/>
                <w:highlight w:val="none"/>
              </w:rPr>
            </w:pPr>
          </w:p>
          <w:p w14:paraId="301167B9">
            <w:pPr>
              <w:pStyle w:val="19"/>
              <w:spacing w:before="1"/>
              <w:ind w:left="381"/>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姓名</w:t>
            </w:r>
          </w:p>
        </w:tc>
        <w:tc>
          <w:tcPr>
            <w:tcW w:w="5845" w:type="dxa"/>
            <w:gridSpan w:val="4"/>
            <w:noWrap w:val="0"/>
            <w:vAlign w:val="top"/>
          </w:tcPr>
          <w:p w14:paraId="7BB937FE">
            <w:pPr>
              <w:pStyle w:val="19"/>
              <w:spacing w:before="90"/>
              <w:ind w:left="2463" w:right="2045" w:rightChars="0"/>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证书及其性质</w:t>
            </w:r>
          </w:p>
        </w:tc>
      </w:tr>
      <w:tr w14:paraId="1C41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1512" w:type="dxa"/>
            <w:vMerge w:val="continue"/>
            <w:noWrap w:val="0"/>
            <w:vAlign w:val="top"/>
          </w:tcPr>
          <w:p w14:paraId="2F5BBF5F">
            <w:pPr>
              <w:rPr>
                <w:rFonts w:hint="eastAsia" w:asciiTheme="minorEastAsia" w:hAnsiTheme="minorEastAsia" w:eastAsiaTheme="minorEastAsia" w:cstheme="minorEastAsia"/>
                <w:color w:val="auto"/>
                <w:sz w:val="2"/>
                <w:szCs w:val="2"/>
                <w:highlight w:val="none"/>
              </w:rPr>
            </w:pPr>
          </w:p>
        </w:tc>
        <w:tc>
          <w:tcPr>
            <w:tcW w:w="1166" w:type="dxa"/>
            <w:vMerge w:val="continue"/>
            <w:noWrap w:val="0"/>
            <w:vAlign w:val="top"/>
          </w:tcPr>
          <w:p w14:paraId="69268938">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7F4522BF">
            <w:pPr>
              <w:pStyle w:val="19"/>
              <w:spacing w:before="88"/>
              <w:ind w:left="128"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证书名称</w:t>
            </w:r>
          </w:p>
        </w:tc>
        <w:tc>
          <w:tcPr>
            <w:tcW w:w="1366" w:type="dxa"/>
            <w:noWrap w:val="0"/>
            <w:vAlign w:val="top"/>
          </w:tcPr>
          <w:p w14:paraId="6249E691">
            <w:pPr>
              <w:pStyle w:val="19"/>
              <w:spacing w:before="88"/>
              <w:ind w:left="271"/>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证书编号</w:t>
            </w:r>
          </w:p>
        </w:tc>
        <w:tc>
          <w:tcPr>
            <w:tcW w:w="1497" w:type="dxa"/>
            <w:noWrap w:val="0"/>
            <w:vAlign w:val="top"/>
          </w:tcPr>
          <w:p w14:paraId="5E1F347F">
            <w:pPr>
              <w:pStyle w:val="19"/>
              <w:spacing w:before="88"/>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颁发部门</w:t>
            </w:r>
          </w:p>
        </w:tc>
        <w:tc>
          <w:tcPr>
            <w:tcW w:w="1437" w:type="dxa"/>
            <w:noWrap w:val="0"/>
            <w:vAlign w:val="top"/>
          </w:tcPr>
          <w:p w14:paraId="61C7A8F7">
            <w:pPr>
              <w:pStyle w:val="19"/>
              <w:spacing w:before="88"/>
              <w:ind w:left="198"/>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颁发时间</w:t>
            </w:r>
          </w:p>
        </w:tc>
      </w:tr>
      <w:tr w14:paraId="0507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512" w:type="dxa"/>
            <w:vMerge w:val="restart"/>
            <w:noWrap w:val="0"/>
            <w:vAlign w:val="center"/>
          </w:tcPr>
          <w:p w14:paraId="0B975371">
            <w:pPr>
              <w:pStyle w:val="19"/>
              <w:ind w:left="335"/>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项目经理</w:t>
            </w:r>
          </w:p>
        </w:tc>
        <w:tc>
          <w:tcPr>
            <w:tcW w:w="1166" w:type="dxa"/>
            <w:vMerge w:val="restart"/>
            <w:noWrap w:val="0"/>
            <w:vAlign w:val="top"/>
          </w:tcPr>
          <w:p w14:paraId="458E2F28">
            <w:pPr>
              <w:pStyle w:val="19"/>
              <w:rPr>
                <w:rFonts w:hint="eastAsia" w:asciiTheme="minorEastAsia" w:hAnsiTheme="minorEastAsia" w:eastAsiaTheme="minorEastAsia" w:cstheme="minorEastAsia"/>
                <w:color w:val="auto"/>
                <w:sz w:val="20"/>
                <w:highlight w:val="none"/>
              </w:rPr>
            </w:pPr>
          </w:p>
        </w:tc>
        <w:tc>
          <w:tcPr>
            <w:tcW w:w="1545" w:type="dxa"/>
            <w:noWrap w:val="0"/>
            <w:vAlign w:val="top"/>
          </w:tcPr>
          <w:p w14:paraId="53C1A54E">
            <w:pPr>
              <w:pStyle w:val="19"/>
              <w:spacing w:before="74"/>
              <w:ind w:left="130"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职称证</w:t>
            </w:r>
          </w:p>
        </w:tc>
        <w:tc>
          <w:tcPr>
            <w:tcW w:w="1366" w:type="dxa"/>
            <w:noWrap w:val="0"/>
            <w:vAlign w:val="top"/>
          </w:tcPr>
          <w:p w14:paraId="216FC934">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7963CC57">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723B8398">
            <w:pPr>
              <w:pStyle w:val="19"/>
              <w:rPr>
                <w:rFonts w:hint="eastAsia" w:asciiTheme="minorEastAsia" w:hAnsiTheme="minorEastAsia" w:eastAsiaTheme="minorEastAsia" w:cstheme="minorEastAsia"/>
                <w:color w:val="auto"/>
                <w:sz w:val="20"/>
                <w:highlight w:val="none"/>
              </w:rPr>
            </w:pPr>
          </w:p>
        </w:tc>
      </w:tr>
      <w:tr w14:paraId="624C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512" w:type="dxa"/>
            <w:vMerge w:val="continue"/>
            <w:noWrap w:val="0"/>
            <w:vAlign w:val="center"/>
          </w:tcPr>
          <w:p w14:paraId="51F76E80">
            <w:pPr>
              <w:pStyle w:val="19"/>
              <w:ind w:left="335"/>
              <w:jc w:val="center"/>
              <w:rPr>
                <w:rFonts w:hint="eastAsia" w:asciiTheme="minorEastAsia" w:hAnsiTheme="minorEastAsia" w:eastAsiaTheme="minorEastAsia" w:cstheme="minorEastAsia"/>
                <w:color w:val="auto"/>
                <w:sz w:val="21"/>
                <w:highlight w:val="none"/>
              </w:rPr>
            </w:pPr>
          </w:p>
        </w:tc>
        <w:tc>
          <w:tcPr>
            <w:tcW w:w="1166" w:type="dxa"/>
            <w:vMerge w:val="continue"/>
            <w:noWrap w:val="0"/>
            <w:vAlign w:val="top"/>
          </w:tcPr>
          <w:p w14:paraId="4FC35170">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012707B5">
            <w:pPr>
              <w:pStyle w:val="19"/>
              <w:spacing w:before="74"/>
              <w:ind w:left="130"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注册建造师证</w:t>
            </w:r>
          </w:p>
        </w:tc>
        <w:tc>
          <w:tcPr>
            <w:tcW w:w="1366" w:type="dxa"/>
            <w:noWrap w:val="0"/>
            <w:vAlign w:val="top"/>
          </w:tcPr>
          <w:p w14:paraId="59A5CA96">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30AB8372">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7509C436">
            <w:pPr>
              <w:pStyle w:val="19"/>
              <w:rPr>
                <w:rFonts w:hint="eastAsia" w:asciiTheme="minorEastAsia" w:hAnsiTheme="minorEastAsia" w:eastAsiaTheme="minorEastAsia" w:cstheme="minorEastAsia"/>
                <w:color w:val="auto"/>
                <w:sz w:val="20"/>
                <w:highlight w:val="none"/>
              </w:rPr>
            </w:pPr>
          </w:p>
        </w:tc>
      </w:tr>
      <w:tr w14:paraId="48C6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12" w:type="dxa"/>
            <w:vMerge w:val="continue"/>
            <w:noWrap w:val="0"/>
            <w:vAlign w:val="center"/>
          </w:tcPr>
          <w:p w14:paraId="7EC6710B">
            <w:pPr>
              <w:pStyle w:val="19"/>
              <w:ind w:left="335"/>
              <w:jc w:val="center"/>
              <w:rPr>
                <w:rFonts w:hint="eastAsia" w:asciiTheme="minorEastAsia" w:hAnsiTheme="minorEastAsia" w:eastAsiaTheme="minorEastAsia" w:cstheme="minorEastAsia"/>
                <w:color w:val="auto"/>
                <w:sz w:val="21"/>
                <w:highlight w:val="none"/>
              </w:rPr>
            </w:pPr>
          </w:p>
        </w:tc>
        <w:tc>
          <w:tcPr>
            <w:tcW w:w="1166" w:type="dxa"/>
            <w:vMerge w:val="continue"/>
            <w:noWrap w:val="0"/>
            <w:vAlign w:val="top"/>
          </w:tcPr>
          <w:p w14:paraId="5E50257F">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60B1C346">
            <w:pPr>
              <w:pStyle w:val="19"/>
              <w:spacing w:before="74"/>
              <w:ind w:left="130"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安全证</w:t>
            </w:r>
          </w:p>
        </w:tc>
        <w:tc>
          <w:tcPr>
            <w:tcW w:w="1366" w:type="dxa"/>
            <w:noWrap w:val="0"/>
            <w:vAlign w:val="top"/>
          </w:tcPr>
          <w:p w14:paraId="776A4240">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646535A4">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3A2D04CB">
            <w:pPr>
              <w:pStyle w:val="19"/>
              <w:rPr>
                <w:rFonts w:hint="eastAsia" w:asciiTheme="minorEastAsia" w:hAnsiTheme="minorEastAsia" w:eastAsiaTheme="minorEastAsia" w:cstheme="minorEastAsia"/>
                <w:color w:val="auto"/>
                <w:sz w:val="20"/>
                <w:highlight w:val="none"/>
              </w:rPr>
            </w:pPr>
          </w:p>
        </w:tc>
      </w:tr>
      <w:tr w14:paraId="2720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12" w:type="dxa"/>
            <w:vMerge w:val="continue"/>
            <w:noWrap w:val="0"/>
            <w:vAlign w:val="center"/>
          </w:tcPr>
          <w:p w14:paraId="4B08F802">
            <w:pPr>
              <w:pStyle w:val="19"/>
              <w:ind w:left="335"/>
              <w:jc w:val="center"/>
              <w:rPr>
                <w:rFonts w:hint="eastAsia" w:asciiTheme="minorEastAsia" w:hAnsiTheme="minorEastAsia" w:eastAsiaTheme="minorEastAsia" w:cstheme="minorEastAsia"/>
                <w:color w:val="auto"/>
                <w:sz w:val="21"/>
                <w:highlight w:val="none"/>
              </w:rPr>
            </w:pPr>
          </w:p>
        </w:tc>
        <w:tc>
          <w:tcPr>
            <w:tcW w:w="1166" w:type="dxa"/>
            <w:vMerge w:val="continue"/>
            <w:noWrap w:val="0"/>
            <w:vAlign w:val="top"/>
          </w:tcPr>
          <w:p w14:paraId="60E6752F">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3AB05462">
            <w:pPr>
              <w:pStyle w:val="19"/>
              <w:spacing w:before="74"/>
              <w:ind w:left="130" w:leftChars="0" w:right="105" w:rightChars="0"/>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注册建造师证</w:t>
            </w:r>
          </w:p>
        </w:tc>
        <w:tc>
          <w:tcPr>
            <w:tcW w:w="1366" w:type="dxa"/>
            <w:noWrap w:val="0"/>
            <w:vAlign w:val="top"/>
          </w:tcPr>
          <w:p w14:paraId="2FEA6892">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5B96E14D">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392499AA">
            <w:pPr>
              <w:pStyle w:val="19"/>
              <w:rPr>
                <w:rFonts w:hint="eastAsia" w:asciiTheme="minorEastAsia" w:hAnsiTheme="minorEastAsia" w:eastAsiaTheme="minorEastAsia" w:cstheme="minorEastAsia"/>
                <w:color w:val="auto"/>
                <w:sz w:val="20"/>
                <w:highlight w:val="none"/>
              </w:rPr>
            </w:pPr>
          </w:p>
        </w:tc>
      </w:tr>
      <w:tr w14:paraId="4ADB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12" w:type="dxa"/>
            <w:vMerge w:val="continue"/>
            <w:noWrap w:val="0"/>
            <w:vAlign w:val="center"/>
          </w:tcPr>
          <w:p w14:paraId="7A2D100D">
            <w:pPr>
              <w:pStyle w:val="19"/>
              <w:ind w:left="335"/>
              <w:jc w:val="center"/>
              <w:rPr>
                <w:rFonts w:hint="eastAsia" w:asciiTheme="minorEastAsia" w:hAnsiTheme="minorEastAsia" w:eastAsiaTheme="minorEastAsia" w:cstheme="minorEastAsia"/>
                <w:color w:val="auto"/>
                <w:sz w:val="21"/>
                <w:highlight w:val="none"/>
              </w:rPr>
            </w:pPr>
          </w:p>
        </w:tc>
        <w:tc>
          <w:tcPr>
            <w:tcW w:w="1166" w:type="dxa"/>
            <w:vMerge w:val="continue"/>
            <w:noWrap w:val="0"/>
            <w:vAlign w:val="top"/>
          </w:tcPr>
          <w:p w14:paraId="4B9F4D6E">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7709B7B9">
            <w:pPr>
              <w:pStyle w:val="19"/>
              <w:spacing w:before="74"/>
              <w:ind w:left="130" w:leftChars="0" w:right="105" w:rightChars="0"/>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安全证</w:t>
            </w:r>
          </w:p>
        </w:tc>
        <w:tc>
          <w:tcPr>
            <w:tcW w:w="1366" w:type="dxa"/>
            <w:noWrap w:val="0"/>
            <w:vAlign w:val="top"/>
          </w:tcPr>
          <w:p w14:paraId="17A3A899">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3C6655FA">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3A449B78">
            <w:pPr>
              <w:pStyle w:val="19"/>
              <w:rPr>
                <w:rFonts w:hint="eastAsia" w:asciiTheme="minorEastAsia" w:hAnsiTheme="minorEastAsia" w:eastAsiaTheme="minorEastAsia" w:cstheme="minorEastAsia"/>
                <w:color w:val="auto"/>
                <w:sz w:val="20"/>
                <w:highlight w:val="none"/>
              </w:rPr>
            </w:pPr>
          </w:p>
        </w:tc>
      </w:tr>
      <w:tr w14:paraId="05A0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512" w:type="dxa"/>
            <w:vMerge w:val="restart"/>
            <w:noWrap w:val="0"/>
            <w:vAlign w:val="center"/>
          </w:tcPr>
          <w:p w14:paraId="015E7888">
            <w:pPr>
              <w:pStyle w:val="19"/>
              <w:ind w:left="335"/>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项目总工</w:t>
            </w:r>
          </w:p>
        </w:tc>
        <w:tc>
          <w:tcPr>
            <w:tcW w:w="1166" w:type="dxa"/>
            <w:vMerge w:val="restart"/>
            <w:noWrap w:val="0"/>
            <w:vAlign w:val="top"/>
          </w:tcPr>
          <w:p w14:paraId="56C37DA9">
            <w:pPr>
              <w:pStyle w:val="19"/>
              <w:rPr>
                <w:rFonts w:hint="eastAsia" w:asciiTheme="minorEastAsia" w:hAnsiTheme="minorEastAsia" w:eastAsiaTheme="minorEastAsia" w:cstheme="minorEastAsia"/>
                <w:color w:val="auto"/>
                <w:sz w:val="20"/>
                <w:highlight w:val="none"/>
              </w:rPr>
            </w:pPr>
          </w:p>
        </w:tc>
        <w:tc>
          <w:tcPr>
            <w:tcW w:w="1545" w:type="dxa"/>
            <w:noWrap w:val="0"/>
            <w:vAlign w:val="top"/>
          </w:tcPr>
          <w:p w14:paraId="74A70173">
            <w:pPr>
              <w:pStyle w:val="19"/>
              <w:spacing w:before="62"/>
              <w:ind w:left="130"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职称证</w:t>
            </w:r>
          </w:p>
        </w:tc>
        <w:tc>
          <w:tcPr>
            <w:tcW w:w="1366" w:type="dxa"/>
            <w:noWrap w:val="0"/>
            <w:vAlign w:val="top"/>
          </w:tcPr>
          <w:p w14:paraId="1A75D9D8">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4502F968">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404A37EA">
            <w:pPr>
              <w:pStyle w:val="19"/>
              <w:rPr>
                <w:rFonts w:hint="eastAsia" w:asciiTheme="minorEastAsia" w:hAnsiTheme="minorEastAsia" w:eastAsiaTheme="minorEastAsia" w:cstheme="minorEastAsia"/>
                <w:color w:val="auto"/>
                <w:sz w:val="20"/>
                <w:highlight w:val="none"/>
              </w:rPr>
            </w:pPr>
          </w:p>
        </w:tc>
      </w:tr>
      <w:tr w14:paraId="2270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512" w:type="dxa"/>
            <w:vMerge w:val="continue"/>
            <w:noWrap w:val="0"/>
            <w:vAlign w:val="center"/>
          </w:tcPr>
          <w:p w14:paraId="762F8F9E">
            <w:pPr>
              <w:pStyle w:val="19"/>
              <w:ind w:left="335"/>
              <w:jc w:val="center"/>
              <w:rPr>
                <w:rFonts w:hint="eastAsia" w:asciiTheme="minorEastAsia" w:hAnsiTheme="minorEastAsia" w:eastAsiaTheme="minorEastAsia" w:cstheme="minorEastAsia"/>
                <w:color w:val="auto"/>
                <w:sz w:val="21"/>
                <w:highlight w:val="none"/>
              </w:rPr>
            </w:pPr>
          </w:p>
        </w:tc>
        <w:tc>
          <w:tcPr>
            <w:tcW w:w="1166" w:type="dxa"/>
            <w:vMerge w:val="continue"/>
            <w:noWrap w:val="0"/>
            <w:vAlign w:val="top"/>
          </w:tcPr>
          <w:p w14:paraId="33B8C1BE">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421CD757">
            <w:pPr>
              <w:pStyle w:val="19"/>
              <w:spacing w:before="70"/>
              <w:ind w:left="130" w:right="105"/>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安全证</w:t>
            </w:r>
          </w:p>
        </w:tc>
        <w:tc>
          <w:tcPr>
            <w:tcW w:w="1366" w:type="dxa"/>
            <w:noWrap w:val="0"/>
            <w:vAlign w:val="top"/>
          </w:tcPr>
          <w:p w14:paraId="7C739E16">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5F2C0299">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5FB77F8F">
            <w:pPr>
              <w:pStyle w:val="19"/>
              <w:rPr>
                <w:rFonts w:hint="eastAsia" w:asciiTheme="minorEastAsia" w:hAnsiTheme="minorEastAsia" w:eastAsiaTheme="minorEastAsia" w:cstheme="minorEastAsia"/>
                <w:color w:val="auto"/>
                <w:sz w:val="20"/>
                <w:highlight w:val="none"/>
              </w:rPr>
            </w:pPr>
          </w:p>
        </w:tc>
      </w:tr>
      <w:tr w14:paraId="4FD9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512" w:type="dxa"/>
            <w:vMerge w:val="continue"/>
            <w:noWrap w:val="0"/>
            <w:vAlign w:val="top"/>
          </w:tcPr>
          <w:p w14:paraId="62662CCC">
            <w:pPr>
              <w:rPr>
                <w:rFonts w:hint="eastAsia" w:asciiTheme="minorEastAsia" w:hAnsiTheme="minorEastAsia" w:eastAsiaTheme="minorEastAsia" w:cstheme="minorEastAsia"/>
                <w:color w:val="auto"/>
                <w:sz w:val="2"/>
                <w:szCs w:val="2"/>
                <w:highlight w:val="none"/>
              </w:rPr>
            </w:pPr>
          </w:p>
        </w:tc>
        <w:tc>
          <w:tcPr>
            <w:tcW w:w="1166" w:type="dxa"/>
            <w:vMerge w:val="continue"/>
            <w:noWrap w:val="0"/>
            <w:vAlign w:val="top"/>
          </w:tcPr>
          <w:p w14:paraId="3E1BC975">
            <w:pPr>
              <w:rPr>
                <w:rFonts w:hint="eastAsia" w:asciiTheme="minorEastAsia" w:hAnsiTheme="minorEastAsia" w:eastAsiaTheme="minorEastAsia" w:cstheme="minorEastAsia"/>
                <w:color w:val="auto"/>
                <w:sz w:val="2"/>
                <w:szCs w:val="2"/>
                <w:highlight w:val="none"/>
              </w:rPr>
            </w:pPr>
          </w:p>
        </w:tc>
        <w:tc>
          <w:tcPr>
            <w:tcW w:w="1545" w:type="dxa"/>
            <w:noWrap w:val="0"/>
            <w:vAlign w:val="top"/>
          </w:tcPr>
          <w:p w14:paraId="5E4FD10A">
            <w:pPr>
              <w:pStyle w:val="19"/>
              <w:spacing w:before="70"/>
              <w:ind w:left="130" w:leftChars="0" w:right="105" w:rightChars="0"/>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安全证</w:t>
            </w:r>
          </w:p>
        </w:tc>
        <w:tc>
          <w:tcPr>
            <w:tcW w:w="1366" w:type="dxa"/>
            <w:noWrap w:val="0"/>
            <w:vAlign w:val="top"/>
          </w:tcPr>
          <w:p w14:paraId="64AFB73D">
            <w:pPr>
              <w:pStyle w:val="19"/>
              <w:rPr>
                <w:rFonts w:hint="eastAsia" w:asciiTheme="minorEastAsia" w:hAnsiTheme="minorEastAsia" w:eastAsiaTheme="minorEastAsia" w:cstheme="minorEastAsia"/>
                <w:color w:val="auto"/>
                <w:sz w:val="20"/>
                <w:highlight w:val="none"/>
              </w:rPr>
            </w:pPr>
          </w:p>
        </w:tc>
        <w:tc>
          <w:tcPr>
            <w:tcW w:w="1497" w:type="dxa"/>
            <w:noWrap w:val="0"/>
            <w:vAlign w:val="top"/>
          </w:tcPr>
          <w:p w14:paraId="127713AB">
            <w:pPr>
              <w:pStyle w:val="19"/>
              <w:rPr>
                <w:rFonts w:hint="eastAsia" w:asciiTheme="minorEastAsia" w:hAnsiTheme="minorEastAsia" w:eastAsiaTheme="minorEastAsia" w:cstheme="minorEastAsia"/>
                <w:color w:val="auto"/>
                <w:sz w:val="20"/>
                <w:highlight w:val="none"/>
              </w:rPr>
            </w:pPr>
          </w:p>
        </w:tc>
        <w:tc>
          <w:tcPr>
            <w:tcW w:w="1437" w:type="dxa"/>
            <w:noWrap w:val="0"/>
            <w:vAlign w:val="top"/>
          </w:tcPr>
          <w:p w14:paraId="08DD1158">
            <w:pPr>
              <w:pStyle w:val="19"/>
              <w:rPr>
                <w:rFonts w:hint="eastAsia" w:asciiTheme="minorEastAsia" w:hAnsiTheme="minorEastAsia" w:eastAsiaTheme="minorEastAsia" w:cstheme="minorEastAsia"/>
                <w:color w:val="auto"/>
                <w:sz w:val="20"/>
                <w:highlight w:val="none"/>
              </w:rPr>
            </w:pPr>
          </w:p>
        </w:tc>
      </w:tr>
    </w:tbl>
    <w:p w14:paraId="6A955971">
      <w:pPr>
        <w:spacing w:before="160"/>
        <w:ind w:left="0" w:right="183" w:firstLine="0"/>
        <w:jc w:val="center"/>
        <w:rPr>
          <w:rFonts w:hint="eastAsia" w:asciiTheme="minorEastAsia" w:hAnsiTheme="minorEastAsia" w:eastAsiaTheme="minorEastAsia" w:cstheme="minorEastAsia"/>
          <w:b/>
          <w:color w:val="auto"/>
          <w:sz w:val="28"/>
          <w:highlight w:val="none"/>
        </w:rPr>
      </w:pPr>
    </w:p>
    <w:p w14:paraId="04755531">
      <w:pPr>
        <w:spacing w:before="160"/>
        <w:ind w:left="0" w:right="183" w:firstLine="0"/>
        <w:jc w:val="center"/>
        <w:rPr>
          <w:rFonts w:hint="eastAsia" w:asciiTheme="minorEastAsia" w:hAnsiTheme="minorEastAsia" w:eastAsiaTheme="minorEastAsia" w:cstheme="minorEastAsia"/>
          <w:b/>
          <w:color w:val="auto"/>
          <w:sz w:val="28"/>
          <w:highlight w:val="none"/>
        </w:rPr>
      </w:pPr>
    </w:p>
    <w:p w14:paraId="11731BD1">
      <w:pPr>
        <w:spacing w:before="160"/>
        <w:ind w:left="0" w:right="183" w:firstLine="0"/>
        <w:jc w:val="center"/>
        <w:rPr>
          <w:rFonts w:hint="eastAsia" w:asciiTheme="minorEastAsia" w:hAnsiTheme="minorEastAsia" w:eastAsiaTheme="minorEastAsia" w:cstheme="minorEastAsia"/>
          <w:b/>
          <w:color w:val="auto"/>
          <w:sz w:val="28"/>
          <w:highlight w:val="none"/>
        </w:rPr>
      </w:pPr>
    </w:p>
    <w:p w14:paraId="6EA81B16">
      <w:pPr>
        <w:spacing w:before="160"/>
        <w:ind w:left="0" w:right="183" w:firstLine="0"/>
        <w:jc w:val="center"/>
        <w:rPr>
          <w:rFonts w:hint="eastAsia" w:asciiTheme="minorEastAsia" w:hAnsiTheme="minorEastAsia" w:eastAsiaTheme="minorEastAsia" w:cstheme="minorEastAsia"/>
          <w:b/>
          <w:color w:val="auto"/>
          <w:sz w:val="28"/>
          <w:highlight w:val="none"/>
        </w:rPr>
      </w:pPr>
    </w:p>
    <w:p w14:paraId="1B000662">
      <w:pPr>
        <w:spacing w:before="160"/>
        <w:ind w:left="0" w:right="183" w:firstLine="0"/>
        <w:jc w:val="center"/>
        <w:rPr>
          <w:rFonts w:hint="eastAsia" w:asciiTheme="minorEastAsia" w:hAnsiTheme="minorEastAsia" w:eastAsiaTheme="minorEastAsia" w:cstheme="minorEastAsia"/>
          <w:b/>
          <w:color w:val="auto"/>
          <w:sz w:val="28"/>
          <w:highlight w:val="none"/>
        </w:rPr>
      </w:pPr>
    </w:p>
    <w:p w14:paraId="795AF6BC">
      <w:pPr>
        <w:spacing w:before="160"/>
        <w:ind w:left="0" w:right="183" w:firstLine="0"/>
        <w:jc w:val="center"/>
        <w:rPr>
          <w:rFonts w:hint="eastAsia" w:asciiTheme="minorEastAsia" w:hAnsiTheme="minorEastAsia" w:eastAsiaTheme="minorEastAsia" w:cstheme="minorEastAsia"/>
          <w:b/>
          <w:color w:val="auto"/>
          <w:sz w:val="28"/>
          <w:highlight w:val="none"/>
        </w:rPr>
      </w:pPr>
    </w:p>
    <w:p w14:paraId="726C5558">
      <w:pPr>
        <w:spacing w:before="160"/>
        <w:ind w:left="0" w:right="183" w:firstLine="0"/>
        <w:jc w:val="center"/>
        <w:rPr>
          <w:rFonts w:hint="eastAsia" w:asciiTheme="minorEastAsia" w:hAnsiTheme="minorEastAsia" w:eastAsiaTheme="minorEastAsia" w:cstheme="minorEastAsia"/>
          <w:b/>
          <w:color w:val="auto"/>
          <w:sz w:val="28"/>
          <w:highlight w:val="none"/>
        </w:rPr>
      </w:pPr>
    </w:p>
    <w:p w14:paraId="7B3049BD">
      <w:pPr>
        <w:spacing w:before="160"/>
        <w:ind w:left="0" w:right="183" w:firstLine="0"/>
        <w:jc w:val="center"/>
        <w:rPr>
          <w:rFonts w:hint="eastAsia" w:asciiTheme="minorEastAsia" w:hAnsiTheme="minorEastAsia" w:eastAsiaTheme="minorEastAsia" w:cstheme="minorEastAsia"/>
          <w:b/>
          <w:color w:val="auto"/>
          <w:sz w:val="28"/>
          <w:highlight w:val="none"/>
        </w:rPr>
      </w:pPr>
    </w:p>
    <w:p w14:paraId="025A4858">
      <w:pPr>
        <w:pStyle w:val="5"/>
        <w:rPr>
          <w:rFonts w:hint="eastAsia" w:asciiTheme="minorEastAsia" w:hAnsiTheme="minorEastAsia" w:eastAsiaTheme="minorEastAsia" w:cstheme="minorEastAsia"/>
          <w:b/>
          <w:color w:val="auto"/>
          <w:sz w:val="28"/>
          <w:highlight w:val="none"/>
        </w:rPr>
      </w:pPr>
    </w:p>
    <w:p w14:paraId="6E125676">
      <w:pPr>
        <w:pStyle w:val="5"/>
        <w:rPr>
          <w:rFonts w:hint="eastAsia" w:asciiTheme="minorEastAsia" w:hAnsiTheme="minorEastAsia" w:eastAsiaTheme="minorEastAsia" w:cstheme="minorEastAsia"/>
          <w:b/>
          <w:color w:val="auto"/>
          <w:sz w:val="28"/>
          <w:highlight w:val="none"/>
        </w:rPr>
      </w:pPr>
    </w:p>
    <w:p w14:paraId="45E8FD7C">
      <w:pPr>
        <w:pStyle w:val="5"/>
        <w:rPr>
          <w:rFonts w:hint="eastAsia" w:asciiTheme="minorEastAsia" w:hAnsiTheme="minorEastAsia" w:eastAsiaTheme="minorEastAsia" w:cstheme="minorEastAsia"/>
          <w:b/>
          <w:color w:val="auto"/>
          <w:sz w:val="28"/>
          <w:highlight w:val="none"/>
        </w:rPr>
      </w:pPr>
    </w:p>
    <w:p w14:paraId="1F8B43A5">
      <w:pPr>
        <w:spacing w:before="160"/>
        <w:ind w:left="0" w:right="183" w:firstLine="0"/>
        <w:jc w:val="center"/>
        <w:rPr>
          <w:rFonts w:hint="eastAsia" w:asciiTheme="minorEastAsia" w:hAnsiTheme="minorEastAsia" w:eastAsiaTheme="minorEastAsia" w:cstheme="minorEastAsia"/>
          <w:b/>
          <w:color w:val="auto"/>
          <w:sz w:val="28"/>
          <w:highlight w:val="none"/>
        </w:rPr>
      </w:pPr>
      <w:r>
        <w:rPr>
          <w:rFonts w:hint="eastAsia" w:asciiTheme="minorEastAsia" w:hAnsiTheme="minorEastAsia" w:eastAsiaTheme="minorEastAsia" w:cstheme="minorEastAsia"/>
          <w:b/>
          <w:color w:val="auto"/>
          <w:sz w:val="28"/>
          <w:highlight w:val="none"/>
        </w:rPr>
        <w:t>主要人员资历表</w:t>
      </w:r>
    </w:p>
    <w:p w14:paraId="680D4830">
      <w:pPr>
        <w:pStyle w:val="3"/>
        <w:spacing w:before="11" w:after="1"/>
        <w:rPr>
          <w:rFonts w:hint="eastAsia" w:asciiTheme="minorEastAsia" w:hAnsiTheme="minorEastAsia" w:eastAsiaTheme="minorEastAsia" w:cstheme="minorEastAsia"/>
          <w:b/>
          <w:color w:val="auto"/>
          <w:sz w:val="18"/>
          <w:highlight w:val="none"/>
        </w:rPr>
      </w:pPr>
    </w:p>
    <w:tbl>
      <w:tblPr>
        <w:tblStyle w:val="12"/>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5"/>
        <w:gridCol w:w="1134"/>
        <w:gridCol w:w="850"/>
        <w:gridCol w:w="5438"/>
      </w:tblGrid>
      <w:tr w14:paraId="26D7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35" w:type="dxa"/>
            <w:noWrap w:val="0"/>
            <w:vAlign w:val="top"/>
          </w:tcPr>
          <w:p w14:paraId="5326E86D">
            <w:pPr>
              <w:pStyle w:val="19"/>
              <w:spacing w:before="2"/>
              <w:rPr>
                <w:rFonts w:hint="eastAsia" w:asciiTheme="minorEastAsia" w:hAnsiTheme="minorEastAsia" w:eastAsiaTheme="minorEastAsia" w:cstheme="minorEastAsia"/>
                <w:b/>
                <w:color w:val="auto"/>
                <w:sz w:val="14"/>
                <w:highlight w:val="none"/>
              </w:rPr>
            </w:pPr>
          </w:p>
          <w:p w14:paraId="61FCD43C">
            <w:pPr>
              <w:pStyle w:val="19"/>
              <w:ind w:left="357"/>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任职</w:t>
            </w:r>
          </w:p>
        </w:tc>
        <w:tc>
          <w:tcPr>
            <w:tcW w:w="1134" w:type="dxa"/>
            <w:noWrap w:val="0"/>
            <w:vAlign w:val="top"/>
          </w:tcPr>
          <w:p w14:paraId="7B2FF0DB">
            <w:pPr>
              <w:pStyle w:val="19"/>
              <w:spacing w:before="2"/>
              <w:rPr>
                <w:rFonts w:hint="eastAsia" w:asciiTheme="minorEastAsia" w:hAnsiTheme="minorEastAsia" w:eastAsiaTheme="minorEastAsia" w:cstheme="minorEastAsia"/>
                <w:b/>
                <w:color w:val="auto"/>
                <w:sz w:val="14"/>
                <w:highlight w:val="none"/>
              </w:rPr>
            </w:pPr>
          </w:p>
          <w:p w14:paraId="6131A5A0">
            <w:pPr>
              <w:pStyle w:val="19"/>
              <w:ind w:left="365"/>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姓名</w:t>
            </w:r>
          </w:p>
        </w:tc>
        <w:tc>
          <w:tcPr>
            <w:tcW w:w="6288" w:type="dxa"/>
            <w:gridSpan w:val="2"/>
            <w:noWrap w:val="0"/>
            <w:vAlign w:val="top"/>
          </w:tcPr>
          <w:p w14:paraId="448B4B38">
            <w:pPr>
              <w:pStyle w:val="19"/>
              <w:spacing w:before="2"/>
              <w:rPr>
                <w:rFonts w:hint="eastAsia" w:asciiTheme="minorEastAsia" w:hAnsiTheme="minorEastAsia" w:eastAsiaTheme="minorEastAsia" w:cstheme="minorEastAsia"/>
                <w:b/>
                <w:color w:val="auto"/>
                <w:sz w:val="14"/>
                <w:highlight w:val="none"/>
              </w:rPr>
            </w:pPr>
          </w:p>
          <w:p w14:paraId="7986B64C">
            <w:pPr>
              <w:pStyle w:val="19"/>
              <w:ind w:left="2690" w:right="2326" w:rightChars="0"/>
              <w:jc w:val="center"/>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经历（业绩）</w:t>
            </w:r>
          </w:p>
        </w:tc>
      </w:tr>
      <w:tr w14:paraId="6B0F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restart"/>
            <w:noWrap w:val="0"/>
            <w:vAlign w:val="top"/>
          </w:tcPr>
          <w:p w14:paraId="0502198E">
            <w:pPr>
              <w:pStyle w:val="19"/>
              <w:rPr>
                <w:rFonts w:hint="eastAsia" w:asciiTheme="minorEastAsia" w:hAnsiTheme="minorEastAsia" w:eastAsiaTheme="minorEastAsia" w:cstheme="minorEastAsia"/>
                <w:b/>
                <w:color w:val="auto"/>
                <w:sz w:val="20"/>
                <w:highlight w:val="none"/>
              </w:rPr>
            </w:pPr>
          </w:p>
          <w:p w14:paraId="2BE2BFEE">
            <w:pPr>
              <w:pStyle w:val="19"/>
              <w:tabs>
                <w:tab w:val="left" w:pos="630"/>
              </w:tabs>
              <w:spacing w:before="163" w:line="242" w:lineRule="auto"/>
              <w:ind w:left="357" w:right="337"/>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项目经理</w:t>
            </w:r>
          </w:p>
        </w:tc>
        <w:tc>
          <w:tcPr>
            <w:tcW w:w="1134" w:type="dxa"/>
            <w:vMerge w:val="restart"/>
            <w:noWrap w:val="0"/>
            <w:vAlign w:val="top"/>
          </w:tcPr>
          <w:p w14:paraId="32E00390">
            <w:pPr>
              <w:pStyle w:val="19"/>
              <w:rPr>
                <w:rFonts w:hint="eastAsia" w:asciiTheme="minorEastAsia" w:hAnsiTheme="minorEastAsia" w:eastAsiaTheme="minorEastAsia" w:cstheme="minorEastAsia"/>
                <w:color w:val="auto"/>
                <w:sz w:val="20"/>
                <w:highlight w:val="none"/>
              </w:rPr>
            </w:pPr>
          </w:p>
        </w:tc>
        <w:tc>
          <w:tcPr>
            <w:tcW w:w="850" w:type="dxa"/>
            <w:noWrap w:val="0"/>
            <w:vAlign w:val="top"/>
          </w:tcPr>
          <w:p w14:paraId="586958E7">
            <w:pPr>
              <w:pStyle w:val="19"/>
              <w:spacing w:before="91"/>
              <w:ind w:left="38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1</w:t>
            </w:r>
          </w:p>
        </w:tc>
        <w:tc>
          <w:tcPr>
            <w:tcW w:w="5438" w:type="dxa"/>
            <w:noWrap w:val="0"/>
            <w:vAlign w:val="top"/>
          </w:tcPr>
          <w:p w14:paraId="571FBE86">
            <w:pPr>
              <w:pStyle w:val="19"/>
              <w:rPr>
                <w:rFonts w:hint="eastAsia" w:asciiTheme="minorEastAsia" w:hAnsiTheme="minorEastAsia" w:eastAsiaTheme="minorEastAsia" w:cstheme="minorEastAsia"/>
                <w:color w:val="auto"/>
                <w:sz w:val="20"/>
                <w:highlight w:val="none"/>
              </w:rPr>
            </w:pPr>
          </w:p>
        </w:tc>
      </w:tr>
      <w:tr w14:paraId="0CAD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135" w:type="dxa"/>
            <w:vMerge w:val="continue"/>
            <w:noWrap w:val="0"/>
            <w:vAlign w:val="top"/>
          </w:tcPr>
          <w:p w14:paraId="4A8B6976">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759EAD81">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7672C917">
            <w:pPr>
              <w:pStyle w:val="19"/>
              <w:spacing w:before="90"/>
              <w:ind w:left="38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2</w:t>
            </w:r>
          </w:p>
        </w:tc>
        <w:tc>
          <w:tcPr>
            <w:tcW w:w="5438" w:type="dxa"/>
            <w:noWrap w:val="0"/>
            <w:vAlign w:val="top"/>
          </w:tcPr>
          <w:p w14:paraId="428DF186">
            <w:pPr>
              <w:pStyle w:val="19"/>
              <w:rPr>
                <w:rFonts w:hint="eastAsia" w:asciiTheme="minorEastAsia" w:hAnsiTheme="minorEastAsia" w:eastAsiaTheme="minorEastAsia" w:cstheme="minorEastAsia"/>
                <w:color w:val="auto"/>
                <w:sz w:val="20"/>
                <w:highlight w:val="none"/>
              </w:rPr>
            </w:pPr>
          </w:p>
        </w:tc>
      </w:tr>
      <w:tr w14:paraId="4192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22A38C9A">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281500B0">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5BA1CB9A">
            <w:pPr>
              <w:pStyle w:val="19"/>
              <w:spacing w:before="91"/>
              <w:ind w:left="33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w:t>
            </w:r>
          </w:p>
        </w:tc>
        <w:tc>
          <w:tcPr>
            <w:tcW w:w="5438" w:type="dxa"/>
            <w:noWrap w:val="0"/>
            <w:vAlign w:val="top"/>
          </w:tcPr>
          <w:p w14:paraId="15199697">
            <w:pPr>
              <w:pStyle w:val="19"/>
              <w:rPr>
                <w:rFonts w:hint="eastAsia" w:asciiTheme="minorEastAsia" w:hAnsiTheme="minorEastAsia" w:eastAsiaTheme="minorEastAsia" w:cstheme="minorEastAsia"/>
                <w:color w:val="auto"/>
                <w:sz w:val="20"/>
                <w:highlight w:val="none"/>
              </w:rPr>
            </w:pPr>
          </w:p>
        </w:tc>
      </w:tr>
      <w:tr w14:paraId="2FFB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58B99BED">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7311E6C4">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3A451AAD">
            <w:pPr>
              <w:pStyle w:val="19"/>
              <w:spacing w:before="90"/>
              <w:ind w:left="380" w:leftChars="0"/>
              <w:rPr>
                <w:rFonts w:hint="eastAsia" w:asciiTheme="minorEastAsia" w:hAnsiTheme="minorEastAsia" w:eastAsiaTheme="minorEastAsia" w:cstheme="minorEastAsia"/>
                <w:color w:val="auto"/>
                <w:w w:val="99"/>
                <w:sz w:val="21"/>
                <w:highlight w:val="none"/>
              </w:rPr>
            </w:pPr>
            <w:r>
              <w:rPr>
                <w:rFonts w:hint="eastAsia" w:asciiTheme="minorEastAsia" w:hAnsiTheme="minorEastAsia" w:eastAsiaTheme="minorEastAsia" w:cstheme="minorEastAsia"/>
                <w:color w:val="auto"/>
                <w:w w:val="99"/>
                <w:sz w:val="21"/>
                <w:highlight w:val="none"/>
              </w:rPr>
              <w:t>2</w:t>
            </w:r>
          </w:p>
        </w:tc>
        <w:tc>
          <w:tcPr>
            <w:tcW w:w="5438" w:type="dxa"/>
            <w:noWrap w:val="0"/>
            <w:vAlign w:val="top"/>
          </w:tcPr>
          <w:p w14:paraId="09A8FD79">
            <w:pPr>
              <w:pStyle w:val="19"/>
              <w:rPr>
                <w:rFonts w:hint="eastAsia" w:asciiTheme="minorEastAsia" w:hAnsiTheme="minorEastAsia" w:eastAsiaTheme="minorEastAsia" w:cstheme="minorEastAsia"/>
                <w:color w:val="auto"/>
                <w:sz w:val="20"/>
                <w:highlight w:val="none"/>
              </w:rPr>
            </w:pPr>
          </w:p>
        </w:tc>
      </w:tr>
      <w:tr w14:paraId="790B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5738BA92">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390392C8">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3CA617A2">
            <w:pPr>
              <w:pStyle w:val="19"/>
              <w:spacing w:before="91"/>
              <w:ind w:left="330" w:leftChars="0"/>
              <w:rPr>
                <w:rFonts w:hint="eastAsia" w:asciiTheme="minorEastAsia" w:hAnsiTheme="minorEastAsia" w:eastAsiaTheme="minorEastAsia" w:cstheme="minorEastAsia"/>
                <w:color w:val="auto"/>
                <w:w w:val="99"/>
                <w:sz w:val="21"/>
                <w:highlight w:val="none"/>
              </w:rPr>
            </w:pPr>
            <w:r>
              <w:rPr>
                <w:rFonts w:hint="eastAsia" w:asciiTheme="minorEastAsia" w:hAnsiTheme="minorEastAsia" w:eastAsiaTheme="minorEastAsia" w:cstheme="minorEastAsia"/>
                <w:color w:val="auto"/>
                <w:w w:val="99"/>
                <w:sz w:val="21"/>
                <w:highlight w:val="none"/>
              </w:rPr>
              <w:t>…</w:t>
            </w:r>
          </w:p>
        </w:tc>
        <w:tc>
          <w:tcPr>
            <w:tcW w:w="5438" w:type="dxa"/>
            <w:noWrap w:val="0"/>
            <w:vAlign w:val="top"/>
          </w:tcPr>
          <w:p w14:paraId="1F7CA52A">
            <w:pPr>
              <w:pStyle w:val="19"/>
              <w:rPr>
                <w:rFonts w:hint="eastAsia" w:asciiTheme="minorEastAsia" w:hAnsiTheme="minorEastAsia" w:eastAsiaTheme="minorEastAsia" w:cstheme="minorEastAsia"/>
                <w:color w:val="auto"/>
                <w:sz w:val="20"/>
                <w:highlight w:val="none"/>
              </w:rPr>
            </w:pPr>
          </w:p>
        </w:tc>
      </w:tr>
      <w:tr w14:paraId="049F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135" w:type="dxa"/>
            <w:vMerge w:val="restart"/>
            <w:noWrap w:val="0"/>
            <w:vAlign w:val="top"/>
          </w:tcPr>
          <w:p w14:paraId="007FA5EE">
            <w:pPr>
              <w:pStyle w:val="19"/>
              <w:rPr>
                <w:rFonts w:hint="eastAsia" w:asciiTheme="minorEastAsia" w:hAnsiTheme="minorEastAsia" w:eastAsiaTheme="minorEastAsia" w:cstheme="minorEastAsia"/>
                <w:b/>
                <w:color w:val="auto"/>
                <w:sz w:val="20"/>
                <w:highlight w:val="none"/>
              </w:rPr>
            </w:pPr>
          </w:p>
          <w:p w14:paraId="22A65435">
            <w:pPr>
              <w:pStyle w:val="19"/>
              <w:spacing w:before="163" w:line="242" w:lineRule="auto"/>
              <w:ind w:left="357" w:right="337"/>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项目总工</w:t>
            </w:r>
          </w:p>
        </w:tc>
        <w:tc>
          <w:tcPr>
            <w:tcW w:w="1134" w:type="dxa"/>
            <w:vMerge w:val="restart"/>
            <w:noWrap w:val="0"/>
            <w:vAlign w:val="top"/>
          </w:tcPr>
          <w:p w14:paraId="68746D8C">
            <w:pPr>
              <w:pStyle w:val="19"/>
              <w:rPr>
                <w:rFonts w:hint="eastAsia" w:asciiTheme="minorEastAsia" w:hAnsiTheme="minorEastAsia" w:eastAsiaTheme="minorEastAsia" w:cstheme="minorEastAsia"/>
                <w:color w:val="auto"/>
                <w:sz w:val="20"/>
                <w:highlight w:val="none"/>
              </w:rPr>
            </w:pPr>
          </w:p>
        </w:tc>
        <w:tc>
          <w:tcPr>
            <w:tcW w:w="850" w:type="dxa"/>
            <w:noWrap w:val="0"/>
            <w:vAlign w:val="top"/>
          </w:tcPr>
          <w:p w14:paraId="13057B45">
            <w:pPr>
              <w:pStyle w:val="19"/>
              <w:spacing w:before="91"/>
              <w:ind w:left="38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1</w:t>
            </w:r>
          </w:p>
        </w:tc>
        <w:tc>
          <w:tcPr>
            <w:tcW w:w="5438" w:type="dxa"/>
            <w:noWrap w:val="0"/>
            <w:vAlign w:val="top"/>
          </w:tcPr>
          <w:p w14:paraId="5B0DB2D5">
            <w:pPr>
              <w:pStyle w:val="19"/>
              <w:rPr>
                <w:rFonts w:hint="eastAsia" w:asciiTheme="minorEastAsia" w:hAnsiTheme="minorEastAsia" w:eastAsiaTheme="minorEastAsia" w:cstheme="minorEastAsia"/>
                <w:color w:val="auto"/>
                <w:sz w:val="20"/>
                <w:highlight w:val="none"/>
              </w:rPr>
            </w:pPr>
          </w:p>
        </w:tc>
      </w:tr>
      <w:tr w14:paraId="768A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1533394D">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24945FAD">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1283AA80">
            <w:pPr>
              <w:pStyle w:val="19"/>
              <w:spacing w:before="90"/>
              <w:ind w:left="38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2</w:t>
            </w:r>
          </w:p>
        </w:tc>
        <w:tc>
          <w:tcPr>
            <w:tcW w:w="5438" w:type="dxa"/>
            <w:noWrap w:val="0"/>
            <w:vAlign w:val="top"/>
          </w:tcPr>
          <w:p w14:paraId="219E5F90">
            <w:pPr>
              <w:pStyle w:val="19"/>
              <w:rPr>
                <w:rFonts w:hint="eastAsia" w:asciiTheme="minorEastAsia" w:hAnsiTheme="minorEastAsia" w:eastAsiaTheme="minorEastAsia" w:cstheme="minorEastAsia"/>
                <w:color w:val="auto"/>
                <w:sz w:val="20"/>
                <w:highlight w:val="none"/>
              </w:rPr>
            </w:pPr>
          </w:p>
        </w:tc>
      </w:tr>
      <w:tr w14:paraId="7057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00E28C37">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0348FE0E">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5120660A">
            <w:pPr>
              <w:pStyle w:val="19"/>
              <w:spacing w:before="91"/>
              <w:ind w:left="33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w w:val="99"/>
                <w:sz w:val="21"/>
                <w:highlight w:val="none"/>
              </w:rPr>
              <w:t>…</w:t>
            </w:r>
          </w:p>
        </w:tc>
        <w:tc>
          <w:tcPr>
            <w:tcW w:w="5438" w:type="dxa"/>
            <w:noWrap w:val="0"/>
            <w:vAlign w:val="top"/>
          </w:tcPr>
          <w:p w14:paraId="0B6EAED3">
            <w:pPr>
              <w:pStyle w:val="19"/>
              <w:rPr>
                <w:rFonts w:hint="eastAsia" w:asciiTheme="minorEastAsia" w:hAnsiTheme="minorEastAsia" w:eastAsiaTheme="minorEastAsia" w:cstheme="minorEastAsia"/>
                <w:color w:val="auto"/>
                <w:sz w:val="20"/>
                <w:highlight w:val="none"/>
              </w:rPr>
            </w:pPr>
          </w:p>
        </w:tc>
      </w:tr>
      <w:tr w14:paraId="63CF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5A76D4C5">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344FB9AD">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5FB6517F">
            <w:pPr>
              <w:pStyle w:val="19"/>
              <w:spacing w:before="90"/>
              <w:ind w:left="380" w:leftChars="0"/>
              <w:rPr>
                <w:rFonts w:hint="eastAsia" w:asciiTheme="minorEastAsia" w:hAnsiTheme="minorEastAsia" w:eastAsiaTheme="minorEastAsia" w:cstheme="minorEastAsia"/>
                <w:color w:val="auto"/>
                <w:w w:val="99"/>
                <w:sz w:val="21"/>
                <w:highlight w:val="none"/>
              </w:rPr>
            </w:pPr>
            <w:r>
              <w:rPr>
                <w:rFonts w:hint="eastAsia" w:asciiTheme="minorEastAsia" w:hAnsiTheme="minorEastAsia" w:eastAsiaTheme="minorEastAsia" w:cstheme="minorEastAsia"/>
                <w:color w:val="auto"/>
                <w:w w:val="99"/>
                <w:sz w:val="21"/>
                <w:highlight w:val="none"/>
              </w:rPr>
              <w:t>2</w:t>
            </w:r>
          </w:p>
        </w:tc>
        <w:tc>
          <w:tcPr>
            <w:tcW w:w="5438" w:type="dxa"/>
            <w:noWrap w:val="0"/>
            <w:vAlign w:val="top"/>
          </w:tcPr>
          <w:p w14:paraId="7953187D">
            <w:pPr>
              <w:pStyle w:val="19"/>
              <w:rPr>
                <w:rFonts w:hint="eastAsia" w:asciiTheme="minorEastAsia" w:hAnsiTheme="minorEastAsia" w:eastAsiaTheme="minorEastAsia" w:cstheme="minorEastAsia"/>
                <w:color w:val="auto"/>
                <w:sz w:val="20"/>
                <w:highlight w:val="none"/>
              </w:rPr>
            </w:pPr>
          </w:p>
        </w:tc>
      </w:tr>
      <w:tr w14:paraId="656F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35" w:type="dxa"/>
            <w:vMerge w:val="continue"/>
            <w:noWrap w:val="0"/>
            <w:vAlign w:val="top"/>
          </w:tcPr>
          <w:p w14:paraId="225587B4">
            <w:pPr>
              <w:rPr>
                <w:rFonts w:hint="eastAsia" w:asciiTheme="minorEastAsia" w:hAnsiTheme="minorEastAsia" w:eastAsiaTheme="minorEastAsia" w:cstheme="minorEastAsia"/>
                <w:color w:val="auto"/>
                <w:sz w:val="2"/>
                <w:szCs w:val="2"/>
                <w:highlight w:val="none"/>
              </w:rPr>
            </w:pPr>
          </w:p>
        </w:tc>
        <w:tc>
          <w:tcPr>
            <w:tcW w:w="1134" w:type="dxa"/>
            <w:vMerge w:val="continue"/>
            <w:noWrap w:val="0"/>
            <w:vAlign w:val="top"/>
          </w:tcPr>
          <w:p w14:paraId="5E27C92B">
            <w:pPr>
              <w:rPr>
                <w:rFonts w:hint="eastAsia" w:asciiTheme="minorEastAsia" w:hAnsiTheme="minorEastAsia" w:eastAsiaTheme="minorEastAsia" w:cstheme="minorEastAsia"/>
                <w:color w:val="auto"/>
                <w:sz w:val="2"/>
                <w:szCs w:val="2"/>
                <w:highlight w:val="none"/>
              </w:rPr>
            </w:pPr>
          </w:p>
        </w:tc>
        <w:tc>
          <w:tcPr>
            <w:tcW w:w="850" w:type="dxa"/>
            <w:noWrap w:val="0"/>
            <w:vAlign w:val="top"/>
          </w:tcPr>
          <w:p w14:paraId="61016CE1">
            <w:pPr>
              <w:pStyle w:val="19"/>
              <w:spacing w:before="91"/>
              <w:ind w:left="330" w:leftChars="0"/>
              <w:rPr>
                <w:rFonts w:hint="eastAsia" w:asciiTheme="minorEastAsia" w:hAnsiTheme="minorEastAsia" w:eastAsiaTheme="minorEastAsia" w:cstheme="minorEastAsia"/>
                <w:color w:val="auto"/>
                <w:w w:val="99"/>
                <w:sz w:val="21"/>
                <w:highlight w:val="none"/>
              </w:rPr>
            </w:pPr>
            <w:r>
              <w:rPr>
                <w:rFonts w:hint="eastAsia" w:asciiTheme="minorEastAsia" w:hAnsiTheme="minorEastAsia" w:eastAsiaTheme="minorEastAsia" w:cstheme="minorEastAsia"/>
                <w:color w:val="auto"/>
                <w:w w:val="99"/>
                <w:sz w:val="21"/>
                <w:highlight w:val="none"/>
              </w:rPr>
              <w:t>…</w:t>
            </w:r>
          </w:p>
        </w:tc>
        <w:tc>
          <w:tcPr>
            <w:tcW w:w="5438" w:type="dxa"/>
            <w:noWrap w:val="0"/>
            <w:vAlign w:val="top"/>
          </w:tcPr>
          <w:p w14:paraId="12553F53">
            <w:pPr>
              <w:pStyle w:val="19"/>
              <w:rPr>
                <w:rFonts w:hint="eastAsia" w:asciiTheme="minorEastAsia" w:hAnsiTheme="minorEastAsia" w:eastAsiaTheme="minorEastAsia" w:cstheme="minorEastAsia"/>
                <w:color w:val="auto"/>
                <w:sz w:val="20"/>
                <w:highlight w:val="none"/>
              </w:rPr>
            </w:pPr>
          </w:p>
        </w:tc>
      </w:tr>
    </w:tbl>
    <w:p w14:paraId="4DE49D4D">
      <w:pPr>
        <w:pStyle w:val="3"/>
        <w:tabs>
          <w:tab w:val="left" w:pos="11340"/>
        </w:tabs>
        <w:spacing w:line="364" w:lineRule="auto"/>
        <w:ind w:left="1060" w:leftChars="0" w:right="1405" w:rightChars="0" w:firstLine="0" w:firstLineChars="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注：1、请各投标人将投标时申报的项目经理和项目总工的资格证书信息及业绩信息汇总至本表，如被推荐为中标候选人将进行公示相关人员信息。</w:t>
      </w:r>
    </w:p>
    <w:p w14:paraId="3446A7F5">
      <w:pPr>
        <w:pStyle w:val="3"/>
        <w:tabs>
          <w:tab w:val="left" w:pos="11340"/>
        </w:tabs>
        <w:spacing w:line="364" w:lineRule="auto"/>
        <w:ind w:left="1060" w:leftChars="0" w:right="1405" w:rightChars="0" w:firstLine="0" w:firstLineChars="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2、请各投标人在填好本表后打印并编入投标文件中，同时将本表电子版（word或excel版）存入投标文件的电子文件中，随投标文件一并交于招标人。</w:t>
      </w:r>
    </w:p>
    <w:p w14:paraId="67166A22">
      <w:pPr>
        <w:pStyle w:val="3"/>
        <w:tabs>
          <w:tab w:val="left" w:pos="11340"/>
        </w:tabs>
        <w:spacing w:line="364" w:lineRule="auto"/>
        <w:ind w:left="1060" w:leftChars="0" w:right="1405" w:rightChars="0" w:firstLine="0" w:firstLineChars="0"/>
        <w:jc w:val="both"/>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3、本表内容仅用于信息公开，不作为投标文件评审内容。</w:t>
      </w:r>
    </w:p>
    <w:p w14:paraId="44A94288">
      <w:pPr>
        <w:spacing w:line="220" w:lineRule="auto"/>
        <w:rPr>
          <w:rFonts w:ascii="宋体" w:hAnsi="宋体" w:eastAsia="宋体" w:cs="宋体"/>
          <w:color w:val="auto"/>
          <w:sz w:val="24"/>
          <w:szCs w:val="24"/>
          <w:highlight w:val="none"/>
        </w:rPr>
        <w:sectPr>
          <w:headerReference r:id="rId218" w:type="default"/>
          <w:footerReference r:id="rId219" w:type="default"/>
          <w:pgSz w:w="11905" w:h="16840"/>
          <w:pgMar w:top="1182" w:right="0" w:bottom="1171" w:left="0" w:header="849" w:footer="937" w:gutter="0"/>
          <w:pgNumType w:fmt="decimal"/>
          <w:cols w:space="720" w:num="1"/>
        </w:sectPr>
      </w:pPr>
    </w:p>
    <w:p w14:paraId="1410421D">
      <w:pPr>
        <w:pStyle w:val="3"/>
        <w:spacing w:line="324" w:lineRule="auto"/>
        <w:rPr>
          <w:color w:val="auto"/>
          <w:highlight w:val="none"/>
        </w:rPr>
      </w:pPr>
    </w:p>
    <w:p w14:paraId="11EA32A7">
      <w:pPr>
        <w:pStyle w:val="3"/>
        <w:spacing w:line="325" w:lineRule="auto"/>
        <w:rPr>
          <w:color w:val="auto"/>
          <w:highlight w:val="none"/>
        </w:rPr>
      </w:pPr>
    </w:p>
    <w:p w14:paraId="7AEBC845">
      <w:pPr>
        <w:spacing w:before="140" w:line="224" w:lineRule="auto"/>
        <w:ind w:left="5089"/>
        <w:rPr>
          <w:rFonts w:ascii="宋体" w:hAnsi="宋体" w:eastAsia="宋体" w:cs="宋体"/>
          <w:color w:val="auto"/>
          <w:sz w:val="43"/>
          <w:szCs w:val="43"/>
          <w:highlight w:val="none"/>
        </w:rPr>
      </w:pPr>
      <w:r>
        <w:rPr>
          <w:rFonts w:ascii="宋体" w:hAnsi="宋体" w:eastAsia="宋体" w:cs="宋体"/>
          <w:color w:val="auto"/>
          <w:spacing w:val="-10"/>
          <w:sz w:val="43"/>
          <w:szCs w:val="43"/>
          <w:highlight w:val="none"/>
        </w:rPr>
        <w:t>广</w:t>
      </w:r>
      <w:r>
        <w:rPr>
          <w:rFonts w:ascii="宋体" w:hAnsi="宋体" w:eastAsia="宋体" w:cs="宋体"/>
          <w:color w:val="auto"/>
          <w:spacing w:val="37"/>
          <w:sz w:val="43"/>
          <w:szCs w:val="43"/>
          <w:highlight w:val="none"/>
        </w:rPr>
        <w:t xml:space="preserve"> </w:t>
      </w:r>
      <w:r>
        <w:rPr>
          <w:rFonts w:ascii="宋体" w:hAnsi="宋体" w:eastAsia="宋体" w:cs="宋体"/>
          <w:color w:val="auto"/>
          <w:spacing w:val="-10"/>
          <w:sz w:val="43"/>
          <w:szCs w:val="43"/>
          <w:highlight w:val="none"/>
        </w:rPr>
        <w:t>东</w:t>
      </w:r>
      <w:r>
        <w:rPr>
          <w:rFonts w:ascii="宋体" w:hAnsi="宋体" w:eastAsia="宋体" w:cs="宋体"/>
          <w:color w:val="auto"/>
          <w:spacing w:val="29"/>
          <w:sz w:val="43"/>
          <w:szCs w:val="43"/>
          <w:highlight w:val="none"/>
        </w:rPr>
        <w:t xml:space="preserve"> </w:t>
      </w:r>
      <w:r>
        <w:rPr>
          <w:rFonts w:ascii="宋体" w:hAnsi="宋体" w:eastAsia="宋体" w:cs="宋体"/>
          <w:color w:val="auto"/>
          <w:spacing w:val="-10"/>
          <w:sz w:val="43"/>
          <w:szCs w:val="43"/>
          <w:highlight w:val="none"/>
        </w:rPr>
        <w:t>省</w:t>
      </w:r>
    </w:p>
    <w:p w14:paraId="7A178D60">
      <w:pPr>
        <w:pStyle w:val="3"/>
        <w:spacing w:line="291" w:lineRule="auto"/>
        <w:rPr>
          <w:color w:val="auto"/>
          <w:highlight w:val="none"/>
        </w:rPr>
      </w:pPr>
    </w:p>
    <w:p w14:paraId="739582C1">
      <w:pPr>
        <w:pStyle w:val="3"/>
        <w:spacing w:line="291" w:lineRule="auto"/>
        <w:rPr>
          <w:color w:val="auto"/>
          <w:highlight w:val="none"/>
        </w:rPr>
      </w:pPr>
    </w:p>
    <w:p w14:paraId="67FA666C">
      <w:pPr>
        <w:tabs>
          <w:tab w:val="left" w:pos="3891"/>
        </w:tabs>
        <w:spacing w:before="140" w:line="224" w:lineRule="auto"/>
        <w:ind w:left="1661"/>
        <w:rPr>
          <w:rFonts w:ascii="宋体" w:hAnsi="宋体" w:eastAsia="宋体" w:cs="宋体"/>
          <w:color w:val="auto"/>
          <w:sz w:val="43"/>
          <w:szCs w:val="43"/>
          <w:highlight w:val="none"/>
        </w:rPr>
      </w:pPr>
      <w:r>
        <w:rPr>
          <w:rFonts w:ascii="宋体" w:hAnsi="宋体" w:eastAsia="宋体" w:cs="宋体"/>
          <w:color w:val="auto"/>
          <w:sz w:val="43"/>
          <w:szCs w:val="43"/>
          <w:highlight w:val="none"/>
          <w:u w:val="single" w:color="auto"/>
        </w:rPr>
        <w:tab/>
      </w:r>
      <w:r>
        <w:rPr>
          <w:rFonts w:ascii="宋体" w:hAnsi="宋体" w:eastAsia="宋体" w:cs="宋体"/>
          <w:color w:val="auto"/>
          <w:spacing w:val="-15"/>
          <w:sz w:val="43"/>
          <w:szCs w:val="43"/>
          <w:highlight w:val="none"/>
          <w:u w:val="single" w:color="auto"/>
        </w:rPr>
        <w:t>（项目名称</w:t>
      </w:r>
      <w:r>
        <w:rPr>
          <w:rFonts w:ascii="宋体" w:hAnsi="宋体" w:eastAsia="宋体" w:cs="宋体"/>
          <w:color w:val="auto"/>
          <w:spacing w:val="-17"/>
          <w:sz w:val="43"/>
          <w:szCs w:val="43"/>
          <w:highlight w:val="none"/>
          <w:u w:val="single" w:color="auto"/>
        </w:rPr>
        <w:t>）</w:t>
      </w:r>
      <w:r>
        <w:rPr>
          <w:rFonts w:ascii="宋体" w:hAnsi="宋体" w:eastAsia="宋体" w:cs="宋体"/>
          <w:color w:val="auto"/>
          <w:spacing w:val="8"/>
          <w:sz w:val="43"/>
          <w:szCs w:val="43"/>
          <w:highlight w:val="none"/>
          <w:u w:val="single" w:color="auto"/>
        </w:rPr>
        <w:t xml:space="preserve">    </w:t>
      </w:r>
      <w:r>
        <w:rPr>
          <w:rFonts w:ascii="宋体" w:hAnsi="宋体" w:eastAsia="宋体" w:cs="宋体"/>
          <w:color w:val="auto"/>
          <w:spacing w:val="2"/>
          <w:sz w:val="43"/>
          <w:szCs w:val="43"/>
          <w:highlight w:val="none"/>
          <w:u w:val="single" w:color="auto"/>
        </w:rPr>
        <w:t xml:space="preserve"> </w:t>
      </w:r>
      <w:r>
        <w:rPr>
          <w:rFonts w:ascii="宋体" w:hAnsi="宋体" w:eastAsia="宋体" w:cs="宋体"/>
          <w:color w:val="auto"/>
          <w:spacing w:val="5"/>
          <w:sz w:val="43"/>
          <w:szCs w:val="43"/>
          <w:highlight w:val="none"/>
        </w:rPr>
        <w:t>施工招标</w:t>
      </w:r>
    </w:p>
    <w:p w14:paraId="73F35824">
      <w:pPr>
        <w:pStyle w:val="3"/>
        <w:spacing w:line="271" w:lineRule="auto"/>
        <w:rPr>
          <w:color w:val="auto"/>
          <w:highlight w:val="none"/>
        </w:rPr>
      </w:pPr>
    </w:p>
    <w:p w14:paraId="55DAB451">
      <w:pPr>
        <w:pStyle w:val="3"/>
        <w:spacing w:line="271" w:lineRule="auto"/>
        <w:rPr>
          <w:color w:val="auto"/>
          <w:highlight w:val="none"/>
        </w:rPr>
      </w:pPr>
    </w:p>
    <w:p w14:paraId="3D085D6A">
      <w:pPr>
        <w:pStyle w:val="3"/>
        <w:spacing w:line="271" w:lineRule="auto"/>
        <w:rPr>
          <w:color w:val="auto"/>
          <w:highlight w:val="none"/>
        </w:rPr>
      </w:pPr>
    </w:p>
    <w:p w14:paraId="599E8A58">
      <w:pPr>
        <w:pStyle w:val="3"/>
        <w:spacing w:line="271" w:lineRule="auto"/>
        <w:rPr>
          <w:color w:val="auto"/>
          <w:highlight w:val="none"/>
        </w:rPr>
      </w:pPr>
    </w:p>
    <w:p w14:paraId="6A3D5892">
      <w:pPr>
        <w:pStyle w:val="3"/>
        <w:spacing w:line="271" w:lineRule="auto"/>
        <w:rPr>
          <w:color w:val="auto"/>
          <w:highlight w:val="none"/>
        </w:rPr>
      </w:pPr>
    </w:p>
    <w:p w14:paraId="36629B32">
      <w:pPr>
        <w:pStyle w:val="3"/>
        <w:spacing w:line="271" w:lineRule="auto"/>
        <w:rPr>
          <w:color w:val="auto"/>
          <w:highlight w:val="none"/>
        </w:rPr>
      </w:pPr>
    </w:p>
    <w:p w14:paraId="26C65159">
      <w:pPr>
        <w:pStyle w:val="3"/>
        <w:spacing w:line="271" w:lineRule="auto"/>
        <w:rPr>
          <w:color w:val="auto"/>
          <w:highlight w:val="none"/>
        </w:rPr>
      </w:pPr>
    </w:p>
    <w:p w14:paraId="67D88C6A">
      <w:pPr>
        <w:spacing w:before="234" w:line="220" w:lineRule="auto"/>
        <w:ind w:left="4545"/>
        <w:rPr>
          <w:rFonts w:ascii="宋体" w:hAnsi="宋体" w:eastAsia="宋体" w:cs="宋体"/>
          <w:color w:val="auto"/>
          <w:sz w:val="72"/>
          <w:szCs w:val="72"/>
          <w:highlight w:val="none"/>
        </w:rPr>
      </w:pPr>
      <w:r>
        <w:rPr>
          <w:rFonts w:ascii="宋体" w:hAnsi="宋体" w:eastAsia="宋体" w:cs="宋体"/>
          <w:b/>
          <w:bCs/>
          <w:color w:val="auto"/>
          <w:spacing w:val="-14"/>
          <w:sz w:val="72"/>
          <w:szCs w:val="72"/>
          <w:highlight w:val="none"/>
        </w:rPr>
        <w:t>投标文件</w:t>
      </w:r>
    </w:p>
    <w:p w14:paraId="78C1E57A">
      <w:pPr>
        <w:spacing w:before="377" w:line="222" w:lineRule="auto"/>
        <w:ind w:left="3346"/>
        <w:rPr>
          <w:rFonts w:ascii="宋体" w:hAnsi="宋体" w:eastAsia="宋体" w:cs="宋体"/>
          <w:color w:val="auto"/>
          <w:sz w:val="43"/>
          <w:szCs w:val="43"/>
          <w:highlight w:val="none"/>
        </w:rPr>
      </w:pPr>
      <w:r>
        <w:rPr>
          <w:rFonts w:ascii="宋体" w:hAnsi="宋体" w:eastAsia="宋体" w:cs="宋体"/>
          <w:color w:val="auto"/>
          <w:spacing w:val="3"/>
          <w:sz w:val="43"/>
          <w:szCs w:val="43"/>
          <w:highlight w:val="none"/>
        </w:rPr>
        <w:t>（第二个信封：报价文件）</w:t>
      </w:r>
    </w:p>
    <w:p w14:paraId="14A28488">
      <w:pPr>
        <w:pStyle w:val="3"/>
        <w:spacing w:line="244" w:lineRule="auto"/>
        <w:rPr>
          <w:color w:val="auto"/>
          <w:highlight w:val="none"/>
        </w:rPr>
      </w:pPr>
    </w:p>
    <w:p w14:paraId="5927C31B">
      <w:pPr>
        <w:pStyle w:val="3"/>
        <w:spacing w:line="244" w:lineRule="auto"/>
        <w:rPr>
          <w:color w:val="auto"/>
          <w:highlight w:val="none"/>
        </w:rPr>
      </w:pPr>
    </w:p>
    <w:p w14:paraId="43BA62AC">
      <w:pPr>
        <w:pStyle w:val="3"/>
        <w:spacing w:line="244" w:lineRule="auto"/>
        <w:rPr>
          <w:color w:val="auto"/>
          <w:highlight w:val="none"/>
        </w:rPr>
      </w:pPr>
    </w:p>
    <w:p w14:paraId="2F8DE51C">
      <w:pPr>
        <w:pStyle w:val="3"/>
        <w:spacing w:line="244" w:lineRule="auto"/>
        <w:rPr>
          <w:color w:val="auto"/>
          <w:highlight w:val="none"/>
        </w:rPr>
      </w:pPr>
    </w:p>
    <w:p w14:paraId="42865E83">
      <w:pPr>
        <w:pStyle w:val="3"/>
        <w:spacing w:line="244" w:lineRule="auto"/>
        <w:rPr>
          <w:color w:val="auto"/>
          <w:highlight w:val="none"/>
        </w:rPr>
      </w:pPr>
    </w:p>
    <w:p w14:paraId="76B3FDD8">
      <w:pPr>
        <w:pStyle w:val="3"/>
        <w:spacing w:line="244" w:lineRule="auto"/>
        <w:rPr>
          <w:color w:val="auto"/>
          <w:highlight w:val="none"/>
        </w:rPr>
      </w:pPr>
    </w:p>
    <w:p w14:paraId="40AB74DD">
      <w:pPr>
        <w:pStyle w:val="3"/>
        <w:spacing w:line="244" w:lineRule="auto"/>
        <w:rPr>
          <w:color w:val="auto"/>
          <w:highlight w:val="none"/>
        </w:rPr>
      </w:pPr>
    </w:p>
    <w:p w14:paraId="58E58C08">
      <w:pPr>
        <w:pStyle w:val="3"/>
        <w:spacing w:line="244" w:lineRule="auto"/>
        <w:rPr>
          <w:color w:val="auto"/>
          <w:highlight w:val="none"/>
        </w:rPr>
      </w:pPr>
    </w:p>
    <w:p w14:paraId="568B2D3A">
      <w:pPr>
        <w:pStyle w:val="3"/>
        <w:spacing w:line="244" w:lineRule="auto"/>
        <w:rPr>
          <w:color w:val="auto"/>
          <w:highlight w:val="none"/>
        </w:rPr>
      </w:pPr>
    </w:p>
    <w:p w14:paraId="63105C41">
      <w:pPr>
        <w:pStyle w:val="3"/>
        <w:spacing w:line="244" w:lineRule="auto"/>
        <w:rPr>
          <w:color w:val="auto"/>
          <w:highlight w:val="none"/>
        </w:rPr>
      </w:pPr>
    </w:p>
    <w:p w14:paraId="23C83584">
      <w:pPr>
        <w:pStyle w:val="3"/>
        <w:spacing w:line="244" w:lineRule="auto"/>
        <w:rPr>
          <w:color w:val="auto"/>
          <w:highlight w:val="none"/>
        </w:rPr>
      </w:pPr>
    </w:p>
    <w:p w14:paraId="486565B7">
      <w:pPr>
        <w:pStyle w:val="3"/>
        <w:spacing w:line="244" w:lineRule="auto"/>
        <w:rPr>
          <w:color w:val="auto"/>
          <w:highlight w:val="none"/>
        </w:rPr>
      </w:pPr>
    </w:p>
    <w:p w14:paraId="0EA52782">
      <w:pPr>
        <w:pStyle w:val="3"/>
        <w:spacing w:line="244" w:lineRule="auto"/>
        <w:rPr>
          <w:color w:val="auto"/>
          <w:highlight w:val="none"/>
        </w:rPr>
      </w:pPr>
    </w:p>
    <w:p w14:paraId="5619AC43">
      <w:pPr>
        <w:pStyle w:val="3"/>
        <w:spacing w:line="244" w:lineRule="auto"/>
        <w:rPr>
          <w:color w:val="auto"/>
          <w:highlight w:val="none"/>
        </w:rPr>
      </w:pPr>
    </w:p>
    <w:p w14:paraId="28E7BFC7">
      <w:pPr>
        <w:pStyle w:val="3"/>
        <w:spacing w:line="244" w:lineRule="auto"/>
        <w:rPr>
          <w:color w:val="auto"/>
          <w:highlight w:val="none"/>
        </w:rPr>
      </w:pPr>
    </w:p>
    <w:p w14:paraId="3AA0F690">
      <w:pPr>
        <w:pStyle w:val="3"/>
        <w:spacing w:line="244" w:lineRule="auto"/>
        <w:rPr>
          <w:color w:val="auto"/>
          <w:highlight w:val="none"/>
        </w:rPr>
      </w:pPr>
    </w:p>
    <w:p w14:paraId="3E54BD76">
      <w:pPr>
        <w:pStyle w:val="3"/>
        <w:spacing w:line="244" w:lineRule="auto"/>
        <w:rPr>
          <w:color w:val="auto"/>
          <w:highlight w:val="none"/>
        </w:rPr>
      </w:pPr>
    </w:p>
    <w:p w14:paraId="324E1E09">
      <w:pPr>
        <w:pStyle w:val="3"/>
        <w:spacing w:line="245" w:lineRule="auto"/>
        <w:rPr>
          <w:color w:val="auto"/>
          <w:highlight w:val="none"/>
        </w:rPr>
      </w:pPr>
    </w:p>
    <w:p w14:paraId="0D3C8FF8">
      <w:pPr>
        <w:pStyle w:val="3"/>
        <w:spacing w:line="245" w:lineRule="auto"/>
        <w:rPr>
          <w:color w:val="auto"/>
          <w:highlight w:val="none"/>
        </w:rPr>
      </w:pPr>
    </w:p>
    <w:p w14:paraId="5F23C2E8">
      <w:pPr>
        <w:pStyle w:val="3"/>
        <w:spacing w:line="245" w:lineRule="auto"/>
        <w:rPr>
          <w:color w:val="auto"/>
          <w:highlight w:val="none"/>
        </w:rPr>
      </w:pPr>
    </w:p>
    <w:p w14:paraId="6D90DBAD">
      <w:pPr>
        <w:spacing w:before="98" w:line="219" w:lineRule="auto"/>
        <w:ind w:left="2817"/>
        <w:rPr>
          <w:rFonts w:ascii="宋体" w:hAnsi="宋体" w:eastAsia="宋体" w:cs="宋体"/>
          <w:color w:val="auto"/>
          <w:sz w:val="30"/>
          <w:szCs w:val="30"/>
          <w:highlight w:val="none"/>
        </w:rPr>
      </w:pPr>
      <w:r>
        <w:rPr>
          <w:rFonts w:ascii="宋体" w:hAnsi="宋体" w:eastAsia="宋体" w:cs="宋体"/>
          <w:color w:val="auto"/>
          <w:spacing w:val="-4"/>
          <w:sz w:val="30"/>
          <w:szCs w:val="30"/>
          <w:highlight w:val="none"/>
        </w:rPr>
        <w:t>投标人</w:t>
      </w:r>
      <w:r>
        <w:rPr>
          <w:rFonts w:ascii="宋体" w:hAnsi="宋体" w:eastAsia="宋体" w:cs="宋体"/>
          <w:color w:val="auto"/>
          <w:spacing w:val="-1"/>
          <w:sz w:val="30"/>
          <w:szCs w:val="30"/>
          <w:highlight w:val="none"/>
        </w:rPr>
        <w:t>：</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1"/>
          <w:sz w:val="30"/>
          <w:szCs w:val="30"/>
          <w:highlight w:val="none"/>
        </w:rPr>
        <w:t>（</w:t>
      </w:r>
      <w:r>
        <w:rPr>
          <w:rFonts w:ascii="宋体" w:hAnsi="宋体" w:eastAsia="宋体" w:cs="宋体"/>
          <w:color w:val="auto"/>
          <w:spacing w:val="-4"/>
          <w:sz w:val="30"/>
          <w:szCs w:val="30"/>
          <w:highlight w:val="none"/>
        </w:rPr>
        <w:t>盖单位章）</w:t>
      </w:r>
    </w:p>
    <w:p w14:paraId="391F981F">
      <w:pPr>
        <w:tabs>
          <w:tab w:val="left" w:pos="5202"/>
        </w:tabs>
        <w:spacing w:before="268" w:line="220" w:lineRule="auto"/>
        <w:ind w:left="4602"/>
        <w:rPr>
          <w:rFonts w:ascii="宋体" w:hAnsi="宋体" w:eastAsia="宋体" w:cs="宋体"/>
          <w:color w:val="auto"/>
          <w:sz w:val="30"/>
          <w:szCs w:val="30"/>
          <w:highlight w:val="none"/>
        </w:rPr>
      </w:pPr>
      <w:r>
        <w:rPr>
          <w:rFonts w:ascii="宋体" w:hAnsi="宋体" w:eastAsia="宋体" w:cs="宋体"/>
          <w:color w:val="auto"/>
          <w:sz w:val="30"/>
          <w:szCs w:val="30"/>
          <w:highlight w:val="none"/>
          <w:u w:val="single" w:color="auto"/>
        </w:rPr>
        <w:tab/>
      </w:r>
      <w:r>
        <w:rPr>
          <w:rFonts w:ascii="宋体" w:hAnsi="宋体" w:eastAsia="宋体" w:cs="宋体"/>
          <w:color w:val="auto"/>
          <w:spacing w:val="-137"/>
          <w:sz w:val="30"/>
          <w:szCs w:val="30"/>
          <w:highlight w:val="none"/>
        </w:rPr>
        <w:t xml:space="preserve"> </w:t>
      </w:r>
      <w:r>
        <w:rPr>
          <w:rFonts w:ascii="宋体" w:hAnsi="宋体" w:eastAsia="宋体" w:cs="宋体"/>
          <w:color w:val="auto"/>
          <w:spacing w:val="-11"/>
          <w:sz w:val="30"/>
          <w:szCs w:val="30"/>
          <w:highlight w:val="none"/>
        </w:rPr>
        <w:t>年</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131"/>
          <w:sz w:val="30"/>
          <w:szCs w:val="30"/>
          <w:highlight w:val="none"/>
        </w:rPr>
        <w:t xml:space="preserve"> </w:t>
      </w:r>
      <w:r>
        <w:rPr>
          <w:rFonts w:ascii="宋体" w:hAnsi="宋体" w:eastAsia="宋体" w:cs="宋体"/>
          <w:color w:val="auto"/>
          <w:spacing w:val="-11"/>
          <w:sz w:val="30"/>
          <w:szCs w:val="30"/>
          <w:highlight w:val="none"/>
        </w:rPr>
        <w:t>月</w:t>
      </w:r>
      <w:r>
        <w:rPr>
          <w:rFonts w:ascii="宋体" w:hAnsi="宋体" w:eastAsia="宋体" w:cs="宋体"/>
          <w:color w:val="auto"/>
          <w:sz w:val="30"/>
          <w:szCs w:val="30"/>
          <w:highlight w:val="none"/>
          <w:u w:val="single" w:color="auto"/>
        </w:rPr>
        <w:t xml:space="preserve">    </w:t>
      </w:r>
      <w:r>
        <w:rPr>
          <w:rFonts w:ascii="宋体" w:hAnsi="宋体" w:eastAsia="宋体" w:cs="宋体"/>
          <w:color w:val="auto"/>
          <w:spacing w:val="-87"/>
          <w:sz w:val="30"/>
          <w:szCs w:val="30"/>
          <w:highlight w:val="none"/>
        </w:rPr>
        <w:t xml:space="preserve"> </w:t>
      </w:r>
      <w:r>
        <w:rPr>
          <w:rFonts w:ascii="宋体" w:hAnsi="宋体" w:eastAsia="宋体" w:cs="宋体"/>
          <w:color w:val="auto"/>
          <w:spacing w:val="-11"/>
          <w:sz w:val="30"/>
          <w:szCs w:val="30"/>
          <w:highlight w:val="none"/>
        </w:rPr>
        <w:t>日</w:t>
      </w:r>
    </w:p>
    <w:p w14:paraId="2E13E539">
      <w:pPr>
        <w:spacing w:line="220" w:lineRule="auto"/>
        <w:rPr>
          <w:rFonts w:ascii="宋体" w:hAnsi="宋体" w:eastAsia="宋体" w:cs="宋体"/>
          <w:color w:val="auto"/>
          <w:sz w:val="30"/>
          <w:szCs w:val="30"/>
          <w:highlight w:val="none"/>
        </w:rPr>
        <w:sectPr>
          <w:headerReference r:id="rId220" w:type="default"/>
          <w:footerReference r:id="rId221" w:type="default"/>
          <w:pgSz w:w="11905" w:h="16840"/>
          <w:pgMar w:top="1182" w:right="0" w:bottom="1171" w:left="0" w:header="849" w:footer="937" w:gutter="0"/>
          <w:pgNumType w:fmt="decimal"/>
          <w:cols w:space="720" w:num="1"/>
        </w:sectPr>
      </w:pPr>
    </w:p>
    <w:p w14:paraId="68F6791B">
      <w:pPr>
        <w:pStyle w:val="3"/>
        <w:spacing w:line="283" w:lineRule="auto"/>
        <w:rPr>
          <w:color w:val="auto"/>
          <w:highlight w:val="none"/>
        </w:rPr>
      </w:pPr>
    </w:p>
    <w:p w14:paraId="5EC5ACED">
      <w:pPr>
        <w:spacing w:before="101" w:line="228" w:lineRule="auto"/>
        <w:ind w:left="5544"/>
        <w:rPr>
          <w:rFonts w:ascii="宋体" w:hAnsi="宋体" w:eastAsia="宋体" w:cs="宋体"/>
          <w:color w:val="auto"/>
          <w:sz w:val="31"/>
          <w:szCs w:val="31"/>
          <w:highlight w:val="none"/>
        </w:rPr>
      </w:pPr>
      <w:r>
        <w:rPr>
          <w:rFonts w:ascii="宋体" w:hAnsi="宋体" w:eastAsia="宋体" w:cs="宋体"/>
          <w:b/>
          <w:bCs/>
          <w:color w:val="auto"/>
          <w:spacing w:val="-36"/>
          <w:sz w:val="31"/>
          <w:szCs w:val="31"/>
          <w:highlight w:val="none"/>
        </w:rPr>
        <w:t>目</w:t>
      </w:r>
      <w:r>
        <w:rPr>
          <w:rFonts w:ascii="宋体" w:hAnsi="宋体" w:eastAsia="宋体" w:cs="宋体"/>
          <w:color w:val="auto"/>
          <w:spacing w:val="13"/>
          <w:sz w:val="31"/>
          <w:szCs w:val="31"/>
          <w:highlight w:val="none"/>
        </w:rPr>
        <w:t xml:space="preserve">  </w:t>
      </w:r>
      <w:r>
        <w:rPr>
          <w:rFonts w:ascii="宋体" w:hAnsi="宋体" w:eastAsia="宋体" w:cs="宋体"/>
          <w:b/>
          <w:bCs/>
          <w:color w:val="auto"/>
          <w:spacing w:val="-36"/>
          <w:sz w:val="31"/>
          <w:szCs w:val="31"/>
          <w:highlight w:val="none"/>
        </w:rPr>
        <w:t>录</w:t>
      </w:r>
    </w:p>
    <w:p w14:paraId="2A67AEAB">
      <w:pPr>
        <w:pStyle w:val="3"/>
        <w:rPr>
          <w:color w:val="auto"/>
          <w:highlight w:val="none"/>
        </w:rPr>
      </w:pPr>
    </w:p>
    <w:p w14:paraId="66F031C2">
      <w:pPr>
        <w:pStyle w:val="3"/>
        <w:spacing w:line="241" w:lineRule="auto"/>
        <w:rPr>
          <w:color w:val="auto"/>
          <w:highlight w:val="none"/>
        </w:rPr>
      </w:pPr>
    </w:p>
    <w:p w14:paraId="446F8127">
      <w:pPr>
        <w:spacing w:before="88" w:line="225" w:lineRule="auto"/>
        <w:ind w:left="1426"/>
        <w:rPr>
          <w:rFonts w:ascii="宋体" w:hAnsi="宋体" w:eastAsia="宋体" w:cs="宋体"/>
          <w:color w:val="auto"/>
          <w:sz w:val="27"/>
          <w:szCs w:val="27"/>
          <w:highlight w:val="none"/>
        </w:rPr>
      </w:pPr>
      <w:r>
        <w:rPr>
          <w:rFonts w:ascii="宋体" w:hAnsi="宋体" w:eastAsia="宋体" w:cs="宋体"/>
          <w:color w:val="auto"/>
          <w:spacing w:val="7"/>
          <w:sz w:val="27"/>
          <w:szCs w:val="27"/>
          <w:highlight w:val="none"/>
        </w:rPr>
        <w:t>第二个信封（报价文件）</w:t>
      </w:r>
    </w:p>
    <w:p w14:paraId="60223AE9">
      <w:pPr>
        <w:spacing w:before="294" w:line="225" w:lineRule="auto"/>
        <w:ind w:left="1429"/>
        <w:rPr>
          <w:rFonts w:ascii="宋体" w:hAnsi="宋体" w:eastAsia="宋体" w:cs="宋体"/>
          <w:color w:val="auto"/>
          <w:sz w:val="27"/>
          <w:szCs w:val="27"/>
          <w:highlight w:val="none"/>
        </w:rPr>
      </w:pPr>
      <w:r>
        <w:rPr>
          <w:rFonts w:ascii="宋体" w:hAnsi="宋体" w:eastAsia="宋体" w:cs="宋体"/>
          <w:strike/>
          <w:dstrike w:val="0"/>
          <w:color w:val="auto"/>
          <w:spacing w:val="6"/>
          <w:sz w:val="27"/>
          <w:szCs w:val="27"/>
          <w:highlight w:val="none"/>
        </w:rPr>
        <w:t>调价函格式（如有）</w:t>
      </w:r>
    </w:p>
    <w:p w14:paraId="71ECD4BF">
      <w:pPr>
        <w:spacing w:before="295" w:line="227" w:lineRule="auto"/>
        <w:ind w:left="1431"/>
        <w:rPr>
          <w:rFonts w:ascii="宋体" w:hAnsi="宋体" w:eastAsia="宋体" w:cs="宋体"/>
          <w:color w:val="auto"/>
          <w:sz w:val="27"/>
          <w:szCs w:val="27"/>
          <w:highlight w:val="none"/>
        </w:rPr>
      </w:pPr>
      <w:r>
        <w:rPr>
          <w:rFonts w:ascii="宋体" w:hAnsi="宋体" w:eastAsia="宋体" w:cs="宋体"/>
          <w:color w:val="auto"/>
          <w:spacing w:val="1"/>
          <w:sz w:val="27"/>
          <w:szCs w:val="27"/>
          <w:highlight w:val="none"/>
        </w:rPr>
        <w:t>一、投标函</w:t>
      </w:r>
    </w:p>
    <w:p w14:paraId="4C76E72A">
      <w:pPr>
        <w:spacing w:before="292" w:line="225" w:lineRule="auto"/>
        <w:ind w:left="1431"/>
        <w:rPr>
          <w:rFonts w:ascii="宋体" w:hAnsi="宋体" w:eastAsia="宋体" w:cs="宋体"/>
          <w:color w:val="auto"/>
          <w:sz w:val="27"/>
          <w:szCs w:val="27"/>
          <w:highlight w:val="none"/>
        </w:rPr>
      </w:pPr>
      <w:r>
        <w:rPr>
          <w:rFonts w:ascii="宋体" w:hAnsi="宋体" w:eastAsia="宋体" w:cs="宋体"/>
          <w:color w:val="auto"/>
          <w:spacing w:val="8"/>
          <w:sz w:val="27"/>
          <w:szCs w:val="27"/>
          <w:highlight w:val="none"/>
        </w:rPr>
        <w:t>二、已标价工程量清单</w:t>
      </w:r>
    </w:p>
    <w:p w14:paraId="10B016B8">
      <w:pPr>
        <w:spacing w:line="225" w:lineRule="auto"/>
        <w:rPr>
          <w:rFonts w:ascii="宋体" w:hAnsi="宋体" w:eastAsia="宋体" w:cs="宋体"/>
          <w:color w:val="auto"/>
          <w:sz w:val="27"/>
          <w:szCs w:val="27"/>
          <w:highlight w:val="none"/>
        </w:rPr>
        <w:sectPr>
          <w:headerReference r:id="rId222" w:type="default"/>
          <w:footerReference r:id="rId223" w:type="default"/>
          <w:pgSz w:w="11905" w:h="16840"/>
          <w:pgMar w:top="1182" w:right="0" w:bottom="1171" w:left="0" w:header="849" w:footer="937" w:gutter="0"/>
          <w:pgNumType w:fmt="decimal"/>
          <w:cols w:space="720" w:num="1"/>
        </w:sectPr>
      </w:pPr>
    </w:p>
    <w:p w14:paraId="496EC95F">
      <w:pPr>
        <w:pStyle w:val="3"/>
        <w:spacing w:line="294" w:lineRule="auto"/>
        <w:rPr>
          <w:color w:val="auto"/>
          <w:highlight w:val="none"/>
        </w:rPr>
      </w:pPr>
    </w:p>
    <w:p w14:paraId="047C027E">
      <w:pPr>
        <w:spacing w:before="87"/>
        <w:ind w:left="4629"/>
        <w:rPr>
          <w:rFonts w:ascii="宋体" w:hAnsi="宋体" w:eastAsia="宋体" w:cs="宋体"/>
          <w:strike/>
          <w:dstrike w:val="0"/>
          <w:color w:val="auto"/>
          <w:sz w:val="13"/>
          <w:szCs w:val="13"/>
          <w:highlight w:val="none"/>
        </w:rPr>
      </w:pPr>
      <w:r>
        <w:rPr>
          <w:rFonts w:ascii="宋体" w:hAnsi="宋体" w:eastAsia="宋体" w:cs="宋体"/>
          <w:b/>
          <w:bCs/>
          <w:strike/>
          <w:dstrike w:val="0"/>
          <w:color w:val="auto"/>
          <w:spacing w:val="-3"/>
          <w:sz w:val="27"/>
          <w:szCs w:val="27"/>
          <w:highlight w:val="none"/>
        </w:rPr>
        <w:t>调价函格式（如有）</w:t>
      </w:r>
      <w:r>
        <w:rPr>
          <w:rFonts w:ascii="宋体" w:hAnsi="宋体" w:eastAsia="宋体" w:cs="宋体"/>
          <w:strike/>
          <w:dstrike w:val="0"/>
          <w:color w:val="auto"/>
          <w:spacing w:val="-37"/>
          <w:sz w:val="27"/>
          <w:szCs w:val="27"/>
          <w:highlight w:val="none"/>
        </w:rPr>
        <w:t xml:space="preserve"> </w:t>
      </w:r>
      <w:r>
        <w:rPr>
          <w:rFonts w:ascii="宋体" w:hAnsi="宋体" w:eastAsia="宋体" w:cs="宋体"/>
          <w:b/>
          <w:bCs/>
          <w:strike/>
          <w:dstrike w:val="0"/>
          <w:color w:val="auto"/>
          <w:spacing w:val="-3"/>
          <w:position w:val="13"/>
          <w:sz w:val="13"/>
          <w:szCs w:val="13"/>
          <w:highlight w:val="none"/>
        </w:rPr>
        <w:t>①</w:t>
      </w:r>
    </w:p>
    <w:p w14:paraId="4459581C">
      <w:pPr>
        <w:pStyle w:val="3"/>
        <w:spacing w:line="468" w:lineRule="auto"/>
        <w:rPr>
          <w:strike/>
          <w:dstrike w:val="0"/>
          <w:color w:val="auto"/>
          <w:highlight w:val="none"/>
        </w:rPr>
      </w:pPr>
    </w:p>
    <w:p w14:paraId="443B5878">
      <w:pPr>
        <w:tabs>
          <w:tab w:val="left" w:pos="4536"/>
        </w:tabs>
        <w:spacing w:before="78" w:line="220" w:lineRule="auto"/>
        <w:ind w:left="1416"/>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7"/>
          <w:sz w:val="24"/>
          <w:szCs w:val="24"/>
          <w:highlight w:val="none"/>
        </w:rPr>
        <w:t>（招标人名称</w:t>
      </w:r>
      <w:r>
        <w:rPr>
          <w:rFonts w:ascii="宋体" w:hAnsi="宋体" w:eastAsia="宋体" w:cs="宋体"/>
          <w:strike/>
          <w:dstrike w:val="0"/>
          <w:color w:val="auto"/>
          <w:spacing w:val="-4"/>
          <w:sz w:val="24"/>
          <w:szCs w:val="24"/>
          <w:highlight w:val="none"/>
        </w:rPr>
        <w:t>）：</w:t>
      </w:r>
    </w:p>
    <w:p w14:paraId="53600EA7">
      <w:pPr>
        <w:spacing w:before="179" w:line="361" w:lineRule="auto"/>
        <w:ind w:left="1426" w:right="1426"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经我方慎重研究，基于</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106"/>
          <w:sz w:val="24"/>
          <w:szCs w:val="24"/>
          <w:highlight w:val="none"/>
        </w:rPr>
        <w:t xml:space="preserve"> </w:t>
      </w:r>
      <w:r>
        <w:rPr>
          <w:rFonts w:ascii="宋体" w:hAnsi="宋体" w:eastAsia="宋体" w:cs="宋体"/>
          <w:strike/>
          <w:dstrike w:val="0"/>
          <w:color w:val="auto"/>
          <w:spacing w:val="-2"/>
          <w:sz w:val="24"/>
          <w:szCs w:val="24"/>
          <w:highlight w:val="none"/>
        </w:rPr>
        <w:t>理由，在</w:t>
      </w:r>
      <w:r>
        <w:rPr>
          <w:rFonts w:ascii="宋体" w:hAnsi="宋体" w:eastAsia="宋体" w:cs="宋体"/>
          <w:strike/>
          <w:dstrike w:val="0"/>
          <w:color w:val="auto"/>
          <w:spacing w:val="-2"/>
          <w:sz w:val="24"/>
          <w:szCs w:val="24"/>
          <w:highlight w:val="none"/>
          <w:u w:val="single" w:color="auto"/>
        </w:rPr>
        <w:t xml:space="preserve">        （项目名称</w:t>
      </w:r>
      <w:r>
        <w:rPr>
          <w:rFonts w:ascii="宋体" w:hAnsi="宋体" w:eastAsia="宋体" w:cs="宋体"/>
          <w:strike/>
          <w:dstrike w:val="0"/>
          <w:color w:val="auto"/>
          <w:spacing w:val="7"/>
          <w:sz w:val="24"/>
          <w:szCs w:val="24"/>
          <w:highlight w:val="none"/>
          <w:u w:val="single" w:color="auto"/>
        </w:rPr>
        <w:t>）</w:t>
      </w:r>
      <w:r>
        <w:rPr>
          <w:rFonts w:ascii="宋体" w:hAnsi="宋体" w:eastAsia="宋体" w:cs="宋体"/>
          <w:strike/>
          <w:dstrike w:val="0"/>
          <w:color w:val="auto"/>
          <w:spacing w:val="20"/>
          <w:sz w:val="24"/>
          <w:szCs w:val="24"/>
          <w:highlight w:val="none"/>
          <w:u w:val="single" w:color="auto"/>
        </w:rPr>
        <w:t xml:space="preserve">     </w:t>
      </w:r>
      <w:r>
        <w:rPr>
          <w:rFonts w:ascii="宋体" w:hAnsi="宋体" w:eastAsia="宋体" w:cs="宋体"/>
          <w:strike/>
          <w:dstrike w:val="0"/>
          <w:color w:val="auto"/>
          <w:spacing w:val="7"/>
          <w:sz w:val="24"/>
          <w:szCs w:val="24"/>
          <w:highlight w:val="none"/>
          <w:u w:val="single" w:color="auto"/>
        </w:rPr>
        <w:t>（</w:t>
      </w:r>
      <w:r>
        <w:rPr>
          <w:rFonts w:ascii="宋体" w:hAnsi="宋体" w:eastAsia="宋体" w:cs="宋体"/>
          <w:strike/>
          <w:dstrike w:val="0"/>
          <w:color w:val="auto"/>
          <w:spacing w:val="-2"/>
          <w:sz w:val="24"/>
          <w:szCs w:val="24"/>
          <w:highlight w:val="none"/>
          <w:u w:val="single" w:color="auto"/>
        </w:rPr>
        <w:t>标类或</w:t>
      </w:r>
      <w:r>
        <w:rPr>
          <w:rFonts w:ascii="宋体" w:hAnsi="宋体" w:eastAsia="宋体" w:cs="宋体"/>
          <w:strike/>
          <w:dstrike w:val="0"/>
          <w:color w:val="auto"/>
          <w:spacing w:val="7"/>
          <w:sz w:val="24"/>
          <w:szCs w:val="24"/>
          <w:highlight w:val="none"/>
          <w:u w:val="single" w:color="auto"/>
        </w:rPr>
        <w:t>标段）</w:t>
      </w:r>
      <w:r>
        <w:rPr>
          <w:rFonts w:ascii="宋体" w:hAnsi="宋体" w:eastAsia="宋体" w:cs="宋体"/>
          <w:strike/>
          <w:dstrike w:val="0"/>
          <w:color w:val="auto"/>
          <w:spacing w:val="7"/>
          <w:sz w:val="24"/>
          <w:szCs w:val="24"/>
          <w:highlight w:val="none"/>
        </w:rPr>
        <w:t>施工招标投标函报价人民币（大写）</w:t>
      </w:r>
      <w:r>
        <w:rPr>
          <w:rFonts w:ascii="宋体" w:hAnsi="宋体" w:eastAsia="宋体" w:cs="宋体"/>
          <w:strike/>
          <w:dstrike w:val="0"/>
          <w:color w:val="auto"/>
          <w:spacing w:val="3"/>
          <w:sz w:val="24"/>
          <w:szCs w:val="24"/>
          <w:highlight w:val="none"/>
          <w:u w:val="single" w:color="auto"/>
        </w:rPr>
        <w:t xml:space="preserve">          </w:t>
      </w:r>
      <w:r>
        <w:rPr>
          <w:rFonts w:ascii="宋体" w:hAnsi="宋体" w:eastAsia="宋体" w:cs="宋体"/>
          <w:strike/>
          <w:dstrike w:val="0"/>
          <w:color w:val="auto"/>
          <w:spacing w:val="-107"/>
          <w:sz w:val="24"/>
          <w:szCs w:val="24"/>
          <w:highlight w:val="none"/>
        </w:rPr>
        <w:t xml:space="preserve"> </w:t>
      </w:r>
      <w:r>
        <w:rPr>
          <w:rFonts w:ascii="宋体" w:hAnsi="宋体" w:eastAsia="宋体" w:cs="宋体"/>
          <w:strike/>
          <w:dstrike w:val="0"/>
          <w:color w:val="auto"/>
          <w:spacing w:val="7"/>
          <w:sz w:val="24"/>
          <w:szCs w:val="24"/>
          <w:highlight w:val="none"/>
        </w:rPr>
        <w:t>元(¥</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80"/>
          <w:sz w:val="24"/>
          <w:szCs w:val="24"/>
          <w:highlight w:val="none"/>
        </w:rPr>
        <w:t xml:space="preserve"> </w:t>
      </w:r>
      <w:r>
        <w:rPr>
          <w:rFonts w:ascii="宋体" w:hAnsi="宋体" w:eastAsia="宋体" w:cs="宋体"/>
          <w:strike/>
          <w:dstrike w:val="0"/>
          <w:color w:val="auto"/>
          <w:spacing w:val="7"/>
          <w:sz w:val="24"/>
          <w:szCs w:val="24"/>
          <w:highlight w:val="none"/>
        </w:rPr>
        <w:t>)的基础上进</w:t>
      </w:r>
      <w:r>
        <w:rPr>
          <w:rFonts w:ascii="宋体" w:hAnsi="宋体" w:eastAsia="宋体" w:cs="宋体"/>
          <w:strike/>
          <w:dstrike w:val="0"/>
          <w:color w:val="auto"/>
          <w:spacing w:val="12"/>
          <w:sz w:val="24"/>
          <w:szCs w:val="24"/>
          <w:highlight w:val="none"/>
        </w:rPr>
        <w:t>行调价，调价后金额为人民币（大写）</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103"/>
          <w:sz w:val="24"/>
          <w:szCs w:val="24"/>
          <w:highlight w:val="none"/>
        </w:rPr>
        <w:t xml:space="preserve"> </w:t>
      </w:r>
      <w:r>
        <w:rPr>
          <w:rFonts w:ascii="宋体" w:hAnsi="宋体" w:eastAsia="宋体" w:cs="宋体"/>
          <w:strike/>
          <w:dstrike w:val="0"/>
          <w:color w:val="auto"/>
          <w:spacing w:val="12"/>
          <w:sz w:val="24"/>
          <w:szCs w:val="24"/>
          <w:highlight w:val="none"/>
        </w:rPr>
        <w:t>元(</w:t>
      </w:r>
      <w:r>
        <w:rPr>
          <w:rFonts w:ascii="宋体" w:hAnsi="宋体" w:eastAsia="宋体" w:cs="宋体"/>
          <w:strike/>
          <w:dstrike w:val="0"/>
          <w:color w:val="auto"/>
          <w:spacing w:val="11"/>
          <w:sz w:val="24"/>
          <w:szCs w:val="24"/>
          <w:highlight w:val="none"/>
        </w:rPr>
        <w:t>¥</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78"/>
          <w:sz w:val="24"/>
          <w:szCs w:val="24"/>
          <w:highlight w:val="none"/>
        </w:rPr>
        <w:t xml:space="preserve"> </w:t>
      </w:r>
      <w:r>
        <w:rPr>
          <w:rFonts w:ascii="宋体" w:hAnsi="宋体" w:eastAsia="宋体" w:cs="宋体"/>
          <w:strike/>
          <w:dstrike w:val="0"/>
          <w:color w:val="auto"/>
          <w:spacing w:val="11"/>
          <w:sz w:val="24"/>
          <w:szCs w:val="24"/>
          <w:highlight w:val="none"/>
        </w:rPr>
        <w:t>),调价后金额为</w:t>
      </w:r>
      <w:r>
        <w:rPr>
          <w:rFonts w:ascii="宋体" w:hAnsi="宋体" w:eastAsia="宋体" w:cs="宋体"/>
          <w:strike/>
          <w:dstrike w:val="0"/>
          <w:color w:val="auto"/>
          <w:spacing w:val="-6"/>
          <w:sz w:val="24"/>
          <w:szCs w:val="24"/>
          <w:highlight w:val="none"/>
        </w:rPr>
        <w:t>我方最终报价。</w:t>
      </w:r>
    </w:p>
    <w:p w14:paraId="3ADDB7E3">
      <w:pPr>
        <w:pStyle w:val="3"/>
        <w:spacing w:line="384" w:lineRule="auto"/>
        <w:rPr>
          <w:strike/>
          <w:dstrike w:val="0"/>
          <w:color w:val="auto"/>
          <w:highlight w:val="none"/>
        </w:rPr>
      </w:pPr>
    </w:p>
    <w:p w14:paraId="0101DD9E">
      <w:pPr>
        <w:spacing w:before="78" w:line="218" w:lineRule="auto"/>
        <w:ind w:left="190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调价后的工程量清单附后，否则调价无效。</w:t>
      </w:r>
    </w:p>
    <w:p w14:paraId="5BA1FC17">
      <w:pPr>
        <w:pStyle w:val="3"/>
        <w:spacing w:line="258" w:lineRule="auto"/>
        <w:rPr>
          <w:strike/>
          <w:dstrike w:val="0"/>
          <w:color w:val="auto"/>
          <w:highlight w:val="none"/>
        </w:rPr>
      </w:pPr>
    </w:p>
    <w:p w14:paraId="720BD7CA">
      <w:pPr>
        <w:pStyle w:val="3"/>
        <w:spacing w:line="259" w:lineRule="auto"/>
        <w:rPr>
          <w:strike/>
          <w:dstrike w:val="0"/>
          <w:color w:val="auto"/>
          <w:highlight w:val="none"/>
        </w:rPr>
      </w:pPr>
    </w:p>
    <w:p w14:paraId="57D2112A">
      <w:pPr>
        <w:pStyle w:val="3"/>
        <w:spacing w:line="259" w:lineRule="auto"/>
        <w:rPr>
          <w:strike/>
          <w:dstrike w:val="0"/>
          <w:color w:val="auto"/>
          <w:highlight w:val="none"/>
        </w:rPr>
      </w:pPr>
    </w:p>
    <w:p w14:paraId="511D883E">
      <w:pPr>
        <w:pStyle w:val="3"/>
        <w:spacing w:line="259" w:lineRule="auto"/>
        <w:rPr>
          <w:strike/>
          <w:dstrike w:val="0"/>
          <w:color w:val="auto"/>
          <w:highlight w:val="none"/>
        </w:rPr>
      </w:pPr>
    </w:p>
    <w:p w14:paraId="25AA5497">
      <w:pPr>
        <w:spacing w:before="79" w:line="219" w:lineRule="auto"/>
        <w:ind w:left="454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投标人</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3"/>
          <w:sz w:val="24"/>
          <w:szCs w:val="24"/>
          <w:highlight w:val="none"/>
        </w:rPr>
        <w:t>盖单位章）</w:t>
      </w:r>
    </w:p>
    <w:p w14:paraId="66DB50A0">
      <w:pPr>
        <w:spacing w:before="183" w:line="220" w:lineRule="auto"/>
        <w:ind w:left="454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13"/>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宋体" w:hAnsi="宋体" w:eastAsia="宋体" w:cs="宋体"/>
          <w:strike/>
          <w:dstrike w:val="0"/>
          <w:color w:val="auto"/>
          <w:spacing w:val="-2"/>
          <w:sz w:val="24"/>
          <w:szCs w:val="24"/>
          <w:highlight w:val="none"/>
        </w:rPr>
        <w:t>签字）</w:t>
      </w:r>
    </w:p>
    <w:p w14:paraId="4A3B6310">
      <w:pPr>
        <w:tabs>
          <w:tab w:val="left" w:pos="8015"/>
        </w:tabs>
        <w:spacing w:before="182" w:line="220" w:lineRule="auto"/>
        <w:ind w:left="741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9"/>
          <w:sz w:val="24"/>
          <w:szCs w:val="24"/>
          <w:highlight w:val="none"/>
        </w:rPr>
        <w:t>年</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9"/>
          <w:sz w:val="24"/>
          <w:szCs w:val="24"/>
          <w:highlight w:val="none"/>
        </w:rPr>
        <w:t>月</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9"/>
          <w:sz w:val="24"/>
          <w:szCs w:val="24"/>
          <w:highlight w:val="none"/>
        </w:rPr>
        <w:t>日</w:t>
      </w:r>
    </w:p>
    <w:p w14:paraId="44A8E3D5">
      <w:pPr>
        <w:pStyle w:val="3"/>
        <w:spacing w:line="241" w:lineRule="auto"/>
        <w:rPr>
          <w:strike/>
          <w:dstrike w:val="0"/>
          <w:color w:val="auto"/>
          <w:highlight w:val="none"/>
        </w:rPr>
      </w:pPr>
    </w:p>
    <w:p w14:paraId="0788416A">
      <w:pPr>
        <w:pStyle w:val="3"/>
        <w:spacing w:line="241" w:lineRule="auto"/>
        <w:rPr>
          <w:strike/>
          <w:dstrike w:val="0"/>
          <w:color w:val="auto"/>
          <w:highlight w:val="none"/>
        </w:rPr>
      </w:pPr>
    </w:p>
    <w:p w14:paraId="1A68B7D0">
      <w:pPr>
        <w:pStyle w:val="3"/>
        <w:spacing w:line="241" w:lineRule="auto"/>
        <w:rPr>
          <w:strike/>
          <w:dstrike w:val="0"/>
          <w:color w:val="auto"/>
          <w:highlight w:val="none"/>
        </w:rPr>
      </w:pPr>
    </w:p>
    <w:p w14:paraId="0E9761D7">
      <w:pPr>
        <w:pStyle w:val="3"/>
        <w:spacing w:line="241" w:lineRule="auto"/>
        <w:rPr>
          <w:strike/>
          <w:dstrike w:val="0"/>
          <w:color w:val="auto"/>
          <w:highlight w:val="none"/>
        </w:rPr>
      </w:pPr>
    </w:p>
    <w:p w14:paraId="0A8C33A8">
      <w:pPr>
        <w:pStyle w:val="3"/>
        <w:spacing w:line="241" w:lineRule="auto"/>
        <w:rPr>
          <w:strike/>
          <w:dstrike w:val="0"/>
          <w:color w:val="auto"/>
          <w:highlight w:val="none"/>
        </w:rPr>
      </w:pPr>
    </w:p>
    <w:p w14:paraId="216D2A33">
      <w:pPr>
        <w:pStyle w:val="3"/>
        <w:spacing w:line="241" w:lineRule="auto"/>
        <w:rPr>
          <w:strike/>
          <w:dstrike w:val="0"/>
          <w:color w:val="auto"/>
          <w:highlight w:val="none"/>
        </w:rPr>
      </w:pPr>
    </w:p>
    <w:p w14:paraId="4F1E6262">
      <w:pPr>
        <w:pStyle w:val="3"/>
        <w:spacing w:line="241" w:lineRule="auto"/>
        <w:rPr>
          <w:strike/>
          <w:dstrike w:val="0"/>
          <w:color w:val="auto"/>
          <w:highlight w:val="none"/>
        </w:rPr>
      </w:pPr>
    </w:p>
    <w:p w14:paraId="4481240C">
      <w:pPr>
        <w:pStyle w:val="3"/>
        <w:spacing w:line="241" w:lineRule="auto"/>
        <w:rPr>
          <w:strike/>
          <w:dstrike w:val="0"/>
          <w:color w:val="auto"/>
          <w:highlight w:val="none"/>
        </w:rPr>
      </w:pPr>
    </w:p>
    <w:p w14:paraId="7A5B39D7">
      <w:pPr>
        <w:pStyle w:val="3"/>
        <w:spacing w:line="241" w:lineRule="auto"/>
        <w:rPr>
          <w:strike/>
          <w:dstrike w:val="0"/>
          <w:color w:val="auto"/>
          <w:highlight w:val="none"/>
        </w:rPr>
      </w:pPr>
    </w:p>
    <w:p w14:paraId="508C1FCC">
      <w:pPr>
        <w:pStyle w:val="3"/>
        <w:spacing w:line="241" w:lineRule="auto"/>
        <w:rPr>
          <w:strike/>
          <w:dstrike w:val="0"/>
          <w:color w:val="auto"/>
          <w:highlight w:val="none"/>
        </w:rPr>
      </w:pPr>
    </w:p>
    <w:p w14:paraId="03314923">
      <w:pPr>
        <w:pStyle w:val="3"/>
        <w:spacing w:line="241" w:lineRule="auto"/>
        <w:rPr>
          <w:strike/>
          <w:dstrike w:val="0"/>
          <w:color w:val="auto"/>
          <w:highlight w:val="none"/>
        </w:rPr>
      </w:pPr>
    </w:p>
    <w:p w14:paraId="5E6CCB67">
      <w:pPr>
        <w:pStyle w:val="3"/>
        <w:spacing w:line="241" w:lineRule="auto"/>
        <w:rPr>
          <w:strike/>
          <w:dstrike w:val="0"/>
          <w:color w:val="auto"/>
          <w:highlight w:val="none"/>
        </w:rPr>
      </w:pPr>
    </w:p>
    <w:p w14:paraId="6D472956">
      <w:pPr>
        <w:pStyle w:val="3"/>
        <w:spacing w:line="241" w:lineRule="auto"/>
        <w:rPr>
          <w:strike/>
          <w:dstrike w:val="0"/>
          <w:color w:val="auto"/>
          <w:highlight w:val="none"/>
        </w:rPr>
      </w:pPr>
    </w:p>
    <w:p w14:paraId="47CAF50F">
      <w:pPr>
        <w:pStyle w:val="3"/>
        <w:spacing w:line="241" w:lineRule="auto"/>
        <w:rPr>
          <w:strike/>
          <w:dstrike w:val="0"/>
          <w:color w:val="auto"/>
          <w:highlight w:val="none"/>
        </w:rPr>
      </w:pPr>
    </w:p>
    <w:p w14:paraId="2B9B5BC5">
      <w:pPr>
        <w:pStyle w:val="3"/>
        <w:spacing w:line="241" w:lineRule="auto"/>
        <w:rPr>
          <w:strike/>
          <w:dstrike w:val="0"/>
          <w:color w:val="auto"/>
          <w:highlight w:val="none"/>
        </w:rPr>
      </w:pPr>
    </w:p>
    <w:p w14:paraId="2A5C076C">
      <w:pPr>
        <w:pStyle w:val="3"/>
        <w:spacing w:line="241" w:lineRule="auto"/>
        <w:rPr>
          <w:strike/>
          <w:dstrike w:val="0"/>
          <w:color w:val="auto"/>
          <w:highlight w:val="none"/>
        </w:rPr>
      </w:pPr>
    </w:p>
    <w:p w14:paraId="0F0B3AD7">
      <w:pPr>
        <w:pStyle w:val="3"/>
        <w:spacing w:line="241" w:lineRule="auto"/>
        <w:rPr>
          <w:strike/>
          <w:dstrike w:val="0"/>
          <w:color w:val="auto"/>
          <w:highlight w:val="none"/>
        </w:rPr>
      </w:pPr>
    </w:p>
    <w:p w14:paraId="08757E4B">
      <w:pPr>
        <w:pStyle w:val="3"/>
        <w:spacing w:line="241" w:lineRule="auto"/>
        <w:rPr>
          <w:strike/>
          <w:dstrike w:val="0"/>
          <w:color w:val="auto"/>
          <w:highlight w:val="none"/>
        </w:rPr>
      </w:pPr>
    </w:p>
    <w:p w14:paraId="4AD8A0F9">
      <w:pPr>
        <w:pStyle w:val="3"/>
        <w:spacing w:line="241" w:lineRule="auto"/>
        <w:rPr>
          <w:strike/>
          <w:dstrike w:val="0"/>
          <w:color w:val="auto"/>
          <w:highlight w:val="none"/>
        </w:rPr>
      </w:pPr>
    </w:p>
    <w:p w14:paraId="47502868">
      <w:pPr>
        <w:pStyle w:val="3"/>
        <w:spacing w:line="241" w:lineRule="auto"/>
        <w:rPr>
          <w:strike/>
          <w:dstrike w:val="0"/>
          <w:color w:val="auto"/>
          <w:highlight w:val="none"/>
        </w:rPr>
      </w:pPr>
    </w:p>
    <w:p w14:paraId="72625220">
      <w:pPr>
        <w:pStyle w:val="3"/>
        <w:spacing w:line="241" w:lineRule="auto"/>
        <w:rPr>
          <w:strike/>
          <w:dstrike w:val="0"/>
          <w:color w:val="auto"/>
          <w:highlight w:val="none"/>
        </w:rPr>
      </w:pPr>
    </w:p>
    <w:p w14:paraId="2BF98EEA">
      <w:pPr>
        <w:pStyle w:val="3"/>
        <w:spacing w:line="242" w:lineRule="auto"/>
        <w:rPr>
          <w:strike/>
          <w:dstrike w:val="0"/>
          <w:color w:val="auto"/>
          <w:highlight w:val="none"/>
        </w:rPr>
      </w:pPr>
    </w:p>
    <w:p w14:paraId="2AD2A46E">
      <w:pPr>
        <w:pStyle w:val="3"/>
        <w:spacing w:line="242" w:lineRule="auto"/>
        <w:rPr>
          <w:strike/>
          <w:dstrike w:val="0"/>
          <w:color w:val="auto"/>
          <w:highlight w:val="none"/>
        </w:rPr>
      </w:pPr>
    </w:p>
    <w:p w14:paraId="35FB837C">
      <w:pPr>
        <w:pStyle w:val="3"/>
        <w:spacing w:line="242" w:lineRule="auto"/>
        <w:rPr>
          <w:strike/>
          <w:dstrike w:val="0"/>
          <w:color w:val="auto"/>
          <w:highlight w:val="none"/>
        </w:rPr>
      </w:pPr>
    </w:p>
    <w:p w14:paraId="38AFDAF0">
      <w:pPr>
        <w:pStyle w:val="3"/>
        <w:spacing w:line="242" w:lineRule="auto"/>
        <w:rPr>
          <w:strike/>
          <w:dstrike w:val="0"/>
          <w:color w:val="auto"/>
          <w:highlight w:val="none"/>
        </w:rPr>
      </w:pPr>
    </w:p>
    <w:p w14:paraId="5B09F94D">
      <w:pPr>
        <w:pStyle w:val="3"/>
        <w:spacing w:line="242" w:lineRule="auto"/>
        <w:rPr>
          <w:strike/>
          <w:dstrike w:val="0"/>
          <w:color w:val="auto"/>
          <w:highlight w:val="none"/>
        </w:rPr>
      </w:pPr>
    </w:p>
    <w:p w14:paraId="06ADBF3D">
      <w:pPr>
        <w:pStyle w:val="3"/>
        <w:spacing w:line="242" w:lineRule="auto"/>
        <w:rPr>
          <w:strike/>
          <w:dstrike w:val="0"/>
          <w:color w:val="auto"/>
          <w:highlight w:val="none"/>
        </w:rPr>
      </w:pPr>
    </w:p>
    <w:p w14:paraId="11D5B383">
      <w:pPr>
        <w:spacing w:before="59" w:line="219" w:lineRule="auto"/>
        <w:ind w:left="1422"/>
        <w:rPr>
          <w:rFonts w:ascii="宋体" w:hAnsi="宋体" w:eastAsia="宋体" w:cs="宋体"/>
          <w:strike/>
          <w:dstrike w:val="0"/>
          <w:color w:val="auto"/>
          <w:sz w:val="18"/>
          <w:szCs w:val="18"/>
          <w:highlight w:val="none"/>
        </w:rPr>
      </w:pPr>
      <w:r>
        <w:rPr>
          <w:rFonts w:ascii="宋体" w:hAnsi="宋体" w:eastAsia="宋体" w:cs="宋体"/>
          <w:strike/>
          <w:dstrike w:val="0"/>
          <w:color w:val="auto"/>
          <w:spacing w:val="-2"/>
          <w:sz w:val="18"/>
          <w:szCs w:val="18"/>
          <w:highlight w:val="none"/>
        </w:rPr>
        <w:t>① 一般情况下招标人应不接受调价函。</w:t>
      </w:r>
    </w:p>
    <w:p w14:paraId="0F18CEA5">
      <w:pPr>
        <w:spacing w:before="21" w:line="230" w:lineRule="auto"/>
        <w:ind w:left="1424" w:right="1416"/>
        <w:rPr>
          <w:rFonts w:ascii="宋体" w:hAnsi="宋体" w:eastAsia="宋体" w:cs="宋体"/>
          <w:strike/>
          <w:dstrike w:val="0"/>
          <w:color w:val="auto"/>
          <w:sz w:val="18"/>
          <w:szCs w:val="18"/>
          <w:highlight w:val="none"/>
        </w:rPr>
      </w:pPr>
      <w:r>
        <w:rPr>
          <w:rFonts w:ascii="宋体" w:hAnsi="宋体" w:eastAsia="宋体" w:cs="宋体"/>
          <w:strike/>
          <w:dstrike w:val="0"/>
          <w:color w:val="auto"/>
          <w:spacing w:val="-2"/>
          <w:sz w:val="18"/>
          <w:szCs w:val="18"/>
          <w:highlight w:val="none"/>
        </w:rPr>
        <w:t xml:space="preserve">调价后的工程量清单包括工程量清单说明、投标报价说明、计日工说明、其他说明及工程量清单各项表格 </w:t>
      </w:r>
      <w:r>
        <w:rPr>
          <w:rFonts w:ascii="Times New Roman" w:hAnsi="Times New Roman" w:eastAsia="Times New Roman" w:cs="Times New Roman"/>
          <w:strike/>
          <w:dstrike w:val="0"/>
          <w:color w:val="auto"/>
          <w:spacing w:val="-2"/>
          <w:sz w:val="18"/>
          <w:szCs w:val="18"/>
          <w:highlight w:val="none"/>
        </w:rPr>
        <w:t>(</w:t>
      </w:r>
      <w:r>
        <w:rPr>
          <w:rFonts w:ascii="宋体" w:hAnsi="宋体" w:eastAsia="宋体" w:cs="宋体"/>
          <w:strike/>
          <w:dstrike w:val="0"/>
          <w:color w:val="auto"/>
          <w:spacing w:val="-2"/>
          <w:sz w:val="18"/>
          <w:szCs w:val="18"/>
          <w:highlight w:val="none"/>
        </w:rPr>
        <w:t>工程量清</w:t>
      </w:r>
      <w:r>
        <w:rPr>
          <w:rFonts w:ascii="宋体" w:hAnsi="宋体" w:eastAsia="宋体" w:cs="宋体"/>
          <w:strike/>
          <w:dstrike w:val="0"/>
          <w:color w:val="auto"/>
          <w:spacing w:val="-3"/>
          <w:sz w:val="18"/>
          <w:szCs w:val="18"/>
          <w:highlight w:val="none"/>
        </w:rPr>
        <w:t>单表</w:t>
      </w:r>
      <w:r>
        <w:rPr>
          <w:rFonts w:ascii="宋体" w:hAnsi="宋体" w:eastAsia="宋体" w:cs="宋体"/>
          <w:strike/>
          <w:dstrike w:val="0"/>
          <w:color w:val="auto"/>
          <w:spacing w:val="-28"/>
          <w:sz w:val="18"/>
          <w:szCs w:val="18"/>
          <w:highlight w:val="none"/>
        </w:rPr>
        <w:t xml:space="preserve"> </w:t>
      </w:r>
      <w:r>
        <w:rPr>
          <w:rFonts w:ascii="Times New Roman" w:hAnsi="Times New Roman" w:eastAsia="Times New Roman" w:cs="Times New Roman"/>
          <w:strike/>
          <w:dstrike w:val="0"/>
          <w:color w:val="auto"/>
          <w:spacing w:val="-3"/>
          <w:sz w:val="18"/>
          <w:szCs w:val="18"/>
          <w:highlight w:val="none"/>
        </w:rPr>
        <w:t>5.1-</w:t>
      </w:r>
      <w:r>
        <w:rPr>
          <w:rFonts w:ascii="宋体" w:hAnsi="宋体" w:eastAsia="宋体" w:cs="宋体"/>
          <w:strike/>
          <w:dstrike w:val="0"/>
          <w:color w:val="auto"/>
          <w:spacing w:val="-3"/>
          <w:sz w:val="18"/>
          <w:szCs w:val="18"/>
          <w:highlight w:val="none"/>
        </w:rPr>
        <w:t>表</w:t>
      </w:r>
      <w:r>
        <w:rPr>
          <w:rFonts w:ascii="宋体" w:hAnsi="宋体" w:eastAsia="宋体" w:cs="宋体"/>
          <w:strike/>
          <w:dstrike w:val="0"/>
          <w:color w:val="auto"/>
          <w:spacing w:val="-36"/>
          <w:sz w:val="18"/>
          <w:szCs w:val="18"/>
          <w:highlight w:val="none"/>
        </w:rPr>
        <w:t xml:space="preserve"> </w:t>
      </w:r>
      <w:r>
        <w:rPr>
          <w:rFonts w:ascii="Times New Roman" w:hAnsi="Times New Roman" w:eastAsia="Times New Roman" w:cs="Times New Roman"/>
          <w:strike/>
          <w:dstrike w:val="0"/>
          <w:color w:val="auto"/>
          <w:spacing w:val="-3"/>
          <w:sz w:val="18"/>
          <w:szCs w:val="18"/>
          <w:highlight w:val="none"/>
        </w:rPr>
        <w:t>5.5)</w:t>
      </w:r>
      <w:r>
        <w:rPr>
          <w:rFonts w:ascii="宋体" w:hAnsi="宋体" w:eastAsia="宋体" w:cs="宋体"/>
          <w:strike/>
          <w:dstrike w:val="0"/>
          <w:color w:val="auto"/>
          <w:spacing w:val="-3"/>
          <w:sz w:val="18"/>
          <w:szCs w:val="18"/>
          <w:highlight w:val="none"/>
        </w:rPr>
        <w:t>。</w:t>
      </w:r>
    </w:p>
    <w:p w14:paraId="57BFD0CA">
      <w:pPr>
        <w:spacing w:before="19" w:line="218" w:lineRule="auto"/>
        <w:ind w:left="1425"/>
        <w:rPr>
          <w:rFonts w:ascii="宋体" w:hAnsi="宋体" w:eastAsia="宋体" w:cs="宋体"/>
          <w:strike/>
          <w:dstrike w:val="0"/>
          <w:color w:val="auto"/>
          <w:sz w:val="18"/>
          <w:szCs w:val="18"/>
          <w:highlight w:val="none"/>
        </w:rPr>
      </w:pPr>
      <w:r>
        <w:rPr>
          <w:rFonts w:ascii="宋体" w:hAnsi="宋体" w:eastAsia="宋体" w:cs="宋体"/>
          <w:strike/>
          <w:dstrike w:val="0"/>
          <w:color w:val="auto"/>
          <w:spacing w:val="-1"/>
          <w:sz w:val="18"/>
          <w:szCs w:val="18"/>
          <w:highlight w:val="none"/>
        </w:rPr>
        <w:t>投标人仅需在调价函上加盖单位章，或由法定代表人或其委托代理人</w:t>
      </w:r>
      <w:r>
        <w:rPr>
          <w:rFonts w:ascii="宋体" w:hAnsi="宋体" w:eastAsia="宋体" w:cs="宋体"/>
          <w:strike/>
          <w:dstrike w:val="0"/>
          <w:color w:val="auto"/>
          <w:spacing w:val="-2"/>
          <w:sz w:val="18"/>
          <w:szCs w:val="18"/>
          <w:highlight w:val="none"/>
        </w:rPr>
        <w:t>签字。</w:t>
      </w:r>
    </w:p>
    <w:p w14:paraId="0BFD8890">
      <w:pPr>
        <w:spacing w:line="218" w:lineRule="auto"/>
        <w:rPr>
          <w:rFonts w:ascii="宋体" w:hAnsi="宋体" w:eastAsia="宋体" w:cs="宋体"/>
          <w:strike/>
          <w:dstrike w:val="0"/>
          <w:color w:val="auto"/>
          <w:sz w:val="18"/>
          <w:szCs w:val="18"/>
          <w:highlight w:val="none"/>
        </w:rPr>
        <w:sectPr>
          <w:headerReference r:id="rId224" w:type="default"/>
          <w:footerReference r:id="rId225" w:type="default"/>
          <w:pgSz w:w="11905" w:h="16840"/>
          <w:pgMar w:top="1182" w:right="0" w:bottom="1171" w:left="0" w:header="849" w:footer="937" w:gutter="0"/>
          <w:pgNumType w:fmt="decimal"/>
          <w:cols w:space="720" w:num="1"/>
        </w:sectPr>
      </w:pPr>
    </w:p>
    <w:p w14:paraId="06688581">
      <w:pPr>
        <w:pStyle w:val="3"/>
        <w:spacing w:line="316" w:lineRule="auto"/>
        <w:rPr>
          <w:color w:val="auto"/>
          <w:highlight w:val="none"/>
        </w:rPr>
      </w:pPr>
    </w:p>
    <w:p w14:paraId="025E11B3">
      <w:pPr>
        <w:spacing w:before="87" w:line="227" w:lineRule="auto"/>
        <w:ind w:left="5264"/>
        <w:rPr>
          <w:rFonts w:ascii="宋体" w:hAnsi="宋体" w:eastAsia="宋体" w:cs="宋体"/>
          <w:color w:val="auto"/>
          <w:sz w:val="27"/>
          <w:szCs w:val="27"/>
          <w:highlight w:val="none"/>
        </w:rPr>
      </w:pPr>
      <w:r>
        <w:rPr>
          <w:rFonts w:ascii="宋体" w:hAnsi="宋体" w:eastAsia="宋体" w:cs="宋体"/>
          <w:b/>
          <w:bCs/>
          <w:color w:val="auto"/>
          <w:spacing w:val="-1"/>
          <w:sz w:val="27"/>
          <w:szCs w:val="27"/>
          <w:highlight w:val="none"/>
        </w:rPr>
        <w:t>一、投标函</w:t>
      </w:r>
    </w:p>
    <w:p w14:paraId="63C02FB4">
      <w:pPr>
        <w:pStyle w:val="3"/>
        <w:spacing w:line="465" w:lineRule="auto"/>
        <w:rPr>
          <w:color w:val="auto"/>
          <w:highlight w:val="none"/>
        </w:rPr>
      </w:pPr>
    </w:p>
    <w:p w14:paraId="20C231A9">
      <w:pPr>
        <w:tabs>
          <w:tab w:val="left" w:pos="3936"/>
        </w:tabs>
        <w:spacing w:before="78" w:line="220" w:lineRule="auto"/>
        <w:ind w:left="141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7"/>
          <w:sz w:val="24"/>
          <w:szCs w:val="24"/>
          <w:highlight w:val="none"/>
        </w:rPr>
        <w:t>（招标人名称</w:t>
      </w:r>
      <w:r>
        <w:rPr>
          <w:rFonts w:ascii="宋体" w:hAnsi="宋体" w:eastAsia="宋体" w:cs="宋体"/>
          <w:color w:val="auto"/>
          <w:spacing w:val="-4"/>
          <w:sz w:val="24"/>
          <w:szCs w:val="24"/>
          <w:highlight w:val="none"/>
        </w:rPr>
        <w:t>）：</w:t>
      </w:r>
    </w:p>
    <w:p w14:paraId="51F47611">
      <w:pPr>
        <w:spacing w:before="181" w:line="332" w:lineRule="auto"/>
        <w:ind w:left="1425" w:right="1416" w:firstLine="497"/>
        <w:rPr>
          <w:rFonts w:ascii="宋体" w:hAnsi="宋体" w:eastAsia="宋体" w:cs="宋体"/>
          <w:color w:val="auto"/>
          <w:sz w:val="24"/>
          <w:szCs w:val="24"/>
          <w:highlight w:val="none"/>
        </w:rPr>
      </w:pPr>
      <w:r>
        <w:rPr>
          <w:rFonts w:ascii="宋体" w:hAnsi="宋体" w:eastAsia="宋体" w:cs="宋体"/>
          <w:color w:val="auto"/>
          <w:sz w:val="24"/>
          <w:szCs w:val="24"/>
          <w:highlight w:val="none"/>
        </w:rPr>
        <w:t>1. 我方已仔细研究</w:t>
      </w:r>
      <w:r>
        <w:rPr>
          <w:rFonts w:ascii="宋体" w:hAnsi="宋体" w:eastAsia="宋体" w:cs="宋体"/>
          <w:color w:val="auto"/>
          <w:spacing w:val="-115"/>
          <w:sz w:val="24"/>
          <w:szCs w:val="24"/>
          <w:highlight w:val="none"/>
        </w:rPr>
        <w:t xml:space="preserve"> </w:t>
      </w:r>
      <w:r>
        <w:rPr>
          <w:rFonts w:ascii="宋体" w:hAnsi="宋体" w:eastAsia="宋体" w:cs="宋体"/>
          <w:color w:val="auto"/>
          <w:sz w:val="24"/>
          <w:szCs w:val="24"/>
          <w:highlight w:val="none"/>
          <w:u w:val="single" w:color="auto"/>
        </w:rPr>
        <w:t xml:space="preserve">         （项目名称</w:t>
      </w:r>
      <w:r>
        <w:rPr>
          <w:rFonts w:ascii="宋体" w:hAnsi="宋体" w:eastAsia="宋体" w:cs="宋体"/>
          <w:color w:val="auto"/>
          <w:spacing w:val="8"/>
          <w:sz w:val="24"/>
          <w:szCs w:val="24"/>
          <w:highlight w:val="none"/>
          <w:u w:val="single" w:color="auto"/>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8"/>
          <w:sz w:val="24"/>
          <w:szCs w:val="24"/>
          <w:highlight w:val="none"/>
          <w:u w:val="single" w:color="auto"/>
        </w:rPr>
        <w:t>（</w:t>
      </w:r>
      <w:r>
        <w:rPr>
          <w:rFonts w:ascii="宋体" w:hAnsi="宋体" w:eastAsia="宋体" w:cs="宋体"/>
          <w:color w:val="auto"/>
          <w:sz w:val="24"/>
          <w:szCs w:val="24"/>
          <w:highlight w:val="none"/>
          <w:u w:val="single" w:color="auto"/>
        </w:rPr>
        <w:t>标类或标段）</w:t>
      </w:r>
      <w:r>
        <w:rPr>
          <w:rFonts w:ascii="宋体" w:hAnsi="宋体" w:eastAsia="宋体" w:cs="宋体"/>
          <w:color w:val="auto"/>
          <w:sz w:val="24"/>
          <w:szCs w:val="24"/>
          <w:highlight w:val="none"/>
        </w:rPr>
        <w:t>施工招标文件的全部内容（含补遗书，如有），</w:t>
      </w:r>
      <w:r>
        <w:rPr>
          <w:rFonts w:ascii="宋体" w:hAnsi="宋体" w:eastAsia="宋体" w:cs="宋体"/>
          <w:color w:val="auto"/>
          <w:spacing w:val="-46"/>
          <w:sz w:val="24"/>
          <w:szCs w:val="24"/>
          <w:highlight w:val="none"/>
        </w:rPr>
        <w:t xml:space="preserve"> </w:t>
      </w:r>
      <w:r>
        <w:rPr>
          <w:rFonts w:ascii="宋体" w:hAnsi="宋体" w:eastAsia="宋体" w:cs="宋体"/>
          <w:color w:val="auto"/>
          <w:sz w:val="24"/>
          <w:szCs w:val="24"/>
          <w:highlight w:val="none"/>
          <w:u w:val="single" w:color="auto"/>
        </w:rPr>
        <w:t>在考察工程现场后（如有），</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
          <w:sz w:val="24"/>
          <w:szCs w:val="24"/>
          <w:highlight w:val="none"/>
        </w:rPr>
        <w:t>愿意以人民币（大写）</w:t>
      </w:r>
      <w:r>
        <w:rPr>
          <w:rFonts w:ascii="宋体" w:hAnsi="宋体" w:eastAsia="宋体" w:cs="宋体"/>
          <w:color w:val="auto"/>
          <w:spacing w:val="-84"/>
          <w:sz w:val="24"/>
          <w:szCs w:val="24"/>
          <w:highlight w:val="none"/>
        </w:rPr>
        <w:t xml:space="preserve"> </w:t>
      </w:r>
      <w:r>
        <w:rPr>
          <w:color w:val="auto"/>
          <w:position w:val="-3"/>
          <w:sz w:val="24"/>
          <w:szCs w:val="24"/>
          <w:highlight w:val="none"/>
        </w:rPr>
        <w:drawing>
          <wp:inline distT="0" distB="0" distL="0" distR="0">
            <wp:extent cx="635" cy="6350"/>
            <wp:effectExtent l="0" t="0" r="0" b="0"/>
            <wp:docPr id="301" name="IM 298"/>
            <wp:cNvGraphicFramePr/>
            <a:graphic xmlns:a="http://schemas.openxmlformats.org/drawingml/2006/main">
              <a:graphicData uri="http://schemas.openxmlformats.org/drawingml/2006/picture">
                <pic:pic xmlns:pic="http://schemas.openxmlformats.org/drawingml/2006/picture">
                  <pic:nvPicPr>
                    <pic:cNvPr id="301" name="IM 298"/>
                    <pic:cNvPicPr/>
                  </pic:nvPicPr>
                  <pic:blipFill>
                    <a:blip r:embed="rId232"/>
                    <a:stretch>
                      <a:fillRect/>
                    </a:stretch>
                  </pic:blipFill>
                  <pic:spPr>
                    <a:xfrm>
                      <a:off x="0" y="0"/>
                      <a:ext cx="761" cy="6858"/>
                    </a:xfrm>
                    <a:prstGeom prst="rect">
                      <a:avLst/>
                    </a:prstGeom>
                  </pic:spPr>
                </pic:pic>
              </a:graphicData>
            </a:graphic>
          </wp:inline>
        </w:drawing>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元(¥</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4"/>
          <w:sz w:val="24"/>
          <w:szCs w:val="24"/>
          <w:highlight w:val="none"/>
        </w:rPr>
        <w:t xml:space="preserve"> </w:t>
      </w:r>
      <w:r>
        <w:rPr>
          <w:rFonts w:ascii="宋体" w:hAnsi="宋体" w:eastAsia="宋体" w:cs="宋体"/>
          <w:color w:val="auto"/>
          <w:spacing w:val="7"/>
          <w:sz w:val="24"/>
          <w:szCs w:val="24"/>
          <w:highlight w:val="none"/>
        </w:rPr>
        <w:t>)的投标总报价（或根据招标文件规定修正核实后确定的另一金额，</w:t>
      </w:r>
      <w:r>
        <w:rPr>
          <w:rFonts w:ascii="宋体" w:hAnsi="宋体" w:eastAsia="宋体" w:cs="宋体"/>
          <w:color w:val="auto"/>
          <w:spacing w:val="-2"/>
          <w:sz w:val="24"/>
          <w:szCs w:val="24"/>
          <w:highlight w:val="none"/>
        </w:rPr>
        <w:t>其中，增值税税率为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2"/>
          <w:sz w:val="24"/>
          <w:szCs w:val="24"/>
          <w:highlight w:val="none"/>
        </w:rPr>
        <w:t>，增值税税额为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2"/>
          <w:sz w:val="24"/>
          <w:szCs w:val="24"/>
          <w:highlight w:val="none"/>
        </w:rPr>
        <w:t>按合同约定实施和完成承</w:t>
      </w:r>
      <w:r>
        <w:rPr>
          <w:rFonts w:ascii="宋体" w:hAnsi="宋体" w:eastAsia="宋体" w:cs="宋体"/>
          <w:color w:val="auto"/>
          <w:spacing w:val="-3"/>
          <w:sz w:val="24"/>
          <w:szCs w:val="24"/>
          <w:highlight w:val="none"/>
        </w:rPr>
        <w:t>包工程，修补工程中的任何缺陷。</w:t>
      </w:r>
    </w:p>
    <w:p w14:paraId="5B8DDC28">
      <w:pPr>
        <w:spacing w:before="181" w:line="290" w:lineRule="auto"/>
        <w:ind w:left="1425" w:right="142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 在合同协议书正式签署生效之前，本投标函连同你方的中标通知书将构成我们</w:t>
      </w:r>
      <w:r>
        <w:rPr>
          <w:rFonts w:ascii="宋体" w:hAnsi="宋体" w:eastAsia="宋体" w:cs="宋体"/>
          <w:color w:val="auto"/>
          <w:spacing w:val="-2"/>
          <w:sz w:val="24"/>
          <w:szCs w:val="24"/>
          <w:highlight w:val="none"/>
        </w:rPr>
        <w:t>双方之间共同遵守的文件，对双方具有约束</w:t>
      </w:r>
      <w:r>
        <w:rPr>
          <w:rFonts w:ascii="宋体" w:hAnsi="宋体" w:eastAsia="宋体" w:cs="宋体"/>
          <w:color w:val="auto"/>
          <w:spacing w:val="-3"/>
          <w:sz w:val="24"/>
          <w:szCs w:val="24"/>
          <w:highlight w:val="none"/>
        </w:rPr>
        <w:t>力。</w:t>
      </w:r>
    </w:p>
    <w:p w14:paraId="629EBB67">
      <w:pPr>
        <w:spacing w:before="182" w:line="220" w:lineRule="auto"/>
        <w:ind w:left="191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5"/>
          <w:sz w:val="24"/>
          <w:szCs w:val="24"/>
          <w:highlight w:val="none"/>
        </w:rPr>
        <w:t>（其他补充说明）。</w:t>
      </w:r>
    </w:p>
    <w:p w14:paraId="4F1E7182">
      <w:pPr>
        <w:pStyle w:val="3"/>
        <w:spacing w:line="246" w:lineRule="auto"/>
        <w:rPr>
          <w:color w:val="auto"/>
          <w:highlight w:val="none"/>
        </w:rPr>
      </w:pPr>
    </w:p>
    <w:p w14:paraId="5602720B">
      <w:pPr>
        <w:pStyle w:val="3"/>
        <w:spacing w:line="247" w:lineRule="auto"/>
        <w:rPr>
          <w:color w:val="auto"/>
          <w:highlight w:val="none"/>
        </w:rPr>
      </w:pPr>
    </w:p>
    <w:p w14:paraId="7BA5693C">
      <w:pPr>
        <w:pStyle w:val="3"/>
        <w:spacing w:line="247" w:lineRule="auto"/>
        <w:rPr>
          <w:color w:val="auto"/>
          <w:highlight w:val="none"/>
        </w:rPr>
      </w:pPr>
    </w:p>
    <w:p w14:paraId="1EA0518C">
      <w:pPr>
        <w:pStyle w:val="3"/>
        <w:spacing w:line="247" w:lineRule="auto"/>
        <w:rPr>
          <w:color w:val="auto"/>
          <w:highlight w:val="none"/>
        </w:rPr>
      </w:pPr>
    </w:p>
    <w:p w14:paraId="05B85766">
      <w:pPr>
        <w:pStyle w:val="3"/>
        <w:spacing w:line="247" w:lineRule="auto"/>
        <w:rPr>
          <w:color w:val="auto"/>
          <w:highlight w:val="none"/>
        </w:rPr>
      </w:pPr>
    </w:p>
    <w:p w14:paraId="50779E37">
      <w:pPr>
        <w:pStyle w:val="3"/>
        <w:spacing w:line="247" w:lineRule="auto"/>
        <w:rPr>
          <w:color w:val="auto"/>
          <w:highlight w:val="none"/>
        </w:rPr>
      </w:pPr>
    </w:p>
    <w:p w14:paraId="77065927">
      <w:pPr>
        <w:spacing w:before="78" w:line="233" w:lineRule="auto"/>
        <w:ind w:left="4548"/>
        <w:rPr>
          <w:rFonts w:ascii="宋体" w:hAnsi="宋体" w:eastAsia="宋体" w:cs="宋体"/>
          <w:color w:val="auto"/>
          <w:sz w:val="12"/>
          <w:szCs w:val="12"/>
          <w:highlight w:val="none"/>
        </w:rPr>
      </w:pPr>
      <w:r>
        <w:rPr>
          <w:rFonts w:ascii="宋体" w:hAnsi="宋体" w:eastAsia="宋体" w:cs="宋体"/>
          <w:color w:val="auto"/>
          <w:spacing w:val="-1"/>
          <w:sz w:val="24"/>
          <w:szCs w:val="24"/>
          <w:highlight w:val="none"/>
        </w:rPr>
        <w:t>投标人：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（盖单位章）</w:t>
      </w:r>
      <w:r>
        <w:rPr>
          <w:rStyle w:val="15"/>
          <w:rFonts w:ascii="宋体" w:hAnsi="宋体" w:eastAsia="宋体" w:cs="宋体"/>
          <w:color w:val="auto"/>
          <w:spacing w:val="-1"/>
          <w:sz w:val="24"/>
          <w:szCs w:val="24"/>
          <w:highlight w:val="none"/>
        </w:rPr>
        <w:footnoteReference w:id="12"/>
      </w:r>
    </w:p>
    <w:p w14:paraId="7B55A098">
      <w:pPr>
        <w:spacing w:before="183" w:line="220" w:lineRule="auto"/>
        <w:ind w:left="454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法定代表人或其委托代理人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签字）</w:t>
      </w:r>
    </w:p>
    <w:p w14:paraId="4886C06F">
      <w:pPr>
        <w:spacing w:before="182" w:line="229" w:lineRule="auto"/>
        <w:ind w:left="454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149A1FA9">
      <w:pPr>
        <w:spacing w:before="170" w:line="225" w:lineRule="auto"/>
        <w:ind w:left="456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网址：</w:t>
      </w:r>
      <w:r>
        <w:rPr>
          <w:rFonts w:ascii="宋体" w:hAnsi="宋体" w:eastAsia="宋体" w:cs="宋体"/>
          <w:color w:val="auto"/>
          <w:sz w:val="24"/>
          <w:szCs w:val="24"/>
          <w:highlight w:val="none"/>
          <w:u w:val="single" w:color="auto"/>
        </w:rPr>
        <w:t xml:space="preserve">                                       </w:t>
      </w:r>
    </w:p>
    <w:p w14:paraId="26B82F9E">
      <w:pPr>
        <w:spacing w:before="176" w:line="222" w:lineRule="auto"/>
        <w:ind w:left="457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333EDE1F">
      <w:pPr>
        <w:spacing w:before="179" w:line="219" w:lineRule="auto"/>
        <w:ind w:left="454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传真：</w:t>
      </w:r>
      <w:r>
        <w:rPr>
          <w:rFonts w:ascii="宋体" w:hAnsi="宋体" w:eastAsia="宋体" w:cs="宋体"/>
          <w:color w:val="auto"/>
          <w:sz w:val="24"/>
          <w:szCs w:val="24"/>
          <w:highlight w:val="none"/>
          <w:u w:val="single" w:color="auto"/>
        </w:rPr>
        <w:t xml:space="preserve">                                       </w:t>
      </w:r>
    </w:p>
    <w:p w14:paraId="0B4CA77F">
      <w:pPr>
        <w:tabs>
          <w:tab w:val="left" w:pos="7895"/>
        </w:tabs>
        <w:spacing w:before="184" w:line="362" w:lineRule="auto"/>
        <w:ind w:left="7415" w:right="1728" w:hanging="285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邮政编码</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18C9A7C7">
      <w:pPr>
        <w:pStyle w:val="3"/>
        <w:spacing w:line="254" w:lineRule="auto"/>
        <w:rPr>
          <w:color w:val="auto"/>
          <w:highlight w:val="none"/>
        </w:rPr>
      </w:pPr>
    </w:p>
    <w:p w14:paraId="0973CD94">
      <w:pPr>
        <w:pStyle w:val="3"/>
        <w:spacing w:line="254" w:lineRule="auto"/>
        <w:rPr>
          <w:color w:val="auto"/>
          <w:highlight w:val="none"/>
        </w:rPr>
      </w:pPr>
    </w:p>
    <w:p w14:paraId="09F7E61C">
      <w:pPr>
        <w:pStyle w:val="3"/>
        <w:spacing w:line="254" w:lineRule="auto"/>
        <w:rPr>
          <w:color w:val="auto"/>
          <w:highlight w:val="none"/>
        </w:rPr>
      </w:pPr>
    </w:p>
    <w:p w14:paraId="201D3372">
      <w:pPr>
        <w:pStyle w:val="3"/>
        <w:spacing w:line="254" w:lineRule="auto"/>
        <w:rPr>
          <w:color w:val="auto"/>
          <w:highlight w:val="none"/>
        </w:rPr>
      </w:pPr>
    </w:p>
    <w:p w14:paraId="30A4DFC4">
      <w:pPr>
        <w:pStyle w:val="3"/>
        <w:spacing w:line="254" w:lineRule="auto"/>
        <w:rPr>
          <w:color w:val="auto"/>
          <w:highlight w:val="none"/>
        </w:rPr>
      </w:pPr>
    </w:p>
    <w:p w14:paraId="15180A0A">
      <w:pPr>
        <w:pStyle w:val="3"/>
        <w:spacing w:line="254" w:lineRule="auto"/>
        <w:rPr>
          <w:color w:val="auto"/>
          <w:highlight w:val="none"/>
        </w:rPr>
      </w:pPr>
    </w:p>
    <w:p w14:paraId="06D22A26">
      <w:pPr>
        <w:pStyle w:val="3"/>
        <w:spacing w:line="254" w:lineRule="auto"/>
        <w:rPr>
          <w:color w:val="auto"/>
          <w:highlight w:val="none"/>
        </w:rPr>
      </w:pPr>
    </w:p>
    <w:p w14:paraId="0AC980FB">
      <w:pPr>
        <w:pStyle w:val="3"/>
        <w:spacing w:line="254" w:lineRule="auto"/>
        <w:rPr>
          <w:color w:val="auto"/>
          <w:highlight w:val="none"/>
        </w:rPr>
      </w:pPr>
    </w:p>
    <w:p w14:paraId="43114430">
      <w:pPr>
        <w:pStyle w:val="3"/>
        <w:spacing w:line="254" w:lineRule="auto"/>
        <w:rPr>
          <w:color w:val="auto"/>
          <w:highlight w:val="none"/>
        </w:rPr>
      </w:pPr>
    </w:p>
    <w:p w14:paraId="20644F3F">
      <w:pPr>
        <w:pStyle w:val="3"/>
        <w:spacing w:line="254" w:lineRule="auto"/>
        <w:rPr>
          <w:color w:val="auto"/>
          <w:highlight w:val="none"/>
        </w:rPr>
      </w:pPr>
    </w:p>
    <w:p w14:paraId="4F6C1533">
      <w:pPr>
        <w:pStyle w:val="3"/>
        <w:spacing w:line="255" w:lineRule="auto"/>
        <w:rPr>
          <w:color w:val="auto"/>
          <w:highlight w:val="none"/>
        </w:rPr>
      </w:pPr>
    </w:p>
    <w:p w14:paraId="423E33A0">
      <w:pPr>
        <w:spacing w:before="59" w:line="217" w:lineRule="auto"/>
        <w:ind w:left="1422"/>
        <w:rPr>
          <w:rFonts w:ascii="宋体" w:hAnsi="宋体" w:eastAsia="宋体" w:cs="宋体"/>
          <w:color w:val="auto"/>
          <w:sz w:val="18"/>
          <w:szCs w:val="18"/>
          <w:highlight w:val="none"/>
        </w:rPr>
      </w:pPr>
    </w:p>
    <w:p w14:paraId="5AB8B770">
      <w:pPr>
        <w:spacing w:line="217" w:lineRule="auto"/>
        <w:rPr>
          <w:rFonts w:ascii="宋体" w:hAnsi="宋体" w:eastAsia="宋体" w:cs="宋体"/>
          <w:color w:val="auto"/>
          <w:sz w:val="18"/>
          <w:szCs w:val="18"/>
          <w:highlight w:val="none"/>
        </w:rPr>
        <w:sectPr>
          <w:headerReference r:id="rId226" w:type="default"/>
          <w:footerReference r:id="rId227" w:type="default"/>
          <w:footnotePr>
            <w:numFmt w:val="decimalEnclosedCircleChinese"/>
            <w:numRestart w:val="eachPage"/>
          </w:footnotePr>
          <w:pgSz w:w="11905" w:h="16840"/>
          <w:pgMar w:top="1182" w:right="0" w:bottom="1171" w:left="0" w:header="849" w:footer="937" w:gutter="0"/>
          <w:pgNumType w:fmt="decimal"/>
          <w:cols w:space="720" w:num="1"/>
        </w:sectPr>
      </w:pPr>
    </w:p>
    <w:p w14:paraId="5EC0BA35">
      <w:pPr>
        <w:pStyle w:val="3"/>
        <w:spacing w:line="294" w:lineRule="auto"/>
        <w:rPr>
          <w:color w:val="auto"/>
          <w:highlight w:val="none"/>
        </w:rPr>
      </w:pPr>
    </w:p>
    <w:p w14:paraId="0AFC0954">
      <w:pPr>
        <w:spacing w:before="87"/>
        <w:ind w:left="4492"/>
        <w:rPr>
          <w:rFonts w:ascii="宋体" w:hAnsi="宋体" w:eastAsia="宋体" w:cs="宋体"/>
          <w:color w:val="auto"/>
          <w:sz w:val="13"/>
          <w:szCs w:val="13"/>
          <w:highlight w:val="none"/>
        </w:rPr>
      </w:pPr>
      <w:r>
        <w:rPr>
          <w:rFonts w:ascii="宋体" w:hAnsi="宋体" w:eastAsia="宋体" w:cs="宋体"/>
          <w:b/>
          <w:bCs/>
          <w:color w:val="auto"/>
          <w:spacing w:val="6"/>
          <w:sz w:val="27"/>
          <w:szCs w:val="27"/>
          <w:highlight w:val="none"/>
        </w:rPr>
        <w:t>二、已标价工程量清单</w:t>
      </w:r>
    </w:p>
    <w:p w14:paraId="3F141551">
      <w:pPr>
        <w:pStyle w:val="3"/>
        <w:spacing w:line="467" w:lineRule="auto"/>
        <w:rPr>
          <w:color w:val="auto"/>
          <w:highlight w:val="none"/>
        </w:rPr>
      </w:pPr>
    </w:p>
    <w:p w14:paraId="67D7269B">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1.工程量清单说明</w:t>
      </w:r>
    </w:p>
    <w:p w14:paraId="042A9239">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265225F7">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1.2 本工程量清单应与招标文件中的投标人须知、通用合同条款、专用合同条款、工程量清单计量规则、技术规范及图纸等一起阅读和理解。</w:t>
      </w:r>
    </w:p>
    <w:p w14:paraId="210A35DC">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1.3 本工程量清单中所列工程数量(除技术规范专用条款工程量清单计量与支付规则的规定外)是估算的或设计的预计数量，仅作为投标报价的共同基础，不能作为最终结算与支付的依据。</w:t>
      </w:r>
    </w:p>
    <w:p w14:paraId="6DFC57FA">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1.4 工程量清单各章是按第七章“技术规范”、第八章“工程量清单计量规则”的相应章次编号的，因此，工程量清单中各章的工程子目的范围与计量等应与“技术规范”、“工程量清单计量规则”相应章节的范围、计量与支付条款结合起来理解或解释。</w:t>
      </w:r>
    </w:p>
    <w:p w14:paraId="4778A8B9">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1.5 对作业和材料的一般说明或规定，未重复写入工程量清单内，在给工程量清单子子目标价前，应参阅第七章“技术规范”的有关部分。</w:t>
      </w:r>
    </w:p>
    <w:p w14:paraId="092498FE">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1.6工程量清单的光圆钢筋指HPB300，带肋钢筋指HRB400等。</w:t>
      </w:r>
    </w:p>
    <w:p w14:paraId="57866583">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1.7 工程量清单中所列工程量的变动，丝毫不会降低或影响合同条款的效力，也不免除承包人按规定的标准进行施工和修复缺陷的责任。</w:t>
      </w:r>
    </w:p>
    <w:p w14:paraId="56A21503">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1.8 图纸中所列的工程数量表及数量汇总表仅是提供资料，不是工程量清单的外延。当图纸与工程量清单所列数量不一致时，以工程量清单所列数量作为报价的依据。</w:t>
      </w:r>
    </w:p>
    <w:p w14:paraId="31EAE91F">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2.投标报价说明</w:t>
      </w:r>
    </w:p>
    <w:p w14:paraId="6E07E98E">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2.1工程量清单中的每一个子目须填入单价或价格，且只允许有一个报价。</w:t>
      </w:r>
    </w:p>
    <w:p w14:paraId="47BF1D4C">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2.2 除非合同另有规定，工程量清单中有标价的单价和总额价均已包括了为实施和完成合同工程所需的劳务、材料、机械、质检（自检）、安装、缺陷修复、管理、保险（建筑工程一切险和第三方责任险除外）、税费、利润等费用，以及合同明示或暗示的所有责任、义务和一般风险。</w:t>
      </w:r>
    </w:p>
    <w:p w14:paraId="1F6D5223">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5F777918">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4D993290">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2.5 承包人对用于本合同工程的各类装备的提供、运输、维护、拆卸、拼装等支付的费用，已包括在工程量清单的单价与总额价之中。</w:t>
      </w:r>
    </w:p>
    <w:p w14:paraId="7B40B0BD">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2.6 工程量清单中各项金额均以人民币（元）结算。</w:t>
      </w:r>
    </w:p>
    <w:p w14:paraId="2E2DBEAD">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2.7 暂列金额（不含计日工总额）的数量及拟用子目的说明：</w:t>
      </w:r>
    </w:p>
    <w:p w14:paraId="4E773E21">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暂列金额按本合同工程量清单第100至第900章的 3%计列并包含于投标总价，暂列金额应由监理人报发包人批准后指令全部或部分地使用，或者根本不予动用。</w:t>
      </w:r>
    </w:p>
    <w:p w14:paraId="67ECF069">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2.8 暂估价的数量及拟用子目的说明：无。</w:t>
      </w:r>
    </w:p>
    <w:p w14:paraId="7609D722">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3.计日工说明</w:t>
      </w:r>
    </w:p>
    <w:p w14:paraId="5AEF6DD8">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无</w:t>
      </w:r>
    </w:p>
    <w:p w14:paraId="19114557">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4.其他说明</w:t>
      </w:r>
    </w:p>
    <w:p w14:paraId="5EBF74ED">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4.1总则部分说明</w:t>
      </w:r>
    </w:p>
    <w:p w14:paraId="0046E3CE">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 保险费的投保金额为工程量清单第 100章(</w:t>
      </w:r>
      <w:r>
        <w:rPr>
          <w:rFonts w:hint="eastAsia" w:ascii="宋体" w:hAnsi="宋体" w:eastAsia="宋体" w:cs="宋体"/>
          <w:snapToGrid w:val="0"/>
          <w:color w:val="auto"/>
          <w:spacing w:val="-3"/>
          <w:kern w:val="0"/>
          <w:sz w:val="24"/>
          <w:szCs w:val="24"/>
          <w:highlight w:val="none"/>
          <w:lang w:val="en-US" w:eastAsia="zh-CN" w:bidi="ar"/>
        </w:rPr>
        <w:t>扣除建筑工程一切险及第三者责任险的保险费、安全生产费、暂列金额、机电工程设备购置费以及临时用地费</w:t>
      </w:r>
      <w:r>
        <w:rPr>
          <w:rFonts w:hint="eastAsia" w:ascii="宋体" w:hAnsi="宋体" w:eastAsia="宋体" w:cs="宋体"/>
          <w:color w:val="auto"/>
          <w:spacing w:val="-3"/>
          <w:sz w:val="24"/>
          <w:szCs w:val="24"/>
          <w:highlight w:val="none"/>
        </w:rPr>
        <w:t>)至第 900 章的合计金额，保险费率为4‰。工程量清单第100章内列有保险费的支付子目，投标人根据此保险费率计算出保险费，填入工程量清单。该保险费一般指建筑工程一切险及第三者责任险，除此以外，所投其他保险的保险费均由承包人承担并支付，不在报价中单列。</w:t>
      </w:r>
    </w:p>
    <w:p w14:paraId="1787BE49">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 清单子目“102-3安全生产费用”为发包人公布的固定金额。</w:t>
      </w:r>
    </w:p>
    <w:p w14:paraId="0C4E993F">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交通管制经费，以总额计量，其费用包括为保证工程施工而需要占用交通设施或影响交通设施正常使用、暂时维持或封闭交通、缴纳地方收取的占用设施费、施工围蔽（结合图纸参照《广州市建设工程绿色施工围蔽指导图集（V2.0版）》实施，施工单位应根据实际情况及相关法规编制施工组织方案，报监理审批后落实围蔽实施方案）、施工警示灯等费用，包括但不限于交通疏解、指示灯、标示牌、交通协管员、临时标线、防护措施、公路及地方道路的维护、恢复交通必要的清理和修复、交通组织方案的编制、评审和实施费用以及按主管部门如水利、交警、边防、公路管理等部门要求需缴纳的各种费用等。交通管制经费应专项使用，不得挪作他用。</w:t>
      </w:r>
    </w:p>
    <w:p w14:paraId="6BBA271F">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(4)税金（含增值税、城市建设维护税、教育附加税、地方教育附加税等），不在报价中单列。</w:t>
      </w:r>
    </w:p>
    <w:p w14:paraId="6AB2DC71">
      <w:pPr>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4.2 投标报价的所有单价取小数点后两位，所有合价和总价取整。</w:t>
      </w:r>
    </w:p>
    <w:p w14:paraId="4DFC17B6">
      <w:pPr>
        <w:keepNext w:val="0"/>
        <w:keepLines w:val="0"/>
        <w:widowControl/>
        <w:suppressLineNumbers w:val="0"/>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snapToGrid w:val="0"/>
          <w:color w:val="auto"/>
          <w:spacing w:val="-3"/>
          <w:kern w:val="0"/>
          <w:sz w:val="24"/>
          <w:szCs w:val="24"/>
          <w:highlight w:val="none"/>
          <w:lang w:val="en-US" w:eastAsia="zh-CN" w:bidi="ar"/>
        </w:rPr>
        <w:t xml:space="preserve">5. 工程量清单 </w:t>
      </w:r>
    </w:p>
    <w:p w14:paraId="6D434C63">
      <w:pPr>
        <w:keepNext w:val="0"/>
        <w:keepLines w:val="0"/>
        <w:widowControl/>
        <w:suppressLineNumbers w:val="0"/>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snapToGrid w:val="0"/>
          <w:color w:val="auto"/>
          <w:spacing w:val="-3"/>
          <w:kern w:val="0"/>
          <w:sz w:val="24"/>
          <w:szCs w:val="24"/>
          <w:highlight w:val="none"/>
          <w:lang w:val="en-US" w:eastAsia="zh-CN" w:bidi="ar"/>
        </w:rPr>
        <w:t xml:space="preserve">5.1 工程量清单表 </w:t>
      </w:r>
    </w:p>
    <w:p w14:paraId="26A76608">
      <w:pPr>
        <w:keepNext w:val="0"/>
        <w:keepLines w:val="0"/>
        <w:widowControl/>
        <w:suppressLineNumbers w:val="0"/>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snapToGrid w:val="0"/>
          <w:color w:val="auto"/>
          <w:spacing w:val="-3"/>
          <w:kern w:val="0"/>
          <w:sz w:val="24"/>
          <w:szCs w:val="24"/>
          <w:highlight w:val="none"/>
          <w:lang w:val="en-US" w:eastAsia="zh-CN" w:bidi="ar"/>
        </w:rPr>
        <w:t xml:space="preserve">工程量清单具体应执行《广东省公路工程造价标准化管理指南》、广东省《公路工程造价管理指南》及现行的《广东省执行交通运输部&lt;公路工程标准施工招标文件范本&gt; 的补充规定》《广东省公路工程施工招标清单预算管理规程》。如以上文件有修订，本范本则依照最新修订版本执行。 </w:t>
      </w:r>
    </w:p>
    <w:p w14:paraId="0FA9D330">
      <w:pPr>
        <w:keepNext w:val="0"/>
        <w:keepLines w:val="0"/>
        <w:widowControl/>
        <w:suppressLineNumbers w:val="0"/>
        <w:spacing w:before="78" w:line="361" w:lineRule="auto"/>
        <w:ind w:left="1425" w:right="1416"/>
        <w:jc w:val="both"/>
        <w:rPr>
          <w:rFonts w:hint="eastAsia" w:ascii="宋体" w:hAnsi="宋体" w:eastAsia="宋体" w:cs="宋体"/>
          <w:color w:val="auto"/>
          <w:spacing w:val="-3"/>
          <w:sz w:val="24"/>
          <w:szCs w:val="24"/>
          <w:highlight w:val="none"/>
        </w:rPr>
      </w:pPr>
      <w:r>
        <w:rPr>
          <w:rFonts w:hint="eastAsia" w:ascii="宋体" w:hAnsi="宋体" w:eastAsia="宋体" w:cs="宋体"/>
          <w:snapToGrid w:val="0"/>
          <w:color w:val="auto"/>
          <w:spacing w:val="-3"/>
          <w:kern w:val="0"/>
          <w:sz w:val="24"/>
          <w:szCs w:val="24"/>
          <w:highlight w:val="none"/>
          <w:lang w:val="en-US" w:eastAsia="zh-CN" w:bidi="ar"/>
        </w:rPr>
        <w:t>注：投标人应按照第五章“工程量清单”的要求逐项编制工程量清单文件。投标时提交工程量清单，投标人中标后，发包人可要求中标人提交项目清单、分项清单等完整工程量清单文件，中标人不得拒绝。</w:t>
      </w:r>
    </w:p>
    <w:p w14:paraId="65E1FFE9">
      <w:pPr>
        <w:spacing w:before="78" w:line="361" w:lineRule="auto"/>
        <w:ind w:left="1425" w:right="1416"/>
        <w:jc w:val="both"/>
        <w:rPr>
          <w:rFonts w:hint="eastAsia" w:ascii="宋体" w:hAnsi="宋体" w:eastAsia="宋体" w:cs="宋体"/>
          <w:color w:val="auto"/>
          <w:spacing w:val="-3"/>
          <w:sz w:val="24"/>
          <w:szCs w:val="24"/>
          <w:highlight w:val="none"/>
        </w:rPr>
      </w:pPr>
    </w:p>
    <w:sectPr>
      <w:headerReference r:id="rId228" w:type="default"/>
      <w:footerReference r:id="rId229" w:type="default"/>
      <w:pgSz w:w="11905" w:h="16840"/>
      <w:pgMar w:top="1182" w:right="0" w:bottom="1171" w:left="0" w:header="849" w:footer="93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ingFangSC-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7A"/>
    <w:family w:val="swiss"/>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471BF">
    <w:pPr>
      <w:spacing w:line="230" w:lineRule="auto"/>
      <w:ind w:left="5926"/>
      <w:rPr>
        <w:rFonts w:ascii="宋体" w:hAnsi="宋体" w:eastAsia="宋体" w:cs="宋体"/>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2505D">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y9Yg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Z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08vWINAIAAGUEAAAOAAAAAAAAAAEAIAAAAB8BAABkcnMvZTJvRG9jLnhtbFBL&#10;BQYAAAAABgAGAFkBAADFBQAAAAA=&#10;">
              <v:fill on="f" focussize="0,0"/>
              <v:stroke on="f" weight="0.5pt"/>
              <v:imagedata o:title=""/>
              <o:lock v:ext="edit" aspectratio="f"/>
              <v:textbox inset="0mm,0mm,0mm,0mm" style="mso-fit-shape-to-text:t;">
                <w:txbxContent>
                  <w:p w14:paraId="7782505D">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0F744">
    <w:pPr>
      <w:spacing w:line="230" w:lineRule="auto"/>
      <w:ind w:left="5871"/>
      <w:rPr>
        <w:rFonts w:ascii="宋体" w:hAnsi="宋体" w:eastAsia="宋体" w:cs="宋体"/>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C0EB5">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lFP4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pmO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5RT+NAIAAGUEAAAOAAAAAAAAAAEAIAAAAB8BAABkcnMvZTJvRG9jLnhtbFBL&#10;BQYAAAAABgAGAFkBAADFBQAAAAA=&#10;">
              <v:fill on="f" focussize="0,0"/>
              <v:stroke on="f" weight="0.5pt"/>
              <v:imagedata o:title=""/>
              <o:lock v:ext="edit" aspectratio="f"/>
              <v:textbox inset="0mm,0mm,0mm,0mm" style="mso-fit-shape-to-text:t;">
                <w:txbxContent>
                  <w:p w14:paraId="4B6C0EB5">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B072C">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4" name="文本框 5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333AF">
                          <w:pPr>
                            <w:pStyle w:val="6"/>
                          </w:pPr>
                          <w:r>
                            <w:fldChar w:fldCharType="begin"/>
                          </w:r>
                          <w:r>
                            <w:instrText xml:space="preserve"> PAGE  \* MERGEFORMAT </w:instrText>
                          </w:r>
                          <w:r>
                            <w:fldChar w:fldCharType="separate"/>
                          </w:r>
                          <w:r>
                            <w:t>270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mjjE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aaOMTUCAABlBAAADgAAAAAAAAABACAAAAAfAQAAZHJzL2Uyb0RvYy54bWxQ&#10;SwUGAAAAAAYABgBZAQAAxgUAAAAA&#10;">
              <v:fill on="f" focussize="0,0"/>
              <v:stroke on="f" weight="0.5pt"/>
              <v:imagedata o:title=""/>
              <o:lock v:ext="edit" aspectratio="f"/>
              <v:textbox inset="0mm,0mm,0mm,0mm" style="mso-fit-shape-to-text:t;">
                <w:txbxContent>
                  <w:p w14:paraId="1BA333AF">
                    <w:pPr>
                      <w:pStyle w:val="6"/>
                    </w:pPr>
                    <w:r>
                      <w:fldChar w:fldCharType="begin"/>
                    </w:r>
                    <w:r>
                      <w:instrText xml:space="preserve"> PAGE  \* MERGEFORMAT </w:instrText>
                    </w:r>
                    <w:r>
                      <w:fldChar w:fldCharType="separate"/>
                    </w:r>
                    <w:r>
                      <w:t>270</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B05D5">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E17D9">
                          <w:pPr>
                            <w:pStyle w:val="6"/>
                          </w:pPr>
                          <w:r>
                            <w:fldChar w:fldCharType="begin"/>
                          </w:r>
                          <w:r>
                            <w:instrText xml:space="preserve"> PAGE  \* MERGEFORMAT </w:instrText>
                          </w:r>
                          <w:r>
                            <w:fldChar w:fldCharType="separate"/>
                          </w:r>
                          <w:r>
                            <w:t>271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aEK00AgAAZQQAAA4AAABkcnMvZTJvRG9jLnhtbK1UzY7TMBC+I/EO&#10;lu80aVGX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GhCtNAIAAGUEAAAOAAAAAAAAAAEAIAAAAB8BAABkcnMvZTJvRG9jLnhtbFBL&#10;BQYAAAAABgAGAFkBAADFBQAAAAA=&#10;">
              <v:fill on="f" focussize="0,0"/>
              <v:stroke on="f" weight="0.5pt"/>
              <v:imagedata o:title=""/>
              <o:lock v:ext="edit" aspectratio="f"/>
              <v:textbox inset="0mm,0mm,0mm,0mm" style="mso-fit-shape-to-text:t;">
                <w:txbxContent>
                  <w:p w14:paraId="540E17D9">
                    <w:pPr>
                      <w:pStyle w:val="6"/>
                    </w:pPr>
                    <w:r>
                      <w:fldChar w:fldCharType="begin"/>
                    </w:r>
                    <w:r>
                      <w:instrText xml:space="preserve"> PAGE  \* MERGEFORMAT </w:instrText>
                    </w:r>
                    <w:r>
                      <w:fldChar w:fldCharType="separate"/>
                    </w:r>
                    <w:r>
                      <w:t>271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6B247">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6" name="文本框 5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CFD14">
                          <w:pPr>
                            <w:pStyle w:val="6"/>
                          </w:pPr>
                          <w:r>
                            <w:fldChar w:fldCharType="begin"/>
                          </w:r>
                          <w:r>
                            <w:instrText xml:space="preserve"> PAGE  \* MERGEFORMAT </w:instrText>
                          </w:r>
                          <w:r>
                            <w:fldChar w:fldCharType="separate"/>
                          </w:r>
                          <w:r>
                            <w:t>272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YwtM0AgAAZQQAAA4AAABkcnMvZTJvRG9jLnhtbK1UzY7TMBC+I/EO&#10;lu80adGW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2MLTNAIAAGUEAAAOAAAAAAAAAAEAIAAAAB8BAABkcnMvZTJvRG9jLnhtbFBL&#10;BQYAAAAABgAGAFkBAADFBQAAAAA=&#10;">
              <v:fill on="f" focussize="0,0"/>
              <v:stroke on="f" weight="0.5pt"/>
              <v:imagedata o:title=""/>
              <o:lock v:ext="edit" aspectratio="f"/>
              <v:textbox inset="0mm,0mm,0mm,0mm" style="mso-fit-shape-to-text:t;">
                <w:txbxContent>
                  <w:p w14:paraId="3E9CFD14">
                    <w:pPr>
                      <w:pStyle w:val="6"/>
                    </w:pPr>
                    <w:r>
                      <w:fldChar w:fldCharType="begin"/>
                    </w:r>
                    <w:r>
                      <w:instrText xml:space="preserve"> PAGE  \* MERGEFORMAT </w:instrText>
                    </w:r>
                    <w:r>
                      <w:fldChar w:fldCharType="separate"/>
                    </w:r>
                    <w:r>
                      <w:t>272</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5F3B">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7" name="文本框 5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D04EF">
                          <w:pPr>
                            <w:pStyle w:val="6"/>
                          </w:pPr>
                          <w:r>
                            <w:fldChar w:fldCharType="begin"/>
                          </w:r>
                          <w:r>
                            <w:instrText xml:space="preserve"> PAGE  \* MERGEFORMAT </w:instrText>
                          </w:r>
                          <w:r>
                            <w:fldChar w:fldCharType="separate"/>
                          </w:r>
                          <w:r>
                            <w:t>273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XE81AgAAZQ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WRcTzUCAABlBAAADgAAAAAAAAABACAAAAAfAQAAZHJzL2Uyb0RvYy54bWxQ&#10;SwUGAAAAAAYABgBZAQAAxgUAAAAA&#10;">
              <v:fill on="f" focussize="0,0"/>
              <v:stroke on="f" weight="0.5pt"/>
              <v:imagedata o:title=""/>
              <o:lock v:ext="edit" aspectratio="f"/>
              <v:textbox inset="0mm,0mm,0mm,0mm" style="mso-fit-shape-to-text:t;">
                <w:txbxContent>
                  <w:p w14:paraId="765D04EF">
                    <w:pPr>
                      <w:pStyle w:val="6"/>
                    </w:pPr>
                    <w:r>
                      <w:fldChar w:fldCharType="begin"/>
                    </w:r>
                    <w:r>
                      <w:instrText xml:space="preserve"> PAGE  \* MERGEFORMAT </w:instrText>
                    </w:r>
                    <w:r>
                      <w:fldChar w:fldCharType="separate"/>
                    </w:r>
                    <w:r>
                      <w:t>273</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922B3">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33BE2">
                          <w:pPr>
                            <w:pStyle w:val="6"/>
                          </w:pPr>
                          <w:r>
                            <w:fldChar w:fldCharType="begin"/>
                          </w:r>
                          <w:r>
                            <w:instrText xml:space="preserve"> PAGE  \* MERGEFORMAT </w:instrText>
                          </w:r>
                          <w:r>
                            <w:fldChar w:fldCharType="separate"/>
                          </w:r>
                          <w:r>
                            <w:t>274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rtBE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q7QRNAIAAGUEAAAOAAAAAAAAAAEAIAAAAB8BAABkcnMvZTJvRG9jLnhtbFBL&#10;BQYAAAAABgAGAFkBAADFBQAAAAA=&#10;">
              <v:fill on="f" focussize="0,0"/>
              <v:stroke on="f" weight="0.5pt"/>
              <v:imagedata o:title=""/>
              <o:lock v:ext="edit" aspectratio="f"/>
              <v:textbox inset="0mm,0mm,0mm,0mm" style="mso-fit-shape-to-text:t;">
                <w:txbxContent>
                  <w:p w14:paraId="3DC33BE2">
                    <w:pPr>
                      <w:pStyle w:val="6"/>
                    </w:pPr>
                    <w:r>
                      <w:fldChar w:fldCharType="begin"/>
                    </w:r>
                    <w:r>
                      <w:instrText xml:space="preserve"> PAGE  \* MERGEFORMAT </w:instrText>
                    </w:r>
                    <w:r>
                      <w:fldChar w:fldCharType="separate"/>
                    </w:r>
                    <w:r>
                      <w:t>274</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0DDF7">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9" name="文本框 5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A8DBB">
                          <w:pPr>
                            <w:pStyle w:val="6"/>
                          </w:pPr>
                          <w:r>
                            <w:fldChar w:fldCharType="begin"/>
                          </w:r>
                          <w:r>
                            <w:instrText xml:space="preserve"> PAGE  \* MERGEFORMAT </w:instrText>
                          </w:r>
                          <w:r>
                            <w:fldChar w:fldCharType="separate"/>
                          </w:r>
                          <w:r>
                            <w:t>275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XKo01AgAAZQ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xcqjTUCAABlBAAADgAAAAAAAAABACAAAAAfAQAAZHJzL2Uyb0RvYy54bWxQ&#10;SwUGAAAAAAYABgBZAQAAxgUAAAAA&#10;">
              <v:fill on="f" focussize="0,0"/>
              <v:stroke on="f" weight="0.5pt"/>
              <v:imagedata o:title=""/>
              <o:lock v:ext="edit" aspectratio="f"/>
              <v:textbox inset="0mm,0mm,0mm,0mm" style="mso-fit-shape-to-text:t;">
                <w:txbxContent>
                  <w:p w14:paraId="22AA8DBB">
                    <w:pPr>
                      <w:pStyle w:val="6"/>
                    </w:pPr>
                    <w:r>
                      <w:fldChar w:fldCharType="begin"/>
                    </w:r>
                    <w:r>
                      <w:instrText xml:space="preserve"> PAGE  \* MERGEFORMAT </w:instrText>
                    </w:r>
                    <w:r>
                      <w:fldChar w:fldCharType="separate"/>
                    </w:r>
                    <w:r>
                      <w:t>275</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1A6CC">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0" name="文本框 5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8063F">
                          <w:pPr>
                            <w:pStyle w:val="6"/>
                          </w:pPr>
                          <w:r>
                            <w:fldChar w:fldCharType="begin"/>
                          </w:r>
                          <w:r>
                            <w:instrText xml:space="preserve"> PAGE  \* MERGEFORMAT </w:instrText>
                          </w:r>
                          <w:r>
                            <w:fldChar w:fldCharType="separate"/>
                          </w:r>
                          <w:r>
                            <w:t>276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IVCY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v32a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iFQmNAIAAGUEAAAOAAAAAAAAAAEAIAAAAB8BAABkcnMvZTJvRG9jLnhtbFBL&#10;BQYAAAAABgAGAFkBAADFBQAAAAA=&#10;">
              <v:fill on="f" focussize="0,0"/>
              <v:stroke on="f" weight="0.5pt"/>
              <v:imagedata o:title=""/>
              <o:lock v:ext="edit" aspectratio="f"/>
              <v:textbox inset="0mm,0mm,0mm,0mm" style="mso-fit-shape-to-text:t;">
                <w:txbxContent>
                  <w:p w14:paraId="0068063F">
                    <w:pPr>
                      <w:pStyle w:val="6"/>
                    </w:pPr>
                    <w:r>
                      <w:fldChar w:fldCharType="begin"/>
                    </w:r>
                    <w:r>
                      <w:instrText xml:space="preserve"> PAGE  \* MERGEFORMAT </w:instrText>
                    </w:r>
                    <w:r>
                      <w:fldChar w:fldCharType="separate"/>
                    </w:r>
                    <w:r>
                      <w:t>276</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1616F">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1" name="文本框 5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B1519">
                          <w:pPr>
                            <w:pStyle w:val="6"/>
                          </w:pPr>
                          <w:r>
                            <w:fldChar w:fldCharType="begin"/>
                          </w:r>
                          <w:r>
                            <w:instrText xml:space="preserve"> PAGE  \* MERGEFORMAT </w:instrText>
                          </w:r>
                          <w:r>
                            <w:fldChar w:fldCharType="separate"/>
                          </w:r>
                          <w:r>
                            <w:t>277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0yro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2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Mq6NAIAAGUEAAAOAAAAAAAAAAEAIAAAAB8BAABkcnMvZTJvRG9jLnhtbFBL&#10;BQYAAAAABgAGAFkBAADFBQAAAAA=&#10;">
              <v:fill on="f" focussize="0,0"/>
              <v:stroke on="f" weight="0.5pt"/>
              <v:imagedata o:title=""/>
              <o:lock v:ext="edit" aspectratio="f"/>
              <v:textbox inset="0mm,0mm,0mm,0mm" style="mso-fit-shape-to-text:t;">
                <w:txbxContent>
                  <w:p w14:paraId="1E7B1519">
                    <w:pPr>
                      <w:pStyle w:val="6"/>
                    </w:pPr>
                    <w:r>
                      <w:fldChar w:fldCharType="begin"/>
                    </w:r>
                    <w:r>
                      <w:instrText xml:space="preserve"> PAGE  \* MERGEFORMAT </w:instrText>
                    </w:r>
                    <w:r>
                      <w:fldChar w:fldCharType="separate"/>
                    </w:r>
                    <w:r>
                      <w:t>277</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1D14">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8C764">
                          <w:pPr>
                            <w:pStyle w:val="6"/>
                          </w:pPr>
                          <w:r>
                            <w:fldChar w:fldCharType="begin"/>
                          </w:r>
                          <w:r>
                            <w:instrText xml:space="preserve"> PAGE  \* MERGEFORMAT </w:instrText>
                          </w:r>
                          <w:r>
                            <w:fldChar w:fldCharType="separate"/>
                          </w:r>
                          <w:r>
                            <w:t>278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2GMQ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z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hjENAIAAGUEAAAOAAAAAAAAAAEAIAAAAB8BAABkcnMvZTJvRG9jLnhtbFBL&#10;BQYAAAAABgAGAFkBAADFBQAAAAA=&#10;">
              <v:fill on="f" focussize="0,0"/>
              <v:stroke on="f" weight="0.5pt"/>
              <v:imagedata o:title=""/>
              <o:lock v:ext="edit" aspectratio="f"/>
              <v:textbox inset="0mm,0mm,0mm,0mm" style="mso-fit-shape-to-text:t;">
                <w:txbxContent>
                  <w:p w14:paraId="7D98C764">
                    <w:pPr>
                      <w:pStyle w:val="6"/>
                    </w:pPr>
                    <w:r>
                      <w:fldChar w:fldCharType="begin"/>
                    </w:r>
                    <w:r>
                      <w:instrText xml:space="preserve"> PAGE  \* MERGEFORMAT </w:instrText>
                    </w:r>
                    <w:r>
                      <w:fldChar w:fldCharType="separate"/>
                    </w:r>
                    <w:r>
                      <w:t>278</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51931">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A16EE">
                          <w:pPr>
                            <w:pStyle w:val="6"/>
                          </w:pPr>
                          <w:r>
                            <w:fldChar w:fldCharType="begin"/>
                          </w:r>
                          <w:r>
                            <w:instrText xml:space="preserve"> PAGE  \* MERGEFORMAT </w:instrText>
                          </w:r>
                          <w:r>
                            <w:fldChar w:fldCharType="separate"/>
                          </w:r>
                          <w:r>
                            <w:t>279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Kh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ez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SoZYNAIAAGUEAAAOAAAAAAAAAAEAIAAAAB8BAABkcnMvZTJvRG9jLnhtbFBL&#10;BQYAAAAABgAGAFkBAADFBQAAAAA=&#10;">
              <v:fill on="f" focussize="0,0"/>
              <v:stroke on="f" weight="0.5pt"/>
              <v:imagedata o:title=""/>
              <o:lock v:ext="edit" aspectratio="f"/>
              <v:textbox inset="0mm,0mm,0mm,0mm" style="mso-fit-shape-to-text:t;">
                <w:txbxContent>
                  <w:p w14:paraId="662A16EE">
                    <w:pPr>
                      <w:pStyle w:val="6"/>
                    </w:pPr>
                    <w:r>
                      <w:fldChar w:fldCharType="begin"/>
                    </w:r>
                    <w:r>
                      <w:instrText xml:space="preserve"> PAGE  \* MERGEFORMAT </w:instrText>
                    </w:r>
                    <w:r>
                      <w:fldChar w:fldCharType="separate"/>
                    </w:r>
                    <w:r>
                      <w:t>279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9E51">
    <w:pPr>
      <w:spacing w:line="230" w:lineRule="auto"/>
      <w:ind w:left="5871"/>
      <w:rPr>
        <w:rFonts w:ascii="宋体" w:hAnsi="宋体" w:eastAsia="宋体" w:cs="宋体"/>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FFE60">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nxo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10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J8aANAIAAGUEAAAOAAAAAAAAAAEAIAAAAB8BAABkcnMvZTJvRG9jLnhtbFBL&#10;BQYAAAAABgAGAFkBAADFBQAAAAA=&#10;">
              <v:fill on="f" focussize="0,0"/>
              <v:stroke on="f" weight="0.5pt"/>
              <v:imagedata o:title=""/>
              <o:lock v:ext="edit" aspectratio="f"/>
              <v:textbox inset="0mm,0mm,0mm,0mm" style="mso-fit-shape-to-text:t;">
                <w:txbxContent>
                  <w:p w14:paraId="142FFE60">
                    <w:pPr>
                      <w:pStyle w:val="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85C57">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218A3">
                          <w:pPr>
                            <w:pStyle w:val="6"/>
                          </w:pPr>
                          <w:r>
                            <w:fldChar w:fldCharType="begin"/>
                          </w:r>
                          <w:r>
                            <w:instrText xml:space="preserve"> PAGE  \* MERGEFORMAT </w:instrText>
                          </w:r>
                          <w:r>
                            <w:fldChar w:fldCharType="separate"/>
                          </w:r>
                          <w:r>
                            <w:t>282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vTk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3O9OTUCAABlBAAADgAAAAAAAAABACAAAAAfAQAAZHJzL2Uyb0RvYy54bWxQ&#10;SwUGAAAAAAYABgBZAQAAxgUAAAAA&#10;">
              <v:fill on="f" focussize="0,0"/>
              <v:stroke on="f" weight="0.5pt"/>
              <v:imagedata o:title=""/>
              <o:lock v:ext="edit" aspectratio="f"/>
              <v:textbox inset="0mm,0mm,0mm,0mm" style="mso-fit-shape-to-text:t;">
                <w:txbxContent>
                  <w:p w14:paraId="0E0218A3">
                    <w:pPr>
                      <w:pStyle w:val="6"/>
                    </w:pPr>
                    <w:r>
                      <w:fldChar w:fldCharType="begin"/>
                    </w:r>
                    <w:r>
                      <w:instrText xml:space="preserve"> PAGE  \* MERGEFORMAT </w:instrText>
                    </w:r>
                    <w:r>
                      <w:fldChar w:fldCharType="separate"/>
                    </w:r>
                    <w:r>
                      <w:t>282</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34B6">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1BF12">
                          <w:pPr>
                            <w:pStyle w:val="6"/>
                          </w:pPr>
                          <w:r>
                            <w:fldChar w:fldCharType="begin"/>
                          </w:r>
                          <w:r>
                            <w:instrText xml:space="preserve"> PAGE  \* MERGEFORMAT </w:instrText>
                          </w:r>
                          <w:r>
                            <w:fldChar w:fldCharType="separate"/>
                          </w:r>
                          <w:r>
                            <w:t>283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PI6U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3Opp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zyOlNAIAAGUEAAAOAAAAAAAAAAEAIAAAAB8BAABkcnMvZTJvRG9jLnhtbFBL&#10;BQYAAAAABgAGAFkBAADFBQAAAAA=&#10;">
              <v:fill on="f" focussize="0,0"/>
              <v:stroke on="f" weight="0.5pt"/>
              <v:imagedata o:title=""/>
              <o:lock v:ext="edit" aspectratio="f"/>
              <v:textbox inset="0mm,0mm,0mm,0mm" style="mso-fit-shape-to-text:t;">
                <w:txbxContent>
                  <w:p w14:paraId="4671BF12">
                    <w:pPr>
                      <w:pStyle w:val="6"/>
                    </w:pPr>
                    <w:r>
                      <w:fldChar w:fldCharType="begin"/>
                    </w:r>
                    <w:r>
                      <w:instrText xml:space="preserve"> PAGE  \* MERGEFORMAT </w:instrText>
                    </w:r>
                    <w:r>
                      <w:fldChar w:fldCharType="separate"/>
                    </w:r>
                    <w:r>
                      <w:t>283</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2C92D">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8E0F7">
                          <w:pPr>
                            <w:pStyle w:val="6"/>
                          </w:pPr>
                          <w:r>
                            <w:fldChar w:fldCharType="begin"/>
                          </w:r>
                          <w:r>
                            <w:instrText xml:space="preserve"> PAGE  \* MERGEFORMAT </w:instrText>
                          </w:r>
                          <w:r>
                            <w:fldChar w:fldCharType="separate"/>
                          </w:r>
                          <w:r>
                            <w:t>284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N8ds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7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DfHbNAIAAGUEAAAOAAAAAAAAAAEAIAAAAB8BAABkcnMvZTJvRG9jLnhtbFBL&#10;BQYAAAAABgAGAFkBAADFBQAAAAA=&#10;">
              <v:fill on="f" focussize="0,0"/>
              <v:stroke on="f" weight="0.5pt"/>
              <v:imagedata o:title=""/>
              <o:lock v:ext="edit" aspectratio="f"/>
              <v:textbox inset="0mm,0mm,0mm,0mm" style="mso-fit-shape-to-text:t;">
                <w:txbxContent>
                  <w:p w14:paraId="7988E0F7">
                    <w:pPr>
                      <w:pStyle w:val="6"/>
                    </w:pPr>
                    <w:r>
                      <w:fldChar w:fldCharType="begin"/>
                    </w:r>
                    <w:r>
                      <w:instrText xml:space="preserve"> PAGE  \* MERGEFORMAT </w:instrText>
                    </w:r>
                    <w:r>
                      <w:fldChar w:fldCharType="separate"/>
                    </w:r>
                    <w:r>
                      <w:t>284</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A602C">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06ED0">
                          <w:pPr>
                            <w:pStyle w:val="6"/>
                          </w:pPr>
                          <w:r>
                            <w:fldChar w:fldCharType="begin"/>
                          </w:r>
                          <w:r>
                            <w:instrText xml:space="preserve"> PAGE  \* MERGEFORMAT </w:instrText>
                          </w:r>
                          <w:r>
                            <w:fldChar w:fldCharType="separate"/>
                          </w:r>
                          <w:r>
                            <w:t>285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xb0c1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31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7FvRzUCAABlBAAADgAAAAAAAAABACAAAAAfAQAAZHJzL2Uyb0RvYy54bWxQ&#10;SwUGAAAAAAYABgBZAQAAxgUAAAAA&#10;">
              <v:fill on="f" focussize="0,0"/>
              <v:stroke on="f" weight="0.5pt"/>
              <v:imagedata o:title=""/>
              <o:lock v:ext="edit" aspectratio="f"/>
              <v:textbox inset="0mm,0mm,0mm,0mm" style="mso-fit-shape-to-text:t;">
                <w:txbxContent>
                  <w:p w14:paraId="37306ED0">
                    <w:pPr>
                      <w:pStyle w:val="6"/>
                    </w:pPr>
                    <w:r>
                      <w:fldChar w:fldCharType="begin"/>
                    </w:r>
                    <w:r>
                      <w:instrText xml:space="preserve"> PAGE  \* MERGEFORMAT </w:instrText>
                    </w:r>
                    <w:r>
                      <w:fldChar w:fldCharType="separate"/>
                    </w:r>
                    <w:r>
                      <w:t>285</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29C4D">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0C26C">
                          <w:pPr>
                            <w:pStyle w:val="6"/>
                          </w:pPr>
                          <w:r>
                            <w:fldChar w:fldCharType="begin"/>
                          </w:r>
                          <w:r>
                            <w:instrText xml:space="preserve"> PAGE  \* MERGEFORMAT </w:instrText>
                          </w:r>
                          <w:r>
                            <w:fldChar w:fldCharType="separate"/>
                          </w:r>
                          <w:r>
                            <w:t>286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hxk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focZNAIAAGUEAAAOAAAAAAAAAAEAIAAAAB8BAABkcnMvZTJvRG9jLnhtbFBL&#10;BQYAAAAABgAGAFkBAADFBQAAAAA=&#10;">
              <v:fill on="f" focussize="0,0"/>
              <v:stroke on="f" weight="0.5pt"/>
              <v:imagedata o:title=""/>
              <o:lock v:ext="edit" aspectratio="f"/>
              <v:textbox inset="0mm,0mm,0mm,0mm" style="mso-fit-shape-to-text:t;">
                <w:txbxContent>
                  <w:p w14:paraId="5F80C26C">
                    <w:pPr>
                      <w:pStyle w:val="6"/>
                    </w:pPr>
                    <w:r>
                      <w:fldChar w:fldCharType="begin"/>
                    </w:r>
                    <w:r>
                      <w:instrText xml:space="preserve"> PAGE  \* MERGEFORMAT </w:instrText>
                    </w:r>
                    <w:r>
                      <w:fldChar w:fldCharType="separate"/>
                    </w:r>
                    <w:r>
                      <w:t>286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37116">
    <w:pPr>
      <w:spacing w:line="229" w:lineRule="auto"/>
      <w:ind w:left="5871"/>
      <w:rPr>
        <w:rFonts w:ascii="宋体" w:hAnsi="宋体" w:eastAsia="宋体" w:cs="宋体"/>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D8CE5">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bWBw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0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ZtYHDUCAABlBAAADgAAAAAAAAABACAAAAAfAQAAZHJzL2Uyb0RvYy54bWxQ&#10;SwUGAAAAAAYABgBZAQAAxgUAAAAA&#10;">
              <v:fill on="f" focussize="0,0"/>
              <v:stroke on="f" weight="0.5pt"/>
              <v:imagedata o:title=""/>
              <o:lock v:ext="edit" aspectratio="f"/>
              <v:textbox inset="0mm,0mm,0mm,0mm" style="mso-fit-shape-to-text:t;">
                <w:txbxContent>
                  <w:p w14:paraId="14FD8CE5">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F8C9C">
    <w:pPr>
      <w:spacing w:line="229" w:lineRule="auto"/>
      <w:ind w:left="5871"/>
      <w:rPr>
        <w:rFonts w:ascii="宋体" w:hAnsi="宋体" w:eastAsia="宋体" w:cs="宋体"/>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4" name="文本框 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9D76A">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Y301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ry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qJjfTUCAABlBAAADgAAAAAAAAABACAAAAAfAQAAZHJzL2Uyb0RvYy54bWxQ&#10;SwUGAAAAAAYABgBZAQAAxgUAAAAA&#10;">
              <v:fill on="f" focussize="0,0"/>
              <v:stroke on="f" weight="0.5pt"/>
              <v:imagedata o:title=""/>
              <o:lock v:ext="edit" aspectratio="f"/>
              <v:textbox inset="0mm,0mm,0mm,0mm" style="mso-fit-shape-to-text:t;">
                <w:txbxContent>
                  <w:p w14:paraId="0759D76A">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2E3E0">
    <w:pPr>
      <w:spacing w:line="229" w:lineRule="auto"/>
      <w:ind w:left="5872"/>
      <w:rPr>
        <w:rFonts w:ascii="宋体" w:hAnsi="宋体" w:eastAsia="宋体" w:cs="宋体"/>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B8DC8">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e/eE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30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R794TUCAABlBAAADgAAAAAAAAABACAAAAAfAQAAZHJzL2Uyb0RvYy54bWxQ&#10;SwUGAAAAAAYABgBZAQAAxgUAAAAA&#10;">
              <v:fill on="f" focussize="0,0"/>
              <v:stroke on="f" weight="0.5pt"/>
              <v:imagedata o:title=""/>
              <o:lock v:ext="edit" aspectratio="f"/>
              <v:textbox inset="0mm,0mm,0mm,0mm" style="mso-fit-shape-to-text:t;">
                <w:txbxContent>
                  <w:p w14:paraId="3E7B8DC8">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C83EB">
    <w:pPr>
      <w:spacing w:line="229" w:lineRule="auto"/>
      <w:ind w:left="5872"/>
      <w:rPr>
        <w:rFonts w:ascii="宋体" w:hAnsi="宋体" w:eastAsia="宋体" w:cs="宋体"/>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D3617">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cL58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ez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3C+fNAIAAGUEAAAOAAAAAAAAAAEAIAAAAB8BAABkcnMvZTJvRG9jLnhtbFBL&#10;BQYAAAAABgAGAFkBAADFBQAAAAA=&#10;">
              <v:fill on="f" focussize="0,0"/>
              <v:stroke on="f" weight="0.5pt"/>
              <v:imagedata o:title=""/>
              <o:lock v:ext="edit" aspectratio="f"/>
              <v:textbox inset="0mm,0mm,0mm,0mm" style="mso-fit-shape-to-text:t;">
                <w:txbxContent>
                  <w:p w14:paraId="2C0D3617">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1BA95">
    <w:pPr>
      <w:spacing w:line="229" w:lineRule="auto"/>
      <w:ind w:left="5873"/>
      <w:rPr>
        <w:rFonts w:ascii="宋体" w:hAnsi="宋体" w:eastAsia="宋体" w:cs="宋体"/>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2" name="文本框 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92DE7">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BOlo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Z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ATpaNAIAAGUEAAAOAAAAAAAAAAEAIAAAAB8BAABkcnMvZTJvRG9jLnhtbFBL&#10;BQYAAAAABgAGAFkBAADFBQAAAAA=&#10;">
              <v:fill on="f" focussize="0,0"/>
              <v:stroke on="f" weight="0.5pt"/>
              <v:imagedata o:title=""/>
              <o:lock v:ext="edit" aspectratio="f"/>
              <v:textbox inset="0mm,0mm,0mm,0mm" style="mso-fit-shape-to-text:t;">
                <w:txbxContent>
                  <w:p w14:paraId="35092DE7">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412B6">
    <w:pPr>
      <w:spacing w:line="229" w:lineRule="auto"/>
      <w:ind w:left="5869"/>
      <w:rPr>
        <w:rFonts w:ascii="宋体" w:hAnsi="宋体" w:eastAsia="宋体" w:cs="宋体"/>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3" name="文本框 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CE14E">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9pMY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e0W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b2kxjUCAABlBAAADgAAAAAAAAABACAAAAAfAQAAZHJzL2Uyb0RvYy54bWxQ&#10;SwUGAAAAAAYABgBZAQAAxgUAAAAA&#10;">
              <v:fill on="f" focussize="0,0"/>
              <v:stroke on="f" weight="0.5pt"/>
              <v:imagedata o:title=""/>
              <o:lock v:ext="edit" aspectratio="f"/>
              <v:textbox inset="0mm,0mm,0mm,0mm" style="mso-fit-shape-to-text:t;">
                <w:txbxContent>
                  <w:p w14:paraId="18FCE14E">
                    <w:pPr>
                      <w:pStyle w:val="6"/>
                    </w:pPr>
                    <w:r>
                      <w:fldChar w:fldCharType="begin"/>
                    </w:r>
                    <w:r>
                      <w:instrText xml:space="preserve"> PAGE  \* MERGEFORMAT </w:instrText>
                    </w:r>
                    <w:r>
                      <w:fldChar w:fldCharType="separate"/>
                    </w:r>
                    <w:r>
                      <w:t>50</w:t>
                    </w:r>
                    <w:r>
                      <w:fldChar w:fldCharType="end"/>
                    </w:r>
                  </w:p>
                </w:txbxContent>
              </v:textbox>
            </v:shape>
          </w:pict>
        </mc:Fallback>
      </mc:AlternateContent>
    </w:r>
    <w:r>
      <w:rPr>
        <w:rFonts w:ascii="宋体" w:hAnsi="宋体" w:eastAsia="宋体" w:cs="宋体"/>
        <w:spacing w:val="-2"/>
        <w:sz w:val="18"/>
        <w:szCs w:val="18"/>
      </w:rPr>
      <w:t>80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373E9">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4" name="文本框 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3772D">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En6c1AgAAZQQAAA4AAABkcnMvZTJvRG9jLnhtbK1UzY7TMBC+I/EO&#10;lu80aVl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vaJEM4WSn398&#10;P//8dX74RuIhJKqtnyFyaxEbmnemQeMM5x6HkXlTOBW/4ETgh8Cni8CiCYTHS9PJdJrCxeEbNsBP&#10;Hq9b58N7YRSJRkYdKtgKy44bH7rQISRm02ZdSdlWUWpSZ/T6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oSfpzUCAABlBAAADgAAAAAAAAABACAAAAAfAQAAZHJzL2Uyb0RvYy54bWxQ&#10;SwUGAAAAAAYABgBZAQAAxgUAAAAA&#10;">
              <v:fill on="f" focussize="0,0"/>
              <v:stroke on="f" weight="0.5pt"/>
              <v:imagedata o:title=""/>
              <o:lock v:ext="edit" aspectratio="f"/>
              <v:textbox inset="0mm,0mm,0mm,0mm" style="mso-fit-shape-to-text:t;">
                <w:txbxContent>
                  <w:p w14:paraId="2383772D">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D12CB">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205DE">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4ATs1AgAAZQ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e0W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TgBOzUCAABlBAAADgAAAAAAAAABACAAAAAfAQAAZHJzL2Uyb0RvYy54bWxQ&#10;SwUGAAAAAAYABgBZAQAAxgUAAAAA&#10;">
              <v:fill on="f" focussize="0,0"/>
              <v:stroke on="f" weight="0.5pt"/>
              <v:imagedata o:title=""/>
              <o:lock v:ext="edit" aspectratio="f"/>
              <v:textbox inset="0mm,0mm,0mm,0mm" style="mso-fit-shape-to-text:t;">
                <w:txbxContent>
                  <w:p w14:paraId="2BC205DE">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3999">
    <w:pPr>
      <w:spacing w:line="230" w:lineRule="auto"/>
      <w:ind w:left="5915"/>
      <w:rPr>
        <w:rFonts w:ascii="宋体" w:hAnsi="宋体" w:eastAsia="宋体" w:cs="宋体"/>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C3CF2">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OaxQ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e0W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05rFDUCAABlBAAADgAAAAAAAAABACAAAAAfAQAAZHJzL2Uyb0RvYy54bWxQ&#10;SwUGAAAAAAYABgBZAQAAxgUAAAAA&#10;">
              <v:fill on="f" focussize="0,0"/>
              <v:stroke on="f" weight="0.5pt"/>
              <v:imagedata o:title=""/>
              <o:lock v:ext="edit" aspectratio="f"/>
              <v:textbox inset="0mm,0mm,0mm,0mm" style="mso-fit-shape-to-text:t;">
                <w:txbxContent>
                  <w:p w14:paraId="2B4C3CF2">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E312D">
    <w:pPr>
      <w:spacing w:line="230" w:lineRule="auto"/>
      <w:ind w:left="5836"/>
      <w:rPr>
        <w:rFonts w:ascii="宋体" w:hAnsi="宋体" w:eastAsia="宋体" w:cs="宋体"/>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21419">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600U0AgAAZQQAAA4AAABkcnMvZTJvRG9jLnhtbK1UzY7TMBC+I/EO&#10;lu80aYGqVE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urNlB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47WVYeyu4De&#10;syxs9c7ymCYK6e3qGCBmq3EUqFOl1w3d11apn5TY3n/u26i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tNFNAIAAGUEAAAOAAAAAAAAAAEAIAAAAB8BAABkcnMvZTJvRG9jLnhtbFBL&#10;BQYAAAAABgAGAFkBAADFBQAAAAA=&#10;">
              <v:fill on="f" focussize="0,0"/>
              <v:stroke on="f" weight="0.5pt"/>
              <v:imagedata o:title=""/>
              <o:lock v:ext="edit" aspectratio="f"/>
              <v:textbox inset="0mm,0mm,0mm,0mm" style="mso-fit-shape-to-text:t;">
                <w:txbxContent>
                  <w:p w14:paraId="7AD21419">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C336">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1AD14">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GTdk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Vdv31C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kZN2TUCAABlBAAADgAAAAAAAAABACAAAAAfAQAAZHJzL2Uyb0RvYy54bWxQ&#10;SwUGAAAAAAYABgBZAQAAxgUAAAAA&#10;">
              <v:fill on="f" focussize="0,0"/>
              <v:stroke on="f" weight="0.5pt"/>
              <v:imagedata o:title=""/>
              <o:lock v:ext="edit" aspectratio="f"/>
              <v:textbox inset="0mm,0mm,0mm,0mm" style="mso-fit-shape-to-text:t;">
                <w:txbxContent>
                  <w:p w14:paraId="0A81AD14">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7E31">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EAF42">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JpYc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iaWHNAIAAGUEAAAOAAAAAAAAAAEAIAAAAB8BAABkcnMvZTJvRG9jLnhtbFBL&#10;BQYAAAAABgAGAFkBAADFBQAAAAA=&#10;">
              <v:fill on="f" focussize="0,0"/>
              <v:stroke on="f" weight="0.5pt"/>
              <v:imagedata o:title=""/>
              <o:lock v:ext="edit" aspectratio="f"/>
              <v:textbox inset="0mm,0mm,0mm,0mm" style="mso-fit-shape-to-text:t;">
                <w:txbxContent>
                  <w:p w14:paraId="568EAF42">
                    <w:pPr>
                      <w:pStyle w:val="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E755B">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A90B0">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1Oxs1AgAAZQQAAA4AAABkcnMvZTJvRG9jLnhtbK1UzY7TMBC+I/EO&#10;lu80aYFVt2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L65vqZEM4WSn398&#10;P//8dX74RuIhJKqtnyFyaxEbmnemQeMM5x6HkXlTOBW/4ETgh8Cni8CiCYTHS9PJdJrCxeEbNsBP&#10;Hq9b58N7YRSJRkYdKtgKy44bH7rQISRm02ZdSdlWUWpSZ/Tq9d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DU7GzUCAABlBAAADgAAAAAAAAABACAAAAAfAQAAZHJzL2Uyb0RvYy54bWxQ&#10;SwUGAAAAAAYABgBZAQAAxgUAAAAA&#10;">
              <v:fill on="f" focussize="0,0"/>
              <v:stroke on="f" weight="0.5pt"/>
              <v:imagedata o:title=""/>
              <o:lock v:ext="edit" aspectratio="f"/>
              <v:textbox inset="0mm,0mm,0mm,0mm" style="mso-fit-shape-to-text:t;">
                <w:txbxContent>
                  <w:p w14:paraId="07FA90B0">
                    <w:pPr>
                      <w:pStyle w:val="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E5B5B">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386D8">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kAE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GkAEczAgAAZQQAAA4AAAAAAAAAAQAgAAAAHwEAAGRycy9lMm9Eb2MueG1sUEsF&#10;BgAAAAAGAAYAWQEAAMQFAAAAAA==&#10;">
              <v:fill on="f" focussize="0,0"/>
              <v:stroke on="f" weight="0.5pt"/>
              <v:imagedata o:title=""/>
              <o:lock v:ext="edit" aspectratio="f"/>
              <v:textbox inset="0mm,0mm,0mm,0mm" style="mso-fit-shape-to-text:t;">
                <w:txbxContent>
                  <w:p w14:paraId="086386D8">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5FC06">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12C8F">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Ynts0AgAAZQQAAA4AAABkcnMvZTJvRG9jLnhtbK1UzY7TMBC+I/EO&#10;lu80adGu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tV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GJ7bNAIAAGUEAAAOAAAAAAAAAAEAIAAAAB8BAABkcnMvZTJvRG9jLnhtbFBL&#10;BQYAAAAABgAGAFkBAADFBQAAAAA=&#10;">
              <v:fill on="f" focussize="0,0"/>
              <v:stroke on="f" weight="0.5pt"/>
              <v:imagedata o:title=""/>
              <o:lock v:ext="edit" aspectratio="f"/>
              <v:textbox inset="0mm,0mm,0mm,0mm" style="mso-fit-shape-to-text:t;">
                <w:txbxContent>
                  <w:p w14:paraId="6AC12C8F">
                    <w:pPr>
                      <w:pStyle w:val="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4F279">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E16AF">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aTKU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vQqn1C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2kylNAIAAGUEAAAOAAAAAAAAAAEAIAAAAB8BAABkcnMvZTJvRG9jLnhtbFBL&#10;BQYAAAAABgAGAFkBAADFBQAAAAA=&#10;">
              <v:fill on="f" focussize="0,0"/>
              <v:stroke on="f" weight="0.5pt"/>
              <v:imagedata o:title=""/>
              <o:lock v:ext="edit" aspectratio="f"/>
              <v:textbox inset="0mm,0mm,0mm,0mm" style="mso-fit-shape-to-text:t;">
                <w:txbxContent>
                  <w:p w14:paraId="007E16AF">
                    <w:pPr>
                      <w:pStyle w:val="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2A791">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3" name="文本框 5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F3D76">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m0jk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Nf5F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WbSOTUCAABlBAAADgAAAAAAAAABACAAAAAfAQAAZHJzL2Uyb0RvYy54bWxQ&#10;SwUGAAAAAAYABgBZAQAAxgUAAAAA&#10;">
              <v:fill on="f" focussize="0,0"/>
              <v:stroke on="f" weight="0.5pt"/>
              <v:imagedata o:title=""/>
              <o:lock v:ext="edit" aspectratio="f"/>
              <v:textbox inset="0mm,0mm,0mm,0mm" style="mso-fit-shape-to-text:t;">
                <w:txbxContent>
                  <w:p w14:paraId="2B9F3D76">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8298">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BB56A">
                          <w:pPr>
                            <w:pStyle w:val="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6Vg0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X+lYNAIAAGUEAAAOAAAAAAAAAAEAIAAAAB8BAABkcnMvZTJvRG9jLnhtbFBL&#10;BQYAAAAABgAGAFkBAADFBQAAAAA=&#10;">
              <v:fill on="f" focussize="0,0"/>
              <v:stroke on="f" weight="0.5pt"/>
              <v:imagedata o:title=""/>
              <o:lock v:ext="edit" aspectratio="f"/>
              <v:textbox inset="0mm,0mm,0mm,0mm" style="mso-fit-shape-to-text:t;">
                <w:txbxContent>
                  <w:p w14:paraId="3A7BB56A">
                    <w:pPr>
                      <w:pStyle w:val="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5DC3">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47A2D">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d8Q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68na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43fENAIAAGUEAAAOAAAAAAAAAAEAIAAAAB8BAABkcnMvZTJvRG9jLnhtbFBL&#10;BQYAAAAABgAGAFkBAADFBQAAAAA=&#10;">
              <v:fill on="f" focussize="0,0"/>
              <v:stroke on="f" weight="0.5pt"/>
              <v:imagedata o:title=""/>
              <o:lock v:ext="edit" aspectratio="f"/>
              <v:textbox inset="0mm,0mm,0mm,0mm" style="mso-fit-shape-to-text:t;">
                <w:txbxContent>
                  <w:p w14:paraId="7DE47A2D">
                    <w:pPr>
                      <w:pStyle w:val="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F4153">
    <w:pPr>
      <w:spacing w:line="229" w:lineRule="auto"/>
      <w:ind w:left="5917"/>
      <w:rPr>
        <w:rFonts w:ascii="宋体" w:hAnsi="宋体" w:eastAsia="宋体" w:cs="宋体"/>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1AEC8">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3UHU1AgAAZQQAAA4AAABkcnMvZTJvRG9jLnhtbK1UzY7TMBC+I/EO&#10;lu80aVm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vaJEM4WSn398&#10;P//8dX74RuIhJKqtnyFyaxEbmnemQeMM5x6HkXlTOBW/4ETgh8Cni8CiCYTHS9PJdJrCxeEbNsBP&#10;Hq9b58N7YRSJRkYdKtgKy44bH7rQISRm02ZdSdlWUWpSZ/T6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HdQdTUCAABlBAAADgAAAAAAAAABACAAAAAfAQAAZHJzL2Uyb0RvYy54bWxQ&#10;SwUGAAAAAAYABgBZAQAAxgUAAAAA&#10;">
              <v:fill on="f" focussize="0,0"/>
              <v:stroke on="f" weight="0.5pt"/>
              <v:imagedata o:title=""/>
              <o:lock v:ext="edit" aspectratio="f"/>
              <v:textbox inset="0mm,0mm,0mm,0mm" style="mso-fit-shape-to-text:t;">
                <w:txbxContent>
                  <w:p w14:paraId="7BB1AEC8">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C2593">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CF41">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pbo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7f3qT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IaW6NAIAAGUEAAAOAAAAAAAAAAEAIAAAAB8BAABkcnMvZTJvRG9jLnhtbFBL&#10;BQYAAAAABgAGAFkBAADFBQAAAAA=&#10;">
              <v:fill on="f" focussize="0,0"/>
              <v:stroke on="f" weight="0.5pt"/>
              <v:imagedata o:title=""/>
              <o:lock v:ext="edit" aspectratio="f"/>
              <v:textbox inset="0mm,0mm,0mm,0mm" style="mso-fit-shape-to-text:t;">
                <w:txbxContent>
                  <w:p w14:paraId="7582CF41">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81685">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75E22">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dOyY0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nTsmNAIAAGUEAAAOAAAAAAAAAAEAIAAAAB8BAABkcnMvZTJvRG9jLnhtbFBL&#10;BQYAAAAABgAGAFkBAADFBQAAAAA=&#10;">
              <v:fill on="f" focussize="0,0"/>
              <v:stroke on="f" weight="0.5pt"/>
              <v:imagedata o:title=""/>
              <o:lock v:ext="edit" aspectratio="f"/>
              <v:textbox inset="0mm,0mm,0mm,0mm" style="mso-fit-shape-to-text:t;">
                <w:txbxContent>
                  <w:p w14:paraId="40075E22">
                    <w:pPr>
                      <w:pStyle w:val="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A22BB">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48884">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S03g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tV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UtN4NAIAAGUEAAAOAAAAAAAAAAEAIAAAAB8BAABkcnMvZTJvRG9jLnhtbFBL&#10;BQYAAAAABgAGAFkBAADFBQAAAAA=&#10;">
              <v:fill on="f" focussize="0,0"/>
              <v:stroke on="f" weight="0.5pt"/>
              <v:imagedata o:title=""/>
              <o:lock v:ext="edit" aspectratio="f"/>
              <v:textbox inset="0mm,0mm,0mm,0mm" style="mso-fit-shape-to-text:t;">
                <w:txbxContent>
                  <w:p w14:paraId="6CD48884">
                    <w:pPr>
                      <w:pStyle w:val="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0947E">
    <w:pPr>
      <w:spacing w:line="229" w:lineRule="auto"/>
      <w:ind w:left="5836"/>
      <w:rPr>
        <w:rFonts w:ascii="宋体" w:hAnsi="宋体" w:eastAsia="宋体" w:cs="宋体"/>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7292D">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TeQ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7k3kNAIAAGUEAAAOAAAAAAAAAAEAIAAAAB8BAABkcnMvZTJvRG9jLnhtbFBL&#10;BQYAAAAABgAGAFkBAADFBQAAAAA=&#10;">
              <v:fill on="f" focussize="0,0"/>
              <v:stroke on="f" weight="0.5pt"/>
              <v:imagedata o:title=""/>
              <o:lock v:ext="edit" aspectratio="f"/>
              <v:textbox inset="0mm,0mm,0mm,0mm" style="mso-fit-shape-to-text:t;">
                <w:txbxContent>
                  <w:p w14:paraId="6117292D">
                    <w:pPr>
                      <w:pStyle w:val="6"/>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124BD">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6441A">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C/J0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dgvydNAIAAGUEAAAOAAAAAAAAAAEAIAAAAB8BAABkcnMvZTJvRG9jLnhtbFBL&#10;BQYAAAAABgAGAFkBAADFBQAAAAA=&#10;">
              <v:fill on="f" focussize="0,0"/>
              <v:stroke on="f" weight="0.5pt"/>
              <v:imagedata o:title=""/>
              <o:lock v:ext="edit" aspectratio="f"/>
              <v:textbox inset="0mm,0mm,0mm,0mm" style="mso-fit-shape-to-text:t;">
                <w:txbxContent>
                  <w:p w14:paraId="7AD6441A">
                    <w:pPr>
                      <w:pStyle w:val="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227D9">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AF58C">
                          <w:pPr>
                            <w:pStyle w:val="6"/>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YgE0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2PmIBNAIAAGUEAAAOAAAAAAAAAAEAIAAAAB8BAABkcnMvZTJvRG9jLnhtbFBL&#10;BQYAAAAABgAGAFkBAADFBQAAAAA=&#10;">
              <v:fill on="f" focussize="0,0"/>
              <v:stroke on="f" weight="0.5pt"/>
              <v:imagedata o:title=""/>
              <o:lock v:ext="edit" aspectratio="f"/>
              <v:textbox inset="0mm,0mm,0mm,0mm" style="mso-fit-shape-to-text:t;">
                <w:txbxContent>
                  <w:p w14:paraId="1C3AF58C">
                    <w:pPr>
                      <w:pStyle w:val="6"/>
                    </w:pPr>
                    <w:r>
                      <w:fldChar w:fldCharType="begin"/>
                    </w:r>
                    <w:r>
                      <w:instrText xml:space="preserve"> PAGE  \* MERGEFORMAT </w:instrText>
                    </w:r>
                    <w:r>
                      <w:fldChar w:fldCharType="separate"/>
                    </w:r>
                    <w:r>
                      <w:t>133</w:t>
                    </w:r>
                    <w:r>
                      <w:fldChar w:fldCharType="end"/>
                    </w:r>
                  </w:p>
                </w:txbxContent>
              </v:textbox>
            </v:shape>
          </w:pict>
        </mc:Fallback>
      </mc:AlternateContent>
    </w:r>
    <w:r>
      <w:rPr>
        <w:rFonts w:ascii="宋体" w:hAnsi="宋体" w:eastAsia="宋体" w:cs="宋体"/>
        <w:spacing w:val="-3"/>
        <w:sz w:val="18"/>
        <w:szCs w:val="18"/>
      </w:rPr>
      <w:t>236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61ECB">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68346">
                          <w:pPr>
                            <w:pStyle w:val="6"/>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sH8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yZQ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vywfzUCAABlBAAADgAAAAAAAAABACAAAAAfAQAAZHJzL2Uyb0RvYy54bWxQ&#10;SwUGAAAAAAYABgBZAQAAxgUAAAAA&#10;">
              <v:fill on="f" focussize="0,0"/>
              <v:stroke on="f" weight="0.5pt"/>
              <v:imagedata o:title=""/>
              <o:lock v:ext="edit" aspectratio="f"/>
              <v:textbox inset="0mm,0mm,0mm,0mm" style="mso-fit-shape-to-text:t;">
                <w:txbxContent>
                  <w:p w14:paraId="61068346">
                    <w:pPr>
                      <w:pStyle w:val="6"/>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0FAEB">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E4A8B">
                          <w:pPr>
                            <w:pStyle w:val="6"/>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ALu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eT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QC7jNAIAAGUEAAAOAAAAAAAAAAEAIAAAAB8BAABkcnMvZTJvRG9jLnhtbFBL&#10;BQYAAAAABgAGAFkBAADFBQAAAAA=&#10;">
              <v:fill on="f" focussize="0,0"/>
              <v:stroke on="f" weight="0.5pt"/>
              <v:imagedata o:title=""/>
              <o:lock v:ext="edit" aspectratio="f"/>
              <v:textbox inset="0mm,0mm,0mm,0mm" style="mso-fit-shape-to-text:t;">
                <w:txbxContent>
                  <w:p w14:paraId="316E4A8B">
                    <w:pPr>
                      <w:pStyle w:val="6"/>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409A">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68119">
                          <w:pPr>
                            <w:pStyle w:val="6"/>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5FYI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nkVgjUCAABlBAAADgAAAAAAAAABACAAAAAfAQAAZHJzL2Uyb0RvYy54bWxQ&#10;SwUGAAAAAAYABgBZAQAAxgUAAAAA&#10;">
              <v:fill on="f" focussize="0,0"/>
              <v:stroke on="f" weight="0.5pt"/>
              <v:imagedata o:title=""/>
              <o:lock v:ext="edit" aspectratio="f"/>
              <v:textbox inset="0mm,0mm,0mm,0mm" style="mso-fit-shape-to-text:t;">
                <w:txbxContent>
                  <w:p w14:paraId="0BA68119">
                    <w:pPr>
                      <w:pStyle w:val="6"/>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E494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233B0">
                          <w:pPr>
                            <w:pStyle w:val="6"/>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Fix4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xYseNAIAAGUEAAAOAAAAAAAAAAEAIAAAAB8BAABkcnMvZTJvRG9jLnhtbFBL&#10;BQYAAAAABgAGAFkBAADFBQAAAAA=&#10;">
              <v:fill on="f" focussize="0,0"/>
              <v:stroke on="f" weight="0.5pt"/>
              <v:imagedata o:title=""/>
              <o:lock v:ext="edit" aspectratio="f"/>
              <v:textbox inset="0mm,0mm,0mm,0mm" style="mso-fit-shape-to-text:t;">
                <w:txbxContent>
                  <w:p w14:paraId="557233B0">
                    <w:pPr>
                      <w:pStyle w:val="6"/>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17DB1">
    <w:pPr>
      <w:spacing w:line="230" w:lineRule="auto"/>
      <w:ind w:left="5912"/>
      <w:rPr>
        <w:rFonts w:ascii="宋体" w:hAnsi="宋体" w:eastAsia="宋体" w:cs="宋体"/>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F0864">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Lzuk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e0W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8vO6TUCAABlBAAADgAAAAAAAAABACAAAAAfAQAAZHJzL2Uyb0RvYy54bWxQ&#10;SwUGAAAAAAYABgBZAQAAxgUAAAAA&#10;">
              <v:fill on="f" focussize="0,0"/>
              <v:stroke on="f" weight="0.5pt"/>
              <v:imagedata o:title=""/>
              <o:lock v:ext="edit" aspectratio="f"/>
              <v:textbox inset="0mm,0mm,0mm,0mm" style="mso-fit-shape-to-text:t;">
                <w:txbxContent>
                  <w:p w14:paraId="6C1F0864">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298F0">
    <w:pPr>
      <w:spacing w:line="230" w:lineRule="auto"/>
      <w:ind w:left="5825"/>
      <w:rPr>
        <w:rFonts w:ascii="宋体" w:hAnsi="宋体" w:eastAsia="宋体" w:cs="宋体"/>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52263">
                          <w:pPr>
                            <w:pStyle w:val="6"/>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HWWA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B1lgNAIAAGUEAAAOAAAAAAAAAAEAIAAAAB8BAABkcnMvZTJvRG9jLnhtbFBL&#10;BQYAAAAABgAGAFkBAADFBQAAAAA=&#10;">
              <v:fill on="f" focussize="0,0"/>
              <v:stroke on="f" weight="0.5pt"/>
              <v:imagedata o:title=""/>
              <o:lock v:ext="edit" aspectratio="f"/>
              <v:textbox inset="0mm,0mm,0mm,0mm" style="mso-fit-shape-to-text:t;">
                <w:txbxContent>
                  <w:p w14:paraId="1C652263">
                    <w:pPr>
                      <w:pStyle w:val="6"/>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E0E21">
    <w:pPr>
      <w:spacing w:line="230" w:lineRule="auto"/>
      <w:ind w:left="5825"/>
      <w:rPr>
        <w:rFonts w:ascii="宋体" w:hAnsi="宋体" w:eastAsia="宋体" w:cs="宋体"/>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A8176">
                          <w:pPr>
                            <w:pStyle w:val="6"/>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7x/w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vH/DUCAABlBAAADgAAAAAAAAABACAAAAAfAQAAZHJzL2Uyb0RvYy54bWxQ&#10;SwUGAAAAAAYABgBZAQAAxgUAAAAA&#10;">
              <v:fill on="f" focussize="0,0"/>
              <v:stroke on="f" weight="0.5pt"/>
              <v:imagedata o:title=""/>
              <o:lock v:ext="edit" aspectratio="f"/>
              <v:textbox inset="0mm,0mm,0mm,0mm" style="mso-fit-shape-to-text:t;">
                <w:txbxContent>
                  <w:p w14:paraId="27AA8176">
                    <w:pPr>
                      <w:pStyle w:val="6"/>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7A7A4">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14B35">
                          <w:pPr>
                            <w:pStyle w:val="6"/>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0L6I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dC+iNAIAAGUEAAAOAAAAAAAAAAEAIAAAAB8BAABkcnMvZTJvRG9jLnhtbFBL&#10;BQYAAAAABgAGAFkBAADFBQAAAAA=&#10;">
              <v:fill on="f" focussize="0,0"/>
              <v:stroke on="f" weight="0.5pt"/>
              <v:imagedata o:title=""/>
              <o:lock v:ext="edit" aspectratio="f"/>
              <v:textbox inset="0mm,0mm,0mm,0mm" style="mso-fit-shape-to-text:t;">
                <w:txbxContent>
                  <w:p w14:paraId="4D614B35">
                    <w:pPr>
                      <w:pStyle w:val="6"/>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D22ED">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98A85">
                          <w:pPr>
                            <w:pStyle w:val="6"/>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IsT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MixPjUCAABlBAAADgAAAAAAAAABACAAAAAfAQAAZHJzL2Uyb0RvYy54bWxQ&#10;SwUGAAAAAAYABgBZAQAAxgUAAAAA&#10;">
              <v:fill on="f" focussize="0,0"/>
              <v:stroke on="f" weight="0.5pt"/>
              <v:imagedata o:title=""/>
              <o:lock v:ext="edit" aspectratio="f"/>
              <v:textbox inset="0mm,0mm,0mm,0mm" style="mso-fit-shape-to-text:t;">
                <w:txbxContent>
                  <w:p w14:paraId="42998A85">
                    <w:pPr>
                      <w:pStyle w:val="6"/>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1B685">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77896">
                          <w:pPr>
                            <w:pStyle w:val="6"/>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uiSk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v32a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7okpNAIAAGUEAAAOAAAAAAAAAAEAIAAAAB8BAABkcnMvZTJvRG9jLnhtbFBL&#10;BQYAAAAABgAGAFkBAADFBQAAAAA=&#10;">
              <v:fill on="f" focussize="0,0"/>
              <v:stroke on="f" weight="0.5pt"/>
              <v:imagedata o:title=""/>
              <o:lock v:ext="edit" aspectratio="f"/>
              <v:textbox inset="0mm,0mm,0mm,0mm" style="mso-fit-shape-to-text:t;">
                <w:txbxContent>
                  <w:p w14:paraId="03377896">
                    <w:pPr>
                      <w:pStyle w:val="6"/>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23974">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EF1A4">
                          <w:pPr>
                            <w:pStyle w:val="6"/>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F7U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6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Uhe1NAIAAGUEAAAOAAAAAAAAAAEAIAAAAB8BAABkcnMvZTJvRG9jLnhtbFBL&#10;BQYAAAAABgAGAFkBAADFBQAAAAA=&#10;">
              <v:fill on="f" focussize="0,0"/>
              <v:stroke on="f" weight="0.5pt"/>
              <v:imagedata o:title=""/>
              <o:lock v:ext="edit" aspectratio="f"/>
              <v:textbox inset="0mm,0mm,0mm,0mm" style="mso-fit-shape-to-text:t;">
                <w:txbxContent>
                  <w:p w14:paraId="7B6EF1A4">
                    <w:pPr>
                      <w:pStyle w:val="6"/>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49B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DC6BA">
                          <w:pPr>
                            <w:pStyle w:val="6"/>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xcs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fT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MXLNAIAAGUEAAAOAAAAAAAAAAEAIAAAAB8BAABkcnMvZTJvRG9jLnhtbFBL&#10;BQYAAAAABgAGAFkBAADFBQAAAAA=&#10;">
              <v:fill on="f" focussize="0,0"/>
              <v:stroke on="f" weight="0.5pt"/>
              <v:imagedata o:title=""/>
              <o:lock v:ext="edit" aspectratio="f"/>
              <v:textbox inset="0mm,0mm,0mm,0mm" style="mso-fit-shape-to-text:t;">
                <w:txbxContent>
                  <w:p w14:paraId="1EDDC6BA">
                    <w:pPr>
                      <w:pStyle w:val="6"/>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CC12C">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8DDEC">
                          <w:pPr>
                            <w:pStyle w:val="6"/>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sW1c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fT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LFtXNAIAAGUEAAAOAAAAAAAAAAEAIAAAAB8BAABkcnMvZTJvRG9jLnhtbFBL&#10;BQYAAAAABgAGAFkBAADFBQAAAAA=&#10;">
              <v:fill on="f" focussize="0,0"/>
              <v:stroke on="f" weight="0.5pt"/>
              <v:imagedata o:title=""/>
              <o:lock v:ext="edit" aspectratio="f"/>
              <v:textbox inset="0mm,0mm,0mm,0mm" style="mso-fit-shape-to-text:t;">
                <w:txbxContent>
                  <w:p w14:paraId="6BA8DDEC">
                    <w:pPr>
                      <w:pStyle w:val="6"/>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F83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1625F">
                          <w:pPr>
                            <w:pStyle w:val="6"/>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VYDY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xVgNjUCAABlBAAADgAAAAAAAAABACAAAAAfAQAAZHJzL2Uyb0RvYy54bWxQ&#10;SwUGAAAAAAYABgBZAQAAxgUAAAAA&#10;">
              <v:fill on="f" focussize="0,0"/>
              <v:stroke on="f" weight="0.5pt"/>
              <v:imagedata o:title=""/>
              <o:lock v:ext="edit" aspectratio="f"/>
              <v:textbox inset="0mm,0mm,0mm,0mm" style="mso-fit-shape-to-text:t;">
                <w:txbxContent>
                  <w:p w14:paraId="2941625F">
                    <w:pPr>
                      <w:pStyle w:val="6"/>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789A5">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5BD9D">
                          <w:pPr>
                            <w:pStyle w:val="6"/>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p/qo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qf6qNAIAAGUEAAAOAAAAAAAAAAEAIAAAAB8BAABkcnMvZTJvRG9jLnhtbFBL&#10;BQYAAAAABgAGAFkBAADFBQAAAAA=&#10;">
              <v:fill on="f" focussize="0,0"/>
              <v:stroke on="f" weight="0.5pt"/>
              <v:imagedata o:title=""/>
              <o:lock v:ext="edit" aspectratio="f"/>
              <v:textbox inset="0mm,0mm,0mm,0mm" style="mso-fit-shape-to-text:t;">
                <w:txbxContent>
                  <w:p w14:paraId="53B5BD9D">
                    <w:pPr>
                      <w:pStyle w:val="6"/>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968D">
    <w:pPr>
      <w:spacing w:line="229" w:lineRule="auto"/>
      <w:ind w:left="5914"/>
      <w:rPr>
        <w:rFonts w:ascii="宋体" w:hAnsi="宋体" w:eastAsia="宋体" w:cs="宋体"/>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D267A">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JHJc0AgAAZQQAAA4AAABkcnMvZTJvRG9jLnhtbK1UzY7TMBC+I/EO&#10;lu80aYFSVU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urNlB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47WVYeyu4De&#10;syxs9c7ymCYK6e3qGCBmq3EUqFOl1w3d11apn5TY3n/u26i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CRyXNAIAAGUEAAAOAAAAAAAAAAEAIAAAAB8BAABkcnMvZTJvRG9jLnhtbFBL&#10;BQYAAAAABgAGAFkBAADFBQAAAAA=&#10;">
              <v:fill on="f" focussize="0,0"/>
              <v:stroke on="f" weight="0.5pt"/>
              <v:imagedata o:title=""/>
              <o:lock v:ext="edit" aspectratio="f"/>
              <v:textbox inset="0mm,0mm,0mm,0mm" style="mso-fit-shape-to-text:t;">
                <w:txbxContent>
                  <w:p w14:paraId="434D267A">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4335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56A7F">
                          <w:pPr>
                            <w:pStyle w:val="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rLNQ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ayzUNAIAAGUEAAAOAAAAAAAAAAEAIAAAAB8BAABkcnMvZTJvRG9jLnhtbFBL&#10;BQYAAAAABgAGAFkBAADFBQAAAAA=&#10;">
              <v:fill on="f" focussize="0,0"/>
              <v:stroke on="f" weight="0.5pt"/>
              <v:imagedata o:title=""/>
              <o:lock v:ext="edit" aspectratio="f"/>
              <v:textbox inset="0mm,0mm,0mm,0mm" style="mso-fit-shape-to-text:t;">
                <w:txbxContent>
                  <w:p w14:paraId="7BA56A7F">
                    <w:pPr>
                      <w:pStyle w:val="6"/>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058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7" name="文本框 5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49240">
                          <w:pPr>
                            <w:pStyle w:val="6"/>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Xsk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9eySDUCAABlBAAADgAAAAAAAAABACAAAAAfAQAAZHJzL2Uyb0RvYy54bWxQ&#10;SwUGAAAAAAYABgBZAQAAxgUAAAAA&#10;">
              <v:fill on="f" focussize="0,0"/>
              <v:stroke on="f" weight="0.5pt"/>
              <v:imagedata o:title=""/>
              <o:lock v:ext="edit" aspectratio="f"/>
              <v:textbox inset="0mm,0mm,0mm,0mm" style="mso-fit-shape-to-text:t;">
                <w:txbxContent>
                  <w:p w14:paraId="2B249240">
                    <w:pPr>
                      <w:pStyle w:val="6"/>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DB16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8" name="文本框 5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B69FB">
                          <w:pPr>
                            <w:pStyle w:val="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YWhY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GFoWNAIAAGUEAAAOAAAAAAAAAAEAIAAAAB8BAABkcnMvZTJvRG9jLnhtbFBL&#10;BQYAAAAABgAGAFkBAADFBQAAAAA=&#10;">
              <v:fill on="f" focussize="0,0"/>
              <v:stroke on="f" weight="0.5pt"/>
              <v:imagedata o:title=""/>
              <o:lock v:ext="edit" aspectratio="f"/>
              <v:textbox inset="0mm,0mm,0mm,0mm" style="mso-fit-shape-to-text:t;">
                <w:txbxContent>
                  <w:p w14:paraId="1D5B69FB">
                    <w:pPr>
                      <w:pStyle w:val="6"/>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B37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9" name="文本框 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B6A8E">
                          <w:pPr>
                            <w:pStyle w:val="6"/>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kxI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aTEijUCAABlBAAADgAAAAAAAAABACAAAAAfAQAAZHJzL2Uyb0RvYy54bWxQ&#10;SwUGAAAAAAYABgBZAQAAxgUAAAAA&#10;">
              <v:fill on="f" focussize="0,0"/>
              <v:stroke on="f" weight="0.5pt"/>
              <v:imagedata o:title=""/>
              <o:lock v:ext="edit" aspectratio="f"/>
              <v:textbox inset="0mm,0mm,0mm,0mm" style="mso-fit-shape-to-text:t;">
                <w:txbxContent>
                  <w:p w14:paraId="4C2B6A8E">
                    <w:pPr>
                      <w:pStyle w:val="6"/>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B1FDC">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0" name="文本框 5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C79">
                          <w:pPr>
                            <w:pStyle w:val="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Idf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yHXzNAIAAGUEAAAOAAAAAAAAAAEAIAAAAB8BAABkcnMvZTJvRG9jLnhtbFBL&#10;BQYAAAAABgAGAFkBAADFBQAAAAA=&#10;">
              <v:fill on="f" focussize="0,0"/>
              <v:stroke on="f" weight="0.5pt"/>
              <v:imagedata o:title=""/>
              <o:lock v:ext="edit" aspectratio="f"/>
              <v:textbox inset="0mm,0mm,0mm,0mm" style="mso-fit-shape-to-text:t;">
                <w:txbxContent>
                  <w:p w14:paraId="5F007C79">
                    <w:pPr>
                      <w:pStyle w:val="6"/>
                    </w:pPr>
                    <w:r>
                      <w:fldChar w:fldCharType="begin"/>
                    </w:r>
                    <w:r>
                      <w:instrText xml:space="preserve"> PAGE  \* MERGEFORMAT </w:instrText>
                    </w:r>
                    <w:r>
                      <w:fldChar w:fldCharType="separate"/>
                    </w:r>
                    <w:r>
                      <w:t>159</w:t>
                    </w:r>
                    <w:r>
                      <w:fldChar w:fldCharType="end"/>
                    </w:r>
                  </w:p>
                </w:txbxContent>
              </v:textbox>
            </v:shape>
          </w:pict>
        </mc:Fallback>
      </mc:AlternateContent>
    </w:r>
    <w:r>
      <w:rPr>
        <w:rFonts w:ascii="宋体" w:hAnsi="宋体" w:eastAsia="宋体" w:cs="宋体"/>
        <w:spacing w:val="-3"/>
        <w:sz w:val="18"/>
        <w:szCs w:val="18"/>
      </w:rPr>
      <w:t>264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7129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026ED">
                          <w:pPr>
                            <w:pStyle w:val="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0628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Ppq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dOtvNAIAAGUEAAAOAAAAAAAAAAEAIAAAAB8BAABkcnMvZTJvRG9jLnhtbFBL&#10;BQYAAAAABgAGAFkBAADFBQAAAAA=&#10;">
              <v:fill on="f" focussize="0,0"/>
              <v:stroke on="f" weight="0.5pt"/>
              <v:imagedata o:title=""/>
              <o:lock v:ext="edit" aspectratio="f"/>
              <v:textbox inset="0mm,0mm,0mm,0mm" style="mso-fit-shape-to-text:t;">
                <w:txbxContent>
                  <w:p w14:paraId="644026ED">
                    <w:pPr>
                      <w:pStyle w:val="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9E9F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A3DAF">
                          <w:pPr>
                            <w:pStyle w:val="6"/>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2ORE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tjkRNAIAAGUEAAAOAAAAAAAAAAEAIAAAAB8BAABkcnMvZTJvRG9jLnhtbFBL&#10;BQYAAAAABgAGAFkBAADFBQAAAAA=&#10;">
              <v:fill on="f" focussize="0,0"/>
              <v:stroke on="f" weight="0.5pt"/>
              <v:imagedata o:title=""/>
              <o:lock v:ext="edit" aspectratio="f"/>
              <v:textbox inset="0mm,0mm,0mm,0mm" style="mso-fit-shape-to-text:t;">
                <w:txbxContent>
                  <w:p w14:paraId="545A3DAF">
                    <w:pPr>
                      <w:pStyle w:val="6"/>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072EC">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515F9">
                          <w:pPr>
                            <w:pStyle w:val="6"/>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Kp40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CqeNNAIAAGUEAAAOAAAAAAAAAAEAIAAAAB8BAABkcnMvZTJvRG9jLnhtbFBL&#10;BQYAAAAABgAGAFkBAADFBQAAAAA=&#10;">
              <v:fill on="f" focussize="0,0"/>
              <v:stroke on="f" weight="0.5pt"/>
              <v:imagedata o:title=""/>
              <o:lock v:ext="edit" aspectratio="f"/>
              <v:textbox inset="0mm,0mm,0mm,0mm" style="mso-fit-shape-to-text:t;">
                <w:txbxContent>
                  <w:p w14:paraId="5AE515F9">
                    <w:pPr>
                      <w:pStyle w:val="6"/>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A06C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4" name="文本框 5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0E0E3">
                          <w:pPr>
                            <w:pStyle w:val="6"/>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znOw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zOc7DUCAABlBAAADgAAAAAAAAABACAAAAAfAQAAZHJzL2Uyb0RvYy54bWxQ&#10;SwUGAAAAAAYABgBZAQAAxgUAAAAA&#10;">
              <v:fill on="f" focussize="0,0"/>
              <v:stroke on="f" weight="0.5pt"/>
              <v:imagedata o:title=""/>
              <o:lock v:ext="edit" aspectratio="f"/>
              <v:textbox inset="0mm,0mm,0mm,0mm" style="mso-fit-shape-to-text:t;">
                <w:txbxContent>
                  <w:p w14:paraId="4C00E0E3">
                    <w:pPr>
                      <w:pStyle w:val="6"/>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1C059">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2E5DB">
                          <w:pPr>
                            <w:pStyle w:val="6"/>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PAnA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jwJwNAIAAGUEAAAOAAAAAAAAAAEAIAAAAB8BAABkcnMvZTJvRG9jLnhtbFBL&#10;BQYAAAAABgAGAFkBAADFBQAAAAA=&#10;">
              <v:fill on="f" focussize="0,0"/>
              <v:stroke on="f" weight="0.5pt"/>
              <v:imagedata o:title=""/>
              <o:lock v:ext="edit" aspectratio="f"/>
              <v:textbox inset="0mm,0mm,0mm,0mm" style="mso-fit-shape-to-text:t;">
                <w:txbxContent>
                  <w:p w14:paraId="09D2E5DB">
                    <w:pPr>
                      <w:pStyle w:val="6"/>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B1132">
    <w:pPr>
      <w:spacing w:line="229" w:lineRule="auto"/>
      <w:ind w:left="5882"/>
      <w:rPr>
        <w:rFonts w:ascii="宋体" w:hAnsi="宋体" w:eastAsia="宋体" w:cs="宋体"/>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CCC89">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1ggs1AgAAZQQAAA4AAABkcnMvZTJvRG9jLnhtbK1UzY7TMBC+I/EO&#10;lu80aYHdqm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L65vqZEM4WSn398&#10;P//8dX74RuIhJKqtnyFyaxEbmnemQeMM5x6HkXlTOBW/4ETgh8Cni8CiCYTHS9PJdJrCxeEbNsBP&#10;Hq9b58N7YRSJRkYdKtgKy44bH7rQISRm02ZdSdlWUWpSZ/Tq9d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LWCCzUCAABlBAAADgAAAAAAAAABACAAAAAfAQAAZHJzL2Uyb0RvYy54bWxQ&#10;SwUGAAAAAAYABgBZAQAAxgUAAAAA&#10;">
              <v:fill on="f" focussize="0,0"/>
              <v:stroke on="f" weight="0.5pt"/>
              <v:imagedata o:title=""/>
              <o:lock v:ext="edit" aspectratio="f"/>
              <v:textbox inset="0mm,0mm,0mm,0mm" style="mso-fit-shape-to-text:t;">
                <w:txbxContent>
                  <w:p w14:paraId="61BCCC89">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A9D0">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6" name="文本框 5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B800A">
                          <w:pPr>
                            <w:pStyle w:val="6"/>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N0A4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eTC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TdAONAIAAGUEAAAOAAAAAAAAAAEAIAAAAB8BAABkcnMvZTJvRG9jLnhtbFBL&#10;BQYAAAAABgAGAFkBAADFBQAAAAA=&#10;">
              <v:fill on="f" focussize="0,0"/>
              <v:stroke on="f" weight="0.5pt"/>
              <v:imagedata o:title=""/>
              <o:lock v:ext="edit" aspectratio="f"/>
              <v:textbox inset="0mm,0mm,0mm,0mm" style="mso-fit-shape-to-text:t;">
                <w:txbxContent>
                  <w:p w14:paraId="23CB800A">
                    <w:pPr>
                      <w:pStyle w:val="6"/>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C4A1D">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28321">
                          <w:pPr>
                            <w:pStyle w:val="6"/>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xTpI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OkjUCAABlBAAADgAAAAAAAAABACAAAAAfAQAAZHJzL2Uyb0RvYy54bWxQ&#10;SwUGAAAAAAYABgBZAQAAxgUAAAAA&#10;">
              <v:fill on="f" focussize="0,0"/>
              <v:stroke on="f" weight="0.5pt"/>
              <v:imagedata o:title=""/>
              <o:lock v:ext="edit" aspectratio="f"/>
              <v:textbox inset="0mm,0mm,0mm,0mm" style="mso-fit-shape-to-text:t;">
                <w:txbxContent>
                  <w:p w14:paraId="31A28321">
                    <w:pPr>
                      <w:pStyle w:val="6"/>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BA7C">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D5900">
                          <w:pPr>
                            <w:pStyle w:val="6"/>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psw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PqbMNAIAAGUEAAAOAAAAAAAAAAEAIAAAAB8BAABkcnMvZTJvRG9jLnhtbFBL&#10;BQYAAAAABgAGAFkBAADFBQAAAAA=&#10;">
              <v:fill on="f" focussize="0,0"/>
              <v:stroke on="f" weight="0.5pt"/>
              <v:imagedata o:title=""/>
              <o:lock v:ext="edit" aspectratio="f"/>
              <v:textbox inset="0mm,0mm,0mm,0mm" style="mso-fit-shape-to-text:t;">
                <w:txbxContent>
                  <w:p w14:paraId="755D5900">
                    <w:pPr>
                      <w:pStyle w:val="6"/>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43BE3">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2EDDC">
                          <w:pPr>
                            <w:pStyle w:val="6"/>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COFA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YI4UDUCAABlBAAADgAAAAAAAAABACAAAAAfAQAAZHJzL2Uyb0RvYy54bWxQ&#10;SwUGAAAAAAYABgBZAQAAxgUAAAAA&#10;">
              <v:fill on="f" focussize="0,0"/>
              <v:stroke on="f" weight="0.5pt"/>
              <v:imagedata o:title=""/>
              <o:lock v:ext="edit" aspectratio="f"/>
              <v:textbox inset="0mm,0mm,0mm,0mm" style="mso-fit-shape-to-text:t;">
                <w:txbxContent>
                  <w:p w14:paraId="03D2EDDC">
                    <w:pPr>
                      <w:pStyle w:val="6"/>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45283">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0" name="文本框 5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D03A5">
                          <w:pPr>
                            <w:pStyle w:val="6"/>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xEpo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gSaaKZT89P3b&#10;6cev08+vJB5Cotb6GSIfLGJD99Z0aJzh3OMwMu8qp+IXnAj8ADteBBZdIDxemk6m0xwuDt+wAX72&#10;eN06H94Jo0g0CupQwSQsO2x86EOHkJhNm3UjZaqi1KQt6PXrq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MRKaNAIAAGUEAAAOAAAAAAAAAAEAIAAAAB8BAABkcnMvZTJvRG9jLnhtbFBL&#10;BQYAAAAABgAGAFkBAADFBQAAAAA=&#10;">
              <v:fill on="f" focussize="0,0"/>
              <v:stroke on="f" weight="0.5pt"/>
              <v:imagedata o:title=""/>
              <o:lock v:ext="edit" aspectratio="f"/>
              <v:textbox inset="0mm,0mm,0mm,0mm" style="mso-fit-shape-to-text:t;">
                <w:txbxContent>
                  <w:p w14:paraId="093D03A5">
                    <w:pPr>
                      <w:pStyle w:val="6"/>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D3DD1">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1" name="文本框 5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D3BBB">
                          <w:pPr>
                            <w:pStyle w:val="6"/>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NjAY0AgAAZQ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YwGNAIAAGUEAAAOAAAAAAAAAAEAIAAAAB8BAABkcnMvZTJvRG9jLnhtbFBL&#10;BQYAAAAABgAGAFkBAADFBQAAAAA=&#10;">
              <v:fill on="f" focussize="0,0"/>
              <v:stroke on="f" weight="0.5pt"/>
              <v:imagedata o:title=""/>
              <o:lock v:ext="edit" aspectratio="f"/>
              <v:textbox inset="0mm,0mm,0mm,0mm" style="mso-fit-shape-to-text:t;">
                <w:txbxContent>
                  <w:p w14:paraId="3D9D3BBB">
                    <w:pPr>
                      <w:pStyle w:val="6"/>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36E9">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62EAA">
                          <w:pPr>
                            <w:pStyle w:val="6"/>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PXng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9eeDUCAABlBAAADgAAAAAAAAABACAAAAAfAQAAZHJzL2Uyb0RvYy54bWxQ&#10;SwUGAAAAAAYABgBZAQAAxgUAAAAA&#10;">
              <v:fill on="f" focussize="0,0"/>
              <v:stroke on="f" weight="0.5pt"/>
              <v:imagedata o:title=""/>
              <o:lock v:ext="edit" aspectratio="f"/>
              <v:textbox inset="0mm,0mm,0mm,0mm" style="mso-fit-shape-to-text:t;">
                <w:txbxContent>
                  <w:p w14:paraId="53E62EAA">
                    <w:pPr>
                      <w:pStyle w:val="6"/>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2FC0">
    <w:pPr>
      <w:pStyle w:val="6"/>
      <w:framePr w:wrap="around" w:vAnchor="text" w:hAnchor="margin" w:xAlign="center" w:y="1"/>
      <w:rPr>
        <w:rStyle w:val="14"/>
      </w:rPr>
    </w:pPr>
    <w:r>
      <w:fldChar w:fldCharType="begin"/>
    </w:r>
    <w:r>
      <w:rPr>
        <w:rStyle w:val="14"/>
      </w:rPr>
      <w:instrText xml:space="preserve">PAGE  </w:instrText>
    </w:r>
    <w:r>
      <w:fldChar w:fldCharType="separate"/>
    </w:r>
    <w:r>
      <w:rPr>
        <w:rStyle w:val="14"/>
      </w:rPr>
      <w:t>3</w:t>
    </w:r>
    <w:r>
      <w:fldChar w:fldCharType="end"/>
    </w:r>
  </w:p>
  <w:p w14:paraId="634D32FA">
    <w:pPr>
      <w:pStyle w:val="6"/>
      <w:jc w:val="center"/>
      <w:rPr>
        <w:rFonts w:hint="eastAsia"/>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E8CE1">
    <w:pPr>
      <w:pStyle w:val="6"/>
      <w:jc w:val="center"/>
      <w:rPr>
        <w:rStyle w:val="14"/>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59672">
                          <w:pPr>
                            <w:pStyle w:val="6"/>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wOQ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5DUCAABlBAAADgAAAAAAAAABACAAAAAfAQAAZHJzL2Uyb0RvYy54bWxQ&#10;SwUGAAAAAAYABgBZAQAAxgUAAAAA&#10;">
              <v:fill on="f" focussize="0,0"/>
              <v:stroke on="f" weight="0.5pt"/>
              <v:imagedata o:title=""/>
              <o:lock v:ext="edit" aspectratio="f"/>
              <v:textbox inset="0mm,0mm,0mm,0mm" style="mso-fit-shape-to-text:t;">
                <w:txbxContent>
                  <w:p w14:paraId="7C559672">
                    <w:pPr>
                      <w:pStyle w:val="6"/>
                    </w:pPr>
                    <w:r>
                      <w:fldChar w:fldCharType="begin"/>
                    </w:r>
                    <w:r>
                      <w:instrText xml:space="preserve"> PAGE  \* MERGEFORMAT </w:instrText>
                    </w:r>
                    <w:r>
                      <w:fldChar w:fldCharType="separate"/>
                    </w:r>
                    <w:r>
                      <w:t>226</w:t>
                    </w:r>
                    <w:r>
                      <w:fldChar w:fldCharType="end"/>
                    </w:r>
                  </w:p>
                </w:txbxContent>
              </v:textbox>
            </v:shape>
          </w:pict>
        </mc:Fallback>
      </mc:AlternateContent>
    </w:r>
  </w:p>
  <w:p w14:paraId="291054EA">
    <w:pPr>
      <w:pStyle w:val="6"/>
      <w:rPr>
        <w:rStyle w:val="14"/>
      </w:rPr>
    </w:pPr>
  </w:p>
  <w:p w14:paraId="76FBC078">
    <w:pPr>
      <w:pStyle w:val="6"/>
      <w:ind w:right="360"/>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8DDB2">
    <w:pPr>
      <w:pStyle w:val="6"/>
      <w:framePr w:wrap="around" w:vAnchor="text" w:hAnchor="margin" w:xAlign="center" w:y="1"/>
      <w:rPr>
        <w:rStyle w:val="14"/>
      </w:rPr>
    </w:pPr>
    <w:r>
      <w:fldChar w:fldCharType="begin"/>
    </w:r>
    <w:r>
      <w:rPr>
        <w:rStyle w:val="14"/>
      </w:rPr>
      <w:instrText xml:space="preserve">PAGE  </w:instrText>
    </w:r>
    <w:r>
      <w:fldChar w:fldCharType="separate"/>
    </w:r>
    <w:r>
      <w:fldChar w:fldCharType="end"/>
    </w:r>
  </w:p>
  <w:p w14:paraId="67166376">
    <w:pPr>
      <w:pStyle w:val="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9578">
    <w:pPr>
      <w:spacing w:line="229" w:lineRule="auto"/>
      <w:ind w:left="5882"/>
      <w:rPr>
        <w:rFonts w:ascii="宋体" w:hAnsi="宋体" w:eastAsia="宋体" w:cs="宋体"/>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96157">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16alU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empVNAIAAGUEAAAOAAAAAAAAAAEAIAAAAB8BAABkcnMvZTJvRG9jLnhtbFBL&#10;BQYAAAAABgAGAFkBAADFBQAAAAA=&#10;">
              <v:fill on="f" focussize="0,0"/>
              <v:stroke on="f" weight="0.5pt"/>
              <v:imagedata o:title=""/>
              <o:lock v:ext="edit" aspectratio="f"/>
              <v:textbox inset="0mm,0mm,0mm,0mm" style="mso-fit-shape-to-text:t;">
                <w:txbxContent>
                  <w:p w14:paraId="23396157">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C5AB">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243840" cy="146685"/>
              <wp:effectExtent l="0" t="0" r="0" b="0"/>
              <wp:wrapNone/>
              <wp:docPr id="544" name="文本框 544"/>
              <wp:cNvGraphicFramePr/>
              <a:graphic xmlns:a="http://schemas.openxmlformats.org/drawingml/2006/main">
                <a:graphicData uri="http://schemas.microsoft.com/office/word/2010/wordprocessingShape">
                  <wps:wsp>
                    <wps:cNvSpPr txBox="1"/>
                    <wps:spPr>
                      <a:xfrm>
                        <a:off x="0" y="0"/>
                        <a:ext cx="243840"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F624F">
                          <w:pPr>
                            <w:pStyle w:val="6"/>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55pt;width:19.2pt;mso-position-horizontal:center;mso-position-horizontal-relative:margin;z-index:251791360;mso-width-relative:page;mso-height-relative:page;" filled="f" stroked="f" coordsize="21600,21600" o:gfxdata="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erqgzTAAAAAwEAAA8AAAAAAAAAAQAgAAAAIgAAAGRycy9kb3ducmV2&#10;LnhtbFBLAQIUABQAAAAIAIdO4kCZ18CfOgIAAGUEAAAOAAAAAAAAAAEAIAAAACIBAABkcnMvZTJv&#10;RG9jLnhtbFBLBQYAAAAABgAGAFkBAADOBQAAAAA=&#10;">
              <v:fill on="f" focussize="0,0"/>
              <v:stroke on="f" weight="0.5pt"/>
              <v:imagedata o:title=""/>
              <o:lock v:ext="edit" aspectratio="f"/>
              <v:textbox inset="0mm,0mm,0mm,0mm">
                <w:txbxContent>
                  <w:p w14:paraId="7B2F624F">
                    <w:pPr>
                      <w:pStyle w:val="6"/>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79A13">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posOffset>3566795</wp:posOffset>
              </wp:positionH>
              <wp:positionV relativeFrom="paragraph">
                <wp:posOffset>0</wp:posOffset>
              </wp:positionV>
              <wp:extent cx="224790" cy="1828800"/>
              <wp:effectExtent l="0" t="0" r="0" b="0"/>
              <wp:wrapNone/>
              <wp:docPr id="545" name="文本框 545"/>
              <wp:cNvGraphicFramePr/>
              <a:graphic xmlns:a="http://schemas.openxmlformats.org/drawingml/2006/main">
                <a:graphicData uri="http://schemas.microsoft.com/office/word/2010/wordprocessingShape">
                  <wps:wsp>
                    <wps:cNvSpPr txBox="1"/>
                    <wps:spPr>
                      <a:xfrm>
                        <a:off x="0" y="0"/>
                        <a:ext cx="2247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CAC76">
                          <w:pPr>
                            <w:pStyle w:val="6"/>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0.85pt;margin-top:0pt;height:144pt;width:17.7pt;mso-position-horizontal-relative:margin;z-index:251792384;mso-width-relative:page;mso-height-relative:page;" filled="f" stroked="f" coordsize="21600,21600" o:gfxdata="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n/031gAAAAgBAAAPAAAAAAAAAAEAIAAAACIAAABkcnMvZG93&#10;bnJldi54bWxQSwECFAAUAAAACACHTuJAavz/JzsCAABmBAAADgAAAAAAAAABACAAAAAlAQAAZHJz&#10;L2Uyb0RvYy54bWxQSwUGAAAAAAYABgBZAQAA0gUAAAAA&#10;">
              <v:fill on="f" focussize="0,0"/>
              <v:stroke on="f" weight="0.5pt"/>
              <v:imagedata o:title=""/>
              <o:lock v:ext="edit" aspectratio="f"/>
              <v:textbox inset="0mm,0mm,0mm,0mm" style="mso-fit-shape-to-text:t;">
                <w:txbxContent>
                  <w:p w14:paraId="074CAC76">
                    <w:pPr>
                      <w:pStyle w:val="6"/>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93F6">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posOffset>3681095</wp:posOffset>
              </wp:positionH>
              <wp:positionV relativeFrom="paragraph">
                <wp:posOffset>0</wp:posOffset>
              </wp:positionV>
              <wp:extent cx="263525" cy="146685"/>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26352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E9FB6">
                          <w:pPr>
                            <w:pStyle w:val="6"/>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1.55pt;width:20.75pt;mso-position-horizontal-relative:margin;z-index:251793408;mso-width-relative:page;mso-height-relative:page;" filled="f" stroked="f" coordsize="21600,21600" o:gfxdata="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awWXdYAAAAHAQAADwAAAAAAAAABACAAAAAiAAAAZHJzL2Rvd25y&#10;ZXYueG1sUEsBAhQAFAAAAAgAh07iQDoYgno5AgAAZQQAAA4AAAAAAAAAAQAgAAAAJQEAAGRycy9l&#10;Mm9Eb2MueG1sUEsFBgAAAAAGAAYAWQEAANAFAAAAAA==&#10;">
              <v:fill on="f" focussize="0,0"/>
              <v:stroke on="f" weight="0.5pt"/>
              <v:imagedata o:title=""/>
              <o:lock v:ext="edit" aspectratio="f"/>
              <v:textbox inset="0mm,0mm,0mm,0mm">
                <w:txbxContent>
                  <w:p w14:paraId="222E9FB6">
                    <w:pPr>
                      <w:pStyle w:val="6"/>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7C70">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63221">
                          <w:pPr>
                            <w:pStyle w:val="6"/>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IKfs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Agp+zUCAABlBAAADgAAAAAAAAABACAAAAAfAQAAZHJzL2Uyb0RvYy54bWxQ&#10;SwUGAAAAAAYABgBZAQAAxgUAAAAA&#10;">
              <v:fill on="f" focussize="0,0"/>
              <v:stroke on="f" weight="0.5pt"/>
              <v:imagedata o:title=""/>
              <o:lock v:ext="edit" aspectratio="f"/>
              <v:textbox inset="0mm,0mm,0mm,0mm" style="mso-fit-shape-to-text:t;">
                <w:txbxContent>
                  <w:p w14:paraId="1C763221">
                    <w:pPr>
                      <w:pStyle w:val="6"/>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FC3C">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posOffset>3681095</wp:posOffset>
              </wp:positionH>
              <wp:positionV relativeFrom="paragraph">
                <wp:posOffset>0</wp:posOffset>
              </wp:positionV>
              <wp:extent cx="253365" cy="146685"/>
              <wp:effectExtent l="0" t="0" r="0" b="0"/>
              <wp:wrapNone/>
              <wp:docPr id="548" name="文本框 548"/>
              <wp:cNvGraphicFramePr/>
              <a:graphic xmlns:a="http://schemas.openxmlformats.org/drawingml/2006/main">
                <a:graphicData uri="http://schemas.microsoft.com/office/word/2010/wordprocessingShape">
                  <wps:wsp>
                    <wps:cNvSpPr txBox="1"/>
                    <wps:spPr>
                      <a:xfrm>
                        <a:off x="0" y="0"/>
                        <a:ext cx="25336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0D96B">
                          <w:pPr>
                            <w:pStyle w:val="6"/>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1.55pt;width:19.95pt;mso-position-horizontal-relative:margin;z-index:251795456;mso-width-relative:page;mso-height-relative:page;" filled="f" stroked="f" coordsize="21600,21600" o:gfxdata="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BE8JTWAAAABwEAAA8AAAAAAAAAAQAgAAAAIgAAAGRycy9kb3du&#10;cmV2LnhtbFBLAQIUABQAAAAIAIdO4kAnVJFoOgIAAGUEAAAOAAAAAAAAAAEAIAAAACUBAABkcnMv&#10;ZTJvRG9jLnhtbFBLBQYAAAAABgAGAFkBAADRBQAAAAA=&#10;">
              <v:fill on="f" focussize="0,0"/>
              <v:stroke on="f" weight="0.5pt"/>
              <v:imagedata o:title=""/>
              <o:lock v:ext="edit" aspectratio="f"/>
              <v:textbox inset="0mm,0mm,0mm,0mm">
                <w:txbxContent>
                  <w:p w14:paraId="0480D96B">
                    <w:pPr>
                      <w:pStyle w:val="6"/>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EACE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posOffset>3681095</wp:posOffset>
              </wp:positionH>
              <wp:positionV relativeFrom="paragraph">
                <wp:posOffset>0</wp:posOffset>
              </wp:positionV>
              <wp:extent cx="253365" cy="137795"/>
              <wp:effectExtent l="0" t="0" r="0" b="0"/>
              <wp:wrapNone/>
              <wp:docPr id="549" name="文本框 549"/>
              <wp:cNvGraphicFramePr/>
              <a:graphic xmlns:a="http://schemas.openxmlformats.org/drawingml/2006/main">
                <a:graphicData uri="http://schemas.microsoft.com/office/word/2010/wordprocessingShape">
                  <wps:wsp>
                    <wps:cNvSpPr txBox="1"/>
                    <wps:spPr>
                      <a:xfrm>
                        <a:off x="0" y="0"/>
                        <a:ext cx="25336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C24CF">
                          <w:pPr>
                            <w:pStyle w:val="6"/>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0.85pt;width:19.95pt;mso-position-horizontal-relative:margin;z-index:251796480;mso-width-relative:page;mso-height-relative:page;" filled="f" stroked="f" coordsize="21600,21600" o:gfxdata="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OeLD1gAAAAcBAAAPAAAAAAAAAAEAIAAAACIAAABkcnMvZG93&#10;bnJldi54bWxQSwECFAAUAAAACACHTuJA2iEygjsCAABlBAAADgAAAAAAAAABACAAAAAlAQAAZHJz&#10;L2Uyb0RvYy54bWxQSwUGAAAAAAYABgBZAQAA0gUAAAAA&#10;">
              <v:fill on="f" focussize="0,0"/>
              <v:stroke on="f" weight="0.5pt"/>
              <v:imagedata o:title=""/>
              <o:lock v:ext="edit" aspectratio="f"/>
              <v:textbox inset="0mm,0mm,0mm,0mm">
                <w:txbxContent>
                  <w:p w14:paraId="2FBC24CF">
                    <w:pPr>
                      <w:pStyle w:val="6"/>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47D6">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posOffset>3681095</wp:posOffset>
              </wp:positionH>
              <wp:positionV relativeFrom="paragraph">
                <wp:posOffset>0</wp:posOffset>
              </wp:positionV>
              <wp:extent cx="253365" cy="146685"/>
              <wp:effectExtent l="0" t="0" r="0" b="0"/>
              <wp:wrapNone/>
              <wp:docPr id="550" name="文本框 550"/>
              <wp:cNvGraphicFramePr/>
              <a:graphic xmlns:a="http://schemas.openxmlformats.org/drawingml/2006/main">
                <a:graphicData uri="http://schemas.microsoft.com/office/word/2010/wordprocessingShape">
                  <wps:wsp>
                    <wps:cNvSpPr txBox="1"/>
                    <wps:spPr>
                      <a:xfrm>
                        <a:off x="0" y="0"/>
                        <a:ext cx="25336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11FA0">
                          <w:pPr>
                            <w:pStyle w:val="6"/>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1.55pt;width:19.95pt;mso-position-horizontal-relative:margin;z-index:251797504;mso-width-relative:page;mso-height-relative:page;" filled="f" stroked="f" coordsize="21600,21600" o:gfxdata="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ETwlNYAAAAHAQAADwAAAAAAAAABACAAAAAiAAAAZHJzL2Rvd25y&#10;ZXYueG1sUEsBAhQAFAAAAAgAh07iQJWEvo05AgAAZQQAAA4AAAAAAAAAAQAgAAAAJQEAAGRycy9l&#10;Mm9Eb2MueG1sUEsFBgAAAAAGAAYAWQEAANAFAAAAAA==&#10;">
              <v:fill on="f" focussize="0,0"/>
              <v:stroke on="f" weight="0.5pt"/>
              <v:imagedata o:title=""/>
              <o:lock v:ext="edit" aspectratio="f"/>
              <v:textbox inset="0mm,0mm,0mm,0mm">
                <w:txbxContent>
                  <w:p w14:paraId="1A111FA0">
                    <w:pPr>
                      <w:pStyle w:val="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8380">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posOffset>3681095</wp:posOffset>
              </wp:positionH>
              <wp:positionV relativeFrom="paragraph">
                <wp:posOffset>0</wp:posOffset>
              </wp:positionV>
              <wp:extent cx="224790" cy="166370"/>
              <wp:effectExtent l="0" t="0" r="0" b="0"/>
              <wp:wrapNone/>
              <wp:docPr id="551" name="文本框 551"/>
              <wp:cNvGraphicFramePr/>
              <a:graphic xmlns:a="http://schemas.openxmlformats.org/drawingml/2006/main">
                <a:graphicData uri="http://schemas.microsoft.com/office/word/2010/wordprocessingShape">
                  <wps:wsp>
                    <wps:cNvSpPr txBox="1"/>
                    <wps:spPr>
                      <a:xfrm>
                        <a:off x="0" y="0"/>
                        <a:ext cx="22479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7069E">
                          <w:pPr>
                            <w:pStyle w:val="6"/>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3.1pt;width:17.7pt;mso-position-horizontal-relative:margin;z-index:251798528;mso-width-relative:page;mso-height-relative:page;" filled="f" stroked="f" coordsize="21600,21600" o:gfxdata="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SIHF1gAAAAcBAAAPAAAAAAAAAAEAIAAAACIAAABkcnMvZG93bnJl&#10;di54bWxQSwECFAAUAAAACACHTuJAmnFhXjgCAABlBAAADgAAAAAAAAABACAAAAAlAQAAZHJzL2Uy&#10;b0RvYy54bWxQSwUGAAAAAAYABgBZAQAAzwUAAAAA&#10;">
              <v:fill on="f" focussize="0,0"/>
              <v:stroke on="f" weight="0.5pt"/>
              <v:imagedata o:title=""/>
              <o:lock v:ext="edit" aspectratio="f"/>
              <v:textbox inset="0mm,0mm,0mm,0mm">
                <w:txbxContent>
                  <w:p w14:paraId="0427069E">
                    <w:pPr>
                      <w:pStyle w:val="6"/>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1C3A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posOffset>3681095</wp:posOffset>
              </wp:positionH>
              <wp:positionV relativeFrom="paragraph">
                <wp:posOffset>0</wp:posOffset>
              </wp:positionV>
              <wp:extent cx="243840" cy="137795"/>
              <wp:effectExtent l="0" t="0" r="0" b="0"/>
              <wp:wrapNone/>
              <wp:docPr id="552" name="文本框 552"/>
              <wp:cNvGraphicFramePr/>
              <a:graphic xmlns:a="http://schemas.openxmlformats.org/drawingml/2006/main">
                <a:graphicData uri="http://schemas.microsoft.com/office/word/2010/wordprocessingShape">
                  <wps:wsp>
                    <wps:cNvSpPr txBox="1"/>
                    <wps:spPr>
                      <a:xfrm>
                        <a:off x="0" y="0"/>
                        <a:ext cx="24384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C986C">
                          <w:pPr>
                            <w:pStyle w:val="6"/>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0.85pt;width:19.2pt;mso-position-horizontal-relative:margin;z-index:251799552;mso-width-relative:page;mso-height-relative:page;" filled="f" stroked="f" coordsize="21600,21600" o:gfxdata="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goIQ1gAAAAcBAAAPAAAAAAAAAAEAIAAAACIAAABkcnMvZG93&#10;bnJldi54bWxQSwECFAAUAAAACACHTuJAm72kzjsCAABlBAAADgAAAAAAAAABACAAAAAlAQAAZHJz&#10;L2Uyb0RvYy54bWxQSwUGAAAAAAYABgBZAQAA0gUAAAAA&#10;">
              <v:fill on="f" focussize="0,0"/>
              <v:stroke on="f" weight="0.5pt"/>
              <v:imagedata o:title=""/>
              <o:lock v:ext="edit" aspectratio="f"/>
              <v:textbox inset="0mm,0mm,0mm,0mm">
                <w:txbxContent>
                  <w:p w14:paraId="55CC986C">
                    <w:pPr>
                      <w:pStyle w:val="6"/>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79D7">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posOffset>3681095</wp:posOffset>
              </wp:positionH>
              <wp:positionV relativeFrom="paragraph">
                <wp:posOffset>0</wp:posOffset>
              </wp:positionV>
              <wp:extent cx="224790" cy="137795"/>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22479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9E293">
                          <w:pPr>
                            <w:pStyle w:val="6"/>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0.85pt;width:17.7pt;mso-position-horizontal-relative:margin;z-index:251800576;mso-width-relative:page;mso-height-relative:page;" filled="f" stroked="f" coordsize="21600,21600" o:gfxdata="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Y08a1gAAAAcBAAAPAAAAAAAAAAEAIAAAACIAAABkcnMvZG93&#10;bnJldi54bWxQSwECFAAUAAAACACHTuJAd7yluDsCAABlBAAADgAAAAAAAAABACAAAAAlAQAAZHJz&#10;L2Uyb0RvYy54bWxQSwUGAAAAAAYABgBZAQAA0gUAAAAA&#10;">
              <v:fill on="f" focussize="0,0"/>
              <v:stroke on="f" weight="0.5pt"/>
              <v:imagedata o:title=""/>
              <o:lock v:ext="edit" aspectratio="f"/>
              <v:textbox inset="0mm,0mm,0mm,0mm">
                <w:txbxContent>
                  <w:p w14:paraId="0AF9E293">
                    <w:pPr>
                      <w:pStyle w:val="6"/>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4CEAD">
    <w:pPr>
      <w:spacing w:line="229" w:lineRule="auto"/>
      <w:ind w:left="5882"/>
      <w:rPr>
        <w:rFonts w:ascii="宋体" w:hAnsi="宋体" w:eastAsia="宋体" w:cs="宋体"/>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1CE12">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G9Mk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Vdv3lK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sb0yTUCAABlBAAADgAAAAAAAAABACAAAAAfAQAAZHJzL2Uyb0RvYy54bWxQ&#10;SwUGAAAAAAYABgBZAQAAxgUAAAAA&#10;">
              <v:fill on="f" focussize="0,0"/>
              <v:stroke on="f" weight="0.5pt"/>
              <v:imagedata o:title=""/>
              <o:lock v:ext="edit" aspectratio="f"/>
              <v:textbox inset="0mm,0mm,0mm,0mm" style="mso-fit-shape-to-text:t;">
                <w:txbxContent>
                  <w:p w14:paraId="11F1CE12">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309F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posOffset>3681095</wp:posOffset>
              </wp:positionH>
              <wp:positionV relativeFrom="paragraph">
                <wp:posOffset>0</wp:posOffset>
              </wp:positionV>
              <wp:extent cx="243840" cy="146685"/>
              <wp:effectExtent l="0" t="0" r="0" b="0"/>
              <wp:wrapNone/>
              <wp:docPr id="554" name="文本框 554"/>
              <wp:cNvGraphicFramePr/>
              <a:graphic xmlns:a="http://schemas.openxmlformats.org/drawingml/2006/main">
                <a:graphicData uri="http://schemas.microsoft.com/office/word/2010/wordprocessingShape">
                  <wps:wsp>
                    <wps:cNvSpPr txBox="1"/>
                    <wps:spPr>
                      <a:xfrm>
                        <a:off x="0" y="0"/>
                        <a:ext cx="243840"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AA1A8">
                          <w:pPr>
                            <w:pStyle w:val="6"/>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1.55pt;width:19.2pt;mso-position-horizontal-relative:margin;z-index:251801600;mso-width-relative:page;mso-height-relative:page;" filled="f" stroked="f" coordsize="21600,21600" o:gfxdata="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5BH1wAAAAcBAAAPAAAAAAAAAAEAIAAAACIAAABkcnMvZG93&#10;bnJldi54bWxQSwECFAAUAAAACACHTuJA9fE8RToCAABlBAAADgAAAAAAAAABACAAAAAmAQAAZHJz&#10;L2Uyb0RvYy54bWxQSwUGAAAAAAYABgBZAQAA0gUAAAAA&#10;">
              <v:fill on="f" focussize="0,0"/>
              <v:stroke on="f" weight="0.5pt"/>
              <v:imagedata o:title=""/>
              <o:lock v:ext="edit" aspectratio="f"/>
              <v:textbox inset="0mm,0mm,0mm,0mm">
                <w:txbxContent>
                  <w:p w14:paraId="513AA1A8">
                    <w:pPr>
                      <w:pStyle w:val="6"/>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E056">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posOffset>3681095</wp:posOffset>
              </wp:positionH>
              <wp:positionV relativeFrom="paragraph">
                <wp:posOffset>0</wp:posOffset>
              </wp:positionV>
              <wp:extent cx="243840" cy="137795"/>
              <wp:effectExtent l="0" t="0" r="0" b="0"/>
              <wp:wrapNone/>
              <wp:docPr id="555" name="文本框 555"/>
              <wp:cNvGraphicFramePr/>
              <a:graphic xmlns:a="http://schemas.openxmlformats.org/drawingml/2006/main">
                <a:graphicData uri="http://schemas.microsoft.com/office/word/2010/wordprocessingShape">
                  <wps:wsp>
                    <wps:cNvSpPr txBox="1"/>
                    <wps:spPr>
                      <a:xfrm>
                        <a:off x="0" y="0"/>
                        <a:ext cx="24384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8A7AA">
                          <w:pPr>
                            <w:pStyle w:val="6"/>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9.85pt;margin-top:0pt;height:10.85pt;width:19.2pt;mso-position-horizontal-relative:margin;z-index:251802624;mso-width-relative:page;mso-height-relative:page;" filled="f" stroked="f" coordsize="21600,21600" o:gfxdata="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IKCENYAAAAHAQAADwAAAAAAAAABACAAAAAiAAAAZHJzL2Rvd25y&#10;ZXYueG1sUEsBAhQAFAAAAAgAh07iQAiEn685AgAAZQQAAA4AAAAAAAAAAQAgAAAAJQEAAGRycy9l&#10;Mm9Eb2MueG1sUEsFBgAAAAAGAAYAWQEAANAFAAAAAA==&#10;">
              <v:fill on="f" focussize="0,0"/>
              <v:stroke on="f" weight="0.5pt"/>
              <v:imagedata o:title=""/>
              <o:lock v:ext="edit" aspectratio="f"/>
              <v:textbox inset="0mm,0mm,0mm,0mm">
                <w:txbxContent>
                  <w:p w14:paraId="4F78A7AA">
                    <w:pPr>
                      <w:pStyle w:val="6"/>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C6529">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6" name="文本框 5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02591">
                          <w:pPr>
                            <w:pStyle w:val="6"/>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SS700AgAAZQQAAA4AAABkcnMvZTJvRG9jLnhtbK1UzY7TMBC+I/EO&#10;lu80aVGr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p7O0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kku9NAIAAGUEAAAOAAAAAAAAAAEAIAAAAB8BAABkcnMvZTJvRG9jLnhtbFBL&#10;BQYAAAAABgAGAFkBAADFBQAAAAA=&#10;">
              <v:fill on="f" focussize="0,0"/>
              <v:stroke on="f" weight="0.5pt"/>
              <v:imagedata o:title=""/>
              <o:lock v:ext="edit" aspectratio="f"/>
              <v:textbox inset="0mm,0mm,0mm,0mm" style="mso-fit-shape-to-text:t;">
                <w:txbxContent>
                  <w:p w14:paraId="65802591">
                    <w:pPr>
                      <w:pStyle w:val="6"/>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2DA1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0FF6D">
                          <w:pPr>
                            <w:pStyle w:val="6"/>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u1SE0AgAAZQQAAA4AAABkcnMvZTJvRG9jLnhtbK1UzY7TMBC+I/EO&#10;lu80aVGX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8LtUhNAIAAGUEAAAOAAAAAAAAAAEAIAAAAB8BAABkcnMvZTJvRG9jLnhtbFBL&#10;BQYAAAAABgAGAFkBAADFBQAAAAA=&#10;">
              <v:fill on="f" focussize="0,0"/>
              <v:stroke on="f" weight="0.5pt"/>
              <v:imagedata o:title=""/>
              <o:lock v:ext="edit" aspectratio="f"/>
              <v:textbox inset="0mm,0mm,0mm,0mm" style="mso-fit-shape-to-text:t;">
                <w:txbxContent>
                  <w:p w14:paraId="3840FF6D">
                    <w:pPr>
                      <w:pStyle w:val="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3BB3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8" name="文本框 5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64CC6">
                          <w:pPr>
                            <w:pStyle w:val="6"/>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hPX8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UXjNFEp++fH9&#10;8vP35dc3Eg8hUW39HJE7i9jQvDMNGmc49ziMzJvCqfgFJwI/BD5fBRZNIDxemk1msxQuDt+wAX7y&#10;dN06H94Lo0g0MupQwVZYdtr60IUOITGbNptKyraKUpM6ozdvp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4T1/NAIAAGUEAAAOAAAAAAAAAAEAIAAAAB8BAABkcnMvZTJvRG9jLnhtbFBL&#10;BQYAAAAABgAGAFkBAADFBQAAAAA=&#10;">
              <v:fill on="f" focussize="0,0"/>
              <v:stroke on="f" weight="0.5pt"/>
              <v:imagedata o:title=""/>
              <o:lock v:ext="edit" aspectratio="f"/>
              <v:textbox inset="0mm,0mm,0mm,0mm" style="mso-fit-shape-to-text:t;">
                <w:txbxContent>
                  <w:p w14:paraId="72564CC6">
                    <w:pPr>
                      <w:pStyle w:val="6"/>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72BFE">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9" name="文本框 5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AD73E">
                          <w:pPr>
                            <w:pStyle w:val="6"/>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do+M0AgAAZ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XaPjNAIAAGUEAAAOAAAAAAAAAAEAIAAAAB8BAABkcnMvZTJvRG9jLnhtbFBL&#10;BQYAAAAABgAGAFkBAADFBQAAAAA=&#10;">
              <v:fill on="f" focussize="0,0"/>
              <v:stroke on="f" weight="0.5pt"/>
              <v:imagedata o:title=""/>
              <o:lock v:ext="edit" aspectratio="f"/>
              <v:textbox inset="0mm,0mm,0mm,0mm" style="mso-fit-shape-to-text:t;">
                <w:txbxContent>
                  <w:p w14:paraId="142AD73E">
                    <w:pPr>
                      <w:pStyle w:val="6"/>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92C68">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0" name="文本框 5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FE399">
                          <w:pPr>
                            <w:pStyle w:val="6"/>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7m/Q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oYlmCiW//Ph+&#10;+fn78usbiYeQqLZ+jsidRWxo3pkGjTOcexxG5k3hVPyCE4EfYOerwKIJhMdLs8lslsLF4Rs2wE+e&#10;rlvnw3thFIlGRh0q2ArLTlsfutAhJGbTZlNJ2VZRalJndPr2J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e5v0NAIAAGUEAAAOAAAAAAAAAAEAIAAAAB8BAABkcnMvZTJvRG9jLnhtbFBL&#10;BQYAAAAABgAGAFkBAADFBQAAAAA=&#10;">
              <v:fill on="f" focussize="0,0"/>
              <v:stroke on="f" weight="0.5pt"/>
              <v:imagedata o:title=""/>
              <o:lock v:ext="edit" aspectratio="f"/>
              <v:textbox inset="0mm,0mm,0mm,0mm" style="mso-fit-shape-to-text:t;">
                <w:txbxContent>
                  <w:p w14:paraId="08FFE399">
                    <w:pPr>
                      <w:pStyle w:val="6"/>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A652">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7D0C6">
                          <w:pPr>
                            <w:pStyle w:val="6"/>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HBWg0AgAAZQQAAA4AAABkcnMvZTJvRG9jLnhtbK1UzY7TMBC+I/EO&#10;lu80adFW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3N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xwVoNAIAAGUEAAAOAAAAAAAAAAEAIAAAAB8BAABkcnMvZTJvRG9jLnhtbFBL&#10;BQYAAAAABgAGAFkBAADFBQAAAAA=&#10;">
              <v:fill on="f" focussize="0,0"/>
              <v:stroke on="f" weight="0.5pt"/>
              <v:imagedata o:title=""/>
              <o:lock v:ext="edit" aspectratio="f"/>
              <v:textbox inset="0mm,0mm,0mm,0mm" style="mso-fit-shape-to-text:t;">
                <w:txbxContent>
                  <w:p w14:paraId="1467D0C6">
                    <w:pPr>
                      <w:pStyle w:val="6"/>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FD65">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2" name="文本框 5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9C670">
                          <w:pPr>
                            <w:pStyle w:val="6"/>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0F1xY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BdcWNAIAAGUEAAAOAAAAAAAAAAEAIAAAAB8BAABkcnMvZTJvRG9jLnhtbFBL&#10;BQYAAAAABgAGAFkBAADFBQAAAAA=&#10;">
              <v:fill on="f" focussize="0,0"/>
              <v:stroke on="f" weight="0.5pt"/>
              <v:imagedata o:title=""/>
              <o:lock v:ext="edit" aspectratio="f"/>
              <v:textbox inset="0mm,0mm,0mm,0mm" style="mso-fit-shape-to-text:t;">
                <w:txbxContent>
                  <w:p w14:paraId="7ED9C670">
                    <w:pPr>
                      <w:pStyle w:val="6"/>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088B5">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3" name="文本框 5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8D664">
                          <w:pPr>
                            <w:pStyle w:val="6"/>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5SYo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Obyj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uUmKNAIAAGUEAAAOAAAAAAAAAAEAIAAAAB8BAABkcnMvZTJvRG9jLnhtbFBL&#10;BQYAAAAABgAGAFkBAADFBQAAAAA=&#10;">
              <v:fill on="f" focussize="0,0"/>
              <v:stroke on="f" weight="0.5pt"/>
              <v:imagedata o:title=""/>
              <o:lock v:ext="edit" aspectratio="f"/>
              <v:textbox inset="0mm,0mm,0mm,0mm" style="mso-fit-shape-to-text:t;">
                <w:txbxContent>
                  <w:p w14:paraId="0C08D664">
                    <w:pPr>
                      <w:pStyle w:val="6"/>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67FE">
    <w:pPr>
      <w:spacing w:line="229" w:lineRule="auto"/>
      <w:ind w:left="5871"/>
      <w:rPr>
        <w:rFonts w:ascii="宋体" w:hAnsi="宋体" w:eastAsia="宋体" w:cs="宋体"/>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53433">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Zim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U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WYpiNAIAAGUEAAAOAAAAAAAAAAEAIAAAAB8BAABkcnMvZTJvRG9jLnhtbFBL&#10;BQYAAAAABgAGAFkBAADFBQAAAAA=&#10;">
              <v:fill on="f" focussize="0,0"/>
              <v:stroke on="f" weight="0.5pt"/>
              <v:imagedata o:title=""/>
              <o:lock v:ext="edit" aspectratio="f"/>
              <v:textbox inset="0mm,0mm,0mm,0mm" style="mso-fit-shape-to-text:t;">
                <w:txbxContent>
                  <w:p w14:paraId="5B853433">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66F7F">
    <w:pPr>
      <w:spacing w:line="229" w:lineRule="auto"/>
      <w:ind w:left="5825"/>
      <w:rPr>
        <w:rFonts w:ascii="宋体" w:hAnsi="宋体" w:eastAsia="宋体" w:cs="宋体"/>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C8B67">
                          <w:pPr>
                            <w:pStyle w:val="6"/>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Acus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gHLrNAIAAGUEAAAOAAAAAAAAAAEAIAAAAB8BAABkcnMvZTJvRG9jLnhtbFBL&#10;BQYAAAAABgAGAFkBAADFBQAAAAA=&#10;">
              <v:fill on="f" focussize="0,0"/>
              <v:stroke on="f" weight="0.5pt"/>
              <v:imagedata o:title=""/>
              <o:lock v:ext="edit" aspectratio="f"/>
              <v:textbox inset="0mm,0mm,0mm,0mm" style="mso-fit-shape-to-text:t;">
                <w:txbxContent>
                  <w:p w14:paraId="260C8B67">
                    <w:pPr>
                      <w:pStyle w:val="6"/>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1FAA7">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5" name="文本框 5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0FB6B">
                          <w:pPr>
                            <w:pStyle w:val="6"/>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487Hc0AgAAZQQAAA4AAABkcnMvZTJvRG9jLnhtbK1UzY7TMBC+I/EO&#10;lu80aVGr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p7O0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POx3NAIAAGUEAAAOAAAAAAAAAAEAIAAAAB8BAABkcnMvZTJvRG9jLnhtbFBL&#10;BQYAAAAABgAGAFkBAADFBQAAAAA=&#10;">
              <v:fill on="f" focussize="0,0"/>
              <v:stroke on="f" weight="0.5pt"/>
              <v:imagedata o:title=""/>
              <o:lock v:ext="edit" aspectratio="f"/>
              <v:textbox inset="0mm,0mm,0mm,0mm" style="mso-fit-shape-to-text:t;">
                <w:txbxContent>
                  <w:p w14:paraId="6010FB6B">
                    <w:pPr>
                      <w:pStyle w:val="6"/>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89CCD">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6" name="文本框 5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D4614">
                          <w:pPr>
                            <w:pStyle w:val="6"/>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Pgk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j4JNAIAAGUEAAAOAAAAAAAAAAEAIAAAAB8BAABkcnMvZTJvRG9jLnhtbFBL&#10;BQYAAAAABgAGAFkBAADFBQAAAAA=&#10;">
              <v:fill on="f" focussize="0,0"/>
              <v:stroke on="f" weight="0.5pt"/>
              <v:imagedata o:title=""/>
              <o:lock v:ext="edit" aspectratio="f"/>
              <v:textbox inset="0mm,0mm,0mm,0mm" style="mso-fit-shape-to-text:t;">
                <w:txbxContent>
                  <w:p w14:paraId="124D4614">
                    <w:pPr>
                      <w:pStyle w:val="6"/>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F467">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AF3D7">
                          <w:pPr>
                            <w:pStyle w:val="6"/>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CoJU0AgAAZQQAAA4AAABkcnMvZTJvRG9jLnhtbK1UzY7TMBC+I/EO&#10;lu80adGW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QqCVNAIAAGUEAAAOAAAAAAAAAAEAIAAAAB8BAABkcnMvZTJvRG9jLnhtbFBL&#10;BQYAAAAABgAGAFkBAADFBQAAAAA=&#10;">
              <v:fill on="f" focussize="0,0"/>
              <v:stroke on="f" weight="0.5pt"/>
              <v:imagedata o:title=""/>
              <o:lock v:ext="edit" aspectratio="f"/>
              <v:textbox inset="0mm,0mm,0mm,0mm" style="mso-fit-shape-to-text:t;">
                <w:txbxContent>
                  <w:p w14:paraId="43BAF3D7">
                    <w:pPr>
                      <w:pStyle w:val="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64D53">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8" name="文本框 5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D980C">
                          <w:pPr>
                            <w:pStyle w:val="6"/>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NSMs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3N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jUjLNAIAAGUEAAAOAAAAAAAAAAEAIAAAAB8BAABkcnMvZTJvRG9jLnhtbFBL&#10;BQYAAAAABgAGAFkBAADFBQAAAAA=&#10;">
              <v:fill on="f" focussize="0,0"/>
              <v:stroke on="f" weight="0.5pt"/>
              <v:imagedata o:title=""/>
              <o:lock v:ext="edit" aspectratio="f"/>
              <v:textbox inset="0mm,0mm,0mm,0mm" style="mso-fit-shape-to-text:t;">
                <w:txbxContent>
                  <w:p w14:paraId="646D980C">
                    <w:pPr>
                      <w:pStyle w:val="6"/>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744C6">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1AD6E">
                          <w:pPr>
                            <w:pStyle w:val="6"/>
                          </w:pPr>
                          <w:r>
                            <w:fldChar w:fldCharType="begin"/>
                          </w:r>
                          <w:r>
                            <w:instrText xml:space="preserve"> PAGE  \* MERGEFORMAT </w:instrText>
                          </w:r>
                          <w:r>
                            <w:fldChar w:fldCharType="separate"/>
                          </w:r>
                          <w:r>
                            <w:t>265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x1lc0AgAAZQQAAA4AAABkcnMvZTJvRG9jLnhtbK1UzY7TMBC+I/EO&#10;lu80adFW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MdZXNAIAAGUEAAAOAAAAAAAAAAEAIAAAAB8BAABkcnMvZTJvRG9jLnhtbFBL&#10;BQYAAAAABgAGAFkBAADFBQAAAAA=&#10;">
              <v:fill on="f" focussize="0,0"/>
              <v:stroke on="f" weight="0.5pt"/>
              <v:imagedata o:title=""/>
              <o:lock v:ext="edit" aspectratio="f"/>
              <v:textbox inset="0mm,0mm,0mm,0mm" style="mso-fit-shape-to-text:t;">
                <w:txbxContent>
                  <w:p w14:paraId="2D41AD6E">
                    <w:pPr>
                      <w:pStyle w:val="6"/>
                    </w:pPr>
                    <w:r>
                      <w:fldChar w:fldCharType="begin"/>
                    </w:r>
                    <w:r>
                      <w:instrText xml:space="preserve"> PAGE  \* MERGEFORMAT </w:instrText>
                    </w:r>
                    <w:r>
                      <w:fldChar w:fldCharType="separate"/>
                    </w:r>
                    <w:r>
                      <w:t>265</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F33F">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0" name="文本框 5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5D437">
                          <w:pPr>
                            <w:pStyle w:val="6"/>
                          </w:pPr>
                          <w:r>
                            <w:fldChar w:fldCharType="begin"/>
                          </w:r>
                          <w:r>
                            <w:instrText xml:space="preserve"> PAGE  \* MERGEFORMAT </w:instrText>
                          </w:r>
                          <w:r>
                            <w:fldChar w:fldCharType="separate"/>
                          </w:r>
                          <w:r>
                            <w:t>266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dZy4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gSaaKZT89P3b&#10;6cev08+vJB5Cotb6GSIfLGJD99Z0aJzh3OMwMu8qp+IXnAj8ADteBBZdIDxemk6m0xwuDt+wAX72&#10;eN06H94Jo0g0CupQwSQsO2x86EOHkJhNm3UjZaqi1KQt6PXrq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2XWcuNAIAAGUEAAAOAAAAAAAAAAEAIAAAAB8BAABkcnMvZTJvRG9jLnhtbFBL&#10;BQYAAAAABgAGAFkBAADFBQAAAAA=&#10;">
              <v:fill on="f" focussize="0,0"/>
              <v:stroke on="f" weight="0.5pt"/>
              <v:imagedata o:title=""/>
              <o:lock v:ext="edit" aspectratio="f"/>
              <v:textbox inset="0mm,0mm,0mm,0mm" style="mso-fit-shape-to-text:t;">
                <w:txbxContent>
                  <w:p w14:paraId="0BC5D437">
                    <w:pPr>
                      <w:pStyle w:val="6"/>
                    </w:pPr>
                    <w:r>
                      <w:fldChar w:fldCharType="begin"/>
                    </w:r>
                    <w:r>
                      <w:instrText xml:space="preserve"> PAGE  \* MERGEFORMAT </w:instrText>
                    </w:r>
                    <w:r>
                      <w:fldChar w:fldCharType="separate"/>
                    </w:r>
                    <w:r>
                      <w:t>266</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D480">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1" name="文本框 5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E6AAB">
                          <w:pPr>
                            <w:pStyle w:val="6"/>
                          </w:pPr>
                          <w:r>
                            <w:fldChar w:fldCharType="begin"/>
                          </w:r>
                          <w:r>
                            <w:instrText xml:space="preserve"> PAGE  \* MERGEFORMAT </w:instrText>
                          </w:r>
                          <w:r>
                            <w:fldChar w:fldCharType="separate"/>
                          </w:r>
                          <w:r>
                            <w:t>267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h+bI0AgAAZQQAAA4AAABkcnMvZTJvRG9jLnhtbK1UzY7TMBC+I/EO&#10;lu80adEu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4fmyNAIAAGUEAAAOAAAAAAAAAAEAIAAAAB8BAABkcnMvZTJvRG9jLnhtbFBL&#10;BQYAAAAABgAGAFkBAADFBQAAAAA=&#10;">
              <v:fill on="f" focussize="0,0"/>
              <v:stroke on="f" weight="0.5pt"/>
              <v:imagedata o:title=""/>
              <o:lock v:ext="edit" aspectratio="f"/>
              <v:textbox inset="0mm,0mm,0mm,0mm" style="mso-fit-shape-to-text:t;">
                <w:txbxContent>
                  <w:p w14:paraId="2E3E6AAB">
                    <w:pPr>
                      <w:pStyle w:val="6"/>
                    </w:pPr>
                    <w:r>
                      <w:fldChar w:fldCharType="begin"/>
                    </w:r>
                    <w:r>
                      <w:instrText xml:space="preserve"> PAGE  \* MERGEFORMAT </w:instrText>
                    </w:r>
                    <w:r>
                      <w:fldChar w:fldCharType="separate"/>
                    </w:r>
                    <w:r>
                      <w:t>267</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B1C3">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2" name="文本框 5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41EF5">
                          <w:pPr>
                            <w:pStyle w:val="6"/>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jK8w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SMrzDUCAABlBAAADgAAAAAAAAABACAAAAAfAQAAZHJzL2Uyb0RvYy54bWxQ&#10;SwUGAAAAAAYABgBZAQAAxgUAAAAA&#10;">
              <v:fill on="f" focussize="0,0"/>
              <v:stroke on="f" weight="0.5pt"/>
              <v:imagedata o:title=""/>
              <o:lock v:ext="edit" aspectratio="f"/>
              <v:textbox inset="0mm,0mm,0mm,0mm" style="mso-fit-shape-to-text:t;">
                <w:txbxContent>
                  <w:p w14:paraId="20941EF5">
                    <w:pPr>
                      <w:pStyle w:val="6"/>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134A2">
    <w:pPr>
      <w:spacing w:line="229" w:lineRule="auto"/>
      <w:ind w:left="5827"/>
      <w:rPr>
        <w:rFonts w:ascii="宋体" w:hAnsi="宋体" w:eastAsia="宋体" w:cs="宋体"/>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3" name="文本框 5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EF2FB">
                          <w:pPr>
                            <w:pStyle w:val="6"/>
                          </w:pPr>
                          <w:r>
                            <w:fldChar w:fldCharType="begin"/>
                          </w:r>
                          <w:r>
                            <w:instrText xml:space="preserve"> PAGE  \* MERGEFORMAT </w:instrText>
                          </w:r>
                          <w:r>
                            <w:fldChar w:fldCharType="separate"/>
                          </w:r>
                          <w:r>
                            <w:t>269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ftV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p+1UDUCAABlBAAADgAAAAAAAAABACAAAAAfAQAAZHJzL2Uyb0RvYy54bWxQ&#10;SwUGAAAAAAYABgBZAQAAxgUAAAAA&#10;">
              <v:fill on="f" focussize="0,0"/>
              <v:stroke on="f" weight="0.5pt"/>
              <v:imagedata o:title=""/>
              <o:lock v:ext="edit" aspectratio="f"/>
              <v:textbox inset="0mm,0mm,0mm,0mm" style="mso-fit-shape-to-text:t;">
                <w:txbxContent>
                  <w:p w14:paraId="492EF2FB">
                    <w:pPr>
                      <w:pStyle w:val="6"/>
                    </w:pPr>
                    <w:r>
                      <w:fldChar w:fldCharType="begin"/>
                    </w:r>
                    <w:r>
                      <w:instrText xml:space="preserve"> PAGE  \* MERGEFORMAT </w:instrText>
                    </w:r>
                    <w:r>
                      <w:fldChar w:fldCharType="separate"/>
                    </w:r>
                    <w:r>
                      <w:t>269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pPr>
        <w:spacing w:line="240" w:lineRule="auto"/>
      </w:pPr>
      <w:r>
        <w:separator/>
      </w:r>
    </w:p>
  </w:footnote>
  <w:footnote w:type="continuationSeparator" w:id="27">
    <w:p>
      <w:pPr>
        <w:spacing w:line="240" w:lineRule="auto"/>
      </w:pPr>
      <w:r>
        <w:continuationSeparator/>
      </w:r>
    </w:p>
  </w:footnote>
  <w:footnote w:id="0">
    <w:p w14:paraId="24FCEB41">
      <w:pPr>
        <w:pStyle w:val="8"/>
        <w:snapToGrid w:val="0"/>
        <w:ind w:left="1056" w:leftChars="503" w:firstLine="0" w:firstLineChars="0"/>
        <w:rPr>
          <w:rFonts w:ascii="宋体" w:hAnsi="宋体" w:eastAsia="宋体" w:cs="宋体"/>
          <w:spacing w:val="-1"/>
          <w:sz w:val="18"/>
          <w:szCs w:val="18"/>
        </w:rPr>
      </w:pPr>
      <w:r>
        <w:rPr>
          <w:rFonts w:ascii="宋体" w:hAnsi="宋体" w:eastAsia="宋体" w:cs="宋体"/>
          <w:spacing w:val="-1"/>
          <w:sz w:val="18"/>
          <w:szCs w:val="18"/>
        </w:rPr>
        <w:footnoteRef/>
      </w:r>
      <w:r>
        <w:rPr>
          <w:rFonts w:ascii="宋体" w:hAnsi="宋体" w:eastAsia="宋体" w:cs="宋体"/>
          <w:spacing w:val="-1"/>
          <w:sz w:val="18"/>
          <w:szCs w:val="18"/>
        </w:rPr>
        <w:t xml:space="preserve"> 单位负责人是指单位的法定代表人或者法律、行政法规规定代表单位行使职权的主要负责人。</w:t>
      </w:r>
    </w:p>
  </w:footnote>
  <w:footnote w:id="1">
    <w:p w14:paraId="1469ED3D">
      <w:pPr>
        <w:pStyle w:val="8"/>
        <w:snapToGrid w:val="0"/>
        <w:ind w:left="1056" w:leftChars="503" w:firstLine="0" w:firstLineChars="0"/>
        <w:rPr>
          <w:rFonts w:ascii="宋体" w:hAnsi="宋体" w:eastAsia="宋体" w:cs="宋体"/>
          <w:spacing w:val="-1"/>
          <w:sz w:val="18"/>
          <w:szCs w:val="18"/>
        </w:rPr>
      </w:pPr>
      <w:r>
        <w:rPr>
          <w:rFonts w:ascii="宋体" w:hAnsi="宋体" w:eastAsia="宋体" w:cs="宋体"/>
          <w:spacing w:val="-1"/>
          <w:sz w:val="18"/>
          <w:szCs w:val="18"/>
        </w:rPr>
        <w:footnoteRef/>
      </w:r>
      <w:r>
        <w:rPr>
          <w:rFonts w:ascii="宋体" w:hAnsi="宋体" w:eastAsia="宋体" w:cs="宋体"/>
          <w:spacing w:val="-1"/>
          <w:sz w:val="18"/>
          <w:szCs w:val="18"/>
        </w:rPr>
        <w:t xml:space="preserve"> 控股是指出资额占有限责任公司资本总额</w:t>
      </w:r>
      <w:r>
        <w:rPr>
          <w:rFonts w:ascii="宋体" w:hAnsi="宋体" w:eastAsia="宋体" w:cs="宋体"/>
          <w:spacing w:val="-37"/>
          <w:sz w:val="18"/>
          <w:szCs w:val="18"/>
        </w:rPr>
        <w:t xml:space="preserve"> </w:t>
      </w:r>
      <w:r>
        <w:rPr>
          <w:rFonts w:ascii="Times New Roman" w:hAnsi="Times New Roman" w:eastAsia="Times New Roman" w:cs="Times New Roman"/>
          <w:spacing w:val="-1"/>
          <w:sz w:val="18"/>
          <w:szCs w:val="18"/>
        </w:rPr>
        <w:t>50%</w:t>
      </w:r>
      <w:r>
        <w:rPr>
          <w:rFonts w:ascii="宋体" w:hAnsi="宋体" w:eastAsia="宋体" w:cs="宋体"/>
          <w:spacing w:val="-1"/>
          <w:sz w:val="18"/>
          <w:szCs w:val="18"/>
        </w:rPr>
        <w:t>以上或者其持有的股份占股</w:t>
      </w:r>
      <w:r>
        <w:rPr>
          <w:rFonts w:ascii="宋体" w:hAnsi="宋体" w:eastAsia="宋体" w:cs="宋体"/>
          <w:spacing w:val="-2"/>
          <w:sz w:val="18"/>
          <w:szCs w:val="18"/>
        </w:rPr>
        <w:t>份有限公司股本总额</w:t>
      </w:r>
      <w:r>
        <w:rPr>
          <w:rFonts w:ascii="宋体" w:hAnsi="宋体" w:eastAsia="宋体" w:cs="宋体"/>
          <w:spacing w:val="-37"/>
          <w:sz w:val="18"/>
          <w:szCs w:val="18"/>
        </w:rPr>
        <w:t xml:space="preserve"> </w:t>
      </w:r>
      <w:r>
        <w:rPr>
          <w:rFonts w:ascii="Times New Roman" w:hAnsi="Times New Roman" w:eastAsia="Times New Roman" w:cs="Times New Roman"/>
          <w:spacing w:val="-2"/>
          <w:sz w:val="18"/>
          <w:szCs w:val="18"/>
        </w:rPr>
        <w:t>50%</w:t>
      </w:r>
      <w:r>
        <w:rPr>
          <w:rFonts w:ascii="宋体" w:hAnsi="宋体" w:eastAsia="宋体" w:cs="宋体"/>
          <w:spacing w:val="-2"/>
          <w:sz w:val="18"/>
          <w:szCs w:val="18"/>
        </w:rPr>
        <w:t>以上的，以及</w:t>
      </w:r>
      <w:r>
        <w:rPr>
          <w:rFonts w:ascii="宋体" w:hAnsi="宋体" w:eastAsia="宋体" w:cs="宋体"/>
          <w:sz w:val="18"/>
          <w:szCs w:val="18"/>
        </w:rPr>
        <w:t>出资额或者持有股份的比例虽然不足</w:t>
      </w:r>
      <w:r>
        <w:rPr>
          <w:rFonts w:ascii="宋体" w:hAnsi="宋体" w:eastAsia="宋体" w:cs="宋体"/>
          <w:spacing w:val="-37"/>
          <w:sz w:val="18"/>
          <w:szCs w:val="18"/>
        </w:rPr>
        <w:t xml:space="preserve"> </w:t>
      </w:r>
      <w:r>
        <w:rPr>
          <w:rFonts w:ascii="Times New Roman" w:hAnsi="Times New Roman" w:eastAsia="Times New Roman" w:cs="Times New Roman"/>
          <w:sz w:val="18"/>
          <w:szCs w:val="18"/>
        </w:rPr>
        <w:t>50%</w:t>
      </w:r>
      <w:r>
        <w:rPr>
          <w:rFonts w:ascii="宋体" w:hAnsi="宋体" w:eastAsia="宋体" w:cs="宋体"/>
          <w:sz w:val="18"/>
          <w:szCs w:val="18"/>
        </w:rPr>
        <w:t>，但依其出资额</w:t>
      </w:r>
      <w:r>
        <w:rPr>
          <w:rFonts w:ascii="宋体" w:hAnsi="宋体" w:eastAsia="宋体" w:cs="宋体"/>
          <w:spacing w:val="-1"/>
          <w:sz w:val="18"/>
          <w:szCs w:val="18"/>
        </w:rPr>
        <w:t>或者持有的股份所享有的表决权已足以对股东会、股东大</w:t>
      </w:r>
      <w:r>
        <w:rPr>
          <w:rFonts w:ascii="宋体" w:hAnsi="宋体" w:eastAsia="宋体" w:cs="宋体"/>
          <w:spacing w:val="-3"/>
          <w:sz w:val="18"/>
          <w:szCs w:val="18"/>
        </w:rPr>
        <w:t>会的决议产生重大影响的。</w:t>
      </w:r>
    </w:p>
  </w:footnote>
  <w:footnote w:id="2">
    <w:p w14:paraId="48347DE8">
      <w:pPr>
        <w:pStyle w:val="8"/>
        <w:snapToGrid w:val="0"/>
        <w:ind w:left="1056" w:leftChars="503" w:firstLine="0" w:firstLineChars="0"/>
        <w:rPr>
          <w:rFonts w:ascii="宋体" w:hAnsi="宋体" w:eastAsia="宋体" w:cs="宋体"/>
          <w:spacing w:val="-1"/>
          <w:sz w:val="18"/>
          <w:szCs w:val="18"/>
        </w:rPr>
      </w:pPr>
      <w:r>
        <w:rPr>
          <w:rFonts w:ascii="宋体" w:hAnsi="宋体" w:eastAsia="宋体" w:cs="宋体"/>
          <w:spacing w:val="-1"/>
          <w:sz w:val="18"/>
          <w:szCs w:val="18"/>
        </w:rPr>
        <w:footnoteRef/>
      </w:r>
      <w:r>
        <w:rPr>
          <w:rFonts w:ascii="宋体" w:hAnsi="宋体" w:eastAsia="宋体" w:cs="宋体"/>
          <w:spacing w:val="-1"/>
          <w:sz w:val="18"/>
          <w:szCs w:val="18"/>
        </w:rPr>
        <w:t xml:space="preserve"> 管理关系是指不具有出资持股关系的其他单位之间存在的管理与被管理关系。</w:t>
      </w:r>
    </w:p>
  </w:footnote>
  <w:footnote w:id="3">
    <w:p w14:paraId="3E601A40">
      <w:pPr>
        <w:pStyle w:val="8"/>
        <w:snapToGrid w:val="0"/>
        <w:ind w:left="1056" w:leftChars="503" w:firstLine="0" w:firstLineChars="0"/>
        <w:rPr>
          <w:rFonts w:ascii="宋体" w:hAnsi="宋体" w:eastAsia="宋体" w:cs="宋体"/>
          <w:spacing w:val="-1"/>
          <w:sz w:val="18"/>
          <w:szCs w:val="18"/>
        </w:rPr>
      </w:pPr>
      <w:r>
        <w:rPr>
          <w:rFonts w:ascii="宋体" w:hAnsi="宋体" w:eastAsia="宋体" w:cs="宋体"/>
          <w:spacing w:val="-1"/>
          <w:sz w:val="18"/>
          <w:szCs w:val="18"/>
        </w:rPr>
        <w:footnoteRef/>
      </w:r>
      <w:r>
        <w:rPr>
          <w:rFonts w:ascii="宋体" w:hAnsi="宋体" w:eastAsia="宋体" w:cs="宋体"/>
          <w:spacing w:val="-1"/>
          <w:sz w:val="18"/>
          <w:szCs w:val="18"/>
        </w:rPr>
        <w:t xml:space="preserve"> </w:t>
      </w:r>
      <w:r>
        <w:rPr>
          <w:rFonts w:ascii="宋体" w:hAnsi="宋体" w:eastAsia="宋体" w:cs="宋体"/>
          <w:spacing w:val="-2"/>
          <w:sz w:val="18"/>
          <w:szCs w:val="18"/>
        </w:rPr>
        <w:t>“中国执行信息公开网”查询信息也认可，下同。</w:t>
      </w:r>
    </w:p>
  </w:footnote>
  <w:footnote w:id="4">
    <w:p w14:paraId="739719CE">
      <w:pPr>
        <w:keepNext w:val="0"/>
        <w:keepLines w:val="0"/>
        <w:widowControl/>
        <w:suppressLineNumbers w:val="0"/>
        <w:ind w:firstLine="1479" w:firstLineChars="822"/>
        <w:jc w:val="left"/>
      </w:pPr>
      <w:r>
        <w:rPr>
          <w:rFonts w:hint="eastAsia" w:ascii="宋体" w:hAnsi="宋体" w:eastAsia="宋体" w:cs="宋体"/>
          <w:snapToGrid w:val="0"/>
          <w:color w:val="000000"/>
          <w:kern w:val="0"/>
          <w:sz w:val="18"/>
          <w:szCs w:val="18"/>
          <w:lang w:val="en-US" w:eastAsia="zh-CN" w:bidi="ar"/>
        </w:rPr>
        <w:t>①“中国执行信息公开网”查询信息也认可。</w:t>
      </w:r>
    </w:p>
    <w:p w14:paraId="3E3DDCEE">
      <w:pPr>
        <w:pStyle w:val="8"/>
        <w:snapToGrid w:val="0"/>
      </w:pPr>
    </w:p>
  </w:footnote>
  <w:footnote w:id="5">
    <w:p w14:paraId="30735CA5">
      <w:pPr>
        <w:spacing w:before="19" w:line="219" w:lineRule="auto"/>
        <w:ind w:left="1421"/>
        <w:rPr>
          <w:rFonts w:ascii="宋体" w:hAnsi="宋体" w:eastAsia="宋体" w:cs="宋体"/>
          <w:sz w:val="18"/>
          <w:szCs w:val="18"/>
        </w:rPr>
      </w:pPr>
      <w:r>
        <w:rPr>
          <w:rFonts w:ascii="宋体" w:hAnsi="宋体" w:eastAsia="宋体" w:cs="宋体"/>
          <w:spacing w:val="-2"/>
          <w:sz w:val="18"/>
          <w:szCs w:val="18"/>
        </w:rPr>
        <w:footnoteRef/>
      </w:r>
      <w:r>
        <w:rPr>
          <w:rFonts w:ascii="宋体" w:hAnsi="宋体" w:eastAsia="宋体" w:cs="宋体"/>
          <w:spacing w:val="-2"/>
          <w:sz w:val="18"/>
          <w:szCs w:val="18"/>
        </w:rPr>
        <w:t xml:space="preserve"> “中国执行信息公开网”查询信息也认可。</w:t>
      </w:r>
    </w:p>
    <w:p w14:paraId="5C6B3E29">
      <w:pPr>
        <w:pStyle w:val="8"/>
        <w:snapToGrid w:val="0"/>
      </w:pPr>
    </w:p>
  </w:footnote>
  <w:footnote w:id="6">
    <w:p w14:paraId="237088C0">
      <w:pPr>
        <w:spacing w:before="20" w:line="232" w:lineRule="auto"/>
        <w:ind w:left="1423" w:right="1424" w:hanging="2"/>
        <w:rPr>
          <w:rFonts w:ascii="宋体" w:hAnsi="宋体" w:eastAsia="宋体" w:cs="宋体"/>
          <w:sz w:val="18"/>
          <w:szCs w:val="18"/>
        </w:rPr>
      </w:pPr>
      <w:r>
        <w:rPr>
          <w:rFonts w:ascii="宋体" w:hAnsi="宋体" w:eastAsia="宋体" w:cs="宋体"/>
          <w:sz w:val="18"/>
          <w:szCs w:val="18"/>
        </w:rPr>
        <w:t>①</w:t>
      </w:r>
      <w:r>
        <w:rPr>
          <w:rFonts w:ascii="宋体" w:hAnsi="宋体" w:eastAsia="宋体" w:cs="宋体"/>
          <w:spacing w:val="-1"/>
          <w:sz w:val="18"/>
          <w:szCs w:val="18"/>
        </w:rPr>
        <w:t>如本项目招标采用第二章“投标人须知”第</w:t>
      </w:r>
      <w:r>
        <w:rPr>
          <w:rFonts w:ascii="宋体" w:hAnsi="宋体" w:eastAsia="宋体" w:cs="宋体"/>
          <w:spacing w:val="-37"/>
          <w:sz w:val="18"/>
          <w:szCs w:val="18"/>
        </w:rPr>
        <w:t xml:space="preserve"> </w:t>
      </w:r>
      <w:r>
        <w:rPr>
          <w:rFonts w:ascii="Times New Roman" w:hAnsi="Times New Roman" w:eastAsia="Times New Roman" w:cs="Times New Roman"/>
          <w:spacing w:val="-1"/>
          <w:sz w:val="18"/>
          <w:szCs w:val="18"/>
        </w:rPr>
        <w:t xml:space="preserve">3.2.1 </w:t>
      </w:r>
      <w:r>
        <w:rPr>
          <w:rFonts w:ascii="宋体" w:hAnsi="宋体" w:eastAsia="宋体" w:cs="宋体"/>
          <w:spacing w:val="-1"/>
          <w:sz w:val="18"/>
          <w:szCs w:val="18"/>
        </w:rPr>
        <w:t>项（</w:t>
      </w:r>
      <w:r>
        <w:rPr>
          <w:rFonts w:ascii="Times New Roman" w:hAnsi="Times New Roman" w:eastAsia="Times New Roman" w:cs="Times New Roman"/>
          <w:spacing w:val="-1"/>
          <w:sz w:val="18"/>
          <w:szCs w:val="18"/>
        </w:rPr>
        <w:t>1</w:t>
      </w:r>
      <w:r>
        <w:rPr>
          <w:rFonts w:ascii="宋体" w:hAnsi="宋体" w:eastAsia="宋体" w:cs="宋体"/>
          <w:spacing w:val="-1"/>
          <w:sz w:val="18"/>
          <w:szCs w:val="18"/>
        </w:rPr>
        <w:t>）</w:t>
      </w:r>
      <w:r>
        <w:rPr>
          <w:rFonts w:ascii="宋体" w:hAnsi="宋体" w:eastAsia="宋体" w:cs="宋体"/>
          <w:spacing w:val="-53"/>
          <w:sz w:val="18"/>
          <w:szCs w:val="18"/>
        </w:rPr>
        <w:t xml:space="preserve"> </w:t>
      </w:r>
      <w:r>
        <w:rPr>
          <w:rFonts w:ascii="宋体" w:hAnsi="宋体" w:eastAsia="宋体" w:cs="宋体"/>
          <w:spacing w:val="-2"/>
          <w:sz w:val="18"/>
          <w:szCs w:val="18"/>
        </w:rPr>
        <w:t>目规定的投标人按照招标人提供的工程量固化清单电子</w:t>
      </w:r>
      <w:r>
        <w:rPr>
          <w:rFonts w:ascii="宋体" w:hAnsi="宋体" w:eastAsia="宋体" w:cs="宋体"/>
          <w:sz w:val="18"/>
          <w:szCs w:val="18"/>
        </w:rPr>
        <w:t>文件填写工程量清单的，无须按照本章第</w:t>
      </w:r>
      <w:r>
        <w:rPr>
          <w:rFonts w:ascii="宋体" w:hAnsi="宋体" w:eastAsia="宋体" w:cs="宋体"/>
          <w:spacing w:val="-38"/>
          <w:sz w:val="18"/>
          <w:szCs w:val="18"/>
        </w:rPr>
        <w:t xml:space="preserve"> </w:t>
      </w:r>
      <w:r>
        <w:rPr>
          <w:rFonts w:ascii="Times New Roman" w:hAnsi="Times New Roman" w:eastAsia="Times New Roman" w:cs="Times New Roman"/>
          <w:sz w:val="18"/>
          <w:szCs w:val="18"/>
        </w:rPr>
        <w:t xml:space="preserve">3.4.2 </w:t>
      </w:r>
      <w:r>
        <w:rPr>
          <w:rFonts w:ascii="宋体" w:hAnsi="宋体" w:eastAsia="宋体" w:cs="宋体"/>
          <w:sz w:val="18"/>
          <w:szCs w:val="18"/>
        </w:rPr>
        <w:t>项和第</w:t>
      </w:r>
      <w:r>
        <w:rPr>
          <w:rFonts w:ascii="宋体" w:hAnsi="宋体" w:eastAsia="宋体" w:cs="宋体"/>
          <w:spacing w:val="-38"/>
          <w:sz w:val="18"/>
          <w:szCs w:val="18"/>
        </w:rPr>
        <w:t xml:space="preserve"> </w:t>
      </w:r>
      <w:r>
        <w:rPr>
          <w:rFonts w:ascii="Times New Roman" w:hAnsi="Times New Roman" w:eastAsia="Times New Roman" w:cs="Times New Roman"/>
          <w:sz w:val="18"/>
          <w:szCs w:val="18"/>
        </w:rPr>
        <w:t xml:space="preserve">3.4.3 </w:t>
      </w:r>
      <w:r>
        <w:rPr>
          <w:rFonts w:ascii="宋体" w:hAnsi="宋体" w:eastAsia="宋体" w:cs="宋体"/>
          <w:sz w:val="18"/>
          <w:szCs w:val="18"/>
        </w:rPr>
        <w:t>项</w:t>
      </w:r>
      <w:r>
        <w:rPr>
          <w:rFonts w:ascii="宋体" w:hAnsi="宋体" w:eastAsia="宋体" w:cs="宋体"/>
          <w:spacing w:val="-1"/>
          <w:sz w:val="18"/>
          <w:szCs w:val="18"/>
        </w:rPr>
        <w:t>的规定对投标报价进行修正，经评审的投标价（评标价）</w:t>
      </w:r>
      <w:r>
        <w:rPr>
          <w:rFonts w:ascii="Times New Roman" w:hAnsi="Times New Roman" w:eastAsia="Times New Roman" w:cs="Times New Roman"/>
          <w:spacing w:val="-1"/>
          <w:sz w:val="18"/>
          <w:szCs w:val="18"/>
        </w:rPr>
        <w:t>=</w:t>
      </w:r>
      <w:r>
        <w:rPr>
          <w:rFonts w:ascii="宋体" w:hAnsi="宋体" w:eastAsia="宋体" w:cs="宋体"/>
          <w:spacing w:val="-1"/>
          <w:sz w:val="18"/>
          <w:szCs w:val="18"/>
        </w:rPr>
        <w:t>投标函文字报价</w:t>
      </w:r>
      <w:r>
        <w:rPr>
          <w:rFonts w:ascii="Times New Roman" w:hAnsi="Times New Roman" w:eastAsia="Times New Roman" w:cs="Times New Roman"/>
          <w:spacing w:val="-1"/>
          <w:sz w:val="18"/>
          <w:szCs w:val="18"/>
        </w:rPr>
        <w:t>-</w:t>
      </w:r>
      <w:r>
        <w:rPr>
          <w:rFonts w:ascii="宋体" w:hAnsi="宋体" w:eastAsia="宋体" w:cs="宋体"/>
          <w:spacing w:val="-1"/>
          <w:sz w:val="18"/>
          <w:szCs w:val="18"/>
        </w:rPr>
        <w:t>暂估价</w:t>
      </w:r>
      <w:r>
        <w:rPr>
          <w:rFonts w:ascii="Times New Roman" w:hAnsi="Times New Roman" w:eastAsia="Times New Roman" w:cs="Times New Roman"/>
          <w:spacing w:val="-1"/>
          <w:sz w:val="18"/>
          <w:szCs w:val="18"/>
        </w:rPr>
        <w:t>-</w:t>
      </w:r>
      <w:r>
        <w:rPr>
          <w:rFonts w:ascii="宋体" w:hAnsi="宋体" w:eastAsia="宋体" w:cs="宋体"/>
          <w:spacing w:val="-1"/>
          <w:sz w:val="18"/>
          <w:szCs w:val="18"/>
        </w:rPr>
        <w:t>暂列金额（不含计日工总额）</w:t>
      </w:r>
      <w:r>
        <w:rPr>
          <w:rFonts w:ascii="Times New Roman" w:hAnsi="Times New Roman" w:eastAsia="Times New Roman" w:cs="Times New Roman"/>
          <w:spacing w:val="-1"/>
          <w:sz w:val="18"/>
          <w:szCs w:val="18"/>
        </w:rPr>
        <w:t>-</w:t>
      </w:r>
      <w:r>
        <w:rPr>
          <w:rFonts w:ascii="宋体" w:hAnsi="宋体" w:eastAsia="宋体" w:cs="宋体"/>
          <w:spacing w:val="-1"/>
          <w:sz w:val="18"/>
          <w:szCs w:val="18"/>
        </w:rPr>
        <w:t>安全生产费。</w:t>
      </w:r>
    </w:p>
    <w:p w14:paraId="1B929379">
      <w:pPr>
        <w:spacing w:before="20" w:line="232" w:lineRule="auto"/>
        <w:ind w:left="1423" w:right="1424" w:hanging="2"/>
        <w:rPr>
          <w:rFonts w:hint="eastAsia" w:ascii="宋体" w:hAnsi="宋体" w:eastAsia="宋体" w:cs="宋体"/>
          <w:sz w:val="18"/>
          <w:szCs w:val="18"/>
          <w:lang w:val="en-US" w:eastAsia="zh-CN"/>
        </w:rPr>
      </w:pPr>
      <w:r>
        <w:rPr>
          <w:rFonts w:ascii="宋体" w:hAnsi="宋体" w:eastAsia="宋体" w:cs="宋体"/>
          <w:spacing w:val="-1"/>
          <w:sz w:val="18"/>
          <w:szCs w:val="18"/>
        </w:rPr>
        <w:t xml:space="preserve">② </w:t>
      </w:r>
      <w:r>
        <w:rPr>
          <w:rFonts w:ascii="宋体" w:hAnsi="宋体" w:eastAsia="宋体" w:cs="宋体"/>
          <w:sz w:val="18"/>
          <w:szCs w:val="18"/>
        </w:rPr>
        <w:t>最高投标限价是否扣除暂估价、暂列金额（不含计日工总额）、安全生产费，应与评标价</w:t>
      </w:r>
      <w:r>
        <w:rPr>
          <w:rFonts w:ascii="宋体" w:hAnsi="宋体" w:eastAsia="宋体" w:cs="宋体"/>
          <w:spacing w:val="-1"/>
          <w:sz w:val="18"/>
          <w:szCs w:val="18"/>
        </w:rPr>
        <w:t>计算公式对应</w:t>
      </w:r>
      <w:r>
        <w:rPr>
          <w:rFonts w:hint="eastAsia" w:ascii="宋体" w:hAnsi="宋体" w:eastAsia="宋体" w:cs="宋体"/>
          <w:spacing w:val="-1"/>
          <w:sz w:val="18"/>
          <w:szCs w:val="18"/>
          <w:lang w:eastAsia="zh-CN"/>
        </w:rPr>
        <w:t>。</w:t>
      </w:r>
    </w:p>
    <w:p w14:paraId="0A68D7F3">
      <w:pPr>
        <w:spacing w:before="21" w:line="230" w:lineRule="auto"/>
        <w:ind w:left="1424" w:right="1416" w:hanging="3"/>
      </w:pPr>
      <w:r>
        <w:rPr>
          <w:rFonts w:ascii="宋体" w:hAnsi="宋体" w:eastAsia="宋体" w:cs="宋体"/>
          <w:sz w:val="18"/>
          <w:szCs w:val="18"/>
        </w:rPr>
        <w:t xml:space="preserve">③ </w:t>
      </w:r>
      <w:r>
        <w:rPr>
          <w:rFonts w:ascii="宋体" w:hAnsi="宋体" w:eastAsia="宋体" w:cs="宋体"/>
          <w:spacing w:val="-1"/>
          <w:sz w:val="18"/>
          <w:szCs w:val="18"/>
        </w:rPr>
        <w:t>本条所述“名次”包含了并列的情况；如名次为</w:t>
      </w:r>
      <w:r>
        <w:rPr>
          <w:rFonts w:ascii="宋体" w:hAnsi="宋体" w:eastAsia="宋体" w:cs="宋体"/>
          <w:spacing w:val="-23"/>
          <w:sz w:val="18"/>
          <w:szCs w:val="18"/>
        </w:rPr>
        <w:t xml:space="preserve"> </w:t>
      </w:r>
      <w:r>
        <w:rPr>
          <w:rFonts w:ascii="Times New Roman" w:hAnsi="Times New Roman" w:eastAsia="Times New Roman" w:cs="Times New Roman"/>
          <w:spacing w:val="-1"/>
          <w:sz w:val="18"/>
          <w:szCs w:val="18"/>
        </w:rPr>
        <w:t>1,1,3,4,5</w:t>
      </w:r>
      <w:r>
        <w:rPr>
          <w:rFonts w:ascii="宋体" w:hAnsi="宋体" w:eastAsia="宋体" w:cs="宋体"/>
          <w:spacing w:val="-1"/>
          <w:sz w:val="18"/>
          <w:szCs w:val="18"/>
        </w:rPr>
        <w:t>，则前</w:t>
      </w:r>
      <w:r>
        <w:rPr>
          <w:rFonts w:ascii="宋体" w:hAnsi="宋体" w:eastAsia="宋体" w:cs="宋体"/>
          <w:spacing w:val="-36"/>
          <w:sz w:val="18"/>
          <w:szCs w:val="18"/>
        </w:rPr>
        <w:t xml:space="preserve"> </w:t>
      </w:r>
      <w:r>
        <w:rPr>
          <w:rFonts w:ascii="Times New Roman" w:hAnsi="Times New Roman" w:eastAsia="Times New Roman" w:cs="Times New Roman"/>
          <w:spacing w:val="-2"/>
          <w:sz w:val="18"/>
          <w:szCs w:val="18"/>
        </w:rPr>
        <w:t xml:space="preserve">5 </w:t>
      </w:r>
      <w:r>
        <w:rPr>
          <w:rFonts w:ascii="宋体" w:hAnsi="宋体" w:eastAsia="宋体" w:cs="宋体"/>
          <w:spacing w:val="-2"/>
          <w:sz w:val="18"/>
          <w:szCs w:val="18"/>
        </w:rPr>
        <w:t>名为</w:t>
      </w:r>
      <w:r>
        <w:rPr>
          <w:rFonts w:ascii="宋体" w:hAnsi="宋体" w:eastAsia="宋体" w:cs="宋体"/>
          <w:spacing w:val="-36"/>
          <w:sz w:val="18"/>
          <w:szCs w:val="18"/>
        </w:rPr>
        <w:t xml:space="preserve"> </w:t>
      </w:r>
      <w:r>
        <w:rPr>
          <w:rFonts w:ascii="Times New Roman" w:hAnsi="Times New Roman" w:eastAsia="Times New Roman" w:cs="Times New Roman"/>
          <w:spacing w:val="-2"/>
          <w:sz w:val="18"/>
          <w:szCs w:val="18"/>
        </w:rPr>
        <w:t xml:space="preserve">5 </w:t>
      </w:r>
      <w:r>
        <w:rPr>
          <w:rFonts w:ascii="宋体" w:hAnsi="宋体" w:eastAsia="宋体" w:cs="宋体"/>
          <w:spacing w:val="-2"/>
          <w:sz w:val="18"/>
          <w:szCs w:val="18"/>
        </w:rPr>
        <w:t>家投标人；如名次为</w:t>
      </w:r>
      <w:r>
        <w:rPr>
          <w:rFonts w:ascii="宋体" w:hAnsi="宋体" w:eastAsia="宋体" w:cs="宋体"/>
          <w:spacing w:val="-24"/>
          <w:sz w:val="18"/>
          <w:szCs w:val="18"/>
        </w:rPr>
        <w:t xml:space="preserve"> </w:t>
      </w:r>
      <w:r>
        <w:rPr>
          <w:rFonts w:ascii="Times New Roman" w:hAnsi="Times New Roman" w:eastAsia="Times New Roman" w:cs="Times New Roman"/>
          <w:spacing w:val="-2"/>
          <w:sz w:val="18"/>
          <w:szCs w:val="18"/>
        </w:rPr>
        <w:t>1,2,3,4,5,5</w:t>
      </w:r>
      <w:r>
        <w:rPr>
          <w:rFonts w:ascii="宋体" w:hAnsi="宋体" w:eastAsia="宋体" w:cs="宋体"/>
          <w:spacing w:val="-2"/>
          <w:sz w:val="18"/>
          <w:szCs w:val="18"/>
        </w:rPr>
        <w:t>，则前</w:t>
      </w:r>
      <w:r>
        <w:rPr>
          <w:rFonts w:ascii="宋体" w:hAnsi="宋体" w:eastAsia="宋体" w:cs="宋体"/>
          <w:spacing w:val="-36"/>
          <w:sz w:val="18"/>
          <w:szCs w:val="18"/>
        </w:rPr>
        <w:t xml:space="preserve"> </w:t>
      </w:r>
      <w:r>
        <w:rPr>
          <w:rFonts w:ascii="Times New Roman" w:hAnsi="Times New Roman" w:eastAsia="Times New Roman" w:cs="Times New Roman"/>
          <w:spacing w:val="-2"/>
          <w:sz w:val="18"/>
          <w:szCs w:val="18"/>
        </w:rPr>
        <w:t>5</w:t>
      </w:r>
      <w:r>
        <w:rPr>
          <w:rFonts w:ascii="宋体" w:hAnsi="宋体" w:eastAsia="宋体" w:cs="宋体"/>
          <w:spacing w:val="-4"/>
          <w:sz w:val="18"/>
          <w:szCs w:val="18"/>
        </w:rPr>
        <w:t>名为</w:t>
      </w:r>
      <w:r>
        <w:rPr>
          <w:rFonts w:ascii="宋体" w:hAnsi="宋体" w:eastAsia="宋体" w:cs="宋体"/>
          <w:spacing w:val="-29"/>
          <w:sz w:val="18"/>
          <w:szCs w:val="18"/>
        </w:rPr>
        <w:t xml:space="preserve"> </w:t>
      </w:r>
      <w:r>
        <w:rPr>
          <w:rFonts w:ascii="Times New Roman" w:hAnsi="Times New Roman" w:eastAsia="Times New Roman" w:cs="Times New Roman"/>
          <w:spacing w:val="-4"/>
          <w:sz w:val="18"/>
          <w:szCs w:val="18"/>
        </w:rPr>
        <w:t xml:space="preserve">6 </w:t>
      </w:r>
      <w:r>
        <w:rPr>
          <w:rFonts w:ascii="宋体" w:hAnsi="宋体" w:eastAsia="宋体" w:cs="宋体"/>
          <w:spacing w:val="-4"/>
          <w:sz w:val="18"/>
          <w:szCs w:val="18"/>
        </w:rPr>
        <w:t>家投标人，下同。</w:t>
      </w:r>
    </w:p>
    <w:p w14:paraId="49CC2D30">
      <w:pPr>
        <w:pStyle w:val="8"/>
        <w:snapToGrid w:val="0"/>
      </w:pPr>
    </w:p>
  </w:footnote>
  <w:footnote w:id="7">
    <w:p w14:paraId="4525CD39">
      <w:pPr>
        <w:pStyle w:val="8"/>
        <w:snapToGrid w:val="0"/>
      </w:pPr>
    </w:p>
  </w:footnote>
  <w:footnote w:id="8">
    <w:p w14:paraId="078B8C53">
      <w:pPr>
        <w:pStyle w:val="8"/>
        <w:snapToGrid w:val="0"/>
      </w:pPr>
    </w:p>
  </w:footnote>
  <w:footnote w:id="9">
    <w:p w14:paraId="4F63B69F">
      <w:pPr>
        <w:keepNext w:val="0"/>
        <w:keepLines w:val="0"/>
        <w:widowControl/>
        <w:suppressLineNumbers w:val="0"/>
        <w:ind w:left="1260" w:leftChars="600"/>
        <w:jc w:val="left"/>
        <w:rPr>
          <w:rFonts w:hint="eastAsia" w:ascii="宋体" w:hAnsi="宋体" w:eastAsia="宋体" w:cs="宋体"/>
          <w:sz w:val="18"/>
          <w:szCs w:val="18"/>
          <w:lang w:eastAsia="zh-CN" w:bidi="ar"/>
        </w:rPr>
      </w:pPr>
      <w:r>
        <w:rPr>
          <w:rFonts w:hint="eastAsia" w:ascii="宋体" w:hAnsi="宋体" w:eastAsia="宋体" w:cs="宋体"/>
          <w:sz w:val="18"/>
          <w:szCs w:val="18"/>
          <w:lang w:eastAsia="zh-CN" w:bidi="ar"/>
        </w:rPr>
        <w:footnoteRef/>
      </w:r>
      <w:r>
        <w:rPr>
          <w:rFonts w:hint="eastAsia" w:ascii="宋体" w:hAnsi="宋体" w:eastAsia="宋体" w:cs="宋体"/>
          <w:sz w:val="18"/>
          <w:szCs w:val="18"/>
          <w:lang w:eastAsia="zh-CN" w:bidi="ar"/>
        </w:rPr>
        <w:t xml:space="preserve"> </w:t>
      </w:r>
      <w:r>
        <w:rPr>
          <w:rFonts w:hint="eastAsia" w:ascii="宋体" w:hAnsi="宋体" w:eastAsia="宋体" w:cs="宋体"/>
          <w:snapToGrid w:val="0"/>
          <w:color w:val="000000"/>
          <w:kern w:val="0"/>
          <w:sz w:val="18"/>
          <w:szCs w:val="18"/>
          <w:lang w:val="en-US" w:eastAsia="zh-CN" w:bidi="ar"/>
        </w:rPr>
        <w:t>投标人仅需在投标函上加盖单位章，或由法定代表人或其委托代理人签字。</w:t>
      </w:r>
    </w:p>
    <w:p w14:paraId="23DA9107">
      <w:pPr>
        <w:pStyle w:val="8"/>
        <w:snapToGrid w:val="0"/>
      </w:pPr>
    </w:p>
  </w:footnote>
  <w:footnote w:id="10">
    <w:p w14:paraId="7F128469">
      <w:pPr>
        <w:keepNext w:val="0"/>
        <w:keepLines w:val="0"/>
        <w:widowControl/>
        <w:suppressLineNumbers w:val="0"/>
        <w:tabs>
          <w:tab w:val="left" w:pos="1260"/>
        </w:tabs>
        <w:ind w:left="1254" w:leftChars="597" w:firstLine="225" w:firstLineChars="125"/>
        <w:jc w:val="left"/>
        <w:rPr>
          <w:rFonts w:hint="eastAsia" w:ascii="宋体" w:hAnsi="宋体" w:eastAsia="宋体" w:cs="宋体"/>
          <w:sz w:val="18"/>
          <w:szCs w:val="18"/>
          <w:lang w:eastAsia="zh-CN" w:bidi="ar"/>
        </w:rPr>
      </w:pPr>
      <w:r>
        <w:rPr>
          <w:rFonts w:hint="eastAsia" w:ascii="宋体" w:hAnsi="宋体" w:eastAsia="宋体" w:cs="宋体"/>
          <w:sz w:val="18"/>
          <w:szCs w:val="18"/>
          <w:lang w:eastAsia="zh-CN" w:bidi="ar"/>
        </w:rPr>
        <w:footnoteRef/>
      </w:r>
      <w:r>
        <w:rPr>
          <w:rFonts w:hint="eastAsia" w:ascii="宋体" w:hAnsi="宋体" w:eastAsia="宋体" w:cs="宋体"/>
          <w:sz w:val="18"/>
          <w:szCs w:val="18"/>
          <w:lang w:eastAsia="zh-CN" w:bidi="ar"/>
        </w:rPr>
        <w:t xml:space="preserve"> </w:t>
      </w:r>
      <w:r>
        <w:rPr>
          <w:rFonts w:hint="eastAsia" w:ascii="宋体" w:hAnsi="宋体" w:eastAsia="宋体" w:cs="宋体"/>
          <w:snapToGrid w:val="0"/>
          <w:color w:val="000000"/>
          <w:kern w:val="0"/>
          <w:sz w:val="18"/>
          <w:szCs w:val="18"/>
          <w:lang w:val="en-US" w:eastAsia="zh-CN" w:bidi="ar"/>
        </w:rPr>
        <w:t>如果由投标人的法定代表人签署投标文件，则不需提交授权委托书。</w:t>
      </w:r>
    </w:p>
    <w:p w14:paraId="13058034">
      <w:pPr>
        <w:pStyle w:val="8"/>
        <w:snapToGrid w:val="0"/>
      </w:pPr>
    </w:p>
  </w:footnote>
  <w:footnote w:id="11">
    <w:p w14:paraId="66EF9502">
      <w:pPr>
        <w:keepNext w:val="0"/>
        <w:keepLines w:val="0"/>
        <w:widowControl/>
        <w:suppressLineNumbers w:val="0"/>
        <w:ind w:firstLine="1260" w:firstLineChars="700"/>
        <w:jc w:val="left"/>
        <w:rPr>
          <w:rFonts w:hint="eastAsia" w:ascii="宋体" w:hAnsi="宋体" w:eastAsia="宋体" w:cs="宋体"/>
          <w:sz w:val="18"/>
          <w:szCs w:val="18"/>
          <w:lang w:eastAsia="zh-CN" w:bidi="ar"/>
        </w:rPr>
      </w:pPr>
      <w:r>
        <w:rPr>
          <w:rFonts w:hint="eastAsia" w:ascii="宋体" w:hAnsi="宋体" w:eastAsia="宋体" w:cs="宋体"/>
          <w:sz w:val="18"/>
          <w:szCs w:val="18"/>
          <w:lang w:eastAsia="zh-CN" w:bidi="ar"/>
        </w:rPr>
        <w:footnoteRef/>
      </w:r>
      <w:r>
        <w:rPr>
          <w:rFonts w:hint="eastAsia" w:ascii="宋体" w:hAnsi="宋体" w:eastAsia="宋体" w:cs="宋体"/>
          <w:sz w:val="18"/>
          <w:szCs w:val="18"/>
          <w:lang w:eastAsia="zh-CN" w:bidi="ar"/>
        </w:rPr>
        <w:t xml:space="preserve"> </w:t>
      </w:r>
      <w:r>
        <w:rPr>
          <w:rFonts w:hint="eastAsia" w:ascii="宋体" w:hAnsi="宋体" w:eastAsia="宋体" w:cs="宋体"/>
          <w:snapToGrid w:val="0"/>
          <w:color w:val="000000"/>
          <w:kern w:val="0"/>
          <w:sz w:val="18"/>
          <w:szCs w:val="18"/>
          <w:lang w:val="en-US" w:eastAsia="zh-CN" w:bidi="ar"/>
        </w:rPr>
        <w:t>“中国执行信息公开网”查询信息也认可。</w:t>
      </w:r>
    </w:p>
    <w:p w14:paraId="3A854020">
      <w:pPr>
        <w:pStyle w:val="8"/>
        <w:snapToGrid w:val="0"/>
      </w:pPr>
    </w:p>
  </w:footnote>
  <w:footnote w:id="12">
    <w:p w14:paraId="7DA00D6A">
      <w:pPr>
        <w:keepNext w:val="0"/>
        <w:keepLines w:val="0"/>
        <w:widowControl/>
        <w:suppressLineNumbers w:val="0"/>
        <w:ind w:firstLine="1478" w:firstLineChars="704"/>
        <w:jc w:val="left"/>
      </w:pPr>
      <w:r>
        <w:t xml:space="preserve"> </w:t>
      </w:r>
      <w:r>
        <w:rPr>
          <w:rFonts w:hint="eastAsia" w:ascii="宋体" w:hAnsi="宋体" w:eastAsia="宋体" w:cs="宋体"/>
          <w:snapToGrid w:val="0"/>
          <w:color w:val="000000"/>
          <w:kern w:val="0"/>
          <w:sz w:val="18"/>
          <w:szCs w:val="18"/>
          <w:lang w:val="en-US" w:eastAsia="zh-CN" w:bidi="ar"/>
        </w:rPr>
        <w:t>① 投标人仅需在投标函上加盖单位章，或由法定代表人或其委托代理人签字。</w:t>
      </w:r>
    </w:p>
    <w:p w14:paraId="7310DA73">
      <w:pPr>
        <w:pStyle w:val="8"/>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E4997">
    <w:pPr>
      <w:spacing w:before="48" w:line="219" w:lineRule="auto"/>
      <w:ind w:left="1423"/>
      <w:rPr>
        <w:rFonts w:ascii="宋体" w:hAnsi="宋体" w:eastAsia="宋体" w:cs="宋体"/>
        <w:sz w:val="18"/>
        <w:szCs w:val="18"/>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C8482">
    <w:pPr>
      <w:spacing w:before="48" w:line="219" w:lineRule="auto"/>
      <w:ind w:left="1423"/>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96568">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7" name="IM 22"/>
          <wp:cNvGraphicFramePr/>
          <a:graphic xmlns:a="http://schemas.openxmlformats.org/drawingml/2006/main">
            <a:graphicData uri="http://schemas.openxmlformats.org/drawingml/2006/picture">
              <pic:pic xmlns:pic="http://schemas.openxmlformats.org/drawingml/2006/picture">
                <pic:nvPicPr>
                  <pic:cNvPr id="287"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C1FF">
    <w:pPr>
      <w:spacing w:before="48" w:line="219" w:lineRule="auto"/>
      <w:ind w:left="1423"/>
      <w:rPr>
        <w:rFonts w:ascii="宋体" w:hAnsi="宋体" w:eastAsia="宋体" w:cs="宋体"/>
        <w:sz w:val="18"/>
        <w:szCs w:val="18"/>
      </w:rPr>
    </w:pPr>
    <w:r>
      <w:drawing>
        <wp:anchor distT="0" distB="0" distL="0" distR="0" simplePos="0" relativeHeight="25168179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9" name="IM 78"/>
          <wp:cNvGraphicFramePr/>
          <a:graphic xmlns:a="http://schemas.openxmlformats.org/drawingml/2006/main">
            <a:graphicData uri="http://schemas.openxmlformats.org/drawingml/2006/picture">
              <pic:pic xmlns:pic="http://schemas.openxmlformats.org/drawingml/2006/picture">
                <pic:nvPicPr>
                  <pic:cNvPr id="289" name="IM 7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ADAA">
    <w:pPr>
      <w:spacing w:before="48" w:line="219" w:lineRule="auto"/>
      <w:ind w:left="1423"/>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1" name="IM 32"/>
          <wp:cNvGraphicFramePr/>
          <a:graphic xmlns:a="http://schemas.openxmlformats.org/drawingml/2006/main">
            <a:graphicData uri="http://schemas.openxmlformats.org/drawingml/2006/picture">
              <pic:pic xmlns:pic="http://schemas.openxmlformats.org/drawingml/2006/picture">
                <pic:nvPicPr>
                  <pic:cNvPr id="291" name="IM 3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B4F9">
    <w:pPr>
      <w:spacing w:before="48" w:line="219" w:lineRule="auto"/>
      <w:ind w:left="1423"/>
      <w:rPr>
        <w:rFonts w:ascii="宋体" w:hAnsi="宋体" w:eastAsia="宋体" w:cs="宋体"/>
        <w:sz w:val="18"/>
        <w:szCs w:val="18"/>
      </w:rPr>
    </w:pPr>
    <w:r>
      <w:drawing>
        <wp:anchor distT="0" distB="0" distL="0" distR="0" simplePos="0" relativeHeight="2517217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5364F">
    <w:pPr>
      <w:spacing w:before="48" w:line="219" w:lineRule="auto"/>
      <w:ind w:left="1423"/>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3" name="IM 270"/>
          <wp:cNvGraphicFramePr/>
          <a:graphic xmlns:a="http://schemas.openxmlformats.org/drawingml/2006/main">
            <a:graphicData uri="http://schemas.openxmlformats.org/drawingml/2006/picture">
              <pic:pic xmlns:pic="http://schemas.openxmlformats.org/drawingml/2006/picture">
                <pic:nvPicPr>
                  <pic:cNvPr id="293" name="IM 27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9A71">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5" name="IM 60"/>
          <wp:cNvGraphicFramePr/>
          <a:graphic xmlns:a="http://schemas.openxmlformats.org/drawingml/2006/main">
            <a:graphicData uri="http://schemas.openxmlformats.org/drawingml/2006/picture">
              <pic:pic xmlns:pic="http://schemas.openxmlformats.org/drawingml/2006/picture">
                <pic:nvPicPr>
                  <pic:cNvPr id="295"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7BD5">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7" name="IM 22"/>
          <wp:cNvGraphicFramePr/>
          <a:graphic xmlns:a="http://schemas.openxmlformats.org/drawingml/2006/main">
            <a:graphicData uri="http://schemas.openxmlformats.org/drawingml/2006/picture">
              <pic:pic xmlns:pic="http://schemas.openxmlformats.org/drawingml/2006/picture">
                <pic:nvPicPr>
                  <pic:cNvPr id="297"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76158">
    <w:pPr>
      <w:spacing w:before="48" w:line="219" w:lineRule="auto"/>
      <w:ind w:left="1423"/>
      <w:rPr>
        <w:rFonts w:ascii="宋体" w:hAnsi="宋体" w:eastAsia="宋体" w:cs="宋体"/>
        <w:sz w:val="18"/>
        <w:szCs w:val="18"/>
      </w:rPr>
    </w:pPr>
    <w:r>
      <w:drawing>
        <wp:anchor distT="0" distB="0" distL="0" distR="0" simplePos="0" relativeHeight="2517114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8" name="IM 274"/>
          <wp:cNvGraphicFramePr/>
          <a:graphic xmlns:a="http://schemas.openxmlformats.org/drawingml/2006/main">
            <a:graphicData uri="http://schemas.openxmlformats.org/drawingml/2006/picture">
              <pic:pic xmlns:pic="http://schemas.openxmlformats.org/drawingml/2006/picture">
                <pic:nvPicPr>
                  <pic:cNvPr id="298" name="IM 27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5FFE7">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9" name="IM 28"/>
          <wp:cNvGraphicFramePr/>
          <a:graphic xmlns:a="http://schemas.openxmlformats.org/drawingml/2006/main">
            <a:graphicData uri="http://schemas.openxmlformats.org/drawingml/2006/picture">
              <pic:pic xmlns:pic="http://schemas.openxmlformats.org/drawingml/2006/picture">
                <pic:nvPicPr>
                  <pic:cNvPr id="299"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2E9AC">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00" name="IM 60"/>
          <wp:cNvGraphicFramePr/>
          <a:graphic xmlns:a="http://schemas.openxmlformats.org/drawingml/2006/main">
            <a:graphicData uri="http://schemas.openxmlformats.org/drawingml/2006/picture">
              <pic:pic xmlns:pic="http://schemas.openxmlformats.org/drawingml/2006/picture">
                <pic:nvPicPr>
                  <pic:cNvPr id="300"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42BD1">
    <w:pPr>
      <w:spacing w:before="48" w:line="219" w:lineRule="auto"/>
      <w:ind w:left="1423"/>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BB835">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02" name="IM 22"/>
          <wp:cNvGraphicFramePr/>
          <a:graphic xmlns:a="http://schemas.openxmlformats.org/drawingml/2006/main">
            <a:graphicData uri="http://schemas.openxmlformats.org/drawingml/2006/picture">
              <pic:pic xmlns:pic="http://schemas.openxmlformats.org/drawingml/2006/picture">
                <pic:nvPicPr>
                  <pic:cNvPr id="302"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C6F2F">
    <w:pPr>
      <w:spacing w:before="48" w:line="219" w:lineRule="auto"/>
      <w:ind w:left="1423"/>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04" name="IM 24"/>
          <wp:cNvGraphicFramePr/>
          <a:graphic xmlns:a="http://schemas.openxmlformats.org/drawingml/2006/main">
            <a:graphicData uri="http://schemas.openxmlformats.org/drawingml/2006/picture">
              <pic:pic xmlns:pic="http://schemas.openxmlformats.org/drawingml/2006/picture">
                <pic:nvPicPr>
                  <pic:cNvPr id="304" name="IM 2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F826">
    <w:pPr>
      <w:spacing w:before="48" w:line="219" w:lineRule="auto"/>
      <w:ind w:left="1423"/>
      <w:rPr>
        <w:rFonts w:ascii="宋体" w:hAnsi="宋体" w:eastAsia="宋体" w:cs="宋体"/>
        <w:sz w:val="18"/>
        <w:szCs w:val="18"/>
      </w:rPr>
    </w:pPr>
    <w:r>
      <w:drawing>
        <wp:anchor distT="0" distB="0" distL="0" distR="0" simplePos="0" relativeHeight="25167564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D292F">
    <w:pPr>
      <w:spacing w:before="48" w:line="219" w:lineRule="auto"/>
      <w:ind w:left="1423"/>
      <w:rPr>
        <w:rFonts w:ascii="宋体" w:hAnsi="宋体" w:eastAsia="宋体" w:cs="宋体"/>
        <w:sz w:val="18"/>
        <w:szCs w:val="18"/>
      </w:rPr>
    </w:pPr>
    <w:r>
      <w:drawing>
        <wp:anchor distT="0" distB="0" distL="0" distR="0" simplePos="0" relativeHeight="25167667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4E312">
    <w:pPr>
      <w:spacing w:before="48" w:line="219" w:lineRule="auto"/>
      <w:ind w:left="1423"/>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0B99">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52074">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8FF56">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7" name="IM 60"/>
          <wp:cNvGraphicFramePr/>
          <a:graphic xmlns:a="http://schemas.openxmlformats.org/drawingml/2006/main">
            <a:graphicData uri="http://schemas.openxmlformats.org/drawingml/2006/picture">
              <pic:pic xmlns:pic="http://schemas.openxmlformats.org/drawingml/2006/picture">
                <pic:nvPicPr>
                  <pic:cNvPr id="47"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585D0">
    <w:pPr>
      <w:spacing w:before="48" w:line="219" w:lineRule="auto"/>
      <w:ind w:left="1423"/>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9" name="IM 30"/>
          <wp:cNvGraphicFramePr/>
          <a:graphic xmlns:a="http://schemas.openxmlformats.org/drawingml/2006/main">
            <a:graphicData uri="http://schemas.openxmlformats.org/drawingml/2006/picture">
              <pic:pic xmlns:pic="http://schemas.openxmlformats.org/drawingml/2006/picture">
                <pic:nvPicPr>
                  <pic:cNvPr id="49" name="IM 3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5BD76">
    <w:pPr>
      <w:spacing w:before="48" w:line="219" w:lineRule="auto"/>
      <w:ind w:left="1423"/>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5232">
    <w:pPr>
      <w:spacing w:before="48" w:line="219" w:lineRule="auto"/>
      <w:ind w:left="1423"/>
      <w:rPr>
        <w:rFonts w:ascii="宋体" w:hAnsi="宋体" w:eastAsia="宋体" w:cs="宋体"/>
        <w:sz w:val="18"/>
        <w:szCs w:val="18"/>
      </w:rPr>
    </w:pPr>
    <w:r>
      <w:drawing>
        <wp:anchor distT="0" distB="0" distL="0" distR="0" simplePos="0" relativeHeight="2516602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36A85">
    <w:pPr>
      <w:spacing w:before="48" w:line="219" w:lineRule="auto"/>
      <w:ind w:left="1423"/>
      <w:rPr>
        <w:rFonts w:ascii="宋体" w:hAnsi="宋体" w:eastAsia="宋体" w:cs="宋体"/>
        <w:sz w:val="18"/>
        <w:szCs w:val="18"/>
      </w:rPr>
    </w:pPr>
    <w:r>
      <w:drawing>
        <wp:anchor distT="0" distB="0" distL="0" distR="0" simplePos="0" relativeHeight="2516899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4DFE1">
    <w:pPr>
      <w:spacing w:before="48" w:line="219" w:lineRule="auto"/>
      <w:ind w:left="1423"/>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9" name="IM 36"/>
          <wp:cNvGraphicFramePr/>
          <a:graphic xmlns:a="http://schemas.openxmlformats.org/drawingml/2006/main">
            <a:graphicData uri="http://schemas.openxmlformats.org/drawingml/2006/picture">
              <pic:pic xmlns:pic="http://schemas.openxmlformats.org/drawingml/2006/picture">
                <pic:nvPicPr>
                  <pic:cNvPr id="69" name="IM 3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F0CF3">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89" name="IM 28"/>
          <wp:cNvGraphicFramePr/>
          <a:graphic xmlns:a="http://schemas.openxmlformats.org/drawingml/2006/main">
            <a:graphicData uri="http://schemas.openxmlformats.org/drawingml/2006/picture">
              <pic:pic xmlns:pic="http://schemas.openxmlformats.org/drawingml/2006/picture">
                <pic:nvPicPr>
                  <pic:cNvPr id="89"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28180">
    <w:pPr>
      <w:spacing w:before="48" w:line="219" w:lineRule="auto"/>
      <w:ind w:left="1423"/>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1" name="IM 24"/>
          <wp:cNvGraphicFramePr/>
          <a:graphic xmlns:a="http://schemas.openxmlformats.org/drawingml/2006/main">
            <a:graphicData uri="http://schemas.openxmlformats.org/drawingml/2006/picture">
              <pic:pic xmlns:pic="http://schemas.openxmlformats.org/drawingml/2006/picture">
                <pic:nvPicPr>
                  <pic:cNvPr id="91" name="IM 2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B8E3B">
    <w:pPr>
      <w:spacing w:before="48" w:line="219" w:lineRule="auto"/>
      <w:ind w:left="1423"/>
      <w:rPr>
        <w:rFonts w:ascii="宋体" w:hAnsi="宋体" w:eastAsia="宋体" w:cs="宋体"/>
        <w:sz w:val="18"/>
        <w:szCs w:val="18"/>
      </w:rPr>
    </w:pPr>
    <w:r>
      <w:drawing>
        <wp:anchor distT="0" distB="0" distL="0" distR="0" simplePos="0" relativeHeight="2516930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9B66A">
    <w:pPr>
      <w:spacing w:before="48" w:line="219" w:lineRule="auto"/>
      <w:ind w:left="1423"/>
      <w:rPr>
        <w:rFonts w:ascii="宋体" w:hAnsi="宋体" w:eastAsia="宋体" w:cs="宋体"/>
        <w:sz w:val="18"/>
        <w:szCs w:val="18"/>
      </w:rPr>
    </w:pPr>
    <w:r>
      <w:drawing>
        <wp:anchor distT="0" distB="0" distL="0" distR="0" simplePos="0" relativeHeight="2516879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3" name="IM 152"/>
          <wp:cNvGraphicFramePr/>
          <a:graphic xmlns:a="http://schemas.openxmlformats.org/drawingml/2006/main">
            <a:graphicData uri="http://schemas.openxmlformats.org/drawingml/2006/picture">
              <pic:pic xmlns:pic="http://schemas.openxmlformats.org/drawingml/2006/picture">
                <pic:nvPicPr>
                  <pic:cNvPr id="93" name="IM 15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E00F5">
    <w:pPr>
      <w:spacing w:before="48" w:line="219" w:lineRule="auto"/>
      <w:ind w:left="1423"/>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5" name="IM 36"/>
          <wp:cNvGraphicFramePr/>
          <a:graphic xmlns:a="http://schemas.openxmlformats.org/drawingml/2006/main">
            <a:graphicData uri="http://schemas.openxmlformats.org/drawingml/2006/picture">
              <pic:pic xmlns:pic="http://schemas.openxmlformats.org/drawingml/2006/picture">
                <pic:nvPicPr>
                  <pic:cNvPr id="95" name="IM 3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E7E0C">
    <w:pPr>
      <w:spacing w:before="48" w:line="219" w:lineRule="auto"/>
      <w:ind w:left="1423"/>
      <w:rPr>
        <w:rFonts w:ascii="宋体" w:hAnsi="宋体" w:eastAsia="宋体" w:cs="宋体"/>
        <w:sz w:val="18"/>
        <w:szCs w:val="18"/>
      </w:rPr>
    </w:pPr>
    <w:r>
      <w:drawing>
        <wp:anchor distT="0" distB="0" distL="0" distR="0" simplePos="0" relativeHeight="2516940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8988">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7" name="IM 90"/>
          <wp:cNvGraphicFramePr/>
          <a:graphic xmlns:a="http://schemas.openxmlformats.org/drawingml/2006/main">
            <a:graphicData uri="http://schemas.openxmlformats.org/drawingml/2006/picture">
              <pic:pic xmlns:pic="http://schemas.openxmlformats.org/drawingml/2006/picture">
                <pic:nvPicPr>
                  <pic:cNvPr id="107"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24D4">
    <w:pPr>
      <w:spacing w:before="48" w:line="219" w:lineRule="auto"/>
      <w:ind w:left="1423"/>
      <w:rPr>
        <w:rFonts w:ascii="宋体" w:hAnsi="宋体" w:eastAsia="宋体" w:cs="宋体"/>
        <w:sz w:val="18"/>
        <w:szCs w:val="18"/>
      </w:rPr>
    </w:pPr>
    <w:r>
      <w:drawing>
        <wp:anchor distT="0" distB="0" distL="0" distR="0" simplePos="0" relativeHeight="2516858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9" name="IM 124"/>
          <wp:cNvGraphicFramePr/>
          <a:graphic xmlns:a="http://schemas.openxmlformats.org/drawingml/2006/main">
            <a:graphicData uri="http://schemas.openxmlformats.org/drawingml/2006/picture">
              <pic:pic xmlns:pic="http://schemas.openxmlformats.org/drawingml/2006/picture">
                <pic:nvPicPr>
                  <pic:cNvPr id="109" name="IM 12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2952">
    <w:pPr>
      <w:spacing w:before="48" w:line="219" w:lineRule="auto"/>
      <w:ind w:left="1423"/>
      <w:rPr>
        <w:rFonts w:ascii="宋体" w:hAnsi="宋体" w:eastAsia="宋体" w:cs="宋体"/>
        <w:sz w:val="18"/>
        <w:szCs w:val="18"/>
      </w:rPr>
    </w:pPr>
    <w:r>
      <w:drawing>
        <wp:anchor distT="0" distB="0" distL="0" distR="0" simplePos="0" relativeHeight="2516613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E979E">
    <w:pPr>
      <w:spacing w:before="48" w:line="219" w:lineRule="auto"/>
      <w:ind w:left="1423"/>
      <w:rPr>
        <w:rFonts w:ascii="宋体" w:hAnsi="宋体" w:eastAsia="宋体" w:cs="宋体"/>
        <w:sz w:val="18"/>
        <w:szCs w:val="18"/>
      </w:rPr>
    </w:pPr>
    <w:r>
      <w:drawing>
        <wp:anchor distT="0" distB="0" distL="0" distR="0" simplePos="0" relativeHeight="2516951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6C033">
    <w:pPr>
      <w:spacing w:before="48" w:line="219" w:lineRule="auto"/>
      <w:ind w:left="1423"/>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1" name="IM 206"/>
          <wp:cNvGraphicFramePr/>
          <a:graphic xmlns:a="http://schemas.openxmlformats.org/drawingml/2006/main">
            <a:graphicData uri="http://schemas.openxmlformats.org/drawingml/2006/picture">
              <pic:pic xmlns:pic="http://schemas.openxmlformats.org/drawingml/2006/picture">
                <pic:nvPicPr>
                  <pic:cNvPr id="111" name="IM 20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F9A2">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3" name="IM 90"/>
          <wp:cNvGraphicFramePr/>
          <a:graphic xmlns:a="http://schemas.openxmlformats.org/drawingml/2006/main">
            <a:graphicData uri="http://schemas.openxmlformats.org/drawingml/2006/picture">
              <pic:pic xmlns:pic="http://schemas.openxmlformats.org/drawingml/2006/picture">
                <pic:nvPicPr>
                  <pic:cNvPr id="113"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BFB24">
    <w:pPr>
      <w:spacing w:before="48" w:line="219" w:lineRule="auto"/>
      <w:ind w:left="1423"/>
      <w:rPr>
        <w:rFonts w:ascii="宋体" w:hAnsi="宋体" w:eastAsia="宋体" w:cs="宋体"/>
        <w:sz w:val="18"/>
        <w:szCs w:val="18"/>
      </w:rPr>
    </w:pPr>
    <w:r>
      <w:drawing>
        <wp:anchor distT="0" distB="0" distL="0" distR="0" simplePos="0" relativeHeight="2516961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45990">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5" name="IM 90"/>
          <wp:cNvGraphicFramePr/>
          <a:graphic xmlns:a="http://schemas.openxmlformats.org/drawingml/2006/main">
            <a:graphicData uri="http://schemas.openxmlformats.org/drawingml/2006/picture">
              <pic:pic xmlns:pic="http://schemas.openxmlformats.org/drawingml/2006/picture">
                <pic:nvPicPr>
                  <pic:cNvPr id="115"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4E3E">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95" name="IM 28"/>
          <wp:cNvGraphicFramePr/>
          <a:graphic xmlns:a="http://schemas.openxmlformats.org/drawingml/2006/main">
            <a:graphicData uri="http://schemas.openxmlformats.org/drawingml/2006/picture">
              <pic:pic xmlns:pic="http://schemas.openxmlformats.org/drawingml/2006/picture">
                <pic:nvPicPr>
                  <pic:cNvPr id="195"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EAC8">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97" name="IM 90"/>
          <wp:cNvGraphicFramePr/>
          <a:graphic xmlns:a="http://schemas.openxmlformats.org/drawingml/2006/main">
            <a:graphicData uri="http://schemas.openxmlformats.org/drawingml/2006/picture">
              <pic:pic xmlns:pic="http://schemas.openxmlformats.org/drawingml/2006/picture">
                <pic:nvPicPr>
                  <pic:cNvPr id="197"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A5718">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99" name="IM 28"/>
          <wp:cNvGraphicFramePr/>
          <a:graphic xmlns:a="http://schemas.openxmlformats.org/drawingml/2006/main">
            <a:graphicData uri="http://schemas.openxmlformats.org/drawingml/2006/picture">
              <pic:pic xmlns:pic="http://schemas.openxmlformats.org/drawingml/2006/picture">
                <pic:nvPicPr>
                  <pic:cNvPr id="199"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BB58">
    <w:pPr>
      <w:spacing w:before="48" w:line="219" w:lineRule="auto"/>
      <w:ind w:left="1423"/>
      <w:rPr>
        <w:rFonts w:ascii="宋体" w:hAnsi="宋体" w:eastAsia="宋体" w:cs="宋体"/>
        <w:sz w:val="18"/>
        <w:szCs w:val="18"/>
      </w:rPr>
    </w:pPr>
    <w:r>
      <w:drawing>
        <wp:anchor distT="0" distB="0" distL="0" distR="0" simplePos="0" relativeHeight="2516869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01" name="IM 144"/>
          <wp:cNvGraphicFramePr/>
          <a:graphic xmlns:a="http://schemas.openxmlformats.org/drawingml/2006/main">
            <a:graphicData uri="http://schemas.openxmlformats.org/drawingml/2006/picture">
              <pic:pic xmlns:pic="http://schemas.openxmlformats.org/drawingml/2006/picture">
                <pic:nvPicPr>
                  <pic:cNvPr id="201" name="IM 14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9141A">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03" name="IM 22"/>
          <wp:cNvGraphicFramePr/>
          <a:graphic xmlns:a="http://schemas.openxmlformats.org/drawingml/2006/main">
            <a:graphicData uri="http://schemas.openxmlformats.org/drawingml/2006/picture">
              <pic:pic xmlns:pic="http://schemas.openxmlformats.org/drawingml/2006/picture">
                <pic:nvPicPr>
                  <pic:cNvPr id="203"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A6ED">
    <w:pPr>
      <w:spacing w:before="48" w:line="219" w:lineRule="auto"/>
      <w:ind w:left="1423"/>
      <w:rPr>
        <w:rFonts w:ascii="宋体" w:hAnsi="宋体" w:eastAsia="宋体" w:cs="宋体"/>
        <w:sz w:val="18"/>
        <w:szCs w:val="18"/>
      </w:rPr>
    </w:pPr>
    <w:r>
      <w:drawing>
        <wp:anchor distT="0" distB="0" distL="0" distR="0" simplePos="0" relativeHeight="2516623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52BF">
    <w:pPr>
      <w:spacing w:before="48" w:line="219" w:lineRule="auto"/>
      <w:ind w:left="1423"/>
      <w:rPr>
        <w:rFonts w:ascii="宋体" w:hAnsi="宋体" w:eastAsia="宋体" w:cs="宋体"/>
        <w:sz w:val="18"/>
        <w:szCs w:val="18"/>
      </w:rPr>
    </w:pPr>
    <w:r>
      <w:drawing>
        <wp:anchor distT="0" distB="0" distL="0" distR="0" simplePos="0" relativeHeight="2516981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EC748">
    <w:pPr>
      <w:spacing w:before="48" w:line="219" w:lineRule="auto"/>
      <w:ind w:left="1423"/>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065C">
    <w:pPr>
      <w:spacing w:before="48" w:line="219" w:lineRule="auto"/>
      <w:ind w:left="1423"/>
      <w:rPr>
        <w:rFonts w:ascii="宋体" w:hAnsi="宋体" w:eastAsia="宋体" w:cs="宋体"/>
        <w:sz w:val="18"/>
        <w:szCs w:val="18"/>
      </w:rPr>
    </w:pPr>
    <w:r>
      <w:drawing>
        <wp:anchor distT="0" distB="0" distL="0" distR="0" simplePos="0" relativeHeight="2516869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05" name="IM 144"/>
          <wp:cNvGraphicFramePr/>
          <a:graphic xmlns:a="http://schemas.openxmlformats.org/drawingml/2006/main">
            <a:graphicData uri="http://schemas.openxmlformats.org/drawingml/2006/picture">
              <pic:pic xmlns:pic="http://schemas.openxmlformats.org/drawingml/2006/picture">
                <pic:nvPicPr>
                  <pic:cNvPr id="205" name="IM 14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A2B9">
    <w:pPr>
      <w:spacing w:before="48" w:line="219" w:lineRule="auto"/>
      <w:ind w:left="1423"/>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07" name="IM 32"/>
          <wp:cNvGraphicFramePr/>
          <a:graphic xmlns:a="http://schemas.openxmlformats.org/drawingml/2006/main">
            <a:graphicData uri="http://schemas.openxmlformats.org/drawingml/2006/picture">
              <pic:pic xmlns:pic="http://schemas.openxmlformats.org/drawingml/2006/picture">
                <pic:nvPicPr>
                  <pic:cNvPr id="207" name="IM 3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A708">
    <w:pPr>
      <w:spacing w:before="48" w:line="219" w:lineRule="auto"/>
      <w:ind w:left="1423"/>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11" name="IM 36"/>
          <wp:cNvGraphicFramePr/>
          <a:graphic xmlns:a="http://schemas.openxmlformats.org/drawingml/2006/main">
            <a:graphicData uri="http://schemas.openxmlformats.org/drawingml/2006/picture">
              <pic:pic xmlns:pic="http://schemas.openxmlformats.org/drawingml/2006/picture">
                <pic:nvPicPr>
                  <pic:cNvPr id="211" name="IM 3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09685">
    <w:pPr>
      <w:spacing w:before="48" w:line="219" w:lineRule="auto"/>
      <w:ind w:left="1423"/>
      <w:rPr>
        <w:rFonts w:ascii="宋体" w:hAnsi="宋体" w:eastAsia="宋体" w:cs="宋体"/>
        <w:sz w:val="18"/>
        <w:szCs w:val="18"/>
      </w:rPr>
    </w:pPr>
    <w:r>
      <w:drawing>
        <wp:anchor distT="0" distB="0" distL="0" distR="0" simplePos="0" relativeHeight="25170022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3DD9">
    <w:pPr>
      <w:spacing w:before="48" w:line="219" w:lineRule="auto"/>
      <w:ind w:left="1423"/>
      <w:rPr>
        <w:rFonts w:ascii="宋体" w:hAnsi="宋体" w:eastAsia="宋体" w:cs="宋体"/>
        <w:sz w:val="18"/>
        <w:szCs w:val="18"/>
      </w:rPr>
    </w:pPr>
    <w:r>
      <w:drawing>
        <wp:anchor distT="0" distB="0" distL="0" distR="0" simplePos="0" relativeHeight="25170124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D9F30">
    <w:pPr>
      <w:spacing w:before="48" w:line="219" w:lineRule="auto"/>
      <w:ind w:left="1423"/>
      <w:rPr>
        <w:rFonts w:ascii="宋体" w:hAnsi="宋体" w:eastAsia="宋体" w:cs="宋体"/>
        <w:sz w:val="18"/>
        <w:szCs w:val="18"/>
      </w:rPr>
    </w:pPr>
    <w:r>
      <w:drawing>
        <wp:anchor distT="0" distB="0" distL="0" distR="0" simplePos="0" relativeHeight="25170227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BC2F3">
    <w:pPr>
      <w:spacing w:before="48" w:line="219" w:lineRule="auto"/>
      <w:ind w:left="1423"/>
      <w:rPr>
        <w:rFonts w:ascii="宋体" w:hAnsi="宋体" w:eastAsia="宋体" w:cs="宋体"/>
        <w:sz w:val="18"/>
        <w:szCs w:val="18"/>
      </w:rPr>
    </w:pPr>
    <w:r>
      <w:drawing>
        <wp:anchor distT="0" distB="0" distL="0" distR="0" simplePos="0" relativeHeight="25170329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86AD0">
    <w:pPr>
      <w:spacing w:before="48" w:line="219" w:lineRule="auto"/>
      <w:ind w:left="1423"/>
      <w:rPr>
        <w:rFonts w:ascii="宋体" w:hAnsi="宋体" w:eastAsia="宋体" w:cs="宋体"/>
        <w:sz w:val="18"/>
        <w:szCs w:val="18"/>
      </w:rPr>
    </w:pPr>
    <w:r>
      <w:drawing>
        <wp:anchor distT="0" distB="0" distL="0" distR="0" simplePos="0" relativeHeight="2517043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05FEA">
    <w:pPr>
      <w:spacing w:before="48" w:line="219" w:lineRule="auto"/>
      <w:ind w:left="1423"/>
      <w:rPr>
        <w:rFonts w:ascii="宋体" w:hAnsi="宋体" w:eastAsia="宋体" w:cs="宋体"/>
        <w:sz w:val="18"/>
        <w:szCs w:val="18"/>
      </w:rPr>
    </w:pPr>
    <w:r>
      <w:drawing>
        <wp:anchor distT="0" distB="0" distL="0" distR="0" simplePos="0" relativeHeight="2516633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29D47">
    <w:pPr>
      <w:spacing w:before="48" w:line="219" w:lineRule="auto"/>
      <w:ind w:left="1423"/>
      <w:rPr>
        <w:rFonts w:ascii="宋体" w:hAnsi="宋体" w:eastAsia="宋体" w:cs="宋体"/>
        <w:sz w:val="18"/>
        <w:szCs w:val="18"/>
      </w:rPr>
    </w:pPr>
    <w:r>
      <w:drawing>
        <wp:anchor distT="0" distB="0" distL="0" distR="0" simplePos="0" relativeHeight="25170534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5DC6">
    <w:pPr>
      <w:spacing w:before="48" w:line="219" w:lineRule="auto"/>
      <w:ind w:left="1423"/>
      <w:rPr>
        <w:rFonts w:ascii="宋体" w:hAnsi="宋体" w:eastAsia="宋体" w:cs="宋体"/>
        <w:sz w:val="18"/>
        <w:szCs w:val="18"/>
      </w:rPr>
    </w:pPr>
    <w:r>
      <w:drawing>
        <wp:anchor distT="0" distB="0" distL="0" distR="0" simplePos="0" relativeHeight="25170636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255CA">
    <w:pPr>
      <w:spacing w:before="48" w:line="219" w:lineRule="auto"/>
      <w:ind w:left="1423"/>
      <w:rPr>
        <w:rFonts w:ascii="宋体" w:hAnsi="宋体" w:eastAsia="宋体" w:cs="宋体"/>
        <w:sz w:val="18"/>
        <w:szCs w:val="18"/>
      </w:rPr>
    </w:pPr>
    <w:r>
      <w:drawing>
        <wp:anchor distT="0" distB="0" distL="0" distR="0" simplePos="0" relativeHeight="25170739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BE8A">
    <w:pPr>
      <w:spacing w:before="48" w:line="219" w:lineRule="auto"/>
      <w:ind w:left="1423"/>
      <w:rPr>
        <w:rFonts w:ascii="宋体" w:hAnsi="宋体" w:eastAsia="宋体" w:cs="宋体"/>
        <w:sz w:val="18"/>
        <w:szCs w:val="18"/>
      </w:rPr>
    </w:pPr>
    <w:r>
      <w:drawing>
        <wp:anchor distT="0" distB="0" distL="0" distR="0" simplePos="0" relativeHeight="2517084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DDB7">
    <w:pPr>
      <w:spacing w:before="48" w:line="219" w:lineRule="auto"/>
      <w:ind w:left="1423"/>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15" name="IM 40"/>
          <wp:cNvGraphicFramePr/>
          <a:graphic xmlns:a="http://schemas.openxmlformats.org/drawingml/2006/main">
            <a:graphicData uri="http://schemas.openxmlformats.org/drawingml/2006/picture">
              <pic:pic xmlns:pic="http://schemas.openxmlformats.org/drawingml/2006/picture">
                <pic:nvPicPr>
                  <pic:cNvPr id="215" name="IM 4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7FDC">
    <w:pPr>
      <w:spacing w:before="48" w:line="219" w:lineRule="auto"/>
      <w:ind w:left="1423"/>
      <w:rPr>
        <w:rFonts w:ascii="宋体" w:hAnsi="宋体" w:eastAsia="宋体" w:cs="宋体"/>
        <w:sz w:val="18"/>
        <w:szCs w:val="18"/>
      </w:rPr>
    </w:pPr>
    <w:r>
      <w:drawing>
        <wp:anchor distT="0" distB="0" distL="0" distR="0" simplePos="0" relativeHeight="25168076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19" name="IM 74"/>
          <wp:cNvGraphicFramePr/>
          <a:graphic xmlns:a="http://schemas.openxmlformats.org/drawingml/2006/main">
            <a:graphicData uri="http://schemas.openxmlformats.org/drawingml/2006/picture">
              <pic:pic xmlns:pic="http://schemas.openxmlformats.org/drawingml/2006/picture">
                <pic:nvPicPr>
                  <pic:cNvPr id="219" name="IM 7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9081D">
    <w:pPr>
      <w:spacing w:before="48" w:line="219" w:lineRule="auto"/>
      <w:ind w:left="1423"/>
      <w:rPr>
        <w:rFonts w:ascii="宋体" w:hAnsi="宋体" w:eastAsia="宋体" w:cs="宋体"/>
        <w:sz w:val="18"/>
        <w:szCs w:val="18"/>
      </w:rPr>
    </w:pPr>
    <w:r>
      <w:drawing>
        <wp:anchor distT="0" distB="0" distL="0" distR="0" simplePos="0" relativeHeight="25170944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3B206">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1" name="IM 28"/>
          <wp:cNvGraphicFramePr/>
          <a:graphic xmlns:a="http://schemas.openxmlformats.org/drawingml/2006/main">
            <a:graphicData uri="http://schemas.openxmlformats.org/drawingml/2006/picture">
              <pic:pic xmlns:pic="http://schemas.openxmlformats.org/drawingml/2006/picture">
                <pic:nvPicPr>
                  <pic:cNvPr id="221"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A821">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3" name="IM 22"/>
          <wp:cNvGraphicFramePr/>
          <a:graphic xmlns:a="http://schemas.openxmlformats.org/drawingml/2006/main">
            <a:graphicData uri="http://schemas.openxmlformats.org/drawingml/2006/picture">
              <pic:pic xmlns:pic="http://schemas.openxmlformats.org/drawingml/2006/picture">
                <pic:nvPicPr>
                  <pic:cNvPr id="223"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3D88">
    <w:pPr>
      <w:spacing w:before="48" w:line="219" w:lineRule="auto"/>
      <w:ind w:left="1423"/>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5" name="IM 20"/>
          <wp:cNvGraphicFramePr/>
          <a:graphic xmlns:a="http://schemas.openxmlformats.org/drawingml/2006/main">
            <a:graphicData uri="http://schemas.openxmlformats.org/drawingml/2006/picture">
              <pic:pic xmlns:pic="http://schemas.openxmlformats.org/drawingml/2006/picture">
                <pic:nvPicPr>
                  <pic:cNvPr id="225" name="IM 2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E5C1">
    <w:pPr>
      <w:spacing w:before="48" w:line="219" w:lineRule="auto"/>
      <w:ind w:left="1423"/>
      <w:rPr>
        <w:rFonts w:ascii="宋体" w:hAnsi="宋体" w:eastAsia="宋体" w:cs="宋体"/>
        <w:sz w:val="18"/>
        <w:szCs w:val="18"/>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29F87">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7" name="IM 22"/>
          <wp:cNvGraphicFramePr/>
          <a:graphic xmlns:a="http://schemas.openxmlformats.org/drawingml/2006/main">
            <a:graphicData uri="http://schemas.openxmlformats.org/drawingml/2006/picture">
              <pic:pic xmlns:pic="http://schemas.openxmlformats.org/drawingml/2006/picture">
                <pic:nvPicPr>
                  <pic:cNvPr id="227"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0C4E0">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29" name="IM 60"/>
          <wp:cNvGraphicFramePr/>
          <a:graphic xmlns:a="http://schemas.openxmlformats.org/drawingml/2006/main">
            <a:graphicData uri="http://schemas.openxmlformats.org/drawingml/2006/picture">
              <pic:pic xmlns:pic="http://schemas.openxmlformats.org/drawingml/2006/picture">
                <pic:nvPicPr>
                  <pic:cNvPr id="229"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63A2">
    <w:pPr>
      <w:spacing w:before="48" w:line="219" w:lineRule="auto"/>
      <w:ind w:left="1423"/>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31" name="IM 30"/>
          <wp:cNvGraphicFramePr/>
          <a:graphic xmlns:a="http://schemas.openxmlformats.org/drawingml/2006/main">
            <a:graphicData uri="http://schemas.openxmlformats.org/drawingml/2006/picture">
              <pic:pic xmlns:pic="http://schemas.openxmlformats.org/drawingml/2006/picture">
                <pic:nvPicPr>
                  <pic:cNvPr id="231" name="IM 3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30378">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33" name="IM 28"/>
          <wp:cNvGraphicFramePr/>
          <a:graphic xmlns:a="http://schemas.openxmlformats.org/drawingml/2006/main">
            <a:graphicData uri="http://schemas.openxmlformats.org/drawingml/2006/picture">
              <pic:pic xmlns:pic="http://schemas.openxmlformats.org/drawingml/2006/picture">
                <pic:nvPicPr>
                  <pic:cNvPr id="233"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04CA0">
    <w:pPr>
      <w:spacing w:before="48" w:line="219" w:lineRule="auto"/>
      <w:ind w:left="1423"/>
      <w:rPr>
        <w:rFonts w:ascii="宋体" w:hAnsi="宋体" w:eastAsia="宋体" w:cs="宋体"/>
        <w:sz w:val="18"/>
        <w:szCs w:val="18"/>
      </w:rPr>
    </w:pPr>
    <w:r>
      <w:drawing>
        <wp:anchor distT="0" distB="0" distL="0" distR="0" simplePos="0" relativeHeight="2516613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35" name="IM 6"/>
          <wp:cNvGraphicFramePr/>
          <a:graphic xmlns:a="http://schemas.openxmlformats.org/drawingml/2006/main">
            <a:graphicData uri="http://schemas.openxmlformats.org/drawingml/2006/picture">
              <pic:pic xmlns:pic="http://schemas.openxmlformats.org/drawingml/2006/picture">
                <pic:nvPicPr>
                  <pic:cNvPr id="235" name="IM 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4F8DE">
    <w:pPr>
      <w:spacing w:before="48" w:line="219" w:lineRule="auto"/>
      <w:ind w:left="1423"/>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37" name="IM 30"/>
          <wp:cNvGraphicFramePr/>
          <a:graphic xmlns:a="http://schemas.openxmlformats.org/drawingml/2006/main">
            <a:graphicData uri="http://schemas.openxmlformats.org/drawingml/2006/picture">
              <pic:pic xmlns:pic="http://schemas.openxmlformats.org/drawingml/2006/picture">
                <pic:nvPicPr>
                  <pic:cNvPr id="237" name="IM 3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CC68">
    <w:pPr>
      <w:spacing w:before="48" w:line="219" w:lineRule="auto"/>
      <w:ind w:left="1423"/>
      <w:rPr>
        <w:rFonts w:ascii="宋体" w:hAnsi="宋体" w:eastAsia="宋体" w:cs="宋体"/>
        <w:sz w:val="18"/>
        <w:szCs w:val="18"/>
      </w:rPr>
    </w:pPr>
    <w:r>
      <w:drawing>
        <wp:anchor distT="0" distB="0" distL="0" distR="0" simplePos="0" relativeHeight="2516613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39" name="IM 6"/>
          <wp:cNvGraphicFramePr/>
          <a:graphic xmlns:a="http://schemas.openxmlformats.org/drawingml/2006/main">
            <a:graphicData uri="http://schemas.openxmlformats.org/drawingml/2006/picture">
              <pic:pic xmlns:pic="http://schemas.openxmlformats.org/drawingml/2006/picture">
                <pic:nvPicPr>
                  <pic:cNvPr id="239" name="IM 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C0D7">
    <w:pPr>
      <w:spacing w:before="48" w:line="219" w:lineRule="auto"/>
      <w:ind w:left="0"/>
      <w:rPr>
        <w:rFonts w:ascii="宋体" w:hAnsi="宋体" w:eastAsia="宋体" w:cs="宋体"/>
        <w:sz w:val="18"/>
        <w:szCs w:val="18"/>
      </w:rPr>
    </w:pPr>
    <w:r>
      <w:drawing>
        <wp:anchor distT="0" distB="0" distL="0" distR="0" simplePos="0" relativeHeight="2516920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1" name="IM 214"/>
          <wp:cNvGraphicFramePr/>
          <a:graphic xmlns:a="http://schemas.openxmlformats.org/drawingml/2006/main">
            <a:graphicData uri="http://schemas.openxmlformats.org/drawingml/2006/picture">
              <pic:pic xmlns:pic="http://schemas.openxmlformats.org/drawingml/2006/picture">
                <pic:nvPicPr>
                  <pic:cNvPr id="241" name="IM 21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C2CD">
    <w:pPr>
      <w:spacing w:before="48" w:line="219" w:lineRule="auto"/>
      <w:ind w:left="1423"/>
      <w:rPr>
        <w:rFonts w:ascii="宋体" w:hAnsi="宋体" w:eastAsia="宋体" w:cs="宋体"/>
        <w:sz w:val="18"/>
        <w:szCs w:val="18"/>
      </w:rPr>
    </w:pPr>
    <w:r>
      <w:drawing>
        <wp:anchor distT="0" distB="0" distL="0" distR="0" simplePos="0" relativeHeight="2517104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92CFF">
    <w:pPr>
      <w:spacing w:before="48" w:line="219" w:lineRule="auto"/>
      <w:ind w:left="1423"/>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3" name="IM 30"/>
          <wp:cNvGraphicFramePr/>
          <a:graphic xmlns:a="http://schemas.openxmlformats.org/drawingml/2006/main">
            <a:graphicData uri="http://schemas.openxmlformats.org/drawingml/2006/picture">
              <pic:pic xmlns:pic="http://schemas.openxmlformats.org/drawingml/2006/picture">
                <pic:nvPicPr>
                  <pic:cNvPr id="243" name="IM 3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03FD5">
    <w:pPr>
      <w:spacing w:before="48" w:line="219" w:lineRule="auto"/>
      <w:ind w:left="1423"/>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F8D9">
    <w:pPr>
      <w:spacing w:before="48" w:line="219" w:lineRule="auto"/>
      <w:ind w:left="1423"/>
      <w:rPr>
        <w:rFonts w:ascii="宋体" w:hAnsi="宋体" w:eastAsia="宋体" w:cs="宋体"/>
        <w:sz w:val="18"/>
        <w:szCs w:val="18"/>
      </w:rPr>
    </w:pPr>
    <w:r>
      <w:drawing>
        <wp:anchor distT="0" distB="0" distL="0" distR="0" simplePos="0" relativeHeight="2516623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5" name="IM 8"/>
          <wp:cNvGraphicFramePr/>
          <a:graphic xmlns:a="http://schemas.openxmlformats.org/drawingml/2006/main">
            <a:graphicData uri="http://schemas.openxmlformats.org/drawingml/2006/picture">
              <pic:pic xmlns:pic="http://schemas.openxmlformats.org/drawingml/2006/picture">
                <pic:nvPicPr>
                  <pic:cNvPr id="245" name="IM 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12E26">
    <w:pPr>
      <w:spacing w:before="48" w:line="219" w:lineRule="auto"/>
      <w:ind w:left="1423"/>
      <w:rPr>
        <w:rFonts w:ascii="宋体" w:hAnsi="宋体" w:eastAsia="宋体" w:cs="宋体"/>
        <w:sz w:val="18"/>
        <w:szCs w:val="18"/>
      </w:rPr>
    </w:pPr>
    <w:r>
      <w:drawing>
        <wp:anchor distT="0" distB="0" distL="0" distR="0" simplePos="0" relativeHeight="2517114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C97F2">
    <w:pPr>
      <w:spacing w:before="48" w:line="219" w:lineRule="auto"/>
      <w:ind w:left="1423"/>
      <w:rPr>
        <w:rFonts w:ascii="宋体" w:hAnsi="宋体" w:eastAsia="宋体" w:cs="宋体"/>
        <w:sz w:val="18"/>
        <w:szCs w:val="18"/>
      </w:rPr>
    </w:pPr>
    <w:r>
      <w:drawing>
        <wp:anchor distT="0" distB="0" distL="0" distR="0" simplePos="0" relativeHeight="2517125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6DEDB">
    <w:pPr>
      <w:spacing w:before="48" w:line="219" w:lineRule="auto"/>
      <w:ind w:left="1423"/>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7" name="IM 20"/>
          <wp:cNvGraphicFramePr/>
          <a:graphic xmlns:a="http://schemas.openxmlformats.org/drawingml/2006/main">
            <a:graphicData uri="http://schemas.openxmlformats.org/drawingml/2006/picture">
              <pic:pic xmlns:pic="http://schemas.openxmlformats.org/drawingml/2006/picture">
                <pic:nvPicPr>
                  <pic:cNvPr id="247" name="IM 2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F907E">
    <w:pPr>
      <w:spacing w:before="48" w:line="219" w:lineRule="auto"/>
      <w:ind w:left="1423"/>
      <w:rPr>
        <w:rFonts w:ascii="宋体" w:hAnsi="宋体" w:eastAsia="宋体" w:cs="宋体"/>
        <w:sz w:val="18"/>
        <w:szCs w:val="18"/>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49" name="IM 28"/>
          <wp:cNvGraphicFramePr/>
          <a:graphic xmlns:a="http://schemas.openxmlformats.org/drawingml/2006/main">
            <a:graphicData uri="http://schemas.openxmlformats.org/drawingml/2006/picture">
              <pic:pic xmlns:pic="http://schemas.openxmlformats.org/drawingml/2006/picture">
                <pic:nvPicPr>
                  <pic:cNvPr id="249" name="IM 2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7E31F">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3" name="IM 22"/>
          <wp:cNvGraphicFramePr/>
          <a:graphic xmlns:a="http://schemas.openxmlformats.org/drawingml/2006/main">
            <a:graphicData uri="http://schemas.openxmlformats.org/drawingml/2006/picture">
              <pic:pic xmlns:pic="http://schemas.openxmlformats.org/drawingml/2006/picture">
                <pic:nvPicPr>
                  <pic:cNvPr id="253"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66DA3">
    <w:pPr>
      <w:spacing w:before="48" w:line="219" w:lineRule="auto"/>
      <w:ind w:left="1423"/>
      <w:rPr>
        <w:rFonts w:ascii="宋体" w:hAnsi="宋体" w:eastAsia="宋体" w:cs="宋体"/>
        <w:sz w:val="18"/>
        <w:szCs w:val="18"/>
      </w:rPr>
    </w:pPr>
    <w:r>
      <w:drawing>
        <wp:anchor distT="0" distB="0" distL="0" distR="0" simplePos="0" relativeHeight="25168384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5" name="IM 100"/>
          <wp:cNvGraphicFramePr/>
          <a:graphic xmlns:a="http://schemas.openxmlformats.org/drawingml/2006/main">
            <a:graphicData uri="http://schemas.openxmlformats.org/drawingml/2006/picture">
              <pic:pic xmlns:pic="http://schemas.openxmlformats.org/drawingml/2006/picture">
                <pic:nvPicPr>
                  <pic:cNvPr id="255" name="IM 10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DED3">
    <w:pPr>
      <w:spacing w:before="48" w:line="219" w:lineRule="auto"/>
      <w:ind w:left="1423"/>
      <w:rPr>
        <w:rFonts w:ascii="宋体" w:hAnsi="宋体" w:eastAsia="宋体" w:cs="宋体"/>
        <w:sz w:val="18"/>
        <w:szCs w:val="18"/>
      </w:rPr>
    </w:pPr>
    <w:r>
      <w:drawing>
        <wp:anchor distT="0" distB="0" distL="0" distR="0" simplePos="0" relativeHeight="2517135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A3633">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7" name="IM 22"/>
          <wp:cNvGraphicFramePr/>
          <a:graphic xmlns:a="http://schemas.openxmlformats.org/drawingml/2006/main">
            <a:graphicData uri="http://schemas.openxmlformats.org/drawingml/2006/picture">
              <pic:pic xmlns:pic="http://schemas.openxmlformats.org/drawingml/2006/picture">
                <pic:nvPicPr>
                  <pic:cNvPr id="257"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77C01">
    <w:pPr>
      <w:spacing w:before="48" w:line="219" w:lineRule="auto"/>
      <w:ind w:left="1423"/>
      <w:rPr>
        <w:rFonts w:ascii="宋体" w:hAnsi="宋体" w:eastAsia="宋体" w:cs="宋体"/>
        <w:sz w:val="18"/>
        <w:szCs w:val="18"/>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9" name="IM 60"/>
          <wp:cNvGraphicFramePr/>
          <a:graphic xmlns:a="http://schemas.openxmlformats.org/drawingml/2006/main">
            <a:graphicData uri="http://schemas.openxmlformats.org/drawingml/2006/picture">
              <pic:pic xmlns:pic="http://schemas.openxmlformats.org/drawingml/2006/picture">
                <pic:nvPicPr>
                  <pic:cNvPr id="259" name="IM 6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C4DF5">
    <w:pPr>
      <w:spacing w:before="48" w:line="219" w:lineRule="auto"/>
      <w:ind w:left="1423"/>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1993B">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1" name="IM 22"/>
          <wp:cNvGraphicFramePr/>
          <a:graphic xmlns:a="http://schemas.openxmlformats.org/drawingml/2006/main">
            <a:graphicData uri="http://schemas.openxmlformats.org/drawingml/2006/picture">
              <pic:pic xmlns:pic="http://schemas.openxmlformats.org/drawingml/2006/picture">
                <pic:nvPicPr>
                  <pic:cNvPr id="261"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D0780">
    <w:pPr>
      <w:spacing w:before="48" w:line="219" w:lineRule="auto"/>
      <w:ind w:left="1423"/>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3" name="IM 90"/>
          <wp:cNvGraphicFramePr/>
          <a:graphic xmlns:a="http://schemas.openxmlformats.org/drawingml/2006/main">
            <a:graphicData uri="http://schemas.openxmlformats.org/drawingml/2006/picture">
              <pic:pic xmlns:pic="http://schemas.openxmlformats.org/drawingml/2006/picture">
                <pic:nvPicPr>
                  <pic:cNvPr id="263" name="IM 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9F2E6">
    <w:pPr>
      <w:spacing w:before="48" w:line="219" w:lineRule="auto"/>
      <w:ind w:left="1423"/>
      <w:rPr>
        <w:rFonts w:ascii="宋体" w:hAnsi="宋体" w:eastAsia="宋体" w:cs="宋体"/>
        <w:sz w:val="18"/>
        <w:szCs w:val="18"/>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5" name="IM 22"/>
          <wp:cNvGraphicFramePr/>
          <a:graphic xmlns:a="http://schemas.openxmlformats.org/drawingml/2006/main">
            <a:graphicData uri="http://schemas.openxmlformats.org/drawingml/2006/picture">
              <pic:pic xmlns:pic="http://schemas.openxmlformats.org/drawingml/2006/picture">
                <pic:nvPicPr>
                  <pic:cNvPr id="265" name="IM 2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85D8">
    <w:pPr>
      <w:spacing w:before="48" w:line="219" w:lineRule="auto"/>
      <w:ind w:left="1423"/>
      <w:rPr>
        <w:rFonts w:ascii="宋体" w:hAnsi="宋体" w:eastAsia="宋体" w:cs="宋体"/>
        <w:sz w:val="18"/>
        <w:szCs w:val="18"/>
      </w:rPr>
    </w:pPr>
    <w:r>
      <w:drawing>
        <wp:anchor distT="0" distB="0" distL="0" distR="0" simplePos="0" relativeHeight="2517145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C43E5">
    <w:pPr>
      <w:spacing w:before="48" w:line="219" w:lineRule="auto"/>
      <w:ind w:left="1423"/>
      <w:rPr>
        <w:rFonts w:ascii="宋体" w:hAnsi="宋体" w:eastAsia="宋体" w:cs="宋体"/>
        <w:sz w:val="18"/>
        <w:szCs w:val="18"/>
      </w:rPr>
    </w:pPr>
    <w:r>
      <w:drawing>
        <wp:anchor distT="0" distB="0" distL="0" distR="0" simplePos="0" relativeHeight="2517155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FE5BE">
    <w:pPr>
      <w:spacing w:before="48" w:line="219" w:lineRule="auto"/>
      <w:ind w:left="1423"/>
      <w:rPr>
        <w:rFonts w:ascii="宋体" w:hAnsi="宋体" w:eastAsia="宋体" w:cs="宋体"/>
        <w:sz w:val="18"/>
        <w:szCs w:val="18"/>
      </w:rPr>
    </w:pPr>
    <w:r>
      <w:drawing>
        <wp:anchor distT="0" distB="0" distL="0" distR="0" simplePos="0" relativeHeight="2517166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CE420">
    <w:pPr>
      <w:spacing w:before="48" w:line="219" w:lineRule="auto"/>
      <w:ind w:left="1423"/>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7" name="IM 32"/>
          <wp:cNvGraphicFramePr/>
          <a:graphic xmlns:a="http://schemas.openxmlformats.org/drawingml/2006/main">
            <a:graphicData uri="http://schemas.openxmlformats.org/drawingml/2006/picture">
              <pic:pic xmlns:pic="http://schemas.openxmlformats.org/drawingml/2006/picture">
                <pic:nvPicPr>
                  <pic:cNvPr id="267" name="IM 3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854F1">
    <w:pPr>
      <w:spacing w:before="48" w:line="219" w:lineRule="auto"/>
      <w:ind w:left="1423"/>
      <w:rPr>
        <w:rFonts w:ascii="宋体" w:hAnsi="宋体" w:eastAsia="宋体" w:cs="宋体"/>
        <w:sz w:val="18"/>
        <w:szCs w:val="18"/>
      </w:rPr>
    </w:pPr>
    <w:r>
      <w:drawing>
        <wp:anchor distT="0" distB="0" distL="0" distR="0" simplePos="0" relativeHeight="2517176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3C3BE">
    <w:pPr>
      <w:spacing w:before="48" w:line="219" w:lineRule="auto"/>
      <w:ind w:left="1423"/>
      <w:rPr>
        <w:rFonts w:ascii="宋体" w:hAnsi="宋体" w:eastAsia="宋体" w:cs="宋体"/>
        <w:sz w:val="18"/>
        <w:szCs w:val="18"/>
      </w:rPr>
    </w:pPr>
    <w:r>
      <w:drawing>
        <wp:anchor distT="0" distB="0" distL="0" distR="0" simplePos="0" relativeHeight="2517186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596A">
    <w:pPr>
      <w:spacing w:before="48" w:line="219" w:lineRule="auto"/>
      <w:ind w:left="1423"/>
      <w:rPr>
        <w:rFonts w:ascii="宋体" w:hAnsi="宋体" w:eastAsia="宋体" w:cs="宋体"/>
        <w:sz w:val="18"/>
        <w:szCs w:val="18"/>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69" name="IM 20"/>
          <wp:cNvGraphicFramePr/>
          <a:graphic xmlns:a="http://schemas.openxmlformats.org/drawingml/2006/main">
            <a:graphicData uri="http://schemas.openxmlformats.org/drawingml/2006/picture">
              <pic:pic xmlns:pic="http://schemas.openxmlformats.org/drawingml/2006/picture">
                <pic:nvPicPr>
                  <pic:cNvPr id="269" name="IM 2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9080">
    <w:pPr>
      <w:spacing w:before="48" w:line="219" w:lineRule="auto"/>
      <w:ind w:left="1423"/>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D5310">
    <w:pPr>
      <w:spacing w:before="48" w:line="219" w:lineRule="auto"/>
      <w:ind w:left="1423"/>
      <w:rPr>
        <w:rFonts w:ascii="宋体" w:hAnsi="宋体" w:eastAsia="宋体" w:cs="宋体"/>
        <w:sz w:val="18"/>
        <w:szCs w:val="18"/>
      </w:rPr>
    </w:pPr>
    <w:r>
      <w:drawing>
        <wp:anchor distT="0" distB="0" distL="0" distR="0" simplePos="0" relativeHeight="2516633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1" name="IM 10"/>
          <wp:cNvGraphicFramePr/>
          <a:graphic xmlns:a="http://schemas.openxmlformats.org/drawingml/2006/main">
            <a:graphicData uri="http://schemas.openxmlformats.org/drawingml/2006/picture">
              <pic:pic xmlns:pic="http://schemas.openxmlformats.org/drawingml/2006/picture">
                <pic:nvPicPr>
                  <pic:cNvPr id="271" name="IM 1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B9B4E">
    <w:pPr>
      <w:spacing w:before="48" w:line="219" w:lineRule="auto"/>
      <w:ind w:left="1423"/>
      <w:rPr>
        <w:rFonts w:ascii="宋体" w:hAnsi="宋体" w:eastAsia="宋体" w:cs="宋体"/>
        <w:sz w:val="18"/>
        <w:szCs w:val="18"/>
      </w:rPr>
    </w:pPr>
    <w:r>
      <w:drawing>
        <wp:anchor distT="0" distB="0" distL="0" distR="0" simplePos="0" relativeHeight="25168076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3" name="IM 74"/>
          <wp:cNvGraphicFramePr/>
          <a:graphic xmlns:a="http://schemas.openxmlformats.org/drawingml/2006/main">
            <a:graphicData uri="http://schemas.openxmlformats.org/drawingml/2006/picture">
              <pic:pic xmlns:pic="http://schemas.openxmlformats.org/drawingml/2006/picture">
                <pic:nvPicPr>
                  <pic:cNvPr id="273" name="IM 7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B38C">
    <w:pPr>
      <w:spacing w:before="48" w:line="219" w:lineRule="auto"/>
      <w:ind w:left="1423"/>
      <w:rPr>
        <w:rFonts w:ascii="宋体" w:hAnsi="宋体" w:eastAsia="宋体" w:cs="宋体"/>
        <w:sz w:val="18"/>
        <w:szCs w:val="18"/>
      </w:rPr>
    </w:pPr>
    <w:r>
      <w:drawing>
        <wp:anchor distT="0" distB="0" distL="0" distR="0" simplePos="0" relativeHeight="25169715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5" name="IM 238"/>
          <wp:cNvGraphicFramePr/>
          <a:graphic xmlns:a="http://schemas.openxmlformats.org/drawingml/2006/main">
            <a:graphicData uri="http://schemas.openxmlformats.org/drawingml/2006/picture">
              <pic:pic xmlns:pic="http://schemas.openxmlformats.org/drawingml/2006/picture">
                <pic:nvPicPr>
                  <pic:cNvPr id="275" name="IM 238"/>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3FB86">
    <w:pPr>
      <w:spacing w:before="48" w:line="219" w:lineRule="auto"/>
      <w:ind w:left="1423"/>
      <w:rPr>
        <w:rFonts w:ascii="宋体" w:hAnsi="宋体" w:eastAsia="宋体" w:cs="宋体"/>
        <w:sz w:val="18"/>
        <w:szCs w:val="18"/>
      </w:rPr>
    </w:pPr>
    <w:r>
      <w:drawing>
        <wp:anchor distT="0" distB="0" distL="0" distR="0" simplePos="0" relativeHeight="2517196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FD64A">
    <w:pPr>
      <w:spacing w:before="48" w:line="219" w:lineRule="auto"/>
      <w:ind w:left="1423"/>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7" name="IM 24"/>
          <wp:cNvGraphicFramePr/>
          <a:graphic xmlns:a="http://schemas.openxmlformats.org/drawingml/2006/main">
            <a:graphicData uri="http://schemas.openxmlformats.org/drawingml/2006/picture">
              <pic:pic xmlns:pic="http://schemas.openxmlformats.org/drawingml/2006/picture">
                <pic:nvPicPr>
                  <pic:cNvPr id="277" name="IM 2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82623">
    <w:pPr>
      <w:spacing w:before="48" w:line="219" w:lineRule="auto"/>
      <w:ind w:left="1423"/>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9" name="IM 32"/>
          <wp:cNvGraphicFramePr/>
          <a:graphic xmlns:a="http://schemas.openxmlformats.org/drawingml/2006/main">
            <a:graphicData uri="http://schemas.openxmlformats.org/drawingml/2006/picture">
              <pic:pic xmlns:pic="http://schemas.openxmlformats.org/drawingml/2006/picture">
                <pic:nvPicPr>
                  <pic:cNvPr id="279" name="IM 3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86A3C">
    <w:pPr>
      <w:spacing w:before="48" w:line="219" w:lineRule="auto"/>
      <w:ind w:left="1423"/>
      <w:rPr>
        <w:rFonts w:ascii="宋体" w:hAnsi="宋体" w:eastAsia="宋体" w:cs="宋体"/>
        <w:sz w:val="18"/>
        <w:szCs w:val="18"/>
      </w:rPr>
    </w:pPr>
    <w:r>
      <w:drawing>
        <wp:anchor distT="0" distB="0" distL="0" distR="0" simplePos="0" relativeHeight="2517207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CF5B">
    <w:pPr>
      <w:spacing w:before="48" w:line="219" w:lineRule="auto"/>
      <w:ind w:left="1423"/>
      <w:rPr>
        <w:rFonts w:ascii="宋体" w:hAnsi="宋体" w:eastAsia="宋体" w:cs="宋体"/>
        <w:sz w:val="18"/>
        <w:szCs w:val="18"/>
      </w:rPr>
    </w:pPr>
    <w:r>
      <w:drawing>
        <wp:anchor distT="0" distB="0" distL="0" distR="0" simplePos="0" relativeHeight="25167974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1" name="IM 70"/>
          <wp:cNvGraphicFramePr/>
          <a:graphic xmlns:a="http://schemas.openxmlformats.org/drawingml/2006/main">
            <a:graphicData uri="http://schemas.openxmlformats.org/drawingml/2006/picture">
              <pic:pic xmlns:pic="http://schemas.openxmlformats.org/drawingml/2006/picture">
                <pic:nvPicPr>
                  <pic:cNvPr id="281" name="IM 7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A668">
    <w:pPr>
      <w:spacing w:before="48" w:line="219" w:lineRule="auto"/>
      <w:ind w:left="1423"/>
      <w:rPr>
        <w:rFonts w:ascii="宋体" w:hAnsi="宋体" w:eastAsia="宋体" w:cs="宋体"/>
        <w:sz w:val="18"/>
        <w:szCs w:val="18"/>
      </w:rPr>
    </w:pPr>
    <w:r>
      <w:drawing>
        <wp:anchor distT="0" distB="0" distL="0" distR="0" simplePos="0" relativeHeight="2516981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3" name="IM 242"/>
          <wp:cNvGraphicFramePr/>
          <a:graphic xmlns:a="http://schemas.openxmlformats.org/drawingml/2006/main">
            <a:graphicData uri="http://schemas.openxmlformats.org/drawingml/2006/picture">
              <pic:pic xmlns:pic="http://schemas.openxmlformats.org/drawingml/2006/picture">
                <pic:nvPicPr>
                  <pic:cNvPr id="283" name="IM 242"/>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BAC0D">
    <w:pPr>
      <w:spacing w:before="48" w:line="219" w:lineRule="auto"/>
      <w:ind w:left="1423"/>
      <w:rPr>
        <w:rFonts w:ascii="宋体" w:hAnsi="宋体" w:eastAsia="宋体" w:cs="宋体"/>
        <w:sz w:val="18"/>
        <w:szCs w:val="18"/>
      </w:rPr>
    </w:pPr>
    <w:r>
      <w:drawing>
        <wp:anchor distT="0" distB="0" distL="0" distR="0" simplePos="0" relativeHeight="25168384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85" name="IM 100"/>
          <wp:cNvGraphicFramePr/>
          <a:graphic xmlns:a="http://schemas.openxmlformats.org/drawingml/2006/main">
            <a:graphicData uri="http://schemas.openxmlformats.org/drawingml/2006/picture">
              <pic:pic xmlns:pic="http://schemas.openxmlformats.org/drawingml/2006/picture">
                <pic:nvPicPr>
                  <pic:cNvPr id="285" name="IM 100"/>
                  <pic:cNvPicPr/>
                </pic:nvPicPr>
                <pic:blipFill>
                  <a:blip r:embed="rId1"/>
                  <a:stretch>
                    <a:fillRect/>
                  </a:stretch>
                </pic:blipFill>
                <pic:spPr>
                  <a:xfrm>
                    <a:off x="0" y="0"/>
                    <a:ext cx="5760720" cy="6350"/>
                  </a:xfrm>
                  <a:prstGeom prst="rect">
                    <a:avLst/>
                  </a:prstGeom>
                </pic:spPr>
              </pic:pic>
            </a:graphicData>
          </a:graphic>
        </wp:anchor>
      </w:drawing>
    </w:r>
    <w:r>
      <w:rPr>
        <w:rFonts w:ascii="宋体" w:hAnsi="宋体" w:eastAsia="宋体" w:cs="宋体"/>
        <w:spacing w:val="-1"/>
        <w:sz w:val="18"/>
        <w:szCs w:val="18"/>
      </w:rPr>
      <w:t>广东省公路工程施工招标文件范本（2025</w:t>
    </w:r>
    <w:r>
      <w:rPr>
        <w:rFonts w:ascii="宋体" w:hAnsi="宋体" w:eastAsia="宋体" w:cs="宋体"/>
        <w:spacing w:val="-36"/>
        <w:sz w:val="18"/>
        <w:szCs w:val="18"/>
      </w:rPr>
      <w:t xml:space="preserve"> </w:t>
    </w:r>
    <w:r>
      <w:rPr>
        <w:rFonts w:ascii="宋体" w:hAnsi="宋体" w:eastAsia="宋体" w:cs="宋体"/>
        <w:spacing w:val="-1"/>
        <w:sz w:val="18"/>
        <w:szCs w:val="18"/>
      </w:rPr>
      <w:t>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D6256B"/>
    <w:multiLevelType w:val="multilevel"/>
    <w:tmpl w:val="26D6256B"/>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3"/>
    </o:shapelayout>
  </w:hdrShapeDefaults>
  <w:footnotePr>
    <w:footnote w:id="26"/>
    <w:footnote w:id="27"/>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25861"/>
    <w:rsid w:val="00327CB1"/>
    <w:rsid w:val="008356CC"/>
    <w:rsid w:val="015974C0"/>
    <w:rsid w:val="022950E4"/>
    <w:rsid w:val="023F6AB9"/>
    <w:rsid w:val="03BD5AE4"/>
    <w:rsid w:val="048F0647"/>
    <w:rsid w:val="05355B4E"/>
    <w:rsid w:val="05797C60"/>
    <w:rsid w:val="05E61AA7"/>
    <w:rsid w:val="06B01930"/>
    <w:rsid w:val="079B438E"/>
    <w:rsid w:val="08862D45"/>
    <w:rsid w:val="092263E9"/>
    <w:rsid w:val="093C56FD"/>
    <w:rsid w:val="0A160294"/>
    <w:rsid w:val="0B1F0E32"/>
    <w:rsid w:val="0B575693"/>
    <w:rsid w:val="0BB27EF8"/>
    <w:rsid w:val="0CAF786C"/>
    <w:rsid w:val="0CE579A6"/>
    <w:rsid w:val="107277A0"/>
    <w:rsid w:val="10F62635"/>
    <w:rsid w:val="125A6BF4"/>
    <w:rsid w:val="126B56C5"/>
    <w:rsid w:val="12993BC0"/>
    <w:rsid w:val="130769A4"/>
    <w:rsid w:val="13160D6D"/>
    <w:rsid w:val="13C20EF5"/>
    <w:rsid w:val="141D612B"/>
    <w:rsid w:val="14290F74"/>
    <w:rsid w:val="14D032C8"/>
    <w:rsid w:val="153951E6"/>
    <w:rsid w:val="16AC58E6"/>
    <w:rsid w:val="16DE1BA1"/>
    <w:rsid w:val="180D0026"/>
    <w:rsid w:val="18AE7C99"/>
    <w:rsid w:val="199852DD"/>
    <w:rsid w:val="1A8E7D82"/>
    <w:rsid w:val="1AC63234"/>
    <w:rsid w:val="1B1418BE"/>
    <w:rsid w:val="1C47643B"/>
    <w:rsid w:val="1D835251"/>
    <w:rsid w:val="1E3061E7"/>
    <w:rsid w:val="1E8A6AB3"/>
    <w:rsid w:val="1FAB284B"/>
    <w:rsid w:val="1FD004F5"/>
    <w:rsid w:val="20907B25"/>
    <w:rsid w:val="212136FE"/>
    <w:rsid w:val="2189415F"/>
    <w:rsid w:val="218B501C"/>
    <w:rsid w:val="21ED78FA"/>
    <w:rsid w:val="22E948DF"/>
    <w:rsid w:val="2305495A"/>
    <w:rsid w:val="230F337D"/>
    <w:rsid w:val="23C860B3"/>
    <w:rsid w:val="25DF453F"/>
    <w:rsid w:val="26982560"/>
    <w:rsid w:val="26BE19EF"/>
    <w:rsid w:val="270219A4"/>
    <w:rsid w:val="2722238C"/>
    <w:rsid w:val="277240D9"/>
    <w:rsid w:val="27E44489"/>
    <w:rsid w:val="28843B01"/>
    <w:rsid w:val="28BB61E6"/>
    <w:rsid w:val="292A6C56"/>
    <w:rsid w:val="294E6006"/>
    <w:rsid w:val="29B726F0"/>
    <w:rsid w:val="29BD7D3C"/>
    <w:rsid w:val="2A5A1A2F"/>
    <w:rsid w:val="2AC05D36"/>
    <w:rsid w:val="2C55425C"/>
    <w:rsid w:val="2CF81D67"/>
    <w:rsid w:val="2EAB56A1"/>
    <w:rsid w:val="2EB86D24"/>
    <w:rsid w:val="2FDF59F2"/>
    <w:rsid w:val="302E3343"/>
    <w:rsid w:val="30B57466"/>
    <w:rsid w:val="30C419B0"/>
    <w:rsid w:val="3115045E"/>
    <w:rsid w:val="32201EB1"/>
    <w:rsid w:val="329B0E37"/>
    <w:rsid w:val="34CE72A2"/>
    <w:rsid w:val="35A65B28"/>
    <w:rsid w:val="35FD01EF"/>
    <w:rsid w:val="36572D30"/>
    <w:rsid w:val="36963DEF"/>
    <w:rsid w:val="36A16CEE"/>
    <w:rsid w:val="36A91754"/>
    <w:rsid w:val="3734495C"/>
    <w:rsid w:val="38F65019"/>
    <w:rsid w:val="3AA6301F"/>
    <w:rsid w:val="3AC8257B"/>
    <w:rsid w:val="3ADC526C"/>
    <w:rsid w:val="3B0357CB"/>
    <w:rsid w:val="3B2D45F6"/>
    <w:rsid w:val="3B651FE2"/>
    <w:rsid w:val="3B82092A"/>
    <w:rsid w:val="3BD96E30"/>
    <w:rsid w:val="3C355E58"/>
    <w:rsid w:val="3CB13731"/>
    <w:rsid w:val="3CFC3D9D"/>
    <w:rsid w:val="3DC27AF5"/>
    <w:rsid w:val="3EF852C7"/>
    <w:rsid w:val="3FFD6C8D"/>
    <w:rsid w:val="40297A82"/>
    <w:rsid w:val="40694E1A"/>
    <w:rsid w:val="40E35E83"/>
    <w:rsid w:val="42051E29"/>
    <w:rsid w:val="42246753"/>
    <w:rsid w:val="42F110CC"/>
    <w:rsid w:val="434A3F97"/>
    <w:rsid w:val="43503578"/>
    <w:rsid w:val="43832B65"/>
    <w:rsid w:val="439B47F3"/>
    <w:rsid w:val="4594599D"/>
    <w:rsid w:val="46D83FB0"/>
    <w:rsid w:val="4781545E"/>
    <w:rsid w:val="48494A78"/>
    <w:rsid w:val="48B126BB"/>
    <w:rsid w:val="48DF1625"/>
    <w:rsid w:val="49CB3958"/>
    <w:rsid w:val="4A3601AC"/>
    <w:rsid w:val="4A4640A6"/>
    <w:rsid w:val="4AB10DA0"/>
    <w:rsid w:val="4AB17EC3"/>
    <w:rsid w:val="4C0B2731"/>
    <w:rsid w:val="4C5B7215"/>
    <w:rsid w:val="4C651E42"/>
    <w:rsid w:val="4DAA5E95"/>
    <w:rsid w:val="4E7561CB"/>
    <w:rsid w:val="4EFD6AD1"/>
    <w:rsid w:val="4F000FA0"/>
    <w:rsid w:val="4FDC1C12"/>
    <w:rsid w:val="50243DC2"/>
    <w:rsid w:val="50981B09"/>
    <w:rsid w:val="52803F86"/>
    <w:rsid w:val="529B480F"/>
    <w:rsid w:val="531C7791"/>
    <w:rsid w:val="535B7AFB"/>
    <w:rsid w:val="539B25ED"/>
    <w:rsid w:val="5488491F"/>
    <w:rsid w:val="54AD6A7C"/>
    <w:rsid w:val="56530F5D"/>
    <w:rsid w:val="566C7598"/>
    <w:rsid w:val="568E6439"/>
    <w:rsid w:val="57062473"/>
    <w:rsid w:val="573548F3"/>
    <w:rsid w:val="575A77EE"/>
    <w:rsid w:val="57D165DD"/>
    <w:rsid w:val="58AE7FA4"/>
    <w:rsid w:val="58D2260D"/>
    <w:rsid w:val="58D24629"/>
    <w:rsid w:val="58E80082"/>
    <w:rsid w:val="58E90EDF"/>
    <w:rsid w:val="59284923"/>
    <w:rsid w:val="59372AC1"/>
    <w:rsid w:val="598952C5"/>
    <w:rsid w:val="5A0013FC"/>
    <w:rsid w:val="5A7D56D3"/>
    <w:rsid w:val="5B0C34C9"/>
    <w:rsid w:val="5B647768"/>
    <w:rsid w:val="5D9D21E3"/>
    <w:rsid w:val="5D9F4E80"/>
    <w:rsid w:val="5DD524B8"/>
    <w:rsid w:val="5E06668A"/>
    <w:rsid w:val="5E1E08BB"/>
    <w:rsid w:val="5E557378"/>
    <w:rsid w:val="5EA773D7"/>
    <w:rsid w:val="60BA67A8"/>
    <w:rsid w:val="60EA5B24"/>
    <w:rsid w:val="61071E2C"/>
    <w:rsid w:val="64D57287"/>
    <w:rsid w:val="652061F2"/>
    <w:rsid w:val="65847385"/>
    <w:rsid w:val="65960D94"/>
    <w:rsid w:val="666351EC"/>
    <w:rsid w:val="66CF2F3B"/>
    <w:rsid w:val="67000467"/>
    <w:rsid w:val="67F87BB6"/>
    <w:rsid w:val="67FD2D63"/>
    <w:rsid w:val="68242759"/>
    <w:rsid w:val="69987E99"/>
    <w:rsid w:val="6AD71D05"/>
    <w:rsid w:val="6BC8275F"/>
    <w:rsid w:val="6BE85925"/>
    <w:rsid w:val="6C32232C"/>
    <w:rsid w:val="6D273DF1"/>
    <w:rsid w:val="6D4F2026"/>
    <w:rsid w:val="6DA6322E"/>
    <w:rsid w:val="6DC742B3"/>
    <w:rsid w:val="6E2B0251"/>
    <w:rsid w:val="6F7A0DAE"/>
    <w:rsid w:val="6F9B59F7"/>
    <w:rsid w:val="6FCF56A0"/>
    <w:rsid w:val="705029FA"/>
    <w:rsid w:val="706A53C9"/>
    <w:rsid w:val="70751E77"/>
    <w:rsid w:val="70767E0A"/>
    <w:rsid w:val="70B501CD"/>
    <w:rsid w:val="71C56D5B"/>
    <w:rsid w:val="72E41463"/>
    <w:rsid w:val="736073AD"/>
    <w:rsid w:val="739B5403"/>
    <w:rsid w:val="73C05A2C"/>
    <w:rsid w:val="752124FA"/>
    <w:rsid w:val="77CA5FF9"/>
    <w:rsid w:val="77D03EE8"/>
    <w:rsid w:val="785E5813"/>
    <w:rsid w:val="786C6182"/>
    <w:rsid w:val="7A150154"/>
    <w:rsid w:val="7A436540"/>
    <w:rsid w:val="7A7632E8"/>
    <w:rsid w:val="7A824AE4"/>
    <w:rsid w:val="7AB314B0"/>
    <w:rsid w:val="7B2C1BF9"/>
    <w:rsid w:val="7C0C6053"/>
    <w:rsid w:val="7C4D1E27"/>
    <w:rsid w:val="7C9D4BE9"/>
    <w:rsid w:val="7D33726F"/>
    <w:rsid w:val="7D957F29"/>
    <w:rsid w:val="7E3F612C"/>
    <w:rsid w:val="7F210B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Body Text Indent"/>
    <w:basedOn w:val="1"/>
    <w:qFormat/>
    <w:uiPriority w:val="0"/>
    <w:pPr>
      <w:spacing w:after="120"/>
      <w:ind w:left="420" w:leftChars="200"/>
    </w:pPr>
    <w:rPr>
      <w:rFonts w:ascii="Calibri" w:hAnsi="Calibri" w:eastAsia="Calibri" w:cs="Times New Roman"/>
    </w:rPr>
  </w:style>
  <w:style w:type="paragraph" w:styleId="5">
    <w:name w:val="Plain Text"/>
    <w:basedOn w:val="1"/>
    <w:qFormat/>
    <w:uiPriority w:val="0"/>
    <w:rPr>
      <w:rFonts w:ascii="宋体" w:hAnsi="Courier New" w:eastAsia="Calibri" w:cs="Times New Roman"/>
      <w:color w:val="000000"/>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toc 1"/>
    <w:basedOn w:val="1"/>
    <w:next w:val="1"/>
    <w:qFormat/>
    <w:uiPriority w:val="1"/>
    <w:pPr>
      <w:spacing w:before="128"/>
      <w:ind w:left="196"/>
    </w:pPr>
    <w:rPr>
      <w:rFonts w:ascii="宋体" w:hAnsi="宋体" w:eastAsia="宋体"/>
      <w:sz w:val="20"/>
      <w:szCs w:val="20"/>
    </w:rPr>
  </w:style>
  <w:style w:type="paragraph" w:styleId="8">
    <w:name w:val="footnote text"/>
    <w:basedOn w:val="1"/>
    <w:qFormat/>
    <w:uiPriority w:val="0"/>
    <w:pPr>
      <w:snapToGrid w:val="0"/>
      <w:jc w:val="left"/>
    </w:pPr>
    <w:rPr>
      <w:sz w:val="18"/>
    </w:rPr>
  </w:style>
  <w:style w:type="paragraph" w:styleId="9">
    <w:name w:val="toc 2"/>
    <w:basedOn w:val="1"/>
    <w:next w:val="1"/>
    <w:qFormat/>
    <w:uiPriority w:val="0"/>
    <w:pPr>
      <w:ind w:left="420" w:leftChars="200"/>
    </w:pPr>
  </w:style>
  <w:style w:type="paragraph" w:styleId="10">
    <w:name w:val="Normal (Web)"/>
    <w:basedOn w:val="1"/>
    <w:qFormat/>
    <w:uiPriority w:val="0"/>
    <w:pPr>
      <w:widowControl/>
      <w:spacing w:before="100" w:beforeAutospacing="1" w:after="100" w:afterAutospacing="1"/>
      <w:jc w:val="left"/>
    </w:pPr>
    <w:rPr>
      <w:rFonts w:hint="eastAsia" w:ascii="宋体" w:hAnsi="宋体" w:eastAsia="Calibri" w:cs="Times New Roman"/>
      <w:kern w:val="0"/>
      <w:sz w:val="24"/>
    </w:rPr>
  </w:style>
  <w:style w:type="paragraph" w:styleId="11">
    <w:name w:val="index 1"/>
    <w:basedOn w:val="1"/>
    <w:next w:val="1"/>
    <w:qFormat/>
    <w:uiPriority w:val="0"/>
    <w:pPr>
      <w:spacing w:line="220" w:lineRule="exact"/>
      <w:jc w:val="center"/>
    </w:pPr>
    <w:rPr>
      <w:rFonts w:ascii="仿宋_GB2312" w:hAnsi="Calibri" w:eastAsia="仿宋_GB2312" w:cs="Times New Roman"/>
      <w:szCs w:val="21"/>
    </w:rPr>
  </w:style>
  <w:style w:type="character" w:styleId="14">
    <w:name w:val="page number"/>
    <w:basedOn w:val="13"/>
    <w:qFormat/>
    <w:uiPriority w:val="0"/>
    <w:rPr>
      <w:rFonts w:ascii="Calibri" w:hAnsi="Calibri" w:eastAsia="Calibri" w:cs="Times New Roman"/>
    </w:rPr>
  </w:style>
  <w:style w:type="character" w:styleId="15">
    <w:name w:val="footnote reference"/>
    <w:basedOn w:val="13"/>
    <w:qFormat/>
    <w:uiPriority w:val="0"/>
    <w:rPr>
      <w:vertAlign w:val="superscript"/>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paragraph" w:customStyle="1" w:styleId="1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footer" Target="footer47.xml"/><Relationship Id="rId98" Type="http://schemas.openxmlformats.org/officeDocument/2006/relationships/header" Target="header48.xml"/><Relationship Id="rId97" Type="http://schemas.openxmlformats.org/officeDocument/2006/relationships/footer" Target="footer46.xml"/><Relationship Id="rId96" Type="http://schemas.openxmlformats.org/officeDocument/2006/relationships/header" Target="header47.xml"/><Relationship Id="rId95" Type="http://schemas.openxmlformats.org/officeDocument/2006/relationships/footer" Target="footer45.xml"/><Relationship Id="rId94" Type="http://schemas.openxmlformats.org/officeDocument/2006/relationships/header" Target="header46.xml"/><Relationship Id="rId93" Type="http://schemas.openxmlformats.org/officeDocument/2006/relationships/footer" Target="footer44.xml"/><Relationship Id="rId92" Type="http://schemas.openxmlformats.org/officeDocument/2006/relationships/header" Target="header45.xml"/><Relationship Id="rId91" Type="http://schemas.openxmlformats.org/officeDocument/2006/relationships/footer" Target="footer43.xml"/><Relationship Id="rId90" Type="http://schemas.openxmlformats.org/officeDocument/2006/relationships/header" Target="header44.xml"/><Relationship Id="rId9" Type="http://schemas.openxmlformats.org/officeDocument/2006/relationships/footer" Target="footer2.xml"/><Relationship Id="rId89" Type="http://schemas.openxmlformats.org/officeDocument/2006/relationships/footer" Target="footer42.xml"/><Relationship Id="rId88" Type="http://schemas.openxmlformats.org/officeDocument/2006/relationships/header" Target="header43.xml"/><Relationship Id="rId87" Type="http://schemas.openxmlformats.org/officeDocument/2006/relationships/footer" Target="footer41.xml"/><Relationship Id="rId86" Type="http://schemas.openxmlformats.org/officeDocument/2006/relationships/header" Target="header42.xml"/><Relationship Id="rId85" Type="http://schemas.openxmlformats.org/officeDocument/2006/relationships/footer" Target="footer40.xml"/><Relationship Id="rId84" Type="http://schemas.openxmlformats.org/officeDocument/2006/relationships/header" Target="header41.xml"/><Relationship Id="rId83" Type="http://schemas.openxmlformats.org/officeDocument/2006/relationships/footer" Target="footer39.xml"/><Relationship Id="rId82" Type="http://schemas.openxmlformats.org/officeDocument/2006/relationships/header" Target="header40.xml"/><Relationship Id="rId81" Type="http://schemas.openxmlformats.org/officeDocument/2006/relationships/footer" Target="footer38.xml"/><Relationship Id="rId80" Type="http://schemas.openxmlformats.org/officeDocument/2006/relationships/header" Target="header39.xml"/><Relationship Id="rId8" Type="http://schemas.openxmlformats.org/officeDocument/2006/relationships/header" Target="header3.xml"/><Relationship Id="rId79" Type="http://schemas.openxmlformats.org/officeDocument/2006/relationships/footer" Target="footer37.xml"/><Relationship Id="rId78" Type="http://schemas.openxmlformats.org/officeDocument/2006/relationships/header" Target="header38.xml"/><Relationship Id="rId77" Type="http://schemas.openxmlformats.org/officeDocument/2006/relationships/footer" Target="footer36.xml"/><Relationship Id="rId76" Type="http://schemas.openxmlformats.org/officeDocument/2006/relationships/header" Target="header37.xml"/><Relationship Id="rId75" Type="http://schemas.openxmlformats.org/officeDocument/2006/relationships/footer" Target="footer35.xml"/><Relationship Id="rId74" Type="http://schemas.openxmlformats.org/officeDocument/2006/relationships/header" Target="header36.xml"/><Relationship Id="rId73" Type="http://schemas.openxmlformats.org/officeDocument/2006/relationships/footer" Target="footer34.xml"/><Relationship Id="rId72" Type="http://schemas.openxmlformats.org/officeDocument/2006/relationships/header" Target="header35.xml"/><Relationship Id="rId71" Type="http://schemas.openxmlformats.org/officeDocument/2006/relationships/footer" Target="footer33.xml"/><Relationship Id="rId70" Type="http://schemas.openxmlformats.org/officeDocument/2006/relationships/header" Target="header34.xml"/><Relationship Id="rId7" Type="http://schemas.openxmlformats.org/officeDocument/2006/relationships/footer" Target="footer1.xml"/><Relationship Id="rId69" Type="http://schemas.openxmlformats.org/officeDocument/2006/relationships/footer" Target="footer32.xml"/><Relationship Id="rId68" Type="http://schemas.openxmlformats.org/officeDocument/2006/relationships/header" Target="header33.xml"/><Relationship Id="rId67" Type="http://schemas.openxmlformats.org/officeDocument/2006/relationships/footer" Target="footer31.xml"/><Relationship Id="rId66" Type="http://schemas.openxmlformats.org/officeDocument/2006/relationships/header" Target="header32.xml"/><Relationship Id="rId65" Type="http://schemas.openxmlformats.org/officeDocument/2006/relationships/footer" Target="footer30.xml"/><Relationship Id="rId64" Type="http://schemas.openxmlformats.org/officeDocument/2006/relationships/header" Target="header31.xml"/><Relationship Id="rId63" Type="http://schemas.openxmlformats.org/officeDocument/2006/relationships/footer" Target="footer29.xml"/><Relationship Id="rId62" Type="http://schemas.openxmlformats.org/officeDocument/2006/relationships/header" Target="header30.xml"/><Relationship Id="rId61" Type="http://schemas.openxmlformats.org/officeDocument/2006/relationships/footer" Target="footer28.xml"/><Relationship Id="rId60" Type="http://schemas.openxmlformats.org/officeDocument/2006/relationships/header" Target="header29.xml"/><Relationship Id="rId6" Type="http://schemas.openxmlformats.org/officeDocument/2006/relationships/header" Target="header2.xml"/><Relationship Id="rId59" Type="http://schemas.openxmlformats.org/officeDocument/2006/relationships/footer" Target="footer27.xml"/><Relationship Id="rId58" Type="http://schemas.openxmlformats.org/officeDocument/2006/relationships/header" Target="header28.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6" Type="http://schemas.openxmlformats.org/officeDocument/2006/relationships/fontTable" Target="fontTable.xml"/><Relationship Id="rId235" Type="http://schemas.openxmlformats.org/officeDocument/2006/relationships/customXml" Target="../customXml/item2.xml"/><Relationship Id="rId234" Type="http://schemas.openxmlformats.org/officeDocument/2006/relationships/numbering" Target="numbering.xml"/><Relationship Id="rId233" Type="http://schemas.openxmlformats.org/officeDocument/2006/relationships/customXml" Target="../customXml/item1.xml"/><Relationship Id="rId232" Type="http://schemas.openxmlformats.org/officeDocument/2006/relationships/image" Target="media/image3.png"/><Relationship Id="rId231" Type="http://schemas.openxmlformats.org/officeDocument/2006/relationships/image" Target="media/image2.png"/><Relationship Id="rId230" Type="http://schemas.openxmlformats.org/officeDocument/2006/relationships/theme" Target="theme/theme1.xml"/><Relationship Id="rId23" Type="http://schemas.openxmlformats.org/officeDocument/2006/relationships/footer" Target="footer9.xml"/><Relationship Id="rId229" Type="http://schemas.openxmlformats.org/officeDocument/2006/relationships/footer" Target="footer114.xml"/><Relationship Id="rId228" Type="http://schemas.openxmlformats.org/officeDocument/2006/relationships/header" Target="header111.xml"/><Relationship Id="rId227" Type="http://schemas.openxmlformats.org/officeDocument/2006/relationships/footer" Target="footer113.xml"/><Relationship Id="rId226" Type="http://schemas.openxmlformats.org/officeDocument/2006/relationships/header" Target="header110.xml"/><Relationship Id="rId225" Type="http://schemas.openxmlformats.org/officeDocument/2006/relationships/footer" Target="footer112.xml"/><Relationship Id="rId224" Type="http://schemas.openxmlformats.org/officeDocument/2006/relationships/header" Target="header109.xml"/><Relationship Id="rId223" Type="http://schemas.openxmlformats.org/officeDocument/2006/relationships/footer" Target="footer111.xml"/><Relationship Id="rId222" Type="http://schemas.openxmlformats.org/officeDocument/2006/relationships/header" Target="header108.xml"/><Relationship Id="rId221" Type="http://schemas.openxmlformats.org/officeDocument/2006/relationships/footer" Target="footer110.xml"/><Relationship Id="rId220" Type="http://schemas.openxmlformats.org/officeDocument/2006/relationships/header" Target="header107.xml"/><Relationship Id="rId22" Type="http://schemas.openxmlformats.org/officeDocument/2006/relationships/header" Target="header10.xml"/><Relationship Id="rId219" Type="http://schemas.openxmlformats.org/officeDocument/2006/relationships/footer" Target="footer109.xml"/><Relationship Id="rId218" Type="http://schemas.openxmlformats.org/officeDocument/2006/relationships/header" Target="header106.xml"/><Relationship Id="rId217" Type="http://schemas.openxmlformats.org/officeDocument/2006/relationships/footer" Target="footer108.xml"/><Relationship Id="rId216" Type="http://schemas.openxmlformats.org/officeDocument/2006/relationships/header" Target="header105.xml"/><Relationship Id="rId215" Type="http://schemas.openxmlformats.org/officeDocument/2006/relationships/footer" Target="footer107.xml"/><Relationship Id="rId214" Type="http://schemas.openxmlformats.org/officeDocument/2006/relationships/header" Target="header104.xml"/><Relationship Id="rId213" Type="http://schemas.openxmlformats.org/officeDocument/2006/relationships/footer" Target="footer106.xml"/><Relationship Id="rId212" Type="http://schemas.openxmlformats.org/officeDocument/2006/relationships/header" Target="header103.xml"/><Relationship Id="rId211" Type="http://schemas.openxmlformats.org/officeDocument/2006/relationships/footer" Target="footer105.xml"/><Relationship Id="rId210" Type="http://schemas.openxmlformats.org/officeDocument/2006/relationships/header" Target="header102.xml"/><Relationship Id="rId21" Type="http://schemas.openxmlformats.org/officeDocument/2006/relationships/footer" Target="footer8.xml"/><Relationship Id="rId209" Type="http://schemas.openxmlformats.org/officeDocument/2006/relationships/footer" Target="footer104.xml"/><Relationship Id="rId208" Type="http://schemas.openxmlformats.org/officeDocument/2006/relationships/header" Target="header101.xml"/><Relationship Id="rId207" Type="http://schemas.openxmlformats.org/officeDocument/2006/relationships/footer" Target="footer103.xml"/><Relationship Id="rId206" Type="http://schemas.openxmlformats.org/officeDocument/2006/relationships/header" Target="header100.xml"/><Relationship Id="rId205" Type="http://schemas.openxmlformats.org/officeDocument/2006/relationships/footer" Target="footer102.xml"/><Relationship Id="rId204" Type="http://schemas.openxmlformats.org/officeDocument/2006/relationships/header" Target="header99.xml"/><Relationship Id="rId203" Type="http://schemas.openxmlformats.org/officeDocument/2006/relationships/footer" Target="footer101.xml"/><Relationship Id="rId202" Type="http://schemas.openxmlformats.org/officeDocument/2006/relationships/header" Target="header98.xml"/><Relationship Id="rId201" Type="http://schemas.openxmlformats.org/officeDocument/2006/relationships/footer" Target="footer100.xml"/><Relationship Id="rId200" Type="http://schemas.openxmlformats.org/officeDocument/2006/relationships/header" Target="header97.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footer" Target="footer99.xml"/><Relationship Id="rId198" Type="http://schemas.openxmlformats.org/officeDocument/2006/relationships/header" Target="header96.xml"/><Relationship Id="rId197" Type="http://schemas.openxmlformats.org/officeDocument/2006/relationships/footer" Target="footer98.xml"/><Relationship Id="rId196" Type="http://schemas.openxmlformats.org/officeDocument/2006/relationships/header" Target="header95.xml"/><Relationship Id="rId195" Type="http://schemas.openxmlformats.org/officeDocument/2006/relationships/footer" Target="footer97.xml"/><Relationship Id="rId194" Type="http://schemas.openxmlformats.org/officeDocument/2006/relationships/header" Target="header94.xml"/><Relationship Id="rId193" Type="http://schemas.openxmlformats.org/officeDocument/2006/relationships/footer" Target="footer96.xml"/><Relationship Id="rId192" Type="http://schemas.openxmlformats.org/officeDocument/2006/relationships/header" Target="header93.xml"/><Relationship Id="rId191" Type="http://schemas.openxmlformats.org/officeDocument/2006/relationships/footer" Target="footer95.xml"/><Relationship Id="rId190" Type="http://schemas.openxmlformats.org/officeDocument/2006/relationships/header" Target="header92.xml"/><Relationship Id="rId19" Type="http://schemas.openxmlformats.org/officeDocument/2006/relationships/footer" Target="footer7.xml"/><Relationship Id="rId189" Type="http://schemas.openxmlformats.org/officeDocument/2006/relationships/footer" Target="footer94.xml"/><Relationship Id="rId188" Type="http://schemas.openxmlformats.org/officeDocument/2006/relationships/header" Target="header91.xml"/><Relationship Id="rId187" Type="http://schemas.openxmlformats.org/officeDocument/2006/relationships/footer" Target="footer93.xml"/><Relationship Id="rId186" Type="http://schemas.openxmlformats.org/officeDocument/2006/relationships/header" Target="header90.xml"/><Relationship Id="rId185" Type="http://schemas.openxmlformats.org/officeDocument/2006/relationships/footer" Target="footer92.xml"/><Relationship Id="rId184" Type="http://schemas.openxmlformats.org/officeDocument/2006/relationships/header" Target="header89.xml"/><Relationship Id="rId183" Type="http://schemas.openxmlformats.org/officeDocument/2006/relationships/footer" Target="footer91.xml"/><Relationship Id="rId182" Type="http://schemas.openxmlformats.org/officeDocument/2006/relationships/header" Target="header88.xml"/><Relationship Id="rId181" Type="http://schemas.openxmlformats.org/officeDocument/2006/relationships/footer" Target="footer90.xml"/><Relationship Id="rId180" Type="http://schemas.openxmlformats.org/officeDocument/2006/relationships/header" Target="header87.xml"/><Relationship Id="rId18" Type="http://schemas.openxmlformats.org/officeDocument/2006/relationships/header" Target="header8.xml"/><Relationship Id="rId179" Type="http://schemas.openxmlformats.org/officeDocument/2006/relationships/footer" Target="footer89.xml"/><Relationship Id="rId178" Type="http://schemas.openxmlformats.org/officeDocument/2006/relationships/header" Target="header86.xml"/><Relationship Id="rId177" Type="http://schemas.openxmlformats.org/officeDocument/2006/relationships/footer" Target="footer88.xml"/><Relationship Id="rId176" Type="http://schemas.openxmlformats.org/officeDocument/2006/relationships/header" Target="header85.xml"/><Relationship Id="rId175" Type="http://schemas.openxmlformats.org/officeDocument/2006/relationships/footer" Target="footer87.xml"/><Relationship Id="rId174" Type="http://schemas.openxmlformats.org/officeDocument/2006/relationships/header" Target="header84.xml"/><Relationship Id="rId173" Type="http://schemas.openxmlformats.org/officeDocument/2006/relationships/footer" Target="footer86.xml"/><Relationship Id="rId172" Type="http://schemas.openxmlformats.org/officeDocument/2006/relationships/header" Target="header83.xml"/><Relationship Id="rId171" Type="http://schemas.openxmlformats.org/officeDocument/2006/relationships/footer" Target="footer85.xml"/><Relationship Id="rId170" Type="http://schemas.openxmlformats.org/officeDocument/2006/relationships/header" Target="header82.xml"/><Relationship Id="rId17" Type="http://schemas.openxmlformats.org/officeDocument/2006/relationships/footer" Target="footer6.xml"/><Relationship Id="rId169" Type="http://schemas.openxmlformats.org/officeDocument/2006/relationships/footer" Target="footer84.xml"/><Relationship Id="rId168" Type="http://schemas.openxmlformats.org/officeDocument/2006/relationships/header" Target="header81.xml"/><Relationship Id="rId167" Type="http://schemas.openxmlformats.org/officeDocument/2006/relationships/footer" Target="footer83.xml"/><Relationship Id="rId166" Type="http://schemas.openxmlformats.org/officeDocument/2006/relationships/footer" Target="footer82.xml"/><Relationship Id="rId165" Type="http://schemas.openxmlformats.org/officeDocument/2006/relationships/header" Target="header80.xml"/><Relationship Id="rId164" Type="http://schemas.openxmlformats.org/officeDocument/2006/relationships/footer" Target="footer81.xml"/><Relationship Id="rId163" Type="http://schemas.openxmlformats.org/officeDocument/2006/relationships/header" Target="header79.xml"/><Relationship Id="rId162" Type="http://schemas.openxmlformats.org/officeDocument/2006/relationships/footer" Target="footer80.xml"/><Relationship Id="rId161" Type="http://schemas.openxmlformats.org/officeDocument/2006/relationships/header" Target="header78.xml"/><Relationship Id="rId160" Type="http://schemas.openxmlformats.org/officeDocument/2006/relationships/footer" Target="footer79.xml"/><Relationship Id="rId16" Type="http://schemas.openxmlformats.org/officeDocument/2006/relationships/header" Target="header7.xml"/><Relationship Id="rId159" Type="http://schemas.openxmlformats.org/officeDocument/2006/relationships/header" Target="header77.xml"/><Relationship Id="rId158" Type="http://schemas.openxmlformats.org/officeDocument/2006/relationships/footer" Target="footer78.xml"/><Relationship Id="rId157" Type="http://schemas.openxmlformats.org/officeDocument/2006/relationships/header" Target="header76.xml"/><Relationship Id="rId156" Type="http://schemas.openxmlformats.org/officeDocument/2006/relationships/footer" Target="footer77.xml"/><Relationship Id="rId155" Type="http://schemas.openxmlformats.org/officeDocument/2006/relationships/header" Target="header75.xml"/><Relationship Id="rId154" Type="http://schemas.openxmlformats.org/officeDocument/2006/relationships/footer" Target="footer76.xml"/><Relationship Id="rId153" Type="http://schemas.openxmlformats.org/officeDocument/2006/relationships/header" Target="header74.xml"/><Relationship Id="rId152" Type="http://schemas.openxmlformats.org/officeDocument/2006/relationships/footer" Target="footer75.xml"/><Relationship Id="rId151" Type="http://schemas.openxmlformats.org/officeDocument/2006/relationships/header" Target="header73.xml"/><Relationship Id="rId150" Type="http://schemas.openxmlformats.org/officeDocument/2006/relationships/footer" Target="footer74.xml"/><Relationship Id="rId15" Type="http://schemas.openxmlformats.org/officeDocument/2006/relationships/footer" Target="footer5.xml"/><Relationship Id="rId149" Type="http://schemas.openxmlformats.org/officeDocument/2006/relationships/header" Target="header72.xml"/><Relationship Id="rId148" Type="http://schemas.openxmlformats.org/officeDocument/2006/relationships/footer" Target="footer73.xml"/><Relationship Id="rId147" Type="http://schemas.openxmlformats.org/officeDocument/2006/relationships/header" Target="header71.xml"/><Relationship Id="rId146" Type="http://schemas.openxmlformats.org/officeDocument/2006/relationships/footer" Target="footer72.xml"/><Relationship Id="rId145" Type="http://schemas.openxmlformats.org/officeDocument/2006/relationships/header" Target="header70.xml"/><Relationship Id="rId144" Type="http://schemas.openxmlformats.org/officeDocument/2006/relationships/footer" Target="footer71.xml"/><Relationship Id="rId143" Type="http://schemas.openxmlformats.org/officeDocument/2006/relationships/header" Target="header69.xml"/><Relationship Id="rId142" Type="http://schemas.openxmlformats.org/officeDocument/2006/relationships/footer" Target="footer70.xml"/><Relationship Id="rId141" Type="http://schemas.openxmlformats.org/officeDocument/2006/relationships/header" Target="header68.xml"/><Relationship Id="rId140" Type="http://schemas.openxmlformats.org/officeDocument/2006/relationships/footer" Target="footer69.xml"/><Relationship Id="rId14" Type="http://schemas.openxmlformats.org/officeDocument/2006/relationships/header" Target="header6.xml"/><Relationship Id="rId139" Type="http://schemas.openxmlformats.org/officeDocument/2006/relationships/footer" Target="footer68.xml"/><Relationship Id="rId138" Type="http://schemas.openxmlformats.org/officeDocument/2006/relationships/footer" Target="footer67.xml"/><Relationship Id="rId137" Type="http://schemas.openxmlformats.org/officeDocument/2006/relationships/footer" Target="footer66.xml"/><Relationship Id="rId136" Type="http://schemas.openxmlformats.org/officeDocument/2006/relationships/header" Target="header67.xml"/><Relationship Id="rId135" Type="http://schemas.openxmlformats.org/officeDocument/2006/relationships/footer" Target="footer65.xml"/><Relationship Id="rId134" Type="http://schemas.openxmlformats.org/officeDocument/2006/relationships/header" Target="header66.xml"/><Relationship Id="rId133" Type="http://schemas.openxmlformats.org/officeDocument/2006/relationships/footer" Target="footer64.xml"/><Relationship Id="rId132" Type="http://schemas.openxmlformats.org/officeDocument/2006/relationships/header" Target="header65.xml"/><Relationship Id="rId131" Type="http://schemas.openxmlformats.org/officeDocument/2006/relationships/footer" Target="footer63.xml"/><Relationship Id="rId130" Type="http://schemas.openxmlformats.org/officeDocument/2006/relationships/header" Target="header64.xml"/><Relationship Id="rId13" Type="http://schemas.openxmlformats.org/officeDocument/2006/relationships/footer" Target="footer4.xml"/><Relationship Id="rId129" Type="http://schemas.openxmlformats.org/officeDocument/2006/relationships/footer" Target="footer62.xml"/><Relationship Id="rId128" Type="http://schemas.openxmlformats.org/officeDocument/2006/relationships/header" Target="header63.xml"/><Relationship Id="rId127" Type="http://schemas.openxmlformats.org/officeDocument/2006/relationships/footer" Target="footer61.xml"/><Relationship Id="rId126" Type="http://schemas.openxmlformats.org/officeDocument/2006/relationships/header" Target="header62.xml"/><Relationship Id="rId125" Type="http://schemas.openxmlformats.org/officeDocument/2006/relationships/footer" Target="footer60.xml"/><Relationship Id="rId124" Type="http://schemas.openxmlformats.org/officeDocument/2006/relationships/header" Target="header61.xml"/><Relationship Id="rId123" Type="http://schemas.openxmlformats.org/officeDocument/2006/relationships/footer" Target="footer59.xml"/><Relationship Id="rId122" Type="http://schemas.openxmlformats.org/officeDocument/2006/relationships/header" Target="header60.xml"/><Relationship Id="rId121" Type="http://schemas.openxmlformats.org/officeDocument/2006/relationships/footer" Target="footer58.xml"/><Relationship Id="rId120" Type="http://schemas.openxmlformats.org/officeDocument/2006/relationships/header" Target="header59.xml"/><Relationship Id="rId12" Type="http://schemas.openxmlformats.org/officeDocument/2006/relationships/header" Target="header5.xml"/><Relationship Id="rId119" Type="http://schemas.openxmlformats.org/officeDocument/2006/relationships/footer" Target="footer57.xml"/><Relationship Id="rId118" Type="http://schemas.openxmlformats.org/officeDocument/2006/relationships/header" Target="header58.xml"/><Relationship Id="rId117" Type="http://schemas.openxmlformats.org/officeDocument/2006/relationships/footer" Target="footer56.xml"/><Relationship Id="rId116" Type="http://schemas.openxmlformats.org/officeDocument/2006/relationships/header" Target="header57.xml"/><Relationship Id="rId115" Type="http://schemas.openxmlformats.org/officeDocument/2006/relationships/footer" Target="footer55.xml"/><Relationship Id="rId114" Type="http://schemas.openxmlformats.org/officeDocument/2006/relationships/header" Target="header56.xml"/><Relationship Id="rId113" Type="http://schemas.openxmlformats.org/officeDocument/2006/relationships/footer" Target="footer54.xml"/><Relationship Id="rId112" Type="http://schemas.openxmlformats.org/officeDocument/2006/relationships/header" Target="header55.xml"/><Relationship Id="rId111" Type="http://schemas.openxmlformats.org/officeDocument/2006/relationships/footer" Target="footer53.xml"/><Relationship Id="rId110" Type="http://schemas.openxmlformats.org/officeDocument/2006/relationships/header" Target="header54.xml"/><Relationship Id="rId11" Type="http://schemas.openxmlformats.org/officeDocument/2006/relationships/footer" Target="footer3.xml"/><Relationship Id="rId109" Type="http://schemas.openxmlformats.org/officeDocument/2006/relationships/footer" Target="footer52.xml"/><Relationship Id="rId108" Type="http://schemas.openxmlformats.org/officeDocument/2006/relationships/header" Target="header53.xml"/><Relationship Id="rId107" Type="http://schemas.openxmlformats.org/officeDocument/2006/relationships/footer" Target="footer51.xml"/><Relationship Id="rId106" Type="http://schemas.openxmlformats.org/officeDocument/2006/relationships/header" Target="header52.xml"/><Relationship Id="rId105" Type="http://schemas.openxmlformats.org/officeDocument/2006/relationships/footer" Target="footer50.xml"/><Relationship Id="rId104" Type="http://schemas.openxmlformats.org/officeDocument/2006/relationships/header" Target="header51.xml"/><Relationship Id="rId103" Type="http://schemas.openxmlformats.org/officeDocument/2006/relationships/footer" Target="footer49.xml"/><Relationship Id="rId102" Type="http://schemas.openxmlformats.org/officeDocument/2006/relationships/header" Target="header50.xml"/><Relationship Id="rId101" Type="http://schemas.openxmlformats.org/officeDocument/2006/relationships/footer" Target="footer48.xml"/><Relationship Id="rId100" Type="http://schemas.openxmlformats.org/officeDocument/2006/relationships/header" Target="header49.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0"/>
  </customShpExts>
</s:customData>
</file>

<file path=customXml/item2.xml><?xml version="1.0" encoding="utf-8"?>
<contractReview xmlns="http://schemas.wps.cn/vas-ai-hub/contract-review">
  <reviewItems>
    <reviewItem>
      <errorID>aec4e4d5-951a-4fe7-98e6-abfad2c19a1b</errorID>
      <errorWord> </errorWord>
      <group>L1_AI</group>
      <groupName>深度校对</groupName>
      <ability>L2_AI_Punc</ability>
      <abilityName>标点纠错</abilityName>
      <candidateList>
        <item/>
      </candidateList>
      <explain>此处空格冗余，建议删除。</explain>
      <paraID>4A0B1799</paraID>
      <start>23</start>
      <end>24</end>
      <status>unmodified</status>
      <modifiedWord/>
      <trackRevisions>false</trackRevisions>
    </reviewItem>
    <reviewItem>
      <errorID>a1b634bb-01e3-46d6-ab69-3f6c4a2385fc</errorID>
      <errorWord> </errorWord>
      <group>L1_AI</group>
      <groupName>深度校对</groupName>
      <ability>L2_AI_Punc</ability>
      <abilityName>标点纠错</abilityName>
      <candidateList>
        <item/>
      </candidateList>
      <explain>此处空格冗余，建议删除。</explain>
      <paraID>4A0B1799</paraID>
      <start>215</start>
      <end>216</end>
      <status>unmodified</status>
      <modifiedWord/>
      <trackRevisions>false</trackRevisions>
    </reviewItem>
    <reviewItem>
      <errorID>e92fabe0-ceff-459a-bb87-cf303550e5a3</errorID>
      <errorWord> </errorWord>
      <group>L1_AI</group>
      <groupName>深度校对</groupName>
      <ability>L2_AI_Punc</ability>
      <abilityName>标点纠错</abilityName>
      <candidateList>
        <item/>
      </candidateList>
      <explain>此处空格冗余，建议删除。</explain>
      <paraID>4A0B1799</paraID>
      <start>254</start>
      <end>255</end>
      <status>unmodified</status>
      <modifiedWord/>
      <trackRevisions>false</trackRevisions>
    </reviewItem>
    <reviewItem>
      <errorID>0798064c-434d-4877-87ad-771dbe162e7f</errorID>
      <errorWord>，经</errorWord>
      <group>L1_AI</group>
      <groupName>深度校对</groupName>
      <ability>L2_AI_Word</ability>
      <abilityName>字词纠错</abilityName>
      <candidateList>
        <item>，</item>
      </candidateList>
      <explain/>
      <paraID>4A0B1799</paraID>
      <start>266</start>
      <end>268</end>
      <status>unmodified</status>
      <modifiedWord/>
      <trackRevisions>false</trackRevisions>
    </reviewItem>
    <reviewItem>
      <errorID>62be8219-f3bc-4a19-83f0-42e6f0cd1ab3</errorID>
      <errorWord>》</errorWord>
      <group>L1_Word</group>
      <groupName>字词问题</groupName>
      <ability>L2_Typo</ability>
      <abilityName>字词错误</abilityName>
      <candidateList>
        <item>》和</item>
      </candidateList>
      <explain/>
      <paraID>4A0B1799</paraID>
      <start>312</start>
      <end>313</end>
      <status>unmodified</status>
      <modifiedWord/>
      <trackRevisions>false</trackRevisions>
    </reviewItem>
    <reviewItem>
      <errorID>97632bf3-d78e-4566-8fdc-29920662e804</errorID>
      <errorWord> 《广东省公路工程施工招标文件范本（2025 年版）》（以下简称《公路工程施工 2025</errorWord>
      <group>L1_AI</group>
      <groupName>深度校对</groupName>
      <ability>L2_AI_Grammar</ability>
      <abilityName>语法纠错</abilityName>
      <candidateList>
        <item>《广东省公路工程施工招标文件范本（2025年版）》（以下简称《公路工程施工2025</item>
      </candidateList>
      <explain/>
      <paraID>4A0B1799</paraID>
      <start>313</start>
      <end>357</end>
      <status>unmodified</status>
      <modifiedWord/>
      <trackRevisions>false</trackRevisions>
    </reviewItem>
    <reviewItem>
      <errorID>2eccb243-3d5c-4a9e-843c-e84ccf4c4d4d</errorID>
      <errorWord> </errorWord>
      <group>L1_AI</group>
      <groupName>深度校对</groupName>
      <ability>L2_AI_Punc</ability>
      <abilityName>标点纠错</abilityName>
      <candidateList>
        <item/>
      </candidateList>
      <explain>此处空格冗余，建议删除。</explain>
      <paraID>4102F527</paraID>
      <start>40</start>
      <end>41</end>
      <status>unmodified</status>
      <modifiedWord/>
      <trackRevisions>false</trackRevisions>
    </reviewItem>
    <reviewItem>
      <errorID>8a513513-d7c7-434a-a634-b669d77038a7</errorID>
      <errorWord> </errorWord>
      <group>L1_AI</group>
      <groupName>深度校对</groupName>
      <ability>L2_AI_Punc</ability>
      <abilityName>标点纠错</abilityName>
      <candidateList>
        <item/>
      </candidateList>
      <explain>此处空格冗余，建议删除。</explain>
      <paraID>4102F527</paraID>
      <start>65</start>
      <end>66</end>
      <status>unmodified</status>
      <modifiedWord/>
      <trackRevisions>false</trackRevisions>
    </reviewItem>
    <reviewItem>
      <errorID>346922ef-dfdc-4653-81fb-25532974baff</errorID>
      <errorWord>(2018 年版)</errorWord>
      <group>L1_AI</group>
      <groupName>深度校对</groupName>
      <ability>L2_AI_Punc</ability>
      <abilityName>标点纠错</abilityName>
      <candidateList>
        <item>（2018年版）</item>
      </candidateList>
      <explain/>
      <paraID>4102F527</paraID>
      <start>112</start>
      <end>121</end>
      <status>unmodified</status>
      <modifiedWord/>
      <trackRevisions>false</trackRevisions>
    </reviewItem>
    <reviewItem>
      <errorID>760bce77-989d-407d-ac1c-1fe52eba1e09</errorID>
      <errorWord> </errorWord>
      <group>L1_AI</group>
      <groupName>深度校对</groupName>
      <ability>L2_AI_Punc</ability>
      <abilityName>标点纠错</abilityName>
      <candidateList>
        <item/>
      </candidateList>
      <explain>此处空格冗余，建议删除。</explain>
      <paraID>4102F527</paraID>
      <start>140</start>
      <end>141</end>
      <status>unmodified</status>
      <modifiedWord/>
      <trackRevisions>false</trackRevisions>
    </reviewItem>
    <reviewItem>
      <errorID>1b2990a2-250b-4aec-b726-ef27b1c71533</errorID>
      <errorWord>》</errorWord>
      <group>L1_Word</group>
      <groupName>字词问题</groupName>
      <ability>L2_Typo</ability>
      <abilityName>字词错误</abilityName>
      <candidateList>
        <item>》和</item>
      </candidateList>
      <explain/>
      <paraID>4102F527</paraID>
      <start>203</start>
      <end>204</end>
      <status>unmodified</status>
      <modifiedWord/>
      <trackRevisions>false</trackRevisions>
    </reviewItem>
    <reviewItem>
      <errorID>8dbcc367-e583-49bf-9dd6-c11e7f70acc0</errorID>
      <errorWord> </errorWord>
      <group>L1_AI</group>
      <groupName>深度校对</groupName>
      <ability>L2_AI_Punc</ability>
      <abilityName>标点纠错</abilityName>
      <candidateList>
        <item/>
      </candidateList>
      <explain>此处空格冗余，建议删除。</explain>
      <paraID>4102F527</paraID>
      <start>204</start>
      <end>205</end>
      <status>unmodified</status>
      <modifiedWord/>
      <trackRevisions>false</trackRevisions>
    </reviewItem>
    <reviewItem>
      <errorID>9fcd13ba-76cf-45ee-80a6-728ec64abb37</errorID>
      <errorWord> </errorWord>
      <group>L1_AI</group>
      <groupName>深度校对</groupName>
      <ability>L2_AI_Punc</ability>
      <abilityName>标点纠错</abilityName>
      <candidateList>
        <item/>
      </candidateList>
      <explain>此处空格冗余，建议删除。</explain>
      <paraID> 7F9DBCB</paraID>
      <start>56</start>
      <end>57</end>
      <status>unmodified</status>
      <modifiedWord/>
      <trackRevisions>false</trackRevisions>
    </reviewItem>
    <reviewItem>
      <errorID>767fee14-90d8-417c-bf5d-5065905967d2</errorID>
      <errorWord>“/</errorWord>
      <group>L1_Punc</group>
      <groupName>标点问题</groupName>
      <ability>L2_Punc</ability>
      <abilityName>标点符号检查</abilityName>
      <candidateList>
        <item>“</item>
      </candidateList>
      <explain/>
      <paraID> 36A6B17</paraID>
      <start>100</start>
      <end>102</end>
      <status>unmodified</status>
      <modifiedWord/>
      <trackRevisions>false</trackRevisions>
    </reviewItem>
    <reviewItem>
      <errorID>3c96d4be-4529-4c5b-beb9-2aa04152dc54</errorID>
      <errorWord>包括了</errorWord>
      <group>L1_Word</group>
      <groupName>字词问题</groupName>
      <ability>L2_Typo</ability>
      <abilityName>字词错误</abilityName>
      <candidateList>
        <item>包括</item>
      </candidateList>
      <explain/>
      <paraID> 120C7C9</paraID>
      <start>7</start>
      <end>10</end>
      <status>unmodified</status>
      <modifiedWord/>
      <trackRevisions>false</trackRevisions>
    </reviewItem>
    <reviewItem>
      <errorID>63f3c68b-ba9c-477d-9fe7-efd95512002f</errorID>
      <errorWord>广东省《</errorWord>
      <group>L1_AI</group>
      <groupName>深度校对</groupName>
      <ability>L2_AI_Word</ability>
      <abilityName>字词纠错</abilityName>
      <candidateList>
        <item>《广东省</item>
      </candidateList>
      <explain/>
      <paraID>51EB3D4E</paraID>
      <start>39</start>
      <end>43</end>
      <status>unmodified</status>
      <modifiedWord/>
      <trackRevisions>false</trackRevisions>
    </reviewItem>
    <reviewItem>
      <errorID>3a8000b0-81c9-421a-ad0b-9680c22029b2</errorID>
      <errorWord>广东省《</errorWord>
      <group>L1_AI</group>
      <groupName>深度校对</groupName>
      <ability>L2_AI_Word</ability>
      <abilityName>字词纠错</abilityName>
      <candidateList>
        <item>《广东省</item>
      </candidateList>
      <explain/>
      <paraID>51EB3D4E</paraID>
      <start>126</start>
      <end>130</end>
      <status>unmodified</status>
      <modifiedWord/>
      <trackRevisions>false</trackRevisions>
    </reviewItem>
    <reviewItem>
      <errorID>23985850-434a-4a61-bd5b-4f804bd38d73</errorID>
      <errorWord>，</errorWord>
      <group>L1_AI</group>
      <groupName>深度校对</groupName>
      <ability>L2_AI_Punc</ability>
      <abilityName>标点纠错</abilityName>
      <candidateList>
        <item>。</item>
      </candidateList>
      <explain/>
      <paraID>3494A8A0</paraID>
      <start>142</start>
      <end>143</end>
      <status>unmodified</status>
      <modifiedWord/>
      <trackRevisions>false</trackRevisions>
    </reviewItem>
    <reviewItem>
      <errorID>4ac697e9-0ddb-493d-a747-0b077b93b272</errorID>
      <errorWord>， </errorWord>
      <group>L1_AI</group>
      <groupName>深度校对</groupName>
      <ability>L2_AI_Punc</ability>
      <abilityName>标点纠错</abilityName>
      <candidateList>
        <item>。</item>
      </candidateList>
      <explain/>
      <paraID>3494A8A0</paraID>
      <start>210</start>
      <end>212</end>
      <status>unmodified</status>
      <modifiedWord/>
      <trackRevisions>false</trackRevisions>
    </reviewItem>
    <reviewItem>
      <errorID>6ee49e6b-0788-4dff-b553-7f61e1b57d7a</errorID>
      <errorWord>可</errorWord>
      <group>L1_AI</group>
      <groupName>深度校对</groupName>
      <ability>L2_AI_Punc</ability>
      <abilityName>标点纠错</abilityName>
      <candidateList>
        <item>，可</item>
      </candidateList>
      <explain/>
      <paraID>3494A8A0</paraID>
      <start>238</start>
      <end>239</end>
      <status>unmodified</status>
      <modifiedWord/>
      <trackRevisions>false</trackRevisions>
    </reviewItem>
    <reviewItem>
      <errorID>05b153c0-3673-44c0-95ce-37e78728475b</errorID>
      <errorWord>《公路工程施工 2025 年范本》在</errorWord>
      <group>L1_AI</group>
      <groupName>深度校对</groupName>
      <ability>L2_AI_Grammar</ability>
      <abilityName>语法纠错</abilityName>
      <candidateList>
        <item>在《公路工程施工2025年范本》</item>
      </candidateList>
      <explain/>
      <paraID> 66023C6</paraID>
      <start>3</start>
      <end>21</end>
      <status>unmodified</status>
      <modifiedWord/>
      <trackRevisions>false</trackRevisions>
    </reviewItem>
    <reviewItem>
      <errorID>2257e70d-3650-4842-b4a6-efffe03c2ed1</errorID>
      <errorWord>如</errorWord>
      <group>L1_AI</group>
      <groupName>深度校对</groupName>
      <ability>L2_AI_Punc</ability>
      <abilityName>标点纠错</abilityName>
      <candidateList>
        <item>，如</item>
      </candidateList>
      <explain/>
      <paraID> 66023C6</paraID>
      <start>26</start>
      <end>27</end>
      <status>unmodified</status>
      <modifiedWord/>
      <trackRevisions>false</trackRevisions>
    </reviewItem>
    <reviewItem>
      <errorID>ddf0bdc0-40fe-4cef-927f-8a305d3e99cd</errorID>
      <errorWord>件</errorWord>
      <group>L1_Word</group>
      <groupName>字词问题</groupName>
      <ability>L2_Typo</ability>
      <abilityName>字词错误</abilityName>
      <candidateList>
        <item>件中</item>
      </candidateList>
      <explain/>
      <paraID>62F7EA0F</paraID>
      <start>106</start>
      <end>107</end>
      <status>unmodified</status>
      <modifiedWord/>
      <trackRevisions>false</trackRevisions>
    </reviewItem>
    <reviewItem>
      <errorID>e9cd5e52-9e6c-4cdb-8ecb-154e178a9d8d</errorID>
      <errorWord>位</errorWord>
      <group>L1_Word</group>
      <groupName>字词问题</groupName>
      <ability>L2_Typo</ability>
      <abilityName>字词错误</abilityName>
      <candidateList>
        <item>位公</item>
      </candidateList>
      <explain/>
      <paraID>62F7EA0F</paraID>
      <start>110</start>
      <end>111</end>
      <status>unmodified</status>
      <modifiedWord/>
      <trackRevisions>false</trackRevisions>
    </reviewItem>
    <reviewItem>
      <errorID>1e163f6f-192e-4250-aa9b-50c9992bd2ed</errorID>
      <errorWord>位</errorWord>
      <group>L1_Word</group>
      <groupName>字词问题</groupName>
      <ability>L2_Typo</ability>
      <abilityName>字词错误</abilityName>
      <candidateList>
        <item>位公</item>
      </candidateList>
      <explain/>
      <paraID> 337F9BA</paraID>
      <start>31</start>
      <end>32</end>
      <status>unmodified</status>
      <modifiedWord/>
      <trackRevisions>false</trackRevisions>
    </reviewItem>
    <reviewItem>
      <errorID>c3af0784-65dc-4e0d-b2c4-7a880e4a84e4</errorID>
      <errorWord>第一章 </errorWord>
      <group>L1_AI</group>
      <groupName>深度校对</groupName>
      <ability>L2_AI_Grammar</ability>
      <abilityName>语法纠错</abilityName>
      <candidateList>
        <item>一、</item>
      </candidateList>
      <explain/>
      <paraID> 53560AD</paraID>
      <start>28</start>
      <end>32</end>
      <status>unmodified</status>
      <modifiedWord/>
      <trackRevisions>false</trackRevisions>
    </reviewItem>
    <reviewItem>
      <errorID>5c9106a0-b77e-41ff-b4cd-5d7e2fafc29b</errorID>
      <errorWord>第一章 </errorWord>
      <group>L1_AI</group>
      <groupName>深度校对</groupName>
      <ability>L2_AI_Grammar</ability>
      <abilityName>语法纠错</abilityName>
      <candidateList>
        <item>二、</item>
      </candidateList>
      <explain/>
      <paraID>342B10A2</paraID>
      <start>28</start>
      <end>32</end>
      <status>unmodified</status>
      <modifiedWord/>
      <trackRevisions>false</trackRevisions>
    </reviewItem>
    <reviewItem>
      <errorID>e66a8dd5-aecc-4778-81f0-90796bd351fc</errorID>
      <errorWord>第一章 </errorWord>
      <group>L1_AI</group>
      <groupName>深度校对</groupName>
      <ability>L2_AI_Grammar</ability>
      <abilityName>语法纠错</abilityName>
      <candidateList>
        <item>三、</item>
      </candidateList>
      <explain/>
      <paraID>3CA7805F</paraID>
      <start>28</start>
      <end>32</end>
      <status>unmodified</status>
      <modifiedWord/>
      <trackRevisions>false</trackRevisions>
    </reviewItem>
    <reviewItem>
      <errorID>5561dc0d-89cf-48cc-b6cb-bd53b7f8e8f9</errorID>
      <errorWord>(</errorWord>
      <group>L1_Format</group>
      <groupName>格式问题</groupName>
      <ability>L2_HalfPunc</ability>
      <abilityName>全半角检查</abilityName>
      <candidateList>
        <item>（</item>
      </candidateList>
      <explain>文本全半角错误。</explain>
      <paraID>3CA7805F</paraID>
      <start>37</start>
      <end>38</end>
      <status>unmodified</status>
      <modifiedWord/>
      <trackRevisions>false</trackRevisions>
    </reviewItem>
    <reviewItem>
      <errorID>278eb9a8-5bdf-4642-af3a-f7baf4e96d6d</errorID>
      <errorWord>第二章 </errorWord>
      <group>L1_AI</group>
      <groupName>深度校对</groupName>
      <ability>L2_AI_Grammar</ability>
      <abilityName>语法纠错</abilityName>
      <candidateList>
        <item>四、</item>
      </candidateList>
      <explain/>
      <paraID>776C336E</paraID>
      <start>28</start>
      <end>32</end>
      <status>unmodified</status>
      <modifiedWord/>
      <trackRevisions>false</trackRevisions>
    </reviewItem>
    <reviewItem>
      <errorID>a41f426c-6c6a-4c58-ac2d-c2ed666f2040</errorID>
      <errorWord>第三章 </errorWord>
      <group>L1_AI</group>
      <groupName>深度校对</groupName>
      <ability>L2_AI_Grammar</ability>
      <abilityName>语法纠错</abilityName>
      <candidateList>
        <item>五、</item>
      </candidateList>
      <explain/>
      <paraID>7172071F</paraID>
      <start>28</start>
      <end>32</end>
      <status>unmodified</status>
      <modifiedWord/>
      <trackRevisions>false</trackRevisions>
    </reviewItem>
    <reviewItem>
      <errorID>f007188a-cf3d-4c04-a266-b19d09504521</errorID>
      <errorWord>第三章 </errorWord>
      <group>L1_AI</group>
      <groupName>深度校对</groupName>
      <ability>L2_AI_Grammar</ability>
      <abilityName>语法纠错</abilityName>
      <candidateList>
        <item>六、</item>
      </candidateList>
      <explain/>
      <paraID>6A69643E</paraID>
      <start>28</start>
      <end>32</end>
      <status>unmodified</status>
      <modifiedWord/>
      <trackRevisions>false</trackRevisions>
    </reviewItem>
    <reviewItem>
      <errorID>bedea5b8-c55f-4cf2-b91d-80d690d06c35</errorID>
      <errorWord>第三章 </errorWord>
      <group>L1_AI</group>
      <groupName>深度校对</groupName>
      <ability>L2_AI_Grammar</ability>
      <abilityName>语法纠错</abilityName>
      <candidateList>
        <item>七、</item>
      </candidateList>
      <explain/>
      <paraID>17DD4EC9</paraID>
      <start>28</start>
      <end>32</end>
      <status>unmodified</status>
      <modifiedWord/>
      <trackRevisions>false</trackRevisions>
    </reviewItem>
    <reviewItem>
      <errorID>53462efa-efa4-4d86-8413-44872dd51409</errorID>
      <errorWord>)</errorWord>
      <group>L1_AI</group>
      <groupName>深度校对</groupName>
      <ability>L2_AI_Punc</ability>
      <abilityName>标点纠错</abilityName>
      <candidateList>
        <item>）</item>
      </candidateList>
      <explain/>
      <paraID>17DD4EC9</paraID>
      <start>50</start>
      <end>51</end>
      <status>unmodified</status>
      <modifiedWord/>
      <trackRevisions>false</trackRevisions>
    </reviewItem>
    <reviewItem>
      <errorID>05193e09-877d-4ee7-9593-5940c8f22542</errorID>
      <errorWord>第三章 </errorWord>
      <group>L1_AI</group>
      <groupName>深度校对</groupName>
      <ability>L2_AI_Grammar</ability>
      <abilityName>语法纠错</abilityName>
      <candidateList>
        <item>八、</item>
      </candidateList>
      <explain/>
      <paraID>39A56CE1</paraID>
      <start>28</start>
      <end>32</end>
      <status>unmodified</status>
      <modifiedWord/>
      <trackRevisions>false</trackRevisions>
    </reviewItem>
    <reviewItem>
      <errorID>886d5207-a808-4cdd-9224-244b7e4a7f65</errorID>
      <errorWord>第四章 </errorWord>
      <group>L1_AI</group>
      <groupName>深度校对</groupName>
      <ability>L2_AI_Grammar</ability>
      <abilityName>语法纠错</abilityName>
      <candidateList>
        <item>九、</item>
      </candidateList>
      <explain/>
      <paraID>3E470084</paraID>
      <start>29</start>
      <end>33</end>
      <status>unmodified</status>
      <modifiedWord/>
      <trackRevisions>false</trackRevisions>
    </reviewItem>
    <reviewItem>
      <errorID>26fa026b-0afc-4abf-a232-b70c6a9896e8</errorID>
      <errorWord>第五章 </errorWord>
      <group>L1_AI</group>
      <groupName>深度校对</groupName>
      <ability>L2_AI_Grammar</ability>
      <abilityName>语法纠错</abilityName>
      <candidateList>
        <item>十、</item>
      </candidateList>
      <explain/>
      <paraID> 33D0E5D</paraID>
      <start>29</start>
      <end>33</end>
      <status>unmodified</status>
      <modifiedWord/>
      <trackRevisions>false</trackRevisions>
    </reviewItem>
    <reviewItem>
      <errorID>abf3c667-adc1-4a7e-a746-9690486dab6d</errorID>
      <errorWord>第六章 </errorWord>
      <group>L1_AI</group>
      <groupName>深度校对</groupName>
      <ability>L2_AI_Word</ability>
      <abilityName>字词纠错</abilityName>
      <candidateList>
        <item>十一、</item>
      </candidateList>
      <explain/>
      <paraID>2E74B81D</paraID>
      <start>29</start>
      <end>33</end>
      <status>unmodified</status>
      <modifiedWord/>
      <trackRevisions>false</trackRevisions>
    </reviewItem>
    <reviewItem>
      <errorID>bdf0f189-cb9e-42a7-b776-6318218906be</errorID>
      <errorWord>)</errorWord>
      <group>L1_Format</group>
      <groupName>格式问题</groupName>
      <ability>L2_HalfPunc</ability>
      <abilityName>全半角检查</abilityName>
      <candidateList>
        <item>）</item>
      </candidateList>
      <explain>文本全半角错误。</explain>
      <paraID>2E74B81D</paraID>
      <start>38</start>
      <end>39</end>
      <status>unmodified</status>
      <modifiedWord/>
      <trackRevisions>false</trackRevisions>
    </reviewItem>
    <reviewItem>
      <errorID>b0e838b9-59eb-4fa9-826f-165fb7c1502d</errorID>
      <errorWord>第七章 </errorWord>
      <group>L1_AI</group>
      <groupName>深度校对</groupName>
      <ability>L2_AI_Word</ability>
      <abilityName>字词纠错</abilityName>
      <candidateList>
        <item>十二、</item>
      </candidateList>
      <explain/>
      <paraID>57BE1FAC</paraID>
      <start>29</start>
      <end>33</end>
      <status>unmodified</status>
      <modifiedWord/>
      <trackRevisions>false</trackRevisions>
    </reviewItem>
    <reviewItem>
      <errorID>4902f936-202f-46af-939e-f2ff404a3570</errorID>
      <errorWord>)</errorWord>
      <group>L1_Format</group>
      <groupName>格式问题</groupName>
      <ability>L2_HalfPunc</ability>
      <abilityName>全半角检查</abilityName>
      <candidateList>
        <item>）</item>
      </candidateList>
      <explain>文本全半角错误。</explain>
      <paraID>57BE1FAC</paraID>
      <start>40</start>
      <end>41</end>
      <status>unmodified</status>
      <modifiedWord/>
      <trackRevisions>false</trackRevisions>
    </reviewItem>
    <reviewItem>
      <errorID>f431cc8a-45f2-4dc8-bc9c-99f150b959f9</errorID>
      <errorWord>第八章 </errorWord>
      <group>L1_AI</group>
      <groupName>深度校对</groupName>
      <ability>L2_AI_Word</ability>
      <abilityName>字词纠错</abilityName>
      <candidateList>
        <item>十三、</item>
      </candidateList>
      <explain/>
      <paraID>77FA1776</paraID>
      <start>29</start>
      <end>33</end>
      <status>unmodified</status>
      <modifiedWord/>
      <trackRevisions>false</trackRevisions>
    </reviewItem>
    <reviewItem>
      <errorID>e26953f6-d698-464b-b1f4-1600655bfc98</errorID>
      <errorWord>第九章 </errorWord>
      <group>L1_AI</group>
      <groupName>深度校对</groupName>
      <ability>L2_AI_Word</ability>
      <abilityName>字词纠错</abilityName>
      <candidateList>
        <item>十四、</item>
      </candidateList>
      <explain/>
      <paraID>43FE123E</paraID>
      <start>29</start>
      <end>33</end>
      <status>unmodified</status>
      <modifiedWord/>
      <trackRevisions>false</trackRevisions>
    </reviewItem>
    <reviewItem>
      <errorID>3768f5e3-70fa-4af7-9bc9-48762302706e</errorID>
      <errorWord>(</errorWord>
      <group>L1_Format</group>
      <groupName>格式问题</groupName>
      <ability>L2_HalfPunc</ability>
      <abilityName>全半角检查</abilityName>
      <candidateList>
        <item>（</item>
      </candidateList>
      <explain>文本全半角错误。</explain>
      <paraID>75DDC224</paraID>
      <start>2</start>
      <end>3</end>
      <status>unmodified</status>
      <modifiedWord/>
      <trackRevisions>false</trackRevisions>
    </reviewItem>
    <reviewItem>
      <errorID>c38701ab-3e9c-45b0-8528-8bea94671197</errorID>
      <errorWord>)</errorWord>
      <group>L1_Format</group>
      <groupName>格式问题</groupName>
      <ability>L2_HalfPunc</ability>
      <abilityName>全半角检查</abilityName>
      <candidateList>
        <item>）</item>
      </candidateList>
      <explain>文本全半角错误。</explain>
      <paraID>75DDC224</paraID>
      <start>7</start>
      <end>8</end>
      <status>unmodified</status>
      <modifiedWord/>
      <trackRevisions>false</trackRevisions>
    </reviewItem>
    <reviewItem>
      <errorID>8ec8e645-a2a3-41cc-b410-ed88ca683691</errorID>
      <errorWord>“/</errorWord>
      <group>L1_Punc</group>
      <groupName>标点问题</groupName>
      <ability>L2_Punc</ability>
      <abilityName>标点符号检查</abilityName>
      <candidateList>
        <item>“</item>
      </candidateList>
      <explain/>
      <paraID>276D449C</paraID>
      <start>18</start>
      <end>20</end>
      <status>unmodified</status>
      <modifiedWord/>
      <trackRevisions>false</trackRevisions>
    </reviewItem>
    <reviewItem>
      <errorID>1f54bd87-151e-4c8e-ad07-2ddecd701b37</errorID>
      <errorWord>(</errorWord>
      <group>L1_Format</group>
      <groupName>格式问题</groupName>
      <ability>L2_HalfPunc</ability>
      <abilityName>全半角检查</abilityName>
      <candidateList>
        <item>（</item>
      </candidateList>
      <explain>文本全半角错误。</explain>
      <paraID>33EFEDF3</paraID>
      <start>2</start>
      <end>3</end>
      <status>unmodified</status>
      <modifiedWord/>
      <trackRevisions>false</trackRevisions>
    </reviewItem>
    <reviewItem>
      <errorID>7c8be054-981b-45fc-a8ed-d228edc00b2e</errorID>
      <errorWord>“/</errorWord>
      <group>L1_Punc</group>
      <groupName>标点问题</groupName>
      <ability>L2_Punc</ability>
      <abilityName>标点符号检查</abilityName>
      <candidateList>
        <item>“</item>
      </candidateList>
      <explain/>
      <paraID>6BE8F880</paraID>
      <start>5</start>
      <end>7</end>
      <status>unmodified</status>
      <modifiedWord/>
      <trackRevisions>false</trackRevisions>
    </reviewItem>
    <reviewItem>
      <errorID>5664071f-80d1-418b-aeab-a79572300e1c</errorID>
      <errorWord>(</errorWord>
      <group>L1_Format</group>
      <groupName>格式问题</groupName>
      <ability>L2_HalfPunc</ability>
      <abilityName>全半角检查</abilityName>
      <candidateList>
        <item>（</item>
      </candidateList>
      <explain>文本全半角错误。</explain>
      <paraID>4A588655</paraID>
      <start>10</start>
      <end>11</end>
      <status>unmodified</status>
      <modifiedWord/>
      <trackRevisions>false</trackRevisions>
    </reviewItem>
    <reviewItem>
      <errorID>c4165e14-7a76-41c2-a03b-9de6f15dcb8d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6AD98620</paraID>
      <start>0</start>
      <end>3</end>
      <status>unmodified</status>
      <modifiedWord/>
      <trackRevisions>false</trackRevisions>
    </reviewItem>
    <reviewItem>
      <errorID>6837f18b-44b2-4c59-8659-fbb84ccea4eb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14DC44D7</paraID>
      <start>0</start>
      <end>3</end>
      <status>unmodified</status>
      <modifiedWord/>
      <trackRevisions>false</trackRevisions>
    </reviewItem>
    <reviewItem>
      <errorID>a88b5cf2-2a66-4611-b948-5cc64e03755a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41B63E4E</paraID>
      <start>0</start>
      <end>3</end>
      <status>unmodified</status>
      <modifiedWord/>
      <trackRevisions>false</trackRevisions>
    </reviewItem>
    <reviewItem>
      <errorID>0bdd0e86-7934-4a11-a354-ad051b758b40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39950B95</paraID>
      <start>0</start>
      <end>3</end>
      <status>unmodified</status>
      <modifiedWord/>
      <trackRevisions>false</trackRevisions>
    </reviewItem>
    <reviewItem>
      <errorID>8ec7aa01-563b-4744-bad5-76fee96c9003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35C85D7C</paraID>
      <start>0</start>
      <end>3</end>
      <status>unmodified</status>
      <modifiedWord/>
      <trackRevisions>false</trackRevisions>
    </reviewItem>
    <reviewItem>
      <errorID>e05b85cd-7175-4984-94c4-b879759c0b63</errorID>
      <errorWord> ;</errorWord>
      <group>L1_AI</group>
      <groupName>深度校对</groupName>
      <ability>L2_AI_Punc</ability>
      <abilityName>标点纠错</abilityName>
      <candidateList>
        <item>。</item>
      </candidateList>
      <explain/>
      <paraID>35C85D7C</paraID>
      <start>33</start>
      <end>35</end>
      <status>unmodified</status>
      <modifiedWord/>
      <trackRevisions>false</trackRevisions>
    </reviewItem>
    <reviewItem>
      <errorID>ffa5a177-737e-4006-8313-8b74db92e1de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4076FBC6</paraID>
      <start>0</start>
      <end>3</end>
      <status>unmodified</status>
      <modifiedWord/>
      <trackRevisions>false</trackRevisions>
    </reviewItem>
    <reviewItem>
      <errorID>f2fa9925-210b-4e15-b3ec-0aeef43971b5</errorID>
      <errorWord>；</errorWord>
      <group>L1_AI</group>
      <groupName>深度校对</groupName>
      <ability>L2_AI_Punc</ability>
      <abilityName>标点纠错</abilityName>
      <candidateList>
        <item>。</item>
      </candidateList>
      <explain/>
      <paraID>4076FBC6</paraID>
      <start>70</start>
      <end>71</end>
      <status>unmodified</status>
      <modifiedWord/>
      <trackRevisions>false</trackRevisions>
    </reviewItem>
    <reviewItem>
      <errorID>1693b857-fc92-42ca-8f55-10a08f403797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11A9DBCE</paraID>
      <start>0</start>
      <end>3</end>
      <status>unmodified</status>
      <modifiedWord/>
      <trackRevisions>false</trackRevisions>
    </reviewItem>
    <reviewItem>
      <errorID>af887c6b-afe1-4bf4-a98f-0a06530ea8a5</errorID>
      <errorWord>格</errorWord>
      <group>L1_Word</group>
      <groupName>字词问题</groupName>
      <ability>L2_Typo</ability>
      <abilityName>字词错误</abilityName>
      <candidateList>
        <item>格和</item>
      </candidateList>
      <explain/>
      <paraID> 20E6069</paraID>
      <start>3</start>
      <end>4</end>
      <status>unmodified</status>
      <modifiedWord/>
      <trackRevisions>false</trackRevisions>
    </reviewItem>
    <reviewItem>
      <errorID>93ea7629-5d40-4d83-bf69-63b17c86418d</errorID>
      <errorWord>(</errorWord>
      <group>L1_Punc</group>
      <groupName>标点问题</groupName>
      <ability>L2_Punc</ability>
      <abilityName>标点符号检查</abilityName>
      <candidateList>
        <item/>
      </candidateList>
      <explain>同一形式括号套用。</explain>
      <paraID>386357C1</paraID>
      <start>12</start>
      <end>13</end>
      <status>unmodified</status>
      <modifiedWord/>
      <trackRevisions>false</trackRevisions>
    </reviewItem>
    <reviewItem>
      <errorID>77d18c46-d611-4ffb-b750-01bae4b03304</errorID>
      <errorWord>（</errorWord>
      <group>L1_Punc</group>
      <groupName>标点问题</groupName>
      <ability>L2_Punc</ability>
      <abilityName>标点符号检查</abilityName>
      <candidateList/>
      <explain>同一形式括号套用。</explain>
      <paraID>1B876552</paraID>
      <start>33</start>
      <end>34</end>
      <status>unmodified</status>
      <modifiedWord/>
      <trackRevisions>false</trackRevisions>
    </reviewItem>
    <reviewItem>
      <errorID>db78a197-e23a-423d-b4e8-a112a13d3ac8</errorID>
      <errorWord>）</errorWord>
      <group>L1_Punc</group>
      <groupName>标点问题</groupName>
      <ability>L2_Punc</ability>
      <abilityName>标点符号检查</abilityName>
      <candidateList/>
      <explain>同一形式括号套用。</explain>
      <paraID>1B876552</paraID>
      <start>49</start>
      <end>50</end>
      <status>unmodified</status>
      <modifiedWord/>
      <trackRevisions>false</trackRevisions>
    </reviewItem>
    <reviewItem>
      <errorID>9cef7968-40f6-4427-8537-fb3314dc9892</errorID>
      <errorWord>（</errorWord>
      <group>L1_Punc</group>
      <groupName>标点问题</groupName>
      <ability>L2_Punc</ability>
      <abilityName>标点符号检查</abilityName>
      <candidateList/>
      <explain>同一形式括号套用。</explain>
      <paraID>1B876552</paraID>
      <start>98</start>
      <end>99</end>
      <status>unmodified</status>
      <modifiedWord/>
      <trackRevisions>false</trackRevisions>
    </reviewItem>
    <reviewItem>
      <errorID>496dff95-0bb7-4a79-b90b-720c0d787510</errorID>
      <errorWord>）</errorWord>
      <group>L1_Punc</group>
      <groupName>标点问题</groupName>
      <ability>L2_Punc</ability>
      <abilityName>标点符号检查</abilityName>
      <candidateList/>
      <explain>同一形式括号套用。</explain>
      <paraID>1B876552</paraID>
      <start>114</start>
      <end>115</end>
      <status>unmodified</status>
      <modifiedWord/>
      <trackRevisions>false</trackRevisions>
    </reviewItem>
    <reviewItem>
      <errorID>58060d40-ae18-4da4-807d-1e766cc72135</errorID>
      <errorWord>（</errorWord>
      <group>L1_Punc</group>
      <groupName>标点问题</groupName>
      <ability>L2_Punc</ability>
      <abilityName>标点符号检查</abilityName>
      <candidateList/>
      <explain>同一形式括号套用。</explain>
      <paraID>7854B73E</paraID>
      <start>5</start>
      <end>6</end>
      <status>unmodified</status>
      <modifiedWord/>
      <trackRevisions>false</trackRevisions>
    </reviewItem>
    <reviewItem>
      <errorID>38a030ee-4ed2-47b0-98f5-4122ef434517</errorID>
      <errorWord>）</errorWord>
      <group>L1_Punc</group>
      <groupName>标点问题</groupName>
      <ability>L2_Punc</ability>
      <abilityName>标点符号检查</abilityName>
      <candidateList/>
      <explain>同一形式括号套用。</explain>
      <paraID>7854B73E</paraID>
      <start>18</start>
      <end>19</end>
      <status>unmodified</status>
      <modifiedWord/>
      <trackRevisions>false</trackRevisions>
    </reviewItem>
    <reviewItem>
      <errorID>000f56c3-fc56-45df-96ce-9580de2f94f6</errorID>
      <errorWord>)</errorWord>
      <group>L1_Punc</group>
      <groupName>标点问题</groupName>
      <ability>L2_Punc</ability>
      <abilityName>标点符号检查</abilityName>
      <candidateList/>
      <explain>同一形式括号套用。</explain>
      <paraID> D9B0FC5</paraID>
      <start>16</start>
      <end>17</end>
      <status>unmodified</status>
      <modifiedWord/>
      <trackRevisions>false</trackRevisions>
    </reviewItem>
    <reviewItem>
      <errorID>b8a47337-1d6b-45c4-9ea5-6559e15c1e8b</errorID>
      <errorWord>(</errorWord>
      <group>L1_Format</group>
      <groupName>格式问题</groupName>
      <ability>L2_HalfPunc</ability>
      <abilityName>全半角检查</abilityName>
      <candidateList>
        <item>（</item>
      </candidateList>
      <explain>文本全半角错误。</explain>
      <paraID>6A5FF0C3</paraID>
      <start>13</start>
      <end>14</end>
      <status>unmodified</status>
      <modifiedWord/>
      <trackRevisions>false</trackRevisions>
    </reviewItem>
    <reviewItem>
      <errorID>e20cf44a-f57e-4192-8292-45247e7aa1ac</errorID>
      <errorWord>)</errorWord>
      <group>L1_Format</group>
      <groupName>格式问题</groupName>
      <ability>L2_HalfPunc</ability>
      <abilityName>全半角检查</abilityName>
      <candidateList>
        <item>）</item>
      </candidateList>
      <explain>文本全半角错误。</explain>
      <paraID>6A5FF0C3</paraID>
      <start>18</start>
      <end>19</end>
      <status>unmodified</status>
      <modifiedWord/>
      <trackRevisions>false</trackRevisions>
    </reviewItem>
    <reviewItem>
      <errorID>6df3f69c-2b6a-497e-943b-ff85343c41fa</errorID>
      <errorWord>(</errorWord>
      <group>L1_Format</group>
      <groupName>格式问题</groupName>
      <ability>L2_HalfPunc</ability>
      <abilityName>全半角检查</abilityName>
      <candidateList>
        <item>（</item>
      </candidateList>
      <explain>文本全半角错误。</explain>
      <paraID>6A5FF0C3</paraID>
      <start>26</start>
      <end>27</end>
      <status>unmodified</status>
      <modifiedWord/>
      <trackRevisions>false</trackRevisions>
    </reviewItem>
    <reviewItem>
      <errorID>87c6eb6d-476a-4a7a-ab0f-6d4e3e7b52f5</errorID>
      <errorWord>)</errorWord>
      <group>L1_Format</group>
      <groupName>格式问题</groupName>
      <ability>L2_HalfPunc</ability>
      <abilityName>全半角检查</abilityName>
      <candidateList>
        <item>）</item>
      </candidateList>
      <explain>文本全半角错误。</explain>
      <paraID>6A5FF0C3</paraID>
      <start>41</start>
      <end>42</end>
      <status>unmodified</status>
      <modifiedWord/>
      <trackRevisions>false</trackRevisions>
    </reviewItem>
    <reviewItem>
      <errorID>ca1827af-65d8-48aa-9bf5-fe3c1de1cd3f</errorID>
      <errorWord>(</errorWord>
      <group>L1_Format</group>
      <groupName>格式问题</groupName>
      <ability>L2_HalfPunc</ability>
      <abilityName>全半角检查</abilityName>
      <candidateList>
        <item>（</item>
      </candidateList>
      <explain>文本全半角错误。</explain>
      <paraID>6A5FF0C3</paraID>
      <start>46</start>
      <end>47</end>
      <status>unmodified</status>
      <modifiedWord/>
      <trackRevisions>false</trackRevisions>
    </reviewItem>
    <reviewItem>
      <errorID>7a6d12f5-1b40-4ff2-943f-1747708523fe</errorID>
      <errorWord>)</errorWord>
      <group>L1_Format</group>
      <groupName>格式问题</groupName>
      <ability>L2_HalfPunc</ability>
      <abilityName>全半角检查</abilityName>
      <candidateList>
        <item>）</item>
      </candidateList>
      <explain>文本全半角错误。</explain>
      <paraID>6A5FF0C3</paraID>
      <start>54</start>
      <end>55</end>
      <status>unmodified</status>
      <modifiedWord/>
      <trackRevisions>false</trackRevisions>
    </reviewItem>
    <reviewItem>
      <errorID>377d74fb-72ff-4949-9bbc-8371e35a1fc7</errorID>
      <errorWord>(</errorWord>
      <group>L1_Format</group>
      <groupName>格式问题</groupName>
      <ability>L2_HalfPunc</ability>
      <abilityName>全半角检查</abilityName>
      <candidateList>
        <item>（</item>
      </candidateList>
      <explain>文本全半角错误。</explain>
      <paraID>6A5FF0C3</paraID>
      <start>81</start>
      <end>82</end>
      <status>unmodified</status>
      <modifiedWord/>
      <trackRevisions>false</trackRevisions>
    </reviewItem>
    <reviewItem>
      <errorID>5e2aeb11-7b07-4379-81e4-1edb56833bae</errorID>
      <errorWord>)</errorWord>
      <group>L1_Format</group>
      <groupName>格式问题</groupName>
      <ability>L2_HalfPunc</ability>
      <abilityName>全半角检查</abilityName>
      <candidateList>
        <item>）</item>
      </candidateList>
      <explain>文本全半角错误。</explain>
      <paraID>6A5FF0C3</paraID>
      <start>89</start>
      <end>90</end>
      <status>unmodified</status>
      <modifiedWord/>
      <trackRevisions>false</trackRevisions>
    </reviewItem>
    <reviewItem>
      <errorID>ccc2befa-62a6-4a95-b144-c95a6bcae69c</errorID>
      <errorWord>)</errorWord>
      <group>L1_Format</group>
      <groupName>格式问题</groupName>
      <ability>L2_HalfPunc</ability>
      <abilityName>全半角检查</abilityName>
      <candidateList>
        <item>）</item>
      </candidateList>
      <explain>文本全半角错误。</explain>
      <paraID>6E0E161E</paraID>
      <start>168</start>
      <end>169</end>
      <status>unmodified</status>
      <modifiedWord/>
      <trackRevisions>false</trackRevisions>
    </reviewItem>
    <reviewItem>
      <errorID>42767240-84c5-4da8-b3b3-350e9736dd05</errorID>
      <errorWord>,</errorWord>
      <group>L1_Word</group>
      <groupName>字词问题</groupName>
      <ability>L2_Typo</ability>
      <abilityName>字词错误</abilityName>
      <candidateList>
        <item>,在</item>
      </candidateList>
      <explain/>
      <paraID>6E0E161E</paraID>
      <start>169</start>
      <end>170</end>
      <status>unmodified</status>
      <modifiedWord/>
      <trackRevisions>false</trackRevisions>
    </reviewItem>
    <reviewItem>
      <errorID>aaba5577-15c8-4308-8f48-32941bfbf741</errorID>
      <errorWord>,</errorWord>
      <group>L1_Format</group>
      <groupName>格式问题</groupName>
      <ability>L2_HalfPunc</ability>
      <abilityName>全半角检查</abilityName>
      <candidateList>
        <item>，</item>
      </candidateList>
      <explain>文本全半角错误。</explain>
      <paraID>6F0135E1</paraID>
      <start>24</start>
      <end>25</end>
      <status>unmodified</status>
      <modifiedWord/>
      <trackRevisions>false</trackRevisions>
    </reviewItem>
    <reviewItem>
      <errorID>dbcba4a8-77a3-418b-a7f7-f3c0a316cdd8</errorID>
      <errorWord>股东大会</errorWord>
      <group>L1_Word</group>
      <groupName>字词问题</groupName>
      <ability>L2_Typo</ability>
      <abilityName>字词错误</abilityName>
      <candidateList>
        <item>股东会</item>
      </candidateList>
      <explain/>
      <paraID>359C4126</paraID>
      <start>104</start>
      <end>108</end>
      <status>unmodified</status>
      <modifiedWord/>
      <trackRevisions>false</trackRevisions>
    </reviewItem>
    <reviewItem>
      <errorID>630634ff-e264-458d-be40-9f34d1ecae89</errorID>
      <errorWord>(</errorWord>
      <group>L1_Format</group>
      <groupName>格式问题</groupName>
      <ability>L2_HalfPunc</ability>
      <abilityName>全半角检查</abilityName>
      <candidateList>
        <item>（</item>
      </candidateList>
      <explain>文本全半角错误。</explain>
      <paraID> 72752C3</paraID>
      <start>2</start>
      <end>3</end>
      <status>unmodified</status>
      <modifiedWord/>
      <trackRevisions>false</trackRevisions>
    </reviewItem>
    <reviewItem>
      <errorID>41456029-f2c4-4aba-8de6-7d1c3029a379</errorID>
      <errorWord>)</errorWord>
      <group>L1_Format</group>
      <groupName>格式问题</groupName>
      <ability>L2_HalfPunc</ability>
      <abilityName>全半角检查</abilityName>
      <candidateList>
        <item>）</item>
      </candidateList>
      <explain>文本全半角错误。</explain>
      <paraID> 72752C3</paraID>
      <start>5</start>
      <end>6</end>
      <status>unmodified</status>
      <modifiedWord/>
      <trackRevisions>false</trackRevisions>
    </reviewItem>
    <reviewItem>
      <errorID>2bd3d12c-5598-4d65-9972-d90c86f6acf1</errorID>
      <errorWord>(</errorWord>
      <group>L1_Format</group>
      <groupName>格式问题</groupName>
      <ability>L2_HalfPunc</ability>
      <abilityName>全半角检查</abilityName>
      <candidateList>
        <item>（</item>
      </candidateList>
      <explain>文本全半角错误。</explain>
      <paraID>37F04891</paraID>
      <start>1</start>
      <end>2</end>
      <status>unmodified</status>
      <modifiedWord/>
      <trackRevisions>false</trackRevisions>
    </reviewItem>
    <reviewItem>
      <errorID>4e5f9a40-f672-41e4-bb1c-c920f810d58c</errorID>
      <errorWord>)</errorWord>
      <group>L1_Format</group>
      <groupName>格式问题</groupName>
      <ability>L2_HalfPunc</ability>
      <abilityName>全半角检查</abilityName>
      <candidateList>
        <item>）</item>
      </candidateList>
      <explain>文本全半角错误。</explain>
      <paraID>37F04891</paraID>
      <start>6</start>
      <end>7</end>
      <status>unmodified</status>
      <modifiedWord/>
      <trackRevisions>false</trackRevisions>
    </reviewItem>
    <reviewItem>
      <errorID>3bc63bce-8665-4800-83dc-9356e690e3c6</errorID>
      <errorWord>(</errorWord>
      <group>L1_Format</group>
      <groupName>格式问题</groupName>
      <ability>L2_HalfPunc</ability>
      <abilityName>全半角检查</abilityName>
      <candidateList>
        <item>（</item>
      </candidateList>
      <explain>文本全半角错误。</explain>
      <paraID>1E85E249</paraID>
      <start>2</start>
      <end>3</end>
      <status>unmodified</status>
      <modifiedWord/>
      <trackRevisions>false</trackRevisions>
    </reviewItem>
    <reviewItem>
      <errorID>83051d30-7949-40d9-bb31-7b5dd58a70ef</errorID>
      <errorWord>)</errorWord>
      <group>L1_Format</group>
      <groupName>格式问题</groupName>
      <ability>L2_HalfPunc</ability>
      <abilityName>全半角检查</abilityName>
      <candidateList>
        <item>）</item>
      </candidateList>
      <explain>文本全半角错误。</explain>
      <paraID>1E85E249</paraID>
      <start>10</start>
      <end>11</end>
      <status>unmodified</status>
      <modifiedWord/>
      <trackRevisions>false</trackRevisions>
    </reviewItem>
    <reviewItem>
      <errorID>e9fc1ec8-46fd-4437-bb53-1e9ee5569890</errorID>
      <errorWord>(</errorWord>
      <group>L1_Format</group>
      <groupName>格式问题</groupName>
      <ability>L2_HalfPunc</ability>
      <abilityName>全半角检查</abilityName>
      <candidateList>
        <item>（</item>
      </candidateList>
      <explain>文本全半角错误。</explain>
      <paraID>360B879C</paraID>
      <start>16</start>
      <end>17</end>
      <status>unmodified</status>
      <modifiedWord/>
      <trackRevisions>false</trackRevisions>
    </reviewItem>
    <reviewItem>
      <errorID>8996feda-93c7-4d39-b141-5617fefd3931</errorID>
      <errorWord>)</errorWord>
      <group>L1_Format</group>
      <groupName>格式问题</groupName>
      <ability>L2_HalfPunc</ability>
      <abilityName>全半角检查</abilityName>
      <candidateList>
        <item>）</item>
      </candidateList>
      <explain>文本全半角错误。</explain>
      <paraID>360B879C</paraID>
      <start>21</start>
      <end>22</end>
      <status>unmodified</status>
      <modifiedWord/>
      <trackRevisions>false</trackRevisions>
    </reviewItem>
    <reviewItem>
      <errorID>9b6d46da-a26e-418f-8371-c2300fcb4700</errorID>
      <errorWord>(</errorWord>
      <group>L1_Format</group>
      <groupName>格式问题</groupName>
      <ability>L2_HalfPunc</ability>
      <abilityName>全半角检查</abilityName>
      <candidateList>
        <item>（</item>
      </candidateList>
      <explain>文本全半角错误。</explain>
      <paraID>360B879C</paraID>
      <start>31</start>
      <end>32</end>
      <status>unmodified</status>
      <modifiedWord/>
      <trackRevisions>false</trackRevisions>
    </reviewItem>
    <reviewItem>
      <errorID>e6b91924-2aa4-4dd8-8397-6ee29dac7e1b</errorID>
      <errorWord>)</errorWord>
      <group>L1_Format</group>
      <groupName>格式问题</groupName>
      <ability>L2_HalfPunc</ability>
      <abilityName>全半角检查</abilityName>
      <candidateList>
        <item>）</item>
      </candidateList>
      <explain>文本全半角错误。</explain>
      <paraID>360B879C</paraID>
      <start>46</start>
      <end>47</end>
      <status>unmodified</status>
      <modifiedWord/>
      <trackRevisions>false</trackRevisions>
    </reviewItem>
    <reviewItem>
      <errorID>91138f8c-2fd6-4f2b-b982-5e7c165d48c3</errorID>
      <errorWord>(</errorWord>
      <group>L1_Format</group>
      <groupName>格式问题</groupName>
      <ability>L2_HalfPunc</ability>
      <abilityName>全半角检查</abilityName>
      <candidateList>
        <item>（</item>
      </candidateList>
      <explain>文本全半角错误。</explain>
      <paraID>360B879C</paraID>
      <start>63</start>
      <end>64</end>
      <status>unmodified</status>
      <modifiedWord/>
      <trackRevisions>false</trackRevisions>
    </reviewItem>
    <reviewItem>
      <errorID>3ef06f92-050f-49bc-bdab-ddcb70066b00</errorID>
      <errorWord>)</errorWord>
      <group>L1_Format</group>
      <groupName>格式问题</groupName>
      <ability>L2_HalfPunc</ability>
      <abilityName>全半角检查</abilityName>
      <candidateList>
        <item>）</item>
      </candidateList>
      <explain>文本全半角错误。</explain>
      <paraID>360B879C</paraID>
      <start>71</start>
      <end>72</end>
      <status>unmodified</status>
      <modifiedWord/>
      <trackRevisions>false</trackRevisions>
    </reviewItem>
    <reviewItem>
      <errorID>89b929a9-f698-4a37-b694-c4b70fc5e261</errorID>
      <errorWord>(</errorWord>
      <group>L1_Format</group>
      <groupName>格式问题</groupName>
      <ability>L2_HalfPunc</ability>
      <abilityName>全半角检查</abilityName>
      <candidateList>
        <item>（</item>
      </candidateList>
      <explain>文本全半角错误。</explain>
      <paraID>360B879C</paraID>
      <start>116</start>
      <end>117</end>
      <status>unmodified</status>
      <modifiedWord/>
      <trackRevisions>false</trackRevisions>
    </reviewItem>
    <reviewItem>
      <errorID>392d3044-6851-47b1-aafc-9795eca72019</errorID>
      <errorWord>)</errorWord>
      <group>L1_Format</group>
      <groupName>格式问题</groupName>
      <ability>L2_HalfPunc</ability>
      <abilityName>全半角检查</abilityName>
      <candidateList>
        <item>）</item>
      </candidateList>
      <explain>文本全半角错误。</explain>
      <paraID>360B879C</paraID>
      <start>124</start>
      <end>125</end>
      <status>unmodified</status>
      <modifiedWord/>
      <trackRevisions>false</trackRevisions>
    </reviewItem>
    <reviewItem>
      <errorID>73a11331-971b-418e-b8c6-a1575d0a22be</errorID>
      <errorWord>(</errorWord>
      <group>L1_Format</group>
      <groupName>格式问题</groupName>
      <ability>L2_HalfPunc</ability>
      <abilityName>全半角检查</abilityName>
      <candidateList>
        <item>（</item>
      </candidateList>
      <explain>文本全半角错误。</explain>
      <paraID>360B879C</paraID>
      <start>162</start>
      <end>163</end>
      <status>unmodified</status>
      <modifiedWord/>
      <trackRevisions>false</trackRevisions>
    </reviewItem>
    <reviewItem>
      <errorID>4e88741f-6cef-4bfb-b0cf-af347056f5fc</errorID>
      <errorWord>)</errorWord>
      <group>L1_Format</group>
      <groupName>格式问题</groupName>
      <ability>L2_HalfPunc</ability>
      <abilityName>全半角检查</abilityName>
      <candidateList>
        <item>）</item>
      </candidateList>
      <explain>文本全半角错误。</explain>
      <paraID>360B879C</paraID>
      <start>167</start>
      <end>168</end>
      <status>unmodified</status>
      <modifiedWord/>
      <trackRevisions>false</trackRevisions>
    </reviewItem>
    <reviewItem>
      <errorID>14c1d590-efa2-487f-863c-788aa8064423</errorID>
      <errorWord>(</errorWord>
      <group>L1_Format</group>
      <groupName>格式问题</groupName>
      <ability>L2_HalfPunc</ability>
      <abilityName>全半角检查</abilityName>
      <candidateList>
        <item>（</item>
      </candidateList>
      <explain>文本全半角错误。</explain>
      <paraID>360B879C</paraID>
      <start>220</start>
      <end>221</end>
      <status>unmodified</status>
      <modifiedWord/>
      <trackRevisions>false</trackRevisions>
    </reviewItem>
    <reviewItem>
      <errorID>32ed716e-3356-43ce-9cd6-bb4f20e0de03</errorID>
      <errorWord>(</errorWord>
      <group>L1_Format</group>
      <groupName>格式问题</groupName>
      <ability>L2_HalfPunc</ability>
      <abilityName>全半角检查</abilityName>
      <candidateList>
        <item>（</item>
      </candidateList>
      <explain>文本全半角错误。</explain>
      <paraID>75A38B44</paraID>
      <start>2</start>
      <end>3</end>
      <status>unmodified</status>
      <modifiedWord/>
      <trackRevisions>false</trackRevisions>
    </reviewItem>
    <reviewItem>
      <errorID>c6dc2ec3-6074-4a2f-83a5-a98742aa4073</errorID>
      <errorWord>)</errorWord>
      <group>L1_Format</group>
      <groupName>格式问题</groupName>
      <ability>L2_HalfPunc</ability>
      <abilityName>全半角检查</abilityName>
      <candidateList>
        <item>）</item>
      </candidateList>
      <explain>文本全半角错误。</explain>
      <paraID>75A38B44</paraID>
      <start>35</start>
      <end>36</end>
      <status>unmodified</status>
      <modifiedWord/>
      <trackRevisions>false</trackRevisions>
    </reviewItem>
    <reviewItem>
      <errorID>345e74a0-24e9-4166-94ec-cf268202997c</errorID>
      <errorWord>(</errorWord>
      <group>L1_Format</group>
      <groupName>格式问题</groupName>
      <ability>L2_HalfPunc</ability>
      <abilityName>全半角检查</abilityName>
      <candidateList>
        <item>（</item>
      </candidateList>
      <explain>文本全半角错误。</explain>
      <paraID>77830451</paraID>
      <start>12</start>
      <end>13</end>
      <status>unmodified</status>
      <modifiedWord/>
      <trackRevisions>false</trackRevisions>
    </reviewItem>
    <reviewItem>
      <errorID>6c98a55c-e166-45f4-bbfd-1ee71b9f4a60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32295752</paraID>
      <start>0</start>
      <end>3</end>
      <status>unmodified</status>
      <modifiedWord/>
      <trackRevisions>false</trackRevisions>
    </reviewItem>
    <reviewItem>
      <errorID>7c6749df-15d3-4a24-8f95-0c5fde0d0b66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21954FA0</paraID>
      <start>0</start>
      <end>3</end>
      <status>unmodified</status>
      <modifiedWord/>
      <trackRevisions>false</trackRevisions>
    </reviewItem>
    <reviewItem>
      <errorID>cb277365-c2f7-4b37-a1e9-a6774e482aaa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379A8B90</paraID>
      <start>0</start>
      <end>3</end>
      <status>unmodified</status>
      <modifiedWord/>
      <trackRevisions>false</trackRevisions>
    </reviewItem>
    <reviewItem>
      <errorID>1cbd9048-c700-4b69-9caf-a4236c1dd8cb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47312835</paraID>
      <start>0</start>
      <end>3</end>
      <status>unmodified</status>
      <modifiedWord/>
      <trackRevisions>false</trackRevisions>
    </reviewItem>
    <reviewItem>
      <errorID>8b04fcdd-987e-4edc-9a4b-11dd9ebbcde0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6B18B3E7</paraID>
      <start>0</start>
      <end>3</end>
      <status>unmodified</status>
      <modifiedWord/>
      <trackRevisions>false</trackRevisions>
    </reviewItem>
    <reviewItem>
      <errorID>6cea0978-2106-4863-8d26-d4740a94e637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2FDD3705</paraID>
      <start>0</start>
      <end>3</end>
      <status>unmodified</status>
      <modifiedWord/>
      <trackRevisions>false</trackRevisions>
    </reviewItem>
    <reviewItem>
      <errorID>5d4a5080-4ed3-4944-a6d3-81fa3eb2ea10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579D8E8F</paraID>
      <start>0</start>
      <end>3</end>
      <status>unmodified</status>
      <modifiedWord/>
      <trackRevisions>false</trackRevisions>
    </reviewItem>
    <reviewItem>
      <errorID>e85728b3-0aeb-4c4a-a4c5-592fa3c2a1f6</errorID>
      <errorWord>,</errorWord>
      <group>L1_Format</group>
      <groupName>格式问题</groupName>
      <ability>L2_HalfPunc</ability>
      <abilityName>全半角检查</abilityName>
      <candidateList>
        <item>，</item>
      </candidateList>
      <explain>文本全半角错误。</explain>
      <paraID> 6DDC471</paraID>
      <start>63</start>
      <end>64</end>
      <status>unmodified</status>
      <modifiedWord/>
      <trackRevisions>false</trackRevisions>
    </reviewItem>
    <reviewItem>
      <errorID>55e7deaf-d399-41ba-80a8-b2e3a970d74e</errorID>
      <errorWord>分</errorWord>
      <group>L1_Word</group>
      <groupName>字词问题</groupName>
      <ability>L2_Typo</ability>
      <abilityName>字词错误</abilityName>
      <candidateList>
        <item/>
      </candidateList>
      <explain/>
      <paraID>4E16A938</paraID>
      <start>42</start>
      <end>43</end>
      <status>unmodified</status>
      <modifiedWord/>
      <trackRevisions>false</trackRevisions>
    </reviewItem>
    <reviewItem>
      <errorID>64840f96-554d-40a9-b594-a0d0947b6c43</errorID>
      <errorWord>的，</errorWord>
      <group>L1_Word</group>
      <groupName>字词问题</groupName>
      <ability>L2_Typo</ability>
      <abilityName>字词错误</abilityName>
      <candidateList>
        <item>，</item>
      </candidateList>
      <explain/>
      <paraID>243374A8</paraID>
      <start>0</start>
      <end>2</end>
      <status>unmodified</status>
      <modifiedWord/>
      <trackRevisions>false</trackRevisions>
    </reviewItem>
    <reviewItem>
      <errorID>b637079b-9e36-424f-9a17-789ddcce18ef</errorID>
      <errorWord>(</errorWord>
      <group>L1_Format</group>
      <groupName>格式问题</groupName>
      <ability>L2_HalfPunc</ability>
      <abilityName>全半角检查</abilityName>
      <candidateList>
        <item>（</item>
      </candidateList>
      <explain>文本全半角错误。</explain>
      <paraID> 4700071</paraID>
      <start>2</start>
      <end>3</end>
      <status>unmodified</status>
      <modifiedWord/>
      <trackRevisions>false</trackRevisions>
    </reviewItem>
    <reviewItem>
      <errorID>3f3b1c38-a179-4830-a479-20b3e9157336</errorID>
      <errorWord>(</errorWord>
      <group>L1_Format</group>
      <groupName>格式问题</groupName>
      <ability>L2_HalfPunc</ability>
      <abilityName>全半角检查</abilityName>
      <candidateList>
        <item>（</item>
      </candidateList>
      <explain>文本全半角错误。</explain>
      <paraID>2B8BFC38</paraID>
      <start>60</start>
      <end>61</end>
      <status>unmodified</status>
      <modifiedWord/>
      <trackRevisions>false</trackRevisions>
    </reviewItem>
    <reviewItem>
      <errorID>8157415f-ebba-47cd-a187-3139493577a2</errorID>
      <errorWord>(</errorWord>
      <group>L1_Format</group>
      <groupName>格式问题</groupName>
      <ability>L2_HalfPunc</ability>
      <abilityName>全半角检查</abilityName>
      <candidateList>
        <item>（</item>
      </candidateList>
      <explain>文本全半角错误。</explain>
      <paraID>2B8BFC38</paraID>
      <start>100</start>
      <end>101</end>
      <status>unmodified</status>
      <modifiedWord/>
      <trackRevisions>false</trackRevisions>
    </reviewItem>
    <reviewItem>
      <errorID>c9b91233-d795-4220-b776-959bc8b95fa4</errorID>
      <errorWord>(</errorWord>
      <group>L1_Format</group>
      <groupName>格式问题</groupName>
      <ability>L2_HalfPunc</ability>
      <abilityName>全半角检查</abilityName>
      <candidateList>
        <item>（</item>
      </candidateList>
      <explain>文本全半角错误。</explain>
      <paraID>71404D7C</paraID>
      <start>13</start>
      <end>14</end>
      <status>unmodified</status>
      <modifiedWord/>
      <trackRevisions>false</trackRevisions>
    </reviewItem>
    <reviewItem>
      <errorID>bf2988f1-359b-4ad0-9519-1cfd31fb1afc</errorID>
      <errorWord>)</errorWord>
      <group>L1_Format</group>
      <groupName>格式问题</groupName>
      <ability>L2_HalfPunc</ability>
      <abilityName>全半角检查</abilityName>
      <candidateList>
        <item>）</item>
      </candidateList>
      <explain>文本全半角错误。</explain>
      <paraID>71404D7C</paraID>
      <start>18</start>
      <end>19</end>
      <status>unmodified</status>
      <modifiedWord/>
      <trackRevisions>false</trackRevisions>
    </reviewItem>
    <reviewItem>
      <errorID>744aae88-932f-4a6d-b829-e947f583fcac</errorID>
      <errorWord>(</errorWord>
      <group>L1_Format</group>
      <groupName>格式问题</groupName>
      <ability>L2_HalfPunc</ability>
      <abilityName>全半角检查</abilityName>
      <candidateList>
        <item>（</item>
      </candidateList>
      <explain>文本全半角错误。</explain>
      <paraID>14CC2F2A</paraID>
      <start>9</start>
      <end>10</end>
      <status>unmodified</status>
      <modifiedWord/>
      <trackRevisions>false</trackRevisions>
    </reviewItem>
    <reviewItem>
      <errorID>23816f92-cd8d-4a6b-8e55-d1454cac682d</errorID>
      <errorWord>(</errorWord>
      <group>L1_Format</group>
      <groupName>格式问题</groupName>
      <ability>L2_HalfPunc</ability>
      <abilityName>全半角检查</abilityName>
      <candidateList>
        <item>（</item>
      </candidateList>
      <explain>文本全半角错误。</explain>
      <paraID>270CFFBB</paraID>
      <start>2</start>
      <end>3</end>
      <status>unmodified</status>
      <modifiedWord/>
      <trackRevisions>false</trackRevisions>
    </reviewItem>
    <reviewItem>
      <errorID>413daea4-6bfa-453d-841e-df76d1efa113</errorID>
      <errorWord>)</errorWord>
      <group>L1_Format</group>
      <groupName>格式问题</groupName>
      <ability>L2_HalfPunc</ability>
      <abilityName>全半角检查</abilityName>
      <candidateList>
        <item>）</item>
      </candidateList>
      <explain>文本全半角错误。</explain>
      <paraID>270CFFBB</paraID>
      <start>7</start>
      <end>8</end>
      <status>unmodified</status>
      <modifiedWord/>
      <trackRevisions>false</trackRevisions>
    </reviewItem>
    <reviewItem>
      <errorID>b6cb73a4-23d6-49e3-be73-3df381ac0a59</errorID>
      <errorWord>(</errorWord>
      <group>L1_Format</group>
      <groupName>格式问题</groupName>
      <ability>L2_HalfPunc</ability>
      <abilityName>全半角检查</abilityName>
      <candidateList>
        <item>（</item>
      </candidateList>
      <explain>文本全半角错误。</explain>
      <paraID> 8CFA87A</paraID>
      <start>35</start>
      <end>36</end>
      <status>unmodified</status>
      <modifiedWord/>
      <trackRevisions>false</trackRevisions>
    </reviewItem>
    <reviewItem>
      <errorID>b2efc1e7-7163-4f6c-87a8-079d00708b28</errorID>
      <errorWord>如如</errorWord>
      <group>L1_Word</group>
      <groupName>字词问题</groupName>
      <ability>L2_Typo</ability>
      <abilityName>字词错误</abilityName>
      <candidateList>
        <item>如</item>
      </candidateList>
      <explain/>
      <paraID>6A85A518</paraID>
      <start>186</start>
      <end>188</end>
      <status>unmodified</status>
      <modifiedWord/>
      <trackRevisions>false</trackRevisions>
    </reviewItem>
    <reviewItem>
      <errorID>1f4ed965-0b8b-490a-8bb3-6e5ddcad3bee</errorID>
      <errorWord>(</errorWord>
      <group>L1_Format</group>
      <groupName>格式问题</groupName>
      <ability>L2_HalfPunc</ability>
      <abilityName>全半角检查</abilityName>
      <candidateList>
        <item>（</item>
      </candidateList>
      <explain>文本全半角错误。</explain>
      <paraID>1D6FAE8B</paraID>
      <start>2</start>
      <end>3</end>
      <status>unmodified</status>
      <modifiedWord/>
      <trackRevisions>false</trackRevisions>
    </reviewItem>
    <reviewItem>
      <errorID>0b457715-a359-4a73-8848-5303932132f8</errorID>
      <errorWord>(</errorWord>
      <group>L1_Format</group>
      <groupName>格式问题</groupName>
      <ability>L2_HalfPunc</ability>
      <abilityName>全半角检查</abilityName>
      <candidateList>
        <item>（</item>
      </candidateList>
      <explain>文本全半角错误。</explain>
      <paraID>7F1651B5</paraID>
      <start>60</start>
      <end>61</end>
      <status>unmodified</status>
      <modifiedWord/>
      <trackRevisions>false</trackRevisions>
    </reviewItem>
    <reviewItem>
      <errorID>c773a79e-6472-4da9-bc98-24f355721052</errorID>
      <errorWord>(</errorWord>
      <group>L1_Format</group>
      <groupName>格式问题</groupName>
      <ability>L2_HalfPunc</ability>
      <abilityName>全半角检查</abilityName>
      <candidateList>
        <item>（</item>
      </candidateList>
      <explain>文本全半角错误。</explain>
      <paraID>7F1651B5</paraID>
      <start>101</start>
      <end>102</end>
      <status>unmodified</status>
      <modifiedWord/>
      <trackRevisions>false</trackRevisions>
    </reviewItem>
    <reviewItem>
      <errorID>937c33d5-d7c1-4f77-adee-a8b1f01c1c44</errorID>
      <errorWord>(</errorWord>
      <group>L1_Format</group>
      <groupName>格式问题</groupName>
      <ability>L2_HalfPunc</ability>
      <abilityName>全半角检查</abilityName>
      <candidateList>
        <item>（</item>
      </candidateList>
      <explain>文本全半角错误。</explain>
      <paraID>7DB5C541</paraID>
      <start>13</start>
      <end>14</end>
      <status>unmodified</status>
      <modifiedWord/>
      <trackRevisions>false</trackRevisions>
    </reviewItem>
    <reviewItem>
      <errorID>6fa8b776-0930-4d50-8c9e-bb3ed4b2277a</errorID>
      <errorWord>)</errorWord>
      <group>L1_Format</group>
      <groupName>格式问题</groupName>
      <ability>L2_HalfPunc</ability>
      <abilityName>全半角检查</abilityName>
      <candidateList>
        <item>）</item>
      </candidateList>
      <explain>文本全半角错误。</explain>
      <paraID>7DB5C541</paraID>
      <start>18</start>
      <end>19</end>
      <status>unmodified</status>
      <modifiedWord/>
      <trackRevisions>false</trackRevisions>
    </reviewItem>
    <reviewItem>
      <errorID>bab3aac9-6d9a-49dd-8474-31abb245252e</errorID>
      <errorWord>文</errorWord>
      <group>L1_Word</group>
      <groupName>字词问题</groupName>
      <ability>L2_Typo</ability>
      <abilityName>字词错误</abilityName>
      <candidateList>
        <item>文件</item>
      </candidateList>
      <explain/>
      <paraID>35720D19</paraID>
      <start>9</start>
      <end>10</end>
      <status>unmodified</status>
      <modifiedWord/>
      <trackRevisions>false</trackRevisions>
    </reviewItem>
    <reviewItem>
      <errorID>a2dc2ef8-52da-4845-a10a-66e08e0d8148</errorID>
      <errorWord>天</errorWord>
      <group>L1_Word</group>
      <groupName>字词问题</groupName>
      <ability>L2_Typo</ability>
      <abilityName>字词错误</abilityName>
      <candidateList>
        <item/>
      </candidateList>
      <explain/>
      <paraID>3B272B1C</paraID>
      <start>17</start>
      <end>18</end>
      <status>unmodified</status>
      <modifiedWord/>
      <trackRevisions>false</trackRevisions>
    </reviewItem>
    <reviewItem>
      <errorID>80472cfb-05a6-440d-a4db-9f8eefcf36e0</errorID>
      <errorWord>的</errorWord>
      <group>L1_Word</group>
      <groupName>字词问题</groupName>
      <ability>L2_Typo</ability>
      <abilityName>字词错误</abilityName>
      <candidateList>
        <item>的情</item>
      </candidateList>
      <explain/>
      <paraID>12195912</paraID>
      <start>8</start>
      <end>9</end>
      <status>unmodified</status>
      <modifiedWord/>
      <trackRevisions>false</trackRevisions>
    </reviewItem>
    <reviewItem>
      <errorID>ae16625f-bc2f-48c3-a4a6-6c2ba8b98c60</errorID>
      <errorWord>承</errorWord>
      <group>L1_Word</group>
      <groupName>字词问题</groupName>
      <ability>L2_Typo</ability>
      <abilityName>字词错误</abilityName>
      <candidateList>
        <item>承担</item>
      </candidateList>
      <explain>〈动〉担负；担当：～义务｜～责任。</explain>
      <paraID>675A9A9B</paraID>
      <start>50</start>
      <end>51</end>
      <status>unmodified</status>
      <modifiedWord/>
      <trackRevisions>false</trackRevisions>
    </reviewItem>
    <reviewItem>
      <errorID>23e45e1b-693e-4f1f-ab34-bda9ab831325</errorID>
      <errorWord>的</errorWord>
      <group>L1_Word</group>
      <groupName>字词问题</groupName>
      <ability>L2_Typo</ability>
      <abilityName>字词错误</abilityName>
      <candidateList>
        <item>的情</item>
      </candidateList>
      <explain/>
      <paraID>16B94F9E</paraID>
      <start>8</start>
      <end>9</end>
      <status>unmodified</status>
      <modifiedWord/>
      <trackRevisions>false</trackRevisions>
    </reviewItem>
    <reviewItem>
      <errorID>c9e053a2-c44a-4e7e-a9b6-51f39ff73895</errorID>
      <errorWord>承</errorWord>
      <group>L1_Word</group>
      <groupName>字词问题</groupName>
      <ability>L2_Typo</ability>
      <abilityName>字词错误</abilityName>
      <candidateList>
        <item>承担</item>
      </candidateList>
      <explain>〈动〉担负；担当：～义务｜～责任。</explain>
      <paraID>321C3870</paraID>
      <start>50</start>
      <end>51</end>
      <status>unmodified</status>
      <modifiedWord/>
      <trackRevisions>false</trackRevisions>
    </reviewItem>
    <reviewItem>
      <errorID>8d6ab5d6-f83f-4e5a-bf0b-e7cd5594aa54</errorID>
      <errorWord>)</errorWord>
      <group>L1_Format</group>
      <groupName>格式问题</groupName>
      <ability>L2_HalfPunc</ability>
      <abilityName>全半角检查</abilityName>
      <candidateList>
        <item>）</item>
      </candidateList>
      <explain>文本全半角错误。</explain>
      <paraID>3670C08D</paraID>
      <start>16</start>
      <end>17</end>
      <status>unmodified</status>
      <modifiedWord/>
      <trackRevisions>false</trackRevisions>
    </reviewItem>
    <reviewItem>
      <errorID>2f63ca74-29dd-4698-b50c-41276af262c9</errorID>
      <errorWord>要</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58D6D3EB</paraID>
      <start>9</start>
      <end>10</end>
      <status>unmodified</status>
      <modifiedWord/>
      <trackRevisions>false</trackRevisions>
    </reviewItem>
    <reviewItem>
      <errorID>e295df2a-8a92-4c45-94de-855b9af338cd</errorID>
      <errorWord>料</errorWord>
      <group>L1_Word</group>
      <groupName>字词问题</groupName>
      <ability>L2_Typo</ability>
      <abilityName>字词错误</abilityName>
      <candidateList>
        <item>料以</item>
      </candidateList>
      <explain/>
      <paraID>51900FB7</paraID>
      <start>7</start>
      <end>8</end>
      <status>unmodified</status>
      <modifiedWord/>
      <trackRevisions>false</trackRevisions>
    </reviewItem>
    <reviewItem>
      <errorID>22027f0a-f1cd-4f85-8f9f-9f64bd7a1871</errorID>
      <errorWord>但标段</errorWord>
      <group>L1_Word</group>
      <groupName>字词问题</groupName>
      <ability>L2_Typo</ability>
      <abilityName>字词错误</abilityName>
      <candidateList>
        <item>单标段</item>
      </candidateList>
      <explain/>
      <paraID> 6FC4C83</paraID>
      <start>100</start>
      <end>103</end>
      <status>unmodified</status>
      <modifiedWord/>
      <trackRevisions>false</trackRevisions>
    </reviewItem>
    <reviewItem>
      <errorID>21e769f1-84af-4fd5-9519-d1016f8369b1</errorID>
      <errorWord>民法典</errorWord>
      <group>L1_Knowledge</group>
      <groupName>知识性问题</groupName>
      <ability>L2_Knowledge</ability>
      <abilityName>其他知识</abilityName>
      <candidateList>
        <item>中华人民共和国民法典</item>
      </candidateList>
      <explain>当前法律法规名称使用简称，请注意是否应当使用全称。</explain>
      <paraID>7F6BCEE3</paraID>
      <start>37</start>
      <end>40</end>
      <status>unmodified</status>
      <modifiedWord/>
      <trackRevisions>false</trackRevisions>
    </reviewItem>
    <reviewItem>
      <errorID>fc824cb8-8b28-4c0c-9123-c1c32526218f</errorID>
      <errorWord>银</errorWord>
      <group>L1_Word</group>
      <groupName>字词问题</groupName>
      <ability>L2_Typo</ability>
      <abilityName>字词错误</abilityName>
      <candidateList>
        <item>银行</item>
      </candidateList>
      <explain/>
      <paraID>5B6294D0</paraID>
      <start>50</start>
      <end>51</end>
      <status>unmodified</status>
      <modifiedWord/>
      <trackRevisions>false</trackRevisions>
    </reviewItem>
    <reviewItem>
      <errorID>20373be0-0601-44f1-89cd-1a9403e1cd04</errorID>
      <errorWord>(</errorWord>
      <group>L1_Format</group>
      <groupName>格式问题</groupName>
      <ability>L2_HalfPunc</ability>
      <abilityName>全半角检查</abilityName>
      <candidateList>
        <item>（</item>
      </candidateList>
      <explain>文本全半角错误。</explain>
      <paraID>2BF64F16</paraID>
      <start>14</start>
      <end>15</end>
      <status>unmodified</status>
      <modifiedWord/>
      <trackRevisions>false</trackRevisions>
    </reviewItem>
    <reviewItem>
      <errorID>4665dfb6-da98-48c5-982e-3b56d4e8fe60</errorID>
      <errorWord>)</errorWord>
      <group>L1_Format</group>
      <groupName>格式问题</groupName>
      <ability>L2_HalfPunc</ability>
      <abilityName>全半角检查</abilityName>
      <candidateList>
        <item>）</item>
      </candidateList>
      <explain>文本全半角错误。</explain>
      <paraID>2BF64F16</paraID>
      <start>16</start>
      <end>17</end>
      <status>unmodified</status>
      <modifiedWord/>
      <trackRevisions>false</trackRevisions>
    </reviewItem>
    <reviewItem>
      <errorID>1348bab5-e6b3-4617-aa92-5d8383d8eaab</errorID>
      <errorWord>(</errorWord>
      <group>L1_Format</group>
      <groupName>格式问题</groupName>
      <ability>L2_HalfPunc</ability>
      <abilityName>全半角检查</abilityName>
      <candidateList>
        <item>（</item>
      </candidateList>
      <explain>文本全半角错误。</explain>
      <paraID>2BF64F16</paraID>
      <start>18</start>
      <end>19</end>
      <status>unmodified</status>
      <modifiedWord/>
      <trackRevisions>false</trackRevisions>
    </reviewItem>
    <reviewItem>
      <errorID>5b995501-db2f-4f89-8c3f-e43167567bd7</errorID>
      <errorWord>)</errorWord>
      <group>L1_Format</group>
      <groupName>格式问题</groupName>
      <ability>L2_HalfPunc</ability>
      <abilityName>全半角检查</abilityName>
      <candidateList>
        <item>）</item>
      </candidateList>
      <explain>文本全半角错误。</explain>
      <paraID>2BF64F16</paraID>
      <start>20</start>
      <end>21</end>
      <status>unmodified</status>
      <modifiedWord/>
      <trackRevisions>false</trackRevisions>
    </reviewItem>
    <reviewItem>
      <errorID>dd997965-5d8a-4346-8450-33a041e41a73</errorID>
      <errorWord>(</errorWord>
      <group>L1_Format</group>
      <groupName>格式问题</groupName>
      <ability>L2_HalfPunc</ability>
      <abilityName>全半角检查</abilityName>
      <candidateList>
        <item>（</item>
      </candidateList>
      <explain>文本全半角错误。</explain>
      <paraID>5339FA15</paraID>
      <start>14</start>
      <end>15</end>
      <status>unmodified</status>
      <modifiedWord/>
      <trackRevisions>false</trackRevisions>
    </reviewItem>
    <reviewItem>
      <errorID>2438fb70-f42a-4120-8d68-8188d2fe4698</errorID>
      <errorWord>)</errorWord>
      <group>L1_Format</group>
      <groupName>格式问题</groupName>
      <ability>L2_HalfPunc</ability>
      <abilityName>全半角检查</abilityName>
      <candidateList>
        <item>）</item>
      </candidateList>
      <explain>文本全半角错误。</explain>
      <paraID>5339FA15</paraID>
      <start>16</start>
      <end>17</end>
      <status>unmodified</status>
      <modifiedWord/>
      <trackRevisions>false</trackRevisions>
    </reviewItem>
    <reviewItem>
      <errorID>ebbf610d-c99b-4fb3-a8e3-7b8543383627</errorID>
      <errorWord>(</errorWord>
      <group>L1_Format</group>
      <groupName>格式问题</groupName>
      <ability>L2_HalfPunc</ability>
      <abilityName>全半角检查</abilityName>
      <candidateList>
        <item>（</item>
      </candidateList>
      <explain>文本全半角错误。</explain>
      <paraID>5339FA15</paraID>
      <start>18</start>
      <end>19</end>
      <status>unmodified</status>
      <modifiedWord/>
      <trackRevisions>false</trackRevisions>
    </reviewItem>
    <reviewItem>
      <errorID>31771730-7a07-497e-8f03-bdf8019de7e2</errorID>
      <errorWord>)</errorWord>
      <group>L1_Format</group>
      <groupName>格式问题</groupName>
      <ability>L2_HalfPunc</ability>
      <abilityName>全半角检查</abilityName>
      <candidateList>
        <item>）</item>
      </candidateList>
      <explain>文本全半角错误。</explain>
      <paraID>5339FA15</paraID>
      <start>20</start>
      <end>21</end>
      <status>unmodified</status>
      <modifiedWord/>
      <trackRevisions>false</trackRevisions>
    </reviewItem>
    <reviewItem>
      <errorID>b0255cd6-7af5-4086-b7f1-59fa93f89810</errorID>
      <errorWord>(</errorWord>
      <group>L1_Format</group>
      <groupName>格式问题</groupName>
      <ability>L2_HalfPunc</ability>
      <abilityName>全半角检查</abilityName>
      <candidateList>
        <item>（</item>
      </candidateList>
      <explain>文本全半角错误。</explain>
      <paraID>5339FA15</paraID>
      <start>22</start>
      <end>23</end>
      <status>unmodified</status>
      <modifiedWord/>
      <trackRevisions>false</trackRevisions>
    </reviewItem>
    <reviewItem>
      <errorID>591bf6f6-3d4a-4655-9766-0e7746f59577</errorID>
      <errorWord>)</errorWord>
      <group>L1_Format</group>
      <groupName>格式问题</groupName>
      <ability>L2_HalfPunc</ability>
      <abilityName>全半角检查</abilityName>
      <candidateList>
        <item>）</item>
      </candidateList>
      <explain>文本全半角错误。</explain>
      <paraID>5339FA15</paraID>
      <start>24</start>
      <end>25</end>
      <status>unmodified</status>
      <modifiedWord/>
      <trackRevisions>false</trackRevisions>
    </reviewItem>
    <reviewItem>
      <errorID>02b31dcb-4dd6-46da-9e89-9206f46a8c2d</errorID>
      <errorWord>(</errorWord>
      <group>L1_Format</group>
      <groupName>格式问题</groupName>
      <ability>L2_HalfPunc</ability>
      <abilityName>全半角检查</abilityName>
      <candidateList>
        <item>（</item>
      </candidateList>
      <explain>文本全半角错误。</explain>
      <paraID>5339FA15</paraID>
      <start>26</start>
      <end>27</end>
      <status>unmodified</status>
      <modifiedWord/>
      <trackRevisions>false</trackRevisions>
    </reviewItem>
    <reviewItem>
      <errorID>e2602e18-4aa6-46af-8359-292f3679f6fa</errorID>
      <errorWord>)</errorWord>
      <group>L1_Format</group>
      <groupName>格式问题</groupName>
      <ability>L2_HalfPunc</ability>
      <abilityName>全半角检查</abilityName>
      <candidateList>
        <item>）</item>
      </candidateList>
      <explain>文本全半角错误。</explain>
      <paraID>5339FA15</paraID>
      <start>28</start>
      <end>29</end>
      <status>unmodified</status>
      <modifiedWord/>
      <trackRevisions>false</trackRevisions>
    </reviewItem>
    <reviewItem>
      <errorID>02e4a93d-a593-40cd-a8cf-baaeda0e6b47</errorID>
      <errorWord>(</errorWord>
      <group>L1_Format</group>
      <groupName>格式问题</groupName>
      <ability>L2_HalfPunc</ability>
      <abilityName>全半角检查</abilityName>
      <candidateList>
        <item>（</item>
      </candidateList>
      <explain>文本全半角错误。</explain>
      <paraID>15A7EACB</paraID>
      <start>14</start>
      <end>15</end>
      <status>unmodified</status>
      <modifiedWord/>
      <trackRevisions>false</trackRevisions>
    </reviewItem>
    <reviewItem>
      <errorID>014f523a-1560-4cb6-8519-bf7de2310449</errorID>
      <errorWord>)</errorWord>
      <group>L1_Format</group>
      <groupName>格式问题</groupName>
      <ability>L2_HalfPunc</ability>
      <abilityName>全半角检查</abilityName>
      <candidateList>
        <item>）</item>
      </candidateList>
      <explain>文本全半角错误。</explain>
      <paraID>15A7EACB</paraID>
      <start>16</start>
      <end>17</end>
      <status>unmodified</status>
      <modifiedWord/>
      <trackRevisions>false</trackRevisions>
    </reviewItem>
    <reviewItem>
      <errorID>e4c57369-e8fc-49ac-9a8c-2e26aa8b857c</errorID>
      <errorWord>(</errorWord>
      <group>L1_Format</group>
      <groupName>格式问题</groupName>
      <ability>L2_HalfPunc</ability>
      <abilityName>全半角检查</abilityName>
      <candidateList>
        <item>（</item>
      </candidateList>
      <explain>文本全半角错误。</explain>
      <paraID>15A7EACB</paraID>
      <start>18</start>
      <end>19</end>
      <status>unmodified</status>
      <modifiedWord/>
      <trackRevisions>false</trackRevisions>
    </reviewItem>
    <reviewItem>
      <errorID>7e0b8505-b7fb-4b3f-a978-637c6ced2070</errorID>
      <errorWord>)</errorWord>
      <group>L1_Format</group>
      <groupName>格式问题</groupName>
      <ability>L2_HalfPunc</ability>
      <abilityName>全半角检查</abilityName>
      <candidateList>
        <item>）</item>
      </candidateList>
      <explain>文本全半角错误。</explain>
      <paraID>15A7EACB</paraID>
      <start>20</start>
      <end>21</end>
      <status>unmodified</status>
      <modifiedWord/>
      <trackRevisions>false</trackRevisions>
    </reviewItem>
    <reviewItem>
      <errorID>e3dfc3a3-1ee3-4cd3-93ea-2139f8573357</errorID>
      <errorWord>(</errorWord>
      <group>L1_Format</group>
      <groupName>格式问题</groupName>
      <ability>L2_HalfPunc</ability>
      <abilityName>全半角检查</abilityName>
      <candidateList>
        <item>（</item>
      </candidateList>
      <explain>文本全半角错误。</explain>
      <paraID>15A7EACB</paraID>
      <start>22</start>
      <end>23</end>
      <status>unmodified</status>
      <modifiedWord/>
      <trackRevisions>false</trackRevisions>
    </reviewItem>
    <reviewItem>
      <errorID>75dbed20-9c63-42e0-9be7-4d4366362292</errorID>
      <errorWord>)</errorWord>
      <group>L1_Format</group>
      <groupName>格式问题</groupName>
      <ability>L2_HalfPunc</ability>
      <abilityName>全半角检查</abilityName>
      <candidateList>
        <item>）</item>
      </candidateList>
      <explain>文本全半角错误。</explain>
      <paraID>15A7EACB</paraID>
      <start>24</start>
      <end>25</end>
      <status>unmodified</status>
      <modifiedWord/>
      <trackRevisions>false</trackRevisions>
    </reviewItem>
    <reviewItem>
      <errorID>e0212645-877b-4be0-b365-edc42945b65c</errorID>
      <errorWord>（</errorWord>
      <group>L1_Format</group>
      <groupName>格式问题</groupName>
      <ability>L2_HalfPunc</ability>
      <abilityName>全半角检查</abilityName>
      <candidateList>
        <item>(</item>
      </candidateList>
      <explain>文本全半角错误。</explain>
      <paraID>483DBCA7</paraID>
      <start>1</start>
      <end>2</end>
      <status>unmodified</status>
      <modifiedWord/>
      <trackRevisions>false</trackRevisions>
    </reviewItem>
    <reviewItem>
      <errorID>ae8356a8-d436-46e0-acfe-6e69bffdb818</errorID>
      <errorWord>）</errorWord>
      <group>L1_Format</group>
      <groupName>格式问题</groupName>
      <ability>L2_HalfPunc</ability>
      <abilityName>全半角检查</abilityName>
      <candidateList>
        <item>)</item>
      </candidateList>
      <explain>文本全半角错误。</explain>
      <paraID>483DBCA7</paraID>
      <start>3</start>
      <end>4</end>
      <status>unmodified</status>
      <modifiedWord/>
      <trackRevisions>false</trackRevisions>
    </reviewItem>
    <reviewItem>
      <errorID>a3ecb660-b53a-43b9-a00c-df14438f140f</errorID>
      <errorWord>（</errorWord>
      <group>L1_Format</group>
      <groupName>格式问题</groupName>
      <ability>L2_HalfPunc</ability>
      <abilityName>全半角检查</abilityName>
      <candidateList>
        <item>(</item>
      </candidateList>
      <explain>文本全半角错误。</explain>
      <paraID>4F4422C0</paraID>
      <start>1</start>
      <end>2</end>
      <status>unmodified</status>
      <modifiedWord/>
      <trackRevisions>false</trackRevisions>
    </reviewItem>
    <reviewItem>
      <errorID>8a95bb38-d0aa-4f31-a1e4-d8fda7afab61</errorID>
      <errorWord>）</errorWord>
      <group>L1_Format</group>
      <groupName>格式问题</groupName>
      <ability>L2_HalfPunc</ability>
      <abilityName>全半角检查</abilityName>
      <candidateList>
        <item>)</item>
      </candidateList>
      <explain>文本全半角错误。</explain>
      <paraID>4F4422C0</paraID>
      <start>3</start>
      <end>4</end>
      <status>unmodified</status>
      <modifiedWord/>
      <trackRevisions>false</trackRevisions>
    </reviewItem>
    <reviewItem>
      <errorID>296c1903-ab80-4b3f-8ff5-85662fb6b644</errorID>
      <errorWord>)</errorWord>
      <group>L1_Format</group>
      <groupName>格式问题</groupName>
      <ability>L2_HalfPunc</ability>
      <abilityName>全半角检查</abilityName>
      <candidateList>
        <item>）</item>
      </candidateList>
      <explain>文本全半角错误。</explain>
      <paraID>6FFE7C1F</paraID>
      <start>56</start>
      <end>57</end>
      <status>unmodified</status>
      <modifiedWord/>
      <trackRevisions>false</trackRevisions>
    </reviewItem>
    <reviewItem>
      <errorID>9127ec65-60d3-42a8-8f73-2a4d097932db</errorID>
      <errorWord>:</errorWord>
      <group>L1_Format</group>
      <groupName>格式问题</groupName>
      <ability>L2_HalfPunc</ability>
      <abilityName>全半角检查</abilityName>
      <candidateList>
        <item>：</item>
      </candidateList>
      <explain>文本全半角错误。</explain>
      <paraID>1C8DBE82</paraID>
      <start>19</start>
      <end>20</end>
      <status>unmodified</status>
      <modifiedWord/>
      <trackRevisions>false</trackRevisions>
    </reviewItem>
    <reviewItem>
      <errorID>1bdd9379-9bec-49b2-96b2-9e2390e091b3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2DEBCA93</paraID>
      <start>0</start>
      <end>3</end>
      <status>unmodified</status>
      <modifiedWord/>
      <trackRevisions>false</trackRevisions>
    </reviewItem>
    <reviewItem>
      <errorID>053a0708-ecc1-4478-99e7-6dc4e25b3dab</errorID>
      <errorWord>取定</errorWord>
      <group>L1_Word</group>
      <groupName>字词问题</groupName>
      <ability>L2_Typo</ability>
      <abilityName>字词错误</abilityName>
      <candidateList>
        <item>确定</item>
      </candidateList>
      <explain/>
      <paraID>2DEBCA93</paraID>
      <start>109</start>
      <end>111</end>
      <status>unmodified</status>
      <modifiedWord/>
      <trackRevisions>false</trackRevisions>
    </reviewItem>
    <reviewItem>
      <errorID>6bd6e869-9694-455a-8a43-d1f2987f5c56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2E443943</paraID>
      <start>0</start>
      <end>3</end>
      <status>unmodified</status>
      <modifiedWord/>
      <trackRevisions>false</trackRevisions>
    </reviewItem>
    <reviewItem>
      <errorID>b9226710-dc11-47a1-bbab-16eadd59d897</errorID>
      <errorWord>:</errorWord>
      <group>L1_Format</group>
      <groupName>格式问题</groupName>
      <ability>L2_HalfPunc</ability>
      <abilityName>全半角检查</abilityName>
      <candidateList>
        <item>：</item>
      </candidateList>
      <explain>文本全半角错误。</explain>
      <paraID>644AEB1C</paraID>
      <start>18</start>
      <end>19</end>
      <status>unmodified</status>
      <modifiedWord/>
      <trackRevisions>false</trackRevisions>
    </reviewItem>
    <reviewItem>
      <errorID>79c60bd3-8a92-4def-8e21-0601b0ec9b7a</errorID>
      <errorWord>文件的</errorWord>
      <group>L1_Word</group>
      <groupName>字词问题</groupName>
      <ability>L2_Typo</ability>
      <abilityName>字词错误</abilityName>
      <candidateList>
        <item>文件</item>
      </candidateList>
      <explain/>
      <paraID>3DB859F4</paraID>
      <start>119</start>
      <end>122</end>
      <status>unmodified</status>
      <modifiedWord/>
      <trackRevisions>false</trackRevisions>
    </reviewItem>
    <reviewItem>
      <errorID>fccb226d-b7df-4bcf-957d-e81232321f1f</errorID>
      <errorWord>,</errorWord>
      <group>L1_Format</group>
      <groupName>格式问题</groupName>
      <ability>L2_HalfPunc</ability>
      <abilityName>全半角检查</abilityName>
      <candidateList>
        <item>，</item>
      </candidateList>
      <explain>文本全半角错误。</explain>
      <paraID>5AC9ED4F</paraID>
      <start>94</start>
      <end>95</end>
      <status>unmodified</status>
      <modifiedWord/>
      <trackRevisions>false</trackRevisions>
    </reviewItem>
    <reviewItem>
      <errorID>667f73d4-d01d-43c7-9cd4-ce89ecca27cf</errorID>
      <errorWord>,</errorWord>
      <group>L1_Format</group>
      <groupName>格式问题</groupName>
      <ability>L2_HalfPunc</ability>
      <abilityName>全半角检查</abilityName>
      <candidateList>
        <item>，</item>
      </candidateList>
      <explain>文本全半角错误。</explain>
      <paraID>192A354C</paraID>
      <start>156</start>
      <end>157</end>
      <status>unmodified</status>
      <modifiedWord/>
      <trackRevisions>false</trackRevisions>
    </reviewItem>
    <reviewItem>
      <errorID>9b7cb3c2-a353-4ebc-99ed-b9e20e91ce88</errorID>
      <errorWord>,</errorWord>
      <group>L1_Format</group>
      <groupName>格式问题</groupName>
      <ability>L2_HalfPunc</ability>
      <abilityName>全半角检查</abilityName>
      <candidateList>
        <item>，</item>
      </candidateList>
      <explain>文本全半角错误。</explain>
      <paraID> A130D9C</paraID>
      <start>28</start>
      <end>29</end>
      <status>unmodified</status>
      <modifiedWord/>
      <trackRevisions>false</trackRevisions>
    </reviewItem>
    <reviewItem>
      <errorID>04c46cd4-84e4-4920-9a6d-dd33be229e04</errorID>
      <errorWord>(</errorWord>
      <group>L1_Format</group>
      <groupName>格式问题</groupName>
      <ability>L2_HalfPunc</ability>
      <abilityName>全半角检查</abilityName>
      <candidateList>
        <item>（</item>
      </candidateList>
      <explain>文本全半角错误。</explain>
      <paraID>74873079</paraID>
      <start>30</start>
      <end>31</end>
      <status>unmodified</status>
      <modifiedWord/>
      <trackRevisions>false</trackRevisions>
    </reviewItem>
    <reviewItem>
      <errorID>f0347a04-3040-428c-9cbf-17315a64715c</errorID>
      <errorWord>)</errorWord>
      <group>L1_Format</group>
      <groupName>格式问题</groupName>
      <ability>L2_HalfPunc</ability>
      <abilityName>全半角检查</abilityName>
      <candidateList>
        <item>）</item>
      </candidateList>
      <explain>文本全半角错误。</explain>
      <paraID>74873079</paraID>
      <start>37</start>
      <end>38</end>
      <status>unmodified</status>
      <modifiedWord/>
      <trackRevisions>false</trackRevisions>
    </reviewItem>
    <reviewItem>
      <errorID>c591c7fb-5424-4db5-9720-b606d452ef02</errorID>
      <errorWord>计</errorWord>
      <group>L1_Word</group>
      <groupName>字词问题</groupName>
      <ability>L2_Typo</ability>
      <abilityName>字词错误</abilityName>
      <candidateList>
        <item>计算</item>
      </candidateList>
      <explain/>
      <paraID>3D1F7411</paraID>
      <start>14</start>
      <end>15</end>
      <status>unmodified</status>
      <modifiedWord/>
      <trackRevisions>false</trackRevisions>
    </reviewItem>
    <reviewItem>
      <errorID>baaa2d80-f355-40ee-8dac-5b933ba84883</errorID>
      <errorWord>允许中</errorWord>
      <group>L1_Word</group>
      <groupName>字词问题</groupName>
      <ability>L2_Typo</ability>
      <abilityName>字词错误</abilityName>
      <candidateList>
        <item>允许</item>
      </candidateList>
      <explain/>
      <paraID> B29782D</paraID>
      <start>45</start>
      <end>48</end>
      <status>unmodified</status>
      <modifiedWord/>
      <trackRevisions>false</trackRevisions>
    </reviewItem>
    <reviewItem>
      <errorID>8bb272f6-d440-4eda-92d3-3cf6f96d8a73</errorID>
      <errorWord>级</errorWord>
      <group>L1_Word</group>
      <groupName>字词问题</groupName>
      <ability>L2_Typo</ability>
      <abilityName>字词错误</abilityName>
      <candidateList>
        <item/>
      </candidateList>
      <explain/>
      <paraID>15242ED3</paraID>
      <start>30</start>
      <end>31</end>
      <status>unmodified</status>
      <modifiedWord/>
      <trackRevisions>false</trackRevisions>
    </reviewItem>
    <reviewItem>
      <errorID>c24b713c-060a-4c78-a998-99151306ee75</errorID>
      <errorWord>级</errorWord>
      <group>L1_Word</group>
      <groupName>字词问题</groupName>
      <ability>L2_Typo</ability>
      <abilityName>字词错误</abilityName>
      <candidateList>
        <item/>
      </candidateList>
      <explain/>
      <paraID>634E8924</paraID>
      <start>30</start>
      <end>31</end>
      <status>unmodified</status>
      <modifiedWord/>
      <trackRevisions>false</trackRevisions>
    </reviewItem>
    <reviewItem>
      <errorID>83f2ef7a-c95d-48ad-974a-a1001e1f437c</errorID>
      <errorWord>,</errorWord>
      <group>L1_Format</group>
      <groupName>格式问题</groupName>
      <ability>L2_HalfPunc</ability>
      <abilityName>全半角检查</abilityName>
      <candidateList>
        <item>，</item>
      </candidateList>
      <explain>文本全半角错误。</explain>
      <paraID>4BEDA320</paraID>
      <start>40</start>
      <end>41</end>
      <status>unmodified</status>
      <modifiedWord/>
      <trackRevisions>false</trackRevisions>
    </reviewItem>
    <reviewItem>
      <errorID>41d73313-4373-4316-862e-43dbb90958ab</errorID>
      <errorWord>级</errorWord>
      <group>L1_Word</group>
      <groupName>字词问题</groupName>
      <ability>L2_Typo</ability>
      <abilityName>字词错误</abilityName>
      <candidateList>
        <item/>
      </candidateList>
      <explain/>
      <paraID>578CF511</paraID>
      <start>30</start>
      <end>31</end>
      <status>unmodified</status>
      <modifiedWord/>
      <trackRevisions>false</trackRevisions>
    </reviewItem>
    <reviewItem>
      <errorID>2182e8ab-cda3-4f96-b734-8ae042985e7e</errorID>
      <errorWord>住房城乡建设部</errorWord>
      <group>L1_Word</group>
      <groupName>字词问题</groupName>
      <ability>L2_Typo</ability>
      <abilityName>字词错误</abilityName>
      <candidateList>
        <item>住房和城乡建设部</item>
      </candidateList>
      <explain/>
      <paraID>346A4C52</paraID>
      <start>15</start>
      <end>22</end>
      <status>unmodified</status>
      <modifiedWord/>
      <trackRevisions>false</trackRevisions>
    </reviewItem>
    <reviewItem>
      <errorID>3f1054f0-0228-452d-816e-d0e4b7854dd5</errorID>
      <errorWord>准</errorWord>
      <group>L1_Word</group>
      <groupName>字词问题</groupName>
      <ability>L2_Typo</ability>
      <abilityName>字词错误</abilityName>
      <candidateList>
        <item>准和</item>
      </candidateList>
      <explain/>
      <paraID>346A4C52</paraID>
      <start>74</start>
      <end>75</end>
      <status>unmodified</status>
      <modifiedWord/>
      <trackRevisions>false</trackRevisions>
    </reviewItem>
    <reviewItem>
      <errorID>21a9d49c-df40-4f87-b92c-d5296d16eb5c</errorID>
      <errorWord>级</errorWord>
      <group>L1_Word</group>
      <groupName>字词问题</groupName>
      <ability>L2_Typo</ability>
      <abilityName>字词错误</abilityName>
      <candidateList>
        <item/>
      </candidateList>
      <explain/>
      <paraID>65B18B8A</paraID>
      <start>39</start>
      <end>40</end>
      <status>unmodified</status>
      <modifiedWord/>
      <trackRevisions>false</trackRevisions>
    </reviewItem>
    <reviewItem>
      <errorID>25c95aab-d189-4d7e-b3cd-b2bdfb3f9209</errorID>
      <errorWord>如声屏障</errorWord>
      <group>L1_Knowledge</group>
      <groupName>知识性问题</groupName>
      <ability>L2_Term</ability>
      <abilityName>专业术语</abilityName>
      <candidateList>
        <item>隔声屏障</item>
      </candidateList>
      <explain/>
      <paraID>38A9D5F9</paraID>
      <start>0</start>
      <end>4</end>
      <status>unmodified</status>
      <modifiedWord/>
      <trackRevisions>false</trackRevisions>
    </reviewItem>
    <reviewItem>
      <errorID>afc191a5-59ee-4fce-a425-cc0c6d7444c8</errorID>
      <errorWord>级</errorWord>
      <group>L1_Word</group>
      <groupName>字词问题</groupName>
      <ability>L2_Typo</ability>
      <abilityName>字词错误</abilityName>
      <candidateList>
        <item/>
      </candidateList>
      <explain/>
      <paraID>7048772A</paraID>
      <start>30</start>
      <end>31</end>
      <status>unmodified</status>
      <modifiedWord/>
      <trackRevisions>false</trackRevisions>
    </reviewItem>
    <reviewItem>
      <errorID>95b41c4c-1c22-4a9c-acba-ff2de4bba524</errorID>
      <errorWord>如声屏障</errorWord>
      <group>L1_Knowledge</group>
      <groupName>知识性问题</groupName>
      <ability>L2_Term</ability>
      <abilityName>专业术语</abilityName>
      <candidateList>
        <item>隔声屏障</item>
      </candidateList>
      <explain/>
      <paraID>5B7A2C55</paraID>
      <start>2</start>
      <end>6</end>
      <status>unmodified</status>
      <modifiedWord/>
      <trackRevisions>false</trackRevisions>
    </reviewItem>
    <reviewItem>
      <errorID>535c4d00-36c4-4512-9780-de510c8a8bdb</errorID>
      <errorWord>座</errorWord>
      <group>L1_Knowledge</group>
      <groupName>知识性问题</groupName>
      <ability>L2_Knowledge</ability>
      <abilityName>其他知识</abilityName>
      <candidateList>
        <item>段</item>
      </candidateList>
      <explain/>
      <paraID>1436E49E</paraID>
      <start>34</start>
      <end>35</end>
      <status>unmodified</status>
      <modifiedWord/>
      <trackRevisions>false</trackRevisions>
    </reviewItem>
    <reviewItem>
      <errorID>ab431d24-3209-4df3-92be-095b8a60e794</errorID>
      <errorWord>座</errorWord>
      <group>L1_Knowledge</group>
      <groupName>知识性问题</groupName>
      <ability>L2_Knowledge</ability>
      <abilityName>其他知识</abilityName>
      <candidateList>
        <item>段</item>
      </candidateList>
      <explain/>
      <paraID>1CFFDC1F</paraID>
      <start>48</start>
      <end>49</end>
      <status>unmodified</status>
      <modifiedWord/>
      <trackRevisions>false</trackRevisions>
    </reviewItem>
    <reviewItem>
      <errorID>828fc348-c2d9-4bce-aa30-4ff8238df609</errorID>
      <errorWord>座</errorWord>
      <group>L1_Word</group>
      <groupName>字词问题</groupName>
      <ability>L2_Typo</ability>
      <abilityName>字词错误</abilityName>
      <candidateList>
        <item/>
      </candidateList>
      <explain/>
      <paraID>57033FE9</paraID>
      <start>51</start>
      <end>52</end>
      <status>unmodified</status>
      <modifiedWord/>
      <trackRevisions>false</trackRevisions>
    </reviewItem>
    <reviewItem>
      <errorID>41c565b1-e532-4e9b-98e8-581bb63d67d6</errorID>
      <errorWord>座</errorWord>
      <group>L1_Knowledge</group>
      <groupName>知识性问题</groupName>
      <ability>L2_Knowledge</ability>
      <abilityName>其他知识</abilityName>
      <candidateList>
        <item>段</item>
      </candidateList>
      <explain/>
      <paraID> 51782C0</paraID>
      <start>55</start>
      <end>56</end>
      <status>unmodified</status>
      <modifiedWord/>
      <trackRevisions>false</trackRevisions>
    </reviewItem>
    <reviewItem>
      <errorID>86fd225d-e9f3-435f-872f-8293b850baa5</errorID>
      <errorWord>)</errorWord>
      <group>L1_Format</group>
      <groupName>格式问题</groupName>
      <ability>L2_HalfPunc</ability>
      <abilityName>全半角检查</abilityName>
      <candidateList>
        <item>）</item>
      </candidateList>
      <explain>文本全半角错误。</explain>
      <paraID>72205B1E</paraID>
      <start>53</start>
      <end>54</end>
      <status>unmodified</status>
      <modifiedWord/>
      <trackRevisions>false</trackRevisions>
    </reviewItem>
    <reviewItem>
      <errorID>4bd66429-5750-47e6-b543-d8b60b100244</errorID>
      <errorWord>座</errorWord>
      <group>L1_Word</group>
      <groupName>字词问题</groupName>
      <ability>L2_Typo</ability>
      <abilityName>字词错误</abilityName>
      <candidateList>
        <item/>
      </candidateList>
      <explain/>
      <paraID>1E79D5BF</paraID>
      <start>54</start>
      <end>55</end>
      <status>unmodified</status>
      <modifiedWord/>
      <trackRevisions>false</trackRevisions>
    </reviewItem>
    <reviewItem>
      <errorID>57c4b26d-35cf-4e34-aa48-793b4db02d3b</errorID>
      <errorWord>座</errorWord>
      <group>L1_Knowledge</group>
      <groupName>知识性问题</groupName>
      <ability>L2_Knowledge</ability>
      <abilityName>其他知识</abilityName>
      <candidateList>
        <item>段</item>
      </candidateList>
      <explain/>
      <paraID>6C4F78A2</paraID>
      <start>49</start>
      <end>50</end>
      <status>unmodified</status>
      <modifiedWord/>
      <trackRevisions>false</trackRevisions>
    </reviewItem>
    <reviewItem>
      <errorID>52f80d99-0113-4c63-8ca0-53be2089dca1</errorID>
      <errorWord>,</errorWord>
      <group>L1_Format</group>
      <groupName>格式问题</groupName>
      <ability>L2_HalfPunc</ability>
      <abilityName>全半角检查</abilityName>
      <candidateList>
        <item>，</item>
      </candidateList>
      <explain>文本全半角错误。</explain>
      <paraID>72E17D1A</paraID>
      <start>21</start>
      <end>22</end>
      <status>unmodified</status>
      <modifiedWord/>
      <trackRevisions>false</trackRevisions>
    </reviewItem>
    <reviewItem>
      <errorID>40809112-98a3-4911-9c9d-0b1f2cd1b7bb</errorID>
      <errorWord>)</errorWord>
      <group>L1_Format</group>
      <groupName>格式问题</groupName>
      <ability>L2_HalfPunc</ability>
      <abilityName>全半角检查</abilityName>
      <candidateList>
        <item>）</item>
      </candidateList>
      <explain>文本全半角错误。</explain>
      <paraID>41B11FE8</paraID>
      <start>24</start>
      <end>25</end>
      <status>unmodified</status>
      <modifiedWord/>
      <trackRevisions>false</trackRevisions>
    </reviewItem>
    <reviewItem>
      <errorID>b9afa382-7044-43e9-b89b-14aa16912440</errorID>
      <errorWord>遵遁</errorWord>
      <group>L1_Word</group>
      <groupName>字词问题</groupName>
      <ability>L2_Typo</ability>
      <abilityName>字词错误</abilityName>
      <candidateList>
        <item>遵循</item>
      </candidateList>
      <explain/>
      <paraID> BC6F66A</paraID>
      <start>11</start>
      <end>13</end>
      <status>unmodified</status>
      <modifiedWord/>
      <trackRevisions>false</trackRevisions>
    </reviewItem>
    <reviewItem>
      <errorID>b3587b55-5bac-4da4-b0ce-664522a65ddb</errorID>
      <errorWord>》</errorWord>
      <group>L1_Word</group>
      <groupName>字词问题</groupName>
      <ability>L2_Typo</ability>
      <abilityName>字词错误</abilityName>
      <candidateList>
        <item>》对</item>
      </candidateList>
      <explain/>
      <paraID>57F39114</paraID>
      <start>33</start>
      <end>34</end>
      <status>unmodified</status>
      <modifiedWord/>
      <trackRevisions>false</trackRevisions>
    </reviewItem>
    <reviewItem>
      <errorID>66b3c7d8-d39a-45bf-87e7-3fee67507e83</errorID>
      <errorWord>(</errorWord>
      <group>L1_Format</group>
      <groupName>格式问题</groupName>
      <ability>L2_HalfPunc</ability>
      <abilityName>全半角检查</abilityName>
      <candidateList>
        <item>（</item>
      </candidateList>
      <explain>文本全半角错误。</explain>
      <paraID>3F1B4E9D</paraID>
      <start>6</start>
      <end>7</end>
      <status>unmodified</status>
      <modifiedWord/>
      <trackRevisions>false</trackRevisions>
    </reviewItem>
    <reviewItem>
      <errorID>ff5f60c4-4c96-4a53-9f90-de9959a482e7</errorID>
      <errorWord>)</errorWord>
      <group>L1_Format</group>
      <groupName>格式问题</groupName>
      <ability>L2_HalfPunc</ability>
      <abilityName>全半角检查</abilityName>
      <candidateList>
        <item>）</item>
      </candidateList>
      <explain>文本全半角错误。</explain>
      <paraID>3F1B4E9D</paraID>
      <start>11</start>
      <end>12</end>
      <status>unmodified</status>
      <modifiedWord/>
      <trackRevisions>false</trackRevisions>
    </reviewItem>
    <reviewItem>
      <errorID>5bdbb686-894e-4084-bf0e-1a960070200a</errorID>
      <errorWord>项</errorWord>
      <group>L1_Word</group>
      <groupName>字词问题</groupName>
      <ability>L2_Typo</ability>
      <abilityName>字词错误</abilityName>
      <candidateList>
        <item>项目</item>
      </candidateList>
      <explain>〈名〉事物分成的门类：服务～｜体育～｜建设～。</explain>
      <paraID>6783AA97</paraID>
      <start>35</start>
      <end>36</end>
      <status>unmodified</status>
      <modifiedWord/>
      <trackRevisions>false</trackRevisions>
    </reviewItem>
    <reviewItem>
      <errorID>2fd75081-fd5b-4c4c-a46c-7c30483ea884</errorID>
      <errorWord>(</errorWord>
      <group>L1_Format</group>
      <groupName>格式问题</groupName>
      <ability>L2_HalfPunc</ability>
      <abilityName>全半角检查</abilityName>
      <candidateList>
        <item>（</item>
      </candidateList>
      <explain>文本全半角错误。</explain>
      <paraID>79BE8579</paraID>
      <start>6</start>
      <end>7</end>
      <status>unmodified</status>
      <modifiedWord/>
      <trackRevisions>false</trackRevisions>
    </reviewItem>
    <reviewItem>
      <errorID>89b0133d-6156-40f5-9210-514db4789576</errorID>
      <errorWord>)</errorWord>
      <group>L1_Format</group>
      <groupName>格式问题</groupName>
      <ability>L2_HalfPunc</ability>
      <abilityName>全半角检查</abilityName>
      <candidateList>
        <item>）</item>
      </candidateList>
      <explain>文本全半角错误。</explain>
      <paraID>79BE8579</paraID>
      <start>11</start>
      <end>12</end>
      <status>unmodified</status>
      <modifiedWord/>
      <trackRevisions>false</trackRevisions>
    </reviewItem>
    <reviewItem>
      <errorID>a5763b5e-178b-4e98-bdc6-bc289345da03</errorID>
      <errorWord>(</errorWord>
      <group>L1_Format</group>
      <groupName>格式问题</groupName>
      <ability>L2_HalfPunc</ability>
      <abilityName>全半角检查</abilityName>
      <candidateList>
        <item>（</item>
      </candidateList>
      <explain>文本全半角错误。</explain>
      <paraID>77A23883</paraID>
      <start>6</start>
      <end>7</end>
      <status>unmodified</status>
      <modifiedWord/>
      <trackRevisions>false</trackRevisions>
    </reviewItem>
    <reviewItem>
      <errorID>2d4e5aff-333b-45e9-b4db-eb2c4c0ef8ce</errorID>
      <errorWord>)</errorWord>
      <group>L1_Format</group>
      <groupName>格式问题</groupName>
      <ability>L2_HalfPunc</ability>
      <abilityName>全半角检查</abilityName>
      <candidateList>
        <item>）</item>
      </candidateList>
      <explain>文本全半角错误。</explain>
      <paraID>77A23883</paraID>
      <start>11</start>
      <end>12</end>
      <status>unmodified</status>
      <modifiedWord/>
      <trackRevisions>false</trackRevisions>
    </reviewItem>
    <reviewItem>
      <errorID>7ef90c0c-f048-4811-8b14-3f86be4eb5b8</errorID>
      <errorWord>(</errorWord>
      <group>L1_Format</group>
      <groupName>格式问题</groupName>
      <ability>L2_HalfPunc</ability>
      <abilityName>全半角检查</abilityName>
      <candidateList>
        <item>（</item>
      </candidateList>
      <explain>文本全半角错误。</explain>
      <paraID>51904FAD</paraID>
      <start>6</start>
      <end>7</end>
      <status>unmodified</status>
      <modifiedWord/>
      <trackRevisions>false</trackRevisions>
    </reviewItem>
    <reviewItem>
      <errorID>5b1e97ba-037f-4002-9e2e-b2a62b1ff3dd</errorID>
      <errorWord>)</errorWord>
      <group>L1_Format</group>
      <groupName>格式问题</groupName>
      <ability>L2_HalfPunc</ability>
      <abilityName>全半角检查</abilityName>
      <candidateList>
        <item>）</item>
      </candidateList>
      <explain>文本全半角错误。</explain>
      <paraID>51904FAD</paraID>
      <start>11</start>
      <end>12</end>
      <status>unmodified</status>
      <modifiedWord/>
      <trackRevisions>false</trackRevisions>
    </reviewItem>
    <reviewItem>
      <errorID>d86a237d-16d3-4084-8766-d813b18051a3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5F01E0EC</paraID>
      <start>0</start>
      <end>3</end>
      <status>unmodified</status>
      <modifiedWord/>
      <trackRevisions>false</trackRevisions>
    </reviewItem>
    <reviewItem>
      <errorID>b7469ddd-bca2-4713-8aa0-17c4303d7793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77C8E1FA</paraID>
      <start>0</start>
      <end>3</end>
      <status>unmodified</status>
      <modifiedWord/>
      <trackRevisions>false</trackRevisions>
    </reviewItem>
    <reviewItem>
      <errorID>d872867d-d36c-48b4-9173-50a860652bcd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73159931</paraID>
      <start>0</start>
      <end>3</end>
      <status>unmodified</status>
      <modifiedWord/>
      <trackRevisions>false</trackRevisions>
    </reviewItem>
    <reviewItem>
      <errorID>a38eb092-abf7-4b1c-a4de-3483b524bd16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21A4E52F</paraID>
      <start>0</start>
      <end>3</end>
      <status>unmodified</status>
      <modifiedWord/>
      <trackRevisions>false</trackRevisions>
    </reviewItem>
    <reviewItem>
      <errorID>2d654e5f-b1e3-4a1e-a452-e221eef5de0d</errorID>
      <errorWord>......</errorWord>
      <group>L1_Punc</group>
      <groupName>标点问题</groupName>
      <ability>L2_Punc</ability>
      <abilityName>标点符号检查</abilityName>
      <candidateList>
        <item>……</item>
      </candidateList>
      <explain/>
      <paraID> ADED021</paraID>
      <start>0</start>
      <end>6</end>
      <status>unmodified</status>
      <modifiedWord/>
      <trackRevisions>false</trackRevisions>
    </reviewItem>
    <reviewItem>
      <errorID>19c6f90e-7e63-4406-806e-9b126ac983b9</errorID>
      <errorWord>......</errorWord>
      <group>L1_Punc</group>
      <groupName>标点问题</groupName>
      <ability>L2_Punc</ability>
      <abilityName>标点符号检查</abilityName>
      <candidateList>
        <item>……</item>
      </candidateList>
      <explain/>
      <paraID>4141D71F</paraID>
      <start>0</start>
      <end>6</end>
      <status>unmodified</status>
      <modifiedWord/>
      <trackRevisions>false</trackRevisions>
    </reviewItem>
    <reviewItem>
      <errorID>d00c345f-d663-4e3f-bd40-bb66019b78f6</errorID>
      <errorWord>（</errorWord>
      <group>L1_Punc</group>
      <groupName>标点问题</groupName>
      <ability>L2_Punc</ability>
      <abilityName>标点符号检查</abilityName>
      <candidateList/>
      <explain>同一形式括号套用。</explain>
      <paraID>7223C78F</paraID>
      <start>12</start>
      <end>13</end>
      <status>unmodified</status>
      <modifiedWord/>
      <trackRevisions>false</trackRevisions>
    </reviewItem>
    <reviewItem>
      <errorID>79d55234-114e-4789-ad3b-aab6ff806112</errorID>
      <errorWord>）</errorWord>
      <group>L1_Punc</group>
      <groupName>标点问题</groupName>
      <ability>L2_Punc</ability>
      <abilityName>标点符号检查</abilityName>
      <candidateList/>
      <explain>同一形式括号套用。</explain>
      <paraID>7223C78F</paraID>
      <start>14</start>
      <end>15</end>
      <status>unmodified</status>
      <modifiedWord/>
      <trackRevisions>false</trackRevisions>
    </reviewItem>
    <reviewItem>
      <errorID>e7958cf4-c863-4dbc-87e6-a3d6f617486f</errorID>
      <errorWord>KW</errorWord>
      <group>L1_Word</group>
      <groupName>字词问题</groupName>
      <ability>L2_Typo</ability>
      <abilityName>字词错误</abilityName>
      <candidateList>
        <item>kW</item>
      </candidateList>
      <explain/>
      <paraID>1B8F639F</paraID>
      <start>4</start>
      <end>6</end>
      <status>unmodified</status>
      <modifiedWord/>
      <trackRevisions>false</trackRevisions>
    </reviewItem>
    <reviewItem>
      <errorID>08022d8e-7267-4474-b515-f156e0b511cb</errorID>
      <errorWord>kw</errorWord>
      <group>L1_Word</group>
      <groupName>字词问题</groupName>
      <ability>L2_Typo</ability>
      <abilityName>字词错误</abilityName>
      <candidateList>
        <item>kW</item>
      </candidateList>
      <explain/>
      <paraID>4E3B36B1</paraID>
      <start>5</start>
      <end>7</end>
      <status>unmodified</status>
      <modifiedWord/>
      <trackRevisions>false</trackRevisions>
    </reviewItem>
    <reviewItem>
      <errorID>b0dec149-a70d-49bf-b343-09421777dab1</errorID>
      <errorWord>......</errorWord>
      <group>L1_Punc</group>
      <groupName>标点问题</groupName>
      <ability>L2_Punc</ability>
      <abilityName>标点符号检查</abilityName>
      <candidateList>
        <item>……</item>
      </candidateList>
      <explain/>
      <paraID>2B8F9A46</paraID>
      <start>0</start>
      <end>6</end>
      <status>unmodified</status>
      <modifiedWord/>
      <trackRevisions>false</trackRevisions>
    </reviewItem>
    <reviewItem>
      <errorID>6d8f9642-9297-4aaa-89b5-1e921be61105</errorID>
      <errorWord>(</errorWord>
      <group>L1_Format</group>
      <groupName>格式问题</groupName>
      <ability>L2_HalfPunc</ability>
      <abilityName>全半角检查</abilityName>
      <candidateList>
        <item>（</item>
      </candidateList>
      <explain>文本全半角错误。</explain>
      <paraID>2AADAE8E</paraID>
      <start>12</start>
      <end>13</end>
      <status>unmodified</status>
      <modifiedWord/>
      <trackRevisions>false</trackRevisions>
    </reviewItem>
    <reviewItem>
      <errorID>2dbd47f0-1c59-4f33-b57e-cbe18fdd1ce6</errorID>
      <errorWord>)</errorWord>
      <group>L1_Format</group>
      <groupName>格式问题</groupName>
      <ability>L2_HalfPunc</ability>
      <abilityName>全半角检查</abilityName>
      <candidateList>
        <item>）</item>
      </candidateList>
      <explain>文本全半角错误。</explain>
      <paraID>2AADAE8E</paraID>
      <start>21</start>
      <end>22</end>
      <status>unmodified</status>
      <modifiedWord/>
      <trackRevisions>false</trackRevisions>
    </reviewItem>
    <reviewItem>
      <errorID>88cf1cd7-bd2a-46d3-9145-e5d4872fe81c</errorID>
      <errorWord>（</errorWord>
      <group>L1_Punc</group>
      <groupName>标点问题</groupName>
      <ability>L2_Punc</ability>
      <abilityName>标点符号检查</abilityName>
      <candidateList/>
      <explain>同一形式括号套用。</explain>
      <paraID>6685F23F</paraID>
      <start>11</start>
      <end>12</end>
      <status>unmodified</status>
      <modifiedWord/>
      <trackRevisions>false</trackRevisions>
    </reviewItem>
    <reviewItem>
      <errorID>64f9817b-e709-40f4-8952-d72b56ffd749</errorID>
      <errorWord>）</errorWord>
      <group>L1_Punc</group>
      <groupName>标点问题</groupName>
      <ability>L2_Punc</ability>
      <abilityName>标点符号检查</abilityName>
      <candidateList/>
      <explain>同一形式括号套用。</explain>
      <paraID>6685F23F</paraID>
      <start>19</start>
      <end>20</end>
      <status>unmodified</status>
      <modifiedWord/>
      <trackRevisions>false</trackRevisions>
    </reviewItem>
    <reviewItem>
      <errorID>8ab87e3d-68e1-4398-bdc8-fc1903b0842f</errorID>
      <errorWord>KW</errorWord>
      <group>L1_Word</group>
      <groupName>字词问题</groupName>
      <ability>L2_Typo</ability>
      <abilityName>字词错误</abilityName>
      <candidateList>
        <item>kW</item>
      </candidateList>
      <explain/>
      <paraID>5F40EBFA</paraID>
      <start>4</start>
      <end>6</end>
      <status>unmodified</status>
      <modifiedWord/>
      <trackRevisions>false</trackRevisions>
    </reviewItem>
    <reviewItem>
      <errorID>f7759c94-d157-4c08-9f02-1946531e09a2</errorID>
      <errorWord>KW</errorWord>
      <group>L1_Word</group>
      <groupName>字词问题</groupName>
      <ability>L2_Typo</ability>
      <abilityName>字词错误</abilityName>
      <candidateList>
        <item>kW</item>
      </candidateList>
      <explain/>
      <paraID>2BD713F4</paraID>
      <start>4</start>
      <end>6</end>
      <status>unmodified</status>
      <modifiedWord/>
      <trackRevisions>false</trackRevisions>
    </reviewItem>
    <reviewItem>
      <errorID>d868c782-6f12-44b2-9695-4c0af69f927d</errorID>
      <errorWord>／</errorWord>
      <group>L1_Format</group>
      <groupName>格式问题</groupName>
      <ability>L2_HalfPunc</ability>
      <abilityName>全半角检查</abilityName>
      <candidateList>
        <item>/</item>
      </candidateList>
      <explain>文本全半角错误。</explain>
      <paraID>1826C973</paraID>
      <start>5</start>
      <end>6</end>
      <status>unmodified</status>
      <modifiedWord/>
      <trackRevisions>false</trackRevisions>
    </reviewItem>
    <reviewItem>
      <errorID>39e8983e-8ce2-4477-acd6-72c27b07b218</errorID>
      <errorWord>转</errorWord>
      <group>L1_Word</group>
      <groupName>字词问题</groupName>
      <ability>L2_Typo</ability>
      <abilityName>字词错误</abilityName>
      <candidateList>
        <item>机</item>
      </candidateList>
      <explain/>
      <paraID>279A22C9</paraID>
      <start>15</start>
      <end>16</end>
      <status>unmodified</status>
      <modifiedWord/>
      <trackRevisions>false</trackRevisions>
    </reviewItem>
    <reviewItem>
      <errorID>e76c760a-9719-4d59-b562-c1669fd253fe</errorID>
      <errorWord>（</errorWord>
      <group>L1_Punc</group>
      <groupName>标点问题</groupName>
      <ability>L2_Punc</ability>
      <abilityName>标点符号检查</abilityName>
      <candidateList/>
      <explain>同一形式括号套用。</explain>
      <paraID>23DE1E87</paraID>
      <start>33</start>
      <end>34</end>
      <status>unmodified</status>
      <modifiedWord/>
      <trackRevisions>false</trackRevisions>
    </reviewItem>
    <reviewItem>
      <errorID>8cafd044-70f1-4239-b999-ea6b7bb63124</errorID>
      <errorWord>）</errorWord>
      <group>L1_Punc</group>
      <groupName>标点问题</groupName>
      <ability>L2_Punc</ability>
      <abilityName>标点符号检查</abilityName>
      <candidateList/>
      <explain>同一形式括号套用。</explain>
      <paraID>23DE1E87</paraID>
      <start>41</start>
      <end>42</end>
      <status>unmodified</status>
      <modifiedWord/>
      <trackRevisions>false</trackRevisions>
    </reviewItem>
    <reviewItem>
      <errorID>e4404eed-c7ea-44e3-b063-f9e6b30be234</errorID>
      <errorWord>KW</errorWord>
      <group>L1_Word</group>
      <groupName>字词问题</groupName>
      <ability>L2_Typo</ability>
      <abilityName>字词错误</abilityName>
      <candidateList>
        <item>kW</item>
      </candidateList>
      <explain/>
      <paraID>26E3D2D7</paraID>
      <start>4</start>
      <end>6</end>
      <status>unmodified</status>
      <modifiedWord/>
      <trackRevisions>false</trackRevisions>
    </reviewItem>
    <reviewItem>
      <errorID>15961acb-1c43-4bbb-83d2-54cd05b6fd2f</errorID>
      <errorWord>KW</errorWord>
      <group>L1_Word</group>
      <groupName>字词问题</groupName>
      <ability>L2_Typo</ability>
      <abilityName>字词错误</abilityName>
      <candidateList>
        <item>kW</item>
      </candidateList>
      <explain/>
      <paraID>444406FA</paraID>
      <start>4</start>
      <end>6</end>
      <status>unmodified</status>
      <modifiedWord/>
      <trackRevisions>false</trackRevisions>
    </reviewItem>
    <reviewItem>
      <errorID>95d38442-1eff-4e49-b600-9d4f0a0ae5dd</errorID>
      <errorWord>KW</errorWord>
      <group>L1_Word</group>
      <groupName>字词问题</groupName>
      <ability>L2_Typo</ability>
      <abilityName>字词错误</abilityName>
      <candidateList>
        <item>kW</item>
      </candidateList>
      <explain/>
      <paraID>6BCB36EA</paraID>
      <start>4</start>
      <end>6</end>
      <status>unmodified</status>
      <modifiedWord/>
      <trackRevisions>false</trackRevisions>
    </reviewItem>
    <reviewItem>
      <errorID>9d3289b0-0481-44aa-96f2-7bb4cc37a6de</errorID>
      <errorWord>kw</errorWord>
      <group>L1_Word</group>
      <groupName>字词问题</groupName>
      <ability>L2_Typo</ability>
      <abilityName>字词错误</abilityName>
      <candidateList>
        <item>kW</item>
      </candidateList>
      <explain/>
      <paraID>1DEE75F8</paraID>
      <start>4</start>
      <end>6</end>
      <status>unmodified</status>
      <modifiedWord/>
      <trackRevisions>false</trackRevisions>
    </reviewItem>
    <reviewItem>
      <errorID>016a1301-fd81-402a-ab13-0cbf82b7e02f</errorID>
      <errorWord>KW</errorWord>
      <group>L1_Word</group>
      <groupName>字词问题</groupName>
      <ability>L2_Typo</ability>
      <abilityName>字词错误</abilityName>
      <candidateList>
        <item>kW</item>
      </candidateList>
      <explain/>
      <paraID>5A770D5D</paraID>
      <start>4</start>
      <end>6</end>
      <status>unmodified</status>
      <modifiedWord/>
      <trackRevisions>false</trackRevisions>
    </reviewItem>
    <reviewItem>
      <errorID>033e98ef-ecae-4fc8-bc13-5d23c000efba</errorID>
      <errorWord>kw</errorWord>
      <group>L1_Word</group>
      <groupName>字词问题</groupName>
      <ability>L2_Typo</ability>
      <abilityName>字词错误</abilityName>
      <candidateList>
        <item>kW</item>
      </candidateList>
      <explain/>
      <paraID>28F01063</paraID>
      <start>4</start>
      <end>6</end>
      <status>unmodified</status>
      <modifiedWord/>
      <trackRevisions>false</trackRevisions>
    </reviewItem>
    <reviewItem>
      <errorID>001c5f4a-f7ec-488b-b909-c7accfad30df</errorID>
      <errorWord>(</errorWord>
      <group>L1_Format</group>
      <groupName>格式问题</groupName>
      <ability>L2_HalfPunc</ability>
      <abilityName>全半角检查</abilityName>
      <candidateList>
        <item>（</item>
      </candidateList>
      <explain>文本全半角错误。</explain>
      <paraID>4A52C937</paraID>
      <start>12</start>
      <end>13</end>
      <status>unmodified</status>
      <modifiedWord/>
      <trackRevisions>false</trackRevisions>
    </reviewItem>
    <reviewItem>
      <errorID>8a4f21b5-1086-449e-8ed5-5a24e624e691</errorID>
      <errorWord>)</errorWord>
      <group>L1_Format</group>
      <groupName>格式问题</groupName>
      <ability>L2_HalfPunc</ability>
      <abilityName>全半角检查</abilityName>
      <candidateList>
        <item>）</item>
      </candidateList>
      <explain>文本全半角错误。</explain>
      <paraID>4A52C937</paraID>
      <start>21</start>
      <end>22</end>
      <status>unmodified</status>
      <modifiedWord/>
      <trackRevisions>false</trackRevisions>
    </reviewItem>
    <reviewItem>
      <errorID>fe90fd2b-dea6-443e-a32a-dba7032de718</errorID>
      <errorWord>热溶</errorWord>
      <group>L1_Word</group>
      <groupName>字词问题</groupName>
      <ability>L2_Typo</ability>
      <abilityName>字词错误</abilityName>
      <candidateList>
        <item>热熔</item>
      </candidateList>
      <explain/>
      <paraID>589DA9F8</paraID>
      <start>3</start>
      <end>5</end>
      <status>unmodified</status>
      <modifiedWord/>
      <trackRevisions>false</trackRevisions>
    </reviewItem>
    <reviewItem>
      <errorID>23daec8d-ae6d-4fda-b2f5-6fb5c56da09c</errorID>
      <errorWord>kw</errorWord>
      <group>L1_Word</group>
      <groupName>字词问题</groupName>
      <ability>L2_Typo</ability>
      <abilityName>字词错误</abilityName>
      <candidateList>
        <item>kW</item>
      </candidateList>
      <explain/>
      <paraID>33C0FDBF</paraID>
      <start>2</start>
      <end>4</end>
      <status>unmodified</status>
      <modifiedWord/>
      <trackRevisions>false</trackRevisions>
    </reviewItem>
    <reviewItem>
      <errorID>6a846a05-90c4-4512-b6f5-531fdc42b763</errorID>
      <errorWord>(</errorWord>
      <group>L1_Format</group>
      <groupName>格式问题</groupName>
      <ability>L2_HalfPunc</ability>
      <abilityName>全半角检查</abilityName>
      <candidateList>
        <item>（</item>
      </candidateList>
      <explain>文本全半角错误。</explain>
      <paraID>44DF910F</paraID>
      <start>12</start>
      <end>13</end>
      <status>unmodified</status>
      <modifiedWord/>
      <trackRevisions>false</trackRevisions>
    </reviewItem>
    <reviewItem>
      <errorID>bc94ded0-94ad-42f1-ab90-63507178849b</errorID>
      <errorWord>)</errorWord>
      <group>L1_Format</group>
      <groupName>格式问题</groupName>
      <ability>L2_HalfPunc</ability>
      <abilityName>全半角检查</abilityName>
      <candidateList>
        <item>）</item>
      </candidateList>
      <explain>文本全半角错误。</explain>
      <paraID>44DF910F</paraID>
      <start>21</start>
      <end>22</end>
      <status>unmodified</status>
      <modifiedWord/>
      <trackRevisions>false</trackRevisions>
    </reviewItem>
    <reviewItem>
      <errorID>51ff52d8-f4c1-47d1-ae22-8203ae055035</errorID>
      <errorWord>）</errorWord>
      <group>L1_Word</group>
      <groupName>字词问题</groupName>
      <ability>L2_Typo</ability>
      <abilityName>字词错误</abilityName>
      <candidateList>
        <item>）作</item>
      </candidateList>
      <explain/>
      <paraID>6BD8BA76</paraID>
      <start>2</start>
      <end>3</end>
      <status>unmodified</status>
      <modifiedWord/>
      <trackRevisions>false</trackRevisions>
    </reviewItem>
    <reviewItem>
      <errorID>90712af1-9a59-4be6-a65e-7dcb19afaf22</errorID>
      <errorWord>委任</errorWord>
      <group>L1_Word</group>
      <groupName>字词问题</groupName>
      <ability>L2_Typo</ability>
      <abilityName>字词错误</abilityName>
      <candidateList>
        <item>委派</item>
      </candidateList>
      <explain>〈动〉派人担任职务或完成某项任务。</explain>
      <paraID>12E38A6D</paraID>
      <start>15</start>
      <end>17</end>
      <status>unmodified</status>
      <modifiedWord/>
      <trackRevisions>false</trackRevisions>
    </reviewItem>
    <reviewItem>
      <errorID>2746c9c5-3cf8-455e-85e8-58ca540b9c06</errorID>
      <errorWord>总额</errorWord>
      <group>L1_Word</group>
      <groupName>字词问题</groupName>
      <ability>L2_Typo</ability>
      <abilityName>字词错误</abilityName>
      <candidateList>
        <item>总</item>
      </candidateList>
      <explain/>
      <paraID>  EB3437</paraID>
      <start>88</start>
      <end>90</end>
      <status>unmodified</status>
      <modifiedWord/>
      <trackRevisions>false</trackRevisions>
    </reviewItem>
    <reviewItem>
      <errorID>71876c96-e4cd-4a13-b67b-d7fcc2f9bce1</errorID>
      <errorWord>总额</errorWord>
      <group>L1_Word</group>
      <groupName>字词问题</groupName>
      <ability>L2_Typo</ability>
      <abilityName>字词错误</abilityName>
      <candidateList>
        <item>总</item>
      </candidateList>
      <explain/>
      <paraID>103F6E2A</paraID>
      <start>26</start>
      <end>28</end>
      <status>unmodified</status>
      <modifiedWord/>
      <trackRevisions>false</trackRevisions>
    </reviewItem>
    <reviewItem>
      <errorID>31aad5f8-3aa9-49d1-b370-03aaf89293e9</errorID>
      <errorWord>求见</errorWord>
      <group>L1_Word</group>
      <groupName>字词问题</groupName>
      <ability>L2_Typo</ability>
      <abilityName>字词错误</abilityName>
      <candidateList>
        <item>详见</item>
      </candidateList>
      <explain/>
      <paraID>291D0736</paraID>
      <start>0</start>
      <end>2</end>
      <status>unmodified</status>
      <modifiedWord/>
      <trackRevisions>false</trackRevisions>
    </reviewItem>
    <reviewItem>
      <errorID>816ed207-ebb1-4fc7-b31a-0cf58bf02b2b</errorID>
      <errorWord>查新</errorWord>
      <group>L1_Word</group>
      <groupName>字词问题</groupName>
      <ability>L2_Typo</ability>
      <abilityName>字词错误</abilityName>
      <candidateList>
        <item>查询</item>
      </candidateList>
      <explain>〈动〉查问▲。</explain>
      <paraID> 8F5439E</paraID>
      <start>194</start>
      <end>196</end>
      <status>unmodified</status>
      <modifiedWord/>
      <trackRevisions>false</trackRevisions>
    </reviewItem>
    <reviewItem>
      <errorID>b98e9ad4-f80b-4adf-a0ca-f8fe5128f047</errorID>
      <errorWord>委任</errorWord>
      <group>L1_Word</group>
      <groupName>字词问题</groupName>
      <ability>L2_Typo</ability>
      <abilityName>字词错误</abilityName>
      <candidateList>
        <item>委派</item>
      </candidateList>
      <explain>〈动〉派人担任职务或完成某项任务。</explain>
      <paraID>7D4D7611</paraID>
      <start>12</start>
      <end>14</end>
      <status>unmodified</status>
      <modifiedWord/>
      <trackRevisions>false</trackRevisions>
    </reviewItem>
    <reviewItem>
      <errorID>d10494d8-5e9a-404b-97c1-131ca469e853</errorID>
      <errorWord>（</errorWord>
      <group>L1_Punc</group>
      <groupName>标点问题</groupName>
      <ability>L2_Punc</ability>
      <abilityName>标点符号检查</abilityName>
      <candidateList/>
      <explain>同一形式括号套用。</explain>
      <paraID>734BACB4</paraID>
      <start>21</start>
      <end>22</end>
      <status>unmodified</status>
      <modifiedWord/>
      <trackRevisions>false</trackRevisions>
    </reviewItem>
    <reviewItem>
      <errorID>28743f16-797e-44de-b5d0-bde91017779b</errorID>
      <errorWord>）</errorWord>
      <group>L1_Punc</group>
      <groupName>标点问题</groupName>
      <ability>L2_Punc</ability>
      <abilityName>标点符号检查</abilityName>
      <candidateList/>
      <explain>同一形式括号套用。</explain>
      <paraID>734BACB4</paraID>
      <start>37</start>
      <end>38</end>
      <status>unmodified</status>
      <modifiedWord/>
      <trackRevisions>false</trackRevisions>
    </reviewItem>
    <reviewItem>
      <errorID>c0d63861-805c-4197-a1b9-2b7f8a9df81a</errorID>
      <errorWord>（</errorWord>
      <group>L1_Punc</group>
      <groupName>标点问题</groupName>
      <ability>L2_Punc</ability>
      <abilityName>标点符号检查</abilityName>
      <candidateList/>
      <explain>同一形式括号套用。</explain>
      <paraID>7C5455AF</paraID>
      <start>80</start>
      <end>81</end>
      <status>unmodified</status>
      <modifiedWord/>
      <trackRevisions>false</trackRevisions>
    </reviewItem>
    <reviewItem>
      <errorID>ad3eae2f-ae18-497f-a803-8e0fd63f1c47</errorID>
      <errorWord>）</errorWord>
      <group>L1_Punc</group>
      <groupName>标点问题</groupName>
      <ability>L2_Punc</ability>
      <abilityName>标点符号检查</abilityName>
      <candidateList/>
      <explain>同一形式括号套用。</explain>
      <paraID>7C5455AF</paraID>
      <start>96</start>
      <end>97</end>
      <status>unmodified</status>
      <modifiedWord/>
      <trackRevisions>false</trackRevisions>
    </reviewItem>
    <reviewItem>
      <errorID>dc7549f0-4533-421c-8385-1fa32b611431</errorID>
      <errorWord>（</errorWord>
      <group>L1_Punc</group>
      <groupName>标点问题</groupName>
      <ability>L2_Punc</ability>
      <abilityName>标点符号检查</abilityName>
      <candidateList/>
      <explain>同一形式括号套用。</explain>
      <paraID>4B55D779</paraID>
      <start>82</start>
      <end>83</end>
      <status>unmodified</status>
      <modifiedWord/>
      <trackRevisions>false</trackRevisions>
    </reviewItem>
    <reviewItem>
      <errorID>e8e7f11b-5a91-4be3-89ef-8f2a5ef8565a</errorID>
      <errorWord>）</errorWord>
      <group>L1_Punc</group>
      <groupName>标点问题</groupName>
      <ability>L2_Punc</ability>
      <abilityName>标点符号检查</abilityName>
      <candidateList/>
      <explain>同一形式括号套用。</explain>
      <paraID>4B55D779</paraID>
      <start>91</start>
      <end>92</end>
      <status>unmodified</status>
      <modifiedWord/>
      <trackRevisions>false</trackRevisions>
    </reviewItem>
    <reviewItem>
      <errorID>554aa745-6d13-4b69-b9da-255fcc60e7a0</errorID>
      <errorWord>(</errorWord>
      <group>L1_Format</group>
      <groupName>格式问题</groupName>
      <ability>L2_HalfPunc</ability>
      <abilityName>全半角检查</abilityName>
      <candidateList>
        <item>（</item>
      </candidateList>
      <explain>文本全半角错误。</explain>
      <paraID>4B55D779</paraID>
      <start>140</start>
      <end>141</end>
      <status>unmodified</status>
      <modifiedWord/>
      <trackRevisions>false</trackRevisions>
    </reviewItem>
    <reviewItem>
      <errorID>aa66be10-78b7-4073-96c1-67fd38de2f44</errorID>
      <errorWord>)</errorWord>
      <group>L1_Format</group>
      <groupName>格式问题</groupName>
      <ability>L2_HalfPunc</ability>
      <abilityName>全半角检查</abilityName>
      <candidateList>
        <item>）</item>
      </candidateList>
      <explain>文本全半角错误。</explain>
      <paraID>4B55D779</paraID>
      <start>176</start>
      <end>177</end>
      <status>unmodified</status>
      <modifiedWord/>
      <trackRevisions>false</trackRevisions>
    </reviewItem>
    <reviewItem>
      <errorID>79e21dca-efd0-4f84-a766-ef1c5a9e2177</errorID>
      <errorWord>（</errorWord>
      <group>L1_Punc</group>
      <groupName>标点问题</groupName>
      <ability>L2_Punc</ability>
      <abilityName>标点符号检查</abilityName>
      <candidateList/>
      <explain>同一形式括号套用。</explain>
      <paraID>4B55D779</paraID>
      <start>195</start>
      <end>196</end>
      <status>unmodified</status>
      <modifiedWord/>
      <trackRevisions>false</trackRevisions>
    </reviewItem>
    <reviewItem>
      <errorID>f120c9a5-41b9-4aa8-b1ae-3b4b1a6fc811</errorID>
      <errorWord>）</errorWord>
      <group>L1_Punc</group>
      <groupName>标点问题</groupName>
      <ability>L2_Punc</ability>
      <abilityName>标点符号检查</abilityName>
      <candidateList/>
      <explain>同一形式括号套用。</explain>
      <paraID>4B55D779</paraID>
      <start>204</start>
      <end>205</end>
      <status>unmodified</status>
      <modifiedWord/>
      <trackRevisions>false</trackRevisions>
    </reviewItem>
    <reviewItem>
      <errorID>ea24bc8d-af17-4528-9775-5561ca543022</errorID>
      <errorWord>（</errorWord>
      <group>L1_Punc</group>
      <groupName>标点问题</groupName>
      <ability>L2_Punc</ability>
      <abilityName>标点符号检查</abilityName>
      <candidateList/>
      <explain>同一形式括号套用。</explain>
      <paraID>4B55D779</paraID>
      <start>210</start>
      <end>211</end>
      <status>unmodified</status>
      <modifiedWord/>
      <trackRevisions>false</trackRevisions>
    </reviewItem>
    <reviewItem>
      <errorID>5cfd9dec-14f4-4962-85fb-7179bdc4b78a</errorID>
      <errorWord>）</errorWord>
      <group>L1_Punc</group>
      <groupName>标点问题</groupName>
      <ability>L2_Punc</ability>
      <abilityName>标点符号检查</abilityName>
      <candidateList/>
      <explain>同一形式括号套用。</explain>
      <paraID>4B55D779</paraID>
      <start>213</start>
      <end>214</end>
      <status>unmodified</status>
      <modifiedWord/>
      <trackRevisions>false</trackRevisions>
    </reviewItem>
    <reviewItem>
      <errorID>fa8a00fc-5a5e-417f-9df1-273e1087c398</errorID>
      <errorWord>委任</errorWord>
      <group>L1_Word</group>
      <groupName>字词问题</groupName>
      <ability>L2_Typo</ability>
      <abilityName>字词错误</abilityName>
      <candidateList>
        <item>委派</item>
      </candidateList>
      <explain>〈动〉派人担任职务或完成某项任务。</explain>
      <paraID>4B55D779</paraID>
      <start>231</start>
      <end>233</end>
      <status>unmodified</status>
      <modifiedWord/>
      <trackRevisions>false</trackRevisions>
    </reviewItem>
    <reviewItem>
      <errorID>c494d2b5-3e34-499f-abe2-d33abe04848b</errorID>
      <errorWord>委任</errorWord>
      <group>L1_Word</group>
      <groupName>字词问题</groupName>
      <ability>L2_Typo</ability>
      <abilityName>字词错误</abilityName>
      <candidateList>
        <item>委派</item>
      </candidateList>
      <explain>〈动〉派人担任职务或完成某项任务。</explain>
      <paraID>1D146270</paraID>
      <start>12</start>
      <end>14</end>
      <status>unmodified</status>
      <modifiedWord/>
      <trackRevisions>false</trackRevisions>
    </reviewItem>
    <reviewItem>
      <errorID>258963dd-371a-4859-918c-3b2087d2be2f</errorID>
      <errorWord>（</errorWord>
      <group>L1_Punc</group>
      <groupName>标点问题</groupName>
      <ability>L2_Punc</ability>
      <abilityName>标点符号检查</abilityName>
      <candidateList/>
      <explain>同一形式括号套用。</explain>
      <paraID>1D146270</paraID>
      <start>142</start>
      <end>143</end>
      <status>unmodified</status>
      <modifiedWord/>
      <trackRevisions>false</trackRevisions>
    </reviewItem>
    <reviewItem>
      <errorID>6d8de24c-c64d-43af-a597-ebb24cb3a354</errorID>
      <errorWord>）</errorWord>
      <group>L1_Punc</group>
      <groupName>标点问题</groupName>
      <ability>L2_Punc</ability>
      <abilityName>标点符号检查</abilityName>
      <candidateList/>
      <explain>同一形式括号套用。</explain>
      <paraID>1D146270</paraID>
      <start>151</start>
      <end>152</end>
      <status>unmodified</status>
      <modifiedWord/>
      <trackRevisions>false</trackRevisions>
    </reviewItem>
    <reviewItem>
      <errorID>e5413532-70ed-4cde-9dc5-ac66f47f1d23</errorID>
      <errorWord>(</errorWord>
      <group>L1_Format</group>
      <groupName>格式问题</groupName>
      <ability>L2_HalfPunc</ability>
      <abilityName>全半角检查</abilityName>
      <candidateList>
        <item>（</item>
      </candidateList>
      <explain>文本全半角错误。</explain>
      <paraID>1D146270</paraID>
      <start>201</start>
      <end>202</end>
      <status>unmodified</status>
      <modifiedWord/>
      <trackRevisions>false</trackRevisions>
    </reviewItem>
    <reviewItem>
      <errorID>6a01b0de-df98-466f-a18d-711ac77b6609</errorID>
      <errorWord>)</errorWord>
      <group>L1_Format</group>
      <groupName>格式问题</groupName>
      <ability>L2_HalfPunc</ability>
      <abilityName>全半角检查</abilityName>
      <candidateList>
        <item>）</item>
      </candidateList>
      <explain>文本全半角错误。</explain>
      <paraID>1D146270</paraID>
      <start>237</start>
      <end>238</end>
      <status>unmodified</status>
      <modifiedWord/>
      <trackRevisions>false</trackRevisions>
    </reviewItem>
    <reviewItem>
      <errorID>9a725bc2-e55c-468b-8fa3-fdcce27da44d</errorID>
      <errorWord>（</errorWord>
      <group>L1_Punc</group>
      <groupName>标点问题</groupName>
      <ability>L2_Punc</ability>
      <abilityName>标点符号检查</abilityName>
      <candidateList/>
      <explain>同一形式括号套用。</explain>
      <paraID>1D146270</paraID>
      <start>256</start>
      <end>257</end>
      <status>unmodified</status>
      <modifiedWord/>
      <trackRevisions>false</trackRevisions>
    </reviewItem>
    <reviewItem>
      <errorID>ac3ee79c-83e0-4237-8861-f0dfc9e79eb9</errorID>
      <errorWord>）</errorWord>
      <group>L1_Punc</group>
      <groupName>标点问题</groupName>
      <ability>L2_Punc</ability>
      <abilityName>标点符号检查</abilityName>
      <candidateList/>
      <explain>同一形式括号套用。</explain>
      <paraID>1D146270</paraID>
      <start>265</start>
      <end>266</end>
      <status>unmodified</status>
      <modifiedWord/>
      <trackRevisions>false</trackRevisions>
    </reviewItem>
    <reviewItem>
      <errorID>88a3cafa-dd0f-4860-9f2a-e8e6ecab81b8</errorID>
      <errorWord>（</errorWord>
      <group>L1_Punc</group>
      <groupName>标点问题</groupName>
      <ability>L2_Punc</ability>
      <abilityName>标点符号检查</abilityName>
      <candidateList/>
      <explain>同一形式括号套用。</explain>
      <paraID>1D146270</paraID>
      <start>271</start>
      <end>272</end>
      <status>unmodified</status>
      <modifiedWord/>
      <trackRevisions>false</trackRevisions>
    </reviewItem>
    <reviewItem>
      <errorID>58b33b87-61d2-44c1-b957-023d143d81b7</errorID>
      <errorWord>）</errorWord>
      <group>L1_Punc</group>
      <groupName>标点问题</groupName>
      <ability>L2_Punc</ability>
      <abilityName>标点符号检查</abilityName>
      <candidateList/>
      <explain>同一形式括号套用。</explain>
      <paraID>1D146270</paraID>
      <start>274</start>
      <end>275</end>
      <status>unmodified</status>
      <modifiedWord/>
      <trackRevisions>false</trackRevisions>
    </reviewItem>
    <reviewItem>
      <errorID>7e6d9e53-3787-46ab-afa5-f9cf7b38021e</errorID>
      <errorWord>委任</errorWord>
      <group>L1_Word</group>
      <groupName>字词问题</groupName>
      <ability>L2_Typo</ability>
      <abilityName>字词错误</abilityName>
      <candidateList>
        <item>委派</item>
      </candidateList>
      <explain>〈动〉派人担任职务或完成某项任务。</explain>
      <paraID>1D146270</paraID>
      <start>292</start>
      <end>294</end>
      <status>unmodified</status>
      <modifiedWord/>
      <trackRevisions>false</trackRevisions>
    </reviewItem>
    <reviewItem>
      <errorID>8151aa4b-0522-48ac-95f4-7c6ff033326e</errorID>
      <errorWord>(</errorWord>
      <group>L1_Format</group>
      <groupName>格式问题</groupName>
      <ability>L2_HalfPunc</ability>
      <abilityName>全半角检查</abilityName>
      <candidateList>
        <item>（</item>
      </candidateList>
      <explain>文本全半角错误。</explain>
      <paraID>3849F6C2</paraID>
      <start>116</start>
      <end>117</end>
      <status>unmodified</status>
      <modifiedWord/>
      <trackRevisions>false</trackRevisions>
    </reviewItem>
    <reviewItem>
      <errorID>f339cbf0-3798-47db-9f4a-35e8b9e31ed7</errorID>
      <errorWord>)</errorWord>
      <group>L1_Format</group>
      <groupName>格式问题</groupName>
      <ability>L2_HalfPunc</ability>
      <abilityName>全半角检查</abilityName>
      <candidateList>
        <item>）</item>
      </candidateList>
      <explain>文本全半角错误。</explain>
      <paraID>3849F6C2</paraID>
      <start>137</start>
      <end>138</end>
      <status>unmodified</status>
      <modifiedWord/>
      <trackRevisions>false</trackRevisions>
    </reviewItem>
    <reviewItem>
      <errorID>2d446a1a-099d-4d7a-a42c-d7db7f7329e3</errorID>
      <errorWord>委任</errorWord>
      <group>L1_Word</group>
      <groupName>字词问题</groupName>
      <ability>L2_Typo</ability>
      <abilityName>字词错误</abilityName>
      <candidateList>
        <item>委派</item>
      </candidateList>
      <explain>〈动〉派人担任职务或完成某项任务。</explain>
      <paraID>271FBA73</paraID>
      <start>12</start>
      <end>14</end>
      <status>unmodified</status>
      <modifiedWord/>
      <trackRevisions>false</trackRevisions>
    </reviewItem>
    <reviewItem>
      <errorID>6f4b6ca1-af41-4c99-baa9-0e8ce95db8e6</errorID>
      <errorWord>委任</errorWord>
      <group>L1_Word</group>
      <groupName>字词问题</groupName>
      <ability>L2_Typo</ability>
      <abilityName>字词错误</abilityName>
      <candidateList>
        <item>委派</item>
      </candidateList>
      <explain>〈动〉派人担任职务或完成某项任务。</explain>
      <paraID>271FBA73</paraID>
      <start>147</start>
      <end>149</end>
      <status>unmodified</status>
      <modifiedWord/>
      <trackRevisions>false</trackRevisions>
    </reviewItem>
    <reviewItem>
      <errorID>9d0240c6-eb8f-471c-8bf1-a43cc9fabba2</errorID>
      <errorWord>委任</errorWord>
      <group>L1_Word</group>
      <groupName>字词问题</groupName>
      <ability>L2_Typo</ability>
      <abilityName>字词错误</abilityName>
      <candidateList>
        <item>委派</item>
      </candidateList>
      <explain>〈动〉派人担任职务或完成某项任务。</explain>
      <paraID>70578732</paraID>
      <start>8</start>
      <end>10</end>
      <status>unmodified</status>
      <modifiedWord/>
      <trackRevisions>false</trackRevisions>
    </reviewItem>
    <reviewItem>
      <errorID>a8e75380-1cbf-4902-95b5-e18bfa49a480</errorID>
      <errorWord>委任</errorWord>
      <group>L1_Word</group>
      <groupName>字词问题</groupName>
      <ability>L2_Typo</ability>
      <abilityName>字词错误</abilityName>
      <candidateList>
        <item>委派</item>
      </candidateList>
      <explain>〈动〉派人担任职务或完成某项任务。</explain>
      <paraID>70578732</paraID>
      <start>61</start>
      <end>63</end>
      <status>unmodified</status>
      <modifiedWord/>
      <trackRevisions>false</trackRevisions>
    </reviewItem>
    <reviewItem>
      <errorID>f4881f48-a9c0-41a1-9f6d-c146bcb4aea3</errorID>
      <errorWord>委任</errorWord>
      <group>L1_Word</group>
      <groupName>字词问题</groupName>
      <ability>L2_Typo</ability>
      <abilityName>字词错误</abilityName>
      <candidateList>
        <item>委派</item>
      </candidateList>
      <explain>〈动〉派人担任职务或完成某项任务。</explain>
      <paraID>70578732</paraID>
      <start>147</start>
      <end>149</end>
      <status>unmodified</status>
      <modifiedWord/>
      <trackRevisions>false</trackRevisions>
    </reviewItem>
    <reviewItem>
      <errorID>3ed614ac-d4e8-4eae-8d18-f5da6e263d5f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71F9FF84</paraID>
      <start>0</start>
      <end>3</end>
      <status>unmodified</status>
      <modifiedWord/>
      <trackRevisions>false</trackRevisions>
    </reviewItem>
    <reviewItem>
      <errorID>5150f559-6baa-420a-ad48-075dfe394df7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28EBA97B</paraID>
      <start>0</start>
      <end>3</end>
      <status>unmodified</status>
      <modifiedWord/>
      <trackRevisions>false</trackRevisions>
    </reviewItem>
    <reviewItem>
      <errorID>997f2df0-9ee5-4d13-985f-0b0e8bfb0029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6DACAEDB</paraID>
      <start>0</start>
      <end>3</end>
      <status>unmodified</status>
      <modifiedWord/>
      <trackRevisions>false</trackRevisions>
    </reviewItem>
    <reviewItem>
      <errorID>ab30f66d-f2df-400a-8583-8bb5987cf3c0</errorID>
      <errorWord>文</errorWord>
      <group>L1_Word</group>
      <groupName>字词问题</groupName>
      <ability>L2_Typo</ability>
      <abilityName>字词错误</abilityName>
      <candidateList>
        <item>文件</item>
      </candidateList>
      <explain/>
      <paraID>6DACAEDB</paraID>
      <start>36</start>
      <end>37</end>
      <status>unmodified</status>
      <modifiedWord/>
      <trackRevisions>false</trackRevisions>
    </reviewItem>
    <reviewItem>
      <errorID>26c3ae18-e834-4460-bc02-75bd90cc6619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6EE8C421</paraID>
      <start>0</start>
      <end>3</end>
      <status>unmodified</status>
      <modifiedWord/>
      <trackRevisions>false</trackRevisions>
    </reviewItem>
    <reviewItem>
      <errorID>9c32fc90-ae2e-4dbd-b269-0ebbd742ac98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5AEF36AA</paraID>
      <start>0</start>
      <end>3</end>
      <status>unmodified</status>
      <modifiedWord/>
      <trackRevisions>false</trackRevisions>
    </reviewItem>
    <reviewItem>
      <errorID>97041baf-4728-468f-a7dd-6632a8b70e32</errorID>
      <errorWord>文</errorWord>
      <group>L1_Word</group>
      <groupName>字词问题</groupName>
      <ability>L2_Typo</ability>
      <abilityName>字词错误</abilityName>
      <candidateList>
        <item>文件</item>
      </candidateList>
      <explain/>
      <paraID>6D284A86</paraID>
      <start>38</start>
      <end>39</end>
      <status>unmodified</status>
      <modifiedWord/>
      <trackRevisions>false</trackRevisions>
    </reviewItem>
    <reviewItem>
      <errorID>7e4bee6a-27c6-4d10-b2a9-58f26bb1e763</errorID>
      <errorWord>长</errorWord>
      <group>L1_Word</group>
      <groupName>字词问题</groupName>
      <ability>L2_Typo</ability>
      <abilityName>字词错误</abilityName>
      <candidateList>
        <item>长和</item>
      </candidateList>
      <explain/>
      <paraID>7BBA99F3</paraID>
      <start>40</start>
      <end>41</end>
      <status>unmodified</status>
      <modifiedWord/>
      <trackRevisions>false</trackRevisions>
    </reviewItem>
    <reviewItem>
      <errorID>e42da34c-a92d-403e-8328-e29785ded0ac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522E91AA</paraID>
      <start>0</start>
      <end>3</end>
      <status>unmodified</status>
      <modifiedWord/>
      <trackRevisions>false</trackRevisions>
    </reviewItem>
    <reviewItem>
      <errorID>8674a402-8e5f-4603-874f-1da60f9708fd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285F5B2</paraID>
      <start>0</start>
      <end>3</end>
      <status>unmodified</status>
      <modifiedWord/>
      <trackRevisions>false</trackRevisions>
    </reviewItem>
    <reviewItem>
      <errorID>39b97caa-b61c-49b2-8b7a-4c292f66c638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2B645184</paraID>
      <start>0</start>
      <end>3</end>
      <status>unmodified</status>
      <modifiedWord/>
      <trackRevisions>false</trackRevisions>
    </reviewItem>
    <reviewItem>
      <errorID>fa0556c6-5488-4181-a8ee-6662a375b1e6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497CF977</paraID>
      <start>0</start>
      <end>3</end>
      <status>unmodified</status>
      <modifiedWord/>
      <trackRevisions>false</trackRevisions>
    </reviewItem>
    <reviewItem>
      <errorID>f9503eb1-a8f6-42c0-af6d-23c4a3de64f5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5E873AD1</paraID>
      <start>0</start>
      <end>3</end>
      <status>unmodified</status>
      <modifiedWord/>
      <trackRevisions>false</trackRevisions>
    </reviewItem>
    <reviewItem>
      <errorID>ff04c0f4-8da6-432e-8f09-d81e503d25e2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6B429722</paraID>
      <start>0</start>
      <end>3</end>
      <status>unmodified</status>
      <modifiedWord/>
      <trackRevisions>false</trackRevisions>
    </reviewItem>
    <reviewItem>
      <errorID>96db7a2a-18aa-408c-bea3-2592ff16cf47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7A1B82E4</paraID>
      <start>0</start>
      <end>3</end>
      <status>unmodified</status>
      <modifiedWord/>
      <trackRevisions>false</trackRevisions>
    </reviewItem>
    <reviewItem>
      <errorID>b0f85b69-8a1a-4b3e-a169-b714030542fe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7A07E849</paraID>
      <start>0</start>
      <end>3</end>
      <status>unmodified</status>
      <modifiedWord/>
      <trackRevisions>false</trackRevisions>
    </reviewItem>
    <reviewItem>
      <errorID>3d473807-1e06-4fc2-afc0-eb947e27b08f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7EE5B4FF</paraID>
      <start>0</start>
      <end>3</end>
      <status>unmodified</status>
      <modifiedWord/>
      <trackRevisions>false</trackRevisions>
    </reviewItem>
    <reviewItem>
      <errorID>d4fabdcf-0d9f-4d53-a372-6b9e46d87a4e</errorID>
      <errorWord>，</errorWord>
      <group>L1_Word</group>
      <groupName>字词问题</groupName>
      <ability>L2_Typo</ability>
      <abilityName>字词错误</abilityName>
      <candidateList>
        <item>，由</item>
      </candidateList>
      <explain/>
      <paraID>536638BF</paraID>
      <start>13</start>
      <end>14</end>
      <status>unmodified</status>
      <modifiedWord/>
      <trackRevisions>false</trackRevisions>
    </reviewItem>
    <reviewItem>
      <errorID>f9cf0b1d-da76-4992-9f48-0d0388fddeaf</errorID>
      <errorWord>联合体中</errorWord>
      <group>L1_Word</group>
      <groupName>字词问题</groupName>
      <ability>L2_Typo</ability>
      <abilityName>字词错误</abilityName>
      <candidateList>
        <item>联合体</item>
      </candidateList>
      <explain/>
      <paraID> 9C3C58E</paraID>
      <start>139</start>
      <end>143</end>
      <status>unmodified</status>
      <modifiedWord/>
      <trackRevisions>false</trackRevisions>
    </reviewItem>
    <reviewItem>
      <errorID>4d12e2c2-df19-4db4-a531-04f33f853e3e</errorID>
      <errorWord>及</errorWord>
      <group>L1_Word</group>
      <groupName>字词问题</groupName>
      <ability>L2_Typo</ability>
      <abilityName>字词错误</abilityName>
      <candidateList>
        <item>及与</item>
      </candidateList>
      <explain/>
      <paraID>146E502A</paraID>
      <start>52</start>
      <end>53</end>
      <status>unmodified</status>
      <modifiedWord/>
      <trackRevisions>false</trackRevisions>
    </reviewItem>
    <reviewItem>
      <errorID>a728bad4-0d4a-49fd-99e0-2b03d759412d</errorID>
      <errorWord>(</errorWord>
      <group>L1_Format</group>
      <groupName>格式问题</groupName>
      <ability>L2_HalfPunc</ability>
      <abilityName>全半角检查</abilityName>
      <candidateList>
        <item>（</item>
      </candidateList>
      <explain>文本全半角错误。</explain>
      <paraID>26267B54</paraID>
      <start>66</start>
      <end>67</end>
      <status>unmodified</status>
      <modifiedWord/>
      <trackRevisions>false</trackRevisions>
    </reviewItem>
    <reviewItem>
      <errorID>52bf7c6d-7990-4c3e-a0e3-14408c3b9cf4</errorID>
      <errorWord>)</errorWord>
      <group>L1_Format</group>
      <groupName>格式问题</groupName>
      <ability>L2_HalfPunc</ability>
      <abilityName>全半角检查</abilityName>
      <candidateList>
        <item>）</item>
      </candidateList>
      <explain>文本全半角错误。</explain>
      <paraID>26267B54</paraID>
      <start>78</start>
      <end>79</end>
      <status>unmodified</status>
      <modifiedWord/>
      <trackRevisions>false</trackRevisions>
    </reviewItem>
    <reviewItem>
      <errorID>b4dcb1a8-a143-4644-8a0a-fc858946c8df</errorID>
      <errorWord>)</errorWord>
      <group>L1_Format</group>
      <groupName>格式问题</groupName>
      <ability>L2_HalfPunc</ability>
      <abilityName>全半角检查</abilityName>
      <candidateList>
        <item>）</item>
      </candidateList>
      <explain>文本全半角错误。</explain>
      <paraID>2E2CD1B5</paraID>
      <start>50</start>
      <end>51</end>
      <status>unmodified</status>
      <modifiedWord/>
      <trackRevisions>false</trackRevisions>
    </reviewItem>
    <reviewItem>
      <errorID>c1c64f36-eb08-4245-9afd-0eb62f6b2928</errorID>
      <errorWord>)</errorWord>
      <group>L1_Format</group>
      <groupName>格式问题</groupName>
      <ability>L2_HalfPunc</ability>
      <abilityName>全半角检查</abilityName>
      <candidateList>
        <item>）</item>
      </candidateList>
      <explain>文本全半角错误。</explain>
      <paraID> CB11E4F</paraID>
      <start>26</start>
      <end>27</end>
      <status>unmodified</status>
      <modifiedWord/>
      <trackRevisions>false</trackRevisions>
    </reviewItem>
    <reviewItem>
      <errorID>13464936-fb1c-4e14-9d8b-f7dc990641e4</errorID>
      <errorWord>(</errorWord>
      <group>L1_Format</group>
      <groupName>格式问题</groupName>
      <ability>L2_HalfPunc</ability>
      <abilityName>全半角检查</abilityName>
      <candidateList>
        <item>（</item>
      </candidateList>
      <explain>文本全半角错误。</explain>
      <paraID>3C1A26C9</paraID>
      <start>29</start>
      <end>30</end>
      <status>unmodified</status>
      <modifiedWord/>
      <trackRevisions>false</trackRevisions>
    </reviewItem>
    <reviewItem>
      <errorID>53d9b214-9c2d-49e3-9101-9425f81331fc</errorID>
      <errorWord>)</errorWord>
      <group>L1_Format</group>
      <groupName>格式问题</groupName>
      <ability>L2_HalfPunc</ability>
      <abilityName>全半角检查</abilityName>
      <candidateList>
        <item>）</item>
      </candidateList>
      <explain>文本全半角错误。</explain>
      <paraID>3C1A26C9</paraID>
      <start>45</start>
      <end>46</end>
      <status>unmodified</status>
      <modifiedWord/>
      <trackRevisions>false</trackRevisions>
    </reviewItem>
    <reviewItem>
      <errorID>a8edfb6f-5407-4db1-9886-90f09d20db88</errorID>
      <errorWord>)</errorWord>
      <group>L1_Format</group>
      <groupName>格式问题</groupName>
      <ability>L2_HalfPunc</ability>
      <abilityName>全半角检查</abilityName>
      <candidateList>
        <item>）</item>
      </candidateList>
      <explain>文本全半角错误。</explain>
      <paraID>34676331</paraID>
      <start>26</start>
      <end>27</end>
      <status>unmodified</status>
      <modifiedWord/>
      <trackRevisions>false</trackRevisions>
    </reviewItem>
    <reviewItem>
      <errorID>01dabd34-26b5-4350-8dca-12e23728a629</errorID>
      <errorWord>)</errorWord>
      <group>L1_Format</group>
      <groupName>格式问题</groupName>
      <ability>L2_HalfPunc</ability>
      <abilityName>全半角检查</abilityName>
      <candidateList>
        <item>）</item>
      </candidateList>
      <explain>文本全半角错误。</explain>
      <paraID>34676331</paraID>
      <start>45</start>
      <end>46</end>
      <status>unmodified</status>
      <modifiedWord/>
      <trackRevisions>false</trackRevisions>
    </reviewItem>
    <reviewItem>
      <errorID>af922562-c9b9-41df-8c8d-446c2a3df9a2</errorID>
      <errorWord>(</errorWord>
      <group>L1_Format</group>
      <groupName>格式问题</groupName>
      <ability>L2_HalfPunc</ability>
      <abilityName>全半角检查</abilityName>
      <candidateList>
        <item>（</item>
      </candidateList>
      <explain>文本全半角错误。</explain>
      <paraID>756AC3F2</paraID>
      <start>0</start>
      <end>1</end>
      <status>unmodified</status>
      <modifiedWord/>
      <trackRevisions>false</trackRevisions>
    </reviewItem>
    <reviewItem>
      <errorID>05c56562-7f91-4575-9810-47136f9c0501</errorID>
      <errorWord>)</errorWord>
      <group>L1_Format</group>
      <groupName>格式问题</groupName>
      <ability>L2_HalfPunc</ability>
      <abilityName>全半角检查</abilityName>
      <candidateList>
        <item>）</item>
      </candidateList>
      <explain>文本全半角错误。</explain>
      <paraID>756AC3F2</paraID>
      <start>9</start>
      <end>10</end>
      <status>unmodified</status>
      <modifiedWord/>
      <trackRevisions>false</trackRevisions>
    </reviewItem>
    <reviewItem>
      <errorID>24801af0-16cf-49cf-8989-4a323c6e4a09</errorID>
      <errorWord>,</errorWord>
      <group>L1_Format</group>
      <groupName>格式问题</groupName>
      <ability>L2_HalfPunc</ability>
      <abilityName>全半角检查</abilityName>
      <candidateList>
        <item>，</item>
      </candidateList>
      <explain>文本全半角错误。</explain>
      <paraID> 86C5477</paraID>
      <start>40</start>
      <end>41</end>
      <status>unmodified</status>
      <modifiedWord/>
      <trackRevisions>false</trackRevisions>
    </reviewItem>
    <reviewItem>
      <errorID>47ee3317-7e35-4db8-9f72-c244863af6f1</errorID>
      <errorWord>(</errorWord>
      <group>L1_Format</group>
      <groupName>格式问题</groupName>
      <ability>L2_HalfPunc</ability>
      <abilityName>全半角检查</abilityName>
      <candidateList>
        <item>（</item>
      </candidateList>
      <explain>文本全半角错误。</explain>
      <paraID>7DF57ED5</paraID>
      <start>133</start>
      <end>134</end>
      <status>unmodified</status>
      <modifiedWord/>
      <trackRevisions>false</trackRevisions>
    </reviewItem>
    <reviewItem>
      <errorID>a89ed040-8e5d-4ebf-b97e-e4300f913089</errorID>
      <errorWord>)</errorWord>
      <group>L1_Format</group>
      <groupName>格式问题</groupName>
      <ability>L2_HalfPunc</ability>
      <abilityName>全半角检查</abilityName>
      <candidateList>
        <item>）</item>
      </candidateList>
      <explain>文本全半角错误。</explain>
      <paraID>7DF57ED5</paraID>
      <start>179</start>
      <end>180</end>
      <status>unmodified</status>
      <modifiedWord/>
      <trackRevisions>false</trackRevisions>
    </reviewItem>
    <reviewItem>
      <errorID>bba8f587-2b0d-4a12-ac80-d56f8381ea60</errorID>
      <errorWord>(</errorWord>
      <group>L1_Format</group>
      <groupName>格式问题</groupName>
      <ability>L2_HalfPunc</ability>
      <abilityName>全半角检查</abilityName>
      <candidateList>
        <item>（</item>
      </candidateList>
      <explain>文本全半角错误。</explain>
      <paraID>132E3759</paraID>
      <start>5</start>
      <end>6</end>
      <status>unmodified</status>
      <modifiedWord/>
      <trackRevisions>false</trackRevisions>
    </reviewItem>
    <reviewItem>
      <errorID>91b8d2b4-6a43-40d3-979d-2d055427bb9a</errorID>
      <errorWord>(</errorWord>
      <group>L1_Format</group>
      <groupName>格式问题</groupName>
      <ability>L2_HalfPunc</ability>
      <abilityName>全半角检查</abilityName>
      <candidateList>
        <item>（</item>
      </candidateList>
      <explain>文本全半角错误。</explain>
      <paraID>45132BF8</paraID>
      <start>10</start>
      <end>11</end>
      <status>unmodified</status>
      <modifiedWord/>
      <trackRevisions>false</trackRevisions>
    </reviewItem>
    <reviewItem>
      <errorID>c3b0c05e-7c9d-4a9a-84a0-405f8e3828d8</errorID>
      <errorWord>（</errorWord>
      <group>L1_Format</group>
      <groupName>格式问题</groupName>
      <ability>L2_HalfPunc</ability>
      <abilityName>全半角检查</abilityName>
      <candidateList>
        <item>(</item>
      </candidateList>
      <explain>文本全半角错误。</explain>
      <paraID>651ACB60</paraID>
      <start>5</start>
      <end>6</end>
      <status>unmodified</status>
      <modifiedWord/>
      <trackRevisions>false</trackRevisions>
    </reviewItem>
    <reviewItem>
      <errorID>d5f6b99b-d8b4-4899-95cf-ae76469c659a</errorID>
      <errorWord>）</errorWord>
      <group>L1_Format</group>
      <groupName>格式问题</groupName>
      <ability>L2_HalfPunc</ability>
      <abilityName>全半角检查</abilityName>
      <candidateList>
        <item>)</item>
      </candidateList>
      <explain>文本全半角错误。</explain>
      <paraID>651ACB60</paraID>
      <start>7</start>
      <end>8</end>
      <status>unmodified</status>
      <modifiedWord/>
      <trackRevisions>false</trackRevisions>
    </reviewItem>
    <reviewItem>
      <errorID>ba75a504-c8aa-4bd7-8a4d-7c8fbf4e81ff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77A77706</paraID>
      <start>0</start>
      <end>3</end>
      <status>unmodified</status>
      <modifiedWord/>
      <trackRevisions>false</trackRevisions>
    </reviewItem>
    <reviewItem>
      <errorID>a904692f-d761-4deb-b414-a5e34aaf381a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12FB9AD5</paraID>
      <start>0</start>
      <end>3</end>
      <status>unmodified</status>
      <modifiedWord/>
      <trackRevisions>false</trackRevisions>
    </reviewItem>
    <reviewItem>
      <errorID>33f1bf2a-d232-4444-ac96-1b0f1bcddac7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7AFADC69</paraID>
      <start>0</start>
      <end>3</end>
      <status>unmodified</status>
      <modifiedWord/>
      <trackRevisions>false</trackRevisions>
    </reviewItem>
    <reviewItem>
      <errorID>020360dd-4231-4f38-bdf7-d465a558cd43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6FF128D6</paraID>
      <start>0</start>
      <end>3</end>
      <status>unmodified</status>
      <modifiedWord/>
      <trackRevisions>false</trackRevisions>
    </reviewItem>
    <reviewItem>
      <errorID>f5f43253-42ec-4373-bfd4-98662e0fd2e8</errorID>
      <errorWord>（</errorWord>
      <group>L1_Format</group>
      <groupName>格式问题</groupName>
      <ability>L2_HalfPunc</ability>
      <abilityName>全半角检查</abilityName>
      <candidateList>
        <item>(</item>
      </candidateList>
      <explain>文本全半角错误。</explain>
      <paraID>3C22F2DF</paraID>
      <start>5</start>
      <end>6</end>
      <status>unmodified</status>
      <modifiedWord/>
      <trackRevisions>false</trackRevisions>
    </reviewItem>
    <reviewItem>
      <errorID>3bd45c9f-1c26-4574-ab7c-63ed2a8c11b2</errorID>
      <errorWord>）</errorWord>
      <group>L1_Format</group>
      <groupName>格式问题</groupName>
      <ability>L2_HalfPunc</ability>
      <abilityName>全半角检查</abilityName>
      <candidateList>
        <item>)</item>
      </candidateList>
      <explain>文本全半角错误。</explain>
      <paraID>3C22F2DF</paraID>
      <start>7</start>
      <end>8</end>
      <status>unmodified</status>
      <modifiedWord/>
      <trackRevisions>false</trackRevisions>
    </reviewItem>
    <reviewItem>
      <errorID>5c8a3fb8-d55e-42f8-82bb-2d08200db581</errorID>
      <errorWord>允许中</errorWord>
      <group>L1_Word</group>
      <groupName>字词问题</groupName>
      <ability>L2_Typo</ability>
      <abilityName>字词错误</abilityName>
      <candidateList>
        <item>允许</item>
      </candidateList>
      <explain/>
      <paraID>39B899DB</paraID>
      <start>23</start>
      <end>26</end>
      <status>unmodified</status>
      <modifiedWord/>
      <trackRevisions>false</trackRevisions>
    </reviewItem>
    <reviewItem>
      <errorID>b10a0f84-1aaa-4662-9b36-987aa82a5fe0</errorID>
      <errorWord>广东省等</errorWord>
      <group>L1_Word</group>
      <groupName>字词问题</groupName>
      <ability>L2_Typo</ability>
      <abilityName>字词错误</abilityName>
      <candidateList>
        <item>广东省</item>
      </candidateList>
      <explain/>
      <paraID>2127A5C2</paraID>
      <start>13</start>
      <end>17</end>
      <status>unmodified</status>
      <modifiedWord/>
      <trackRevisions>false</trackRevisions>
    </reviewItem>
    <reviewItem>
      <errorID>379c7c01-ae0d-4bc5-9ef4-f8cc277a573c</errorID>
      <errorWord>(</errorWord>
      <group>L1_Format</group>
      <groupName>格式问题</groupName>
      <ability>L2_HalfPunc</ability>
      <abilityName>全半角检查</abilityName>
      <candidateList>
        <item>（</item>
      </candidateList>
      <explain>文本全半角错误。</explain>
      <paraID>6608753D</paraID>
      <start>16</start>
      <end>17</end>
      <status>unmodified</status>
      <modifiedWord/>
      <trackRevisions>false</trackRevisions>
    </reviewItem>
    <reviewItem>
      <errorID>8b45ec56-9ff5-4cce-a98d-c0aafaf543be</errorID>
      <errorWord>)</errorWord>
      <group>L1_Format</group>
      <groupName>格式问题</groupName>
      <ability>L2_HalfPunc</ability>
      <abilityName>全半角检查</abilityName>
      <candidateList>
        <item>）</item>
      </candidateList>
      <explain>文本全半角错误。</explain>
      <paraID>6608753D</paraID>
      <start>19</start>
      <end>20</end>
      <status>unmodified</status>
      <modifiedWord/>
      <trackRevisions>false</trackRevisions>
    </reviewItem>
    <reviewItem>
      <errorID>30510e6a-33d3-4894-a0f3-bbf82cd67769</errorID>
      <errorWord>;</errorWord>
      <group>L1_Format</group>
      <groupName>格式问题</groupName>
      <ability>L2_HalfPunc</ability>
      <abilityName>全半角检查</abilityName>
      <candidateList>
        <item>；</item>
      </candidateList>
      <explain>文本全半角错误。</explain>
      <paraID>45053D17</paraID>
      <start>29</start>
      <end>30</end>
      <status>unmodified</status>
      <modifiedWord/>
      <trackRevisions>false</trackRevisions>
    </reviewItem>
    <reviewItem>
      <errorID>e1dae7c6-9b1b-460a-b5a7-5e33f399a0f9</errorID>
      <errorWord>包含在</errorWord>
      <group>L1_Word</group>
      <groupName>字词问题</groupName>
      <ability>L2_Typo</ability>
      <abilityName>字词错误</abilityName>
      <candidateList>
        <item>包含</item>
      </candidateList>
      <explain>〈动〉里边含有：这句话～好几层意思。</explain>
      <paraID>66D8441B</paraID>
      <start>20</start>
      <end>23</end>
      <status>unmodified</status>
      <modifiedWord/>
      <trackRevisions>false</trackRevisions>
    </reviewItem>
    <reviewItem>
      <errorID>b89d2cf3-a0e7-460c-87a2-76b85d6cbdff</errorID>
      <errorWord>)</errorWord>
      <group>L1_Format</group>
      <groupName>格式问题</groupName>
      <ability>L2_HalfPunc</ability>
      <abilityName>全半角检查</abilityName>
      <candidateList>
        <item>）</item>
      </candidateList>
      <explain>文本全半角错误。</explain>
      <paraID>430052F5</paraID>
      <start>50</start>
      <end>51</end>
      <status>unmodified</status>
      <modifiedWord/>
      <trackRevisions>false</trackRevisions>
    </reviewItem>
    <reviewItem>
      <errorID>e000410e-a631-4b86-b086-9216e9a3506d</errorID>
      <errorWord>)</errorWord>
      <group>L1_Format</group>
      <groupName>格式问题</groupName>
      <ability>L2_HalfPunc</ability>
      <abilityName>全半角检查</abilityName>
      <candidateList>
        <item>）</item>
      </candidateList>
      <explain>文本全半角错误。</explain>
      <paraID>4FC2ACE4</paraID>
      <start>26</start>
      <end>27</end>
      <status>unmodified</status>
      <modifiedWord/>
      <trackRevisions>false</trackRevisions>
    </reviewItem>
    <reviewItem>
      <errorID>3005bf89-2738-45ab-b19e-894616a6ae28</errorID>
      <errorWord>(</errorWord>
      <group>L1_Format</group>
      <groupName>格式问题</groupName>
      <ability>L2_HalfPunc</ability>
      <abilityName>全半角检查</abilityName>
      <candidateList>
        <item>（</item>
      </candidateList>
      <explain>文本全半角错误。</explain>
      <paraID>379BDCBC</paraID>
      <start>29</start>
      <end>30</end>
      <status>unmodified</status>
      <modifiedWord/>
      <trackRevisions>false</trackRevisions>
    </reviewItem>
    <reviewItem>
      <errorID>946e8815-99f1-4159-b550-eff504160409</errorID>
      <errorWord>)</errorWord>
      <group>L1_Format</group>
      <groupName>格式问题</groupName>
      <ability>L2_HalfPunc</ability>
      <abilityName>全半角检查</abilityName>
      <candidateList>
        <item>）</item>
      </candidateList>
      <explain>文本全半角错误。</explain>
      <paraID>379BDCBC</paraID>
      <start>45</start>
      <end>46</end>
      <status>unmodified</status>
      <modifiedWord/>
      <trackRevisions>false</trackRevisions>
    </reviewItem>
    <reviewItem>
      <errorID>5f501e0e-378f-43ee-9955-428c65ffaefe</errorID>
      <errorWord>)</errorWord>
      <group>L1_Format</group>
      <groupName>格式问题</groupName>
      <ability>L2_HalfPunc</ability>
      <abilityName>全半角检查</abilityName>
      <candidateList>
        <item>）</item>
      </candidateList>
      <explain>文本全半角错误。</explain>
      <paraID>24B7840F</paraID>
      <start>26</start>
      <end>27</end>
      <status>unmodified</status>
      <modifiedWord/>
      <trackRevisions>false</trackRevisions>
    </reviewItem>
    <reviewItem>
      <errorID>818d897c-29e8-4b87-94b6-f65b20908a3f</errorID>
      <errorWord>)</errorWord>
      <group>L1_Format</group>
      <groupName>格式问题</groupName>
      <ability>L2_HalfPunc</ability>
      <abilityName>全半角检查</abilityName>
      <candidateList>
        <item>）</item>
      </candidateList>
      <explain>文本全半角错误。</explain>
      <paraID>24B7840F</paraID>
      <start>45</start>
      <end>46</end>
      <status>unmodified</status>
      <modifiedWord/>
      <trackRevisions>false</trackRevisions>
    </reviewItem>
    <reviewItem>
      <errorID>ce72ce43-83ee-4c73-bf35-a7ff1f72e6b0</errorID>
      <errorWord>(</errorWord>
      <group>L1_Format</group>
      <groupName>格式问题</groupName>
      <ability>L2_HalfPunc</ability>
      <abilityName>全半角检查</abilityName>
      <candidateList>
        <item>（</item>
      </candidateList>
      <explain>文本全半角错误。</explain>
      <paraID>5A75162E</paraID>
      <start>0</start>
      <end>1</end>
      <status>unmodified</status>
      <modifiedWord/>
      <trackRevisions>false</trackRevisions>
    </reviewItem>
    <reviewItem>
      <errorID>602a7087-d946-4619-8277-11ae4e11059d</errorID>
      <errorWord>)</errorWord>
      <group>L1_Format</group>
      <groupName>格式问题</groupName>
      <ability>L2_HalfPunc</ability>
      <abilityName>全半角检查</abilityName>
      <candidateList>
        <item>）</item>
      </candidateList>
      <explain>文本全半角错误。</explain>
      <paraID>5A75162E</paraID>
      <start>9</start>
      <end>10</end>
      <status>unmodified</status>
      <modifiedWord/>
      <trackRevisions>false</trackRevisions>
    </reviewItem>
    <reviewItem>
      <errorID>7c9aaddb-b98c-4946-ba0d-fe63508396dd</errorID>
      <errorWord>,</errorWord>
      <group>L1_Format</group>
      <groupName>格式问题</groupName>
      <ability>L2_HalfPunc</ability>
      <abilityName>全半角检查</abilityName>
      <candidateList>
        <item>，</item>
      </candidateList>
      <explain>文本全半角错误。</explain>
      <paraID>48D6DFB4</paraID>
      <start>37</start>
      <end>38</end>
      <status>unmodified</status>
      <modifiedWord/>
      <trackRevisions>false</trackRevisions>
    </reviewItem>
    <reviewItem>
      <errorID>e9968fdb-a8e0-4d65-8eff-63902d7b6718</errorID>
      <errorWord>(</errorWord>
      <group>L1_Format</group>
      <groupName>格式问题</groupName>
      <ability>L2_HalfPunc</ability>
      <abilityName>全半角检查</abilityName>
      <candidateList>
        <item>（</item>
      </candidateList>
      <explain>文本全半角错误。</explain>
      <paraID>6E42FBB3</paraID>
      <start>133</start>
      <end>134</end>
      <status>unmodified</status>
      <modifiedWord/>
      <trackRevisions>false</trackRevisions>
    </reviewItem>
    <reviewItem>
      <errorID>4216cdc5-7287-4b4d-a0ed-f83827e399e4</errorID>
      <errorWord>)</errorWord>
      <group>L1_Format</group>
      <groupName>格式问题</groupName>
      <ability>L2_HalfPunc</ability>
      <abilityName>全半角检查</abilityName>
      <candidateList>
        <item>）</item>
      </candidateList>
      <explain>文本全半角错误。</explain>
      <paraID>6E42FBB3</paraID>
      <start>179</start>
      <end>180</end>
      <status>unmodified</status>
      <modifiedWord/>
      <trackRevisions>false</trackRevisions>
    </reviewItem>
    <reviewItem>
      <errorID>b17cf5bb-0298-4546-84f1-9d6c79b3a7ea</errorID>
      <errorWord>(</errorWord>
      <group>L1_Format</group>
      <groupName>格式问题</groupName>
      <ability>L2_HalfPunc</ability>
      <abilityName>全半角检查</abilityName>
      <candidateList>
        <item>（</item>
      </candidateList>
      <explain>文本全半角错误。</explain>
      <paraID> 6C7ECA0</paraID>
      <start>5</start>
      <end>6</end>
      <status>unmodified</status>
      <modifiedWord/>
      <trackRevisions>false</trackRevisions>
    </reviewItem>
    <reviewItem>
      <errorID>c22857b6-cdaa-4fa6-aa3f-46b858449c21</errorID>
      <errorWord>(</errorWord>
      <group>L1_Format</group>
      <groupName>格式问题</groupName>
      <ability>L2_HalfPunc</ability>
      <abilityName>全半角检查</abilityName>
      <candidateList>
        <item>（</item>
      </candidateList>
      <explain>文本全半角错误。</explain>
      <paraID>3A01689F</paraID>
      <start>10</start>
      <end>11</end>
      <status>unmodified</status>
      <modifiedWord/>
      <trackRevisions>false</trackRevisions>
    </reviewItem>
    <reviewItem>
      <errorID>cf088184-7722-4c3c-b9e0-29573d9dca89</errorID>
      <errorWord>（</errorWord>
      <group>L1_Format</group>
      <groupName>格式问题</groupName>
      <ability>L2_HalfPunc</ability>
      <abilityName>全半角检查</abilityName>
      <candidateList>
        <item>(</item>
      </candidateList>
      <explain>文本全半角错误。</explain>
      <paraID>5E611689</paraID>
      <start>5</start>
      <end>6</end>
      <status>unmodified</status>
      <modifiedWord/>
      <trackRevisions>false</trackRevisions>
    </reviewItem>
    <reviewItem>
      <errorID>e77c6a2a-1fc5-4deb-9da5-8a2d07b84f32</errorID>
      <errorWord>）</errorWord>
      <group>L1_Format</group>
      <groupName>格式问题</groupName>
      <ability>L2_HalfPunc</ability>
      <abilityName>全半角检查</abilityName>
      <candidateList>
        <item>)</item>
      </candidateList>
      <explain>文本全半角错误。</explain>
      <paraID>5E611689</paraID>
      <start>7</start>
      <end>8</end>
      <status>unmodified</status>
      <modifiedWord/>
      <trackRevisions>false</trackRevisions>
    </reviewItem>
    <reviewItem>
      <errorID>ff6e0f0d-4201-4580-89bc-8e09d0e5c10b</errorID>
      <errorWord>（</errorWord>
      <group>L1_Format</group>
      <groupName>格式问题</groupName>
      <ability>L2_HalfPunc</ability>
      <abilityName>全半角检查</abilityName>
      <candidateList>
        <item>(</item>
      </candidateList>
      <explain>文本全半角错误。</explain>
      <paraID>1543D1A9</paraID>
      <start>5</start>
      <end>6</end>
      <status>unmodified</status>
      <modifiedWord/>
      <trackRevisions>false</trackRevisions>
    </reviewItem>
    <reviewItem>
      <errorID>f1bf5bb0-1664-4edd-880f-bed29ae6f7cb</errorID>
      <errorWord>）</errorWord>
      <group>L1_Format</group>
      <groupName>格式问题</groupName>
      <ability>L2_HalfPunc</ability>
      <abilityName>全半角检查</abilityName>
      <candidateList>
        <item>)</item>
      </candidateList>
      <explain>文本全半角错误。</explain>
      <paraID>1543D1A9</paraID>
      <start>7</start>
      <end>8</end>
      <status>unmodified</status>
      <modifiedWord/>
      <trackRevisions>false</trackRevisions>
    </reviewItem>
    <reviewItem>
      <errorID>94fc787b-4c71-4149-a9a3-6d347201958a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4814AC06</paraID>
      <start>0</start>
      <end>3</end>
      <status>unmodified</status>
      <modifiedWord/>
      <trackRevisions>false</trackRevisions>
    </reviewItem>
    <reviewItem>
      <errorID>cd8473f4-ebd5-44d9-b6af-6542d137e7a0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767FE852</paraID>
      <start>0</start>
      <end>3</end>
      <status>unmodified</status>
      <modifiedWord/>
      <trackRevisions>false</trackRevisions>
    </reviewItem>
    <reviewItem>
      <errorID>7a655307-8ac7-49df-be00-74f3d22c9e7e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20AA86C</paraID>
      <start>0</start>
      <end>3</end>
      <status>unmodified</status>
      <modifiedWord/>
      <trackRevisions>false</trackRevisions>
    </reviewItem>
    <reviewItem>
      <errorID>ea0ecbc2-0b6d-43a7-8be9-9f0a7d2a85ee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6723E2E3</paraID>
      <start>0</start>
      <end>3</end>
      <status>unmodified</status>
      <modifiedWord/>
      <trackRevisions>false</trackRevisions>
    </reviewItem>
    <reviewItem>
      <errorID>7eee18da-abe1-4d68-8f9e-f5daa6ba3a68</errorID>
      <errorWord>（</errorWord>
      <group>L1_Format</group>
      <groupName>格式问题</groupName>
      <ability>L2_HalfPunc</ability>
      <abilityName>全半角检查</abilityName>
      <candidateList>
        <item>(</item>
      </candidateList>
      <explain>文本全半角错误。</explain>
      <paraID>110EFA01</paraID>
      <start>5</start>
      <end>6</end>
      <status>unmodified</status>
      <modifiedWord/>
      <trackRevisions>false</trackRevisions>
    </reviewItem>
    <reviewItem>
      <errorID>2ed2df23-0c04-4b0d-896f-8428863207cc</errorID>
      <errorWord>）</errorWord>
      <group>L1_Format</group>
      <groupName>格式问题</groupName>
      <ability>L2_HalfPunc</ability>
      <abilityName>全半角检查</abilityName>
      <candidateList>
        <item>)</item>
      </candidateList>
      <explain>文本全半角错误。</explain>
      <paraID>110EFA01</paraID>
      <start>7</start>
      <end>8</end>
      <status>unmodified</status>
      <modifiedWord/>
      <trackRevisions>false</trackRevisions>
    </reviewItem>
    <reviewItem>
      <errorID>f48bb8a9-2f55-48de-91e5-71d59569624c</errorID>
      <errorWord>允许中</errorWord>
      <group>L1_Word</group>
      <groupName>字词问题</groupName>
      <ability>L2_Typo</ability>
      <abilityName>字词错误</abilityName>
      <candidateList>
        <item>允许</item>
      </candidateList>
      <explain/>
      <paraID>1523B568</paraID>
      <start>23</start>
      <end>26</end>
      <status>unmodified</status>
      <modifiedWord/>
      <trackRevisions>false</trackRevisions>
    </reviewItem>
    <reviewItem>
      <errorID>fcc4a26f-ff27-4346-bdd2-a95ced9388be</errorID>
      <errorWord>广东省等</errorWord>
      <group>L1_Word</group>
      <groupName>字词问题</groupName>
      <ability>L2_Typo</ability>
      <abilityName>字词错误</abilityName>
      <candidateList>
        <item>广东省</item>
      </candidateList>
      <explain/>
      <paraID>241AE6B2</paraID>
      <start>13</start>
      <end>17</end>
      <status>unmodified</status>
      <modifiedWord/>
      <trackRevisions>false</trackRevisions>
    </reviewItem>
    <reviewItem>
      <errorID>f40159b8-7ee9-4050-bde4-976d34251a54</errorID>
      <errorWord>(</errorWord>
      <group>L1_Format</group>
      <groupName>格式问题</groupName>
      <ability>L2_HalfPunc</ability>
      <abilityName>全半角检查</abilityName>
      <candidateList>
        <item>（</item>
      </candidateList>
      <explain>文本全半角错误。</explain>
      <paraID>32D1BAD9</paraID>
      <start>16</start>
      <end>17</end>
      <status>unmodified</status>
      <modifiedWord/>
      <trackRevisions>false</trackRevisions>
    </reviewItem>
    <reviewItem>
      <errorID>f3860de4-22c4-4d4e-b0c2-b18e1c6c71c8</errorID>
      <errorWord>)</errorWord>
      <group>L1_Format</group>
      <groupName>格式问题</groupName>
      <ability>L2_HalfPunc</ability>
      <abilityName>全半角检查</abilityName>
      <candidateList>
        <item>）</item>
      </candidateList>
      <explain>文本全半角错误。</explain>
      <paraID>32D1BAD9</paraID>
      <start>19</start>
      <end>20</end>
      <status>unmodified</status>
      <modifiedWord/>
      <trackRevisions>false</trackRevisions>
    </reviewItem>
    <reviewItem>
      <errorID>17deb60f-2e7f-4612-ac66-dd881536f911</errorID>
      <errorWord>;</errorWord>
      <group>L1_Format</group>
      <groupName>格式问题</groupName>
      <ability>L2_HalfPunc</ability>
      <abilityName>全半角检查</abilityName>
      <candidateList>
        <item>；</item>
      </candidateList>
      <explain>文本全半角错误。</explain>
      <paraID>55936F13</paraID>
      <start>29</start>
      <end>30</end>
      <status>unmodified</status>
      <modifiedWord/>
      <trackRevisions>false</trackRevisions>
    </reviewItem>
    <reviewItem>
      <errorID>d4b3770a-e354-4409-a381-e383646f40e7</errorID>
      <errorWord>包含在</errorWord>
      <group>L1_Word</group>
      <groupName>字词问题</groupName>
      <ability>L2_Typo</ability>
      <abilityName>字词错误</abilityName>
      <candidateList>
        <item>包含</item>
      </candidateList>
      <explain>〈动〉里边含有：这句话～好几层意思。</explain>
      <paraID>2B49758E</paraID>
      <start>21</start>
      <end>24</end>
      <status>unmodified</status>
      <modifiedWord/>
      <trackRevisions>false</trackRevisions>
    </reviewItem>
    <reviewItem>
      <errorID>19cd7811-e542-4fb0-9b77-e09152fac467</errorID>
      <errorWord>)</errorWord>
      <group>L1_Format</group>
      <groupName>格式问题</groupName>
      <ability>L2_HalfPunc</ability>
      <abilityName>全半角检查</abilityName>
      <candidateList>
        <item>）</item>
      </candidateList>
      <explain>文本全半角错误。</explain>
      <paraID>5797C97B</paraID>
      <start>22</start>
      <end>23</end>
      <status>unmodified</status>
      <modifiedWord/>
      <trackRevisions>false</trackRevisions>
    </reviewItem>
    <reviewItem>
      <errorID>4d816e13-e70f-433d-8a7e-616f106231d3</errorID>
      <errorWord>)</errorWord>
      <group>L1_Format</group>
      <groupName>格式问题</groupName>
      <ability>L2_HalfPunc</ability>
      <abilityName>全半角检查</abilityName>
      <candidateList>
        <item>）</item>
      </candidateList>
      <explain>文本全半角错误。</explain>
      <paraID>6785AEC1</paraID>
      <start>50</start>
      <end>51</end>
      <status>unmodified</status>
      <modifiedWord/>
      <trackRevisions>false</trackRevisions>
    </reviewItem>
    <reviewItem>
      <errorID>18407c15-11cd-4409-8f4e-6c91ac5194e6</errorID>
      <errorWord>)</errorWord>
      <group>L1_Format</group>
      <groupName>格式问题</groupName>
      <ability>L2_HalfPunc</ability>
      <abilityName>全半角检查</abilityName>
      <candidateList>
        <item>）</item>
      </candidateList>
      <explain>文本全半角错误。</explain>
      <paraID>321B6402</paraID>
      <start>26</start>
      <end>27</end>
      <status>unmodified</status>
      <modifiedWord/>
      <trackRevisions>false</trackRevisions>
    </reviewItem>
    <reviewItem>
      <errorID>8607f970-1736-4771-bfcb-4c6698ce4bf8</errorID>
      <errorWord>(</errorWord>
      <group>L1_Format</group>
      <groupName>格式问题</groupName>
      <ability>L2_HalfPunc</ability>
      <abilityName>全半角检查</abilityName>
      <candidateList>
        <item>（</item>
      </candidateList>
      <explain>文本全半角错误。</explain>
      <paraID>4FDC5781</paraID>
      <start>29</start>
      <end>30</end>
      <status>unmodified</status>
      <modifiedWord/>
      <trackRevisions>false</trackRevisions>
    </reviewItem>
    <reviewItem>
      <errorID>980fbcc5-f127-4e28-bfee-91fa217bb1af</errorID>
      <errorWord>)</errorWord>
      <group>L1_Format</group>
      <groupName>格式问题</groupName>
      <ability>L2_HalfPunc</ability>
      <abilityName>全半角检查</abilityName>
      <candidateList>
        <item>）</item>
      </candidateList>
      <explain>文本全半角错误。</explain>
      <paraID>4FDC5781</paraID>
      <start>45</start>
      <end>46</end>
      <status>unmodified</status>
      <modifiedWord/>
      <trackRevisions>false</trackRevisions>
    </reviewItem>
    <reviewItem>
      <errorID>8b31dc13-5407-49e9-8b6a-4f3d6fae5f63</errorID>
      <errorWord>)</errorWord>
      <group>L1_Format</group>
      <groupName>格式问题</groupName>
      <ability>L2_HalfPunc</ability>
      <abilityName>全半角检查</abilityName>
      <candidateList>
        <item>）</item>
      </candidateList>
      <explain>文本全半角错误。</explain>
      <paraID>7AF41B31</paraID>
      <start>26</start>
      <end>27</end>
      <status>unmodified</status>
      <modifiedWord/>
      <trackRevisions>false</trackRevisions>
    </reviewItem>
    <reviewItem>
      <errorID>2f09bc50-0b72-4a36-88ee-3d3298274704</errorID>
      <errorWord>)</errorWord>
      <group>L1_Format</group>
      <groupName>格式问题</groupName>
      <ability>L2_HalfPunc</ability>
      <abilityName>全半角检查</abilityName>
      <candidateList>
        <item>）</item>
      </candidateList>
      <explain>文本全半角错误。</explain>
      <paraID>7AF41B31</paraID>
      <start>45</start>
      <end>46</end>
      <status>unmodified</status>
      <modifiedWord/>
      <trackRevisions>false</trackRevisions>
    </reviewItem>
    <reviewItem>
      <errorID>67c76bb1-3566-4f14-ac4b-36ac6b472b85</errorID>
      <errorWord>(</errorWord>
      <group>L1_Format</group>
      <groupName>格式问题</groupName>
      <ability>L2_HalfPunc</ability>
      <abilityName>全半角检查</abilityName>
      <candidateList>
        <item>（</item>
      </candidateList>
      <explain>文本全半角错误。</explain>
      <paraID>630179C0</paraID>
      <start>0</start>
      <end>1</end>
      <status>unmodified</status>
      <modifiedWord/>
      <trackRevisions>false</trackRevisions>
    </reviewItem>
    <reviewItem>
      <errorID>5e491ed4-2635-4220-bb9e-469dc4dbee8d</errorID>
      <errorWord>(</errorWord>
      <group>L1_Format</group>
      <groupName>格式问题</groupName>
      <ability>L2_HalfPunc</ability>
      <abilityName>全半角检查</abilityName>
      <candidateList>
        <item>（</item>
      </candidateList>
      <explain>文本全半角错误。</explain>
      <paraID> CB35453</paraID>
      <start>4</start>
      <end>5</end>
      <status>unmodified</status>
      <modifiedWord/>
      <trackRevisions>false</trackRevisions>
    </reviewItem>
    <reviewItem>
      <errorID>e68d28c2-089c-42db-84c6-2bb52d803a22</errorID>
      <errorWord>)</errorWord>
      <group>L1_Format</group>
      <groupName>格式问题</groupName>
      <ability>L2_HalfPunc</ability>
      <abilityName>全半角检查</abilityName>
      <candidateList>
        <item>）</item>
      </candidateList>
      <explain>文本全半角错误。</explain>
      <paraID> CB35453</paraID>
      <start>6</start>
      <end>7</end>
      <status>unmodified</status>
      <modifiedWord/>
      <trackRevisions>false</trackRevisions>
    </reviewItem>
    <reviewItem>
      <errorID>f99e8069-33a8-4e9a-bb47-f2e7e8ab79ea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6DC6C525</paraID>
      <start>0</start>
      <end>3</end>
      <status>unmodified</status>
      <modifiedWord/>
      <trackRevisions>false</trackRevisions>
    </reviewItem>
    <reviewItem>
      <errorID>6ccb149a-6209-4251-8cb5-96fa9ed4d738</errorID>
      <errorWord>个信</errorWord>
      <group>L1_Knowledge</group>
      <groupName>知识性问题</groupName>
      <ability>L2_Knowledge</ability>
      <abilityName>其他知识</abilityName>
      <candidateList>
        <item>封信</item>
      </candidateList>
      <explain/>
      <paraID>6B32A435</paraID>
      <start>4</start>
      <end>6</end>
      <status>unmodified</status>
      <modifiedWord/>
      <trackRevisions>false</trackRevisions>
    </reviewItem>
    <reviewItem>
      <errorID>4306c9b4-00a4-4e22-a457-3b13fb9f558a</errorID>
      <errorWord>）</errorWord>
      <group>L1_Word</group>
      <groupName>字词问题</groupName>
      <ability>L2_Typo</ability>
      <abilityName>字词错误</abilityName>
      <candidateList>
        <item>）项</item>
      </candidateList>
      <explain/>
      <paraID> CBC90EE</paraID>
      <start>31</start>
      <end>32</end>
      <status>unmodified</status>
      <modifiedWord/>
      <trackRevisions>false</trackRevisions>
    </reviewItem>
    <reviewItem>
      <errorID>e9ae1204-04df-48cf-8ed0-680c28c7c778</errorID>
      <errorWord>（</errorWord>
      <group>L1_Format</group>
      <groupName>格式问题</groupName>
      <ability>L2_HalfPunc</ability>
      <abilityName>全半角检查</abilityName>
      <candidateList>
        <item>(</item>
      </candidateList>
      <explain>文本全半角错误。</explain>
      <paraID>13DA6DAA</paraID>
      <start>0</start>
      <end>1</end>
      <status>unmodified</status>
      <modifiedWord/>
      <trackRevisions>false</trackRevisions>
    </reviewItem>
    <reviewItem>
      <errorID>d062fff2-9d34-4876-87bc-674fd92daec9</errorID>
      <errorWord>）</errorWord>
      <group>L1_Format</group>
      <groupName>格式问题</groupName>
      <ability>L2_HalfPunc</ability>
      <abilityName>全半角检查</abilityName>
      <candidateList>
        <item>)</item>
      </candidateList>
      <explain>文本全半角错误。</explain>
      <paraID>13DA6DAA</paraID>
      <start>2</start>
      <end>3</end>
      <status>unmodified</status>
      <modifiedWord/>
      <trackRevisions>false</trackRevisions>
    </reviewItem>
    <reviewItem>
      <errorID>c1a1f95d-187f-4c85-ad13-c5da83f1a445</errorID>
      <errorWord>》</errorWord>
      <group>L1_Word</group>
      <groupName>字词问题</groupName>
      <ability>L2_Typo</ability>
      <abilityName>字词错误</abilityName>
      <candidateList>
        <item>》和</item>
      </candidateList>
      <explain/>
      <paraID>4D1B43F2</paraID>
      <start>84</start>
      <end>85</end>
      <status>unmodified</status>
      <modifiedWord/>
      <trackRevisions>false</trackRevisions>
    </reviewItem>
    <reviewItem>
      <errorID>87157d12-bcbf-42fa-99d5-a0361043cb7a</errorID>
      <errorWord>,</errorWord>
      <group>L1_Format</group>
      <groupName>格式问题</groupName>
      <ability>L2_HalfPunc</ability>
      <abilityName>全半角检查</abilityName>
      <candidateList>
        <item>，</item>
      </candidateList>
      <explain>文本全半角错误。</explain>
      <paraID>5C359019</paraID>
      <start>15</start>
      <end>16</end>
      <status>unmodified</status>
      <modifiedWord/>
      <trackRevisions>false</trackRevisions>
    </reviewItem>
    <reviewItem>
      <errorID>1e618da9-b9c8-4d79-8498-508bd1127e76</errorID>
      <errorWord>关键工程</errorWord>
      <group>L1_Knowledge</group>
      <groupName>知识性问题</groupName>
      <ability>L2_Term</ability>
      <abilityName>专业术语</abilityName>
      <candidateList>
        <item>关键工序</item>
      </candidateList>
      <explain/>
      <paraID>5D33F060</paraID>
      <start>6</start>
      <end>10</end>
      <status>unmodified</status>
      <modifiedWord/>
      <trackRevisions>false</trackRevisions>
    </reviewItem>
    <reviewItem>
      <errorID>67dca19a-1d76-4c17-91fb-e33c0bdcfdf6</errorID>
      <errorWord>关键工程</errorWord>
      <group>L1_Knowledge</group>
      <groupName>知识性问题</groupName>
      <ability>L2_Term</ability>
      <abilityName>专业术语</abilityName>
      <candidateList>
        <item>关键工序</item>
      </candidateList>
      <explain/>
      <paraID>5AB18917</paraID>
      <start>12</start>
      <end>16</end>
      <status>unmodified</status>
      <modifiedWord/>
      <trackRevisions>false</trackRevisions>
    </reviewItem>
    <reviewItem>
      <errorID>33106000-09a8-4ba7-8e3e-765959e2a4d7</errorID>
      <errorWord>》</errorWord>
      <group>L1_Word</group>
      <groupName>字词问题</groupName>
      <ability>L2_Typo</ability>
      <abilityName>字词错误</abilityName>
      <candidateList>
        <item>》和</item>
      </candidateList>
      <explain/>
      <paraID>5AB18917</paraID>
      <start>109</start>
      <end>110</end>
      <status>unmodified</status>
      <modifiedWord/>
      <trackRevisions>false</trackRevisions>
    </reviewItem>
    <reviewItem>
      <errorID>8a13b7c0-2824-4512-9f06-cde6aef5ee17</errorID>
      <errorWord>关键工程</errorWord>
      <group>L1_Knowledge</group>
      <groupName>知识性问题</groupName>
      <ability>L2_Term</ability>
      <abilityName>专业术语</abilityName>
      <candidateList>
        <item>关键工序</item>
      </candidateList>
      <explain/>
      <paraID>638C314E</paraID>
      <start>12</start>
      <end>16</end>
      <status>unmodified</status>
      <modifiedWord/>
      <trackRevisions>false</trackRevisions>
    </reviewItem>
    <reviewItem>
      <errorID>d5e1a180-c071-448c-98ed-70fe1c679406</errorID>
      <errorWord>质</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55E3510E</paraID>
      <start>3</start>
      <end>4</end>
      <status>unmodified</status>
      <modifiedWord/>
      <trackRevisions>false</trackRevisions>
    </reviewItem>
    <reviewItem>
      <errorID>53e839de-2856-44cb-9bd9-c9774ff8aa67</errorID>
      <errorWord>》</errorWord>
      <group>L1_Word</group>
      <groupName>字词问题</groupName>
      <ability>L2_Typo</ability>
      <abilityName>字词错误</abilityName>
      <candidateList>
        <item>》和</item>
      </candidateList>
      <explain/>
      <paraID>1A846F9B</paraID>
      <start>105</start>
      <end>106</end>
      <status>unmodified</status>
      <modifiedWord/>
      <trackRevisions>false</trackRevisions>
    </reviewItem>
    <reviewItem>
      <errorID>dfcbae7e-032d-496d-86fa-91d50c310a80</errorID>
      <errorWord>,</errorWord>
      <group>L1_Format</group>
      <groupName>格式问题</groupName>
      <ability>L2_HalfPunc</ability>
      <abilityName>全半角检查</abilityName>
      <candidateList>
        <item>，</item>
      </candidateList>
      <explain>文本全半角错误。</explain>
      <paraID>4FF12C29</paraID>
      <start>71</start>
      <end>72</end>
      <status>unmodified</status>
      <modifiedWord/>
      <trackRevisions>false</trackRevisions>
    </reviewItem>
    <reviewItem>
      <errorID>d57b8ef0-4658-4f9c-b62d-cab6caeb6d83</errorID>
      <errorWord>《</errorWord>
      <group>L1_Punc</group>
      <groupName>标点问题</groupName>
      <ability>L2_Punc</ability>
      <abilityName>标点符号检查</abilityName>
      <candidateList/>
      <explain>同一形式括号套用。</explain>
      <paraID>2D08B935</paraID>
      <start>41</start>
      <end>42</end>
      <status>unmodified</status>
      <modifiedWord/>
      <trackRevisions>false</trackRevisions>
    </reviewItem>
    <reviewItem>
      <errorID>13e1c022-bec4-442b-af08-a0c72f18164e</errorID>
      <errorWord>》</errorWord>
      <group>L1_Punc</group>
      <groupName>标点问题</groupName>
      <ability>L2_Punc</ability>
      <abilityName>标点符号检查</abilityName>
      <candidateList/>
      <explain>同一形式括号套用。</explain>
      <paraID>2D08B935</paraID>
      <start>65</start>
      <end>66</end>
      <status>unmodified</status>
      <modifiedWord/>
      <trackRevisions>false</trackRevisions>
    </reviewItem>
    <reviewItem>
      <errorID>f9acd043-855d-44b1-a38d-a324732dd5ea</errorID>
      <errorWord>(</errorWord>
      <group>L1_Format</group>
      <groupName>格式问题</groupName>
      <ability>L2_HalfPunc</ability>
      <abilityName>全半角检查</abilityName>
      <candidateList>
        <item>（</item>
      </candidateList>
      <explain>文本全半角错误。</explain>
      <paraID>2D08B935</paraID>
      <start>87</start>
      <end>88</end>
      <status>unmodified</status>
      <modifiedWord/>
      <trackRevisions>false</trackRevisions>
    </reviewItem>
    <reviewItem>
      <errorID>a1ab3378-6525-4b35-a4ef-7c5cddc613a0</errorID>
      <errorWord>)</errorWord>
      <group>L1_Format</group>
      <groupName>格式问题</groupName>
      <ability>L2_HalfPunc</ability>
      <abilityName>全半角检查</abilityName>
      <candidateList>
        <item>）</item>
      </candidateList>
      <explain>文本全半角错误。</explain>
      <paraID>2D08B935</paraID>
      <start>90</start>
      <end>91</end>
      <status>unmodified</status>
      <modifiedWord/>
      <trackRevisions>false</trackRevisions>
    </reviewItem>
    <reviewItem>
      <errorID>88cb8e72-54ef-4d64-8061-e592926ad5f3</errorID>
      <errorWord>（</errorWord>
      <group>L1_Format</group>
      <groupName>格式问题</groupName>
      <ability>L2_HalfPunc</ability>
      <abilityName>全半角检查</abilityName>
      <candidateList>
        <item>(</item>
      </candidateList>
      <explain>文本全半角错误。</explain>
      <paraID>4F373699</paraID>
      <start>0</start>
      <end>1</end>
      <status>unmodified</status>
      <modifiedWord/>
      <trackRevisions>false</trackRevisions>
    </reviewItem>
    <reviewItem>
      <errorID>9ba4da3c-131e-4b9c-9a94-99a4d3ee2249</errorID>
      <errorWord>）</errorWord>
      <group>L1_Format</group>
      <groupName>格式问题</groupName>
      <ability>L2_HalfPunc</ability>
      <abilityName>全半角检查</abilityName>
      <candidateList>
        <item>)</item>
      </candidateList>
      <explain>文本全半角错误。</explain>
      <paraID>4F373699</paraID>
      <start>2</start>
      <end>3</end>
      <status>unmodified</status>
      <modifiedWord/>
      <trackRevisions>false</trackRevisions>
    </reviewItem>
    <reviewItem>
      <errorID>e989080c-4007-410f-a8a9-fc0710ae941c</errorID>
      <errorWord>（</errorWord>
      <group>L1_Format</group>
      <groupName>格式问题</groupName>
      <ability>L2_HalfPunc</ability>
      <abilityName>全半角检查</abilityName>
      <candidateList>
        <item>(</item>
      </candidateList>
      <explain>文本全半角错误。</explain>
      <paraID>2249A441</paraID>
      <start>0</start>
      <end>1</end>
      <status>unmodified</status>
      <modifiedWord/>
      <trackRevisions>false</trackRevisions>
    </reviewItem>
    <reviewItem>
      <errorID>6e458071-313e-4e22-9a89-6118d9100819</errorID>
      <errorWord>）</errorWord>
      <group>L1_Format</group>
      <groupName>格式问题</groupName>
      <ability>L2_HalfPunc</ability>
      <abilityName>全半角检查</abilityName>
      <candidateList>
        <item>)</item>
      </candidateList>
      <explain>文本全半角错误。</explain>
      <paraID>2249A441</paraID>
      <start>2</start>
      <end>3</end>
      <status>unmodified</status>
      <modifiedWord/>
      <trackRevisions>false</trackRevisions>
    </reviewItem>
    <reviewItem>
      <errorID>aa8db20a-0bb5-4b8b-9772-b84347d406c0</errorID>
      <errorWord>《</errorWord>
      <group>L1_Punc</group>
      <groupName>标点问题</groupName>
      <ability>L2_Punc</ability>
      <abilityName>标点符号检查</abilityName>
      <candidateList/>
      <explain>同一形式括号套用。</explain>
      <paraID>72B2DA7C</paraID>
      <start>17</start>
      <end>18</end>
      <status>unmodified</status>
      <modifiedWord/>
      <trackRevisions>false</trackRevisions>
    </reviewItem>
    <reviewItem>
      <errorID>518db2bb-aa52-4259-b124-38f00ba6bb3e</errorID>
      <errorWord>》</errorWord>
      <group>L1_Punc</group>
      <groupName>标点问题</groupName>
      <ability>L2_Punc</ability>
      <abilityName>标点符号检查</abilityName>
      <candidateList/>
      <explain>同一形式括号套用。</explain>
      <paraID>72B2DA7C</paraID>
      <start>41</start>
      <end>42</end>
      <status>unmodified</status>
      <modifiedWord/>
      <trackRevisions>false</trackRevisions>
    </reviewItem>
    <reviewItem>
      <errorID>ce069ac0-eb3e-48f5-aba8-7443f3f87e58</errorID>
      <errorWord>(</errorWord>
      <group>L1_Format</group>
      <groupName>格式问题</groupName>
      <ability>L2_HalfPunc</ability>
      <abilityName>全半角检查</abilityName>
      <candidateList>
        <item>（</item>
      </candidateList>
      <explain>文本全半角错误。</explain>
      <paraID>72B2DA7C</paraID>
      <start>92</start>
      <end>93</end>
      <status>unmodified</status>
      <modifiedWord/>
      <trackRevisions>false</trackRevisions>
    </reviewItem>
    <reviewItem>
      <errorID>ca79ef9a-708d-494d-afea-2cff9b946d15</errorID>
      <errorWord>)</errorWord>
      <group>L1_Format</group>
      <groupName>格式问题</groupName>
      <ability>L2_HalfPunc</ability>
      <abilityName>全半角检查</abilityName>
      <candidateList>
        <item>）</item>
      </candidateList>
      <explain>文本全半角错误。</explain>
      <paraID>72B2DA7C</paraID>
      <start>97</start>
      <end>98</end>
      <status>unmodified</status>
      <modifiedWord/>
      <trackRevisions>false</trackRevisions>
    </reviewItem>
    <reviewItem>
      <errorID>7555f4b4-2d6c-49e4-a745-a95ad384b948</errorID>
      <errorWord>允许中</errorWord>
      <group>L1_Word</group>
      <groupName>字词问题</groupName>
      <ability>L2_Typo</ability>
      <abilityName>字词错误</abilityName>
      <candidateList>
        <item>允许</item>
      </candidateList>
      <explain/>
      <paraID>2C3530C1</paraID>
      <start>23</start>
      <end>26</end>
      <status>unmodified</status>
      <modifiedWord/>
      <trackRevisions>false</trackRevisions>
    </reviewItem>
    <reviewItem>
      <errorID>3e926928-ee4c-402b-8cbf-08accb52e0ff</errorID>
      <errorWord>广东省等</errorWord>
      <group>L1_Word</group>
      <groupName>字词问题</groupName>
      <ability>L2_Typo</ability>
      <abilityName>字词错误</abilityName>
      <candidateList>
        <item>广东省</item>
      </candidateList>
      <explain/>
      <paraID> C94A180</paraID>
      <start>13</start>
      <end>17</end>
      <status>unmodified</status>
      <modifiedWord/>
      <trackRevisions>false</trackRevisions>
    </reviewItem>
    <reviewItem>
      <errorID>34c316ff-9a69-4b45-a26f-dd7811d7204e</errorID>
      <errorWord>(</errorWord>
      <group>L1_Format</group>
      <groupName>格式问题</groupName>
      <ability>L2_HalfPunc</ability>
      <abilityName>全半角检查</abilityName>
      <candidateList>
        <item>（</item>
      </candidateList>
      <explain>文本全半角错误。</explain>
      <paraID>11641990</paraID>
      <start>13</start>
      <end>14</end>
      <status>unmodified</status>
      <modifiedWord/>
      <trackRevisions>false</trackRevisions>
    </reviewItem>
    <reviewItem>
      <errorID>38c61235-aaa5-4be7-9fcf-c2d794c0df1a</errorID>
      <errorWord>)</errorWord>
      <group>L1_Format</group>
      <groupName>格式问题</groupName>
      <ability>L2_HalfPunc</ability>
      <abilityName>全半角检查</abilityName>
      <candidateList>
        <item>）</item>
      </candidateList>
      <explain>文本全半角错误。</explain>
      <paraID>11641990</paraID>
      <start>16</start>
      <end>17</end>
      <status>unmodified</status>
      <modifiedWord/>
      <trackRevisions>false</trackRevisions>
    </reviewItem>
    <reviewItem>
      <errorID>af4da164-befa-4679-8743-cf35ee607ce1</errorID>
      <errorWord>评分评分</errorWord>
      <group>L1_Word</group>
      <groupName>字词问题</groupName>
      <ability>L2_Typo</ability>
      <abilityName>字词错误</abilityName>
      <candidateList>
        <item>评分</item>
      </candidateList>
      <explain/>
      <paraID>1FFBEE58</paraID>
      <start>12</start>
      <end>16</end>
      <status>unmodified</status>
      <modifiedWord/>
      <trackRevisions>false</trackRevisions>
    </reviewItem>
    <reviewItem>
      <errorID>9f06fdb0-0478-49a7-ad0b-6b7980451454</errorID>
      <errorWord>:</errorWord>
      <group>L1_Format</group>
      <groupName>格式问题</groupName>
      <ability>L2_HalfPunc</ability>
      <abilityName>全半角检查</abilityName>
      <candidateList>
        <item>：</item>
      </candidateList>
      <explain>文本全半角错误。</explain>
      <paraID>5893AC2C</paraID>
      <start>24</start>
      <end>25</end>
      <status>unmodified</status>
      <modifiedWord/>
      <trackRevisions>false</trackRevisions>
    </reviewItem>
    <reviewItem>
      <errorID>cef08597-81f9-4ac3-bc1f-8273fa3ede2f</errorID>
      <errorWord>:</errorWord>
      <group>L1_Format</group>
      <groupName>格式问题</groupName>
      <ability>L2_HalfPunc</ability>
      <abilityName>全半角检查</abilityName>
      <candidateList>
        <item>：</item>
      </candidateList>
      <explain>文本全半角错误。</explain>
      <paraID>3B85479B</paraID>
      <start>2</start>
      <end>3</end>
      <status>unmodified</status>
      <modifiedWord/>
      <trackRevisions>false</trackRevisions>
    </reviewItem>
    <reviewItem>
      <errorID>9d417dc2-d87b-4f62-8ea6-513c951b5c04</errorID>
      <errorWord>:</errorWord>
      <group>L1_Format</group>
      <groupName>格式问题</groupName>
      <ability>L2_HalfPunc</ability>
      <abilityName>全半角检查</abilityName>
      <candidateList>
        <item>：</item>
      </candidateList>
      <explain>文本全半角错误。</explain>
      <paraID>3B85479B</paraID>
      <start>24</start>
      <end>25</end>
      <status>unmodified</status>
      <modifiedWord/>
      <trackRevisions>false</trackRevisions>
    </reviewItem>
    <reviewItem>
      <errorID>fdfae60c-bb28-41d2-a6d3-b9885e6c5a21</errorID>
      <errorWord>)</errorWord>
      <group>L1_Format</group>
      <groupName>格式问题</groupName>
      <ability>L2_HalfPunc</ability>
      <abilityName>全半角检查</abilityName>
      <candidateList>
        <item>）</item>
      </candidateList>
      <explain>文本全半角错误。</explain>
      <paraID>3B85479B</paraID>
      <start>33</start>
      <end>34</end>
      <status>unmodified</status>
      <modifiedWord/>
      <trackRevisions>false</trackRevisions>
    </reviewItem>
    <reviewItem>
      <errorID>4ae70b01-dca1-44d1-976b-b3dcd153cd58</errorID>
      <errorWord>:</errorWord>
      <group>L1_Format</group>
      <groupName>格式问题</groupName>
      <ability>L2_HalfPunc</ability>
      <abilityName>全半角检查</abilityName>
      <candidateList>
        <item>：</item>
      </candidateList>
      <explain>文本全半角错误。</explain>
      <paraID>2579AA46</paraID>
      <start>24</start>
      <end>25</end>
      <status>unmodified</status>
      <modifiedWord/>
      <trackRevisions>false</trackRevisions>
    </reviewItem>
    <reviewItem>
      <errorID>a110541d-520e-446f-8de2-94ba549bf5ad</errorID>
      <errorWord>人数数量</errorWord>
      <group>L1_Word</group>
      <groupName>字词问题</groupName>
      <ability>L2_Typo</ability>
      <abilityName>字词错误</abilityName>
      <candidateList>
        <item>人数</item>
      </candidateList>
      <explain/>
      <paraID>7B4EDC86</paraID>
      <start>19</start>
      <end>23</end>
      <status>unmodified</status>
      <modifiedWord/>
      <trackRevisions>false</trackRevisions>
    </reviewItem>
    <reviewItem>
      <errorID>cf174371-2230-4e8f-b4da-f4f02595f7b9</errorID>
      <errorWord>:</errorWord>
      <group>L1_Format</group>
      <groupName>格式问题</groupName>
      <ability>L2_HalfPunc</ability>
      <abilityName>全半角检查</abilityName>
      <candidateList>
        <item>：</item>
      </candidateList>
      <explain>文本全半角错误。</explain>
      <paraID>1D7AC291</paraID>
      <start>20</start>
      <end>21</end>
      <status>unmodified</status>
      <modifiedWord/>
      <trackRevisions>false</trackRevisions>
    </reviewItem>
    <reviewItem>
      <errorID>fdaa2610-2c90-442f-8ea4-401c021b1019</errorID>
      <errorWord>;</errorWord>
      <group>L1_Format</group>
      <groupName>格式问题</groupName>
      <ability>L2_HalfPunc</ability>
      <abilityName>全半角检查</abilityName>
      <candidateList>
        <item>；</item>
      </candidateList>
      <explain>文本全半角错误。</explain>
      <paraID>2B2C4A40</paraID>
      <start>51</start>
      <end>52</end>
      <status>unmodified</status>
      <modifiedWord/>
      <trackRevisions>false</trackRevisions>
    </reviewItem>
    <reviewItem>
      <errorID>e26e7956-5811-4514-8fed-4ee50c8fafd8</errorID>
      <errorWord>人数数量</errorWord>
      <group>L1_Word</group>
      <groupName>字词问题</groupName>
      <ability>L2_Typo</ability>
      <abilityName>字词错误</abilityName>
      <candidateList>
        <item>人数</item>
      </candidateList>
      <explain/>
      <paraID>3D67F9AB</paraID>
      <start>19</start>
      <end>23</end>
      <status>unmodified</status>
      <modifiedWord/>
      <trackRevisions>false</trackRevisions>
    </reviewItem>
    <reviewItem>
      <errorID>d905f472-7dff-4dbc-89e0-8c116603d238</errorID>
      <errorWord>规定的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46767B0A</paraID>
      <start>23</start>
      <end>26</end>
      <status>unmodified</status>
      <modifiedWord/>
      <trackRevisions>false</trackRevisions>
    </reviewItem>
    <reviewItem>
      <errorID>366b1ac9-729f-471c-ac82-f690a0c0231e</errorID>
      <errorWord>;</errorWord>
      <group>L1_Format</group>
      <groupName>格式问题</groupName>
      <ability>L2_HalfPunc</ability>
      <abilityName>全半角检查</abilityName>
      <candidateList>
        <item>；</item>
      </candidateList>
      <explain>文本全半角错误。</explain>
      <paraID>21103FA9</paraID>
      <start>29</start>
      <end>30</end>
      <status>unmodified</status>
      <modifiedWord/>
      <trackRevisions>false</trackRevisions>
    </reviewItem>
    <reviewItem>
      <errorID>5b725bb4-e181-401c-9ede-73d02a77938a</errorID>
      <errorWord>包含在</errorWord>
      <group>L1_Word</group>
      <groupName>字词问题</groupName>
      <ability>L2_Typo</ability>
      <abilityName>字词错误</abilityName>
      <candidateList>
        <item>包含</item>
      </candidateList>
      <explain>〈动〉里边含有：这句话～好几层意思。</explain>
      <paraID>664A5C13</paraID>
      <start>20</start>
      <end>23</end>
      <status>unmodified</status>
      <modifiedWord/>
      <trackRevisions>false</trackRevisions>
    </reviewItem>
    <reviewItem>
      <errorID>500e51ff-ecca-4cf9-bc4d-2b6209c6461c</errorID>
      <errorWord>)</errorWord>
      <group>L1_Format</group>
      <groupName>格式问题</groupName>
      <ability>L2_HalfPunc</ability>
      <abilityName>全半角检查</abilityName>
      <candidateList>
        <item>）</item>
      </candidateList>
      <explain>文本全半角错误。</explain>
      <paraID>46634BE3</paraID>
      <start>50</start>
      <end>51</end>
      <status>unmodified</status>
      <modifiedWord/>
      <trackRevisions>false</trackRevisions>
    </reviewItem>
    <reviewItem>
      <errorID>5b18638a-4ba4-4fa1-a61d-a7774f77586a</errorID>
      <errorWord>)</errorWord>
      <group>L1_Format</group>
      <groupName>格式问题</groupName>
      <ability>L2_HalfPunc</ability>
      <abilityName>全半角检查</abilityName>
      <candidateList>
        <item>）</item>
      </candidateList>
      <explain>文本全半角错误。</explain>
      <paraID>6C6B59EA</paraID>
      <start>26</start>
      <end>27</end>
      <status>unmodified</status>
      <modifiedWord/>
      <trackRevisions>false</trackRevisions>
    </reviewItem>
    <reviewItem>
      <errorID>b207bda6-4efa-4a12-802a-08242ebe8112</errorID>
      <errorWord>(</errorWord>
      <group>L1_Format</group>
      <groupName>格式问题</groupName>
      <ability>L2_HalfPunc</ability>
      <abilityName>全半角检查</abilityName>
      <candidateList>
        <item>（</item>
      </candidateList>
      <explain>文本全半角错误。</explain>
      <paraID>5F2519E1</paraID>
      <start>29</start>
      <end>30</end>
      <status>unmodified</status>
      <modifiedWord/>
      <trackRevisions>false</trackRevisions>
    </reviewItem>
    <reviewItem>
      <errorID>d3eef923-7ee4-450e-ad17-7aea3366c222</errorID>
      <errorWord>)</errorWord>
      <group>L1_Format</group>
      <groupName>格式问题</groupName>
      <ability>L2_HalfPunc</ability>
      <abilityName>全半角检查</abilityName>
      <candidateList>
        <item>）</item>
      </candidateList>
      <explain>文本全半角错误。</explain>
      <paraID>5F2519E1</paraID>
      <start>45</start>
      <end>46</end>
      <status>unmodified</status>
      <modifiedWord/>
      <trackRevisions>false</trackRevisions>
    </reviewItem>
    <reviewItem>
      <errorID>1a4ca9c0-dc1b-4e65-bab9-4e125518ea1b</errorID>
      <errorWord>)</errorWord>
      <group>L1_Format</group>
      <groupName>格式问题</groupName>
      <ability>L2_HalfPunc</ability>
      <abilityName>全半角检查</abilityName>
      <candidateList>
        <item>）</item>
      </candidateList>
      <explain>文本全半角错误。</explain>
      <paraID>5D2BAACC</paraID>
      <start>26</start>
      <end>27</end>
      <status>unmodified</status>
      <modifiedWord/>
      <trackRevisions>false</trackRevisions>
    </reviewItem>
    <reviewItem>
      <errorID>d1b08bdc-0a81-472b-aca6-9de853140811</errorID>
      <errorWord>)</errorWord>
      <group>L1_Format</group>
      <groupName>格式问题</groupName>
      <ability>L2_HalfPunc</ability>
      <abilityName>全半角检查</abilityName>
      <candidateList>
        <item>）</item>
      </candidateList>
      <explain>文本全半角错误。</explain>
      <paraID>5D2BAACC</paraID>
      <start>45</start>
      <end>46</end>
      <status>unmodified</status>
      <modifiedWord/>
      <trackRevisions>false</trackRevisions>
    </reviewItem>
    <reviewItem>
      <errorID>179d7320-eca7-43c2-bba8-f1414e79c945</errorID>
      <errorWord>(</errorWord>
      <group>L1_Format</group>
      <groupName>格式问题</groupName>
      <ability>L2_HalfPunc</ability>
      <abilityName>全半角检查</abilityName>
      <candidateList>
        <item>（</item>
      </candidateList>
      <explain>文本全半角错误。</explain>
      <paraID>33A03835</paraID>
      <start>0</start>
      <end>1</end>
      <status>unmodified</status>
      <modifiedWord/>
      <trackRevisions>false</trackRevisions>
    </reviewItem>
    <reviewItem>
      <errorID>3fb48ad8-5502-4877-80b5-5a501b2bac99</errorID>
      <errorWord>)</errorWord>
      <group>L1_Format</group>
      <groupName>格式问题</groupName>
      <ability>L2_HalfPunc</ability>
      <abilityName>全半角检查</abilityName>
      <candidateList>
        <item>）</item>
      </candidateList>
      <explain>文本全半角错误。</explain>
      <paraID>33A03835</paraID>
      <start>9</start>
      <end>10</end>
      <status>unmodified</status>
      <modifiedWord/>
      <trackRevisions>false</trackRevisions>
    </reviewItem>
    <reviewItem>
      <errorID>e63c4f7d-fa14-4234-a9d4-6ddc0bb10bed</errorID>
      <errorWord>)</errorWord>
      <group>L1_Format</group>
      <groupName>格式问题</groupName>
      <ability>L2_HalfPunc</ability>
      <abilityName>全半角检查</abilityName>
      <candidateList>
        <item>）</item>
      </candidateList>
      <explain>文本全半角错误。</explain>
      <paraID> AAE506B</paraID>
      <start>7</start>
      <end>8</end>
      <status>unmodified</status>
      <modifiedWord/>
      <trackRevisions>false</trackRevisions>
    </reviewItem>
    <reviewItem>
      <errorID>60cce5ab-0155-41c0-ab63-133cdbf4a316</errorID>
      <errorWord>(</errorWord>
      <group>L1_Format</group>
      <groupName>格式问题</groupName>
      <ability>L2_HalfPunc</ability>
      <abilityName>全半角检查</abilityName>
      <candidateList>
        <item>（</item>
      </candidateList>
      <explain>文本全半角错误。</explain>
      <paraID>5A3D5FAF</paraID>
      <start>21</start>
      <end>22</end>
      <status>unmodified</status>
      <modifiedWord/>
      <trackRevisions>false</trackRevisions>
    </reviewItem>
    <reviewItem>
      <errorID>07a3f005-ec4b-4838-bf89-6f636f49daa9</errorID>
      <errorWord>)</errorWord>
      <group>L1_Format</group>
      <groupName>格式问题</groupName>
      <ability>L2_HalfPunc</ability>
      <abilityName>全半角检查</abilityName>
      <candidateList>
        <item>）</item>
      </candidateList>
      <explain>文本全半角错误。</explain>
      <paraID>5A3D5FAF</paraID>
      <start>23</start>
      <end>24</end>
      <status>unmodified</status>
      <modifiedWord/>
      <trackRevisions>false</trackRevisions>
    </reviewItem>
    <reviewItem>
      <errorID>fb079254-5d13-4fbe-966e-50e89cfb5a0f</errorID>
      <errorWord>,</errorWord>
      <group>L1_Format</group>
      <groupName>格式问题</groupName>
      <ability>L2_HalfPunc</ability>
      <abilityName>全半角检查</abilityName>
      <candidateList>
        <item>，</item>
      </candidateList>
      <explain>文本全半角错误。</explain>
      <paraID>2EF8D379</paraID>
      <start>37</start>
      <end>38</end>
      <status>unmodified</status>
      <modifiedWord/>
      <trackRevisions>false</trackRevisions>
    </reviewItem>
    <reviewItem>
      <errorID>b16bb7bf-76c8-4d0c-8df4-b298b3e3d817</errorID>
      <errorWord>(</errorWord>
      <group>L1_Format</group>
      <groupName>格式问题</groupName>
      <ability>L2_HalfPunc</ability>
      <abilityName>全半角检查</abilityName>
      <candidateList>
        <item>（</item>
      </candidateList>
      <explain>文本全半角错误。</explain>
      <paraID>7721C447</paraID>
      <start>133</start>
      <end>134</end>
      <status>unmodified</status>
      <modifiedWord/>
      <trackRevisions>false</trackRevisions>
    </reviewItem>
    <reviewItem>
      <errorID>1c90a79b-d672-4b4e-810c-4269b7745550</errorID>
      <errorWord>)</errorWord>
      <group>L1_Format</group>
      <groupName>格式问题</groupName>
      <ability>L2_HalfPunc</ability>
      <abilityName>全半角检查</abilityName>
      <candidateList>
        <item>）</item>
      </candidateList>
      <explain>文本全半角错误。</explain>
      <paraID>7721C447</paraID>
      <start>179</start>
      <end>180</end>
      <status>unmodified</status>
      <modifiedWord/>
      <trackRevisions>false</trackRevisions>
    </reviewItem>
    <reviewItem>
      <errorID>4825f276-dc71-4344-a9b2-a9b1f98de9c1</errorID>
      <errorWord>(</errorWord>
      <group>L1_Format</group>
      <groupName>格式问题</groupName>
      <ability>L2_HalfPunc</ability>
      <abilityName>全半角检查</abilityName>
      <candidateList>
        <item>（</item>
      </candidateList>
      <explain>文本全半角错误。</explain>
      <paraID>52197FDD</paraID>
      <start>5</start>
      <end>6</end>
      <status>unmodified</status>
      <modifiedWord/>
      <trackRevisions>false</trackRevisions>
    </reviewItem>
    <reviewItem>
      <errorID>a07741c7-f086-4265-8351-8312909c75f1</errorID>
      <errorWord>(</errorWord>
      <group>L1_Format</group>
      <groupName>格式问题</groupName>
      <ability>L2_HalfPunc</ability>
      <abilityName>全半角检查</abilityName>
      <candidateList>
        <item>（</item>
      </candidateList>
      <explain>文本全半角错误。</explain>
      <paraID>690899AF</paraID>
      <start>10</start>
      <end>11</end>
      <status>unmodified</status>
      <modifiedWord/>
      <trackRevisions>false</trackRevisions>
    </reviewItem>
    <reviewItem>
      <errorID>16a9382d-7d46-4ebd-b69c-6629c697ccdb</errorID>
      <errorWord>（</errorWord>
      <group>L1_Format</group>
      <groupName>格式问题</groupName>
      <ability>L2_HalfPunc</ability>
      <abilityName>全半角检查</abilityName>
      <candidateList>
        <item>(</item>
      </candidateList>
      <explain>文本全半角错误。</explain>
      <paraID>6ECD88B8</paraID>
      <start>0</start>
      <end>1</end>
      <status>unmodified</status>
      <modifiedWord/>
      <trackRevisions>false</trackRevisions>
    </reviewItem>
    <reviewItem>
      <errorID>7e19f4f9-193c-4e7d-bdb3-5d88033b647b</errorID>
      <errorWord>）</errorWord>
      <group>L1_Format</group>
      <groupName>格式问题</groupName>
      <ability>L2_HalfPunc</ability>
      <abilityName>全半角检查</abilityName>
      <candidateList>
        <item>)</item>
      </candidateList>
      <explain>文本全半角错误。</explain>
      <paraID>6ECD88B8</paraID>
      <start>2</start>
      <end>3</end>
      <status>unmodified</status>
      <modifiedWord/>
      <trackRevisions>false</trackRevisions>
    </reviewItem>
    <reviewItem>
      <errorID>9f9d9a89-bdfe-4475-911a-9be4a0121582</errorID>
      <errorWord>关键工程</errorWord>
      <group>L1_Knowledge</group>
      <groupName>知识性问题</groupName>
      <ability>L2_Term</ability>
      <abilityName>专业术语</abilityName>
      <candidateList>
        <item>关键工序</item>
      </candidateList>
      <explain/>
      <paraID>503E110D</paraID>
      <start>6</start>
      <end>10</end>
      <status>unmodified</status>
      <modifiedWord/>
      <trackRevisions>false</trackRevisions>
    </reviewItem>
    <reviewItem>
      <errorID>300675af-420a-4891-ae96-9c0f81aad5e8</errorID>
      <errorWord>》</errorWord>
      <group>L1_Word</group>
      <groupName>字词问题</groupName>
      <ability>L2_Typo</ability>
      <abilityName>字词错误</abilityName>
      <candidateList>
        <item>》和</item>
      </candidateList>
      <explain/>
      <paraID>26E9A5B2</paraID>
      <start>109</start>
      <end>110</end>
      <status>unmodified</status>
      <modifiedWord/>
      <trackRevisions>false</trackRevisions>
    </reviewItem>
    <reviewItem>
      <errorID>2bce7a28-1294-492f-92b2-d20d5ad6de3b</errorID>
      <errorWord>关键工程</errorWord>
      <group>L1_Knowledge</group>
      <groupName>知识性问题</groupName>
      <ability>L2_Term</ability>
      <abilityName>专业术语</abilityName>
      <candidateList>
        <item>关键工序</item>
      </candidateList>
      <explain/>
      <paraID>639C78B9</paraID>
      <start>12</start>
      <end>16</end>
      <status>unmodified</status>
      <modifiedWord/>
      <trackRevisions>false</trackRevisions>
    </reviewItem>
    <reviewItem>
      <errorID>962bb4d4-04f5-4d79-a7bf-700f2113769f</errorID>
      <errorWord>质</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335E54DD</paraID>
      <start>3</start>
      <end>4</end>
      <status>unmodified</status>
      <modifiedWord/>
      <trackRevisions>false</trackRevisions>
    </reviewItem>
    <reviewItem>
      <errorID>1b7fd5fe-4b37-49fd-8275-7bb89cb9b31c</errorID>
      <errorWord>》</errorWord>
      <group>L1_Word</group>
      <groupName>字词问题</groupName>
      <ability>L2_Typo</ability>
      <abilityName>字词错误</abilityName>
      <candidateList>
        <item>》和</item>
      </candidateList>
      <explain/>
      <paraID> 605F87F</paraID>
      <start>105</start>
      <end>106</end>
      <status>unmodified</status>
      <modifiedWord/>
      <trackRevisions>false</trackRevisions>
    </reviewItem>
    <reviewItem>
      <errorID>904f6753-8aad-4df0-9598-9b9d9e20bc70</errorID>
      <errorWord>,</errorWord>
      <group>L1_Format</group>
      <groupName>格式问题</groupName>
      <ability>L2_HalfPunc</ability>
      <abilityName>全半角检查</abilityName>
      <candidateList>
        <item>，</item>
      </candidateList>
      <explain>文本全半角错误。</explain>
      <paraID>5EE6F09A</paraID>
      <start>71</start>
      <end>72</end>
      <status>unmodified</status>
      <modifiedWord/>
      <trackRevisions>false</trackRevisions>
    </reviewItem>
    <reviewItem>
      <errorID>b90775f9-d466-4db0-be69-c75060813ff7</errorID>
      <errorWord>(</errorWord>
      <group>L1_Format</group>
      <groupName>格式问题</groupName>
      <ability>L2_HalfPunc</ability>
      <abilityName>全半角检查</abilityName>
      <candidateList>
        <item>（</item>
      </candidateList>
      <explain>文本全半角错误。</explain>
      <paraID>7E1B6CF3</paraID>
      <start>87</start>
      <end>88</end>
      <status>unmodified</status>
      <modifiedWord/>
      <trackRevisions>false</trackRevisions>
    </reviewItem>
    <reviewItem>
      <errorID>88be94c8-efb4-42e9-93be-5ad429d4050b</errorID>
      <errorWord>)</errorWord>
      <group>L1_Format</group>
      <groupName>格式问题</groupName>
      <ability>L2_HalfPunc</ability>
      <abilityName>全半角检查</abilityName>
      <candidateList>
        <item>）</item>
      </candidateList>
      <explain>文本全半角错误。</explain>
      <paraID>7E1B6CF3</paraID>
      <start>90</start>
      <end>91</end>
      <status>unmodified</status>
      <modifiedWord/>
      <trackRevisions>false</trackRevisions>
    </reviewItem>
    <reviewItem>
      <errorID>6cb8ca97-dc02-4631-b008-1603725657e6</errorID>
      <errorWord>（</errorWord>
      <group>L1_Format</group>
      <groupName>格式问题</groupName>
      <ability>L2_HalfPunc</ability>
      <abilityName>全半角检查</abilityName>
      <candidateList>
        <item>(</item>
      </candidateList>
      <explain>文本全半角错误。</explain>
      <paraID>6CE1537F</paraID>
      <start>0</start>
      <end>1</end>
      <status>unmodified</status>
      <modifiedWord/>
      <trackRevisions>false</trackRevisions>
    </reviewItem>
    <reviewItem>
      <errorID>5347926e-0edc-473a-aa10-cdba363d9984</errorID>
      <errorWord>）</errorWord>
      <group>L1_Format</group>
      <groupName>格式问题</groupName>
      <ability>L2_HalfPunc</ability>
      <abilityName>全半角检查</abilityName>
      <candidateList>
        <item>)</item>
      </candidateList>
      <explain>文本全半角错误。</explain>
      <paraID>6CE1537F</paraID>
      <start>2</start>
      <end>3</end>
      <status>unmodified</status>
      <modifiedWord/>
      <trackRevisions>false</trackRevisions>
    </reviewItem>
    <reviewItem>
      <errorID>801dd9b3-3bcd-405a-b87e-a7a6389d23e9</errorID>
      <errorWord>的</errorWord>
      <group>L1_Word</group>
      <groupName>字词问题</groupName>
      <ability>L2_Typo</ability>
      <abilityName>字词错误</abilityName>
      <candidateList>
        <item>的实</item>
      </candidateList>
      <explain/>
      <paraID> 2BC90BD</paraID>
      <start>2</start>
      <end>3</end>
      <status>unmodified</status>
      <modifiedWord/>
      <trackRevisions>false</trackRevisions>
    </reviewItem>
    <reviewItem>
      <errorID>d7dd6ed2-7d08-4a73-b790-d9295440cf4e</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69FDE402</paraID>
      <start>0</start>
      <end>1</end>
      <status>unmodified</status>
      <modifiedWord/>
      <trackRevisions>false</trackRevisions>
    </reviewItem>
    <reviewItem>
      <errorID>2fb74e8f-64bf-4a08-accf-7e8d8ad73c39</errorID>
      <errorWord>《</errorWord>
      <group>L1_Punc</group>
      <groupName>标点问题</groupName>
      <ability>L2_Punc</ability>
      <abilityName>标点符号检查</abilityName>
      <candidateList/>
      <explain/>
      <paraID>499A71D6</paraID>
      <start>90</start>
      <end>91</end>
      <status>unmodified</status>
      <modifiedWord/>
      <trackRevisions>false</trackRevisions>
    </reviewItem>
    <reviewItem>
      <errorID>18edd0ca-e877-4ff3-ace6-f2e774e7d5aa</errorID>
      <errorWord>(</errorWord>
      <group>L1_Format</group>
      <groupName>格式问题</groupName>
      <ability>L2_HalfPunc</ability>
      <abilityName>全半角检查</abilityName>
      <candidateList>
        <item>（</item>
      </candidateList>
      <explain>文本全半角错误。</explain>
      <paraID>37F31775</paraID>
      <start>92</start>
      <end>93</end>
      <status>unmodified</status>
      <modifiedWord/>
      <trackRevisions>false</trackRevisions>
    </reviewItem>
    <reviewItem>
      <errorID>ddc18f3c-a6c0-46d5-9c90-3a70073f5a65</errorID>
      <errorWord>)</errorWord>
      <group>L1_Format</group>
      <groupName>格式问题</groupName>
      <ability>L2_HalfPunc</ability>
      <abilityName>全半角检查</abilityName>
      <candidateList>
        <item>）</item>
      </candidateList>
      <explain>文本全半角错误。</explain>
      <paraID>37F31775</paraID>
      <start>97</start>
      <end>98</end>
      <status>unmodified</status>
      <modifiedWord/>
      <trackRevisions>false</trackRevisions>
    </reviewItem>
    <reviewItem>
      <errorID>50ca7ea9-36f5-4e21-b52d-5073a84720dd</errorID>
      <errorWord>,</errorWord>
      <group>L1_Format</group>
      <groupName>格式问题</groupName>
      <ability>L2_HalfPunc</ability>
      <abilityName>全半角检查</abilityName>
      <candidateList>
        <item>，</item>
      </candidateList>
      <explain>文本全半角错误。</explain>
      <paraID>6BF89D3E</paraID>
      <start>136</start>
      <end>137</end>
      <status>unmodified</status>
      <modifiedWord/>
      <trackRevisions>false</trackRevisions>
    </reviewItem>
    <reviewItem>
      <errorID>c29256c7-8c66-462c-9f32-3400c903d2cf</errorID>
      <errorWord>》</errorWord>
      <group>L1_Punc</group>
      <groupName>标点问题</groupName>
      <ability>L2_Punc</ability>
      <abilityName>标点符号检查</abilityName>
      <candidateList/>
      <explain/>
      <paraID>6D9C7515</paraID>
      <start>13</start>
      <end>14</end>
      <status>unmodified</status>
      <modifiedWord/>
      <trackRevisions>false</trackRevisions>
    </reviewItem>
    <reviewItem>
      <errorID>b8cedb6f-9483-4820-a87e-c7dbf1b2e89b</errorID>
      <errorWord>关键工程</errorWord>
      <group>L1_Knowledge</group>
      <groupName>知识性问题</groupName>
      <ability>L2_Term</ability>
      <abilityName>专业术语</abilityName>
      <candidateList>
        <item>关键工序</item>
      </candidateList>
      <explain/>
      <paraID>3B22C7EA</paraID>
      <start>12</start>
      <end>16</end>
      <status>unmodified</status>
      <modifiedWord/>
      <trackRevisions>false</trackRevisions>
    </reviewItem>
    <reviewItem>
      <errorID>9a11645f-f5c5-4303-832d-186a048f7d9e</errorID>
      <errorWord>质</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 8B7B052</paraID>
      <start>3</start>
      <end>4</end>
      <status>unmodified</status>
      <modifiedWord/>
      <trackRevisions>false</trackRevisions>
    </reviewItem>
    <reviewItem>
      <errorID>fd1f70cd-fcf7-4df1-9079-8d8220a1964d</errorID>
      <errorWord>》</errorWord>
      <group>L1_Word</group>
      <groupName>字词问题</groupName>
      <ability>L2_Typo</ability>
      <abilityName>字词错误</abilityName>
      <candidateList>
        <item>》和</item>
      </candidateList>
      <explain/>
      <paraID> A541B16</paraID>
      <start>105</start>
      <end>106</end>
      <status>unmodified</status>
      <modifiedWord/>
      <trackRevisions>false</trackRevisions>
    </reviewItem>
    <reviewItem>
      <errorID>f618bc57-8b31-48a9-a0d5-a74fe911f290</errorID>
      <errorWord>排</errorWord>
      <group>L1_Word</group>
      <groupName>字词问题</groupName>
      <ability>L2_Typo</ability>
      <abilityName>字词错误</abilityName>
      <candidateList>
        <item>排和</item>
      </candidateList>
      <explain/>
      <paraID>485A7CC4</paraID>
      <start>52</start>
      <end>53</end>
      <status>unmodified</status>
      <modifiedWord/>
      <trackRevisions>false</trackRevisions>
    </reviewItem>
    <reviewItem>
      <errorID>947d1d26-9270-4c8c-b3ca-461f001bc4c2</errorID>
      <errorWord>线型</errorWord>
      <group>L1_Word</group>
      <groupName>字词问题</groupName>
      <ability>L2_Typo</ability>
      <abilityName>字词错误</abilityName>
      <candidateList>
        <item>线形</item>
      </candidateList>
      <explain/>
      <paraID>3A15A2A2</paraID>
      <start>8</start>
      <end>10</end>
      <status>unmodified</status>
      <modifiedWord/>
      <trackRevisions>false</trackRevisions>
    </reviewItem>
    <reviewItem>
      <errorID>90551acf-49b1-495f-87e4-7c7938aa95ed</errorID>
      <errorWord>线型</errorWord>
      <group>L1_Word</group>
      <groupName>字词问题</groupName>
      <ability>L2_Typo</ability>
      <abilityName>字词错误</abilityName>
      <candidateList>
        <item>线形</item>
      </candidateList>
      <explain/>
      <paraID>7F14EFA1</paraID>
      <start>8</start>
      <end>10</end>
      <status>unmodified</status>
      <modifiedWord/>
      <trackRevisions>false</trackRevisions>
    </reviewItem>
    <reviewItem>
      <errorID>4b82b4a9-534f-4c3c-af36-5cfed1876fa6</errorID>
      <errorWord>人</errorWord>
      <group>L1_Word</group>
      <groupName>字词问题</groupName>
      <ability>L2_Typo</ability>
      <abilityName>字词错误</abilityName>
      <candidateList>
        <item>人员</item>
      </candidateList>
      <explain>〈名〉担任某种职务的人：机关工作～｜值班～｜～配备。</explain>
      <paraID>7F14EFA1</paraID>
      <start>35</start>
      <end>36</end>
      <status>unmodified</status>
      <modifiedWord/>
      <trackRevisions>false</trackRevisions>
    </reviewItem>
    <reviewItem>
      <errorID>a0f3cae0-f35a-46fe-af72-d43b511609b7</errorID>
      <errorWord>，</errorWord>
      <group>L1_Word</group>
      <groupName>字词问题</groupName>
      <ability>L2_Typo</ability>
      <abilityName>字词错误</abilityName>
      <candidateList>
        <item>，具</item>
      </candidateList>
      <explain/>
      <paraID>2FAF9029</paraID>
      <start>27</start>
      <end>28</end>
      <status>unmodified</status>
      <modifiedWord/>
      <trackRevisions>false</trackRevisions>
    </reviewItem>
    <reviewItem>
      <errorID>76ae6d76-9c23-4806-9068-8a58fcef5f10</errorID>
      <errorWord>（</errorWord>
      <group>L1_Format</group>
      <groupName>格式问题</groupName>
      <ability>L2_HalfPunc</ability>
      <abilityName>全半角检查</abilityName>
      <candidateList>
        <item>(</item>
      </candidateList>
      <explain>文本全半角错误。</explain>
      <paraID>57A32CCC</paraID>
      <start>0</start>
      <end>1</end>
      <status>unmodified</status>
      <modifiedWord/>
      <trackRevisions>false</trackRevisions>
    </reviewItem>
    <reviewItem>
      <errorID>f5744e98-4b69-4197-8d63-dfc7bd8d9165</errorID>
      <errorWord>）</errorWord>
      <group>L1_Format</group>
      <groupName>格式问题</groupName>
      <ability>L2_HalfPunc</ability>
      <abilityName>全半角检查</abilityName>
      <candidateList>
        <item>)</item>
      </candidateList>
      <explain>文本全半角错误。</explain>
      <paraID>57A32CCC</paraID>
      <start>2</start>
      <end>3</end>
      <status>unmodified</status>
      <modifiedWord/>
      <trackRevisions>false</trackRevisions>
    </reviewItem>
    <reviewItem>
      <errorID>1aecbb0e-1b09-4d1c-850b-bae6343ab234</errorID>
      <errorWord>（</errorWord>
      <group>L1_Format</group>
      <groupName>格式问题</groupName>
      <ability>L2_HalfPunc</ability>
      <abilityName>全半角检查</abilityName>
      <candidateList>
        <item>(</item>
      </candidateList>
      <explain>文本全半角错误。</explain>
      <paraID>6297E2C6</paraID>
      <start>0</start>
      <end>1</end>
      <status>unmodified</status>
      <modifiedWord/>
      <trackRevisions>false</trackRevisions>
    </reviewItem>
    <reviewItem>
      <errorID>8010920a-a18a-4801-b332-e8d4d882d769</errorID>
      <errorWord>）</errorWord>
      <group>L1_Format</group>
      <groupName>格式问题</groupName>
      <ability>L2_HalfPunc</ability>
      <abilityName>全半角检查</abilityName>
      <candidateList>
        <item>)</item>
      </candidateList>
      <explain>文本全半角错误。</explain>
      <paraID>6297E2C6</paraID>
      <start>2</start>
      <end>3</end>
      <status>unmodified</status>
      <modifiedWord/>
      <trackRevisions>false</trackRevisions>
    </reviewItem>
    <reviewItem>
      <errorID>2ae445a6-13f7-4cf4-b547-29426a7c1cb2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A482DA6</paraID>
      <start>0</start>
      <end>3</end>
      <status>unmodified</status>
      <modifiedWord/>
      <trackRevisions>false</trackRevisions>
    </reviewItem>
    <reviewItem>
      <errorID>ec894971-005e-4c0e-bc67-9ff071e663de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5F0A50C1</paraID>
      <start>0</start>
      <end>3</end>
      <status>unmodified</status>
      <modifiedWord/>
      <trackRevisions>false</trackRevisions>
    </reviewItem>
    <reviewItem>
      <errorID>54385718-b013-4b13-972b-078556faae6d</errorID>
      <errorWord>)</errorWord>
      <group>L1_Format</group>
      <groupName>格式问题</groupName>
      <ability>L2_HalfPunc</ability>
      <abilityName>全半角检查</abilityName>
      <candidateList>
        <item>）</item>
      </candidateList>
      <explain>文本全半角错误。</explain>
      <paraID>3CFC603F</paraID>
      <start>36</start>
      <end>37</end>
      <status>unmodified</status>
      <modifiedWord/>
      <trackRevisions>false</trackRevisions>
    </reviewItem>
    <reviewItem>
      <errorID>8d4009a8-a76e-4322-95d8-74bfaabe4a23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53304DCD</paraID>
      <start>0</start>
      <end>3</end>
      <status>unmodified</status>
      <modifiedWord/>
      <trackRevisions>false</trackRevisions>
    </reviewItem>
    <reviewItem>
      <errorID>35d9cfe6-89f7-4f10-9966-3678a0d1d4fc</errorID>
      <errorWord>（</errorWord>
      <group>L1_Format</group>
      <groupName>格式问题</groupName>
      <ability>L2_HalfPunc</ability>
      <abilityName>全半角检查</abilityName>
      <candidateList>
        <item>(</item>
      </candidateList>
      <explain>文本全半角错误。</explain>
      <paraID>4FBB2CF7</paraID>
      <start>0</start>
      <end>1</end>
      <status>unmodified</status>
      <modifiedWord/>
      <trackRevisions>false</trackRevisions>
    </reviewItem>
    <reviewItem>
      <errorID>4b4a8ad3-49e3-430f-a5fb-a3e45b9248e5</errorID>
      <errorWord>）</errorWord>
      <group>L1_Format</group>
      <groupName>格式问题</groupName>
      <ability>L2_HalfPunc</ability>
      <abilityName>全半角检查</abilityName>
      <candidateList>
        <item>)</item>
      </candidateList>
      <explain>文本全半角错误。</explain>
      <paraID>4FBB2CF7</paraID>
      <start>2</start>
      <end>3</end>
      <status>unmodified</status>
      <modifiedWord/>
      <trackRevisions>false</trackRevisions>
    </reviewItem>
    <reviewItem>
      <errorID>c3b09c80-ec04-492d-a4af-cd330db37667</errorID>
      <errorWord>(</errorWord>
      <group>L1_Format</group>
      <groupName>格式问题</groupName>
      <ability>L2_HalfPunc</ability>
      <abilityName>全半角检查</abilityName>
      <candidateList>
        <item>（</item>
      </candidateList>
      <explain>文本全半角错误。</explain>
      <paraID>3B6D942C</paraID>
      <start>8</start>
      <end>9</end>
      <status>unmodified</status>
      <modifiedWord/>
      <trackRevisions>false</trackRevisions>
    </reviewItem>
    <reviewItem>
      <errorID>854b1396-915c-46a0-bdab-89216e2964c5</errorID>
      <errorWord>)</errorWord>
      <group>L1_Format</group>
      <groupName>格式问题</groupName>
      <ability>L2_HalfPunc</ability>
      <abilityName>全半角检查</abilityName>
      <candidateList>
        <item>）</item>
      </candidateList>
      <explain>文本全半角错误。</explain>
      <paraID>3B6D942C</paraID>
      <start>15</start>
      <end>16</end>
      <status>unmodified</status>
      <modifiedWord/>
      <trackRevisions>false</trackRevisions>
    </reviewItem>
    <reviewItem>
      <errorID>16b290b3-184e-4b05-a6f5-ee21d1abaa56</errorID>
      <errorWord>）中</errorWord>
      <group>L1_Word</group>
      <groupName>字词问题</groupName>
      <ability>L2_Typo</ability>
      <abilityName>字词错误</abilityName>
      <candidateList>
        <item>）</item>
      </candidateList>
      <explain/>
      <paraID> DC64506</paraID>
      <start>2</start>
      <end>4</end>
      <status>unmodified</status>
      <modifiedWord/>
      <trackRevisions>false</trackRevisions>
    </reviewItem>
    <reviewItem>
      <errorID>f4e005d1-190a-4b18-822a-706576451f16</errorID>
      <errorWord>)</errorWord>
      <group>L1_Format</group>
      <groupName>格式问题</groupName>
      <ability>L2_HalfPunc</ability>
      <abilityName>全半角检查</abilityName>
      <candidateList>
        <item>）</item>
      </candidateList>
      <explain>文本全半角错误。</explain>
      <paraID>52ED5D41</paraID>
      <start>51</start>
      <end>52</end>
      <status>unmodified</status>
      <modifiedWord/>
      <trackRevisions>false</trackRevisions>
    </reviewItem>
    <reviewItem>
      <errorID>89b3dba9-e138-45c7-8d9b-c9957b34c247</errorID>
      <errorWord>允许中</errorWord>
      <group>L1_Word</group>
      <groupName>字词问题</groupName>
      <ability>L2_Typo</ability>
      <abilityName>字词错误</abilityName>
      <candidateList>
        <item>允许</item>
      </candidateList>
      <explain/>
      <paraID>170236F0</paraID>
      <start>23</start>
      <end>26</end>
      <status>unmodified</status>
      <modifiedWord/>
      <trackRevisions>false</trackRevisions>
    </reviewItem>
    <reviewItem>
      <errorID>aeeaaa19-92b5-4bbf-a18f-14328113ed72</errorID>
      <errorWord>广东省等</errorWord>
      <group>L1_Word</group>
      <groupName>字词问题</groupName>
      <ability>L2_Typo</ability>
      <abilityName>字词错误</abilityName>
      <candidateList>
        <item>广东省</item>
      </candidateList>
      <explain/>
      <paraID>31FF1F25</paraID>
      <start>13</start>
      <end>17</end>
      <status>unmodified</status>
      <modifiedWord/>
      <trackRevisions>false</trackRevisions>
    </reviewItem>
    <reviewItem>
      <errorID>8da5eb3f-a08c-404d-9fd8-93c9949f761e</errorID>
      <errorWord>(</errorWord>
      <group>L1_Format</group>
      <groupName>格式问题</groupName>
      <ability>L2_HalfPunc</ability>
      <abilityName>全半角检查</abilityName>
      <candidateList>
        <item>（</item>
      </candidateList>
      <explain>文本全半角错误。</explain>
      <paraID>2DA1D48F</paraID>
      <start>13</start>
      <end>14</end>
      <status>unmodified</status>
      <modifiedWord/>
      <trackRevisions>false</trackRevisions>
    </reviewItem>
    <reviewItem>
      <errorID>508aef9b-87f0-48a4-be2a-de26875664a6</errorID>
      <errorWord>)</errorWord>
      <group>L1_Format</group>
      <groupName>格式问题</groupName>
      <ability>L2_HalfPunc</ability>
      <abilityName>全半角检查</abilityName>
      <candidateList>
        <item>）</item>
      </candidateList>
      <explain>文本全半角错误。</explain>
      <paraID>2DA1D48F</paraID>
      <start>16</start>
      <end>17</end>
      <status>unmodified</status>
      <modifiedWord/>
      <trackRevisions>false</trackRevisions>
    </reviewItem>
    <reviewItem>
      <errorID>760bc758-dab5-48ad-babc-5e9ff9887f65</errorID>
      <errorWord>:</errorWord>
      <group>L1_Format</group>
      <groupName>格式问题</groupName>
      <ability>L2_HalfPunc</ability>
      <abilityName>全半角检查</abilityName>
      <candidateList>
        <item>：</item>
      </candidateList>
      <explain>文本全半角错误。</explain>
      <paraID>5412B739</paraID>
      <start>24</start>
      <end>25</end>
      <status>unmodified</status>
      <modifiedWord/>
      <trackRevisions>false</trackRevisions>
    </reviewItem>
    <reviewItem>
      <errorID>df8e5d65-d947-4f23-83fc-21587a71429d</errorID>
      <errorWord>:</errorWord>
      <group>L1_Format</group>
      <groupName>格式问题</groupName>
      <ability>L2_HalfPunc</ability>
      <abilityName>全半角检查</abilityName>
      <candidateList>
        <item>：</item>
      </candidateList>
      <explain>文本全半角错误。</explain>
      <paraID>125F343F</paraID>
      <start>2</start>
      <end>3</end>
      <status>unmodified</status>
      <modifiedWord/>
      <trackRevisions>false</trackRevisions>
    </reviewItem>
    <reviewItem>
      <errorID>fae880d2-f579-4f0e-840f-d4a2c7f27a95</errorID>
      <errorWord>:</errorWord>
      <group>L1_Format</group>
      <groupName>格式问题</groupName>
      <ability>L2_HalfPunc</ability>
      <abilityName>全半角检查</abilityName>
      <candidateList>
        <item>：</item>
      </candidateList>
      <explain>文本全半角错误。</explain>
      <paraID>125F343F</paraID>
      <start>24</start>
      <end>25</end>
      <status>unmodified</status>
      <modifiedWord/>
      <trackRevisions>false</trackRevisions>
    </reviewItem>
    <reviewItem>
      <errorID>bb140b2e-8a67-449b-87ac-8b9d5ea94f96</errorID>
      <errorWord>)</errorWord>
      <group>L1_Format</group>
      <groupName>格式问题</groupName>
      <ability>L2_HalfPunc</ability>
      <abilityName>全半角检查</abilityName>
      <candidateList>
        <item>）</item>
      </candidateList>
      <explain>文本全半角错误。</explain>
      <paraID>125F343F</paraID>
      <start>33</start>
      <end>34</end>
      <status>unmodified</status>
      <modifiedWord/>
      <trackRevisions>false</trackRevisions>
    </reviewItem>
    <reviewItem>
      <errorID>b4ed89ac-a63a-4bdd-97cf-4d3134a8a7ac</errorID>
      <errorWord>:</errorWord>
      <group>L1_Format</group>
      <groupName>格式问题</groupName>
      <ability>L2_HalfPunc</ability>
      <abilityName>全半角检查</abilityName>
      <candidateList>
        <item>：</item>
      </candidateList>
      <explain>文本全半角错误。</explain>
      <paraID>2EDD3DC1</paraID>
      <start>24</start>
      <end>25</end>
      <status>unmodified</status>
      <modifiedWord/>
      <trackRevisions>false</trackRevisions>
    </reviewItem>
    <reviewItem>
      <errorID>4a295876-e9e0-4f5a-8764-6d713dd2f5c8</errorID>
      <errorWord>:</errorWord>
      <group>L1_Format</group>
      <groupName>格式问题</groupName>
      <ability>L2_HalfPunc</ability>
      <abilityName>全半角检查</abilityName>
      <candidateList>
        <item>：</item>
      </candidateList>
      <explain>文本全半角错误。</explain>
      <paraID>2EDD3DC1</paraID>
      <start>136</start>
      <end>137</end>
      <status>unmodified</status>
      <modifiedWord/>
      <trackRevisions>false</trackRevisions>
    </reviewItem>
    <reviewItem>
      <errorID>29fc2e6b-752a-4795-8586-efe62f37312e</errorID>
      <errorWord>人数数量</errorWord>
      <group>L1_Word</group>
      <groupName>字词问题</groupName>
      <ability>L2_Typo</ability>
      <abilityName>字词错误</abilityName>
      <candidateList>
        <item>人数</item>
      </candidateList>
      <explain/>
      <paraID>41039EA4</paraID>
      <start>19</start>
      <end>23</end>
      <status>unmodified</status>
      <modifiedWord/>
      <trackRevisions>false</trackRevisions>
    </reviewItem>
    <reviewItem>
      <errorID>fd5a7bff-825e-4790-95d9-f96eb2f19a29</errorID>
      <errorWord>人数数量</errorWord>
      <group>L1_Word</group>
      <groupName>字词问题</groupName>
      <ability>L2_Typo</ability>
      <abilityName>字词错误</abilityName>
      <candidateList>
        <item>人数</item>
      </candidateList>
      <explain/>
      <paraID> 15DD4EC</paraID>
      <start>19</start>
      <end>23</end>
      <status>unmodified</status>
      <modifiedWord/>
      <trackRevisions>false</trackRevisions>
    </reviewItem>
    <reviewItem>
      <errorID>aabcc7fd-8e04-4497-a857-94b1c27d3991</errorID>
      <errorWord>;</errorWord>
      <group>L1_Format</group>
      <groupName>格式问题</groupName>
      <ability>L2_HalfPunc</ability>
      <abilityName>全半角检查</abilityName>
      <candidateList>
        <item>；</item>
      </candidateList>
      <explain>文本全半角错误。</explain>
      <paraID>52B95409</paraID>
      <start>51</start>
      <end>52</end>
      <status>unmodified</status>
      <modifiedWord/>
      <trackRevisions>false</trackRevisions>
    </reviewItem>
    <reviewItem>
      <errorID>ec7112b5-b601-42f4-b6d5-0efadf92c863</errorID>
      <errorWord>;</errorWord>
      <group>L1_Format</group>
      <groupName>格式问题</groupName>
      <ability>L2_HalfPunc</ability>
      <abilityName>全半角检查</abilityName>
      <candidateList>
        <item>；</item>
      </candidateList>
      <explain>文本全半角错误。</explain>
      <paraID> 85AFC9D</paraID>
      <start>29</start>
      <end>30</end>
      <status>unmodified</status>
      <modifiedWord/>
      <trackRevisions>false</trackRevisions>
    </reviewItem>
    <reviewItem>
      <errorID>28fd1a3a-3a1c-4c65-913d-f4816e410643</errorID>
      <errorWord>包含在</errorWord>
      <group>L1_Word</group>
      <groupName>字词问题</groupName>
      <ability>L2_Typo</ability>
      <abilityName>字词错误</abilityName>
      <candidateList>
        <item>包含</item>
      </candidateList>
      <explain>〈动〉里边含有：这句话～好几层意思。</explain>
      <paraID>2C47F0BA</paraID>
      <start>20</start>
      <end>23</end>
      <status>unmodified</status>
      <modifiedWord/>
      <trackRevisions>false</trackRevisions>
    </reviewItem>
    <reviewItem>
      <errorID>a5cb52de-302c-4f72-85ed-30ff1b6fbe07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42101A2A</paraID>
      <start>0</start>
      <end>3</end>
      <status>unmodified</status>
      <modifiedWord/>
      <trackRevisions>false</trackRevisions>
    </reviewItem>
    <reviewItem>
      <errorID>a573497a-946e-4a41-aeb7-32fc25390555</errorID>
      <errorWord>(</errorWord>
      <group>L1_Format</group>
      <groupName>格式问题</groupName>
      <ability>L2_HalfPunc</ability>
      <abilityName>全半角检查</abilityName>
      <candidateList>
        <item>（</item>
      </candidateList>
      <explain>文本全半角错误。</explain>
      <paraID>42101A2A</paraID>
      <start>41</start>
      <end>42</end>
      <status>unmodified</status>
      <modifiedWord/>
      <trackRevisions>false</trackRevisions>
    </reviewItem>
    <reviewItem>
      <errorID>54a4495b-40d0-4349-b405-dcaef0d137fd</errorID>
      <errorWord>)</errorWord>
      <group>L1_Format</group>
      <groupName>格式问题</groupName>
      <ability>L2_HalfPunc</ability>
      <abilityName>全半角检查</abilityName>
      <candidateList>
        <item>）</item>
      </candidateList>
      <explain>文本全半角错误。</explain>
      <paraID>42101A2A</paraID>
      <start>121</start>
      <end>122</end>
      <status>unmodified</status>
      <modifiedWord/>
      <trackRevisions>false</trackRevisions>
    </reviewItem>
    <reviewItem>
      <errorID>f16e2ce5-0690-411a-a264-e2fabafec9ea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5DF76AB2</paraID>
      <start>0</start>
      <end>3</end>
      <status>unmodified</status>
      <modifiedWord/>
      <trackRevisions>false</trackRevisions>
    </reviewItem>
    <reviewItem>
      <errorID>2f0ec75e-9eeb-45b7-ad17-6f6d8938448e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13CD89B1</paraID>
      <start>0</start>
      <end>3</end>
      <status>unmodified</status>
      <modifiedWord/>
      <trackRevisions>false</trackRevisions>
    </reviewItem>
    <reviewItem>
      <errorID>8a35c365-d557-4b64-a26e-5d38c2c8f092</errorID>
      <errorWord>(</errorWord>
      <group>L1_Format</group>
      <groupName>格式问题</groupName>
      <ability>L2_HalfPunc</ability>
      <abilityName>全半角检查</abilityName>
      <candidateList>
        <item>（</item>
      </candidateList>
      <explain>文本全半角错误。</explain>
      <paraID>26EE3CDF</paraID>
      <start>145</start>
      <end>146</end>
      <status>unmodified</status>
      <modifiedWord/>
      <trackRevisions>false</trackRevisions>
    </reviewItem>
    <reviewItem>
      <errorID>242922f4-7084-4ae1-a173-a8eadc61fdac</errorID>
      <errorWord>)</errorWord>
      <group>L1_Format</group>
      <groupName>格式问题</groupName>
      <ability>L2_HalfPunc</ability>
      <abilityName>全半角检查</abilityName>
      <candidateList>
        <item>）</item>
      </candidateList>
      <explain>文本全半角错误。</explain>
      <paraID>26EE3CDF</paraID>
      <start>150</start>
      <end>151</end>
      <status>unmodified</status>
      <modifiedWord/>
      <trackRevisions>false</trackRevisions>
    </reviewItem>
    <reviewItem>
      <errorID>4fbba25c-f1b4-4a7b-be57-538a21355170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3C1A9A93</paraID>
      <start>0</start>
      <end>3</end>
      <status>unmodified</status>
      <modifiedWord/>
      <trackRevisions>false</trackRevisions>
    </reviewItem>
    <reviewItem>
      <errorID>6becd289-88ba-45d3-a6e7-ab057a12840c</errorID>
      <errorWord>）</errorWord>
      <group>L1_Format</group>
      <groupName>格式问题</groupName>
      <ability>L2_HalfPunc</ability>
      <abilityName>全半角检查</abilityName>
      <candidateList>
        <item>)</item>
      </candidateList>
      <explain>文本全半角错误。</explain>
      <paraID>470AF2C7</paraID>
      <start>6</start>
      <end>7</end>
      <status>unmodified</status>
      <modifiedWord/>
      <trackRevisions>false</trackRevisions>
    </reviewItem>
    <reviewItem>
      <errorID>632ab89b-9ccc-42fa-a631-b852d55cf013</errorID>
      <errorWord>（</errorWord>
      <group>L1_Format</group>
      <groupName>格式问题</groupName>
      <ability>L2_HalfPunc</ability>
      <abilityName>全半角检查</abilityName>
      <candidateList>
        <item>(</item>
      </candidateList>
      <explain>文本全半角错误。</explain>
      <paraID>5B3F55B1</paraID>
      <start>4</start>
      <end>5</end>
      <status>unmodified</status>
      <modifiedWord/>
      <trackRevisions>false</trackRevisions>
    </reviewItem>
    <reviewItem>
      <errorID>1a14ae74-2371-413c-9657-3be762762a99</errorID>
      <errorWord>）</errorWord>
      <group>L1_Format</group>
      <groupName>格式问题</groupName>
      <ability>L2_HalfPunc</ability>
      <abilityName>全半角检查</abilityName>
      <candidateList>
        <item>)</item>
      </candidateList>
      <explain>文本全半角错误。</explain>
      <paraID>5B3F55B1</paraID>
      <start>6</start>
      <end>7</end>
      <status>unmodified</status>
      <modifiedWord/>
      <trackRevisions>false</trackRevisions>
    </reviewItem>
    <reviewItem>
      <errorID>849edc83-fc93-47da-b44a-a96b881211c7</errorID>
      <errorWord>（</errorWord>
      <group>L1_Format</group>
      <groupName>格式问题</groupName>
      <ability>L2_HalfPunc</ability>
      <abilityName>全半角检查</abilityName>
      <candidateList>
        <item>(</item>
      </candidateList>
      <explain>文本全半角错误。</explain>
      <paraID>550120FB</paraID>
      <start>4</start>
      <end>5</end>
      <status>unmodified</status>
      <modifiedWord/>
      <trackRevisions>false</trackRevisions>
    </reviewItem>
    <reviewItem>
      <errorID>721e64d1-fdfe-4376-abcb-42c6f5d430fb</errorID>
      <errorWord>）</errorWord>
      <group>L1_Format</group>
      <groupName>格式问题</groupName>
      <ability>L2_HalfPunc</ability>
      <abilityName>全半角检查</abilityName>
      <candidateList>
        <item>)</item>
      </candidateList>
      <explain>文本全半角错误。</explain>
      <paraID>550120FB</paraID>
      <start>6</start>
      <end>7</end>
      <status>unmodified</status>
      <modifiedWord/>
      <trackRevisions>false</trackRevisions>
    </reviewItem>
    <reviewItem>
      <errorID>f4c38bb6-906f-4dbc-95ae-22a89a738f76</errorID>
      <errorWord>（</errorWord>
      <group>L1_Format</group>
      <groupName>格式问题</groupName>
      <ability>L2_HalfPunc</ability>
      <abilityName>全半角检查</abilityName>
      <candidateList>
        <item>(</item>
      </candidateList>
      <explain>文本全半角错误。</explain>
      <paraID>6F2D79F9</paraID>
      <start>6</start>
      <end>7</end>
      <status>unmodified</status>
      <modifiedWord/>
      <trackRevisions>false</trackRevisions>
    </reviewItem>
    <reviewItem>
      <errorID>3ac881bb-bd9b-4801-9e42-9091d2417092</errorID>
      <errorWord>）</errorWord>
      <group>L1_Format</group>
      <groupName>格式问题</groupName>
      <ability>L2_HalfPunc</ability>
      <abilityName>全半角检查</abilityName>
      <candidateList>
        <item>)</item>
      </candidateList>
      <explain>文本全半角错误。</explain>
      <paraID>6F2D79F9</paraID>
      <start>8</start>
      <end>9</end>
      <status>unmodified</status>
      <modifiedWord/>
      <trackRevisions>false</trackRevisions>
    </reviewItem>
    <reviewItem>
      <errorID>ba97063a-7365-44b4-98eb-c747ca8523f4</errorID>
      <errorWord>（</errorWord>
      <group>L1_Format</group>
      <groupName>格式问题</groupName>
      <ability>L2_HalfPunc</ability>
      <abilityName>全半角检查</abilityName>
      <candidateList>
        <item>(</item>
      </candidateList>
      <explain>文本全半角错误。</explain>
      <paraID>7B491847</paraID>
      <start>6</start>
      <end>7</end>
      <status>unmodified</status>
      <modifiedWord/>
      <trackRevisions>false</trackRevisions>
    </reviewItem>
    <reviewItem>
      <errorID>177bd000-54e2-45a7-a50a-fc21500a3b79</errorID>
      <errorWord>）</errorWord>
      <group>L1_Format</group>
      <groupName>格式问题</groupName>
      <ability>L2_HalfPunc</ability>
      <abilityName>全半角检查</abilityName>
      <candidateList>
        <item>)</item>
      </candidateList>
      <explain>文本全半角错误。</explain>
      <paraID>7B491847</paraID>
      <start>8</start>
      <end>9</end>
      <status>unmodified</status>
      <modifiedWord/>
      <trackRevisions>false</trackRevisions>
    </reviewItem>
    <reviewItem>
      <errorID>ae457229-f614-4200-98d1-212b1921d78a</errorID>
      <errorWord>（</errorWord>
      <group>L1_Format</group>
      <groupName>格式问题</groupName>
      <ability>L2_HalfPunc</ability>
      <abilityName>全半角检查</abilityName>
      <candidateList>
        <item>(</item>
      </candidateList>
      <explain>文本全半角错误。</explain>
      <paraID>615EC15D</paraID>
      <start>6</start>
      <end>7</end>
      <status>unmodified</status>
      <modifiedWord/>
      <trackRevisions>false</trackRevisions>
    </reviewItem>
    <reviewItem>
      <errorID>0ac857ec-9c11-43d2-bacd-c25606144658</errorID>
      <errorWord>）</errorWord>
      <group>L1_Format</group>
      <groupName>格式问题</groupName>
      <ability>L2_HalfPunc</ability>
      <abilityName>全半角检查</abilityName>
      <candidateList>
        <item>)</item>
      </candidateList>
      <explain>文本全半角错误。</explain>
      <paraID>615EC15D</paraID>
      <start>8</start>
      <end>9</end>
      <status>unmodified</status>
      <modifiedWord/>
      <trackRevisions>false</trackRevisions>
    </reviewItem>
    <reviewItem>
      <errorID>f596736c-41b7-465a-94d2-4f1abe5a4bfe</errorID>
      <errorWord>(</errorWord>
      <group>L1_Format</group>
      <groupName>格式问题</groupName>
      <ability>L2_HalfPunc</ability>
      <abilityName>全半角检查</abilityName>
      <candidateList>
        <item>（</item>
      </candidateList>
      <explain>文本全半角错误。</explain>
      <paraID>727D8342</paraID>
      <start>16</start>
      <end>17</end>
      <status>unmodified</status>
      <modifiedWord/>
      <trackRevisions>false</trackRevisions>
    </reviewItem>
    <reviewItem>
      <errorID>ad896862-eecd-4d96-86b5-7f58b60404aa</errorID>
      <errorWord>)</errorWord>
      <group>L1_Format</group>
      <groupName>格式问题</groupName>
      <ability>L2_HalfPunc</ability>
      <abilityName>全半角检查</abilityName>
      <candidateList>
        <item>）</item>
      </candidateList>
      <explain>文本全半角错误。</explain>
      <paraID>727D8342</paraID>
      <start>25</start>
      <end>26</end>
      <status>unmodified</status>
      <modifiedWord/>
      <trackRevisions>false</trackRevisions>
    </reviewItem>
    <reviewItem>
      <errorID>4cc143ef-10fd-4217-83aa-a7ac9ed7d483</errorID>
      <errorWord>（</errorWord>
      <group>L1_Format</group>
      <groupName>格式问题</groupName>
      <ability>L2_HalfPunc</ability>
      <abilityName>全半角检查</abilityName>
      <candidateList>
        <item>(</item>
      </candidateList>
      <explain>文本全半角错误。</explain>
      <paraID>6000D510</paraID>
      <start>6</start>
      <end>7</end>
      <status>unmodified</status>
      <modifiedWord/>
      <trackRevisions>false</trackRevisions>
    </reviewItem>
    <reviewItem>
      <errorID>3cfa84cb-7a3d-4b32-8424-eb19ee067574</errorID>
      <errorWord>）</errorWord>
      <group>L1_Format</group>
      <groupName>格式问题</groupName>
      <ability>L2_HalfPunc</ability>
      <abilityName>全半角检查</abilityName>
      <candidateList>
        <item>)</item>
      </candidateList>
      <explain>文本全半角错误。</explain>
      <paraID>6000D510</paraID>
      <start>8</start>
      <end>9</end>
      <status>unmodified</status>
      <modifiedWord/>
      <trackRevisions>false</trackRevisions>
    </reviewItem>
    <reviewItem>
      <errorID>404e8ac4-f66f-46f9-85cd-fc7e8c4a9fbc</errorID>
      <errorWord>(</errorWord>
      <group>L1_Format</group>
      <groupName>格式问题</groupName>
      <ability>L2_HalfPunc</ability>
      <abilityName>全半角检查</abilityName>
      <candidateList>
        <item>（</item>
      </candidateList>
      <explain>文本全半角错误。</explain>
      <paraID> A1DCBFB</paraID>
      <start>16</start>
      <end>17</end>
      <status>unmodified</status>
      <modifiedWord/>
      <trackRevisions>false</trackRevisions>
    </reviewItem>
    <reviewItem>
      <errorID>f6e8dedd-06e1-4790-9ed4-63cabb96c05b</errorID>
      <errorWord>)</errorWord>
      <group>L1_Format</group>
      <groupName>格式问题</groupName>
      <ability>L2_HalfPunc</ability>
      <abilityName>全半角检查</abilityName>
      <candidateList>
        <item>）</item>
      </candidateList>
      <explain>文本全半角错误。</explain>
      <paraID> A1DCBFB</paraID>
      <start>25</start>
      <end>26</end>
      <status>unmodified</status>
      <modifiedWord/>
      <trackRevisions>false</trackRevisions>
    </reviewItem>
    <reviewItem>
      <errorID>504f045b-ea66-488f-8983-6895fcaa6bfa</errorID>
      <errorWord>（</errorWord>
      <group>L1_Format</group>
      <groupName>格式问题</groupName>
      <ability>L2_HalfPunc</ability>
      <abilityName>全半角检查</abilityName>
      <candidateList>
        <item>(</item>
      </candidateList>
      <explain>文本全半角错误。</explain>
      <paraID>7D20AE4E</paraID>
      <start>4</start>
      <end>5</end>
      <status>unmodified</status>
      <modifiedWord/>
      <trackRevisions>false</trackRevisions>
    </reviewItem>
    <reviewItem>
      <errorID>72f0b448-532d-48fc-a681-0d828ec03b0e</errorID>
      <errorWord>）</errorWord>
      <group>L1_Format</group>
      <groupName>格式问题</groupName>
      <ability>L2_HalfPunc</ability>
      <abilityName>全半角检查</abilityName>
      <candidateList>
        <item>)</item>
      </candidateList>
      <explain>文本全半角错误。</explain>
      <paraID>7D20AE4E</paraID>
      <start>6</start>
      <end>7</end>
      <status>unmodified</status>
      <modifiedWord/>
      <trackRevisions>false</trackRevisions>
    </reviewItem>
    <reviewItem>
      <errorID>1cc901a2-e8ca-4749-89ee-2c28893e8571</errorID>
      <errorWord>（</errorWord>
      <group>L1_Format</group>
      <groupName>格式问题</groupName>
      <ability>L2_HalfPunc</ability>
      <abilityName>全半角检查</abilityName>
      <candidateList>
        <item>(</item>
      </candidateList>
      <explain>文本全半角错误。</explain>
      <paraID>18642393</paraID>
      <start>4</start>
      <end>5</end>
      <status>unmodified</status>
      <modifiedWord/>
      <trackRevisions>false</trackRevisions>
    </reviewItem>
    <reviewItem>
      <errorID>c965f166-d2df-44fc-b95d-f731fa0c4c4c</errorID>
      <errorWord>）</errorWord>
      <group>L1_Format</group>
      <groupName>格式问题</groupName>
      <ability>L2_HalfPunc</ability>
      <abilityName>全半角检查</abilityName>
      <candidateList>
        <item>)</item>
      </candidateList>
      <explain>文本全半角错误。</explain>
      <paraID>18642393</paraID>
      <start>6</start>
      <end>7</end>
      <status>unmodified</status>
      <modifiedWord/>
      <trackRevisions>false</trackRevisions>
    </reviewItem>
    <reviewItem>
      <errorID>316b1d06-f4fa-4f2e-a302-b0e37ee21828</errorID>
      <errorWord>年</errorWord>
      <group>L1_Word</group>
      <groupName>字词问题</groupName>
      <ability>L2_Typo</ability>
      <abilityName>字词错误</abilityName>
      <candidateList>
        <item/>
      </candidateList>
      <explain/>
      <paraID>6198795E</paraID>
      <start>20</start>
      <end>21</end>
      <status>unmodified</status>
      <modifiedWord/>
      <trackRevisions>false</trackRevisions>
    </reviewItem>
    <reviewItem>
      <errorID>4a04aab6-cc79-47d9-a77d-25e26a4a02a5</errorID>
      <errorWord>给与一定</errorWord>
      <group>L1_Word</group>
      <groupName>字词问题</groupName>
      <ability>L2_Alias</ability>
      <abilityName>也作/曾用词</abilityName>
      <candidateList>
        <item>给予一定</item>
      </candidateList>
      <explain>词汇[给与一定]为不规范表述或旧称，其规范书面表述为[给予一定]。</explain>
      <paraID> 2302993</paraID>
      <start>51</start>
      <end>55</end>
      <status>unmodified</status>
      <modifiedWord/>
      <trackRevisions>false</trackRevisions>
    </reviewItem>
    <reviewItem>
      <errorID>8f0c9015-ba75-4d70-a44e-ebdc15dd06b4</errorID>
      <errorWord>给与</errorWord>
      <group>L1_Word</group>
      <groupName>字词问题</groupName>
      <ability>L2_Alias</ability>
      <abilityName>也作/曾用词</abilityName>
      <candidateList>
        <item>给予</item>
      </candidateList>
      <explain>词汇[给与]为不规范表述或旧称，其规范书面表述为[给予]。</explain>
      <paraID> 2302993</paraID>
      <start>67</start>
      <end>69</end>
      <status>unmodified</status>
      <modifiedWord/>
      <trackRevisions>false</trackRevisions>
    </reviewItem>
    <reviewItem>
      <errorID>00fd3de0-bad1-4a2d-9625-b145f33a895f</errorID>
      <errorWord>应为</errorWord>
      <group>L1_Word</group>
      <groupName>字词问题</groupName>
      <ability>L2_Typo</ability>
      <abilityName>字词错误</abilityName>
      <candidateList>
        <item>应</item>
      </candidateList>
      <explain/>
      <paraID>46DEF0C0</paraID>
      <start>7</start>
      <end>9</end>
      <status>unmodified</status>
      <modifiedWord/>
      <trackRevisions>false</trackRevisions>
    </reviewItem>
    <reviewItem>
      <errorID>561996b1-17c6-4e18-b45c-0a0344a4bab5</errorID>
      <errorWord>(</errorWord>
      <group>L1_Format</group>
      <groupName>格式问题</groupName>
      <ability>L2_HalfPunc</ability>
      <abilityName>全半角检查</abilityName>
      <candidateList>
        <item>（</item>
      </candidateList>
      <explain>文本全半角错误。</explain>
      <paraID>31159347</paraID>
      <start>29</start>
      <end>30</end>
      <status>unmodified</status>
      <modifiedWord/>
      <trackRevisions>false</trackRevisions>
    </reviewItem>
    <reviewItem>
      <errorID>9ef14da6-947c-41d3-bb14-51c9e901dbc1</errorID>
      <errorWord>)</errorWord>
      <group>L1_Format</group>
      <groupName>格式问题</groupName>
      <ability>L2_HalfPunc</ability>
      <abilityName>全半角检查</abilityName>
      <candidateList>
        <item>）</item>
      </candidateList>
      <explain>文本全半角错误。</explain>
      <paraID>31159347</paraID>
      <start>35</start>
      <end>36</end>
      <status>unmodified</status>
      <modifiedWord/>
      <trackRevisions>false</trackRevisions>
    </reviewItem>
    <reviewItem>
      <errorID>66084d84-2fda-4467-8092-f9149280e98a</errorID>
      <errorWord>)</errorWord>
      <group>L1_Format</group>
      <groupName>格式问题</groupName>
      <ability>L2_HalfPunc</ability>
      <abilityName>全半角检查</abilityName>
      <candidateList>
        <item>）</item>
      </candidateList>
      <explain>文本全半角错误。</explain>
      <paraID>2A029EC9</paraID>
      <start>9</start>
      <end>10</end>
      <status>unmodified</status>
      <modifiedWord/>
      <trackRevisions>false</trackRevisions>
    </reviewItem>
    <reviewItem>
      <errorID>3a0f49a1-1ab2-4503-b82b-4c30aa8df144</errorID>
      <errorWord>,</errorWord>
      <group>L1_Format</group>
      <groupName>格式问题</groupName>
      <ability>L2_HalfPunc</ability>
      <abilityName>全半角检查</abilityName>
      <candidateList>
        <item>，</item>
      </candidateList>
      <explain>文本全半角错误。</explain>
      <paraID>67EA4BA6</paraID>
      <start>37</start>
      <end>38</end>
      <status>unmodified</status>
      <modifiedWord/>
      <trackRevisions>false</trackRevisions>
    </reviewItem>
    <reviewItem>
      <errorID>5abd1937-0857-4692-b27a-bb70b16c4d33</errorID>
      <errorWord>(</errorWord>
      <group>L1_Format</group>
      <groupName>格式问题</groupName>
      <ability>L2_HalfPunc</ability>
      <abilityName>全半角检查</abilityName>
      <candidateList>
        <item>（</item>
      </candidateList>
      <explain>文本全半角错误。</explain>
      <paraID>5803E033</paraID>
      <start>4</start>
      <end>5</end>
      <status>unmodified</status>
      <modifiedWord/>
      <trackRevisions>false</trackRevisions>
    </reviewItem>
    <reviewItem>
      <errorID>42f5fefe-14c2-4e6c-95b9-8c151bac8141</errorID>
      <errorWord>)</errorWord>
      <group>L1_Format</group>
      <groupName>格式问题</groupName>
      <ability>L2_HalfPunc</ability>
      <abilityName>全半角检查</abilityName>
      <candidateList>
        <item>）</item>
      </candidateList>
      <explain>文本全半角错误。</explain>
      <paraID>5803E033</paraID>
      <start>9</start>
      <end>10</end>
      <status>unmodified</status>
      <modifiedWord/>
      <trackRevisions>false</trackRevisions>
    </reviewItem>
    <reviewItem>
      <errorID>ce2e67b1-4813-47ab-8a04-bafcacda9997</errorID>
      <errorWord>(</errorWord>
      <group>L1_Format</group>
      <groupName>格式问题</groupName>
      <ability>L2_HalfPunc</ability>
      <abilityName>全半角检查</abilityName>
      <candidateList>
        <item>（</item>
      </candidateList>
      <explain>文本全半角错误。</explain>
      <paraID>42D0DBF2</paraID>
      <start>4</start>
      <end>5</end>
      <status>unmodified</status>
      <modifiedWord/>
      <trackRevisions>false</trackRevisions>
    </reviewItem>
    <reviewItem>
      <errorID>c742756a-9cc4-4d12-8d6c-d9569f8413ac</errorID>
      <errorWord>)</errorWord>
      <group>L1_Format</group>
      <groupName>格式问题</groupName>
      <ability>L2_HalfPunc</ability>
      <abilityName>全半角检查</abilityName>
      <candidateList>
        <item>）</item>
      </candidateList>
      <explain>文本全半角错误。</explain>
      <paraID>42D0DBF2</paraID>
      <start>9</start>
      <end>10</end>
      <status>unmodified</status>
      <modifiedWord/>
      <trackRevisions>false</trackRevisions>
    </reviewItem>
    <reviewItem>
      <errorID>78f30025-3e94-4456-87a0-d5fe24b17ac5</errorID>
      <errorWord>支解</errorWord>
      <group>L1_Word</group>
      <groupName>字词问题</groupName>
      <ability>L2_Variant</ability>
      <abilityName>异形词</abilityName>
      <candidateList>
        <item>肢解</item>
      </candidateList>
      <explain>词汇[支解]的规范词形写作[肢解]。</explain>
      <paraID>2EE84AE4</paraID>
      <start>57</start>
      <end>59</end>
      <status>unmodified</status>
      <modifiedWord/>
      <trackRevisions>false</trackRevisions>
    </reviewItem>
    <reviewItem>
      <errorID>2c729a32-dc7c-49fc-892b-88514fb73507</errorID>
      <errorWord>涉及到</errorWord>
      <group>L1_Word</group>
      <groupName>字词问题</groupName>
      <ability>L2_Typo</ability>
      <abilityName>字词错误</abilityName>
      <candidateList>
        <item>涉及</item>
      </candidateList>
      <explain>〈动〉牵涉到；关联到：案子～好几个人｜这个问题～面很广。</explain>
      <paraID>4528E5AE</paraID>
      <start>65</start>
      <end>68</end>
      <status>unmodified</status>
      <modifiedWord/>
      <trackRevisions>false</trackRevisions>
    </reviewItem>
    <reviewItem>
      <errorID>2c88a1ae-0ba8-424c-8026-d7ca787de0f4</errorID>
      <errorWord>,</errorWord>
      <group>L1_Format</group>
      <groupName>格式问题</groupName>
      <ability>L2_HalfPunc</ability>
      <abilityName>全半角检查</abilityName>
      <candidateList>
        <item>，</item>
      </candidateList>
      <explain>文本全半角错误。</explain>
      <paraID>2EF33A32</paraID>
      <start>139</start>
      <end>140</end>
      <status>unmodified</status>
      <modifiedWord/>
      <trackRevisions>false</trackRevisions>
    </reviewItem>
    <reviewItem>
      <errorID>f13689e9-141c-41ae-ad68-fa185af5c4eb</errorID>
      <errorWord>，</errorWord>
      <group>L1_Word</group>
      <groupName>字词问题</groupName>
      <ability>L2_Typo</ability>
      <abilityName>字词错误</abilityName>
      <candidateList>
        <item>，经</item>
      </candidateList>
      <explain/>
      <paraID>1BFA4F60</paraID>
      <start>131</start>
      <end>132</end>
      <status>unmodified</status>
      <modifiedWord/>
      <trackRevisions>false</trackRevisions>
    </reviewItem>
    <reviewItem>
      <errorID>8123dd67-227e-44a3-b7c0-b54aa1d85349</errorID>
      <errorWord>（</errorWord>
      <group>L1_Punc</group>
      <groupName>标点问题</groupName>
      <ability>L2_Punc</ability>
      <abilityName>标点符号检查</abilityName>
      <candidateList>
        <item/>
      </candidateList>
      <explain>同一形式括号套用。</explain>
      <paraID>2C5B672E</paraID>
      <start>19</start>
      <end>20</end>
      <status>unmodified</status>
      <modifiedWord/>
      <trackRevisions>false</trackRevisions>
    </reviewItem>
    <reviewItem>
      <errorID>ecf35fbd-937f-43a2-bbff-93195bf2da3e</errorID>
      <errorWord>(</errorWord>
      <group>L1_Punc</group>
      <groupName>标点问题</groupName>
      <ability>L2_Punc</ability>
      <abilityName>标点符号检查</abilityName>
      <candidateList/>
      <explain>同一形式括号套用。</explain>
      <paraID>2C5B672E</paraID>
      <start>53</start>
      <end>54</end>
      <status>unmodified</status>
      <modifiedWord/>
      <trackRevisions>false</trackRevisions>
    </reviewItem>
    <reviewItem>
      <errorID>8f6f465d-ab35-4ecd-9cde-f4960dc678ce</errorID>
      <errorWord>)</errorWord>
      <group>L1_Punc</group>
      <groupName>标点问题</groupName>
      <ability>L2_Punc</ability>
      <abilityName>标点符号检查</abilityName>
      <candidateList/>
      <explain>同一形式括号套用。</explain>
      <paraID>2C5B672E</paraID>
      <start>67</start>
      <end>68</end>
      <status>unmodified</status>
      <modifiedWord/>
      <trackRevisions>false</trackRevisions>
    </reviewItem>
    <reviewItem>
      <errorID>d25342b9-931d-4d72-a99e-50c24ec314a4</errorID>
      <errorWord>）</errorWord>
      <group>L1_Punc</group>
      <groupName>标点问题</groupName>
      <ability>L2_Punc</ability>
      <abilityName>标点符号检查</abilityName>
      <candidateList/>
      <explain>同一形式括号套用。</explain>
      <paraID>2C5B672E</paraID>
      <start>113</start>
      <end>114</end>
      <status>unmodified</status>
      <modifiedWord/>
      <trackRevisions>false</trackRevisions>
    </reviewItem>
    <reviewItem>
      <errorID>047309d1-617e-444e-9745-01f78000e278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B68E3AD</paraID>
      <start>0</start>
      <end>3</end>
      <status>unmodified</status>
      <modifiedWord/>
      <trackRevisions>false</trackRevisions>
    </reviewItem>
    <reviewItem>
      <errorID>0f1eab4d-f376-4064-864d-e5eff6e4e1e5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31682040</paraID>
      <start>0</start>
      <end>3</end>
      <status>unmodified</status>
      <modifiedWord/>
      <trackRevisions>false</trackRevisions>
    </reviewItem>
    <reviewItem>
      <errorID>f8661848-6f63-4da4-9d45-ce27a1d20dc9</errorID>
      <errorWord>临近</errorWord>
      <group>L1_Word</group>
      <groupName>字词问题</groupName>
      <ability>L2_Typo</ability>
      <abilityName>字词错误</abilityName>
      <candidateList>
        <item>邻近</item>
      </candidateList>
      <explain>存在发音相同字词的误用。</explain>
      <paraID>31682040</paraID>
      <start>110</start>
      <end>112</end>
      <status>unmodified</status>
      <modifiedWord/>
      <trackRevisions>false</trackRevisions>
    </reviewItem>
    <reviewItem>
      <errorID>21a02dd8-2535-4014-a865-195aebeae20e</errorID>
      <errorWord>需</errorWord>
      <group>L1_Word</group>
      <groupName>字词问题</groupName>
      <ability>L2_Typo</ability>
      <abilityName>字词错误</abilityName>
      <candidateList>
        <item>须</item>
      </candidateList>
      <explain>存在发音相同字词的误用。</explain>
      <paraID>7CABE11A</paraID>
      <start>60</start>
      <end>61</end>
      <status>unmodified</status>
      <modifiedWord/>
      <trackRevisions>false</trackRevisions>
    </reviewItem>
    <reviewItem>
      <errorID>8d03834a-f276-43b9-a8b5-86bfee4fe24c</errorID>
      <errorWord>偿</errorWord>
      <group>L1_Word</group>
      <groupName>字词问题</groupName>
      <ability>L2_Typo</ability>
      <abilityName>字词错误</abilityName>
      <candidateList>
        <item>偿费</item>
      </candidateList>
      <explain/>
      <paraID>61235290</paraID>
      <start>92</start>
      <end>93</end>
      <status>unmodified</status>
      <modifiedWord/>
      <trackRevisions>false</trackRevisions>
    </reviewItem>
    <reviewItem>
      <errorID>56bf25b1-92e6-4e63-b7b7-7cb449a6590c</errorID>
      <errorWord>(</errorWord>
      <group>L1_Format</group>
      <groupName>格式问题</groupName>
      <ability>L2_HalfPunc</ability>
      <abilityName>全半角检查</abilityName>
      <candidateList>
        <item>（</item>
      </candidateList>
      <explain>文本全半角错误。</explain>
      <paraID>185D9FA7</paraID>
      <start>105</start>
      <end>106</end>
      <status>unmodified</status>
      <modifiedWord/>
      <trackRevisions>false</trackRevisions>
    </reviewItem>
    <reviewItem>
      <errorID>e9309ef4-5337-4546-b72b-07ff7118c4de</errorID>
      <errorWord>)</errorWord>
      <group>L1_Format</group>
      <groupName>格式问题</groupName>
      <ability>L2_HalfPunc</ability>
      <abilityName>全半角检查</abilityName>
      <candidateList>
        <item>）</item>
      </candidateList>
      <explain>文本全半角错误。</explain>
      <paraID>185D9FA7</paraID>
      <start>114</start>
      <end>115</end>
      <status>unmodified</status>
      <modifiedWord/>
      <trackRevisions>false</trackRevisions>
    </reviewItem>
    <reviewItem>
      <errorID>58be19a1-97c0-46e7-8f20-17e9e8ac2443</errorID>
      <errorWord>)</errorWord>
      <group>L1_Format</group>
      <groupName>格式问题</groupName>
      <ability>L2_HalfPunc</ability>
      <abilityName>全半角检查</abilityName>
      <candidateList>
        <item>）</item>
      </candidateList>
      <explain>文本全半角错误。</explain>
      <paraID>46A9E5CE</paraID>
      <start>13</start>
      <end>14</end>
      <status>unmodified</status>
      <modifiedWord/>
      <trackRevisions>false</trackRevisions>
    </reviewItem>
    <reviewItem>
      <errorID>778c1230-59ee-453f-8a88-6abc279b7818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7F6FD66A</paraID>
      <start>0</start>
      <end>3</end>
      <status>unmodified</status>
      <modifiedWord/>
      <trackRevisions>false</trackRevisions>
    </reviewItem>
    <reviewItem>
      <errorID>aa35e7a5-586e-49d8-9bda-2bb5b10159e3</errorID>
      <errorWord>)</errorWord>
      <group>L1_Format</group>
      <groupName>格式问题</groupName>
      <ability>L2_HalfPunc</ability>
      <abilityName>全半角检查</abilityName>
      <candidateList>
        <item>）</item>
      </candidateList>
      <explain>文本全半角错误。</explain>
      <paraID> 838FB4A</paraID>
      <start>13</start>
      <end>14</end>
      <status>unmodified</status>
      <modifiedWord/>
      <trackRevisions>false</trackRevisions>
    </reviewItem>
    <reviewItem>
      <errorID>6b80bd58-8fc0-4a1d-acd9-442e26e99f24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132D4A42</paraID>
      <start>0</start>
      <end>3</end>
      <status>unmodified</status>
      <modifiedWord/>
      <trackRevisions>false</trackRevisions>
    </reviewItem>
    <reviewItem>
      <errorID>8b90ae9c-59f6-4607-80b6-7edbab042a57</errorID>
      <errorWord>是</errorWord>
      <group>L1_Word</group>
      <groupName>字词问题</groupName>
      <ability>L2_Typo</ability>
      <abilityName>字词错误</abilityName>
      <candidateList>
        <item>是农</item>
      </candidateList>
      <explain/>
      <paraID>257C9D4D</paraID>
      <start>31</start>
      <end>32</end>
      <status>unmodified</status>
      <modifiedWord/>
      <trackRevisions>false</trackRevisions>
    </reviewItem>
    <reviewItem>
      <errorID>3500508c-e6bf-49af-917c-bbd98ac8f0f0</errorID>
      <errorWord>民工</errorWord>
      <group>L1_Word</group>
      <groupName>字词问题</groupName>
      <ability>L2_Typo</ability>
      <abilityName>字词错误</abilityName>
      <candidateList>
        <item>农民工</item>
      </candidateList>
      <explain/>
      <paraID>257C9D4D</paraID>
      <start>76</start>
      <end>78</end>
      <status>unmodified</status>
      <modifiedWord/>
      <trackRevisions>false</trackRevisions>
    </reviewItem>
    <reviewItem>
      <errorID>a73c9667-85b1-4ac6-95ae-872c4f6717a2</errorID>
      <errorWord>)</errorWord>
      <group>L1_Format</group>
      <groupName>格式问题</groupName>
      <ability>L2_HalfPunc</ability>
      <abilityName>全半角检查</abilityName>
      <candidateList>
        <item>）</item>
      </candidateList>
      <explain>文本全半角错误。</explain>
      <paraID>389019EB</paraID>
      <start>13</start>
      <end>14</end>
      <status>unmodified</status>
      <modifiedWord/>
      <trackRevisions>false</trackRevisions>
    </reviewItem>
    <reviewItem>
      <errorID>cdfd7de9-2b2b-424e-8abe-94978355c3a5</errorID>
      <errorWord>位</errorWord>
      <group>L1_Word</group>
      <groupName>字词问题</groupName>
      <ability>L2_Typo</ability>
      <abilityName>字词错误</abilityName>
      <candidateList>
        <item>位农</item>
      </candidateList>
      <explain/>
      <paraID>515BD84A</paraID>
      <start>86</start>
      <end>87</end>
      <status>unmodified</status>
      <modifiedWord/>
      <trackRevisions>false</trackRevisions>
    </reviewItem>
    <reviewItem>
      <errorID>972f6b7f-93c2-436f-aaa1-136967d7539f</errorID>
      <errorWord>)</errorWord>
      <group>L1_Format</group>
      <groupName>格式问题</groupName>
      <ability>L2_HalfPunc</ability>
      <abilityName>全半角检查</abilityName>
      <candidateList>
        <item>）</item>
      </candidateList>
      <explain>文本全半角错误。</explain>
      <paraID>21DE380C</paraID>
      <start>13</start>
      <end>14</end>
      <status>unmodified</status>
      <modifiedWord/>
      <trackRevisions>false</trackRevisions>
    </reviewItem>
    <reviewItem>
      <errorID>fc198239-e750-40a4-92f6-733443420eba</errorID>
      <errorWord>件</errorWord>
      <group>L1_Word</group>
      <groupName>字词问题</groupName>
      <ability>L2_Typo</ability>
      <abilityName>字词错误</abilityName>
      <candidateList>
        <item>件和</item>
      </candidateList>
      <explain/>
      <paraID>3B7B5472</paraID>
      <start>153</start>
      <end>154</end>
      <status>unmodified</status>
      <modifiedWord/>
      <trackRevisions>false</trackRevisions>
    </reviewItem>
    <reviewItem>
      <errorID>833fa05c-85f4-480c-89f5-417f8722f52b</errorID>
      <errorWord>等台帐</errorWord>
      <group>L1_Word</group>
      <groupName>字词问题</groupName>
      <ability>L2_Alias</ability>
      <abilityName>也作/曾用词</abilityName>
      <candidateList>
        <item>等台账</item>
      </candidateList>
      <explain>词汇[等台帐]为不规范表述或旧称，其规范书面表述为[等台账]。</explain>
      <paraID>405A0EBA</paraID>
      <start>36</start>
      <end>39</end>
      <status>unmodified</status>
      <modifiedWord/>
      <trackRevisions>false</trackRevisions>
    </reviewItem>
    <reviewItem>
      <errorID>1c5e5fca-9fd4-48dc-9d91-ecf31c693c38</errorID>
      <errorWord>相应的台帐</errorWord>
      <group>L1_Word</group>
      <groupName>字词问题</groupName>
      <ability>L2_Alias</ability>
      <abilityName>也作/曾用词</abilityName>
      <candidateList>
        <item>相应的台账</item>
      </candidateList>
      <explain>词汇[相应的台帐]为不规范表述或旧称，其规范书面表述为[相应的台账]。</explain>
      <paraID>405A0EBA</paraID>
      <start>57</start>
      <end>62</end>
      <status>unmodified</status>
      <modifiedWord/>
      <trackRevisions>false</trackRevisions>
    </reviewItem>
    <reviewItem>
      <errorID>981afb80-e313-49f8-a577-3b7c02c943a0</errorID>
      <errorWord>的台帐</errorWord>
      <group>L1_Word</group>
      <groupName>字词问题</groupName>
      <ability>L2_Alias</ability>
      <abilityName>也作/曾用词</abilityName>
      <candidateList>
        <item>的台账</item>
      </candidateList>
      <explain>词汇[的台帐]为不规范表述或旧称，其规范书面表述为[的台账]。</explain>
      <paraID>405A0EBA</paraID>
      <start>67</start>
      <end>70</end>
      <status>unmodified</status>
      <modifiedWord/>
      <trackRevisions>false</trackRevisions>
    </reviewItem>
    <reviewItem>
      <errorID>6ce03b35-ecc7-4a26-a01b-5b261c1770fc</errorID>
      <errorWord>细</errorWord>
      <group>L1_Word</group>
      <groupName>字词问题</groupName>
      <ability>L2_Typo</ability>
      <abilityName>字词错误</abilityName>
      <candidateList>
        <item>细化</item>
      </candidateList>
      <explain/>
      <paraID>472D9259</paraID>
      <start>63</start>
      <end>64</end>
      <status>unmodified</status>
      <modifiedWord/>
      <trackRevisions>false</trackRevisions>
    </reviewItem>
    <reviewItem>
      <errorID>da18dece-6a46-4d86-9c04-8ab5de13bb5c</errorID>
      <errorWord>施工档案</errorWord>
      <group>L1_Knowledge</group>
      <groupName>知识性问题</groupName>
      <ability>L2_Term</ability>
      <abilityName>专业术语</abilityName>
      <candidateList>
        <item>施工方案</item>
      </candidateList>
      <explain/>
      <paraID>2FBDBF0B</paraID>
      <start>6</start>
      <end>10</end>
      <status>unmodified</status>
      <modifiedWord/>
      <trackRevisions>false</trackRevisions>
    </reviewItem>
    <reviewItem>
      <errorID>3fa0cd2e-106a-41b3-a6f3-5ee4cbe54774</errorID>
      <errorWord>建立的</errorWord>
      <group>L1_Word</group>
      <groupName>字词问题</groupName>
      <ability>L2_Typo</ability>
      <abilityName>字词错误</abilityName>
      <candidateList>
        <item>建立</item>
      </candidateList>
      <explain>〈动〉❶开始成立：～政权｜～新的工业基地。❷开始产生；开始形成：～友谊｜～邦交。</explain>
      <paraID>5A498E7A</paraID>
      <start>10</start>
      <end>13</end>
      <status>unmodified</status>
      <modifiedWord/>
      <trackRevisions>false</trackRevisions>
    </reviewItem>
    <reviewItem>
      <errorID>12cfb513-c841-4307-ad78-26533a18f9d4</errorID>
      <errorWord>台帐</errorWord>
      <group>L1_Knowledge</group>
      <groupName>知识性问题</groupName>
      <ability>L2_Knowledge</ability>
      <abilityName>其他知识</abilityName>
      <candidateList>
        <item>台账</item>
      </candidateList>
      <explain/>
      <paraID>47F8F256</paraID>
      <start>13</start>
      <end>15</end>
      <status>unmodified</status>
      <modifiedWord/>
      <trackRevisions>false</trackRevisions>
    </reviewItem>
    <reviewItem>
      <errorID>222c3656-29d1-480b-ab90-f74ce35ab3c5</errorID>
      <errorWord>完</errorWord>
      <group>L1_Word</group>
      <groupName>字词问题</groupName>
      <ability>L2_Typo</ability>
      <abilityName>字词错误</abilityName>
      <candidateList>
        <item>完成</item>
      </candidateList>
      <explain>〈动〉按照预期的目的结束；做成：～任务｜～作业｜计划完得成。</explain>
      <paraID>2D6E32E6</paraID>
      <start>5</start>
      <end>6</end>
      <status>unmodified</status>
      <modifiedWord/>
      <trackRevisions>false</trackRevisions>
    </reviewItem>
    <reviewItem>
      <errorID>a6c8caee-d2a2-40d9-8a95-5595057a7744</errorID>
      <errorWord>程</errorWord>
      <group>L1_Word</group>
      <groupName>字词问题</groupName>
      <ability>L2_Typo</ability>
      <abilityName>字词错误</abilityName>
      <candidateList>
        <item>程中</item>
      </candidateList>
      <explain/>
      <paraID>52ACA558</paraID>
      <start>26</start>
      <end>27</end>
      <status>unmodified</status>
      <modifiedWord/>
      <trackRevisions>false</trackRevisions>
    </reviewItem>
    <reviewItem>
      <errorID>92711ef9-18c9-4777-ba3f-122606aad17b</errorID>
      <errorWord>引起的</errorWord>
      <group>L1_Word</group>
      <groupName>字词问题</groupName>
      <ability>L2_Typo</ability>
      <abilityName>字词错误</abilityName>
      <candidateList>
        <item>引起</item>
      </candidateList>
      <explain/>
      <paraID>767CFAE5</paraID>
      <start>34</start>
      <end>37</end>
      <status>unmodified</status>
      <modifiedWord/>
      <trackRevisions>false</trackRevisions>
    </reviewItem>
    <reviewItem>
      <errorID>d9109fde-53d2-4093-b14e-e0e12f2bfbbb</errorID>
      <errorWord>不需</errorWord>
      <group>L1_Word</group>
      <groupName>字词问题</groupName>
      <ability>L2_Typo</ability>
      <abilityName>字词错误</abilityName>
      <candidateList>
        <item>不须</item>
      </candidateList>
      <explain>存在发音相同字词的误用。</explain>
      <paraID>767CFAE5</paraID>
      <start>129</start>
      <end>131</end>
      <status>unmodified</status>
      <modifiedWord/>
      <trackRevisions>false</trackRevisions>
    </reviewItem>
    <reviewItem>
      <errorID>963dcaec-1949-4d6a-b812-1d468b97ad09</errorID>
      <errorWord>人</errorWord>
      <group>L1_Word</group>
      <groupName>字词问题</groupName>
      <ability>L2_Typo</ability>
      <abilityName>字词错误</abilityName>
      <candidateList>
        <item>从</item>
      </candidateList>
      <explain>存在字形相近字词的误用。</explain>
      <paraID>588A7F20</paraID>
      <start>0</start>
      <end>1</end>
      <status>unmodified</status>
      <modifiedWord/>
      <trackRevisions>false</trackRevisions>
    </reviewItem>
    <reviewItem>
      <errorID>fb395f7a-6db8-4103-bf21-8314f9f35580</errorID>
      <errorWord>，</errorWord>
      <group>L1_Word</group>
      <groupName>字词问题</groupName>
      <ability>L2_Typo</ability>
      <abilityName>字词错误</abilityName>
      <candidateList>
        <item>，将</item>
      </candidateList>
      <explain/>
      <paraID>4B4E3B11</paraID>
      <start>107</start>
      <end>108</end>
      <status>unmodified</status>
      <modifiedWord/>
      <trackRevisions>false</trackRevisions>
    </reviewItem>
    <reviewItem>
      <errorID>1ecf4e04-d996-4d0f-90ff-6a6738e62cba</errorID>
      <errorWord>，待</errorWord>
      <group>L1_Word</group>
      <groupName>字词问题</groupName>
      <ability>L2_Typo</ability>
      <abilityName>字词错误</abilityName>
      <candidateList>
        <item>，</item>
      </candidateList>
      <explain/>
      <paraID>4615CC04</paraID>
      <start>73</start>
      <end>75</end>
      <status>unmodified</status>
      <modifiedWord/>
      <trackRevisions>false</trackRevisions>
    </reviewItem>
    <reviewItem>
      <errorID>3cfd5479-35dc-4ab7-a03e-6f8a7452bfa8</errorID>
      <errorWord>产生的</errorWord>
      <group>L1_Word</group>
      <groupName>字词问题</groupName>
      <ability>L2_Typo</ability>
      <abilityName>字词错误</abilityName>
      <candidateList>
        <item>产生</item>
      </candidateList>
      <explain/>
      <paraID>5136A1AB</paraID>
      <start>109</start>
      <end>112</end>
      <status>unmodified</status>
      <modifiedWord/>
      <trackRevisions>false</trackRevisions>
    </reviewItem>
    <reviewItem>
      <errorID>8ada6439-d85f-4779-928a-c5d2316d7462</errorID>
      <errorWord>)</errorWord>
      <group>L1_Format</group>
      <groupName>格式问题</groupName>
      <ability>L2_HalfPunc</ability>
      <abilityName>全半角检查</abilityName>
      <candidateList>
        <item>）</item>
      </candidateList>
      <explain>文本全半角错误。</explain>
      <paraID>2AA44466</paraID>
      <start>12</start>
      <end>13</end>
      <status>unmodified</status>
      <modifiedWord/>
      <trackRevisions>false</trackRevisions>
    </reviewItem>
    <reviewItem>
      <errorID>ca20fd1e-31b4-4bff-82f3-71f6fbdf7bc8</errorID>
      <errorWord>负</errorWord>
      <group>L1_Word</group>
      <groupName>字词问题</groupName>
      <ability>L2_Typo</ability>
      <abilityName>字词错误</abilityName>
      <candidateList>
        <item>负有</item>
      </candidateList>
      <explain/>
      <paraID>773DE680</paraID>
      <start>164</start>
      <end>165</end>
      <status>unmodified</status>
      <modifiedWord/>
      <trackRevisions>false</trackRevisions>
    </reviewItem>
    <reviewItem>
      <errorID>62583100-7fa4-4c12-a03b-67e1c1b62ef4</errorID>
      <errorWord>一台帐</errorWord>
      <group>L1_Word</group>
      <groupName>字词问题</groupName>
      <ability>L2_Alias</ability>
      <abilityName>也作/曾用词</abilityName>
      <candidateList>
        <item>一台账</item>
      </candidateList>
      <explain>词汇[一台帐]为不规范表述或旧称，其规范书面表述为[一台账]。</explain>
      <paraID>60C2CD18</paraID>
      <start>43</start>
      <end>46</end>
      <status>unmodified</status>
      <modifiedWord/>
      <trackRevisions>false</trackRevisions>
    </reviewItem>
    <reviewItem>
      <errorID>cef081e8-76b4-4601-b886-be486dcb419c</errorID>
      <errorWord>)</errorWord>
      <group>L1_Format</group>
      <groupName>格式问题</groupName>
      <ability>L2_HalfPunc</ability>
      <abilityName>全半角检查</abilityName>
      <candidateList>
        <item>）</item>
      </candidateList>
      <explain>文本全半角错误。</explain>
      <paraID>63A1DF49</paraID>
      <start>12</start>
      <end>13</end>
      <status>unmodified</status>
      <modifiedWord/>
      <trackRevisions>false</trackRevisions>
    </reviewItem>
    <reviewItem>
      <errorID>553b1a61-75b7-4f05-a837-88b27096bea8</errorID>
      <errorWord>)</errorWord>
      <group>L1_Format</group>
      <groupName>格式问题</groupName>
      <ability>L2_HalfPunc</ability>
      <abilityName>全半角检查</abilityName>
      <candidateList>
        <item>）</item>
      </candidateList>
      <explain>文本全半角错误。</explain>
      <paraID>2E193D84</paraID>
      <start>12</start>
      <end>13</end>
      <status>unmodified</status>
      <modifiedWord/>
      <trackRevisions>false</trackRevisions>
    </reviewItem>
    <reviewItem>
      <errorID>bdcf2063-d118-4ec4-a90d-a702864b1328</errorID>
      <errorWord>)</errorWord>
      <group>L1_Format</group>
      <groupName>格式问题</groupName>
      <ability>L2_HalfPunc</ability>
      <abilityName>全半角检查</abilityName>
      <candidateList>
        <item>）</item>
      </candidateList>
      <explain>文本全半角错误。</explain>
      <paraID>118310A2</paraID>
      <start>13</start>
      <end>14</end>
      <status>unmodified</status>
      <modifiedWord/>
      <trackRevisions>false</trackRevisions>
    </reviewItem>
    <reviewItem>
      <errorID>caaf7c17-aba1-4670-b99e-52c5afed9dbb</errorID>
      <errorWord>)</errorWord>
      <group>L1_Format</group>
      <groupName>格式问题</groupName>
      <ability>L2_HalfPunc</ability>
      <abilityName>全半角检查</abilityName>
      <candidateList>
        <item>）</item>
      </candidateList>
      <explain>文本全半角错误。</explain>
      <paraID>79061ADA</paraID>
      <start>13</start>
      <end>14</end>
      <status>unmodified</status>
      <modifiedWord/>
      <trackRevisions>false</trackRevisions>
    </reviewItem>
    <reviewItem>
      <errorID>20990c94-87a0-4a83-bc87-45cdeabca1fe</errorID>
      <errorWord>)</errorWord>
      <group>L1_Format</group>
      <groupName>格式问题</groupName>
      <ability>L2_HalfPunc</ability>
      <abilityName>全半角检查</abilityName>
      <candidateList>
        <item>）</item>
      </candidateList>
      <explain>文本全半角错误。</explain>
      <paraID>6ADB968E</paraID>
      <start>13</start>
      <end>14</end>
      <status>unmodified</status>
      <modifiedWord/>
      <trackRevisions>false</trackRevisions>
    </reviewItem>
    <reviewItem>
      <errorID>c40c427a-2916-422b-acaa-81ccd57f3e5e</errorID>
      <errorWord>)</errorWord>
      <group>L1_Format</group>
      <groupName>格式问题</groupName>
      <ability>L2_HalfPunc</ability>
      <abilityName>全半角检查</abilityName>
      <candidateList>
        <item>）</item>
      </candidateList>
      <explain>文本全半角错误。</explain>
      <paraID>14B60C2F</paraID>
      <start>13</start>
      <end>14</end>
      <status>unmodified</status>
      <modifiedWord/>
      <trackRevisions>false</trackRevisions>
    </reviewItem>
    <reviewItem>
      <errorID>54127849-8562-4bd0-a2c3-5885e5b6bb7a</errorID>
      <errorWord>支解</errorWord>
      <group>L1_Word</group>
      <groupName>字词问题</groupName>
      <ability>L2_Variant</ability>
      <abilityName>异形词</abilityName>
      <candidateList>
        <item>肢解</item>
      </candidateList>
      <explain>词汇[支解]的规范词形写作[肢解]。</explain>
      <paraID> DFB2134</paraID>
      <start>37</start>
      <end>39</end>
      <status>unmodified</status>
      <modifiedWord/>
      <trackRevisions>false</trackRevisions>
    </reviewItem>
    <reviewItem>
      <errorID>25776e0a-e568-4035-b09f-12e62be7ab05</errorID>
      <errorWord>签定的</errorWord>
      <group>L1_Word</group>
      <groupName>字词问题</groupName>
      <ability>L2_Typo</ability>
      <abilityName>字词错误</abilityName>
      <candidateList>
        <item>签订的</item>
      </candidateList>
      <explain/>
      <paraID>6E64DF95</paraID>
      <start>23</start>
      <end>26</end>
      <status>unmodified</status>
      <modifiedWord/>
      <trackRevisions>false</trackRevisions>
    </reviewItem>
    <reviewItem>
      <errorID>bc96a575-b08d-4896-85ec-37f5bf57547e</errorID>
      <errorWord>特殊性</errorWord>
      <group>L1_Word</group>
      <groupName>字词问题</groupName>
      <ability>L2_Typo</ability>
      <abilityName>字词错误</abilityName>
      <candidateList>
        <item>特殊</item>
      </candidateList>
      <explain/>
      <paraID>210AC9AA</paraID>
      <start>17</start>
      <end>20</end>
      <status>unmodified</status>
      <modifiedWord/>
      <trackRevisions>false</trackRevisions>
    </reviewItem>
    <reviewItem>
      <errorID>b39d7d38-dd40-4659-9f58-27184ea76a2d</errorID>
      <errorWord>；</errorWord>
      <group>L1_Format</group>
      <groupName>格式问题</groupName>
      <ability>L2_HalfPunc</ability>
      <abilityName>全半角检查</abilityName>
      <candidateList>
        <item>;</item>
      </candidateList>
      <explain>文本全半角错误。</explain>
      <paraID>  C7ADDD</paraID>
      <start>64</start>
      <end>65</end>
      <status>unmodified</status>
      <modifiedWord/>
      <trackRevisions>false</trackRevisions>
    </reviewItem>
    <reviewItem>
      <errorID>55f8c575-5bd9-4012-988b-f1863e34c665</errorID>
      <errorWord>,</errorWord>
      <group>L1_Format</group>
      <groupName>格式问题</groupName>
      <ability>L2_HalfPunc</ability>
      <abilityName>全半角检查</abilityName>
      <candidateList>
        <item>，</item>
      </candidateList>
      <explain>文本全半角错误。</explain>
      <paraID>2C899611</paraID>
      <start>34</start>
      <end>35</end>
      <status>unmodified</status>
      <modifiedWord/>
      <trackRevisions>false</trackRevisions>
    </reviewItem>
    <reviewItem>
      <errorID>647977e9-330f-4073-b351-02e03d7fbdc7</errorID>
      <errorWord>,</errorWord>
      <group>L1_Format</group>
      <groupName>格式问题</groupName>
      <ability>L2_HalfPunc</ability>
      <abilityName>全半角检查</abilityName>
      <candidateList>
        <item>，</item>
      </candidateList>
      <explain>文本全半角错误。</explain>
      <paraID>2C899611</paraID>
      <start>59</start>
      <end>60</end>
      <status>unmodified</status>
      <modifiedWord/>
      <trackRevisions>false</trackRevisions>
    </reviewItem>
    <reviewItem>
      <errorID>7872f455-fe41-4f3d-91c9-900f05e3a2bc</errorID>
      <errorWord>,</errorWord>
      <group>L1_Format</group>
      <groupName>格式问题</groupName>
      <ability>L2_HalfPunc</ability>
      <abilityName>全半角检查</abilityName>
      <candidateList>
        <item>，</item>
      </candidateList>
      <explain>文本全半角错误。</explain>
      <paraID>2C899611</paraID>
      <start>94</start>
      <end>95</end>
      <status>unmodified</status>
      <modifiedWord/>
      <trackRevisions>false</trackRevisions>
    </reviewItem>
    <reviewItem>
      <errorID>e628cc3d-28b4-498f-8830-7bfadca06b75</errorID>
      <errorWord>,</errorWord>
      <group>L1_Format</group>
      <groupName>格式问题</groupName>
      <ability>L2_HalfPunc</ability>
      <abilityName>全半角检查</abilityName>
      <candidateList>
        <item>，</item>
      </candidateList>
      <explain>文本全半角错误。</explain>
      <paraID>66AED16B</paraID>
      <start>24</start>
      <end>25</end>
      <status>unmodified</status>
      <modifiedWord/>
      <trackRevisions>false</trackRevisions>
    </reviewItem>
    <reviewItem>
      <errorID>8a36d493-82c0-4e36-bfdc-8ff0a4c9364e</errorID>
      <errorWord>,</errorWord>
      <group>L1_Format</group>
      <groupName>格式问题</groupName>
      <ability>L2_HalfPunc</ability>
      <abilityName>全半角检查</abilityName>
      <candidateList>
        <item>，</item>
      </candidateList>
      <explain>文本全半角错误。</explain>
      <paraID>66AED16B</paraID>
      <start>41</start>
      <end>42</end>
      <status>unmodified</status>
      <modifiedWord/>
      <trackRevisions>false</trackRevisions>
    </reviewItem>
    <reviewItem>
      <errorID>010ebfee-a59a-4bc9-a121-3fdba10f6ad8</errorID>
      <errorWord>(</errorWord>
      <group>L1_Format</group>
      <groupName>格式问题</groupName>
      <ability>L2_HalfPunc</ability>
      <abilityName>全半角检查</abilityName>
      <candidateList>
        <item>（</item>
      </candidateList>
      <explain>文本全半角错误。</explain>
      <paraID>1ADD9795</paraID>
      <start>4</start>
      <end>5</end>
      <status>unmodified</status>
      <modifiedWord/>
      <trackRevisions>false</trackRevisions>
    </reviewItem>
    <reviewItem>
      <errorID>3e4fdb59-cc44-4be6-99fe-1184e8826752</errorID>
      <errorWord>)</errorWord>
      <group>L1_Format</group>
      <groupName>格式问题</groupName>
      <ability>L2_HalfPunc</ability>
      <abilityName>全半角检查</abilityName>
      <candidateList>
        <item>）</item>
      </candidateList>
      <explain>文本全半角错误。</explain>
      <paraID>1ADD9795</paraID>
      <start>9</start>
      <end>10</end>
      <status>unmodified</status>
      <modifiedWord/>
      <trackRevisions>false</trackRevisions>
    </reviewItem>
    <reviewItem>
      <errorID>c3ede0d3-571f-410f-ad51-2baec904af35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7EBE3F9F</paraID>
      <start>0</start>
      <end>3</end>
      <status>unmodified</status>
      <modifiedWord/>
      <trackRevisions>false</trackRevisions>
    </reviewItem>
    <reviewItem>
      <errorID>67f00f74-df86-4d76-a537-6965b563dfd4</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7EBE3F9F</paraID>
      <start>36</start>
      <end>37</end>
      <status>unmodified</status>
      <modifiedWord/>
      <trackRevisions>false</trackRevisions>
    </reviewItem>
    <reviewItem>
      <errorID>96fc3619-0d4d-4e81-9067-7c964b7f0fc7</errorID>
      <errorWord>做好防御</errorWord>
      <group>L1_Word</group>
      <groupName>字词问题</groupName>
      <ability>L2_Typo</ability>
      <abilityName>字词错误</abilityName>
      <candidateList>
        <item>做好防护</item>
      </candidateList>
      <explain/>
      <paraID>1BE26E50</paraID>
      <start>42</start>
      <end>46</end>
      <status>unmodified</status>
      <modifiedWord/>
      <trackRevisions>false</trackRevisions>
    </reviewItem>
    <reviewItem>
      <errorID>083e2fff-7bf8-4149-8b31-dd75918baa61</errorID>
      <errorWord>实施</errorWord>
      <group>L1_Word</group>
      <groupName>字词问题</groupName>
      <ability>L2_Typo</ability>
      <abilityName>字词错误</abilityName>
      <candidateList>
        <item>实时</item>
      </candidateList>
      <explain>〈副〉与某事发生、发展过程同时（做某事）：进行～报道｜～传递股市行情。</explain>
      <paraID>1BE26E50</paraID>
      <start>50</start>
      <end>52</end>
      <status>unmodified</status>
      <modifiedWord/>
      <trackRevisions>false</trackRevisions>
    </reviewItem>
    <reviewItem>
      <errorID>398988f2-8d1f-4907-9797-d6c8927a7184</errorID>
      <errorWord>实施</errorWord>
      <group>L1_Word</group>
      <groupName>字词问题</groupName>
      <ability>L2_Typo</ability>
      <abilityName>字词错误</abilityName>
      <candidateList>
        <item>实时</item>
      </candidateList>
      <explain>〈副〉与某事发生、发展过程同时（做某事）：进行～报道｜～传递股市行情。</explain>
      <paraID> A4725DE</paraID>
      <start>50</start>
      <end>52</end>
      <status>unmodified</status>
      <modifiedWord/>
      <trackRevisions>false</trackRevisions>
    </reviewItem>
    <reviewItem>
      <errorID>0aa8bf3e-3a5c-412d-b435-bdced24a2602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775AF6F2</paraID>
      <start>36</start>
      <end>37</end>
      <status>unmodified</status>
      <modifiedWord/>
      <trackRevisions>false</trackRevisions>
    </reviewItem>
    <reviewItem>
      <errorID>031d033a-2828-4bf3-a65a-6b17599e18a3</errorID>
      <errorWord>签定合同</errorWord>
      <group>L1_Word</group>
      <groupName>字词问题</groupName>
      <ability>L2_Typo</ability>
      <abilityName>字词错误</abilityName>
      <candidateList>
        <item>签订合同</item>
      </candidateList>
      <explain>存在发音相同字词的误用。</explain>
      <paraID>7F27A118</paraID>
      <start>0</start>
      <end>4</end>
      <status>unmodified</status>
      <modifiedWord/>
      <trackRevisions>false</trackRevisions>
    </reviewItem>
    <reviewItem>
      <errorID>0ac9fe44-16cf-46e0-9ab4-dd3e49b4b49b</errorID>
      <errorWord>工</errorWord>
      <group>L1_Word</group>
      <groupName>字词问题</groupName>
      <ability>L2_Typo</ability>
      <abilityName>字词错误</abilityName>
      <candidateList>
        <item>工人</item>
      </candidateList>
      <explain/>
      <paraID>6F08FCB3</paraID>
      <start>25</start>
      <end>26</end>
      <status>unmodified</status>
      <modifiedWord/>
      <trackRevisions>false</trackRevisions>
    </reviewItem>
    <reviewItem>
      <errorID>cfd79b31-dc58-4115-8f7e-a33f9d7849c9</errorID>
      <errorWord>个</errorWord>
      <group>L1_Knowledge</group>
      <groupName>知识性问题</groupName>
      <ability>L2_Knowledge</ability>
      <abilityName>其他知识</abilityName>
      <candidateList>
        <item>名</item>
      </candidateList>
      <explain>请检查“个”是否为量词使用错误，建议修改为“名”。</explain>
      <paraID> 306CBAD</paraID>
      <start>73</start>
      <end>74</end>
      <status>unmodified</status>
      <modifiedWord/>
      <trackRevisions>false</trackRevisions>
    </reviewItem>
    <reviewItem>
      <errorID>2ca19c80-a774-4dd6-9d2a-83ea786fb630</errorID>
      <errorWord>(</errorWord>
      <group>L1_Format</group>
      <groupName>格式问题</groupName>
      <ability>L2_HalfPunc</ability>
      <abilityName>全半角检查</abilityName>
      <candidateList>
        <item>（</item>
      </candidateList>
      <explain>文本全半角错误。</explain>
      <paraID>48C6ED20</paraID>
      <start>27</start>
      <end>28</end>
      <status>unmodified</status>
      <modifiedWord/>
      <trackRevisions>false</trackRevisions>
    </reviewItem>
    <reviewItem>
      <errorID>5c45aef6-9710-4241-96e5-e4e568bb8f41</errorID>
      <errorWord>)</errorWord>
      <group>L1_Format</group>
      <groupName>格式问题</groupName>
      <ability>L2_HalfPunc</ability>
      <abilityName>全半角检查</abilityName>
      <candidateList>
        <item>）</item>
      </candidateList>
      <explain>文本全半角错误。</explain>
      <paraID>48C6ED20</paraID>
      <start>29</start>
      <end>30</end>
      <status>unmodified</status>
      <modifiedWord/>
      <trackRevisions>false</trackRevisions>
    </reviewItem>
    <reviewItem>
      <errorID>304668ed-741e-4abb-b965-517e44bc10dd</errorID>
      <errorWord>（</errorWord>
      <group>L1_Format</group>
      <groupName>格式问题</groupName>
      <ability>L2_HalfPunc</ability>
      <abilityName>全半角检查</abilityName>
      <candidateList>
        <item>(</item>
      </candidateList>
      <explain>文本全半角错误。</explain>
      <paraID> 46A4327</paraID>
      <start>0</start>
      <end>1</end>
      <status>unmodified</status>
      <modifiedWord/>
      <trackRevisions>false</trackRevisions>
    </reviewItem>
    <reviewItem>
      <errorID>74fa7b7d-c0f5-4d15-9b2f-9ae1457bb870</errorID>
      <errorWord>）</errorWord>
      <group>L1_Format</group>
      <groupName>格式问题</groupName>
      <ability>L2_HalfPunc</ability>
      <abilityName>全半角检查</abilityName>
      <candidateList>
        <item>)</item>
      </candidateList>
      <explain>文本全半角错误。</explain>
      <paraID> 46A4327</paraID>
      <start>2</start>
      <end>3</end>
      <status>unmodified</status>
      <modifiedWord/>
      <trackRevisions>false</trackRevisions>
    </reviewItem>
    <reviewItem>
      <errorID>4a626ea8-5b9a-41ce-95ef-affd63a79235</errorID>
      <errorWord>......</errorWord>
      <group>L1_Punc</group>
      <groupName>标点问题</groupName>
      <ability>L2_Punc</ability>
      <abilityName>标点符号检查</abilityName>
      <candidateList>
        <item>……</item>
      </candidateList>
      <explain/>
      <paraID> 46A4327</paraID>
      <start>3</start>
      <end>9</end>
      <status>unmodified</status>
      <modifiedWord/>
      <trackRevisions>false</trackRevisions>
    </reviewItem>
    <reviewItem>
      <errorID>8031d52f-9046-4e4b-b1ca-998070fe8c22</errorID>
      <errorWord>》</errorWord>
      <group>L1_Word</group>
      <groupName>字词问题</groupName>
      <ability>L2_Typo</ability>
      <abilityName>字词错误</abilityName>
      <candidateList>
        <item>》等</item>
      </candidateList>
      <explain/>
      <paraID>18A3EB28</paraID>
      <start>43</start>
      <end>44</end>
      <status>unmodified</status>
      <modifiedWord/>
      <trackRevisions>false</trackRevisions>
    </reviewItem>
    <reviewItem>
      <errorID>5a251b95-ae19-492d-a0c0-00a689d72625</errorID>
      <errorWord>采购采购</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6A342C3B</paraID>
      <start>2</start>
      <end>6</end>
      <status>unmodified</status>
      <modifiedWord/>
      <trackRevisions>false</trackRevisions>
    </reviewItem>
    <reviewItem>
      <errorID>f0d7b050-df73-4c22-a50d-798cc5a371e7</errorID>
      <errorWord>(</errorWord>
      <group>L1_Format</group>
      <groupName>格式问题</groupName>
      <ability>L2_HalfPunc</ability>
      <abilityName>全半角检查</abilityName>
      <candidateList>
        <item>（</item>
      </candidateList>
      <explain>文本全半角错误。</explain>
      <paraID>6A342C3B</paraID>
      <start>47</start>
      <end>48</end>
      <status>unmodified</status>
      <modifiedWord/>
      <trackRevisions>false</trackRevisions>
    </reviewItem>
    <reviewItem>
      <errorID>4fa56b0d-d544-45d4-abd0-1dd38738b7ac</errorID>
      <errorWord>)</errorWord>
      <group>L1_Format</group>
      <groupName>格式问题</groupName>
      <ability>L2_HalfPunc</ability>
      <abilityName>全半角检查</abilityName>
      <candidateList>
        <item>）</item>
      </candidateList>
      <explain>文本全半角错误。</explain>
      <paraID>6A342C3B</paraID>
      <start>53</start>
      <end>54</end>
      <status>unmodified</status>
      <modifiedWord/>
      <trackRevisions>false</trackRevisions>
    </reviewItem>
    <reviewItem>
      <errorID>ee1911f4-c40d-4c57-a6c4-7a3a6729c80a</errorID>
      <errorWord>II</errorWord>
      <group>L1_Knowledge</group>
      <groupName>知识性问题</groupName>
      <ability>L2_Knowledge</ability>
      <abilityName>其他知识</abilityName>
      <candidateList>
        <item>Ⅱ</item>
      </candidateList>
      <explain/>
      <paraID>638D55BF</paraID>
      <start>3</start>
      <end>5</end>
      <status>unmodified</status>
      <modifiedWord/>
      <trackRevisions>false</trackRevisions>
    </reviewItem>
    <reviewItem>
      <errorID>a288d511-8e91-4fd2-90da-5025d57dcb7f</errorID>
      <errorWord>II</errorWord>
      <group>L1_Knowledge</group>
      <groupName>知识性问题</groupName>
      <ability>L2_Knowledge</ability>
      <abilityName>其他知识</abilityName>
      <candidateList>
        <item>Ⅱ</item>
      </candidateList>
      <explain/>
      <paraID>638D55BF</paraID>
      <start>34</start>
      <end>36</end>
      <status>unmodified</status>
      <modifiedWord/>
      <trackRevisions>false</trackRevisions>
    </reviewItem>
    <reviewItem>
      <errorID>abe4beca-10f4-4c89-a47d-dd4f8983bc56</errorID>
      <errorWord>II</errorWord>
      <group>L1_Knowledge</group>
      <groupName>知识性问题</groupName>
      <ability>L2_Knowledge</ability>
      <abilityName>其他知识</abilityName>
      <candidateList>
        <item>Ⅱ</item>
      </candidateList>
      <explain/>
      <paraID>3875FC22</paraID>
      <start>155</start>
      <end>157</end>
      <status>unmodified</status>
      <modifiedWord/>
      <trackRevisions>false</trackRevisions>
    </reviewItem>
    <reviewItem>
      <errorID>4ea9b181-e14b-4d4c-86da-b236387f8090</errorID>
      <errorWord>计</errorWord>
      <group>L1_Word</group>
      <groupName>字词问题</groupName>
      <ability>L2_Typo</ability>
      <abilityName>字词错误</abilityName>
      <candidateList>
        <item>计算</item>
      </candidateList>
      <explain/>
      <paraID>1F883F54</paraID>
      <start>116</start>
      <end>117</end>
      <status>unmodified</status>
      <modifiedWord/>
      <trackRevisions>false</trackRevisions>
    </reviewItem>
    <reviewItem>
      <errorID>ffffe691-0eb7-4a0a-b58c-5e7366d717df</errorID>
      <errorWord>使用到</errorWord>
      <group>L1_Word</group>
      <groupName>字词问题</groupName>
      <ability>L2_Typo</ability>
      <abilityName>字词错误</abilityName>
      <candidateList>
        <item>使用</item>
      </candidateList>
      <explain>〈动〉使人员、器物、资金等为某种目的服务：～干部｜合理～资金。</explain>
      <paraID> 76A6953</paraID>
      <start>34</start>
      <end>37</end>
      <status>unmodified</status>
      <modifiedWord/>
      <trackRevisions>false</trackRevisions>
    </reviewItem>
    <reviewItem>
      <errorID>b189c626-4713-4d8d-ae23-513c21d574ce</errorID>
      <errorWord>II</errorWord>
      <group>L1_Knowledge</group>
      <groupName>知识性问题</groupName>
      <ability>L2_Knowledge</ability>
      <abilityName>其他知识</abilityName>
      <candidateList>
        <item>Ⅱ</item>
      </candidateList>
      <explain/>
      <paraID>66A171F6</paraID>
      <start>11</start>
      <end>13</end>
      <status>unmodified</status>
      <modifiedWord/>
      <trackRevisions>false</trackRevisions>
    </reviewItem>
    <reviewItem>
      <errorID>409e7502-e935-40ee-a0ca-4da5e6dd5d66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4CCD0D73</paraID>
      <start>10</start>
      <end>11</end>
      <status>unmodified</status>
      <modifiedWord/>
      <trackRevisions>false</trackRevisions>
    </reviewItem>
    <reviewItem>
      <errorID>00d503c0-6626-41a3-9514-8d1c47f1c172</errorID>
      <errorWord>II</errorWord>
      <group>L1_Knowledge</group>
      <groupName>知识性问题</groupName>
      <ability>L2_Knowledge</ability>
      <abilityName>其他知识</abilityName>
      <candidateList>
        <item>Ⅱ</item>
      </candidateList>
      <explain/>
      <paraID> 7541BF0</paraID>
      <start>8</start>
      <end>10</end>
      <status>unmodified</status>
      <modifiedWord/>
      <trackRevisions>false</trackRevisions>
    </reviewItem>
    <reviewItem>
      <errorID>469963e6-d22c-4388-b9e2-310f68c4b6c4</errorID>
      <errorWord>台帐</errorWord>
      <group>L1_Word</group>
      <groupName>字词问题</groupName>
      <ability>L2_Typo</ability>
      <abilityName>字词错误</abilityName>
      <candidateList>
        <item>台账</item>
      </candidateList>
      <explain>存在发音相同字词的误用。</explain>
      <paraID>14DCCE3A</paraID>
      <start>18</start>
      <end>20</end>
      <status>unmodified</status>
      <modifiedWord/>
      <trackRevisions>false</trackRevisions>
    </reviewItem>
    <reviewItem>
      <errorID>fbd387c7-efd2-4e9f-a360-4141e383687e</errorID>
      <errorWord>台帐</errorWord>
      <group>L1_Word</group>
      <groupName>字词问题</groupName>
      <ability>L2_Typo</ability>
      <abilityName>字词错误</abilityName>
      <candidateList>
        <item>台账</item>
      </candidateList>
      <explain>存在发音相同字词的误用。</explain>
      <paraID>14DCCE3A</paraID>
      <start>30</start>
      <end>32</end>
      <status>unmodified</status>
      <modifiedWord/>
      <trackRevisions>false</trackRevisions>
    </reviewItem>
    <reviewItem>
      <errorID>e0f02cf3-ce4f-4af6-b9bc-515ad053fe3e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7B168748</paraID>
      <start>0</start>
      <end>3</end>
      <status>unmodified</status>
      <modifiedWord/>
      <trackRevisions>false</trackRevisions>
    </reviewItem>
    <reviewItem>
      <errorID>f38f3b4c-1a9b-4c6a-a3a2-78fe62a4dde2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365C8067</paraID>
      <start>0</start>
      <end>3</end>
      <status>unmodified</status>
      <modifiedWord/>
      <trackRevisions>false</trackRevisions>
    </reviewItem>
    <reviewItem>
      <errorID>ee5f1a5e-55fc-4ecc-9642-56ffdf38f95f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DD208D3</paraID>
      <start>0</start>
      <end>3</end>
      <status>unmodified</status>
      <modifiedWord/>
      <trackRevisions>false</trackRevisions>
    </reviewItem>
    <reviewItem>
      <errorID>aea56876-7297-448b-a271-77a4895ddff5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6E17AB3A</paraID>
      <start>0</start>
      <end>3</end>
      <status>unmodified</status>
      <modifiedWord/>
      <trackRevisions>false</trackRevisions>
    </reviewItem>
    <reviewItem>
      <errorID>6c671269-8580-4476-9305-40acdb6afbe7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1B2769B6</paraID>
      <start>0</start>
      <end>3</end>
      <status>unmodified</status>
      <modifiedWord/>
      <trackRevisions>false</trackRevisions>
    </reviewItem>
    <reviewItem>
      <errorID>a9673de8-6f1d-47ea-8239-a1034a086cd9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5E9E7DD9</paraID>
      <start>0</start>
      <end>3</end>
      <status>unmodified</status>
      <modifiedWord/>
      <trackRevisions>false</trackRevisions>
    </reviewItem>
    <reviewItem>
      <errorID>afa64ad4-e70f-4c58-a3b0-ff95e564b55c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67D317E8</paraID>
      <start>0</start>
      <end>3</end>
      <status>unmodified</status>
      <modifiedWord/>
      <trackRevisions>false</trackRevisions>
    </reviewItem>
    <reviewItem>
      <errorID>2f5c2c64-fea9-489b-a578-774c2e300056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200E8B3A</paraID>
      <start>0</start>
      <end>3</end>
      <status>unmodified</status>
      <modifiedWord/>
      <trackRevisions>false</trackRevisions>
    </reviewItem>
    <reviewItem>
      <errorID>ef216ac7-1db7-458d-9594-0df420aabda9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46FF1CC8</paraID>
      <start>0</start>
      <end>3</end>
      <status>unmodified</status>
      <modifiedWord/>
      <trackRevisions>false</trackRevisions>
    </reviewItem>
    <reviewItem>
      <errorID>321c8ddc-ce1b-46ad-bf27-401a5e0b15cf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41E32E15</paraID>
      <start>0</start>
      <end>4</end>
      <status>unmodified</status>
      <modifiedWord/>
      <trackRevisions>false</trackRevisions>
    </reviewItem>
    <reviewItem>
      <errorID>2c387848-1ac2-42d2-80c8-17f795428619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2C12034F</paraID>
      <start>0</start>
      <end>3</end>
      <status>unmodified</status>
      <modifiedWord/>
      <trackRevisions>false</trackRevisions>
    </reviewItem>
    <reviewItem>
      <errorID>e28125f6-573a-48c4-9c9a-41b33b3f004c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340268C1</paraID>
      <start>0</start>
      <end>3</end>
      <status>unmodified</status>
      <modifiedWord/>
      <trackRevisions>false</trackRevisions>
    </reviewItem>
    <reviewItem>
      <errorID>a67b94f0-5b38-4b7f-9696-9daab9bce37d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689723B8</paraID>
      <start>0</start>
      <end>3</end>
      <status>unmodified</status>
      <modifiedWord/>
      <trackRevisions>false</trackRevisions>
    </reviewItem>
    <reviewItem>
      <errorID>6f3585d9-3a8b-4399-bc03-4fe9ec5f6bb6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6E52B1EF</paraID>
      <start>0</start>
      <end>3</end>
      <status>unmodified</status>
      <modifiedWord/>
      <trackRevisions>false</trackRevisions>
    </reviewItem>
    <reviewItem>
      <errorID>0881b721-da73-47cd-bc1d-b35236370853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694ABFEC</paraID>
      <start>0</start>
      <end>3</end>
      <status>unmodified</status>
      <modifiedWord/>
      <trackRevisions>false</trackRevisions>
    </reviewItem>
    <reviewItem>
      <errorID>5a74bbe2-8f9c-411b-a576-02ef19c4fa49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519347F1</paraID>
      <start>0</start>
      <end>3</end>
      <status>unmodified</status>
      <modifiedWord/>
      <trackRevisions>false</trackRevisions>
    </reviewItem>
    <reviewItem>
      <errorID>a0e85ba0-a452-4b74-8ae3-3b36a0b8b919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4285B331</paraID>
      <start>0</start>
      <end>3</end>
      <status>unmodified</status>
      <modifiedWord/>
      <trackRevisions>false</trackRevisions>
    </reviewItem>
    <reviewItem>
      <errorID>15646b0e-9fa6-4835-a1fd-19c2706fdcd3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6D95D198</paraID>
      <start>0</start>
      <end>3</end>
      <status>unmodified</status>
      <modifiedWord/>
      <trackRevisions>false</trackRevisions>
    </reviewItem>
    <reviewItem>
      <errorID>b707df54-404e-478e-892d-69afda38ffc5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55D27BA</paraID>
      <start>0</start>
      <end>3</end>
      <status>unmodified</status>
      <modifiedWord/>
      <trackRevisions>false</trackRevisions>
    </reviewItem>
    <reviewItem>
      <errorID>74d9a908-07de-4fc2-bfcd-3d522699013b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7BEBC64D</paraID>
      <start>0</start>
      <end>3</end>
      <status>unmodified</status>
      <modifiedWord/>
      <trackRevisions>false</trackRevisions>
    </reviewItem>
    <reviewItem>
      <errorID>72ec4134-d6a5-4e30-bc4c-869f61a5b17f</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4C140E67</paraID>
      <start>67</start>
      <end>69</end>
      <status>unmodified</status>
      <modifiedWord/>
      <trackRevisions>false</trackRevisions>
    </reviewItem>
    <reviewItem>
      <errorID>d7e3bdc4-d2da-4278-bd55-467b4c68bbdc</errorID>
      <errorWord>察看</errorWord>
      <group>L1_Word</group>
      <groupName>字词问题</groupName>
      <ability>L2_Typo</ability>
      <abilityName>字词错误</abilityName>
      <candidateList>
        <item>查看</item>
      </candidateList>
      <explain>存在发音相同字词的误用。</explain>
      <paraID>33D3AFB0</paraID>
      <start>112</start>
      <end>114</end>
      <status>unmodified</status>
      <modifiedWord/>
      <trackRevisions>false</trackRevisions>
    </reviewItem>
    <reviewItem>
      <errorID>e00cef7d-e1f6-4b7d-9936-a6ff7ec093ff</errorID>
      <errorWord>件</errorWord>
      <group>L1_Word</group>
      <groupName>字词问题</groupName>
      <ability>L2_Typo</ability>
      <abilityName>字词错误</abilityName>
      <candidateList>
        <item>件中</item>
      </candidateList>
      <explain/>
      <paraID>4714864D</paraID>
      <start>7</start>
      <end>8</end>
      <status>unmodified</status>
      <modifiedWord/>
      <trackRevisions>false</trackRevisions>
    </reviewItem>
    <reviewItem>
      <errorID>ddd9dd8e-7db7-4ea0-8eb9-9fc4b7ea2f68</errorID>
      <errorWord>的教育</errorWord>
      <group>L1_Word</group>
      <groupName>字词问题</groupName>
      <ability>L2_Typo</ability>
      <abilityName>字词错误</abilityName>
      <candidateList>
        <item>教育</item>
      </candidateList>
      <explain>❶〈名〉按一定要求培养人的工作，主要指学校培养人的工作：初等～｜高等～｜成人～｜～方针。❷〈动〉按一定要求培养：教师的责任是～下一代成为德、智、体全面发展的有用人才。❸〈动〉用道理说服人使照着（规则、指示或要求等）做：说服～｜～干部要清正廉洁。</explain>
      <paraID>3FC2FB4B</paraID>
      <start>0</start>
      <end>3</end>
      <status>unmodified</status>
      <modifiedWord/>
      <trackRevisions>false</trackRevisions>
    </reviewItem>
    <reviewItem>
      <errorID>006893dd-3d94-46be-b3ff-c685202cc04e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10E48EEC</paraID>
      <start>0</start>
      <end>3</end>
      <status>unmodified</status>
      <modifiedWord/>
      <trackRevisions>false</trackRevisions>
    </reviewItem>
    <reviewItem>
      <errorID>94498930-70b0-4035-b3ae-039a786fa4bf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3EA9015B</paraID>
      <start>0</start>
      <end>3</end>
      <status>unmodified</status>
      <modifiedWord/>
      <trackRevisions>false</trackRevisions>
    </reviewItem>
    <reviewItem>
      <errorID>bd62d18a-a97e-4785-8357-678e4cb9ff7a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792873D0</paraID>
      <start>0</start>
      <end>3</end>
      <status>unmodified</status>
      <modifiedWord/>
      <trackRevisions>false</trackRevisions>
    </reviewItem>
    <reviewItem>
      <errorID>2d301636-fcd6-4836-b65d-d0f4681c7df3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425BD237</paraID>
      <start>0</start>
      <end>3</end>
      <status>unmodified</status>
      <modifiedWord/>
      <trackRevisions>false</trackRevisions>
    </reviewItem>
    <reviewItem>
      <errorID>bf591f14-45ea-4142-a600-b625a0d6f932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4B6A979D</paraID>
      <start>0</start>
      <end>3</end>
      <status>unmodified</status>
      <modifiedWord/>
      <trackRevisions>false</trackRevisions>
    </reviewItem>
    <reviewItem>
      <errorID>f1468748-2fb8-4d9f-a9ef-31057e9cf860</errorID>
      <errorWord>霸用</errorWord>
      <group>L1_Word</group>
      <groupName>字词问题</groupName>
      <ability>L2_Typo</ability>
      <abilityName>字词错误</abilityName>
      <candidateList>
        <item>占用</item>
      </candidateList>
      <explain/>
      <paraID>4B6A979D</paraID>
      <start>93</start>
      <end>95</end>
      <status>unmodified</status>
      <modifiedWord/>
      <trackRevisions>false</trackRevisions>
    </reviewItem>
    <reviewItem>
      <errorID>81d9b802-6aa5-4656-8d97-f92b4c663a14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1BB6C366</paraID>
      <start>0</start>
      <end>3</end>
      <status>unmodified</status>
      <modifiedWord/>
      <trackRevisions>false</trackRevisions>
    </reviewItem>
    <reviewItem>
      <errorID>36799cf8-54d0-4873-a2b8-181a7915e584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69CC58E</paraID>
      <start>113</start>
      <end>114</end>
      <status>unmodified</status>
      <modifiedWord/>
      <trackRevisions>false</trackRevisions>
    </reviewItem>
    <reviewItem>
      <errorID>f78af868-bb5d-47a4-8a6b-8b04551cb9fa</errorID>
      <errorWord>完成对</errorWord>
      <group>L1_Word</group>
      <groupName>字词问题</groupName>
      <ability>L2_Typo</ability>
      <abilityName>字词错误</abilityName>
      <candidateList>
        <item>完成</item>
      </candidateList>
      <explain>〈动〉按照预期的目的结束；做成：～任务｜～作业｜计划完得成。</explain>
      <paraID>1CDCF9B5</paraID>
      <start>80</start>
      <end>83</end>
      <status>unmodified</status>
      <modifiedWord/>
      <trackRevisions>false</trackRevisions>
    </reviewItem>
    <reviewItem>
      <errorID>58f28644-23ea-45c1-898d-52e75ef1fef5</errorID>
      <errorWord>:</errorWord>
      <group>L1_Format</group>
      <groupName>格式问题</groupName>
      <ability>L2_HalfPunc</ability>
      <abilityName>全半角检查</abilityName>
      <candidateList>
        <item>：</item>
      </candidateList>
      <explain>文本全半角错误。</explain>
      <paraID>  182D5F</paraID>
      <start>12</start>
      <end>13</end>
      <status>unmodified</status>
      <modifiedWord/>
      <trackRevisions>false</trackRevisions>
    </reviewItem>
    <reviewItem>
      <errorID>1d39c7d8-28db-4956-be6f-cea4f0f48bb5</errorID>
      <errorWord>风险源辨识</errorWord>
      <group>L1_Knowledge</group>
      <groupName>知识性问题</groupName>
      <ability>L2_Term</ability>
      <abilityName>专业术语</abilityName>
      <candidateList>
        <item>危险源辨识</item>
      </candidateList>
      <explain/>
      <paraID>6A2F420F</paraID>
      <start>24</start>
      <end>29</end>
      <status>unmodified</status>
      <modifiedWord/>
      <trackRevisions>false</trackRevisions>
    </reviewItem>
    <reviewItem>
      <errorID>ccf7ef36-1199-4aa7-b3dd-d2aaeb9aa10b</errorID>
      <errorWord>《公路桥梁和隧道工程施工安全风险评估指南》（试行）</errorWord>
      <group>L1_Knowledge</group>
      <groupName>知识性问题</groupName>
      <ability>L2_Knowledge</ability>
      <abilityName>其他知识</abilityName>
      <candidateList>
        <item>《公路桥梁和隧道工程施工安全风险评估指南（试行）》</item>
      </candidateList>
      <explain>疑似政策文件、法律法规名称等书写不规范，请注意检查。</explain>
      <paraID>6A2F420F</paraID>
      <start>34</start>
      <end>59</end>
      <status>unmodified</status>
      <modifiedWord/>
      <trackRevisions>false</trackRevisions>
    </reviewItem>
    <reviewItem>
      <errorID>030518e5-a1ce-4523-abd6-64956807efdf</errorID>
      <errorWord>提高</errorWord>
      <group>L1_Word</group>
      <groupName>字词问题</groupName>
      <ability>L2_Typo</ability>
      <abilityName>字词错误</abilityName>
      <candidateList>
        <item>增强</item>
      </candidateList>
      <explain>“提高～意识”搭配不当，建议修改为“增强～意识”。</explain>
      <paraID>6482E48E</paraID>
      <start>90</start>
      <end>92</end>
      <status>unmodified</status>
      <modifiedWord/>
      <trackRevisions>false</trackRevisions>
    </reviewItem>
    <reviewItem>
      <errorID>8447baa0-ffc6-4b7f-944d-498580a0b3f0</errorID>
      <errorWord>硬地化</errorWord>
      <group>L1_Word</group>
      <groupName>字词问题</groupName>
      <ability>L2_Typo</ability>
      <abilityName>字词错误</abilityName>
      <candidateList>
        <item>硬底化</item>
      </candidateList>
      <explain/>
      <paraID>34CFE56F</paraID>
      <start>21</start>
      <end>24</end>
      <status>unmodified</status>
      <modifiedWord/>
      <trackRevisions>false</trackRevisions>
    </reviewItem>
    <reviewItem>
      <errorID>91c12d9d-6d88-4938-a814-9c9209d6ff2f</errorID>
      <errorWord>拌和</errorWord>
      <group>L1_Word</group>
      <groupName>字词问题</groupName>
      <ability>L2_Typo</ability>
      <abilityName>字词错误</abilityName>
      <candidateList>
        <item>拌合</item>
      </candidateList>
      <explain/>
      <paraID>55023C14</paraID>
      <start>73</start>
      <end>75</end>
      <status>unmodified</status>
      <modifiedWord/>
      <trackRevisions>false</trackRevisions>
    </reviewItem>
    <reviewItem>
      <errorID>4ca550d3-c1ae-474f-86f3-57e53f322308</errorID>
      <errorWord>拌和</errorWord>
      <group>L1_Word</group>
      <groupName>字词问题</groupName>
      <ability>L2_Typo</ability>
      <abilityName>字词错误</abilityName>
      <candidateList>
        <item>拌合</item>
      </candidateList>
      <explain/>
      <paraID> 3D9BBCE</paraID>
      <start>116</start>
      <end>118</end>
      <status>unmodified</status>
      <modifiedWord/>
      <trackRevisions>false</trackRevisions>
    </reviewItem>
    <reviewItem>
      <errorID>c62b297c-381f-4eab-849f-b0b91d97c60f</errorID>
      <errorWord>并应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2467A91B</paraID>
      <start>34</start>
      <end>36</end>
      <status>unmodified</status>
      <modifiedWord/>
      <trackRevisions>false</trackRevisions>
    </reviewItem>
    <reviewItem>
      <errorID>f899c79c-20a2-4db8-b7f7-e3fa2dcd1fcc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4E85661A</paraID>
      <start>0</start>
      <end>3</end>
      <status>unmodified</status>
      <modifiedWord/>
      <trackRevisions>false</trackRevisions>
    </reviewItem>
    <reviewItem>
      <errorID>61de8c53-8109-4f86-8d19-6e6657e3949c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37B7D6C4</paraID>
      <start>0</start>
      <end>3</end>
      <status>unmodified</status>
      <modifiedWord/>
      <trackRevisions>false</trackRevisions>
    </reviewItem>
    <reviewItem>
      <errorID>c41adc16-2ad7-4f28-8dab-19cb67e4e53a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59B213F9</paraID>
      <start>0</start>
      <end>3</end>
      <status>unmodified</status>
      <modifiedWord/>
      <trackRevisions>false</trackRevisions>
    </reviewItem>
    <reviewItem>
      <errorID>5ecae3c7-4e6c-4796-b88c-69f919c6c3fe</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4BB0C8E1</paraID>
      <start>0</start>
      <end>3</end>
      <status>unmodified</status>
      <modifiedWord/>
      <trackRevisions>false</trackRevisions>
    </reviewItem>
    <reviewItem>
      <errorID>dc218ec6-6db7-4706-870e-34be7db1221e</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4959230C</paraID>
      <start>0</start>
      <end>3</end>
      <status>unmodified</status>
      <modifiedWord/>
      <trackRevisions>false</trackRevisions>
    </reviewItem>
    <reviewItem>
      <errorID>8047f3ff-18c5-4425-9015-aae0441bb1e8</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3C6E099F</paraID>
      <start>0</start>
      <end>3</end>
      <status>unmodified</status>
      <modifiedWord/>
      <trackRevisions>false</trackRevisions>
    </reviewItem>
    <reviewItem>
      <errorID>c9b732cd-cea7-4f43-abe8-b3813322f906</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77A26653</paraID>
      <start>0</start>
      <end>3</end>
      <status>unmodified</status>
      <modifiedWord/>
      <trackRevisions>false</trackRevisions>
    </reviewItem>
    <reviewItem>
      <errorID>7b489252-e419-492e-994b-a44c21caba9b</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44B90AB6</paraID>
      <start>0</start>
      <end>3</end>
      <status>unmodified</status>
      <modifiedWord/>
      <trackRevisions>false</trackRevisions>
    </reviewItem>
    <reviewItem>
      <errorID>5dfdbe95-c8ec-458d-8e04-a7c655cc4553</errorID>
      <errorWord>(</errorWord>
      <group>L1_Format</group>
      <groupName>格式问题</groupName>
      <ability>L2_HalfPunc</ability>
      <abilityName>全半角检查</abilityName>
      <candidateList>
        <item>（</item>
      </candidateList>
      <explain>文本全半角错误。</explain>
      <paraID>46F8BE3C</paraID>
      <start>49</start>
      <end>50</end>
      <status>unmodified</status>
      <modifiedWord/>
      <trackRevisions>false</trackRevisions>
    </reviewItem>
    <reviewItem>
      <errorID>78a24c43-9909-488d-b126-c2a766224434</errorID>
      <errorWord>)</errorWord>
      <group>L1_Format</group>
      <groupName>格式问题</groupName>
      <ability>L2_HalfPunc</ability>
      <abilityName>全半角检查</abilityName>
      <candidateList>
        <item>）</item>
      </candidateList>
      <explain>文本全半角错误。</explain>
      <paraID>46F8BE3C</paraID>
      <start>58</start>
      <end>59</end>
      <status>unmodified</status>
      <modifiedWord/>
      <trackRevisions>false</trackRevisions>
    </reviewItem>
    <reviewItem>
      <errorID>73a41206-eecb-40fe-82ec-950c92d0d90f</errorID>
      <errorWord>(</errorWord>
      <group>L1_Format</group>
      <groupName>格式问题</groupName>
      <ability>L2_HalfPunc</ability>
      <abilityName>全半角检查</abilityName>
      <candidateList>
        <item>（</item>
      </candidateList>
      <explain>文本全半角错误。</explain>
      <paraID>18443CA7</paraID>
      <start>61</start>
      <end>62</end>
      <status>unmodified</status>
      <modifiedWord/>
      <trackRevisions>false</trackRevisions>
    </reviewItem>
    <reviewItem>
      <errorID>3e40e917-21db-4e10-805a-c106520eb0a6</errorID>
      <errorWord>)</errorWord>
      <group>L1_Format</group>
      <groupName>格式问题</groupName>
      <ability>L2_HalfPunc</ability>
      <abilityName>全半角检查</abilityName>
      <candidateList>
        <item>）</item>
      </candidateList>
      <explain>文本全半角错误。</explain>
      <paraID>18443CA7</paraID>
      <start>77</start>
      <end>78</end>
      <status>unmodified</status>
      <modifiedWord/>
      <trackRevisions>false</trackRevisions>
    </reviewItem>
    <reviewItem>
      <errorID>209def6f-1f88-4733-8a92-b56e7b5f0bf0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46E50994</paraID>
      <start>0</start>
      <end>2</end>
      <status>unmodified</status>
      <modifiedWord/>
      <trackRevisions>false</trackRevisions>
    </reviewItem>
    <reviewItem>
      <errorID>26e72095-d4d7-464e-bb7b-42791b8950dc</errorID>
      <errorWord>的加速</errorWord>
      <group>L1_Word</group>
      <groupName>字词问题</groupName>
      <ability>L2_Typo</ability>
      <abilityName>字词错误</abilityName>
      <candidateList>
        <item>加速</item>
      </candidateList>
      <explain/>
      <paraID>2D9992AF</paraID>
      <start>0</start>
      <end>3</end>
      <status>unmodified</status>
      <modifiedWord/>
      <trackRevisions>false</trackRevisions>
    </reviewItem>
    <reviewItem>
      <errorID>10fef6f0-d583-40bc-9144-eecf28cde61f</errorID>
      <errorWord>(</errorWord>
      <group>L1_Format</group>
      <groupName>格式问题</groupName>
      <ability>L2_HalfPunc</ability>
      <abilityName>全半角检查</abilityName>
      <candidateList>
        <item>（</item>
      </candidateList>
      <explain>文本全半角错误。</explain>
      <paraID>5B56D311</paraID>
      <start>7</start>
      <end>8</end>
      <status>unmodified</status>
      <modifiedWord/>
      <trackRevisions>false</trackRevisions>
    </reviewItem>
    <reviewItem>
      <errorID>d87162ad-58f0-42a1-aad0-27886e63fb3f</errorID>
      <errorWord>)</errorWord>
      <group>L1_Format</group>
      <groupName>格式问题</groupName>
      <ability>L2_HalfPunc</ability>
      <abilityName>全半角检查</abilityName>
      <candidateList>
        <item>）</item>
      </candidateList>
      <explain>文本全半角错误。</explain>
      <paraID>5B56D311</paraID>
      <start>9</start>
      <end>10</end>
      <status>unmodified</status>
      <modifiedWord/>
      <trackRevisions>false</trackRevisions>
    </reviewItem>
    <reviewItem>
      <errorID>2d9d4c32-4cb4-4cff-b9e9-1eed9b791081</errorID>
      <errorWord>)</errorWord>
      <group>L1_Format</group>
      <groupName>格式问题</groupName>
      <ability>L2_HalfPunc</ability>
      <abilityName>全半角检查</abilityName>
      <candidateList>
        <item>）</item>
      </candidateList>
      <explain>文本全半角错误。</explain>
      <paraID> BB4569D</paraID>
      <start>7</start>
      <end>8</end>
      <status>unmodified</status>
      <modifiedWord/>
      <trackRevisions>false</trackRevisions>
    </reviewItem>
    <reviewItem>
      <errorID>35b1c969-0182-4070-9c7e-04b9d03ade78</errorID>
      <errorWord>关键工程</errorWord>
      <group>L1_Knowledge</group>
      <groupName>知识性问题</groupName>
      <ability>L2_Term</ability>
      <abilityName>专业术语</abilityName>
      <candidateList>
        <item>关键工序</item>
      </candidateList>
      <explain/>
      <paraID>52BA759F</paraID>
      <start>53</start>
      <end>57</end>
      <status>unmodified</status>
      <modifiedWord/>
      <trackRevisions>false</trackRevisions>
    </reviewItem>
    <reviewItem>
      <errorID>04392839-f06f-4380-9e37-399908f331d1</errorID>
      <errorWord>，</errorWord>
      <group>L1_Word</group>
      <groupName>字词问题</groupName>
      <ability>L2_Typo</ability>
      <abilityName>字词错误</abilityName>
      <candidateList>
        <item>，将</item>
      </candidateList>
      <explain/>
      <paraID>7779A816</paraID>
      <start>70</start>
      <end>71</end>
      <status>unmodified</status>
      <modifiedWord/>
      <trackRevisions>false</trackRevisions>
    </reviewItem>
    <reviewItem>
      <errorID>870156c2-cda3-4364-8e5b-99c55833b114</errorID>
      <errorWord>自身质量</errorWord>
      <group>L1_Knowledge</group>
      <groupName>知识性问题</groupName>
      <ability>L2_Term</ability>
      <abilityName>专业术语</abilityName>
      <candidateList>
        <item>井身质量</item>
      </candidateList>
      <explain/>
      <paraID>37BD1FC6</paraID>
      <start>250</start>
      <end>254</end>
      <status>unmodified</status>
      <modifiedWord/>
      <trackRevisions>false</trackRevisions>
    </reviewItem>
    <reviewItem>
      <errorID>26c1a82c-6c8d-41e5-a455-c86d8563db4b</errorID>
      <errorWord>人</errorWord>
      <group>L1_Word</group>
      <groupName>字词问题</groupName>
      <ability>L2_Typo</ability>
      <abilityName>字词错误</abilityName>
      <candidateList>
        <item>人在</item>
      </candidateList>
      <explain/>
      <paraID> 1BAC134</paraID>
      <start>2</start>
      <end>3</end>
      <status>unmodified</status>
      <modifiedWord/>
      <trackRevisions>false</trackRevisions>
    </reviewItem>
    <reviewItem>
      <errorID>1d560aa2-be65-4664-8d9f-9140751b5a2b</errorID>
      <errorWord>文件制订</errorWord>
      <group>L1_Word</group>
      <groupName>字词问题</groupName>
      <ability>L2_Typo</ability>
      <abilityName>字词错误</abilityName>
      <candidateList>
        <item>文件制定</item>
      </candidateList>
      <explain/>
      <paraID>3C7AE315</paraID>
      <start>119</start>
      <end>123</end>
      <status>unmodified</status>
      <modifiedWord/>
      <trackRevisions>false</trackRevisions>
    </reviewItem>
    <reviewItem>
      <errorID>277de789-4a85-47d1-8bc0-8e4a45afd1c9</errorID>
      <errorWord>变更变更</errorWord>
      <group>L1_Word</group>
      <groupName>字词问题</groupName>
      <ability>L2_Typo</ability>
      <abilityName>字词错误</abilityName>
      <candidateList>
        <item>变更</item>
      </candidateList>
      <explain>〈动〉改变；变动：～原定赛程｜修订版的内容有些～。</explain>
      <paraID>2ECE4FC1</paraID>
      <start>5</start>
      <end>9</end>
      <status>unmodified</status>
      <modifiedWord/>
      <trackRevisions>false</trackRevisions>
    </reviewItem>
    <reviewItem>
      <errorID>048970d0-a1f1-42dc-b72d-46a799a8dc37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623AF87D</paraID>
      <start>0</start>
      <end>3</end>
      <status>unmodified</status>
      <modifiedWord/>
      <trackRevisions>false</trackRevisions>
    </reviewItem>
    <reviewItem>
      <errorID>a5bb9230-58e8-4044-8fed-d89acdb67871</errorID>
      <errorWord>关于于</errorWord>
      <group>L1_Word</group>
      <groupName>字词问题</groupName>
      <ability>L2_Typo</ability>
      <abilityName>字词错误</abilityName>
      <candidateList>
        <item>关于</item>
      </candidateList>
      <explain>〈介〉❶引进某种行为的关系者，组成介词结构做状语：～扶贫工作，上级已经做了指示。❷引进某种事物的关系者，组成介词结构做定语（后面要加“的”），或在“是…的”式中做谓语：他读了几本～政治经济学的书｜今天在厂里开了一个会，是～环境保护方面的。‖注意a）表示关涉，用“关于”不用“对于”，如：～织女星，民间有个美丽的传说。</explain>
      <paraID>33CF1F08</paraID>
      <start>21</start>
      <end>24</end>
      <status>unmodified</status>
      <modifiedWord/>
      <trackRevisions>false</trackRevisions>
    </reviewItem>
    <reviewItem>
      <errorID>6ccaa72d-265b-42b5-acf6-958e418b6725</errorID>
      <errorWord>,</errorWord>
      <group>L1_Format</group>
      <groupName>格式问题</groupName>
      <ability>L2_HalfPunc</ability>
      <abilityName>全半角检查</abilityName>
      <candidateList>
        <item>，</item>
      </candidateList>
      <explain>文本全半角错误。</explain>
      <paraID>33CF1F08</paraID>
      <start>49</start>
      <end>50</end>
      <status>unmodified</status>
      <modifiedWord/>
      <trackRevisions>false</trackRevisions>
    </reviewItem>
    <reviewItem>
      <errorID>260b931e-cc41-442c-83fd-fb07ffc96525</errorID>
      <errorWord>材</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  8407CA</paraID>
      <start>37</start>
      <end>38</end>
      <status>unmodified</status>
      <modifiedWord/>
      <trackRevisions>false</trackRevisions>
    </reviewItem>
    <reviewItem>
      <errorID>d72d4305-8db2-464c-ad34-7f06dd1de045</errorID>
      <errorWord>:</errorWord>
      <group>L1_Format</group>
      <groupName>格式问题</groupName>
      <ability>L2_HalfPunc</ability>
      <abilityName>全半角检查</abilityName>
      <candidateList>
        <item>：</item>
      </candidateList>
      <explain>文本全半角错误。</explain>
      <paraID> 61DED00</paraID>
      <start>1</start>
      <end>2</end>
      <status>unmodified</status>
      <modifiedWord/>
      <trackRevisions>false</trackRevisions>
    </reviewItem>
    <reviewItem>
      <errorID>d246d18c-2ffe-4e52-8d3e-66030408890e</errorID>
      <errorWord>:</errorWord>
      <group>L1_Format</group>
      <groupName>格式问题</groupName>
      <ability>L2_HalfPunc</ability>
      <abilityName>全半角检查</abilityName>
      <candidateList>
        <item>：</item>
      </candidateList>
      <explain>文本全半角错误。</explain>
      <paraID>5E0D097F</paraID>
      <start>1</start>
      <end>2</end>
      <status>unmodified</status>
      <modifiedWord/>
      <trackRevisions>false</trackRevisions>
    </reviewItem>
    <reviewItem>
      <errorID>303e7021-ca6d-4308-aaba-17ea5372748d</errorID>
      <errorWord>(</errorWord>
      <group>L1_Format</group>
      <groupName>格式问题</groupName>
      <ability>L2_HalfPunc</ability>
      <abilityName>全半角检查</abilityName>
      <candidateList>
        <item>（</item>
      </candidateList>
      <explain>文本全半角错误。</explain>
      <paraID>5E0D097F</paraID>
      <start>9</start>
      <end>10</end>
      <status>unmodified</status>
      <modifiedWord/>
      <trackRevisions>false</trackRevisions>
    </reviewItem>
    <reviewItem>
      <errorID>23a71c48-420c-4f43-b71d-6b3ef645122e</errorID>
      <errorWord>)</errorWord>
      <group>L1_Format</group>
      <groupName>格式问题</groupName>
      <ability>L2_HalfPunc</ability>
      <abilityName>全半角检查</abilityName>
      <candidateList>
        <item>）</item>
      </candidateList>
      <explain>文本全半角错误。</explain>
      <paraID>5E0D097F</paraID>
      <start>13</start>
      <end>14</end>
      <status>unmodified</status>
      <modifiedWord/>
      <trackRevisions>false</trackRevisions>
    </reviewItem>
    <reviewItem>
      <errorID>93ace713-70ff-4554-9aa2-d15364da422a</errorID>
      <errorWord>签定</errorWord>
      <group>L1_Word</group>
      <groupName>字词问题</groupName>
      <ability>L2_Typo</ability>
      <abilityName>字词错误</abilityName>
      <candidateList>
        <item>签订</item>
      </candidateList>
      <explain>〈动〉订立条约或合同并签字：两国～了贸易议定书和支付协定。</explain>
      <paraID>5E0D097F</paraID>
      <start>43</start>
      <end>45</end>
      <status>unmodified</status>
      <modifiedWord/>
      <trackRevisions>false</trackRevisions>
    </reviewItem>
    <reviewItem>
      <errorID>03390fcf-52ee-498d-a6f9-7b9b582751c7</errorID>
      <errorWord>:</errorWord>
      <group>L1_Format</group>
      <groupName>格式问题</groupName>
      <ability>L2_HalfPunc</ability>
      <abilityName>全半角检查</abilityName>
      <candidateList>
        <item>：</item>
      </candidateList>
      <explain>文本全半角错误。</explain>
      <paraID>75AB4743</paraID>
      <start>1</start>
      <end>2</end>
      <status>unmodified</status>
      <modifiedWord/>
      <trackRevisions>false</trackRevisions>
    </reviewItem>
    <reviewItem>
      <errorID>90416780-e9f7-4f18-b1db-6071fc427415</errorID>
      <errorWord>(</errorWord>
      <group>L1_Format</group>
      <groupName>格式问题</groupName>
      <ability>L2_HalfPunc</ability>
      <abilityName>全半角检查</abilityName>
      <candidateList>
        <item>（</item>
      </candidateList>
      <explain>文本全半角错误。</explain>
      <paraID>75AB4743</paraID>
      <start>8</start>
      <end>9</end>
      <status>unmodified</status>
      <modifiedWord/>
      <trackRevisions>false</trackRevisions>
    </reviewItem>
    <reviewItem>
      <errorID>675dc52f-4589-4876-9da2-dd17c3372b62</errorID>
      <errorWord>)</errorWord>
      <group>L1_Format</group>
      <groupName>格式问题</groupName>
      <ability>L2_HalfPunc</ability>
      <abilityName>全半角检查</abilityName>
      <candidateList>
        <item>）</item>
      </candidateList>
      <explain>文本全半角错误。</explain>
      <paraID>75AB4743</paraID>
      <start>12</start>
      <end>13</end>
      <status>unmodified</status>
      <modifiedWord/>
      <trackRevisions>false</trackRevisions>
    </reviewItem>
    <reviewItem>
      <errorID>1d1fd41b-7c03-4207-9786-c9db355789c5</errorID>
      <errorWord>:</errorWord>
      <group>L1_Format</group>
      <groupName>格式问题</groupName>
      <ability>L2_HalfPunc</ability>
      <abilityName>全半角检查</abilityName>
      <candidateList>
        <item>：</item>
      </candidateList>
      <explain>文本全半角错误。</explain>
      <paraID>4CE77483</paraID>
      <start>1</start>
      <end>2</end>
      <status>unmodified</status>
      <modifiedWord/>
      <trackRevisions>false</trackRevisions>
    </reviewItem>
    <reviewItem>
      <errorID>2bb1acd2-47cf-480e-bd79-0546d855e23b</errorID>
      <errorWord>幅度系数</errorWord>
      <group>L1_Knowledge</group>
      <groupName>知识性问题</groupName>
      <ability>L2_Term</ability>
      <abilityName>专业术语</abilityName>
      <candidateList>
        <item>黏度系数</item>
      </candidateList>
      <explain/>
      <paraID>77293FAF</paraID>
      <start>76</start>
      <end>80</end>
      <status>unmodified</status>
      <modifiedWord/>
      <trackRevisions>false</trackRevisions>
    </reviewItem>
    <reviewItem>
      <errorID>169feaee-cfc8-47c7-9eb6-209bbfcdfd93</errorID>
      <errorWord>(</errorWord>
      <group>L1_Format</group>
      <groupName>格式问题</groupName>
      <ability>L2_HalfPunc</ability>
      <abilityName>全半角检查</abilityName>
      <candidateList>
        <item>（</item>
      </candidateList>
      <explain>文本全半角错误。</explain>
      <paraID>29904114</paraID>
      <start>18</start>
      <end>19</end>
      <status>unmodified</status>
      <modifiedWord/>
      <trackRevisions>false</trackRevisions>
    </reviewItem>
    <reviewItem>
      <errorID>c7b7f9ed-de39-4719-b788-9a3d2103b473</errorID>
      <errorWord>(</errorWord>
      <group>L1_Format</group>
      <groupName>格式问题</groupName>
      <ability>L2_HalfPunc</ability>
      <abilityName>全半角检查</abilityName>
      <candidateList>
        <item>（</item>
      </candidateList>
      <explain>文本全半角错误。</explain>
      <paraID>541A2CEA</paraID>
      <start>21</start>
      <end>22</end>
      <status>unmodified</status>
      <modifiedWord/>
      <trackRevisions>false</trackRevisions>
    </reviewItem>
    <reviewItem>
      <errorID>8ca23901-45f6-46ed-ac9a-50e80e8da6b6</errorID>
      <errorWord>(</errorWord>
      <group>L1_Format</group>
      <groupName>格式问题</groupName>
      <ability>L2_HalfPunc</ability>
      <abilityName>全半角检查</abilityName>
      <candidateList>
        <item>（</item>
      </candidateList>
      <explain>文本全半角错误。</explain>
      <paraID>76025390</paraID>
      <start>23</start>
      <end>24</end>
      <status>unmodified</status>
      <modifiedWord/>
      <trackRevisions>false</trackRevisions>
    </reviewItem>
    <reviewItem>
      <errorID>df99ffc3-e790-4b1f-b7a9-522ad5d26b9f</errorID>
      <errorWord>幅度系数</errorWord>
      <group>L1_Knowledge</group>
      <groupName>知识性问题</groupName>
      <ability>L2_Term</ability>
      <abilityName>专业术语</abilityName>
      <candidateList>
        <item>黏度系数</item>
      </candidateList>
      <explain/>
      <paraID>76025390</paraID>
      <start>24</start>
      <end>28</end>
      <status>unmodified</status>
      <modifiedWord/>
      <trackRevisions>false</trackRevisions>
    </reviewItem>
    <reviewItem>
      <errorID>7b0aaf5a-2b1f-43fd-8975-5e6914f64310</errorID>
      <errorWord>）</errorWord>
      <group>L1_Format</group>
      <groupName>格式问题</groupName>
      <ability>L2_HalfPunc</ability>
      <abilityName>全半角检查</abilityName>
      <candidateList>
        <item>)</item>
      </candidateList>
      <explain>文本全半角错误。</explain>
      <paraID>22234BAC</paraID>
      <start>11</start>
      <end>12</end>
      <status>unmodified</status>
      <modifiedWord/>
      <trackRevisions>false</trackRevisions>
    </reviewItem>
    <reviewItem>
      <errorID>faa61aa9-b1a9-4b6d-ad20-dc63bc85e783</errorID>
      <errorWord>,…,</errorWord>
      <group>L1_Punc</group>
      <groupName>标点问题</groupName>
      <ability>L2_Punc</ability>
      <abilityName>标点符号检查</abilityName>
      <candidateList>
        <item>,</item>
      </candidateList>
      <explain/>
      <paraID>50ECAA22</paraID>
      <start>24</start>
      <end>27</end>
      <status>unmodified</status>
      <modifiedWord/>
      <trackRevisions>false</trackRevisions>
    </reviewItem>
    <reviewItem>
      <errorID>577aacdb-a8a5-4be6-b0f4-bca26accf2e5</errorID>
      <errorWord>调价</errorWord>
      <group>L1_Word</group>
      <groupName>字词问题</groupName>
      <ability>L2_Typo</ability>
      <abilityName>字词错误</abilityName>
      <candidateList>
        <item>调剂</item>
      </candidateList>
      <explain/>
      <paraID>19EF4AB6</paraID>
      <start>27</start>
      <end>29</end>
      <status>unmodified</status>
      <modifiedWord/>
      <trackRevisions>false</trackRevisions>
    </reviewItem>
    <reviewItem>
      <errorID>4dc6ebde-0c2b-4a39-a8a9-8f51ed198d74</errorID>
      <errorWord>)</errorWord>
      <group>L1_Format</group>
      <groupName>格式问题</groupName>
      <ability>L2_HalfPunc</ability>
      <abilityName>全半角检查</abilityName>
      <candidateList>
        <item>）</item>
      </candidateList>
      <explain>文本全半角错误。</explain>
      <paraID>62E0DA9A</paraID>
      <start>1</start>
      <end>2</end>
      <status>unmodified</status>
      <modifiedWord/>
      <trackRevisions>false</trackRevisions>
    </reviewItem>
    <reviewItem>
      <errorID>bce0a10b-4292-4d59-b868-3f9cca2cc80d</errorID>
      <errorWord>（</errorWord>
      <group>L1_Format</group>
      <groupName>格式问题</groupName>
      <ability>L2_HalfPunc</ability>
      <abilityName>全半角检查</abilityName>
      <candidateList>
        <item>(</item>
      </candidateList>
      <explain>文本全半角错误。</explain>
      <paraID>39C2F004</paraID>
      <start>6</start>
      <end>7</end>
      <status>unmodified</status>
      <modifiedWord/>
      <trackRevisions>false</trackRevisions>
    </reviewItem>
    <reviewItem>
      <errorID>8c6be933-dd92-44b5-91ee-0f9b0204e8d0</errorID>
      <errorWord>）</errorWord>
      <group>L1_Format</group>
      <groupName>格式问题</groupName>
      <ability>L2_HalfPunc</ability>
      <abilityName>全半角检查</abilityName>
      <candidateList>
        <item>)</item>
      </candidateList>
      <explain>文本全半角错误。</explain>
      <paraID>39C2F004</paraID>
      <start>18</start>
      <end>19</end>
      <status>unmodified</status>
      <modifiedWord/>
      <trackRevisions>false</trackRevisions>
    </reviewItem>
    <reviewItem>
      <errorID>278866b3-758b-4788-b4ca-b04a3be9cffd</errorID>
      <errorWord>（</errorWord>
      <group>L1_Format</group>
      <groupName>格式问题</groupName>
      <ability>L2_HalfPunc</ability>
      <abilityName>全半角检查</abilityName>
      <candidateList>
        <item>(</item>
      </candidateList>
      <explain>文本全半角错误。</explain>
      <paraID>666515B9</paraID>
      <start>6</start>
      <end>7</end>
      <status>unmodified</status>
      <modifiedWord/>
      <trackRevisions>false</trackRevisions>
    </reviewItem>
    <reviewItem>
      <errorID>a560e3c3-2748-48eb-9ec5-e2ad9476147b</errorID>
      <errorWord>）</errorWord>
      <group>L1_Format</group>
      <groupName>格式问题</groupName>
      <ability>L2_HalfPunc</ability>
      <abilityName>全半角检查</abilityName>
      <candidateList>
        <item>)</item>
      </candidateList>
      <explain>文本全半角错误。</explain>
      <paraID>666515B9</paraID>
      <start>10</start>
      <end>11</end>
      <status>unmodified</status>
      <modifiedWord/>
      <trackRevisions>false</trackRevisions>
    </reviewItem>
    <reviewItem>
      <errorID>6909a57f-f1d8-4947-b491-92f11e43e46e</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6110C97C</paraID>
      <start>0</start>
      <end>2</end>
      <status>unmodified</status>
      <modifiedWord/>
      <trackRevisions>false</trackRevisions>
    </reviewItem>
    <reviewItem>
      <errorID>dd915a75-91f6-4406-9407-6b4b5d16ec33</errorID>
      <errorWord>:</errorWord>
      <group>L1_Format</group>
      <groupName>格式问题</groupName>
      <ability>L2_HalfPunc</ability>
      <abilityName>全半角检查</abilityName>
      <candidateList>
        <item>：</item>
      </candidateList>
      <explain>文本全半角错误。</explain>
      <paraID>698DC86B</paraID>
      <start>2</start>
      <end>3</end>
      <status>unmodified</status>
      <modifiedWord/>
      <trackRevisions>false</trackRevisions>
    </reviewItem>
    <reviewItem>
      <errorID>51037adf-30df-4b7a-94ea-7b2ba195779e</errorID>
      <errorWord>）</errorWord>
      <group>L1_Format</group>
      <groupName>格式问题</groupName>
      <ability>L2_HalfPunc</ability>
      <abilityName>全半角检查</abilityName>
      <candidateList>
        <item>)</item>
      </candidateList>
      <explain>文本全半角错误。</explain>
      <paraID>3EFFE2AC</paraID>
      <start>11</start>
      <end>12</end>
      <status>unmodified</status>
      <modifiedWord/>
      <trackRevisions>false</trackRevisions>
    </reviewItem>
    <reviewItem>
      <errorID>dc1ad409-6aa0-413e-9d3b-139c6693ad43</errorID>
      <errorWord>(</errorWord>
      <group>L1_Format</group>
      <groupName>格式问题</groupName>
      <ability>L2_HalfPunc</ability>
      <abilityName>全半角检查</abilityName>
      <candidateList>
        <item>（</item>
      </candidateList>
      <explain>文本全半角错误。</explain>
      <paraID>6BD88C8C</paraID>
      <start>6</start>
      <end>7</end>
      <status>unmodified</status>
      <modifiedWord/>
      <trackRevisions>false</trackRevisions>
    </reviewItem>
    <reviewItem>
      <errorID>6b1db730-4b9d-46e1-a3ac-0000ff379647</errorID>
      <errorWord>)</errorWord>
      <group>L1_Format</group>
      <groupName>格式问题</groupName>
      <ability>L2_HalfPunc</ability>
      <abilityName>全半角检查</abilityName>
      <candidateList>
        <item>）</item>
      </candidateList>
      <explain>文本全半角错误。</explain>
      <paraID>6BD88C8C</paraID>
      <start>10</start>
      <end>11</end>
      <status>unmodified</status>
      <modifiedWord/>
      <trackRevisions>false</trackRevisions>
    </reviewItem>
    <reviewItem>
      <errorID>b50c34b8-d07a-441c-811c-0eae01273b97</errorID>
      <errorWord>,</errorWord>
      <group>L1_Format</group>
      <groupName>格式问题</groupName>
      <ability>L2_HalfPunc</ability>
      <abilityName>全半角检查</abilityName>
      <candidateList>
        <item>，</item>
      </candidateList>
      <explain>文本全半角错误。</explain>
      <paraID>6BD88C8C</paraID>
      <start>52</start>
      <end>53</end>
      <status>unmodified</status>
      <modifiedWord/>
      <trackRevisions>false</trackRevisions>
    </reviewItem>
    <reviewItem>
      <errorID>c642a3ee-c287-412f-b77d-7be5afa3a538</errorID>
      <errorWord>公里</errorWord>
      <group>L1_Word</group>
      <groupName>字词问题</groupName>
      <ability>L2_Typo</ability>
      <abilityName>字词错误</abilityName>
      <candidateList>
        <item>公路</item>
      </candidateList>
      <explain/>
      <paraID>457DE954</paraID>
      <start>52</start>
      <end>54</end>
      <status>unmodified</status>
      <modifiedWord/>
      <trackRevisions>false</trackRevisions>
    </reviewItem>
    <reviewItem>
      <errorID>882aba37-3628-4814-bb4c-f3090fae1d46</errorID>
      <errorWord>拌和</errorWord>
      <group>L1_Word</group>
      <groupName>字词问题</groupName>
      <ability>L2_Typo</ability>
      <abilityName>字词错误</abilityName>
      <candidateList>
        <item>拌合</item>
      </candidateList>
      <explain/>
      <paraID>7F06E43D</paraID>
      <start>14</start>
      <end>16</end>
      <status>unmodified</status>
      <modifiedWord/>
      <trackRevisions>false</trackRevisions>
    </reviewItem>
    <reviewItem>
      <errorID>6be91508-e1fd-4e5a-816b-fdb35220b31f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847F086</paraID>
      <start>0</start>
      <end>3</end>
      <status>unmodified</status>
      <modifiedWord/>
      <trackRevisions>false</trackRevisions>
    </reviewItem>
    <reviewItem>
      <errorID>98de4cd8-889a-4a6f-9b0f-da65cd4fa472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465973CA</paraID>
      <start>0</start>
      <end>3</end>
      <status>unmodified</status>
      <modifiedWord/>
      <trackRevisions>false</trackRevisions>
    </reviewItem>
    <reviewItem>
      <errorID>fa46862b-922e-408c-aacf-45ccb0f60491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6457787D</paraID>
      <start>0</start>
      <end>3</end>
      <status>unmodified</status>
      <modifiedWord/>
      <trackRevisions>false</trackRevisions>
    </reviewItem>
    <reviewItem>
      <errorID>bfa079e3-6955-4d0c-8581-658a27645780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3D46473A</paraID>
      <start>0</start>
      <end>3</end>
      <status>unmodified</status>
      <modifiedWord/>
      <trackRevisions>false</trackRevisions>
    </reviewItem>
    <reviewItem>
      <errorID>1867fc1e-9d04-4bec-a8ac-8ac7f9e01eb1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680FDC9E</paraID>
      <start>0</start>
      <end>3</end>
      <status>unmodified</status>
      <modifiedWord/>
      <trackRevisions>false</trackRevisions>
    </reviewItem>
    <reviewItem>
      <errorID>15c1ae5f-24b1-4fbc-b174-dfef4104c82b</errorID>
      <errorWord>(</errorWord>
      <group>L1_Format</group>
      <groupName>格式问题</groupName>
      <ability>L2_HalfPunc</ability>
      <abilityName>全半角检查</abilityName>
      <candidateList>
        <item>（</item>
      </candidateList>
      <explain>文本全半角错误。</explain>
      <paraID>7E5C5488</paraID>
      <start>64</start>
      <end>65</end>
      <status>unmodified</status>
      <modifiedWord/>
      <trackRevisions>false</trackRevisions>
    </reviewItem>
    <reviewItem>
      <errorID>f7b77b29-7220-435b-9c73-6baea8e2be04</errorID>
      <errorWord>总额</errorWord>
      <group>L1_Word</group>
      <groupName>字词问题</groupName>
      <ability>L2_Typo</ability>
      <abilityName>字词错误</abilityName>
      <candidateList>
        <item>总</item>
      </candidateList>
      <explain/>
      <paraID> 2357864</paraID>
      <start>59</start>
      <end>61</end>
      <status>unmodified</status>
      <modifiedWord/>
      <trackRevisions>false</trackRevisions>
    </reviewItem>
    <reviewItem>
      <errorID>0eaf7df8-f5e1-4370-a448-eaf3fdd8abf1</errorID>
      <errorWord>，正</errorWord>
      <group>L1_Word</group>
      <groupName>字词问题</groupName>
      <ability>L2_Typo</ability>
      <abilityName>字词错误</abilityName>
      <candidateList>
        <item>，</item>
      </candidateList>
      <explain/>
      <paraID>36F8F898</paraID>
      <start>35</start>
      <end>37</end>
      <status>unmodified</status>
      <modifiedWord/>
      <trackRevisions>false</trackRevisions>
    </reviewItem>
    <reviewItem>
      <errorID>634b6340-edb8-4fa4-b1de-d50a0dc6c17a</errorID>
      <errorWord>(</errorWord>
      <group>L1_Format</group>
      <groupName>格式问题</groupName>
      <ability>L2_HalfPunc</ability>
      <abilityName>全半角检查</abilityName>
      <candidateList>
        <item>（</item>
      </candidateList>
      <explain>文本全半角错误。</explain>
      <paraID>41734C18</paraID>
      <start>5</start>
      <end>6</end>
      <status>unmodified</status>
      <modifiedWord/>
      <trackRevisions>false</trackRevisions>
    </reviewItem>
    <reviewItem>
      <errorID>3125f467-1ab3-4829-9d8e-4fbad74f8554</errorID>
      <errorWord>)</errorWord>
      <group>L1_Format</group>
      <groupName>格式问题</groupName>
      <ability>L2_HalfPunc</ability>
      <abilityName>全半角检查</abilityName>
      <candidateList>
        <item>）</item>
      </candidateList>
      <explain>文本全半角错误。</explain>
      <paraID>41734C18</paraID>
      <start>7</start>
      <end>8</end>
      <status>unmodified</status>
      <modifiedWord/>
      <trackRevisions>false</trackRevisions>
    </reviewItem>
    <reviewItem>
      <errorID>99375ce8-428a-4d8d-99d8-e79f5e4d5f03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1F88FECE</paraID>
      <start>0</start>
      <end>3</end>
      <status>unmodified</status>
      <modifiedWord/>
      <trackRevisions>false</trackRevisions>
    </reviewItem>
    <reviewItem>
      <errorID>5f372003-5103-49d2-b7c3-78383c2b3be7</errorID>
      <errorWord>”</errorWord>
      <group>L1_Punc</group>
      <groupName>标点问题</groupName>
      <ability>L2_Punc</ability>
      <abilityName>标点符号检查</abilityName>
      <candidateList/>
      <explain/>
      <paraID>349528A6</paraID>
      <start>130</start>
      <end>131</end>
      <status>unmodified</status>
      <modifiedWord/>
      <trackRevisions>false</trackRevisions>
    </reviewItem>
    <reviewItem>
      <errorID>23abffac-4e81-47ea-8852-6a4b4c6974e7</errorID>
      <errorWord>:</errorWord>
      <group>L1_Format</group>
      <groupName>格式问题</groupName>
      <ability>L2_HalfPunc</ability>
      <abilityName>全半角检查</abilityName>
      <candidateList>
        <item>：</item>
      </candidateList>
      <explain>文本全半角错误。</explain>
      <paraID>303878D0</paraID>
      <start>17</start>
      <end>18</end>
      <status>unmodified</status>
      <modifiedWord/>
      <trackRevisions>false</trackRevisions>
    </reviewItem>
    <reviewItem>
      <errorID>9f0856a1-6630-4277-b383-25454715177d</errorID>
      <errorWord>(</errorWord>
      <group>L1_Format</group>
      <groupName>格式问题</groupName>
      <ability>L2_HalfPunc</ability>
      <abilityName>全半角检查</abilityName>
      <candidateList>
        <item>（</item>
      </candidateList>
      <explain>文本全半角错误。</explain>
      <paraID> BC188D0</paraID>
      <start>2</start>
      <end>3</end>
      <status>unmodified</status>
      <modifiedWord/>
      <trackRevisions>false</trackRevisions>
    </reviewItem>
    <reviewItem>
      <errorID>29951a1c-73d5-4163-b0c6-4f896a254368</errorID>
      <errorWord>)</errorWord>
      <group>L1_Format</group>
      <groupName>格式问题</groupName>
      <ability>L2_HalfPunc</ability>
      <abilityName>全半角检查</abilityName>
      <candidateList>
        <item>）</item>
      </candidateList>
      <explain>文本全半角错误。</explain>
      <paraID> BC188D0</paraID>
      <start>4</start>
      <end>5</end>
      <status>unmodified</status>
      <modifiedWord/>
      <trackRevisions>false</trackRevisions>
    </reviewItem>
    <reviewItem>
      <errorID>1af18184-7d90-486f-8df6-10982c7513f9</errorID>
      <errorWord>(</errorWord>
      <group>L1_Format</group>
      <groupName>格式问题</groupName>
      <ability>L2_HalfPunc</ability>
      <abilityName>全半角检查</abilityName>
      <candidateList>
        <item>（</item>
      </candidateList>
      <explain>文本全半角错误。</explain>
      <paraID>39D14035</paraID>
      <start>94</start>
      <end>95</end>
      <status>unmodified</status>
      <modifiedWord/>
      <trackRevisions>false</trackRevisions>
    </reviewItem>
    <reviewItem>
      <errorID>3a777ef7-7e28-4ad2-b1c0-620e0e4c1bc7</errorID>
      <errorWord>)</errorWord>
      <group>L1_Format</group>
      <groupName>格式问题</groupName>
      <ability>L2_HalfPunc</ability>
      <abilityName>全半角检查</abilityName>
      <candidateList>
        <item>）</item>
      </candidateList>
      <explain>文本全半角错误。</explain>
      <paraID>39D14035</paraID>
      <start>103</start>
      <end>104</end>
      <status>unmodified</status>
      <modifiedWord/>
      <trackRevisions>false</trackRevisions>
    </reviewItem>
    <reviewItem>
      <errorID>9f4d4807-27f9-4c09-8372-0b13b8b78cbb</errorID>
      <errorWord>文字精炼</errorWord>
      <group>L1_Word</group>
      <groupName>字词问题</groupName>
      <ability>L2_Alias</ability>
      <abilityName>也作/曾用词</abilityName>
      <candidateList>
        <item>文字精练</item>
      </candidateList>
      <explain>词汇[文字精炼]为不规范表述或旧称，其规范书面表述为[文字精练]。</explain>
      <paraID> E9F09AD</paraID>
      <start>152</start>
      <end>156</end>
      <status>unmodified</status>
      <modifiedWord/>
      <trackRevisions>false</trackRevisions>
    </reviewItem>
    <reviewItem>
      <errorID>1a37e5d8-a648-47a3-9d16-84c31a6618f3</errorID>
      <errorWord>（</errorWord>
      <group>L1_Format</group>
      <groupName>格式问题</groupName>
      <ability>L2_HalfPunc</ability>
      <abilityName>全半角检查</abilityName>
      <candidateList>
        <item>(</item>
      </candidateList>
      <explain>文本全半角错误。</explain>
      <paraID>7CC871BF</paraID>
      <start>0</start>
      <end>1</end>
      <status>unmodified</status>
      <modifiedWord/>
      <trackRevisions>false</trackRevisions>
    </reviewItem>
    <reviewItem>
      <errorID>5550fec3-c350-4481-a9a0-162b8a200b14</errorID>
      <errorWord>）</errorWord>
      <group>L1_Format</group>
      <groupName>格式问题</groupName>
      <ability>L2_HalfPunc</ability>
      <abilityName>全半角检查</abilityName>
      <candidateList>
        <item>)</item>
      </candidateList>
      <explain>文本全半角错误。</explain>
      <paraID>7CC871BF</paraID>
      <start>2</start>
      <end>3</end>
      <status>unmodified</status>
      <modifiedWord/>
      <trackRevisions>false</trackRevisions>
    </reviewItem>
    <reviewItem>
      <errorID>0dd08a55-44c4-48c6-832f-bf1f2b0c5102</errorID>
      <errorWord>；</errorWord>
      <group>L1_Format</group>
      <groupName>格式问题</groupName>
      <ability>L2_HalfPunc</ability>
      <abilityName>全半角检查</abilityName>
      <candidateList>
        <item>;</item>
      </candidateList>
      <explain>文本全半角错误。</explain>
      <paraID>7CC871BF</paraID>
      <start>34</start>
      <end>35</end>
      <status>unmodified</status>
      <modifiedWord/>
      <trackRevisions>false</trackRevisions>
    </reviewItem>
    <reviewItem>
      <errorID>66e797d4-5d8d-49ff-906a-abea8d25741a</errorID>
      <errorWord>（</errorWord>
      <group>L1_Format</group>
      <groupName>格式问题</groupName>
      <ability>L2_HalfPunc</ability>
      <abilityName>全半角检查</abilityName>
      <candidateList>
        <item>(</item>
      </candidateList>
      <explain>文本全半角错误。</explain>
      <paraID>63CE85E3</paraID>
      <start>0</start>
      <end>1</end>
      <status>unmodified</status>
      <modifiedWord/>
      <trackRevisions>false</trackRevisions>
    </reviewItem>
    <reviewItem>
      <errorID>f8e47be3-7e78-4604-89dc-5fde76e6ea97</errorID>
      <errorWord>）</errorWord>
      <group>L1_Format</group>
      <groupName>格式问题</groupName>
      <ability>L2_HalfPunc</ability>
      <abilityName>全半角检查</abilityName>
      <candidateList>
        <item>)</item>
      </candidateList>
      <explain>文本全半角错误。</explain>
      <paraID>63CE85E3</paraID>
      <start>2</start>
      <end>3</end>
      <status>unmodified</status>
      <modifiedWord/>
      <trackRevisions>false</trackRevisions>
    </reviewItem>
    <reviewItem>
      <errorID>f35d4f63-1667-4347-a2bd-1b176c1f0d99</errorID>
      <errorWord>；</errorWord>
      <group>L1_Format</group>
      <groupName>格式问题</groupName>
      <ability>L2_HalfPunc</ability>
      <abilityName>全半角检查</abilityName>
      <candidateList>
        <item>;</item>
      </candidateList>
      <explain>文本全半角错误。</explain>
      <paraID>63CE85E3</paraID>
      <start>34</start>
      <end>35</end>
      <status>unmodified</status>
      <modifiedWord/>
      <trackRevisions>false</trackRevisions>
    </reviewItem>
    <reviewItem>
      <errorID>3064d106-0471-438d-b008-4939518abbea</errorID>
      <errorWord>报险</errorWord>
      <group>L1_Word</group>
      <groupName>字词问题</groupName>
      <ability>L2_Typo</ability>
      <abilityName>字词错误</abilityName>
      <candidateList>
        <item>保险</item>
      </candidateList>
      <explain/>
      <paraID>70CF2356</paraID>
      <start>10</start>
      <end>12</end>
      <status>unmodified</status>
      <modifiedWord/>
      <trackRevisions>false</trackRevisions>
    </reviewItem>
    <reviewItem>
      <errorID>b24df0e3-7a04-4492-8ae3-a8844caa67a5</errorID>
      <errorWord>)</errorWord>
      <group>L1_Format</group>
      <groupName>格式问题</groupName>
      <ability>L2_HalfPunc</ability>
      <abilityName>全半角检查</abilityName>
      <candidateList>
        <item>）</item>
      </candidateList>
      <explain>文本全半角错误。</explain>
      <paraID>40A1F167</paraID>
      <start>9</start>
      <end>10</end>
      <status>unmodified</status>
      <modifiedWord/>
      <trackRevisions>false</trackRevisions>
    </reviewItem>
    <reviewItem>
      <errorID>524f7ea4-5256-4fb7-8b05-9521146e6dfc</errorID>
      <errorWord>属</errorWord>
      <group>L1_Word</group>
      <groupName>字词问题</groupName>
      <ability>L2_Typo</ability>
      <abilityName>字词错误</abilityName>
      <candidateList>
        <item>属于</item>
      </candidateList>
      <explain/>
      <paraID>67416A6A</paraID>
      <start>43</start>
      <end>44</end>
      <status>unmodified</status>
      <modifiedWord/>
      <trackRevisions>false</trackRevisions>
    </reviewItem>
    <reviewItem>
      <errorID>cee2f1d0-6cd7-4da1-be44-f62e96da6589</errorID>
      <errorWord>)</errorWord>
      <group>L1_Format</group>
      <groupName>格式问题</groupName>
      <ability>L2_HalfPunc</ability>
      <abilityName>全半角检查</abilityName>
      <candidateList>
        <item>）</item>
      </candidateList>
      <explain>文本全半角错误。</explain>
      <paraID>68BF5A91</paraID>
      <start>10</start>
      <end>11</end>
      <status>unmodified</status>
      <modifiedWord/>
      <trackRevisions>false</trackRevisions>
    </reviewItem>
    <reviewItem>
      <errorID>e62b92fa-1ff2-4a3c-98ef-fdeeb158f4d7</errorID>
      <errorWord>(</errorWord>
      <group>L1_Format</group>
      <groupName>格式问题</groupName>
      <ability>L2_HalfPunc</ability>
      <abilityName>全半角检查</abilityName>
      <candidateList>
        <item>（</item>
      </candidateList>
      <explain>文本全半角错误。</explain>
      <paraID>5DE31991</paraID>
      <start>4</start>
      <end>5</end>
      <status>unmodified</status>
      <modifiedWord/>
      <trackRevisions>false</trackRevisions>
    </reviewItem>
    <reviewItem>
      <errorID>0fa03d2e-47e8-482d-8f51-fcd894d62cea</errorID>
      <errorWord>)</errorWord>
      <group>L1_Format</group>
      <groupName>格式问题</groupName>
      <ability>L2_HalfPunc</ability>
      <abilityName>全半角检查</abilityName>
      <candidateList>
        <item>）</item>
      </candidateList>
      <explain>文本全半角错误。</explain>
      <paraID>5DE31991</paraID>
      <start>6</start>
      <end>7</end>
      <status>unmodified</status>
      <modifiedWord/>
      <trackRevisions>false</trackRevisions>
    </reviewItem>
    <reviewItem>
      <errorID>dc8e8ad7-aa09-4629-b447-b096e7e207ff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7B52071B</paraID>
      <start>0</start>
      <end>3</end>
      <status>unmodified</status>
      <modifiedWord/>
      <trackRevisions>false</trackRevisions>
    </reviewItem>
    <reviewItem>
      <errorID>697690a7-0532-4227-8417-f4be46b4d0d3</errorID>
      <errorWord>(</errorWord>
      <group>L1_Format</group>
      <groupName>格式问题</groupName>
      <ability>L2_HalfPunc</ability>
      <abilityName>全半角检查</abilityName>
      <candidateList>
        <item>（</item>
      </candidateList>
      <explain>文本全半角错误。</explain>
      <paraID> A5F78E4</paraID>
      <start>7</start>
      <end>8</end>
      <status>unmodified</status>
      <modifiedWord/>
      <trackRevisions>false</trackRevisions>
    </reviewItem>
    <reviewItem>
      <errorID>8b5e650b-4cec-4e13-a991-7ff0b951dea5</errorID>
      <errorWord>)</errorWord>
      <group>L1_Format</group>
      <groupName>格式问题</groupName>
      <ability>L2_HalfPunc</ability>
      <abilityName>全半角检查</abilityName>
      <candidateList>
        <item>）</item>
      </candidateList>
      <explain>文本全半角错误。</explain>
      <paraID> A5F78E4</paraID>
      <start>9</start>
      <end>10</end>
      <status>unmodified</status>
      <modifiedWord/>
      <trackRevisions>false</trackRevisions>
    </reviewItem>
    <reviewItem>
      <errorID>f1cc29d6-4a11-4608-bc66-ce390186841b</errorID>
      <errorWord>(</errorWord>
      <group>L1_Format</group>
      <groupName>格式问题</groupName>
      <ability>L2_HalfPunc</ability>
      <abilityName>全半角检查</abilityName>
      <candidateList>
        <item>（</item>
      </candidateList>
      <explain>文本全半角错误。</explain>
      <paraID> A5F78E4</paraID>
      <start>12</start>
      <end>13</end>
      <status>unmodified</status>
      <modifiedWord/>
      <trackRevisions>false</trackRevisions>
    </reviewItem>
    <reviewItem>
      <errorID>0f49f9ee-f111-45be-a4ca-be0b8d79d745</errorID>
      <errorWord>)</errorWord>
      <group>L1_Format</group>
      <groupName>格式问题</groupName>
      <ability>L2_HalfPunc</ability>
      <abilityName>全半角检查</abilityName>
      <candidateList>
        <item>）</item>
      </candidateList>
      <explain>文本全半角错误。</explain>
      <paraID> A5F78E4</paraID>
      <start>14</start>
      <end>15</end>
      <status>unmodified</status>
      <modifiedWord/>
      <trackRevisions>false</trackRevisions>
    </reviewItem>
    <reviewItem>
      <errorID>3ef7eeee-e572-41f3-a3c3-7b920c3b874f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348453F6</paraID>
      <start>0</start>
      <end>3</end>
      <status>unmodified</status>
      <modifiedWord/>
      <trackRevisions>false</trackRevisions>
    </reviewItem>
    <reviewItem>
      <errorID>eb5dcf7d-0ff6-4916-9d9e-f5a98536a6c5</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7CC0F269</paraID>
      <start>0</start>
      <end>3</end>
      <status>unmodified</status>
      <modifiedWord/>
      <trackRevisions>false</trackRevisions>
    </reviewItem>
    <reviewItem>
      <errorID>26f71880-81e6-4d33-a5c5-0887b1479831</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5C2174AD</paraID>
      <start>0</start>
      <end>3</end>
      <status>unmodified</status>
      <modifiedWord/>
      <trackRevisions>false</trackRevisions>
    </reviewItem>
    <reviewItem>
      <errorID>8d421888-cc3d-4b7e-9b1e-d401aef2bb60</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150F75C7</paraID>
      <start>0</start>
      <end>3</end>
      <status>unmodified</status>
      <modifiedWord/>
      <trackRevisions>false</trackRevisions>
    </reviewItem>
    <reviewItem>
      <errorID>47f251f7-8be2-47a2-bad0-85420a8990c2</errorID>
      <errorWord>由</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39E5364C</paraID>
      <start>3</start>
      <end>4</end>
      <status>unmodified</status>
      <modifiedWord/>
      <trackRevisions>false</trackRevisions>
    </reviewItem>
    <reviewItem>
      <errorID>69289863-39dd-44fe-9c01-74739061d04c</errorID>
      <errorWord>导致使</errorWord>
      <group>L1_Word</group>
      <groupName>字词问题</groupName>
      <ability>L2_Typo</ability>
      <abilityName>字词错误</abilityName>
      <candidateList>
        <item>导致</item>
      </candidateList>
      <explain>〈动〉引起：由一些小的矛盾～双方关系破裂。</explain>
      <paraID>39E5364C</paraID>
      <start>11</start>
      <end>14</end>
      <status>unmodified</status>
      <modifiedWord/>
      <trackRevisions>false</trackRevisions>
    </reviewItem>
    <reviewItem>
      <errorID>c8ecf1cb-2d84-4d6b-be0c-f8a81e9271a5</errorID>
      <errorWord>价</errorWord>
      <group>L1_Word</group>
      <groupName>字词问题</groupName>
      <ability>L2_Typo</ability>
      <abilityName>字词错误</abilityName>
      <candidateList>
        <item>价格</item>
      </candidateList>
      <explain/>
      <paraID>6CF02950</paraID>
      <start>34</start>
      <end>35</end>
      <status>unmodified</status>
      <modifiedWord/>
      <trackRevisions>false</trackRevisions>
    </reviewItem>
    <reviewItem>
      <errorID>02143be6-2198-4655-8e5e-7a804619f30d</errorID>
      <errorWord>,</errorWord>
      <group>L1_Format</group>
      <groupName>格式问题</groupName>
      <ability>L2_HalfPunc</ability>
      <abilityName>全半角检查</abilityName>
      <candidateList>
        <item>，</item>
      </candidateList>
      <explain>文本全半角错误。</explain>
      <paraID>325BE000</paraID>
      <start>88</start>
      <end>89</end>
      <status>unmodified</status>
      <modifiedWord/>
      <trackRevisions>false</trackRevisions>
    </reviewItem>
    <reviewItem>
      <errorID>954bef6a-d091-4199-bc84-c9fd8e10d468</errorID>
      <errorWord>,</errorWord>
      <group>L1_Format</group>
      <groupName>格式问题</groupName>
      <ability>L2_HalfPunc</ability>
      <abilityName>全半角检查</abilityName>
      <candidateList>
        <item>，</item>
      </candidateList>
      <explain>文本全半角错误。</explain>
      <paraID>2E473505</paraID>
      <start>23</start>
      <end>24</end>
      <status>unmodified</status>
      <modifiedWord/>
      <trackRevisions>false</trackRevisions>
    </reviewItem>
    <reviewItem>
      <errorID>24a6c73e-dfc7-4e07-a510-aebcca7ebe33</errorID>
      <errorWord>,</errorWord>
      <group>L1_Format</group>
      <groupName>格式问题</groupName>
      <ability>L2_HalfPunc</ability>
      <abilityName>全半角检查</abilityName>
      <candidateList>
        <item>，</item>
      </candidateList>
      <explain>文本全半角错误。</explain>
      <paraID>2E473505</paraID>
      <start>77</start>
      <end>78</end>
      <status>unmodified</status>
      <modifiedWord/>
      <trackRevisions>false</trackRevisions>
    </reviewItem>
    <reviewItem>
      <errorID>f03b07cd-50e8-4ed2-b208-fc8a09dad1d2</errorID>
      <errorWord>,</errorWord>
      <group>L1_Format</group>
      <groupName>格式问题</groupName>
      <ability>L2_HalfPunc</ability>
      <abilityName>全半角检查</abilityName>
      <candidateList>
        <item>，</item>
      </candidateList>
      <explain>文本全半角错误。</explain>
      <paraID>2E473505</paraID>
      <start>154</start>
      <end>155</end>
      <status>unmodified</status>
      <modifiedWord/>
      <trackRevisions>false</trackRevisions>
    </reviewItem>
    <reviewItem>
      <errorID>bec101de-9e99-4eef-b1ff-ad9650834772</errorID>
      <errorWord>,</errorWord>
      <group>L1_Format</group>
      <groupName>格式问题</groupName>
      <ability>L2_HalfPunc</ability>
      <abilityName>全半角检查</abilityName>
      <candidateList>
        <item>，</item>
      </candidateList>
      <explain>文本全半角错误。</explain>
      <paraID>724E416F</paraID>
      <start>29</start>
      <end>30</end>
      <status>unmodified</status>
      <modifiedWord/>
      <trackRevisions>false</trackRevisions>
    </reviewItem>
    <reviewItem>
      <errorID>cdc3f627-839d-4752-92db-1abff22c1308</errorID>
      <errorWord>,</errorWord>
      <group>L1_Format</group>
      <groupName>格式问题</groupName>
      <ability>L2_HalfPunc</ability>
      <abilityName>全半角检查</abilityName>
      <candidateList>
        <item>，</item>
      </candidateList>
      <explain>文本全半角错误。</explain>
      <paraID>729FF098</paraID>
      <start>16</start>
      <end>17</end>
      <status>unmodified</status>
      <modifiedWord/>
      <trackRevisions>false</trackRevisions>
    </reviewItem>
    <reviewItem>
      <errorID>77dc0b4d-1c36-4f9e-9df6-a8a823ba80b6</errorID>
      <errorWord>,</errorWord>
      <group>L1_Format</group>
      <groupName>格式问题</groupName>
      <ability>L2_HalfPunc</ability>
      <abilityName>全半角检查</abilityName>
      <candidateList>
        <item>，</item>
      </candidateList>
      <explain>文本全半角错误。</explain>
      <paraID>5480E408</paraID>
      <start>20</start>
      <end>21</end>
      <status>unmodified</status>
      <modifiedWord/>
      <trackRevisions>false</trackRevisions>
    </reviewItem>
    <reviewItem>
      <errorID>3e0a5519-ac45-4122-9b62-8588fe8706da</errorID>
      <errorWord>,</errorWord>
      <group>L1_Format</group>
      <groupName>格式问题</groupName>
      <ability>L2_HalfPunc</ability>
      <abilityName>全半角检查</abilityName>
      <candidateList>
        <item>，</item>
      </candidateList>
      <explain>文本全半角错误。</explain>
      <paraID>5480E408</paraID>
      <start>41</start>
      <end>42</end>
      <status>unmodified</status>
      <modifiedWord/>
      <trackRevisions>false</trackRevisions>
    </reviewItem>
    <reviewItem>
      <errorID>5623bcbf-ebf9-4d6f-916a-c3ea96578b5f</errorID>
      <errorWord>,</errorWord>
      <group>L1_Format</group>
      <groupName>格式问题</groupName>
      <ability>L2_HalfPunc</ability>
      <abilityName>全半角检查</abilityName>
      <candidateList>
        <item>，</item>
      </candidateList>
      <explain>文本全半角错误。</explain>
      <paraID>5480E408</paraID>
      <start>48</start>
      <end>49</end>
      <status>unmodified</status>
      <modifiedWord/>
      <trackRevisions>false</trackRevisions>
    </reviewItem>
    <reviewItem>
      <errorID>47e3da92-cc0f-4c24-8324-fb8155c59307</errorID>
      <errorWord>台帐管理</errorWord>
      <group>L1_Word</group>
      <groupName>字词问题</groupName>
      <ability>L2_Alias</ability>
      <abilityName>也作/曾用词</abilityName>
      <candidateList>
        <item>台账管理</item>
      </candidateList>
      <explain>词汇[台帐管理]为不规范表述或旧称，其规范书面表述为[台账管理]。</explain>
      <paraID>1C50C824</paraID>
      <start>32</start>
      <end>36</end>
      <status>unmodified</status>
      <modifiedWord/>
      <trackRevisions>false</trackRevisions>
    </reviewItem>
    <reviewItem>
      <errorID>37eed4d6-bf04-42df-9261-51602ffb0c8a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2D4985FB</paraID>
      <start>71</start>
      <end>72</end>
      <status>unmodified</status>
      <modifiedWord/>
      <trackRevisions>false</trackRevisions>
    </reviewItem>
    <reviewItem>
      <errorID>6fbd734e-1bcf-4171-8375-c2a6b96c9a99</errorID>
      <errorWord>》</errorWord>
      <group>L1_Word</group>
      <groupName>字词问题</groupName>
      <ability>L2_Typo</ability>
      <abilityName>字词错误</abilityName>
      <candidateList>
        <item>》等</item>
      </candidateList>
      <explain/>
      <paraID>754DDD24</paraID>
      <start>83</start>
      <end>84</end>
      <status>unmodified</status>
      <modifiedWord/>
      <trackRevisions>false</trackRevisions>
    </reviewItem>
    <reviewItem>
      <errorID>81906cd3-ac2d-4bad-bd9f-d98841688997</errorID>
      <errorWord>(</errorWord>
      <group>L1_Format</group>
      <groupName>格式问题</groupName>
      <ability>L2_HalfPunc</ability>
      <abilityName>全半角检查</abilityName>
      <candidateList>
        <item>（</item>
      </candidateList>
      <explain>文本全半角错误。</explain>
      <paraID>754DDD24</paraID>
      <start>101</start>
      <end>102</end>
      <status>unmodified</status>
      <modifiedWord/>
      <trackRevisions>false</trackRevisions>
    </reviewItem>
    <reviewItem>
      <errorID>0adeb2ab-93ef-4c3f-8da6-b2d4f85bca31</errorID>
      <errorWord>)</errorWord>
      <group>L1_Format</group>
      <groupName>格式问题</groupName>
      <ability>L2_HalfPunc</ability>
      <abilityName>全半角检查</abilityName>
      <candidateList>
        <item>）</item>
      </candidateList>
      <explain>文本全半角错误。</explain>
      <paraID>754DDD24</paraID>
      <start>106</start>
      <end>107</end>
      <status>unmodified</status>
      <modifiedWord/>
      <trackRevisions>false</trackRevisions>
    </reviewItem>
    <reviewItem>
      <errorID>a1f22bb2-a853-4b71-ae53-741aaea58a1b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2910B7B1</paraID>
      <start>0</start>
      <end>3</end>
      <status>unmodified</status>
      <modifiedWord/>
      <trackRevisions>false</trackRevisions>
    </reviewItem>
    <reviewItem>
      <errorID>5fb19af3-7485-42fa-8094-3758704539fe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11B0849F</paraID>
      <start>0</start>
      <end>3</end>
      <status>unmodified</status>
      <modifiedWord/>
      <trackRevisions>false</trackRevisions>
    </reviewItem>
    <reviewItem>
      <errorID>c2092017-14f0-4c82-89d3-8fd592f0af70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7257A353</paraID>
      <start>0</start>
      <end>3</end>
      <status>unmodified</status>
      <modifiedWord/>
      <trackRevisions>false</trackRevisions>
    </reviewItem>
    <reviewItem>
      <errorID>cff8abca-4f08-43e4-806d-ba72cc4ac640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34C1FB30</paraID>
      <start>0</start>
      <end>3</end>
      <status>unmodified</status>
      <modifiedWord/>
      <trackRevisions>false</trackRevisions>
    </reviewItem>
    <reviewItem>
      <errorID>43f456db-5b18-48c7-847b-31d5ce7d9f3a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5A64A3D4</paraID>
      <start>0</start>
      <end>3</end>
      <status>unmodified</status>
      <modifiedWord/>
      <trackRevisions>false</trackRevisions>
    </reviewItem>
    <reviewItem>
      <errorID>cf3a8ddd-64fe-4991-9ff3-139ad78c26d7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73A8E7BF</paraID>
      <start>0</start>
      <end>3</end>
      <status>unmodified</status>
      <modifiedWord/>
      <trackRevisions>false</trackRevisions>
    </reviewItem>
    <reviewItem>
      <errorID>c26ac081-b798-4f5f-9228-ebd1ce761d28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464C8E11</paraID>
      <start>0</start>
      <end>3</end>
      <status>unmodified</status>
      <modifiedWord/>
      <trackRevisions>false</trackRevisions>
    </reviewItem>
    <reviewItem>
      <errorID>71013800-0237-4c6f-83ba-4909e8395a76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661284FA</paraID>
      <start>0</start>
      <end>3</end>
      <status>unmodified</status>
      <modifiedWord/>
      <trackRevisions>false</trackRevisions>
    </reviewItem>
    <reviewItem>
      <errorID>3916b3b0-584e-4ea5-822d-4fd1aa812d3f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1A98EFE7</paraID>
      <start>0</start>
      <end>3</end>
      <status>unmodified</status>
      <modifiedWord/>
      <trackRevisions>false</trackRevisions>
    </reviewItem>
    <reviewItem>
      <errorID>aa7dc535-29a7-4527-bc8c-f7f81bb253ca</errorID>
      <errorWord>安全再</errorWord>
      <group>L1_Word</group>
      <groupName>字词问题</groupName>
      <ability>L2_Typo</ability>
      <abilityName>字词错误</abilityName>
      <candidateList>
        <item>安全</item>
      </candidateList>
      <explain>〈形〉没有危险；不受威胁；不出事故：～操作｜～地带｜注意交通～。</explain>
      <paraID>34B118C9</paraID>
      <start>8</start>
      <end>11</end>
      <status>unmodified</status>
      <modifiedWord/>
      <trackRevisions>false</trackRevisions>
    </reviewItem>
    <reviewItem>
      <errorID>58ed7e86-ee71-4c1b-aff4-4aa8642d83bb</errorID>
      <errorWord>提高</errorWord>
      <group>L1_Word</group>
      <groupName>字词问题</groupName>
      <ability>L2_Typo</ability>
      <abilityName>字词错误</abilityName>
      <candidateList>
        <item>增强</item>
      </candidateList>
      <explain>“提高～意识”搭配不当，建议修改为“增强～意识”。</explain>
      <paraID>34B118C9</paraID>
      <start>14</start>
      <end>16</end>
      <status>unmodified</status>
      <modifiedWord/>
      <trackRevisions>false</trackRevisions>
    </reviewItem>
    <reviewItem>
      <errorID>f11e69d9-ebf3-4860-a471-6a43a546869b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4FFD3F2</paraID>
      <start>0</start>
      <end>3</end>
      <status>unmodified</status>
      <modifiedWord/>
      <trackRevisions>false</trackRevisions>
    </reviewItem>
    <reviewItem>
      <errorID>518d9346-e24d-497d-a83c-39823aef627c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2D8100A4</paraID>
      <start>0</start>
      <end>3</end>
      <status>unmodified</status>
      <modifiedWord/>
      <trackRevisions>false</trackRevisions>
    </reviewItem>
    <reviewItem>
      <errorID>2bc63180-4fad-4ca7-b493-e0f87c18aaae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A7FCC60</paraID>
      <start>0</start>
      <end>3</end>
      <status>unmodified</status>
      <modifiedWord/>
      <trackRevisions>false</trackRevisions>
    </reviewItem>
    <reviewItem>
      <errorID>aacedea6-e79a-482a-a270-2cf1cb46b312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17EB67E2</paraID>
      <start>0</start>
      <end>3</end>
      <status>unmodified</status>
      <modifiedWord/>
      <trackRevisions>false</trackRevisions>
    </reviewItem>
    <reviewItem>
      <errorID>8f76292c-050e-4b0f-8718-681e6e973c73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6B90EB42</paraID>
      <start>0</start>
      <end>4</end>
      <status>unmodified</status>
      <modifiedWord/>
      <trackRevisions>false</trackRevisions>
    </reviewItem>
    <reviewItem>
      <errorID>862d3581-cbb6-4ceb-ac4e-04318b1702ba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1ED72F17</paraID>
      <start>0</start>
      <end>4</end>
      <status>unmodified</status>
      <modifiedWord/>
      <trackRevisions>false</trackRevisions>
    </reviewItem>
    <reviewItem>
      <errorID>9f7db6ba-6906-4564-9bca-fcec07de028a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89B67D0</paraID>
      <start>0</start>
      <end>4</end>
      <status>unmodified</status>
      <modifiedWord/>
      <trackRevisions>false</trackRevisions>
    </reviewItem>
    <reviewItem>
      <errorID>9779b675-943e-4b3c-b8c9-4e1c53a3f518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405D0E66</paraID>
      <start>0</start>
      <end>4</end>
      <status>unmodified</status>
      <modifiedWord/>
      <trackRevisions>false</trackRevisions>
    </reviewItem>
    <reviewItem>
      <errorID>259f6224-1b8c-4459-8812-c4df10e22e78</errorID>
      <errorWord>位</errorWord>
      <group>L1_Word</group>
      <groupName>字词问题</groupName>
      <ability>L2_Typo</ability>
      <abilityName>字词错误</abilityName>
      <candidateList>
        <item>位公</item>
      </candidateList>
      <explain/>
      <paraID>25CC4DAA</paraID>
      <start>27</start>
      <end>28</end>
      <status>unmodified</status>
      <modifiedWord/>
      <trackRevisions>false</trackRevisions>
    </reviewItem>
    <reviewItem>
      <errorID>df1cde1c-8c51-4af6-9192-865493cbcd9b</errorID>
      <errorWord>(</errorWord>
      <group>L1_Format</group>
      <groupName>格式问题</groupName>
      <ability>L2_HalfPunc</ability>
      <abilityName>全半角检查</abilityName>
      <candidateList>
        <item>（</item>
      </candidateList>
      <explain>文本全半角错误。</explain>
      <paraID>457EFEC8</paraID>
      <start>22</start>
      <end>23</end>
      <status>unmodified</status>
      <modifiedWord/>
      <trackRevisions>false</trackRevisions>
    </reviewItem>
    <reviewItem>
      <errorID>32856c10-1bb1-41aa-93e3-e3c4f6cee5b2</errorID>
      <errorWord>)</errorWord>
      <group>L1_Format</group>
      <groupName>格式问题</groupName>
      <ability>L2_HalfPunc</ability>
      <abilityName>全半角检查</abilityName>
      <candidateList>
        <item>）</item>
      </candidateList>
      <explain>文本全半角错误。</explain>
      <paraID>457EFEC8</paraID>
      <start>27</start>
      <end>28</end>
      <status>unmodified</status>
      <modifiedWord/>
      <trackRevisions>false</trackRevisions>
    </reviewItem>
    <reviewItem>
      <errorID>5e384c3a-04fa-415c-b9da-7e03173a07f5</errorID>
      <errorWord>(</errorWord>
      <group>L1_Format</group>
      <groupName>格式问题</groupName>
      <ability>L2_HalfPunc</ability>
      <abilityName>全半角检查</abilityName>
      <candidateList>
        <item>（</item>
      </candidateList>
      <explain>文本全半角错误。</explain>
      <paraID>457EFEC8</paraID>
      <start>53</start>
      <end>54</end>
      <status>unmodified</status>
      <modifiedWord/>
      <trackRevisions>false</trackRevisions>
    </reviewItem>
    <reviewItem>
      <errorID>5d73485b-1687-4aff-8296-3ce85b325793</errorID>
      <errorWord>)</errorWord>
      <group>L1_Format</group>
      <groupName>格式问题</groupName>
      <ability>L2_HalfPunc</ability>
      <abilityName>全半角检查</abilityName>
      <candidateList>
        <item>）</item>
      </candidateList>
      <explain>文本全半角错误。</explain>
      <paraID>457EFEC8</paraID>
      <start>58</start>
      <end>59</end>
      <status>unmodified</status>
      <modifiedWord/>
      <trackRevisions>false</trackRevisions>
    </reviewItem>
    <reviewItem>
      <errorID>fa37becf-6bf3-43ee-83f5-9b996965895b</errorID>
      <errorWord>(</errorWord>
      <group>L1_Format</group>
      <groupName>格式问题</groupName>
      <ability>L2_HalfPunc</ability>
      <abilityName>全半角检查</abilityName>
      <candidateList>
        <item>（</item>
      </candidateList>
      <explain>文本全半角错误。</explain>
      <paraID>6FF07ED4</paraID>
      <start>19</start>
      <end>20</end>
      <status>unmodified</status>
      <modifiedWord/>
      <trackRevisions>false</trackRevisions>
    </reviewItem>
    <reviewItem>
      <errorID>c56033fb-cb77-4989-bfae-89db1359474a</errorID>
      <errorWord>)</errorWord>
      <group>L1_Format</group>
      <groupName>格式问题</groupName>
      <ability>L2_HalfPunc</ability>
      <abilityName>全半角检查</abilityName>
      <candidateList>
        <item>）</item>
      </candidateList>
      <explain>文本全半角错误。</explain>
      <paraID>6FF07ED4</paraID>
      <start>22</start>
      <end>23</end>
      <status>unmodified</status>
      <modifiedWord/>
      <trackRevisions>false</trackRevisions>
    </reviewItem>
    <reviewItem>
      <errorID>0e779e5c-e345-47a9-8672-bc24bd7e6c96</errorID>
      <errorWord>(</errorWord>
      <group>L1_Format</group>
      <groupName>格式问题</groupName>
      <ability>L2_HalfPunc</ability>
      <abilityName>全半角检查</abilityName>
      <candidateList>
        <item>（</item>
      </candidateList>
      <explain>文本全半角错误。</explain>
      <paraID>6FF07ED4</paraID>
      <start>44</start>
      <end>45</end>
      <status>unmodified</status>
      <modifiedWord/>
      <trackRevisions>false</trackRevisions>
    </reviewItem>
    <reviewItem>
      <errorID>ff89b02f-b5e2-42dd-8aaa-d4512de96283</errorID>
      <errorWord>)</errorWord>
      <group>L1_Format</group>
      <groupName>格式问题</groupName>
      <ability>L2_HalfPunc</ability>
      <abilityName>全半角检查</abilityName>
      <candidateList>
        <item>）</item>
      </candidateList>
      <explain>文本全半角错误。</explain>
      <paraID>6FF07ED4</paraID>
      <start>47</start>
      <end>48</end>
      <status>unmodified</status>
      <modifiedWord/>
      <trackRevisions>false</trackRevisions>
    </reviewItem>
    <reviewItem>
      <errorID>f9f01400-13e9-4605-ac4d-1d19459d330c</errorID>
      <errorWord>人</errorWord>
      <group>L1_Word</group>
      <groupName>字词问题</groupName>
      <ability>L2_Typo</ability>
      <abilityName>字词错误</abilityName>
      <candidateList>
        <item>人员</item>
      </candidateList>
      <explain>〈名〉担任某种职务的人：机关工作～｜值班～｜～配备。</explain>
      <paraID>36BB9DE6</paraID>
      <start>6</start>
      <end>7</end>
      <status>unmodified</status>
      <modifiedWord/>
      <trackRevisions>false</trackRevisions>
    </reviewItem>
    <reviewItem>
      <errorID>239b7cf7-fc46-4b17-99bc-3521076503e5</errorID>
      <errorWord>人</errorWord>
      <group>L1_Word</group>
      <groupName>字词问题</groupName>
      <ability>L2_Typo</ability>
      <abilityName>字词错误</abilityName>
      <candidateList>
        <item>人员</item>
      </candidateList>
      <explain>〈名〉担任某种职务的人：机关工作～｜值班～｜～配备。</explain>
      <paraID>3014B4AB</paraID>
      <start>5</start>
      <end>6</end>
      <status>unmodified</status>
      <modifiedWord/>
      <trackRevisions>false</trackRevisions>
    </reviewItem>
    <reviewItem>
      <errorID>7da82b31-9e34-43f2-845b-4ef7223b7288</errorID>
      <errorWord>（</errorWord>
      <group>L1_Format</group>
      <groupName>格式问题</groupName>
      <ability>L2_HalfPunc</ability>
      <abilityName>全半角检查</abilityName>
      <candidateList>
        <item>(</item>
      </candidateList>
      <explain>文本全半角错误。</explain>
      <paraID>1FCEA18C</paraID>
      <start>5</start>
      <end>6</end>
      <status>unmodified</status>
      <modifiedWord/>
      <trackRevisions>false</trackRevisions>
    </reviewItem>
    <reviewItem>
      <errorID>2cf69e86-3392-4ea6-862a-035f877aa995</errorID>
      <errorWord>）</errorWord>
      <group>L1_Format</group>
      <groupName>格式问题</groupName>
      <ability>L2_HalfPunc</ability>
      <abilityName>全半角检查</abilityName>
      <candidateList>
        <item>)</item>
      </candidateList>
      <explain>文本全半角错误。</explain>
      <paraID>1FCEA18C</paraID>
      <start>7</start>
      <end>8</end>
      <status>unmodified</status>
      <modifiedWord/>
      <trackRevisions>false</trackRevisions>
    </reviewItem>
    <reviewItem>
      <errorID>ac83679b-8c99-484a-bb45-4c58ff0821d9</errorID>
      <errorWord>以</errorWord>
      <group>L1_Word</group>
      <groupName>字词问题</groupName>
      <ability>L2_Typo</ability>
      <abilityName>字词错误</abilityName>
      <candidateList>
        <item>以上</item>
      </candidateList>
      <explain/>
      <paraID>60C0BC3F</paraID>
      <start>10</start>
      <end>11</end>
      <status>unmodified</status>
      <modifiedWord/>
      <trackRevisions>false</trackRevisions>
    </reviewItem>
    <reviewItem>
      <errorID>dce06a6a-aa32-4e96-9b46-5c2ab239b26b</errorID>
      <errorWord>以</errorWord>
      <group>L1_Word</group>
      <groupName>字词问题</groupName>
      <ability>L2_Typo</ability>
      <abilityName>字词错误</abilityName>
      <candidateList>
        <item>以上</item>
      </candidateList>
      <explain/>
      <paraID>2F71A829</paraID>
      <start>9</start>
      <end>10</end>
      <status>unmodified</status>
      <modifiedWord/>
      <trackRevisions>false</trackRevisions>
    </reviewItem>
    <reviewItem>
      <errorID>e8c452dd-8785-4daa-a47d-15d4c0ea5ca3</errorID>
      <errorWord>（</errorWord>
      <group>L1_Format</group>
      <groupName>格式问题</groupName>
      <ability>L2_HalfPunc</ability>
      <abilityName>全半角检查</abilityName>
      <candidateList>
        <item>(</item>
      </candidateList>
      <explain>文本全半角错误。</explain>
      <paraID> 5F6064A</paraID>
      <start>5</start>
      <end>6</end>
      <status>unmodified</status>
      <modifiedWord/>
      <trackRevisions>false</trackRevisions>
    </reviewItem>
    <reviewItem>
      <errorID>ab97e178-cb8c-4bce-8925-62d0f1bbdb49</errorID>
      <errorWord>）</errorWord>
      <group>L1_Format</group>
      <groupName>格式问题</groupName>
      <ability>L2_HalfPunc</ability>
      <abilityName>全半角检查</abilityName>
      <candidateList>
        <item>)</item>
      </candidateList>
      <explain>文本全半角错误。</explain>
      <paraID> 5F6064A</paraID>
      <start>7</start>
      <end>8</end>
      <status>unmodified</status>
      <modifiedWord/>
      <trackRevisions>false</trackRevisions>
    </reviewItem>
    <reviewItem>
      <errorID>af0341b9-1560-4612-9b20-19994cc84320</errorID>
      <errorWord>（</errorWord>
      <group>L1_Format</group>
      <groupName>格式问题</groupName>
      <ability>L2_HalfPunc</ability>
      <abilityName>全半角检查</abilityName>
      <candidateList>
        <item>(</item>
      </candidateList>
      <explain>文本全半角错误。</explain>
      <paraID>2EE39B0F</paraID>
      <start>5</start>
      <end>6</end>
      <status>unmodified</status>
      <modifiedWord/>
      <trackRevisions>false</trackRevisions>
    </reviewItem>
    <reviewItem>
      <errorID>617c3622-77ba-40d0-8f27-f471821d6173</errorID>
      <errorWord>）</errorWord>
      <group>L1_Format</group>
      <groupName>格式问题</groupName>
      <ability>L2_HalfPunc</ability>
      <abilityName>全半角检查</abilityName>
      <candidateList>
        <item>)</item>
      </candidateList>
      <explain>文本全半角错误。</explain>
      <paraID>2EE39B0F</paraID>
      <start>7</start>
      <end>8</end>
      <status>unmodified</status>
      <modifiedWord/>
      <trackRevisions>false</trackRevisions>
    </reviewItem>
    <reviewItem>
      <errorID>66dc4212-f73d-471f-9814-cb2cb24c2ddf</errorID>
      <errorWord>（</errorWord>
      <group>L1_Format</group>
      <groupName>格式问题</groupName>
      <ability>L2_HalfPunc</ability>
      <abilityName>全半角检查</abilityName>
      <candidateList>
        <item>(</item>
      </candidateList>
      <explain>文本全半角错误。</explain>
      <paraID>74BFF00B</paraID>
      <start>5</start>
      <end>6</end>
      <status>unmodified</status>
      <modifiedWord/>
      <trackRevisions>false</trackRevisions>
    </reviewItem>
    <reviewItem>
      <errorID>084a5929-b560-4782-996b-06044c01d290</errorID>
      <errorWord>）</errorWord>
      <group>L1_Format</group>
      <groupName>格式问题</groupName>
      <ability>L2_HalfPunc</ability>
      <abilityName>全半角检查</abilityName>
      <candidateList>
        <item>)</item>
      </candidateList>
      <explain>文本全半角错误。</explain>
      <paraID>74BFF00B</paraID>
      <start>7</start>
      <end>8</end>
      <status>unmodified</status>
      <modifiedWord/>
      <trackRevisions>false</trackRevisions>
    </reviewItem>
    <reviewItem>
      <errorID>08cd3330-66da-4ac8-b003-9a6b4e40c980</errorID>
      <errorWord>（</errorWord>
      <group>L1_Format</group>
      <groupName>格式问题</groupName>
      <ability>L2_HalfPunc</ability>
      <abilityName>全半角检查</abilityName>
      <candidateList>
        <item>(</item>
      </candidateList>
      <explain>文本全半角错误。</explain>
      <paraID>1A467202</paraID>
      <start>5</start>
      <end>6</end>
      <status>unmodified</status>
      <modifiedWord/>
      <trackRevisions>false</trackRevisions>
    </reviewItem>
    <reviewItem>
      <errorID>849e7f0d-4b46-4d00-a7a5-5d479b7c35bb</errorID>
      <errorWord>）</errorWord>
      <group>L1_Format</group>
      <groupName>格式问题</groupName>
      <ability>L2_HalfPunc</ability>
      <abilityName>全半角检查</abilityName>
      <candidateList>
        <item>)</item>
      </candidateList>
      <explain>文本全半角错误。</explain>
      <paraID>1A467202</paraID>
      <start>7</start>
      <end>8</end>
      <status>unmodified</status>
      <modifiedWord/>
      <trackRevisions>false</trackRevisions>
    </reviewItem>
    <reviewItem>
      <errorID>cf6c1a9c-2d3c-4275-ab4c-c319fc4b92c5</errorID>
      <errorWord>（</errorWord>
      <group>L1_Format</group>
      <groupName>格式问题</groupName>
      <ability>L2_HalfPunc</ability>
      <abilityName>全半角检查</abilityName>
      <candidateList>
        <item>(</item>
      </candidateList>
      <explain>文本全半角错误。</explain>
      <paraID>7932069F</paraID>
      <start>5</start>
      <end>6</end>
      <status>unmodified</status>
      <modifiedWord/>
      <trackRevisions>false</trackRevisions>
    </reviewItem>
    <reviewItem>
      <errorID>7c25f8e9-1e93-4d5d-b3d1-ec7f79a547bc</errorID>
      <errorWord>）</errorWord>
      <group>L1_Format</group>
      <groupName>格式问题</groupName>
      <ability>L2_HalfPunc</ability>
      <abilityName>全半角检查</abilityName>
      <candidateList>
        <item>)</item>
      </candidateList>
      <explain>文本全半角错误。</explain>
      <paraID>7932069F</paraID>
      <start>7</start>
      <end>8</end>
      <status>unmodified</status>
      <modifiedWord/>
      <trackRevisions>false</trackRevisions>
    </reviewItem>
    <reviewItem>
      <errorID>0772349a-e2c3-4b3b-acfd-7df0b5e7d200</errorID>
      <errorWord>万</errorWord>
      <group>L1_Word</group>
      <groupName>字词问题</groupName>
      <ability>L2_Typo</ability>
      <abilityName>字词错误</abilityName>
      <candidateList>
        <item>万元</item>
      </candidateList>
      <explain/>
      <paraID>690C0374</paraID>
      <start>94</start>
      <end>95</end>
      <status>unmodified</status>
      <modifiedWord/>
      <trackRevisions>false</trackRevisions>
    </reviewItem>
    <reviewItem>
      <errorID>ba4b3e3a-8b5a-415c-96c0-370598d3942d</errorID>
      <errorWord>（</errorWord>
      <group>L1_Format</group>
      <groupName>格式问题</groupName>
      <ability>L2_HalfPunc</ability>
      <abilityName>全半角检查</abilityName>
      <candidateList>
        <item>(</item>
      </candidateList>
      <explain>文本全半角错误。</explain>
      <paraID>1D7B8A0D</paraID>
      <start>5</start>
      <end>6</end>
      <status>unmodified</status>
      <modifiedWord/>
      <trackRevisions>false</trackRevisions>
    </reviewItem>
    <reviewItem>
      <errorID>f2790544-2e70-4ef4-8d6f-44ecfbcfce60</errorID>
      <errorWord>）</errorWord>
      <group>L1_Format</group>
      <groupName>格式问题</groupName>
      <ability>L2_HalfPunc</ability>
      <abilityName>全半角检查</abilityName>
      <candidateList>
        <item>)</item>
      </candidateList>
      <explain>文本全半角错误。</explain>
      <paraID>1D7B8A0D</paraID>
      <start>7</start>
      <end>8</end>
      <status>unmodified</status>
      <modifiedWord/>
      <trackRevisions>false</trackRevisions>
    </reviewItem>
    <reviewItem>
      <errorID>07e3b4ff-be9b-47de-b6c1-4fb30035b838</errorID>
      <errorWord>（</errorWord>
      <group>L1_Format</group>
      <groupName>格式问题</groupName>
      <ability>L2_HalfPunc</ability>
      <abilityName>全半角检查</abilityName>
      <candidateList>
        <item>(</item>
      </candidateList>
      <explain>文本全半角错误。</explain>
      <paraID>5C460389</paraID>
      <start>4</start>
      <end>5</end>
      <status>unmodified</status>
      <modifiedWord/>
      <trackRevisions>false</trackRevisions>
    </reviewItem>
    <reviewItem>
      <errorID>d1465eca-50b7-4d25-9e5b-c99a1b789428</errorID>
      <errorWord>）</errorWord>
      <group>L1_Format</group>
      <groupName>格式问题</groupName>
      <ability>L2_HalfPunc</ability>
      <abilityName>全半角检查</abilityName>
      <candidateList>
        <item>)</item>
      </candidateList>
      <explain>文本全半角错误。</explain>
      <paraID>5C460389</paraID>
      <start>6</start>
      <end>7</end>
      <status>unmodified</status>
      <modifiedWord/>
      <trackRevisions>false</trackRevisions>
    </reviewItem>
    <reviewItem>
      <errorID>07720ec5-3cc3-4230-96bd-5dbef19343b3</errorID>
      <errorWord>内</errorWord>
      <group>L1_Word</group>
      <groupName>字词问题</groupName>
      <ability>L2_Typo</ability>
      <abilityName>字词错误</abilityName>
      <candidateList>
        <item>内容</item>
      </candidateList>
      <explain>〈名〉事物内部所含的实质或存在的情况：这次谈话的～牵涉的面很广｜这个刊物～丰富。</explain>
      <paraID>31172DB7</paraID>
      <start>4</start>
      <end>5</end>
      <status>unmodified</status>
      <modifiedWord/>
      <trackRevisions>false</trackRevisions>
    </reviewItem>
    <reviewItem>
      <errorID>f5baad6d-7522-488e-842a-1bc29c9d6dd4</errorID>
      <errorWord>计</errorWord>
      <group>L1_Word</group>
      <groupName>字词问题</groupName>
      <ability>L2_Typo</ability>
      <abilityName>字词错误</abilityName>
      <candidateList>
        <item>计算</item>
      </candidateList>
      <explain/>
      <paraID>1757652B</paraID>
      <start>2</start>
      <end>3</end>
      <status>unmodified</status>
      <modifiedWord/>
      <trackRevisions>false</trackRevisions>
    </reviewItem>
    <reviewItem>
      <errorID>28635b95-c82d-48d9-9973-1094b755f26c</errorID>
      <errorWord>计</errorWord>
      <group>L1_Word</group>
      <groupName>字词问题</groupName>
      <ability>L2_Typo</ability>
      <abilityName>字词错误</abilityName>
      <candidateList>
        <item>计算</item>
      </candidateList>
      <explain/>
      <paraID>38AB5DC5</paraID>
      <start>2</start>
      <end>3</end>
      <status>unmodified</status>
      <modifiedWord/>
      <trackRevisions>false</trackRevisions>
    </reviewItem>
    <reviewItem>
      <errorID>ba1e2e93-eae1-4491-8b6a-cb804db2f781</errorID>
      <errorWord>（</errorWord>
      <group>L1_Format</group>
      <groupName>格式问题</groupName>
      <ability>L2_HalfPunc</ability>
      <abilityName>全半角检查</abilityName>
      <candidateList>
        <item>(</item>
      </candidateList>
      <explain>文本全半角错误。</explain>
      <paraID>7470625D</paraID>
      <start>5</start>
      <end>6</end>
      <status>unmodified</status>
      <modifiedWord/>
      <trackRevisions>false</trackRevisions>
    </reviewItem>
    <reviewItem>
      <errorID>46858a48-5845-4fd7-8c46-6e1851e90081</errorID>
      <errorWord>）</errorWord>
      <group>L1_Format</group>
      <groupName>格式问题</groupName>
      <ability>L2_HalfPunc</ability>
      <abilityName>全半角检查</abilityName>
      <candidateList>
        <item>)</item>
      </candidateList>
      <explain>文本全半角错误。</explain>
      <paraID>7470625D</paraID>
      <start>7</start>
      <end>8</end>
      <status>unmodified</status>
      <modifiedWord/>
      <trackRevisions>false</trackRevisions>
    </reviewItem>
    <reviewItem>
      <errorID>82167273-24ac-4e4e-bd31-96f29203763d</errorID>
      <errorWord>II</errorWord>
      <group>L1_Knowledge</group>
      <groupName>知识性问题</groupName>
      <ability>L2_Knowledge</ability>
      <abilityName>其他知识</abilityName>
      <candidateList>
        <item>Ⅱ</item>
      </candidateList>
      <explain/>
      <paraID>7C178086</paraID>
      <start>9</start>
      <end>11</end>
      <status>unmodified</status>
      <modifiedWord/>
      <trackRevisions>false</trackRevisions>
    </reviewItem>
    <reviewItem>
      <errorID>d530fc41-cf59-4673-888d-3ec0e6c34ead</errorID>
      <errorWord>（</errorWord>
      <group>L1_Format</group>
      <groupName>格式问题</groupName>
      <ability>L2_HalfPunc</ability>
      <abilityName>全半角检查</abilityName>
      <candidateList>
        <item>(</item>
      </candidateList>
      <explain>文本全半角错误。</explain>
      <paraID>66690CD3</paraID>
      <start>5</start>
      <end>6</end>
      <status>unmodified</status>
      <modifiedWord/>
      <trackRevisions>false</trackRevisions>
    </reviewItem>
    <reviewItem>
      <errorID>6021e271-3571-4a6f-b7b8-397591cb60a0</errorID>
      <errorWord>）</errorWord>
      <group>L1_Format</group>
      <groupName>格式问题</groupName>
      <ability>L2_HalfPunc</ability>
      <abilityName>全半角检查</abilityName>
      <candidateList>
        <item>)</item>
      </candidateList>
      <explain>文本全半角错误。</explain>
      <paraID>66690CD3</paraID>
      <start>7</start>
      <end>8</end>
      <status>unmodified</status>
      <modifiedWord/>
      <trackRevisions>false</trackRevisions>
    </reviewItem>
    <reviewItem>
      <errorID>3fc826cf-2c7a-4e69-9a1e-cedae47de101</errorID>
      <errorWord>II</errorWord>
      <group>L1_Knowledge</group>
      <groupName>知识性问题</groupName>
      <ability>L2_Knowledge</ability>
      <abilityName>其他知识</abilityName>
      <candidateList>
        <item>Ⅱ</item>
      </candidateList>
      <explain/>
      <paraID>7ED8F6AC</paraID>
      <start>13</start>
      <end>15</end>
      <status>unmodified</status>
      <modifiedWord/>
      <trackRevisions>false</trackRevisions>
    </reviewItem>
    <reviewItem>
      <errorID>cad6eae4-4fd1-4a10-9e55-26069acd0d85</errorID>
      <errorWord>（</errorWord>
      <group>L1_Format</group>
      <groupName>格式问题</groupName>
      <ability>L2_HalfPunc</ability>
      <abilityName>全半角检查</abilityName>
      <candidateList>
        <item>(</item>
      </candidateList>
      <explain>文本全半角错误。</explain>
      <paraID>4CA99647</paraID>
      <start>5</start>
      <end>6</end>
      <status>unmodified</status>
      <modifiedWord/>
      <trackRevisions>false</trackRevisions>
    </reviewItem>
    <reviewItem>
      <errorID>93f442a0-9032-4667-ad86-e97291e7e85b</errorID>
      <errorWord>）</errorWord>
      <group>L1_Format</group>
      <groupName>格式问题</groupName>
      <ability>L2_HalfPunc</ability>
      <abilityName>全半角检查</abilityName>
      <candidateList>
        <item>)</item>
      </candidateList>
      <explain>文本全半角错误。</explain>
      <paraID>4CA99647</paraID>
      <start>7</start>
      <end>8</end>
      <status>unmodified</status>
      <modifiedWord/>
      <trackRevisions>false</trackRevisions>
    </reviewItem>
    <reviewItem>
      <errorID>9c7a451a-28bf-409a-a57a-12c25cf6a65e</errorID>
      <errorWord>（</errorWord>
      <group>L1_Format</group>
      <groupName>格式问题</groupName>
      <ability>L2_HalfPunc</ability>
      <abilityName>全半角检查</abilityName>
      <candidateList>
        <item>(</item>
      </candidateList>
      <explain>文本全半角错误。</explain>
      <paraID>3C8B1D0E</paraID>
      <start>4</start>
      <end>5</end>
      <status>unmodified</status>
      <modifiedWord/>
      <trackRevisions>false</trackRevisions>
    </reviewItem>
    <reviewItem>
      <errorID>9aea8dee-56de-4c44-86bd-bd04d93c74fc</errorID>
      <errorWord>）</errorWord>
      <group>L1_Format</group>
      <groupName>格式问题</groupName>
      <ability>L2_HalfPunc</ability>
      <abilityName>全半角检查</abilityName>
      <candidateList>
        <item>)</item>
      </candidateList>
      <explain>文本全半角错误。</explain>
      <paraID>3C8B1D0E</paraID>
      <start>6</start>
      <end>7</end>
      <status>unmodified</status>
      <modifiedWord/>
      <trackRevisions>false</trackRevisions>
    </reviewItem>
    <reviewItem>
      <errorID>52b22e5d-3a00-4360-91e5-4736b9ddae66</errorID>
      <errorWord>条</errorWord>
      <group>L1_Word</group>
      <groupName>字词问题</groupName>
      <ability>L2_Typo</ability>
      <abilityName>字词错误</abilityName>
      <candidateList>
        <item>条件</item>
      </candidateList>
      <explain/>
      <paraID>6DA28C7C</paraID>
      <start>6</start>
      <end>7</end>
      <status>unmodified</status>
      <modifiedWord/>
      <trackRevisions>false</trackRevisions>
    </reviewItem>
    <reviewItem>
      <errorID>1be5a869-a748-49f7-a6c4-fb3c9d5fb4c1</errorID>
      <errorWord>（</errorWord>
      <group>L1_Format</group>
      <groupName>格式问题</groupName>
      <ability>L2_HalfPunc</ability>
      <abilityName>全半角检查</abilityName>
      <candidateList>
        <item>(</item>
      </candidateList>
      <explain>文本全半角错误。</explain>
      <paraID>347BCE87</paraID>
      <start>4</start>
      <end>5</end>
      <status>unmodified</status>
      <modifiedWord/>
      <trackRevisions>false</trackRevisions>
    </reviewItem>
    <reviewItem>
      <errorID>f4659566-f003-429e-ac08-c294adb909a4</errorID>
      <errorWord>）</errorWord>
      <group>L1_Format</group>
      <groupName>格式问题</groupName>
      <ability>L2_HalfPunc</ability>
      <abilityName>全半角检查</abilityName>
      <candidateList>
        <item>)</item>
      </candidateList>
      <explain>文本全半角错误。</explain>
      <paraID>347BCE87</paraID>
      <start>6</start>
      <end>7</end>
      <status>unmodified</status>
      <modifiedWord/>
      <trackRevisions>false</trackRevisions>
    </reviewItem>
    <reviewItem>
      <errorID>4b21279d-05a4-47dd-817d-115dcf06772e</errorID>
      <errorWord>关键工程</errorWord>
      <group>L1_Knowledge</group>
      <groupName>知识性问题</groupName>
      <ability>L2_Term</ability>
      <abilityName>专业术语</abilityName>
      <candidateList>
        <item>关键工序</item>
      </candidateList>
      <explain/>
      <paraID>623BC9BF</paraID>
      <start>35</start>
      <end>39</end>
      <status>unmodified</status>
      <modifiedWord/>
      <trackRevisions>false</trackRevisions>
    </reviewItem>
    <reviewItem>
      <errorID>72323425-9124-405e-84da-ab5f3615508c</errorID>
      <errorWord>厚</errorWord>
      <group>L1_Word</group>
      <groupName>字词问题</groupName>
      <ability>L2_Typo</ability>
      <abilityName>字词错误</abilityName>
      <candidateList>
        <item>厚度</item>
      </candidateList>
      <explain/>
      <paraID> E6D0F51</paraID>
      <start>35</start>
      <end>36</end>
      <status>unmodified</status>
      <modifiedWord/>
      <trackRevisions>false</trackRevisions>
    </reviewItem>
    <reviewItem>
      <errorID>cbb56c18-0581-4cba-a19a-05f2b2a08f47</errorID>
      <errorWord>粉喷</errorWord>
      <group>L1_Word</group>
      <groupName>字词问题</groupName>
      <ability>L2_Typo</ability>
      <abilityName>字词错误</abilityName>
      <candidateList>
        <item>喷粉</item>
      </candidateList>
      <explain/>
      <paraID>38FFB1DF</paraID>
      <start>0</start>
      <end>2</end>
      <status>unmodified</status>
      <modifiedWord/>
      <trackRevisions>false</trackRevisions>
    </reviewItem>
    <reviewItem>
      <errorID>7f4ce2c8-fcb0-4f32-906a-f6a56e41b355</errorID>
      <errorWord>软土深度</errorWord>
      <group>L1_Knowledge</group>
      <groupName>知识性问题</groupName>
      <ability>L2_Term</ability>
      <abilityName>专业术语</abilityName>
      <candidateList>
        <item>覆土深度</item>
      </candidateList>
      <explain/>
      <paraID>69CB3E64</paraID>
      <start>17</start>
      <end>21</end>
      <status>unmodified</status>
      <modifiedWord/>
      <trackRevisions>false</trackRevisions>
    </reviewItem>
    <reviewItem>
      <errorID>88bff3c6-0bc5-4635-9be3-7726f09ff06f</errorID>
      <errorWord>砂袋</errorWord>
      <group>L1_Word</group>
      <groupName>字词问题</groupName>
      <ability>L2_Variant</ability>
      <abilityName>异形词</abilityName>
      <candidateList>
        <item>沙袋</item>
      </candidateList>
      <explain>词汇[砂袋]的规范词形写作[沙袋]。</explain>
      <paraID>56104AAA</paraID>
      <start>8</start>
      <end>10</end>
      <status>unmodified</status>
      <modifiedWord/>
      <trackRevisions>false</trackRevisions>
    </reviewItem>
    <reviewItem>
      <errorID>ad8a940b-a2eb-40ec-ab67-a15e8c1080b1</errorID>
      <errorWord>砂袋</errorWord>
      <group>L1_Word</group>
      <groupName>字词问题</groupName>
      <ability>L2_Variant</ability>
      <abilityName>异形词</abilityName>
      <candidateList>
        <item>沙袋</item>
      </candidateList>
      <explain>词汇[砂袋]的规范词形写作[沙袋]。</explain>
      <paraID>326EF597</paraID>
      <start>5</start>
      <end>7</end>
      <status>unmodified</status>
      <modifiedWord/>
      <trackRevisions>false</trackRevisions>
    </reviewItem>
    <reviewItem>
      <errorID>71584eac-a6b5-4424-b18c-fed2ec9a71d2</errorID>
      <errorWord>捧</errorWord>
      <group>L1_Word</group>
      <groupName>字词问题</groupName>
      <ability>L2_Typo</ability>
      <abilityName>字词错误</abilityName>
      <candidateList>
        <item>棒</item>
      </candidateList>
      <explain>存在字形相近字词的误用。</explain>
      <paraID>593EF030</paraID>
      <start>21</start>
      <end>22</end>
      <status>unmodified</status>
      <modifiedWord/>
      <trackRevisions>false</trackRevisions>
    </reviewItem>
    <reviewItem>
      <errorID>5852d8c6-055e-400e-bd54-8f091fc8823b</errorID>
      <errorWord>拌和</errorWord>
      <group>L1_Word</group>
      <groupName>字词问题</groupName>
      <ability>L2_Typo</ability>
      <abilityName>字词错误</abilityName>
      <candidateList>
        <item>拌合</item>
      </candidateList>
      <explain/>
      <paraID>7E2365D1</paraID>
      <start>10</start>
      <end>12</end>
      <status>unmodified</status>
      <modifiedWord/>
      <trackRevisions>false</trackRevisions>
    </reviewItem>
    <reviewItem>
      <errorID>692c0277-0db8-4a90-82cf-9682a9c85b15</errorID>
      <errorWord>符</errorWord>
      <group>L1_Word</group>
      <groupName>字词问题</groupName>
      <ability>L2_Typo</ability>
      <abilityName>字词错误</abilityName>
      <candidateList>
        <item>符合</item>
      </candidateList>
      <explain>〈动〉（数量、形状、情节等）相合：～事实｜这些产品不～质量标准。</explain>
      <paraID>7DE28C56</paraID>
      <start>14</start>
      <end>15</end>
      <status>unmodified</status>
      <modifiedWord/>
      <trackRevisions>false</trackRevisions>
    </reviewItem>
    <reviewItem>
      <errorID>e0c8619c-e99e-4791-b787-4f36a5be578f</errorID>
      <errorWord>处</errorWord>
      <group>L1_Knowledge</group>
      <groupName>知识性问题</groupName>
      <ability>L2_Knowledge</ability>
      <abilityName>其他知识</abilityName>
      <candidateList>
        <item>吨</item>
      </candidateList>
      <explain>请检查“处”是否为量词使用错误，建议修改为“吨”。</explain>
      <paraID>797173A6</paraID>
      <start>43</start>
      <end>44</end>
      <status>unmodified</status>
      <modifiedWord/>
      <trackRevisions>false</trackRevisions>
    </reviewItem>
    <reviewItem>
      <errorID>98540af3-2e0e-4678-992f-6983637d08df</errorID>
      <errorWord>制</errorWord>
      <group>L1_Word</group>
      <groupName>字词问题</groupName>
      <ability>L2_Typo</ability>
      <abilityName>字词错误</abilityName>
      <candidateList>
        <item>制作</item>
      </candidateList>
      <explain>〈动〉制造：～家具。</explain>
      <paraID>5F484533</paraID>
      <start>23</start>
      <end>24</end>
      <status>unmodified</status>
      <modifiedWord/>
      <trackRevisions>false</trackRevisions>
    </reviewItem>
    <reviewItem>
      <errorID>ce47eb4e-b837-468c-834a-aec75b0afc18</errorID>
      <errorWord>)</errorWord>
      <group>L1_Format</group>
      <groupName>格式问题</groupName>
      <ability>L2_HalfPunc</ability>
      <abilityName>全半角检查</abilityName>
      <candidateList>
        <item>）</item>
      </candidateList>
      <explain>文本全半角错误。</explain>
      <paraID>65F3096A</paraID>
      <start>28</start>
      <end>29</end>
      <status>unmodified</status>
      <modifiedWord/>
      <trackRevisions>false</trackRevisions>
    </reviewItem>
    <reviewItem>
      <errorID>1b8ddce2-ebcc-43b0-bbef-147f5efc2225</errorID>
      <errorWord>)</errorWord>
      <group>L1_Format</group>
      <groupName>格式问题</groupName>
      <ability>L2_HalfPunc</ability>
      <abilityName>全半角检查</abilityName>
      <candidateList>
        <item>）</item>
      </candidateList>
      <explain>文本全半角错误。</explain>
      <paraID>65F3096A</paraID>
      <start>45</start>
      <end>46</end>
      <status>unmodified</status>
      <modifiedWord/>
      <trackRevisions>false</trackRevisions>
    </reviewItem>
    <reviewItem>
      <errorID>f98c712b-5875-44e0-a637-121c679793a1</errorID>
      <errorWord>)</errorWord>
      <group>L1_Format</group>
      <groupName>格式问题</groupName>
      <ability>L2_HalfPunc</ability>
      <abilityName>全半角检查</abilityName>
      <candidateList>
        <item>）</item>
      </candidateList>
      <explain>文本全半角错误。</explain>
      <paraID>65F3096A</paraID>
      <start>103</start>
      <end>104</end>
      <status>unmodified</status>
      <modifiedWord/>
      <trackRevisions>false</trackRevisions>
    </reviewItem>
    <reviewItem>
      <errorID>084e63e9-84b1-4564-845f-3ab663d0d7b7</errorID>
      <errorWord>)</errorWord>
      <group>L1_Format</group>
      <groupName>格式问题</groupName>
      <ability>L2_HalfPunc</ability>
      <abilityName>全半角检查</abilityName>
      <candidateList>
        <item>）</item>
      </candidateList>
      <explain>文本全半角错误。</explain>
      <paraID>65F3096A</paraID>
      <start>122</start>
      <end>123</end>
      <status>unmodified</status>
      <modifiedWord/>
      <trackRevisions>false</trackRevisions>
    </reviewItem>
    <reviewItem>
      <errorID>24fc71cb-26e5-4a37-ba5a-16fd5000cd5d</errorID>
      <errorWord>)</errorWord>
      <group>L1_Format</group>
      <groupName>格式问题</groupName>
      <ability>L2_HalfPunc</ability>
      <abilityName>全半角检查</abilityName>
      <candidateList>
        <item>）</item>
      </candidateList>
      <explain>文本全半角错误。</explain>
      <paraID>65F3096A</paraID>
      <start>130</start>
      <end>131</end>
      <status>unmodified</status>
      <modifiedWord/>
      <trackRevisions>false</trackRevisions>
    </reviewItem>
    <reviewItem>
      <errorID>0a60fd33-2c54-47a1-9e78-4e03ba819eea</errorID>
      <errorWord>拌和</errorWord>
      <group>L1_Word</group>
      <groupName>字词问题</groupName>
      <ability>L2_Typo</ability>
      <abilityName>字词错误</abilityName>
      <candidateList>
        <item>拌合</item>
      </candidateList>
      <explain/>
      <paraID>4747E3BD</paraID>
      <start>9</start>
      <end>11</end>
      <status>unmodified</status>
      <modifiedWord/>
      <trackRevisions>false</trackRevisions>
    </reviewItem>
    <reviewItem>
      <errorID>99edb3f6-04d9-45dc-a496-624ed0a35bec</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2B4F6ACE</paraID>
      <start>34</start>
      <end>35</end>
      <status>unmodified</status>
      <modifiedWord/>
      <trackRevisions>false</trackRevisions>
    </reviewItem>
    <reviewItem>
      <errorID>fe365684-c5bd-4d10-90f3-a079cc21e811</errorID>
      <errorWord>施及</errorWord>
      <group>L1_Word</group>
      <groupName>字词问题</groupName>
      <ability>L2_Typo</ability>
      <abilityName>字词错误</abilityName>
      <candidateList>
        <item>未及</item>
      </candidateList>
      <explain/>
      <paraID>73DC06BE</paraID>
      <start>0</start>
      <end>2</end>
      <status>unmodified</status>
      <modifiedWord/>
      <trackRevisions>false</trackRevisions>
    </reviewItem>
    <reviewItem>
      <errorID>20dbc43e-5def-41bf-b19e-491b20bc58dc</errorID>
      <errorWord>,</errorWord>
      <group>L1_Format</group>
      <groupName>格式问题</groupName>
      <ability>L2_HalfPunc</ability>
      <abilityName>全半角检查</abilityName>
      <candidateList>
        <item>，</item>
      </candidateList>
      <explain>文本全半角错误。</explain>
      <paraID>  DD977D</paraID>
      <start>42</start>
      <end>43</end>
      <status>unmodified</status>
      <modifiedWord/>
      <trackRevisions>false</trackRevisions>
    </reviewItem>
    <reviewItem>
      <errorID>08a2eb6f-2354-4faf-ab98-962754c22bd5</errorID>
      <errorWord>拌和</errorWord>
      <group>L1_Word</group>
      <groupName>字词问题</groupName>
      <ability>L2_Typo</ability>
      <abilityName>字词错误</abilityName>
      <candidateList>
        <item>拌合</item>
      </candidateList>
      <explain/>
      <paraID>532F8CC6</paraID>
      <start>0</start>
      <end>2</end>
      <status>unmodified</status>
      <modifiedWord/>
      <trackRevisions>false</trackRevisions>
    </reviewItem>
    <reviewItem>
      <errorID>cc98b88a-8f16-4638-9f3b-ff0bc82df0e1</errorID>
      <errorWord>拌和</errorWord>
      <group>L1_Word</group>
      <groupName>字词问题</groupName>
      <ability>L2_Typo</ability>
      <abilityName>字词错误</abilityName>
      <candidateList>
        <item>拌合</item>
      </candidateList>
      <explain/>
      <paraID>532F8CC6</paraID>
      <start>15</start>
      <end>17</end>
      <status>unmodified</status>
      <modifiedWord/>
      <trackRevisions>false</trackRevisions>
    </reviewItem>
    <reviewItem>
      <errorID>dee027ee-d901-4ee2-9897-c7055609f56c</errorID>
      <errorWord>蓬布</errorWord>
      <group>L1_Word</group>
      <groupName>字词问题</groupName>
      <ability>L2_Typo</ability>
      <abilityName>字词错误</abilityName>
      <candidateList>
        <item>篷布</item>
      </candidateList>
      <explain/>
      <paraID>70D5157F</paraID>
      <start>8</start>
      <end>10</end>
      <status>unmodified</status>
      <modifiedWord/>
      <trackRevisions>false</trackRevisions>
    </reviewItem>
    <reviewItem>
      <errorID>51666e01-36b6-4ea5-8529-b2ef2eb3aff9</errorID>
      <errorWord>洒落</errorWord>
      <group>L1_Word</group>
      <groupName>字词问题</groupName>
      <ability>L2_Typo</ability>
      <abilityName>字词错误</abilityName>
      <candidateList>
        <item>撒落</item>
      </candidateList>
      <explain/>
      <paraID>70D5157F</paraID>
      <start>11</start>
      <end>13</end>
      <status>unmodified</status>
      <modifiedWord/>
      <trackRevisions>false</trackRevisions>
    </reviewItem>
    <reviewItem>
      <errorID>dc51d257-d5c0-4e80-8d46-873c99163a96</errorID>
      <errorWord>(</errorWord>
      <group>L1_Format</group>
      <groupName>格式问题</groupName>
      <ability>L2_HalfPunc</ability>
      <abilityName>全半角检查</abilityName>
      <candidateList>
        <item>（</item>
      </candidateList>
      <explain>文本全半角错误。</explain>
      <paraID>464456F4</paraID>
      <start>20</start>
      <end>21</end>
      <status>unmodified</status>
      <modifiedWord/>
      <trackRevisions>false</trackRevisions>
    </reviewItem>
    <reviewItem>
      <errorID>ad4f9b22-cbac-4df0-b8af-bb5960bf7f97</errorID>
      <errorWord>)</errorWord>
      <group>L1_Format</group>
      <groupName>格式问题</groupName>
      <ability>L2_HalfPunc</ability>
      <abilityName>全半角检查</abilityName>
      <candidateList>
        <item>）</item>
      </candidateList>
      <explain>文本全半角错误。</explain>
      <paraID>464456F4</paraID>
      <start>49</start>
      <end>50</end>
      <status>unmodified</status>
      <modifiedWord/>
      <trackRevisions>false</trackRevisions>
    </reviewItem>
    <reviewItem>
      <errorID>f8f4b6a5-f58c-46e9-9553-b1d26c509fe9</errorID>
      <errorWord>,</errorWord>
      <group>L1_Format</group>
      <groupName>格式问题</groupName>
      <ability>L2_HalfPunc</ability>
      <abilityName>全半角检查</abilityName>
      <candidateList>
        <item>，</item>
      </candidateList>
      <explain>文本全半角错误。</explain>
      <paraID> DBE7DA2</paraID>
      <start>10</start>
      <end>11</end>
      <status>unmodified</status>
      <modifiedWord/>
      <trackRevisions>false</trackRevisions>
    </reviewItem>
    <reviewItem>
      <errorID>7d0cef7d-1317-4c2f-af24-a950f14efe45</errorID>
      <errorWord>零乱</errorWord>
      <group>L1_Word</group>
      <groupName>字词问题</groupName>
      <ability>L2_Typo</ability>
      <abilityName>字词错误</abilityName>
      <candidateList>
        <item>凌乱</item>
      </candidateList>
      <explain>存在发音相同字词的误用。</explain>
      <paraID>61F8833A</paraID>
      <start>18</start>
      <end>20</end>
      <status>unmodified</status>
      <modifiedWord/>
      <trackRevisions>false</trackRevisions>
    </reviewItem>
    <reviewItem>
      <errorID>cf96257d-3d26-419c-bda5-c688249bd52f</errorID>
      <errorWord>,</errorWord>
      <group>L1_Format</group>
      <groupName>格式问题</groupName>
      <ability>L2_HalfPunc</ability>
      <abilityName>全半角检查</abilityName>
      <candidateList>
        <item>，</item>
      </candidateList>
      <explain>文本全半角错误。</explain>
      <paraID>7BAC1EF2</paraID>
      <start>28</start>
      <end>29</end>
      <status>unmodified</status>
      <modifiedWord/>
      <trackRevisions>false</trackRevisions>
    </reviewItem>
    <reviewItem>
      <errorID>e0010bad-ef3f-4ba1-b3fa-fb67fd493272</errorID>
      <errorWord>,</errorWord>
      <group>L1_Format</group>
      <groupName>格式问题</groupName>
      <ability>L2_HalfPunc</ability>
      <abilityName>全半角检查</abilityName>
      <candidateList>
        <item>，</item>
      </candidateList>
      <explain>文本全半角错误。</explain>
      <paraID>  33D416</paraID>
      <start>14</start>
      <end>15</end>
      <status>unmodified</status>
      <modifiedWord/>
      <trackRevisions>false</trackRevisions>
    </reviewItem>
    <reviewItem>
      <errorID>21e991f4-6b6f-4fbe-95dc-1f0301da03eb</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6A48E866</paraID>
      <start>25</start>
      <end>27</end>
      <status>unmodified</status>
      <modifiedWord/>
      <trackRevisions>false</trackRevisions>
    </reviewItem>
    <reviewItem>
      <errorID>5bfc678d-6e1b-43f8-8d9e-657479cc4dab</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5759F6C2</paraID>
      <start>7</start>
      <end>11</end>
      <status>unmodified</status>
      <modifiedWord/>
      <trackRevisions>false</trackRevisions>
    </reviewItem>
    <reviewItem>
      <errorID>69dd67ab-0d64-4fcb-9dd1-ddf01f733cf9</errorID>
      <errorWord>试验台帐</errorWord>
      <group>L1_Word</group>
      <groupName>字词问题</groupName>
      <ability>L2_Alias</ability>
      <abilityName>也作/曾用词</abilityName>
      <candidateList>
        <item>试验台账</item>
      </candidateList>
      <explain>词汇[试验台帐]为不规范表述或旧称，其规范书面表述为[试验台账]。</explain>
      <paraID>6895DE6D</paraID>
      <start>11</start>
      <end>15</end>
      <status>unmodified</status>
      <modifiedWord/>
      <trackRevisions>false</trackRevisions>
    </reviewItem>
    <reviewItem>
      <errorID>ace21e66-f64b-4ee6-95ba-f8752b71b8e4</errorID>
      <errorWord>清除出</errorWord>
      <group>L1_Word</group>
      <groupName>字词问题</groupName>
      <ability>L2_Typo</ability>
      <abilityName>字词错误</abilityName>
      <candidateList>
        <item>清除</item>
      </candidateList>
      <explain>〈动〉扫除净尽；全部去掉：～积雪｜～积弊｜～内奸。</explain>
      <paraID>3B26203B</paraID>
      <start>22</start>
      <end>25</end>
      <status>unmodified</status>
      <modifiedWord/>
      <trackRevisions>false</trackRevisions>
    </reviewItem>
    <reviewItem>
      <errorID>6491aa21-05e3-430d-bf0b-7ff737aab431</errorID>
      <errorWord>得</errorWord>
      <group>L1_Word</group>
      <groupName>字词问题</groupName>
      <ability>L2_DDD</ability>
      <abilityName>的地得用法</abilityName>
      <candidateList>
        <item>的</item>
      </candidateList>
      <explain>“的”常用于连接修饰语与名词性中心语，表示属性、所属或描述。</explain>
      <paraID>268083F4</paraID>
      <start>16</start>
      <end>17</end>
      <status>unmodified</status>
      <modifiedWord/>
      <trackRevisions>false</trackRevisions>
    </reviewItem>
    <reviewItem>
      <errorID>4fde1d09-b1c7-4f67-ad81-bd2d32242eb1</errorID>
      <errorWord>》</errorWord>
      <group>L1_Word</group>
      <groupName>字词问题</groupName>
      <ability>L2_Typo</ability>
      <abilityName>字词错误</abilityName>
      <candidateList>
        <item>》等</item>
      </candidateList>
      <explain/>
      <paraID>3961F9C3</paraID>
      <start>48</start>
      <end>49</end>
      <status>unmodified</status>
      <modifiedWord/>
      <trackRevisions>false</trackRevisions>
    </reviewItem>
    <reviewItem>
      <errorID>68700123-1ca9-48ef-b3fe-a22647352b5f</errorID>
      <errorWord>(</errorWord>
      <group>L1_Format</group>
      <groupName>格式问题</groupName>
      <ability>L2_HalfPunc</ability>
      <abilityName>全半角检查</abilityName>
      <candidateList>
        <item>（</item>
      </candidateList>
      <explain>文本全半角错误。</explain>
      <paraID>632B63C3</paraID>
      <start>0</start>
      <end>1</end>
      <status>unmodified</status>
      <modifiedWord/>
      <trackRevisions>false</trackRevisions>
    </reviewItem>
    <reviewItem>
      <errorID>f3634115-abd1-41ef-a8fb-9e002aa150c2</errorID>
      <errorWord>)</errorWord>
      <group>L1_Format</group>
      <groupName>格式问题</groupName>
      <ability>L2_HalfPunc</ability>
      <abilityName>全半角检查</abilityName>
      <candidateList>
        <item>）</item>
      </candidateList>
      <explain>文本全半角错误。</explain>
      <paraID>632B63C3</paraID>
      <start>9</start>
      <end>10</end>
      <status>unmodified</status>
      <modifiedWord/>
      <trackRevisions>false</trackRevisions>
    </reviewItem>
    <reviewItem>
      <errorID>f7f81887-ff06-42d8-840a-bedc31f04a8a</errorID>
      <errorWord>雨蓬</errorWord>
      <group>L1_Word</group>
      <groupName>字词问题</groupName>
      <ability>L2_Alias</ability>
      <abilityName>也作/曾用词</abilityName>
      <candidateList>
        <item>雨篷</item>
      </candidateList>
      <explain>词汇[雨蓬]为不规范表述或旧称，其规范书面表述为[雨篷]。</explain>
      <paraID>3B68B9F7</paraID>
      <start>24</start>
      <end>26</end>
      <status>unmodified</status>
      <modifiedWord/>
      <trackRevisions>false</trackRevisions>
    </reviewItem>
    <reviewItem>
      <errorID>8e6c9a24-efcb-404a-936c-28e03d3f244f</errorID>
      <errorWord>聚氨脂</errorWord>
      <group>L1_Word</group>
      <groupName>字词问题</groupName>
      <ability>L2_Typo</ability>
      <abilityName>字词错误</abilityName>
      <candidateList>
        <item>聚氨酯</item>
      </candidateList>
      <explain/>
      <paraID>202E6568</paraID>
      <start>10</start>
      <end>13</end>
      <status>unmodified</status>
      <modifiedWord/>
      <trackRevisions>false</trackRevisions>
    </reviewItem>
    <reviewItem>
      <errorID>45e8494c-1738-432a-8851-899dcf3093c1</errorID>
      <errorWord>保护材料</errorWord>
      <group>L1_Knowledge</group>
      <groupName>知识性问题</groupName>
      <ability>L2_Term</ability>
      <abilityName>专业术语</abilityName>
      <candidateList>
        <item>保温材料</item>
      </candidateList>
      <explain/>
      <paraID>156A9634</paraID>
      <start>47</start>
      <end>51</end>
      <status>unmodified</status>
      <modifiedWord/>
      <trackRevisions>false</trackRevisions>
    </reviewItem>
    <reviewItem>
      <errorID>b8485980-ae8c-41d1-9f76-b54d5cf54272</errorID>
      <errorWord>乱划</errorWord>
      <group>L1_Word</group>
      <groupName>字词问题</groupName>
      <ability>L2_Typo</ability>
      <abilityName>字词错误</abilityName>
      <candidateList>
        <item>乱画</item>
      </candidateList>
      <explain/>
      <paraID>7CFCFB06</paraID>
      <start>19</start>
      <end>21</end>
      <status>unmodified</status>
      <modifiedWord/>
      <trackRevisions>false</trackRevisions>
    </reviewItem>
    <reviewItem>
      <errorID>b6535721-e42b-44d9-b034-c8efb54e07fa</errorID>
      <errorWord>在带</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44A51550</paraID>
      <start>31</start>
      <end>33</end>
      <status>unmodified</status>
      <modifiedWord/>
      <trackRevisions>false</trackRevisions>
    </reviewItem>
    <reviewItem>
      <errorID>6a13ea66-5145-4109-b584-db01b0bf13a7</errorID>
      <errorWord>预验</errorWord>
      <group>L1_Word</group>
      <groupName>字词问题</groupName>
      <ability>L2_Typo</ability>
      <abilityName>字词错误</abilityName>
      <candidateList>
        <item>预压</item>
      </candidateList>
      <explain/>
      <paraID>44A51550</paraID>
      <start>58</start>
      <end>60</end>
      <status>unmodified</status>
      <modifiedWord/>
      <trackRevisions>false</trackRevisions>
    </reviewItem>
    <reviewItem>
      <errorID>47aba8ac-db3f-47ec-92e1-ae8d9e3ff037</errorID>
      <errorWord>,</errorWord>
      <group>L1_Format</group>
      <groupName>格式问题</groupName>
      <ability>L2_HalfPunc</ability>
      <abilityName>全半角检查</abilityName>
      <candidateList>
        <item>，</item>
      </candidateList>
      <explain>文本全半角错误。</explain>
      <paraID>70312055</paraID>
      <start>67</start>
      <end>68</end>
      <status>unmodified</status>
      <modifiedWord/>
      <trackRevisions>false</trackRevisions>
    </reviewItem>
    <reviewItem>
      <errorID>f3b977fd-9b16-4de2-b69d-6d50563b477c</errorID>
      <errorWord>》</errorWord>
      <group>L1_Word</group>
      <groupName>字词问题</groupName>
      <ability>L2_Typo</ability>
      <abilityName>字词错误</abilityName>
      <candidateList>
        <item>》等</item>
      </candidateList>
      <explain/>
      <paraID>1C6A98A3</paraID>
      <start>48</start>
      <end>49</end>
      <status>unmodified</status>
      <modifiedWord/>
      <trackRevisions>false</trackRevisions>
    </reviewItem>
    <reviewItem>
      <errorID>6cfde73f-eed1-4479-9351-7c77dab9607e</errorID>
      <errorWord>......</errorWord>
      <group>L1_Punc</group>
      <groupName>标点问题</groupName>
      <ability>L2_Punc</ability>
      <abilityName>标点符号检查</abilityName>
      <candidateList>
        <item>……</item>
      </candidateList>
      <explain/>
      <paraID>  A0CE3B</paraID>
      <start>0</start>
      <end>6</end>
      <status>unmodified</status>
      <modifiedWord/>
      <trackRevisions>false</trackRevisions>
    </reviewItem>
    <reviewItem>
      <errorID>1439a1c8-47fa-4300-ad1d-09912a85f225</errorID>
      <errorWord>(</errorWord>
      <group>L1_Format</group>
      <groupName>格式问题</groupName>
      <ability>L2_HalfPunc</ability>
      <abilityName>全半角检查</abilityName>
      <candidateList>
        <item>（</item>
      </candidateList>
      <explain>文本全半角错误。</explain>
      <paraID>77AC6B02</paraID>
      <start>10</start>
      <end>11</end>
      <status>unmodified</status>
      <modifiedWord/>
      <trackRevisions>false</trackRevisions>
    </reviewItem>
    <reviewItem>
      <errorID>8d27417a-5a6c-4a8e-9790-254ba42f4eb7</errorID>
      <errorWord>)</errorWord>
      <group>L1_Format</group>
      <groupName>格式问题</groupName>
      <ability>L2_HalfPunc</ability>
      <abilityName>全半角检查</abilityName>
      <candidateList>
        <item>）</item>
      </candidateList>
      <explain>文本全半角错误。</explain>
      <paraID>77AC6B02</paraID>
      <start>20</start>
      <end>21</end>
      <status>unmodified</status>
      <modifiedWord/>
      <trackRevisions>false</trackRevisions>
    </reviewItem>
    <reviewItem>
      <errorID>13e9eed5-aeb2-406a-b3f3-5e01859483ee</errorID>
      <errorWord>(</errorWord>
      <group>L1_Format</group>
      <groupName>格式问题</groupName>
      <ability>L2_HalfPunc</ability>
      <abilityName>全半角检查</abilityName>
      <candidateList>
        <item>（</item>
      </candidateList>
      <explain>文本全半角错误。</explain>
      <paraID>77AC6B02</paraID>
      <start>29</start>
      <end>30</end>
      <status>unmodified</status>
      <modifiedWord/>
      <trackRevisions>false</trackRevisions>
    </reviewItem>
    <reviewItem>
      <errorID>b0cece61-7562-415e-a4fe-1d9a7f412c26</errorID>
      <errorWord>)</errorWord>
      <group>L1_Format</group>
      <groupName>格式问题</groupName>
      <ability>L2_HalfPunc</ability>
      <abilityName>全半角检查</abilityName>
      <candidateList>
        <item>）</item>
      </candidateList>
      <explain>文本全半角错误。</explain>
      <paraID>77AC6B02</paraID>
      <start>39</start>
      <end>40</end>
      <status>unmodified</status>
      <modifiedWord/>
      <trackRevisions>false</trackRevisions>
    </reviewItem>
    <reviewItem>
      <errorID>2a7d9e30-5520-470f-a48c-e1b0884bb9e1</errorID>
      <errorWord>或与</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35BB851</paraID>
      <start>21</start>
      <end>23</end>
      <status>unmodified</status>
      <modifiedWord/>
      <trackRevisions>false</trackRevisions>
    </reviewItem>
    <reviewItem>
      <errorID>76a46eba-3389-4b2d-8ce9-8baab6dc40b3</errorID>
      <errorWord>的</errorWord>
      <group>L1_Word</group>
      <groupName>字词问题</groupName>
      <ability>L2_Typo</ability>
      <abilityName>字词错误</abilityName>
      <candidateList>
        <item>的农</item>
      </candidateList>
      <explain/>
      <paraID> 35BB851</paraID>
      <start>141</start>
      <end>142</end>
      <status>unmodified</status>
      <modifiedWord/>
      <trackRevisions>false</trackRevisions>
    </reviewItem>
    <reviewItem>
      <errorID>ded13aa9-5442-43e6-ba65-ab6c588976f6</errorID>
      <errorWord>学习教育活动</errorWord>
      <group>L1_Political</group>
      <groupName>政治性问题</groupName>
      <ability>L2_Unpolitical</ability>
      <abilityName>政治敏感错误</abilityName>
      <candidateList>
        <item>学习教育</item>
      </candidateList>
      <explain/>
      <paraID>16C2D7DB</paraID>
      <start>16</start>
      <end>22</end>
      <status>unmodified</status>
      <modifiedWord/>
      <trackRevisions>false</trackRevisions>
    </reviewItem>
    <reviewItem>
      <errorID>226d0056-9f39-477f-a5ae-8b6bbc33030c</errorID>
      <errorWord>，</errorWord>
      <group>L1_Word</group>
      <groupName>字词问题</groupName>
      <ability>L2_Typo</ability>
      <abilityName>字词错误</abilityName>
      <candidateList>
        <item>，并</item>
      </candidateList>
      <explain/>
      <paraID>7093ADBF</paraID>
      <start>37</start>
      <end>38</end>
      <status>unmodified</status>
      <modifiedWord/>
      <trackRevisions>false</trackRevisions>
    </reviewItem>
    <reviewItem>
      <errorID>1047bef2-f38f-4494-9d9e-dea5283d6a61</errorID>
      <errorWord>存在有</errorWord>
      <group>L1_Word</group>
      <groupName>字词问题</groupName>
      <ability>L2_Typo</ability>
      <abilityName>字词错误</abilityName>
      <candidateList>
        <item>存在</item>
      </candidateList>
      <explain/>
      <paraID>11F8AFBC</paraID>
      <start>51</start>
      <end>54</end>
      <status>unmodified</status>
      <modifiedWord/>
      <trackRevisions>false</trackRevisions>
    </reviewItem>
    <reviewItem>
      <errorID>bf56c4fb-08f1-4dc1-81e7-ed3688bdd6ea</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11F8AFBC</paraID>
      <start>121</start>
      <end>124</end>
      <status>unmodified</status>
      <modifiedWord/>
      <trackRevisions>false</trackRevisions>
    </reviewItem>
    <reviewItem>
      <errorID>d4d9f625-2eea-4951-93e0-85fceedf34ad</errorID>
      <errorWord>)</errorWord>
      <group>L1_Format</group>
      <groupName>格式问题</groupName>
      <ability>L2_HalfPunc</ability>
      <abilityName>全半角检查</abilityName>
      <candidateList>
        <item>）</item>
      </candidateList>
      <explain>文本全半角错误。</explain>
      <paraID> 48CB633</paraID>
      <start>77</start>
      <end>78</end>
      <status>unmodified</status>
      <modifiedWord/>
      <trackRevisions>false</trackRevisions>
    </reviewItem>
    <reviewItem>
      <errorID>cfb6e39e-3341-4f59-8932-5187fcc37c85</errorID>
      <errorWord>,</errorWord>
      <group>L1_Format</group>
      <groupName>格式问题</groupName>
      <ability>L2_HalfPunc</ability>
      <abilityName>全半角检查</abilityName>
      <candidateList>
        <item>，</item>
      </candidateList>
      <explain>文本全半角错误。</explain>
      <paraID> 48CB633</paraID>
      <start>119</start>
      <end>120</end>
      <status>unmodified</status>
      <modifiedWord/>
      <trackRevisions>false</trackRevisions>
    </reviewItem>
    <reviewItem>
      <errorID>aa2ef3ee-84b3-4167-9229-be791915e73b</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48CB633</paraID>
      <start>160</start>
      <end>162</end>
      <status>unmodified</status>
      <modifiedWord/>
      <trackRevisions>false</trackRevisions>
    </reviewItem>
    <reviewItem>
      <errorID>57fb7fd0-a96a-4145-9c07-5949effa8c89</errorID>
      <errorWord>台帐</errorWord>
      <group>L1_Word</group>
      <groupName>字词问题</groupName>
      <ability>L2_Typo</ability>
      <abilityName>字词错误</abilityName>
      <candidateList>
        <item>台账</item>
      </candidateList>
      <explain>存在发音相同字词的误用。</explain>
      <paraID>31071115</paraID>
      <start>13</start>
      <end>15</end>
      <status>unmodified</status>
      <modifiedWord/>
      <trackRevisions>false</trackRevisions>
    </reviewItem>
    <reviewItem>
      <errorID>9966b6de-2b3b-4baa-b4e0-fbef4bf04e53</errorID>
      <errorWord>台帐</errorWord>
      <group>L1_Word</group>
      <groupName>字词问题</groupName>
      <ability>L2_Typo</ability>
      <abilityName>字词错误</abilityName>
      <candidateList>
        <item>台账</item>
      </candidateList>
      <explain/>
      <paraID>31071115</paraID>
      <start>66</start>
      <end>68</end>
      <status>unmodified</status>
      <modifiedWord/>
      <trackRevisions>false</trackRevisions>
    </reviewItem>
    <reviewItem>
      <errorID>0d8a41eb-dc22-4b64-8f77-24edee982234</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31071115</paraID>
      <start>174</start>
      <end>176</end>
      <status>unmodified</status>
      <modifiedWord/>
      <trackRevisions>false</trackRevisions>
    </reviewItem>
    <reviewItem>
      <errorID>0b0bae19-f07d-46b4-bd2b-08d27a5ab263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1F2C9267</paraID>
      <start>0</start>
      <end>3</end>
      <status>unmodified</status>
      <modifiedWord/>
      <trackRevisions>false</trackRevisions>
    </reviewItem>
    <reviewItem>
      <errorID>884b8616-d4bd-4096-9ad7-4ef373aacf91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5C337913</paraID>
      <start>0</start>
      <end>3</end>
      <status>unmodified</status>
      <modifiedWord/>
      <trackRevisions>false</trackRevisions>
    </reviewItem>
    <reviewItem>
      <errorID>7bf012eb-805e-49fb-98ce-7f61ffeaa1a7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4AEF5667</paraID>
      <start>0</start>
      <end>3</end>
      <status>unmodified</status>
      <modifiedWord/>
      <trackRevisions>false</trackRevisions>
    </reviewItem>
    <reviewItem>
      <errorID>4a213648-7933-45e1-a975-27e00ba3a427</errorID>
      <errorWord>，</errorWord>
      <group>L1_Word</group>
      <groupName>字词问题</groupName>
      <ability>L2_Typo</ability>
      <abilityName>字词错误</abilityName>
      <candidateList>
        <item>，由</item>
      </candidateList>
      <explain/>
      <paraID>342DFA9A</paraID>
      <start>90</start>
      <end>91</end>
      <status>unmodified</status>
      <modifiedWord/>
      <trackRevisions>false</trackRevisions>
    </reviewItem>
    <reviewItem>
      <errorID>0529350c-8679-4d39-9dd4-03708ba1f3c3</errorID>
      <errorWord>（</errorWord>
      <group>L1_Word</group>
      <groupName>字词问题</groupName>
      <ability>L2_Typo</ability>
      <abilityName>字词错误</abilityName>
      <candidateList>
        <item>（以</item>
      </candidateList>
      <explain/>
      <paraID>689A5F9B</paraID>
      <start>34</start>
      <end>35</end>
      <status>unmodified</status>
      <modifiedWord/>
      <trackRevisions>false</trackRevisions>
    </reviewItem>
    <reviewItem>
      <errorID>3b2619d8-c8ec-4fbe-aa70-1a4f43fa258b</errorID>
      <errorWord>,</errorWord>
      <group>L1_Format</group>
      <groupName>格式问题</groupName>
      <ability>L2_HalfPunc</ability>
      <abilityName>全半角检查</abilityName>
      <candidateList>
        <item>，</item>
      </candidateList>
      <explain>文本全半角错误。</explain>
      <paraID>523BDF6B</paraID>
      <start>40</start>
      <end>41</end>
      <status>unmodified</status>
      <modifiedWord/>
      <trackRevisions>false</trackRevisions>
    </reviewItem>
    <reviewItem>
      <errorID>6bc6a29e-1bf8-47ad-ad62-3fc16f511be8</errorID>
      <errorWord>)</errorWord>
      <group>L1_Format</group>
      <groupName>格式问题</groupName>
      <ability>L2_HalfPunc</ability>
      <abilityName>全半角检查</abilityName>
      <candidateList>
        <item>）</item>
      </candidateList>
      <explain>文本全半角错误。</explain>
      <paraID>69F2592D</paraID>
      <start>9</start>
      <end>10</end>
      <status>unmodified</status>
      <modifiedWord/>
      <trackRevisions>false</trackRevisions>
    </reviewItem>
    <reviewItem>
      <errorID>7d8d42bf-ea0b-4745-8781-2a6e994d9742</errorID>
      <errorWord>)</errorWord>
      <group>L1_Format</group>
      <groupName>格式问题</groupName>
      <ability>L2_HalfPunc</ability>
      <abilityName>全半角检查</abilityName>
      <candidateList>
        <item>）</item>
      </candidateList>
      <explain>文本全半角错误。</explain>
      <paraID>6A9F093E</paraID>
      <start>11</start>
      <end>12</end>
      <status>unmodified</status>
      <modifiedWord/>
      <trackRevisions>false</trackRevisions>
    </reviewItem>
    <reviewItem>
      <errorID>ae580a37-4593-4922-b12e-83ceac29ccd8</errorID>
      <errorWord>(</errorWord>
      <group>L1_Format</group>
      <groupName>格式问题</groupName>
      <ability>L2_HalfPunc</ability>
      <abilityName>全半角检查</abilityName>
      <candidateList>
        <item>（</item>
      </candidateList>
      <explain>文本全半角错误。</explain>
      <paraID>7F88E210</paraID>
      <start>5</start>
      <end>6</end>
      <status>unmodified</status>
      <modifiedWord/>
      <trackRevisions>false</trackRevisions>
    </reviewItem>
    <reviewItem>
      <errorID>6c515fab-605e-4646-baa1-ce435afeeaf9</errorID>
      <errorWord>)</errorWord>
      <group>L1_Format</group>
      <groupName>格式问题</groupName>
      <ability>L2_HalfPunc</ability>
      <abilityName>全半角检查</abilityName>
      <candidateList>
        <item>）</item>
      </candidateList>
      <explain>文本全半角错误。</explain>
      <paraID>7F88E210</paraID>
      <start>13</start>
      <end>14</end>
      <status>unmodified</status>
      <modifiedWord/>
      <trackRevisions>false</trackRevisions>
    </reviewItem>
    <reviewItem>
      <errorID>5cdb3952-fbc7-4cea-abe9-743d81e42364</errorID>
      <errorWord>(</errorWord>
      <group>L1_Format</group>
      <groupName>格式问题</groupName>
      <ability>L2_HalfPunc</ability>
      <abilityName>全半角检查</abilityName>
      <candidateList>
        <item>（</item>
      </candidateList>
      <explain>文本全半角错误。</explain>
      <paraID>440CB0A1</paraID>
      <start>8</start>
      <end>9</end>
      <status>unmodified</status>
      <modifiedWord/>
      <trackRevisions>false</trackRevisions>
    </reviewItem>
    <reviewItem>
      <errorID>1f5a8a45-65cb-4869-829b-ca3924edea69</errorID>
      <errorWord>)</errorWord>
      <group>L1_Format</group>
      <groupName>格式问题</groupName>
      <ability>L2_HalfPunc</ability>
      <abilityName>全半角检查</abilityName>
      <candidateList>
        <item>）</item>
      </candidateList>
      <explain>文本全半角错误。</explain>
      <paraID>440CB0A1</paraID>
      <start>20</start>
      <end>21</end>
      <status>unmodified</status>
      <modifiedWord/>
      <trackRevisions>false</trackRevisions>
    </reviewItem>
    <reviewItem>
      <errorID>b4f9addd-3518-4592-8d8c-e2d390ff6cbd</errorID>
      <errorWord>(</errorWord>
      <group>L1_Format</group>
      <groupName>格式问题</groupName>
      <ability>L2_HalfPunc</ability>
      <abilityName>全半角检查</abilityName>
      <candidateList>
        <item>（</item>
      </candidateList>
      <explain>文本全半角错误。</explain>
      <paraID>74512D47</paraID>
      <start>8</start>
      <end>9</end>
      <status>unmodified</status>
      <modifiedWord/>
      <trackRevisions>false</trackRevisions>
    </reviewItem>
    <reviewItem>
      <errorID>69674559-fb6d-4ea1-9ba4-760c8af67e7f</errorID>
      <errorWord>)</errorWord>
      <group>L1_Format</group>
      <groupName>格式问题</groupName>
      <ability>L2_HalfPunc</ability>
      <abilityName>全半角检查</abilityName>
      <candidateList>
        <item>）</item>
      </candidateList>
      <explain>文本全半角错误。</explain>
      <paraID>74512D47</paraID>
      <start>20</start>
      <end>21</end>
      <status>unmodified</status>
      <modifiedWord/>
      <trackRevisions>false</trackRevisions>
    </reviewItem>
    <reviewItem>
      <errorID>790d3bd7-8bdc-41f9-9d13-0e97f81fee31</errorID>
      <errorWord>(</errorWord>
      <group>L1_Format</group>
      <groupName>格式问题</groupName>
      <ability>L2_HalfPunc</ability>
      <abilityName>全半角检查</abilityName>
      <candidateList>
        <item>（</item>
      </candidateList>
      <explain>文本全半角错误。</explain>
      <paraID>505A99D0</paraID>
      <start>50</start>
      <end>51</end>
      <status>unmodified</status>
      <modifiedWord/>
      <trackRevisions>false</trackRevisions>
    </reviewItem>
    <reviewItem>
      <errorID>ca890cb7-bd07-49a7-a98a-a2eafb310f11</errorID>
      <errorWord>,</errorWord>
      <group>L1_Format</group>
      <groupName>格式问题</groupName>
      <ability>L2_HalfPunc</ability>
      <abilityName>全半角检查</abilityName>
      <candidateList>
        <item>，</item>
      </candidateList>
      <explain>文本全半角错误。</explain>
      <paraID>505A99D0</paraID>
      <start>91</start>
      <end>92</end>
      <status>unmodified</status>
      <modifiedWord/>
      <trackRevisions>false</trackRevisions>
    </reviewItem>
    <reviewItem>
      <errorID>0539a14c-bb8f-4b91-931a-4db17d523f17</errorID>
      <errorWord>（</errorWord>
      <group>L1_Format</group>
      <groupName>格式问题</groupName>
      <ability>L2_HalfPunc</ability>
      <abilityName>全半角检查</abilityName>
      <candidateList>
        <item>(</item>
      </candidateList>
      <explain>文本全半角错误。</explain>
      <paraID>7E565A44</paraID>
      <start>4</start>
      <end>5</end>
      <status>unmodified</status>
      <modifiedWord/>
      <trackRevisions>false</trackRevisions>
    </reviewItem>
    <reviewItem>
      <errorID>46c071d5-2629-4ea0-afda-b1c1fafcf9ed</errorID>
      <errorWord>）</errorWord>
      <group>L1_Format</group>
      <groupName>格式问题</groupName>
      <ability>L2_HalfPunc</ability>
      <abilityName>全半角检查</abilityName>
      <candidateList>
        <item>)</item>
      </candidateList>
      <explain>文本全半角错误。</explain>
      <paraID>7E565A44</paraID>
      <start>6</start>
      <end>7</end>
      <status>unmodified</status>
      <modifiedWord/>
      <trackRevisions>false</trackRevisions>
    </reviewItem>
    <reviewItem>
      <errorID>b8c3a15f-d7f4-4567-8029-a0fe2613fae9</errorID>
      <errorWord>（</errorWord>
      <group>L1_Format</group>
      <groupName>格式问题</groupName>
      <ability>L2_HalfPunc</ability>
      <abilityName>全半角检查</abilityName>
      <candidateList>
        <item>(</item>
      </candidateList>
      <explain>文本全半角错误。</explain>
      <paraID>41425CC7</paraID>
      <start>4</start>
      <end>5</end>
      <status>unmodified</status>
      <modifiedWord/>
      <trackRevisions>false</trackRevisions>
    </reviewItem>
    <reviewItem>
      <errorID>b0e6aaf4-8060-47a9-b6b7-60b5ca938fc1</errorID>
      <errorWord>）</errorWord>
      <group>L1_Format</group>
      <groupName>格式问题</groupName>
      <ability>L2_HalfPunc</ability>
      <abilityName>全半角检查</abilityName>
      <candidateList>
        <item>)</item>
      </candidateList>
      <explain>文本全半角错误。</explain>
      <paraID>41425CC7</paraID>
      <start>6</start>
      <end>7</end>
      <status>unmodified</status>
      <modifiedWord/>
      <trackRevisions>false</trackRevisions>
    </reviewItem>
    <reviewItem>
      <errorID>47bc8eae-cc99-4895-a8ea-7bdfe6d3b9ef</errorID>
      <errorWord>（</errorWord>
      <group>L1_Format</group>
      <groupName>格式问题</groupName>
      <ability>L2_HalfPunc</ability>
      <abilityName>全半角检查</abilityName>
      <candidateList>
        <item>(</item>
      </candidateList>
      <explain>文本全半角错误。</explain>
      <paraID>4686788B</paraID>
      <start>6</start>
      <end>7</end>
      <status>unmodified</status>
      <modifiedWord/>
      <trackRevisions>false</trackRevisions>
    </reviewItem>
    <reviewItem>
      <errorID>f06d827c-6395-4835-958a-996722840438</errorID>
      <errorWord>）</errorWord>
      <group>L1_Format</group>
      <groupName>格式问题</groupName>
      <ability>L2_HalfPunc</ability>
      <abilityName>全半角检查</abilityName>
      <candidateList>
        <item>)</item>
      </candidateList>
      <explain>文本全半角错误。</explain>
      <paraID>4686788B</paraID>
      <start>8</start>
      <end>9</end>
      <status>unmodified</status>
      <modifiedWord/>
      <trackRevisions>false</trackRevisions>
    </reviewItem>
    <reviewItem>
      <errorID>04c36d77-8772-4271-ab5e-cfcdd3f68a54</errorID>
      <errorWord>（</errorWord>
      <group>L1_Format</group>
      <groupName>格式问题</groupName>
      <ability>L2_HalfPunc</ability>
      <abilityName>全半角检查</abilityName>
      <candidateList>
        <item>(</item>
      </candidateList>
      <explain>文本全半角错误。</explain>
      <paraID>2C1138FD</paraID>
      <start>6</start>
      <end>7</end>
      <status>unmodified</status>
      <modifiedWord/>
      <trackRevisions>false</trackRevisions>
    </reviewItem>
    <reviewItem>
      <errorID>1456a5e0-6e46-4717-b87c-beafa4968878</errorID>
      <errorWord>）</errorWord>
      <group>L1_Format</group>
      <groupName>格式问题</groupName>
      <ability>L2_HalfPunc</ability>
      <abilityName>全半角检查</abilityName>
      <candidateList>
        <item>)</item>
      </candidateList>
      <explain>文本全半角错误。</explain>
      <paraID>2C1138FD</paraID>
      <start>8</start>
      <end>9</end>
      <status>unmodified</status>
      <modifiedWord/>
      <trackRevisions>false</trackRevisions>
    </reviewItem>
    <reviewItem>
      <errorID>c9e466cf-ca5e-4802-93f2-1b25d87507bc</errorID>
      <errorWord>（</errorWord>
      <group>L1_Format</group>
      <groupName>格式问题</groupName>
      <ability>L2_HalfPunc</ability>
      <abilityName>全半角检查</abilityName>
      <candidateList>
        <item>(</item>
      </candidateList>
      <explain>文本全半角错误。</explain>
      <paraID>36C5C002</paraID>
      <start>4</start>
      <end>5</end>
      <status>unmodified</status>
      <modifiedWord/>
      <trackRevisions>false</trackRevisions>
    </reviewItem>
    <reviewItem>
      <errorID>1d9aa609-f916-453b-a0d5-88029d280f45</errorID>
      <errorWord>）</errorWord>
      <group>L1_Format</group>
      <groupName>格式问题</groupName>
      <ability>L2_HalfPunc</ability>
      <abilityName>全半角检查</abilityName>
      <candidateList>
        <item>)</item>
      </candidateList>
      <explain>文本全半角错误。</explain>
      <paraID>36C5C002</paraID>
      <start>6</start>
      <end>7</end>
      <status>unmodified</status>
      <modifiedWord/>
      <trackRevisions>false</trackRevisions>
    </reviewItem>
    <reviewItem>
      <errorID>de771e8d-302d-4d8c-9b00-9cdfdb1012ce</errorID>
      <errorWord>(</errorWord>
      <group>L1_Format</group>
      <groupName>格式问题</groupName>
      <ability>L2_HalfPunc</ability>
      <abilityName>全半角检查</abilityName>
      <candidateList>
        <item>（</item>
      </candidateList>
      <explain>文本全半角错误。</explain>
      <paraID>3F5304E8</paraID>
      <start>35</start>
      <end>36</end>
      <status>unmodified</status>
      <modifiedWord/>
      <trackRevisions>false</trackRevisions>
    </reviewItem>
    <reviewItem>
      <errorID>ad3fd0ca-f693-4a70-8fbf-ddd1d12c999c</errorID>
      <errorWord>(</errorWord>
      <group>L1_Format</group>
      <groupName>格式问题</groupName>
      <ability>L2_HalfPunc</ability>
      <abilityName>全半角检查</abilityName>
      <candidateList>
        <item>（</item>
      </candidateList>
      <explain>文本全半角错误。</explain>
      <paraID>3F5304E8</paraID>
      <start>55</start>
      <end>56</end>
      <status>unmodified</status>
      <modifiedWord/>
      <trackRevisions>false</trackRevisions>
    </reviewItem>
    <reviewItem>
      <errorID>f9ad88ae-dcbf-4c57-945a-14f1ceaa915e</errorID>
      <errorWord>(</errorWord>
      <group>L1_Format</group>
      <groupName>格式问题</groupName>
      <ability>L2_HalfPunc</ability>
      <abilityName>全半角检查</abilityName>
      <candidateList>
        <item>（</item>
      </candidateList>
      <explain>文本全半角错误。</explain>
      <paraID>5FC4F6CD</paraID>
      <start>33</start>
      <end>34</end>
      <status>unmodified</status>
      <modifiedWord/>
      <trackRevisions>false</trackRevisions>
    </reviewItem>
    <reviewItem>
      <errorID>0e409a64-60d1-4520-a3ca-3260e2cead5e</errorID>
      <errorWord>位</errorWord>
      <group>L1_Word</group>
      <groupName>字词问题</groupName>
      <ability>L2_Typo</ability>
      <abilityName>字词错误</abilityName>
      <candidateList>
        <item>位公</item>
      </candidateList>
      <explain/>
      <paraID>769E052D</paraID>
      <start>25</start>
      <end>26</end>
      <status>unmodified</status>
      <modifiedWord/>
      <trackRevisions>false</trackRevisions>
    </reviewItem>
    <reviewItem>
      <errorID>c4df5c6f-4bae-45d3-bbf9-749092ab8e68</errorID>
      <errorWord>......</errorWord>
      <group>L1_Punc</group>
      <groupName>标点问题</groupName>
      <ability>L2_Punc</ability>
      <abilityName>标点符号检查</abilityName>
      <candidateList>
        <item>……</item>
      </candidateList>
      <explain/>
      <paraID>2E6FD152</paraID>
      <start>0</start>
      <end>6</end>
      <status>unmodified</status>
      <modifiedWord/>
      <trackRevisions>false</trackRevisions>
    </reviewItem>
    <reviewItem>
      <errorID>f7211f89-c029-4f9b-8264-8d0156aad37f</errorID>
      <errorWord>《</errorWord>
      <group>L1_Punc</group>
      <groupName>标点问题</groupName>
      <ability>L2_Punc</ability>
      <abilityName>标点符号检查</abilityName>
      <candidateList/>
      <explain>同一形式括号套用。</explain>
      <paraID>526FE4E6</paraID>
      <start>185</start>
      <end>186</end>
      <status>unmodified</status>
      <modifiedWord/>
      <trackRevisions>false</trackRevisions>
    </reviewItem>
    <reviewItem>
      <errorID>a9ea43ec-1fc3-4bf8-9bba-19460be1657d</errorID>
      <errorWord>》</errorWord>
      <group>L1_Punc</group>
      <groupName>标点问题</groupName>
      <ability>L2_Punc</ability>
      <abilityName>标点符号检查</abilityName>
      <candidateList/>
      <explain>同一形式括号套用。</explain>
      <paraID>526FE4E6</paraID>
      <start>209</start>
      <end>210</end>
      <status>unmodified</status>
      <modifiedWord/>
      <trackRevisions>false</trackRevisions>
    </reviewItem>
    <reviewItem>
      <errorID>fb51fa11-1ded-46c5-8475-2aa4bee84c69</errorID>
      <errorWord>位</errorWord>
      <group>L1_Word</group>
      <groupName>字词问题</groupName>
      <ability>L2_Typo</ability>
      <abilityName>字词错误</abilityName>
      <candidateList>
        <item>位公</item>
      </candidateList>
      <explain/>
      <paraID>2281B08C</paraID>
      <start>31</start>
      <end>32</end>
      <status>unmodified</status>
      <modifiedWord/>
      <trackRevisions>false</trackRevisions>
    </reviewItem>
    <reviewItem>
      <errorID>aef52c3b-d8b0-43e6-b949-dee8f4743d4b</errorID>
      <errorWord>》</errorWord>
      <group>L1_Word</group>
      <groupName>字词问题</groupName>
      <ability>L2_Typo</ability>
      <abilityName>字词错误</abilityName>
      <candidateList>
        <item>》和</item>
      </candidateList>
      <explain/>
      <paraID>5FB4F37D</paraID>
      <start>69</start>
      <end>70</end>
      <status>unmodified</status>
      <modifiedWord/>
      <trackRevisions>false</trackRevisions>
    </reviewItem>
    <reviewItem>
      <errorID>69b52bc3-de86-4c1b-8fc7-115c6ea5cf9a</errorID>
      <errorWord>》</errorWord>
      <group>L1_Word</group>
      <groupName>字词问题</groupName>
      <ability>L2_Typo</ability>
      <abilityName>字词错误</abilityName>
      <candidateList>
        <item>》等</item>
      </candidateList>
      <explain/>
      <paraID>5FB4F37D</paraID>
      <start>87</start>
      <end>88</end>
      <status>unmodified</status>
      <modifiedWord/>
      <trackRevisions>false</trackRevisions>
    </reviewItem>
    <reviewItem>
      <errorID>06be3e0a-7277-4447-b4b9-39d16714a606</errorID>
      <errorWord>关键工程</errorWord>
      <group>L1_Knowledge</group>
      <groupName>知识性问题</groupName>
      <ability>L2_Term</ability>
      <abilityName>专业术语</abilityName>
      <candidateList>
        <item>关键工序</item>
      </candidateList>
      <explain/>
      <paraID>557A50BA</paraID>
      <start>7</start>
      <end>11</end>
      <status>unmodified</status>
      <modifiedWord/>
      <trackRevisions>false</trackRevisions>
    </reviewItem>
    <reviewItem>
      <errorID>63f43b08-86c1-452e-9718-5948dcc8ae0a</errorID>
      <errorWord>防止措施</errorWord>
      <group>L1_Word</group>
      <groupName>字词问题</groupName>
      <ability>L2_Typo</ability>
      <abilityName>字词错误</abilityName>
      <candidateList>
        <item>防治措施</item>
      </candidateList>
      <explain/>
      <paraID>798D0A95</paraID>
      <start>64</start>
      <end>68</end>
      <status>unmodified</status>
      <modifiedWord/>
      <trackRevisions>false</trackRevisions>
    </reviewItem>
    <reviewItem>
      <errorID>b599be63-88cb-4083-b1cc-09b873493a8a</errorID>
      <errorWord>(</errorWord>
      <group>L1_Format</group>
      <groupName>格式问题</groupName>
      <ability>L2_HalfPunc</ability>
      <abilityName>全半角检查</abilityName>
      <candidateList>
        <item>（</item>
      </candidateList>
      <explain>文本全半角错误。</explain>
      <paraID>73F54DF7</paraID>
      <start>47</start>
      <end>48</end>
      <status>unmodified</status>
      <modifiedWord/>
      <trackRevisions>false</trackRevisions>
    </reviewItem>
    <reviewItem>
      <errorID>2381a091-2398-4644-822d-3f7b00e0093a</errorID>
      <errorWord>)</errorWord>
      <group>L1_Format</group>
      <groupName>格式问题</groupName>
      <ability>L2_HalfPunc</ability>
      <abilityName>全半角检查</abilityName>
      <candidateList>
        <item>）</item>
      </candidateList>
      <explain>文本全半角错误。</explain>
      <paraID>73F54DF7</paraID>
      <start>55</start>
      <end>56</end>
      <status>unmodified</status>
      <modifiedWord/>
      <trackRevisions>false</trackRevisions>
    </reviewItem>
    <reviewItem>
      <errorID>5e43a080-a875-4cd3-96a3-aa50894f7a4e</errorID>
      <errorWord>《</errorWord>
      <group>L1_Punc</group>
      <groupName>标点问题</groupName>
      <ability>L2_Punc</ability>
      <abilityName>标点符号检查</abilityName>
      <candidateList/>
      <explain>同一形式括号套用。</explain>
      <paraID>589D7166</paraID>
      <start>15</start>
      <end>16</end>
      <status>unmodified</status>
      <modifiedWord/>
      <trackRevisions>false</trackRevisions>
    </reviewItem>
    <reviewItem>
      <errorID>53b663c7-9c6f-4e86-b7f2-bfd7be801860</errorID>
      <errorWord>》</errorWord>
      <group>L1_Punc</group>
      <groupName>标点问题</groupName>
      <ability>L2_Punc</ability>
      <abilityName>标点符号检查</abilityName>
      <candidateList/>
      <explain>同一形式括号套用。</explain>
      <paraID>589D7166</paraID>
      <start>39</start>
      <end>40</end>
      <status>unmodified</status>
      <modifiedWord/>
      <trackRevisions>false</trackRevisions>
    </reviewItem>
    <reviewItem>
      <errorID>4fd5b97e-4c30-4565-b377-72af0181dae6</errorID>
      <errorWord>(</errorWord>
      <group>L1_Format</group>
      <groupName>格式问题</groupName>
      <ability>L2_HalfPunc</ability>
      <abilityName>全半角检查</abilityName>
      <candidateList>
        <item>（</item>
      </candidateList>
      <explain>文本全半角错误。</explain>
      <paraID>589D7166</paraID>
      <start>61</start>
      <end>62</end>
      <status>unmodified</status>
      <modifiedWord/>
      <trackRevisions>false</trackRevisions>
    </reviewItem>
    <reviewItem>
      <errorID>61c35825-d2ce-4ea7-85b3-5f3e39b49c21</errorID>
      <errorWord>)</errorWord>
      <group>L1_Format</group>
      <groupName>格式问题</groupName>
      <ability>L2_HalfPunc</ability>
      <abilityName>全半角检查</abilityName>
      <candidateList>
        <item>）</item>
      </candidateList>
      <explain>文本全半角错误。</explain>
      <paraID>589D7166</paraID>
      <start>64</start>
      <end>65</end>
      <status>unmodified</status>
      <modifiedWord/>
      <trackRevisions>false</trackRevisions>
    </reviewItem>
    <reviewItem>
      <errorID>323896c7-1f9e-4605-b4fe-5be4bb00ed84</errorID>
      <errorWord>《</errorWord>
      <group>L1_Punc</group>
      <groupName>标点问题</groupName>
      <ability>L2_Punc</ability>
      <abilityName>标点符号检查</abilityName>
      <candidateList/>
      <explain>同一形式括号套用。</explain>
      <paraID>6CEC2310</paraID>
      <start>17</start>
      <end>18</end>
      <status>unmodified</status>
      <modifiedWord/>
      <trackRevisions>false</trackRevisions>
    </reviewItem>
    <reviewItem>
      <errorID>62cf92b9-52ed-40ac-b33b-04b03072d1b2</errorID>
      <errorWord>》</errorWord>
      <group>L1_Punc</group>
      <groupName>标点问题</groupName>
      <ability>L2_Punc</ability>
      <abilityName>标点符号检查</abilityName>
      <candidateList/>
      <explain>同一形式括号套用。</explain>
      <paraID>6CEC2310</paraID>
      <start>41</start>
      <end>42</end>
      <status>unmodified</status>
      <modifiedWord/>
      <trackRevisions>false</trackRevisions>
    </reviewItem>
    <reviewItem>
      <errorID>1e499b93-d9d6-4a4b-a5b9-53866bab10ca</errorID>
      <errorWord>(</errorWord>
      <group>L1_Format</group>
      <groupName>格式问题</groupName>
      <ability>L2_HalfPunc</ability>
      <abilityName>全半角检查</abilityName>
      <candidateList>
        <item>（</item>
      </candidateList>
      <explain>文本全半角错误。</explain>
      <paraID>6CEC2310</paraID>
      <start>67</start>
      <end>68</end>
      <status>unmodified</status>
      <modifiedWord/>
      <trackRevisions>false</trackRevisions>
    </reviewItem>
    <reviewItem>
      <errorID>d8a3bf9c-92ff-4271-ada8-37edefe0e1aa</errorID>
      <errorWord>)</errorWord>
      <group>L1_Format</group>
      <groupName>格式问题</groupName>
      <ability>L2_HalfPunc</ability>
      <abilityName>全半角检查</abilityName>
      <candidateList>
        <item>）</item>
      </candidateList>
      <explain>文本全半角错误。</explain>
      <paraID>6CEC2310</paraID>
      <start>70</start>
      <end>71</end>
      <status>unmodified</status>
      <modifiedWord/>
      <trackRevisions>false</trackRevisions>
    </reviewItem>
    <reviewItem>
      <errorID>d354f49f-f0c9-4cf6-a861-78f12261ae6f</errorID>
      <errorWord>，</errorWord>
      <group>L1_Word</group>
      <groupName>字词问题</groupName>
      <ability>L2_Typo</ability>
      <abilityName>字词错误</abilityName>
      <candidateList>
        <item>，将</item>
      </candidateList>
      <explain/>
      <paraID>313FD8D8</paraID>
      <start>63</start>
      <end>64</end>
      <status>unmodified</status>
      <modifiedWord/>
      <trackRevisions>false</trackRevisions>
    </reviewItem>
    <reviewItem>
      <errorID>46ddea82-bc9d-48e7-ba37-7a4915b2dd93</errorID>
      <errorWord>关键工程</errorWord>
      <group>L1_Knowledge</group>
      <groupName>知识性问题</groupName>
      <ability>L2_Term</ability>
      <abilityName>专业术语</abilityName>
      <candidateList>
        <item>关键工序</item>
      </candidateList>
      <explain/>
      <paraID>444D2A96</paraID>
      <start>9</start>
      <end>13</end>
      <status>unmodified</status>
      <modifiedWord/>
      <trackRevisions>false</trackRevisions>
    </reviewItem>
    <reviewItem>
      <errorID>dfaa5ecf-2cc7-4389-adcd-63f1422e5c36</errorID>
      <errorWord>(</errorWord>
      <group>L1_Format</group>
      <groupName>格式问题</groupName>
      <ability>L2_HalfPunc</ability>
      <abilityName>全半角检查</abilityName>
      <candidateList>
        <item>（</item>
      </candidateList>
      <explain>文本全半角错误。</explain>
      <paraID> 38E06A5</paraID>
      <start>8</start>
      <end>9</end>
      <status>unmodified</status>
      <modifiedWord/>
      <trackRevisions>false</trackRevisions>
    </reviewItem>
    <reviewItem>
      <errorID>140623ff-b91c-46c9-a1b6-7f95314f7e20</errorID>
      <errorWord>)</errorWord>
      <group>L1_Format</group>
      <groupName>格式问题</groupName>
      <ability>L2_HalfPunc</ability>
      <abilityName>全半角检查</abilityName>
      <candidateList>
        <item>）</item>
      </candidateList>
      <explain>文本全半角错误。</explain>
      <paraID> 38E06A5</paraID>
      <start>20</start>
      <end>21</end>
      <status>unmodified</status>
      <modifiedWord/>
      <trackRevisions>false</trackRevisions>
    </reviewItem>
    <reviewItem>
      <errorID>a058ef07-b7e6-4887-80cb-1bffaa2f2ece</errorID>
      <errorWord>(</errorWord>
      <group>L1_Format</group>
      <groupName>格式问题</groupName>
      <ability>L2_HalfPunc</ability>
      <abilityName>全半角检查</abilityName>
      <candidateList>
        <item>（</item>
      </candidateList>
      <explain>文本全半角错误。</explain>
      <paraID>360FF139</paraID>
      <start>8</start>
      <end>9</end>
      <status>unmodified</status>
      <modifiedWord/>
      <trackRevisions>false</trackRevisions>
    </reviewItem>
    <reviewItem>
      <errorID>c5d23715-6b88-4382-ad71-e9e3808e1360</errorID>
      <errorWord>)</errorWord>
      <group>L1_Format</group>
      <groupName>格式问题</groupName>
      <ability>L2_HalfPunc</ability>
      <abilityName>全半角检查</abilityName>
      <candidateList>
        <item>）</item>
      </candidateList>
      <explain>文本全半角错误。</explain>
      <paraID>360FF139</paraID>
      <start>20</start>
      <end>21</end>
      <status>unmodified</status>
      <modifiedWord/>
      <trackRevisions>false</trackRevisions>
    </reviewItem>
    <reviewItem>
      <errorID>23a5f98d-e89e-4812-be5e-aa66fa1e80bb</errorID>
      <errorWord>委任</errorWord>
      <group>L1_Word</group>
      <groupName>字词问题</groupName>
      <ability>L2_Typo</ability>
      <abilityName>字词错误</abilityName>
      <candidateList>
        <item>委派</item>
      </candidateList>
      <explain>〈动〉派人担任职务或完成某项任务。</explain>
      <paraID>2F4A573E</paraID>
      <start>4</start>
      <end>6</end>
      <status>unmodified</status>
      <modifiedWord/>
      <trackRevisions>false</trackRevisions>
    </reviewItem>
    <reviewItem>
      <errorID>79126cb5-a56a-42cf-abb6-08a194cd0ad7</errorID>
      <errorWord>委任</errorWord>
      <group>L1_Word</group>
      <groupName>字词问题</groupName>
      <ability>L2_Typo</ability>
      <abilityName>字词错误</abilityName>
      <candidateList>
        <item>委派</item>
      </candidateList>
      <explain>〈动〉派人担任职务或完成某项任务。</explain>
      <paraID> EEF1FA9</paraID>
      <start>7</start>
      <end>9</end>
      <status>unmodified</status>
      <modifiedWord/>
      <trackRevisions>false</trackRevisions>
    </reviewItem>
    <reviewItem>
      <errorID>a82bf56d-588d-4eb0-80a9-87c35f2c9009</errorID>
      <errorWord>委任</errorWord>
      <group>L1_Word</group>
      <groupName>字词问题</groupName>
      <ability>L2_Typo</ability>
      <abilityName>字词错误</abilityName>
      <candidateList>
        <item>委派</item>
      </candidateList>
      <explain>〈动〉派人担任职务或完成某项任务。</explain>
      <paraID>34DB1463</paraID>
      <start>7</start>
      <end>9</end>
      <status>unmodified</status>
      <modifiedWord/>
      <trackRevisions>false</trackRevisions>
    </reviewItem>
    <reviewItem>
      <errorID>4a6cdc1a-d09a-4236-8264-784606b46d08</errorID>
      <errorWord>委任</errorWord>
      <group>L1_Word</group>
      <groupName>字词问题</groupName>
      <ability>L2_Typo</ability>
      <abilityName>字词错误</abilityName>
      <candidateList>
        <item>委派</item>
      </candidateList>
      <explain>〈动〉派人担任职务或完成某项任务。</explain>
      <paraID>5464B414</paraID>
      <start>4</start>
      <end>6</end>
      <status>unmodified</status>
      <modifiedWord/>
      <trackRevisions>false</trackRevisions>
    </reviewItem>
    <reviewItem>
      <errorID>cc1e0618-e688-460a-8a5e-fed11546c01a</errorID>
      <errorWord>委任</errorWord>
      <group>L1_Word</group>
      <groupName>字词问题</groupName>
      <ability>L2_Typo</ability>
      <abilityName>字词错误</abilityName>
      <candidateList>
        <item>委派</item>
      </candidateList>
      <explain>〈动〉派人担任职务或完成某项任务。</explain>
      <paraID> 894F095</paraID>
      <start>7</start>
      <end>9</end>
      <status>unmodified</status>
      <modifiedWord/>
      <trackRevisions>false</trackRevisions>
    </reviewItem>
    <reviewItem>
      <errorID>63e21e79-dbc2-4526-8d2c-c8aeed04735e</errorID>
      <errorWord>委任</errorWord>
      <group>L1_Word</group>
      <groupName>字词问题</groupName>
      <ability>L2_Typo</ability>
      <abilityName>字词错误</abilityName>
      <candidateList>
        <item>委派</item>
      </candidateList>
      <explain>〈动〉派人担任职务或完成某项任务。</explain>
      <paraID>28B0F60C</paraID>
      <start>7</start>
      <end>9</end>
      <status>unmodified</status>
      <modifiedWord/>
      <trackRevisions>false</trackRevisions>
    </reviewItem>
    <reviewItem>
      <errorID>bf5c3d6f-cf85-4070-902e-a80ea1b7719f</errorID>
      <errorWord>:</errorWord>
      <group>L1_Format</group>
      <groupName>格式问题</groupName>
      <ability>L2_HalfPunc</ability>
      <abilityName>全半角检查</abilityName>
      <candidateList>
        <item>：</item>
      </candidateList>
      <explain>文本全半角错误。</explain>
      <paraID>7A49B684</paraID>
      <start>5</start>
      <end>6</end>
      <status>unmodified</status>
      <modifiedWord/>
      <trackRevisions>false</trackRevisions>
    </reviewItem>
    <reviewItem>
      <errorID>7e921fec-5c4c-483a-93ab-0ca0ef63c32d</errorID>
      <errorWord>(</errorWord>
      <group>L1_Format</group>
      <groupName>格式问题</groupName>
      <ability>L2_HalfPunc</ability>
      <abilityName>全半角检查</abilityName>
      <candidateList>
        <item>（</item>
      </candidateList>
      <explain>文本全半角错误。</explain>
      <paraID>2A4B7F0C</paraID>
      <start>29</start>
      <end>30</end>
      <status>unmodified</status>
      <modifiedWord/>
      <trackRevisions>false</trackRevisions>
    </reviewItem>
    <reviewItem>
      <errorID>fcef65a0-d938-40c1-801c-125c870a5ac5</errorID>
      <errorWord>)</errorWord>
      <group>L1_Format</group>
      <groupName>格式问题</groupName>
      <ability>L2_HalfPunc</ability>
      <abilityName>全半角检查</abilityName>
      <candidateList>
        <item>）</item>
      </candidateList>
      <explain>文本全半角错误。</explain>
      <paraID>2A4B7F0C</paraID>
      <start>37</start>
      <end>38</end>
      <status>unmodified</status>
      <modifiedWord/>
      <trackRevisions>false</trackRevisions>
    </reviewItem>
    <reviewItem>
      <errorID>1ed54ba1-5d18-4981-9a69-889344ef97ed</errorID>
      <errorWord>(</errorWord>
      <group>L1_Format</group>
      <groupName>格式问题</groupName>
      <ability>L2_HalfPunc</ability>
      <abilityName>全半角检查</abilityName>
      <candidateList>
        <item>（</item>
      </candidateList>
      <explain>文本全半角错误。</explain>
      <paraID>2A4B7F0C</paraID>
      <start>44</start>
      <end>45</end>
      <status>unmodified</status>
      <modifiedWord/>
      <trackRevisions>false</trackRevisions>
    </reviewItem>
    <reviewItem>
      <errorID>8ed5ec34-83e0-4f56-bf1d-1c6aa9c1e81d</errorID>
      <errorWord>)</errorWord>
      <group>L1_Format</group>
      <groupName>格式问题</groupName>
      <ability>L2_HalfPunc</ability>
      <abilityName>全半角检查</abilityName>
      <candidateList>
        <item>）</item>
      </candidateList>
      <explain>文本全半角错误。</explain>
      <paraID>2A4B7F0C</paraID>
      <start>50</start>
      <end>51</end>
      <status>unmodified</status>
      <modifiedWord/>
      <trackRevisions>false</trackRevisions>
    </reviewItem>
    <reviewItem>
      <errorID>5f404631-ad41-4764-93e7-f4637cb49f6a</errorID>
      <errorWord>(</errorWord>
      <group>L1_Format</group>
      <groupName>格式问题</groupName>
      <ability>L2_HalfPunc</ability>
      <abilityName>全半角检查</abilityName>
      <candidateList>
        <item>（</item>
      </candidateList>
      <explain>文本全半角错误。</explain>
      <paraID>2A4B7F0C</paraID>
      <start>87</start>
      <end>88</end>
      <status>unmodified</status>
      <modifiedWord/>
      <trackRevisions>false</trackRevisions>
    </reviewItem>
    <reviewItem>
      <errorID>9f8dce89-4da1-4c54-8102-83cfc5447034</errorID>
      <errorWord>)</errorWord>
      <group>L1_Format</group>
      <groupName>格式问题</groupName>
      <ability>L2_HalfPunc</ability>
      <abilityName>全半角检查</abilityName>
      <candidateList>
        <item>）</item>
      </candidateList>
      <explain>文本全半角错误。</explain>
      <paraID>2A4B7F0C</paraID>
      <start>92</start>
      <end>93</end>
      <status>unmodified</status>
      <modifiedWord/>
      <trackRevisions>false</trackRevisions>
    </reviewItem>
    <reviewItem>
      <errorID>f8d19c67-53e8-493b-8c39-74cdf76d06aa</errorID>
      <errorWord>(</errorWord>
      <group>L1_Format</group>
      <groupName>格式问题</groupName>
      <ability>L2_HalfPunc</ability>
      <abilityName>全半角检查</abilityName>
      <candidateList>
        <item>（</item>
      </candidateList>
      <explain>文本全半角错误。</explain>
      <paraID>2A4B7F0C</paraID>
      <start>126</start>
      <end>127</end>
      <status>unmodified</status>
      <modifiedWord/>
      <trackRevisions>false</trackRevisions>
    </reviewItem>
    <reviewItem>
      <errorID>e50a9e52-db1d-41da-8528-e464fdfb3258</errorID>
      <errorWord>)</errorWord>
      <group>L1_Format</group>
      <groupName>格式问题</groupName>
      <ability>L2_HalfPunc</ability>
      <abilityName>全半角检查</abilityName>
      <candidateList>
        <item>）</item>
      </candidateList>
      <explain>文本全半角错误。</explain>
      <paraID>2A4B7F0C</paraID>
      <start>132</start>
      <end>133</end>
      <status>unmodified</status>
      <modifiedWord/>
      <trackRevisions>false</trackRevisions>
    </reviewItem>
    <reviewItem>
      <errorID>a0041d89-f4a5-4139-aeb0-43697bcecf2b</errorID>
      <errorWord>(</errorWord>
      <group>L1_Format</group>
      <groupName>格式问题</groupName>
      <ability>L2_HalfPunc</ability>
      <abilityName>全半角检查</abilityName>
      <candidateList>
        <item>（</item>
      </candidateList>
      <explain>文本全半角错误。</explain>
      <paraID>1DD20C73</paraID>
      <start>8</start>
      <end>9</end>
      <status>unmodified</status>
      <modifiedWord/>
      <trackRevisions>false</trackRevisions>
    </reviewItem>
    <reviewItem>
      <errorID>92af7733-d1dd-4751-82cc-bc850369b234</errorID>
      <errorWord>)</errorWord>
      <group>L1_Format</group>
      <groupName>格式问题</groupName>
      <ability>L2_HalfPunc</ability>
      <abilityName>全半角检查</abilityName>
      <candidateList>
        <item>）</item>
      </candidateList>
      <explain>文本全半角错误。</explain>
      <paraID>1DD20C73</paraID>
      <start>13</start>
      <end>14</end>
      <status>unmodified</status>
      <modifiedWord/>
      <trackRevisions>false</trackRevisions>
    </reviewItem>
    <reviewItem>
      <errorID>3dbea21c-b84c-4704-9325-e15e3bd7617e</errorID>
      <errorWord>(</errorWord>
      <group>L1_Format</group>
      <groupName>格式问题</groupName>
      <ability>L2_HalfPunc</ability>
      <abilityName>全半角检查</abilityName>
      <candidateList>
        <item>（</item>
      </candidateList>
      <explain>文本全半角错误。</explain>
      <paraID>185FBF6D</paraID>
      <start>7</start>
      <end>8</end>
      <status>unmodified</status>
      <modifiedWord/>
      <trackRevisions>false</trackRevisions>
    </reviewItem>
    <reviewItem>
      <errorID>7b66e053-9572-4e22-a5b0-b0544225203f</errorID>
      <errorWord>)</errorWord>
      <group>L1_Format</group>
      <groupName>格式问题</groupName>
      <ability>L2_HalfPunc</ability>
      <abilityName>全半角检查</abilityName>
      <candidateList>
        <item>）</item>
      </candidateList>
      <explain>文本全半角错误。</explain>
      <paraID>185FBF6D</paraID>
      <start>10</start>
      <end>11</end>
      <status>unmodified</status>
      <modifiedWord/>
      <trackRevisions>false</trackRevisions>
    </reviewItem>
    <reviewItem>
      <errorID>881bddcb-a8da-4c63-8948-5f8e081aeb4b</errorID>
      <errorWord>(</errorWord>
      <group>L1_Format</group>
      <groupName>格式问题</groupName>
      <ability>L2_HalfPunc</ability>
      <abilityName>全半角检查</abilityName>
      <candidateList>
        <item>（</item>
      </candidateList>
      <explain>文本全半角错误。</explain>
      <paraID>185FBF6D</paraID>
      <start>63</start>
      <end>64</end>
      <status>unmodified</status>
      <modifiedWord/>
      <trackRevisions>false</trackRevisions>
    </reviewItem>
    <reviewItem>
      <errorID>15fde1af-dda7-4f01-a64a-70afe1fb7eaf</errorID>
      <errorWord>)</errorWord>
      <group>L1_Format</group>
      <groupName>格式问题</groupName>
      <ability>L2_HalfPunc</ability>
      <abilityName>全半角检查</abilityName>
      <candidateList>
        <item>）</item>
      </candidateList>
      <explain>文本全半角错误。</explain>
      <paraID>185FBF6D</paraID>
      <start>66</start>
      <end>67</end>
      <status>unmodified</status>
      <modifiedWord/>
      <trackRevisions>false</trackRevisions>
    </reviewItem>
    <reviewItem>
      <errorID>d03787e9-e193-4fa3-a100-1b64af01ba70</errorID>
      <errorWord>（</errorWord>
      <group>L1_Word</group>
      <groupName>字词问题</groupName>
      <ability>L2_Typo</ability>
      <abilityName>字词错误</abilityName>
      <candidateList>
        <item>（一</item>
      </candidateList>
      <explain/>
      <paraID>6D274866</paraID>
      <start>4</start>
      <end>5</end>
      <status>unmodified</status>
      <modifiedWord/>
      <trackRevisions>false</trackRevisions>
    </reviewItem>
    <reviewItem>
      <errorID>d9989891-b071-4d5f-8364-4150e435dcf8</errorID>
      <errorWord>)</errorWord>
      <group>L1_Format</group>
      <groupName>格式问题</groupName>
      <ability>L2_HalfPunc</ability>
      <abilityName>全半角检查</abilityName>
      <candidateList>
        <item>）</item>
      </candidateList>
      <explain>文本全半角错误。</explain>
      <paraID>38C32B3A</paraID>
      <start>4</start>
      <end>5</end>
      <status>unmodified</status>
      <modifiedWord/>
      <trackRevisions>false</trackRevisions>
    </reviewItem>
    <reviewItem>
      <errorID>9f1bc670-cdb7-47f5-9387-2c69e4595ade</errorID>
      <errorWord>)</errorWord>
      <group>L1_Format</group>
      <groupName>格式问题</groupName>
      <ability>L2_HalfPunc</ability>
      <abilityName>全半角检查</abilityName>
      <candidateList>
        <item>）</item>
      </candidateList>
      <explain>文本全半角错误。</explain>
      <paraID>4A90FD97</paraID>
      <start>26</start>
      <end>27</end>
      <status>unmodified</status>
      <modifiedWord/>
      <trackRevisions>false</trackRevisions>
    </reviewItem>
    <reviewItem>
      <errorID>379f437b-62e4-4c56-80d0-c12d7ba44b8a</errorID>
      <errorWord>委任</errorWord>
      <group>L1_Word</group>
      <groupName>字词问题</groupName>
      <ability>L2_Typo</ability>
      <abilityName>字词错误</abilityName>
      <candidateList>
        <item>委派</item>
      </candidateList>
      <explain>〈动〉派人担任职务或完成某项任务。</explain>
      <paraID>19850E7C</paraID>
      <start>15</start>
      <end>17</end>
      <status>unmodified</status>
      <modifiedWord/>
      <trackRevisions>false</trackRevisions>
    </reviewItem>
    <reviewItem>
      <errorID>7b30fc20-9678-46cd-8e95-53e29dc3648d</errorID>
      <errorWord>委任</errorWord>
      <group>L1_Word</group>
      <groupName>字词问题</groupName>
      <ability>L2_Typo</ability>
      <abilityName>字词错误</abilityName>
      <candidateList>
        <item>委派</item>
      </candidateList>
      <explain>〈动〉派人担任职务或完成某项任务。</explain>
      <paraID>6EED6AC3</paraID>
      <start>4</start>
      <end>6</end>
      <status>unmodified</status>
      <modifiedWord/>
      <trackRevisions>false</trackRevisions>
    </reviewItem>
    <reviewItem>
      <errorID>c45f7a68-7c58-4a52-8e79-a96d8be9b516</errorID>
      <errorWord>委任</errorWord>
      <group>L1_Word</group>
      <groupName>字词问题</groupName>
      <ability>L2_Typo</ability>
      <abilityName>字词错误</abilityName>
      <candidateList>
        <item>委派</item>
      </candidateList>
      <explain>〈动〉派人担任职务或完成某项任务。</explain>
      <paraID>7CA6AD0A</paraID>
      <start>7</start>
      <end>9</end>
      <status>unmodified</status>
      <modifiedWord/>
      <trackRevisions>false</trackRevisions>
    </reviewItem>
    <reviewItem>
      <errorID>961e2b90-6bac-4832-816f-fe1cdc0f427e</errorID>
      <errorWord>委任</errorWord>
      <group>L1_Word</group>
      <groupName>字词问题</groupName>
      <ability>L2_Typo</ability>
      <abilityName>字词错误</abilityName>
      <candidateList>
        <item>委派</item>
      </candidateList>
      <explain>〈动〉派人担任职务或完成某项任务。</explain>
      <paraID>7F089B04</paraID>
      <start>7</start>
      <end>9</end>
      <status>unmodified</status>
      <modifiedWord/>
      <trackRevisions>false</trackRevisions>
    </reviewItem>
    <reviewItem>
      <errorID>16739c68-14ce-48e1-870b-4eeed42d0d7b</errorID>
      <errorWord>(</errorWord>
      <group>L1_Format</group>
      <groupName>格式问题</groupName>
      <ability>L2_HalfPunc</ability>
      <abilityName>全半角检查</abilityName>
      <candidateList>
        <item>（</item>
      </candidateList>
      <explain>文本全半角错误。</explain>
      <paraID>68A1679F</paraID>
      <start>30</start>
      <end>31</end>
      <status>unmodified</status>
      <modifiedWord/>
      <trackRevisions>false</trackRevisions>
    </reviewItem>
    <reviewItem>
      <errorID>0603c155-89f1-4f2c-82fd-50bb38e3d4ec</errorID>
      <errorWord>)</errorWord>
      <group>L1_Format</group>
      <groupName>格式问题</groupName>
      <ability>L2_HalfPunc</ability>
      <abilityName>全半角检查</abilityName>
      <candidateList>
        <item>）</item>
      </candidateList>
      <explain>文本全半角错误。</explain>
      <paraID>68A1679F</paraID>
      <start>42</start>
      <end>43</end>
      <status>unmodified</status>
      <modifiedWord/>
      <trackRevisions>false</trackRevisions>
    </reviewItem>
    <reviewItem>
      <errorID>52906fe8-5d63-428f-af7d-9278c8b847f1</errorID>
      <errorWord>委任</errorWord>
      <group>L1_Word</group>
      <groupName>字词问题</groupName>
      <ability>L2_Typo</ability>
      <abilityName>字词错误</abilityName>
      <candidateList>
        <item>委派</item>
      </candidateList>
      <explain>〈动〉派人担任职务或完成某项任务。</explain>
      <paraID>21CDFBC0</paraID>
      <start>4</start>
      <end>6</end>
      <status>unmodified</status>
      <modifiedWord/>
      <trackRevisions>false</trackRevisions>
    </reviewItem>
    <reviewItem>
      <errorID>d6e1d7d9-e8ac-49dc-8d06-ce7b54ca30ea</errorID>
      <errorWord>委任</errorWord>
      <group>L1_Word</group>
      <groupName>字词问题</groupName>
      <ability>L2_Typo</ability>
      <abilityName>字词错误</abilityName>
      <candidateList>
        <item>委派</item>
      </candidateList>
      <explain>〈动〉派人担任职务或完成某项任务。</explain>
      <paraID>71CFBC6C</paraID>
      <start>7</start>
      <end>9</end>
      <status>unmodified</status>
      <modifiedWord/>
      <trackRevisions>false</trackRevisions>
    </reviewItem>
    <reviewItem>
      <errorID>c0b43eb8-d697-4e7a-b0b2-17eda626f24b</errorID>
      <errorWord>委任</errorWord>
      <group>L1_Word</group>
      <groupName>字词问题</groupName>
      <ability>L2_Typo</ability>
      <abilityName>字词错误</abilityName>
      <candidateList>
        <item>委派</item>
      </candidateList>
      <explain>〈动〉派人担任职务或完成某项任务。</explain>
      <paraID>3DA8F8BA</paraID>
      <start>7</start>
      <end>9</end>
      <status>unmodified</status>
      <modifiedWord/>
      <trackRevisions>false</trackRevisions>
    </reviewItem>
    <reviewItem>
      <errorID>e55e48eb-d558-4b71-8397-5b5b78a74bda</errorID>
      <errorWord>(</errorWord>
      <group>L1_Format</group>
      <groupName>格式问题</groupName>
      <ability>L2_HalfPunc</ability>
      <abilityName>全半角检查</abilityName>
      <candidateList>
        <item>（</item>
      </candidateList>
      <explain>文本全半角错误。</explain>
      <paraID>19F423E5</paraID>
      <start>4</start>
      <end>5</end>
      <status>unmodified</status>
      <modifiedWord/>
      <trackRevisions>false</trackRevisions>
    </reviewItem>
    <reviewItem>
      <errorID>34af08bd-cd14-4647-9888-56b2e1c0d97d</errorID>
      <errorWord>)</errorWord>
      <group>L1_Format</group>
      <groupName>格式问题</groupName>
      <ability>L2_HalfPunc</ability>
      <abilityName>全半角检查</abilityName>
      <candidateList>
        <item>）</item>
      </candidateList>
      <explain>文本全半角错误。</explain>
      <paraID>19F423E5</paraID>
      <start>7</start>
      <end>8</end>
      <status>unmodified</status>
      <modifiedWord/>
      <trackRevisions>false</trackRevisions>
    </reviewItem>
    <reviewItem>
      <errorID>1a00130c-e643-4f9f-97d8-83f1b81f95b7</errorID>
      <errorWord>)</errorWord>
      <group>L1_Format</group>
      <groupName>格式问题</groupName>
      <ability>L2_HalfPunc</ability>
      <abilityName>全半角检查</abilityName>
      <candidateList>
        <item>）</item>
      </candidateList>
      <explain>文本全半角错误。</explain>
      <paraID>1838D3AA</paraID>
      <start>26</start>
      <end>27</end>
      <status>unmodified</status>
      <modifiedWord/>
      <trackRevisions>false</trackRevisions>
    </reviewItem>
    <reviewItem>
      <errorID>f0614bfd-7afd-4a87-bd27-53a64a179440</errorID>
      <errorWord>标识</errorWord>
      <group>L1_Word</group>
      <groupName>字词问题</groupName>
      <ability>L2_Typo</ability>
      <abilityName>字词错误</abilityName>
      <candidateList>
        <item>标注</item>
      </candidateList>
      <explain/>
      <paraID> 7913174</paraID>
      <start>45</start>
      <end>47</end>
      <status>unmodified</status>
      <modifiedWord/>
      <trackRevisions>false</trackRevisions>
    </reviewItem>
    <reviewItem>
      <errorID>283245f9-c8da-437e-bf37-c777d7a84424</errorID>
      <errorWord>等级</errorWord>
      <group>L1_Word</group>
      <groupName>字词问题</groupName>
      <ability>L2_Typo</ability>
      <abilityName>字词错误</abilityName>
      <candidateList>
        <item>登记</item>
      </candidateList>
      <explain/>
      <paraID>155520DA</paraID>
      <start>36</start>
      <end>38</end>
      <status>unmodified</status>
      <modifiedWord/>
      <trackRevisions>false</trackRevisions>
    </reviewItem>
    <reviewItem>
      <errorID>86e2fba9-54c9-4130-a436-b5a503f40161</errorID>
      <errorWord>“/</errorWord>
      <group>L1_Punc</group>
      <groupName>标点问题</groupName>
      <ability>L2_Punc</ability>
      <abilityName>标点符号检查</abilityName>
      <candidateList>
        <item>“</item>
      </candidateList>
      <explain/>
      <paraID>155520DA</paraID>
      <start>48</start>
      <end>50</end>
      <status>unmodified</status>
      <modifiedWord/>
      <trackRevisions>false</trackRevisions>
    </reviewItem>
    <reviewItem>
      <errorID>bca786e4-e17f-43c4-9724-225951990ddf</errorID>
      <errorWord>(</errorWord>
      <group>L1_Format</group>
      <groupName>格式问题</groupName>
      <ability>L2_HalfPunc</ability>
      <abilityName>全半角检查</abilityName>
      <candidateList>
        <item>（</item>
      </candidateList>
      <explain>文本全半角错误。</explain>
      <paraID>53600EA7</paraID>
      <start>79</start>
      <end>80</end>
      <status>unmodified</status>
      <modifiedWord/>
      <trackRevisions>false</trackRevisions>
    </reviewItem>
    <reviewItem>
      <errorID>785a228d-f7e7-41a2-af1f-f3a5d43c8c88</errorID>
      <errorWord>)</errorWord>
      <group>L1_Format</group>
      <groupName>格式问题</groupName>
      <ability>L2_HalfPunc</ability>
      <abilityName>全半角检查</abilityName>
      <candidateList>
        <item>）</item>
      </candidateList>
      <explain>文本全半角错误。</explain>
      <paraID>53600EA7</paraID>
      <start>93</start>
      <end>94</end>
      <status>unmodified</status>
      <modifiedWord/>
      <trackRevisions>false</trackRevisions>
    </reviewItem>
    <reviewItem>
      <errorID>bd2cd4d9-0a80-4c23-aaa9-305d68b9bba6</errorID>
      <errorWord>(</errorWord>
      <group>L1_Format</group>
      <groupName>格式问题</groupName>
      <ability>L2_HalfPunc</ability>
      <abilityName>全半角检查</abilityName>
      <candidateList>
        <item>（</item>
      </candidateList>
      <explain>文本全半角错误。</explain>
      <paraID>53600EA7</paraID>
      <start>128</start>
      <end>129</end>
      <status>unmodified</status>
      <modifiedWord/>
      <trackRevisions>false</trackRevisions>
    </reviewItem>
    <reviewItem>
      <errorID>64abfd52-7de8-4105-92ec-b8b197088fcf</errorID>
      <errorWord>)</errorWord>
      <group>L1_Format</group>
      <groupName>格式问题</groupName>
      <ability>L2_HalfPunc</ability>
      <abilityName>全半角检查</abilityName>
      <candidateList>
        <item>）</item>
      </candidateList>
      <explain>文本全半角错误。</explain>
      <paraID>53600EA7</paraID>
      <start>141</start>
      <end>142</end>
      <status>unmodified</status>
      <modifiedWord/>
      <trackRevisions>false</trackRevisions>
    </reviewItem>
    <reviewItem>
      <errorID>b6376c1f-521e-4d9b-8343-798fd6ed9d71</errorID>
      <errorWord>,</errorWord>
      <group>L1_Format</group>
      <groupName>格式问题</groupName>
      <ability>L2_HalfPunc</ability>
      <abilityName>全半角检查</abilityName>
      <candidateList>
        <item>，</item>
      </candidateList>
      <explain>文本全半角错误。</explain>
      <paraID>53600EA7</paraID>
      <start>142</start>
      <end>143</end>
      <status>unmodified</status>
      <modifiedWord/>
      <trackRevisions>false</trackRevisions>
    </reviewItem>
    <reviewItem>
      <errorID>5e3e4976-3189-4993-b0fe-429fb29f2fd1</errorID>
      <errorWord>(</errorWord>
      <group>L1_Format</group>
      <groupName>格式问题</groupName>
      <ability>L2_HalfPunc</ability>
      <abilityName>全半角检查</abilityName>
      <candidateList>
        <item>（</item>
      </candidateList>
      <explain>文本全半角错误。</explain>
      <paraID> F18CEA5</paraID>
      <start>47</start>
      <end>48</end>
      <status>unmodified</status>
      <modifiedWord/>
      <trackRevisions>false</trackRevisions>
    </reviewItem>
    <reviewItem>
      <errorID>81d6a197-87fa-48bf-a6a4-a11a5daaded1</errorID>
      <errorWord>)</errorWord>
      <group>L1_Format</group>
      <groupName>格式问题</groupName>
      <ability>L2_HalfPunc</ability>
      <abilityName>全半角检查</abilityName>
      <candidateList>
        <item>）</item>
      </candidateList>
      <explain>文本全半角错误。</explain>
      <paraID> F18CEA5</paraID>
      <start>64</start>
      <end>65</end>
      <status>unmodified</status>
      <modifiedWord/>
      <trackRevisions>false</trackRevisions>
    </reviewItem>
    <reviewItem>
      <errorID>b27dbf7e-236c-4c06-8a84-f490d29f3b43</errorID>
      <errorWord>位</errorWord>
      <group>L1_Word</group>
      <groupName>字词问题</groupName>
      <ability>L2_Typo</ability>
      <abilityName>字词错误</abilityName>
      <candidateList>
        <item>位公</item>
      </candidateList>
      <explain/>
      <paraID>57BFD0CA</paraID>
      <start>13</start>
      <end>14</end>
      <status>unmodified</status>
      <modifiedWord/>
      <trackRevisions>false</trackRevisions>
    </reviewItem>
    <reviewItem>
      <errorID>3182708e-28ba-4e57-8df6-a15f0b25930e</errorID>
      <errorWord>(</errorWord>
      <group>L1_Format</group>
      <groupName>格式问题</groupName>
      <ability>L2_HalfPunc</ability>
      <abilityName>全半角检查</abilityName>
      <candidateList>
        <item>（</item>
      </candidateList>
      <explain>文本全半角错误。</explain>
      <paraID>51F47611</paraID>
      <start>88</start>
      <end>89</end>
      <status>unmodified</status>
      <modifiedWord/>
      <trackRevisions>false</trackRevisions>
    </reviewItem>
    <reviewItem>
      <errorID>75894c94-0542-48fa-b400-36eea3432ca7</errorID>
      <errorWord>)</errorWord>
      <group>L1_Format</group>
      <groupName>格式问题</groupName>
      <ability>L2_HalfPunc</ability>
      <abilityName>全半角检查</abilityName>
      <candidateList>
        <item>）</item>
      </candidateList>
      <explain>文本全半角错误。</explain>
      <paraID>51F47611</paraID>
      <start>101</start>
      <end>102</end>
      <status>unmodified</status>
      <modifiedWord/>
      <trackRevisions>false</trackRevisions>
    </reviewItem>
    <reviewItem>
      <errorID>097bb2f4-414b-4557-9106-184754283bf7</errorID>
      <errorWord>位</errorWord>
      <group>L1_Word</group>
      <groupName>字词问题</groupName>
      <ability>L2_Typo</ability>
      <abilityName>字词错误</abilityName>
      <candidateList>
        <item>位公</item>
      </candidateList>
      <explain/>
      <paraID>423E33A0</paraID>
      <start>15</start>
      <end>16</end>
      <status>unmodified</status>
      <modifiedWord/>
      <trackRevisions>false</trackRevisions>
    </reviewItem>
    <reviewItem>
      <errorID>fdf65e1c-fc95-4fa6-8724-8de53f83f500</errorID>
      <errorWord>总额</errorWord>
      <group>L1_Word</group>
      <groupName>字词问题</groupName>
      <ability>L2_Typo</ability>
      <abilityName>字词错误</abilityName>
      <candidateList>
        <item>总</item>
      </candidateList>
      <explain/>
      <paraID>7F2C21D4</paraID>
      <start>26</start>
      <end>28</end>
      <status>unmodified</status>
      <modifiedWord/>
      <trackRevisions>false</trackRevisions>
    </reviewItem>
    <reviewItem>
      <errorID>d160a322-eafb-4a70-8b11-c578c3abaf27</errorID>
      <errorWord>(</errorWord>
      <group>L1_Format</group>
      <groupName>格式问题</groupName>
      <ability>L2_HalfPunc</ability>
      <abilityName>全半角检查</abilityName>
      <candidateList>
        <item>（</item>
      </candidateList>
      <explain>文本全半角错误。</explain>
      <paraID>7F2C21D4</paraID>
      <start>58</start>
      <end>59</end>
      <status>unmodified</status>
      <modifiedWord/>
      <trackRevisions>false</trackRevisions>
    </reviewItem>
    <reviewItem>
      <errorID>f24ca10e-4cc6-4cc0-9a92-dc543b3b6605</errorID>
      <errorWord>)</errorWord>
      <group>L1_Format</group>
      <groupName>格式问题</groupName>
      <ability>L2_HalfPunc</ability>
      <abilityName>全半角检查</abilityName>
      <candidateList>
        <item>）</item>
      </candidateList>
      <explain>文本全半角错误。</explain>
      <paraID>7F2C21D4</paraID>
      <start>61</start>
      <end>62</end>
      <status>unmodified</status>
      <modifiedWord/>
      <trackRevisions>false</trackRevisions>
    </reviewItem>
    <reviewItem>
      <errorID>3bf1d694-91ae-48c9-98a2-e79e71e8a80f</errorID>
      <errorWord>(</errorWord>
      <group>L1_Format</group>
      <groupName>格式问题</groupName>
      <ability>L2_HalfPunc</ability>
      <abilityName>全半角检查</abilityName>
      <candidateList>
        <item>（</item>
      </candidateList>
      <explain>文本全半角错误。</explain>
      <paraID>2E78D8C0</paraID>
      <start>19</start>
      <end>20</end>
      <status>unmodified</status>
      <modifiedWord/>
      <trackRevisions>false</trackRevisions>
    </reviewItem>
    <reviewItem>
      <errorID>d96cba1e-58ae-4e29-8cda-e0bfcabcecef</errorID>
      <errorWord>)</errorWord>
      <group>L1_Format</group>
      <groupName>格式问题</groupName>
      <ability>L2_HalfPunc</ability>
      <abilityName>全半角检查</abilityName>
      <candidateList>
        <item>）</item>
      </candidateList>
      <explain>文本全半角错误。</explain>
      <paraID>2E78D8C0</paraID>
      <start>21</start>
      <end>22</end>
      <status>unmodified</status>
      <modifiedWord/>
      <trackRevisions>false</trackRevisions>
    </reviewItem>
    <reviewItem>
      <errorID>ad86da48-fac0-4237-8431-da1be5339f68</errorID>
      <errorWord>部分地</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4A978E51</paraID>
      <start>66</start>
      <end>69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b5c8bc-341a-4d77-a81a-2dff191f2c2a}">
  <ds:schemaRefs/>
</ds:datastoreItem>
</file>

<file path=docProps/app.xml><?xml version="1.0" encoding="utf-8"?>
<Properties xmlns="http://schemas.openxmlformats.org/officeDocument/2006/extended-properties" xmlns:vt="http://schemas.openxmlformats.org/officeDocument/2006/docPropsVTypes">
  <Pages>289</Pages>
  <Words>5957</Words>
  <Characters>6448</Characters>
  <TotalTime>4</TotalTime>
  <ScaleCrop>false</ScaleCrop>
  <LinksUpToDate>false</LinksUpToDate>
  <CharactersWithSpaces>6849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2025-12-31T11:25:00Z</dcterms:created>
  <dc:creator>yang</dc:creator>
  <cp:lastModifiedBy>NTKO</cp:lastModifiedBy>
  <cp:lastPrinted>2026-01-12T01:19:52Z</cp:lastPrinted>
  <dcterms:modified xsi:type="dcterms:W3CDTF">2026-01-12T01:21:25Z</dcterms:modified>
  <dc:title>&lt;473A5C32D5D0CDB6B1EACFEEC4BFB1B8B0B85C312BC4E2CEC45C32303235313232342DB9E3B6ABCAA1BDBBCDA8D4CBCAE4CCFCB9D8D3DAD3A1B7A2B9E3B6ABCAA1B9ABC2B7B9A4B3CCBFB1B2ECC9E8BCC6A1A2BFB1B2ECC9E8BCC6D7C9D1AFBACDCAA9B9A4D7CAB8F1D4A4C9F3A1A2CAA9B9A4A1A2CAA9B</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2026-01-04T14:11:57Z</vt:filetime>
  </property>
  <property fmtid="{D5CDD505-2E9C-101B-9397-08002B2CF9AE}" pid="4" name="KSOTemplateDocerSaveRecord">
    <vt:lpwstr>eyJoZGlkIjoiMDJmZDg4NzIzNTAyMjFkOGEyMjA2YTMwMDE0OGVmZjAiLCJ1c2VySWQiOiI1MDk3ODM1OTQifQ==</vt:lpwstr>
  </property>
  <property fmtid="{D5CDD505-2E9C-101B-9397-08002B2CF9AE}" pid="5" name="KSOProductBuildVer">
    <vt:lpwstr>2052-12.1.0.24034</vt:lpwstr>
  </property>
  <property fmtid="{D5CDD505-2E9C-101B-9397-08002B2CF9AE}" pid="6" name="ICV">
    <vt:lpwstr>65AAA64A0B6041BD960451319F02D464_13</vt:lpwstr>
  </property>
</Properties>
</file>