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36E2D">
      <w:pPr>
        <w:jc w:val="center"/>
        <w:textAlignment w:val="baseline"/>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煤炭采购合同</w:t>
      </w:r>
    </w:p>
    <w:p w14:paraId="5BE3A295">
      <w:pPr>
        <w:pStyle w:val="2"/>
        <w:rPr>
          <w:rFonts w:hint="eastAsia"/>
        </w:rPr>
      </w:pPr>
    </w:p>
    <w:p w14:paraId="56BD14DE">
      <w:pPr>
        <w:pStyle w:val="2"/>
        <w:rPr>
          <w:rFonts w:hint="eastAsia"/>
          <w:lang w:val="en-US" w:eastAsia="zh-CN"/>
        </w:rPr>
      </w:pPr>
    </w:p>
    <w:p w14:paraId="02EA489A">
      <w:pPr>
        <w:spacing w:line="360" w:lineRule="auto"/>
        <w:textAlignment w:val="baseline"/>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需方</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cs="宋体"/>
          <w:sz w:val="24"/>
          <w:highlight w:val="none"/>
          <w:lang w:val="en-US" w:eastAsia="zh-CN"/>
        </w:rPr>
        <w:t xml:space="preserve"> </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rPr>
        <w:t>合同编号：</w:t>
      </w:r>
    </w:p>
    <w:p w14:paraId="6777E790">
      <w:pPr>
        <w:pStyle w:val="2"/>
        <w:rPr>
          <w:rFonts w:hint="eastAsia"/>
          <w:lang w:val="en-US" w:eastAsia="zh-CN"/>
        </w:rPr>
      </w:pPr>
    </w:p>
    <w:p w14:paraId="67376E7D">
      <w:pPr>
        <w:spacing w:line="360" w:lineRule="auto"/>
        <w:textAlignment w:val="baseline"/>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 xml:space="preserve">供方：                                   </w:t>
      </w:r>
      <w:r>
        <w:rPr>
          <w:rFonts w:hint="eastAsia" w:asciiTheme="minorEastAsia" w:hAnsiTheme="minorEastAsia" w:cstheme="minorEastAsia"/>
          <w:sz w:val="24"/>
          <w:szCs w:val="24"/>
          <w:highlight w:val="none"/>
          <w:lang w:val="en-US" w:eastAsia="zh-CN"/>
        </w:rPr>
        <w:t xml:space="preserve">   </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val="0"/>
          <w:color w:val="auto"/>
          <w:sz w:val="24"/>
          <w:szCs w:val="24"/>
          <w:highlight w:val="none"/>
        </w:rPr>
        <w:t>合同编号：</w:t>
      </w:r>
      <w:r>
        <w:rPr>
          <w:rFonts w:hint="eastAsia" w:ascii="宋体" w:hAnsi="宋体" w:eastAsia="宋体" w:cs="宋体"/>
          <w:b/>
          <w:color w:val="auto"/>
          <w:sz w:val="24"/>
          <w:szCs w:val="24"/>
          <w:highlight w:val="none"/>
          <w:lang w:val="en-US" w:eastAsia="zh-CN"/>
        </w:rPr>
        <w:t xml:space="preserve"> </w:t>
      </w:r>
    </w:p>
    <w:p w14:paraId="583B98C4">
      <w:pPr>
        <w:pStyle w:val="2"/>
        <w:rPr>
          <w:rFonts w:hint="eastAsia"/>
          <w:lang w:val="en-US" w:eastAsia="zh-CN"/>
        </w:rPr>
      </w:pPr>
    </w:p>
    <w:p w14:paraId="41466910">
      <w:pPr>
        <w:spacing w:before="48" w:line="184" w:lineRule="auto"/>
        <w:ind w:firstLine="44"/>
        <w:rPr>
          <w:rFonts w:hint="eastAsia" w:ascii="宋体" w:hAnsi="宋体" w:eastAsia="宋体" w:cs="宋体"/>
          <w:b w:val="0"/>
          <w:bCs/>
          <w:color w:val="auto"/>
          <w:sz w:val="24"/>
          <w:szCs w:val="24"/>
          <w:highlight w:val="none"/>
          <w:lang w:val="en-US"/>
        </w:rPr>
      </w:pPr>
      <w:r>
        <w:rPr>
          <w:rFonts w:hint="eastAsia" w:ascii="宋体" w:hAnsi="宋体" w:eastAsia="宋体" w:cs="宋体"/>
          <w:b/>
          <w:color w:val="auto"/>
          <w:sz w:val="24"/>
          <w:szCs w:val="24"/>
          <w:highlight w:val="none"/>
          <w:lang w:val="en-US" w:eastAsia="zh-CN"/>
        </w:rPr>
        <w:t xml:space="preserve">合同签订地点：          </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bCs w:val="0"/>
          <w:color w:val="auto"/>
          <w:sz w:val="24"/>
          <w:szCs w:val="24"/>
          <w:highlight w:val="none"/>
          <w:lang w:val="en-US" w:eastAsia="zh-CN"/>
        </w:rPr>
        <w:t xml:space="preserve">       签订时间：</w:t>
      </w:r>
      <w:r>
        <w:rPr>
          <w:rFonts w:hint="eastAsia" w:ascii="宋体" w:hAnsi="宋体" w:eastAsia="宋体" w:cs="宋体"/>
          <w:b w:val="0"/>
          <w:bCs/>
          <w:color w:val="auto"/>
          <w:sz w:val="24"/>
          <w:szCs w:val="24"/>
          <w:highlight w:val="none"/>
          <w:lang w:val="en-US" w:eastAsia="zh-CN"/>
        </w:rPr>
        <w:t>2026年  月  日</w:t>
      </w:r>
    </w:p>
    <w:p w14:paraId="0FBF28B7">
      <w:pPr>
        <w:tabs>
          <w:tab w:val="left" w:pos="4740"/>
        </w:tabs>
        <w:snapToGrid w:val="0"/>
        <w:spacing w:line="360" w:lineRule="auto"/>
        <w:ind w:right="-6"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7D4FAC6F">
      <w:pPr>
        <w:keepNext w:val="0"/>
        <w:keepLines w:val="0"/>
        <w:pageBreakBefore w:val="0"/>
        <w:tabs>
          <w:tab w:val="left" w:pos="4740"/>
        </w:tabs>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依据《中华人民共和国民法典》，并遵守公平、公正的原则，根据目前市场情况，经</w:t>
      </w:r>
      <w:r>
        <w:rPr>
          <w:rFonts w:hint="eastAsia" w:ascii="宋体" w:hAnsi="宋体" w:eastAsia="宋体" w:cs="宋体"/>
          <w:color w:val="auto"/>
          <w:sz w:val="24"/>
          <w:szCs w:val="24"/>
          <w:highlight w:val="none"/>
          <w:lang w:eastAsia="zh-CN"/>
        </w:rPr>
        <w:t>供需</w:t>
      </w:r>
      <w:r>
        <w:rPr>
          <w:rFonts w:hint="eastAsia" w:ascii="宋体" w:hAnsi="宋体" w:eastAsia="宋体" w:cs="宋体"/>
          <w:color w:val="auto"/>
          <w:sz w:val="24"/>
          <w:szCs w:val="24"/>
          <w:highlight w:val="none"/>
        </w:rPr>
        <w:t>双方友好协商一致，达成如下</w:t>
      </w:r>
      <w:r>
        <w:rPr>
          <w:rFonts w:hint="eastAsia" w:ascii="宋体" w:hAnsi="宋体" w:eastAsia="宋体" w:cs="宋体"/>
          <w:color w:val="auto"/>
          <w:sz w:val="24"/>
          <w:szCs w:val="24"/>
          <w:highlight w:val="none"/>
          <w:lang w:val="en-US" w:eastAsia="zh-CN"/>
        </w:rPr>
        <w:t>约定</w:t>
      </w:r>
      <w:r>
        <w:rPr>
          <w:rFonts w:hint="eastAsia" w:ascii="宋体" w:hAnsi="宋体" w:eastAsia="宋体" w:cs="宋体"/>
          <w:color w:val="auto"/>
          <w:sz w:val="24"/>
          <w:szCs w:val="24"/>
          <w:highlight w:val="none"/>
        </w:rPr>
        <w:t>,双方共同执行。</w:t>
      </w:r>
    </w:p>
    <w:p w14:paraId="75871995">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一、煤种</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烟煤</w:t>
      </w:r>
      <w:r>
        <w:rPr>
          <w:rFonts w:hint="eastAsia" w:ascii="宋体" w:hAnsi="宋体" w:eastAsia="宋体" w:cs="宋体"/>
          <w:color w:val="auto"/>
          <w:sz w:val="24"/>
          <w:szCs w:val="24"/>
          <w:highlight w:val="none"/>
        </w:rPr>
        <w:t xml:space="preserve"> </w:t>
      </w:r>
    </w:p>
    <w:p w14:paraId="5E697964">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品种</w:t>
      </w:r>
      <w:r>
        <w:rPr>
          <w:rFonts w:hint="eastAsia" w:ascii="宋体" w:hAnsi="宋体" w:eastAsia="宋体" w:cs="宋体"/>
          <w:color w:val="auto"/>
          <w:sz w:val="24"/>
          <w:szCs w:val="24"/>
          <w:highlight w:val="none"/>
        </w:rPr>
        <w:t>：</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00千卡</w:t>
      </w:r>
      <w:r>
        <w:rPr>
          <w:rFonts w:hint="eastAsia" w:ascii="宋体" w:hAnsi="宋体" w:eastAsia="宋体" w:cs="宋体"/>
          <w:sz w:val="24"/>
          <w:szCs w:val="24"/>
          <w:highlight w:val="none"/>
          <w:lang w:val="en-US" w:eastAsia="zh-CN"/>
        </w:rPr>
        <w:t>烟煤</w:t>
      </w:r>
    </w:p>
    <w:p w14:paraId="2AA36560">
      <w:pPr>
        <w:keepNext w:val="0"/>
        <w:keepLines w:val="0"/>
        <w:pageBreakBefore w:val="0"/>
        <w:numPr>
          <w:ilvl w:val="0"/>
          <w:numId w:val="1"/>
        </w:numPr>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数量、供货时间及供货代码:</w:t>
      </w:r>
    </w:p>
    <w:p w14:paraId="0F3EB956">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数量：</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万吨</w:t>
      </w:r>
    </w:p>
    <w:p w14:paraId="1ADC4099">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color w:val="auto"/>
          <w:sz w:val="24"/>
          <w:szCs w:val="24"/>
          <w:highlight w:val="none"/>
        </w:rPr>
      </w:pPr>
      <w:bookmarkStart w:id="0" w:name="OLE_LINK3"/>
      <w:r>
        <w:rPr>
          <w:rFonts w:hint="eastAsia" w:ascii="宋体" w:hAnsi="宋体" w:eastAsia="宋体" w:cs="宋体"/>
          <w:b/>
          <w:color w:val="auto"/>
          <w:sz w:val="24"/>
          <w:szCs w:val="24"/>
          <w:highlight w:val="none"/>
        </w:rPr>
        <w:t>供货</w:t>
      </w:r>
      <w:r>
        <w:rPr>
          <w:rFonts w:hint="eastAsia" w:ascii="宋体" w:hAnsi="宋体" w:eastAsia="宋体" w:cs="宋体"/>
          <w:b/>
          <w:color w:val="auto"/>
          <w:sz w:val="24"/>
          <w:szCs w:val="24"/>
          <w:highlight w:val="none"/>
          <w:lang w:val="en-US" w:eastAsia="zh-CN"/>
        </w:rPr>
        <w:t>周期</w:t>
      </w:r>
      <w:bookmarkEnd w:id="0"/>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yellow"/>
          <w:lang w:val="en-US" w:eastAsia="zh-CN"/>
        </w:rPr>
        <w:t>合同签订之日至2026年8月15日</w:t>
      </w:r>
      <w:r>
        <w:rPr>
          <w:rFonts w:hint="eastAsia" w:ascii="宋体" w:hAnsi="宋体" w:eastAsia="宋体" w:cs="宋体"/>
          <w:color w:val="auto"/>
          <w:sz w:val="24"/>
          <w:szCs w:val="24"/>
          <w:highlight w:val="none"/>
          <w:lang w:val="en-US" w:eastAsia="zh-CN"/>
        </w:rPr>
        <w:t>，</w:t>
      </w:r>
      <w:bookmarkStart w:id="1" w:name="OLE_LINK2"/>
      <w:r>
        <w:rPr>
          <w:rFonts w:hint="eastAsia" w:ascii="宋体" w:hAnsi="宋体" w:eastAsia="宋体" w:cs="宋体"/>
          <w:color w:val="auto"/>
          <w:sz w:val="24"/>
          <w:szCs w:val="24"/>
          <w:highlight w:val="none"/>
          <w:lang w:val="en-US" w:eastAsia="zh-CN"/>
        </w:rPr>
        <w:t>火车以铁路部门出具的货物运单制单日期为准</w:t>
      </w:r>
      <w:bookmarkEnd w:id="1"/>
      <w:r>
        <w:rPr>
          <w:rFonts w:hint="eastAsia" w:ascii="宋体" w:hAnsi="宋体" w:eastAsia="宋体" w:cs="宋体"/>
          <w:color w:val="auto"/>
          <w:sz w:val="24"/>
          <w:szCs w:val="24"/>
          <w:highlight w:val="none"/>
        </w:rPr>
        <w:t>。</w:t>
      </w:r>
    </w:p>
    <w:p w14:paraId="11E3F773">
      <w:pPr>
        <w:keepNext w:val="0"/>
        <w:keepLines w:val="0"/>
        <w:pageBreakBefore w:val="0"/>
        <w:kinsoku/>
        <w:wordWrap/>
        <w:overflowPunct/>
        <w:topLinePunct w:val="0"/>
        <w:autoSpaceDE/>
        <w:autoSpaceDN/>
        <w:bidi w:val="0"/>
        <w:adjustRightInd/>
        <w:snapToGrid/>
        <w:spacing w:before="0" w:line="440" w:lineRule="exact"/>
        <w:ind w:righ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供货代码:</w:t>
      </w:r>
      <w:r>
        <w:rPr>
          <w:rFonts w:hint="eastAsia" w:ascii="宋体" w:hAnsi="宋体" w:eastAsia="宋体" w:cs="宋体"/>
          <w:b/>
          <w:color w:val="auto"/>
          <w:sz w:val="24"/>
          <w:szCs w:val="24"/>
          <w:highlight w:val="none"/>
          <w:lang w:val="en-US" w:eastAsia="zh-CN"/>
        </w:rPr>
        <w:t xml:space="preserve"> </w:t>
      </w:r>
    </w:p>
    <w:p w14:paraId="763F6BD7">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三、质量:</w:t>
      </w:r>
    </w:p>
    <w:p w14:paraId="3D9C6182">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bookmarkStart w:id="2" w:name="OLE_LINK16"/>
      <w:r>
        <w:rPr>
          <w:rFonts w:hint="eastAsia" w:ascii="宋体" w:hAnsi="宋体" w:eastAsia="宋体" w:cs="宋体"/>
          <w:color w:val="auto"/>
          <w:sz w:val="24"/>
          <w:szCs w:val="24"/>
          <w:highlight w:val="none"/>
          <w:lang w:val="en-US" w:eastAsia="zh-CN"/>
        </w:rPr>
        <w:t xml:space="preserve">1.收到基低位发热量Qnet,ar：≥3000千卡／千克。 </w:t>
      </w:r>
    </w:p>
    <w:p w14:paraId="1D9929A8">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2.干燥基硫分St,d：≤1.20%。</w:t>
      </w:r>
    </w:p>
    <w:p w14:paraId="495B6144">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3.干燥无灰基挥发分Vdaf：≥27％。</w:t>
      </w:r>
    </w:p>
    <w:p w14:paraId="13FC6768">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4.收到基全水分（Mt）：≤9%。</w:t>
      </w:r>
    </w:p>
    <w:p w14:paraId="1BA9FC7E">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5.煤中氟（Fd）：≤600</w:t>
      </w:r>
      <w:r>
        <w:rPr>
          <w:rFonts w:hint="default" w:ascii="宋体" w:hAnsi="宋体" w:eastAsia="宋体" w:cs="宋体"/>
          <w:color w:val="auto"/>
          <w:sz w:val="24"/>
          <w:szCs w:val="24"/>
          <w:highlight w:val="none"/>
          <w:lang w:eastAsia="zh-CN"/>
        </w:rPr>
        <w:t>ug</w:t>
      </w:r>
      <w:r>
        <w:rPr>
          <w:rFonts w:hint="eastAsia" w:ascii="宋体" w:hAnsi="宋体" w:eastAsia="宋体" w:cs="宋体"/>
          <w:color w:val="auto"/>
          <w:sz w:val="24"/>
          <w:szCs w:val="24"/>
          <w:highlight w:val="none"/>
          <w:lang w:val="en-US" w:eastAsia="zh-CN"/>
        </w:rPr>
        <w:t>/g。</w:t>
      </w:r>
    </w:p>
    <w:p w14:paraId="617DA815">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6.煤的镜质体平均最大反射率（Rmax）：＜2.5，对应频率（%）占比≤2%。</w:t>
      </w:r>
    </w:p>
    <w:bookmarkEnd w:id="2"/>
    <w:p w14:paraId="094C6F59">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b/>
          <w:sz w:val="24"/>
          <w:szCs w:val="24"/>
          <w:highlight w:val="none"/>
        </w:rPr>
      </w:pPr>
      <w:r>
        <w:rPr>
          <w:rFonts w:hint="eastAsia" w:ascii="宋体" w:hAnsi="宋体" w:eastAsia="宋体" w:cs="宋体"/>
          <w:b/>
          <w:bCs/>
          <w:color w:val="000000"/>
          <w:sz w:val="24"/>
          <w:szCs w:val="24"/>
          <w:highlight w:val="none"/>
        </w:rPr>
        <w:t>四、</w:t>
      </w:r>
      <w:r>
        <w:rPr>
          <w:rFonts w:hint="eastAsia" w:ascii="宋体" w:hAnsi="宋体" w:eastAsia="宋体" w:cs="宋体"/>
          <w:b/>
          <w:sz w:val="24"/>
          <w:szCs w:val="24"/>
          <w:highlight w:val="none"/>
        </w:rPr>
        <w:t>运输方式和交货地点：</w:t>
      </w:r>
    </w:p>
    <w:p w14:paraId="1C7294CF">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1.运输方式：汽车或火车运输 。</w:t>
      </w:r>
    </w:p>
    <w:p w14:paraId="36D7945E">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2.汽车运输：新能源车辆运输比例需满足国家环保清洁运输要求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从运输成本、节能环保等方面考虑，</w:t>
      </w:r>
      <w:r>
        <w:rPr>
          <w:rFonts w:hint="eastAsia" w:ascii="宋体" w:hAnsi="宋体" w:eastAsia="宋体" w:cs="宋体"/>
          <w:sz w:val="24"/>
          <w:szCs w:val="24"/>
          <w:highlight w:val="none"/>
          <w:lang w:eastAsia="zh-CN"/>
        </w:rPr>
        <w:t>需</w:t>
      </w:r>
      <w:r>
        <w:rPr>
          <w:rFonts w:hint="eastAsia" w:ascii="宋体" w:hAnsi="宋体" w:eastAsia="宋体" w:cs="宋体"/>
          <w:sz w:val="24"/>
          <w:szCs w:val="24"/>
          <w:highlight w:val="none"/>
        </w:rPr>
        <w:t>方鼓励</w:t>
      </w:r>
      <w:r>
        <w:rPr>
          <w:rFonts w:hint="eastAsia" w:ascii="宋体" w:hAnsi="宋体" w:eastAsia="宋体" w:cs="宋体"/>
          <w:sz w:val="24"/>
          <w:szCs w:val="24"/>
          <w:highlight w:val="none"/>
          <w:lang w:eastAsia="zh-CN"/>
        </w:rPr>
        <w:t>供</w:t>
      </w:r>
      <w:r>
        <w:rPr>
          <w:rFonts w:hint="eastAsia" w:ascii="宋体" w:hAnsi="宋体" w:eastAsia="宋体" w:cs="宋体"/>
          <w:sz w:val="24"/>
          <w:szCs w:val="24"/>
          <w:highlight w:val="none"/>
        </w:rPr>
        <w:t>方优先考虑新能源车辆运输，符合相关条件，</w:t>
      </w:r>
      <w:r>
        <w:rPr>
          <w:rFonts w:hint="eastAsia" w:ascii="宋体" w:hAnsi="宋体" w:eastAsia="宋体" w:cs="宋体"/>
          <w:sz w:val="24"/>
          <w:szCs w:val="24"/>
          <w:highlight w:val="none"/>
          <w:lang w:eastAsia="zh-CN"/>
        </w:rPr>
        <w:t>需</w:t>
      </w:r>
      <w:r>
        <w:rPr>
          <w:rFonts w:hint="eastAsia" w:ascii="宋体" w:hAnsi="宋体" w:eastAsia="宋体" w:cs="宋体"/>
          <w:sz w:val="24"/>
          <w:szCs w:val="24"/>
          <w:highlight w:val="none"/>
        </w:rPr>
        <w:t>方将优先接卸新能源车辆运输来煤。</w:t>
      </w:r>
    </w:p>
    <w:p w14:paraId="542C4906">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.交货地点：</w:t>
      </w:r>
      <w:r>
        <w:rPr>
          <w:rFonts w:hint="eastAsia" w:ascii="宋体" w:hAnsi="宋体" w:eastAsia="宋体" w:cs="宋体"/>
          <w:sz w:val="24"/>
          <w:szCs w:val="24"/>
          <w:highlight w:val="none"/>
          <w:lang w:val="en-US" w:eastAsia="zh-CN"/>
        </w:rPr>
        <w:t>曲靖电厂</w:t>
      </w:r>
      <w:r>
        <w:rPr>
          <w:rFonts w:hint="eastAsia" w:ascii="宋体" w:hAnsi="宋体" w:eastAsia="宋体" w:cs="宋体"/>
          <w:sz w:val="24"/>
          <w:szCs w:val="24"/>
          <w:highlight w:val="none"/>
        </w:rPr>
        <w:t>煤场或</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rPr>
        <w:t>指定的交货地点</w:t>
      </w:r>
    </w:p>
    <w:p w14:paraId="4373DFC1">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.货物交付</w:t>
      </w:r>
      <w:r>
        <w:rPr>
          <w:rFonts w:hint="eastAsia" w:ascii="宋体" w:hAnsi="宋体" w:eastAsia="宋体" w:cs="宋体"/>
          <w:sz w:val="24"/>
          <w:szCs w:val="24"/>
          <w:highlight w:val="none"/>
          <w:lang w:val="en-US" w:eastAsia="zh-CN"/>
        </w:rPr>
        <w:t>曲靖电厂</w:t>
      </w:r>
      <w:r>
        <w:rPr>
          <w:rFonts w:hint="eastAsia" w:ascii="宋体" w:hAnsi="宋体" w:eastAsia="宋体" w:cs="宋体"/>
          <w:sz w:val="24"/>
          <w:szCs w:val="24"/>
          <w:highlight w:val="none"/>
        </w:rPr>
        <w:t>并经</w:t>
      </w:r>
      <w:r>
        <w:rPr>
          <w:rFonts w:hint="eastAsia" w:ascii="宋体" w:hAnsi="宋体" w:eastAsia="宋体" w:cs="宋体"/>
          <w:sz w:val="24"/>
          <w:szCs w:val="24"/>
          <w:highlight w:val="none"/>
          <w:lang w:val="en-US" w:eastAsia="zh-CN"/>
        </w:rPr>
        <w:t>曲靖电厂</w:t>
      </w:r>
      <w:r>
        <w:rPr>
          <w:rFonts w:hint="eastAsia" w:ascii="宋体" w:hAnsi="宋体" w:eastAsia="宋体" w:cs="宋体"/>
          <w:sz w:val="24"/>
          <w:szCs w:val="24"/>
          <w:highlight w:val="none"/>
        </w:rPr>
        <w:t>验收合格且卸货至</w:t>
      </w:r>
      <w:r>
        <w:rPr>
          <w:rFonts w:hint="eastAsia" w:ascii="宋体" w:hAnsi="宋体" w:eastAsia="宋体" w:cs="宋体"/>
          <w:sz w:val="24"/>
          <w:szCs w:val="24"/>
          <w:highlight w:val="none"/>
          <w:lang w:val="en-US" w:eastAsia="zh-CN"/>
        </w:rPr>
        <w:t>曲靖电厂</w:t>
      </w:r>
      <w:r>
        <w:rPr>
          <w:rFonts w:hint="eastAsia" w:ascii="宋体" w:hAnsi="宋体" w:eastAsia="宋体" w:cs="宋体"/>
          <w:sz w:val="24"/>
          <w:szCs w:val="24"/>
          <w:highlight w:val="none"/>
        </w:rPr>
        <w:t>指定场地前的货物毁损风险及其他风险均由</w:t>
      </w:r>
      <w:r>
        <w:rPr>
          <w:rFonts w:hint="eastAsia" w:ascii="宋体" w:hAnsi="宋体" w:eastAsia="宋体" w:cs="宋体"/>
          <w:sz w:val="24"/>
          <w:szCs w:val="24"/>
          <w:highlight w:val="none"/>
          <w:lang w:eastAsia="zh-CN"/>
        </w:rPr>
        <w:t>供方</w:t>
      </w:r>
      <w:r>
        <w:rPr>
          <w:rFonts w:hint="eastAsia" w:ascii="宋体" w:hAnsi="宋体" w:eastAsia="宋体" w:cs="宋体"/>
          <w:sz w:val="24"/>
          <w:szCs w:val="24"/>
          <w:highlight w:val="none"/>
        </w:rPr>
        <w:t>承担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供方运煤车辆及驾驶员在曲靖电厂区域内发生的任何风险由供方自行承担</w:t>
      </w:r>
      <w:r>
        <w:rPr>
          <w:rFonts w:hint="eastAsia" w:ascii="宋体" w:hAnsi="宋体" w:eastAsia="宋体" w:cs="宋体"/>
          <w:sz w:val="24"/>
          <w:szCs w:val="24"/>
          <w:highlight w:val="none"/>
        </w:rPr>
        <w:t>。</w:t>
      </w:r>
    </w:p>
    <w:p w14:paraId="08F2AC1E">
      <w:pPr>
        <w:keepNext w:val="0"/>
        <w:keepLines w:val="0"/>
        <w:pageBreakBefore w:val="0"/>
        <w:kinsoku/>
        <w:wordWrap/>
        <w:overflowPunct/>
        <w:topLinePunct w:val="0"/>
        <w:autoSpaceDE/>
        <w:autoSpaceDN/>
        <w:bidi w:val="0"/>
        <w:adjustRightInd/>
        <w:snapToGrid/>
        <w:spacing w:line="440" w:lineRule="exact"/>
        <w:ind w:right="0" w:firstLine="482" w:firstLineChars="200"/>
        <w:textAlignment w:val="baseline"/>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五、价格（一票到厂，含13%全额增值税专用发票）:</w:t>
      </w:r>
    </w:p>
    <w:p w14:paraId="56FB9D74">
      <w:pPr>
        <w:keepNext w:val="0"/>
        <w:keepLines w:val="0"/>
        <w:pageBreakBefore w:val="0"/>
        <w:kinsoku/>
        <w:wordWrap/>
        <w:overflowPunct/>
        <w:topLinePunct w:val="0"/>
        <w:autoSpaceDE/>
        <w:autoSpaceDN/>
        <w:bidi w:val="0"/>
        <w:adjustRightInd/>
        <w:snapToGrid/>
        <w:spacing w:line="440" w:lineRule="exact"/>
        <w:ind w:right="0" w:firstLine="480" w:firstLineChars="200"/>
        <w:textAlignment w:val="baseline"/>
        <w:rPr>
          <w:rFonts w:hint="eastAsia" w:ascii="宋体" w:hAnsi="宋体" w:eastAsia="宋体" w:cs="宋体"/>
          <w:color w:val="auto"/>
          <w:kern w:val="2"/>
          <w:sz w:val="24"/>
          <w:szCs w:val="24"/>
          <w:highlight w:val="none"/>
        </w:rPr>
      </w:pPr>
      <w:r>
        <w:rPr>
          <w:rFonts w:hint="eastAsia" w:ascii="宋体" w:hAnsi="宋体" w:eastAsia="宋体" w:cs="宋体"/>
          <w:sz w:val="24"/>
          <w:szCs w:val="24"/>
          <w:highlight w:val="none"/>
        </w:rPr>
        <w:t>1.</w:t>
      </w:r>
      <w:r>
        <w:rPr>
          <w:rFonts w:hint="eastAsia" w:ascii="宋体" w:hAnsi="宋体" w:eastAsia="宋体" w:cs="宋体"/>
          <w:b w:val="0"/>
          <w:i w:val="0"/>
          <w:caps w:val="0"/>
          <w:spacing w:val="0"/>
          <w:w w:val="100"/>
          <w:sz w:val="24"/>
          <w:szCs w:val="24"/>
          <w:highlight w:val="none"/>
        </w:rPr>
        <w:t>到</w:t>
      </w:r>
      <w:r>
        <w:rPr>
          <w:rFonts w:hint="eastAsia" w:ascii="宋体" w:hAnsi="宋体" w:eastAsia="宋体" w:cs="宋体"/>
          <w:b w:val="0"/>
          <w:i w:val="0"/>
          <w:caps w:val="0"/>
          <w:spacing w:val="0"/>
          <w:w w:val="100"/>
          <w:sz w:val="24"/>
          <w:szCs w:val="24"/>
          <w:highlight w:val="none"/>
          <w:lang w:val="en-US" w:eastAsia="zh-CN"/>
        </w:rPr>
        <w:t>曲靖电</w:t>
      </w:r>
      <w:r>
        <w:rPr>
          <w:rFonts w:hint="eastAsia" w:ascii="宋体" w:hAnsi="宋体" w:eastAsia="宋体" w:cs="宋体"/>
          <w:b w:val="0"/>
          <w:i w:val="0"/>
          <w:caps w:val="0"/>
          <w:spacing w:val="0"/>
          <w:w w:val="100"/>
          <w:sz w:val="24"/>
          <w:szCs w:val="24"/>
          <w:highlight w:val="none"/>
        </w:rPr>
        <w:t>厂包干含税单价：</w:t>
      </w:r>
      <w:r>
        <w:rPr>
          <w:rFonts w:hint="eastAsia" w:ascii="宋体" w:hAnsi="宋体" w:eastAsia="宋体" w:cs="宋体"/>
          <w:b w:val="0"/>
          <w:i w:val="0"/>
          <w:caps w:val="0"/>
          <w:color w:val="auto"/>
          <w:spacing w:val="0"/>
          <w:w w:val="100"/>
          <w:sz w:val="24"/>
          <w:szCs w:val="24"/>
          <w:highlight w:val="none"/>
        </w:rPr>
        <w:t>一票到厂含税价</w:t>
      </w:r>
      <w:r>
        <w:rPr>
          <w:rFonts w:hint="eastAsia" w:ascii="宋体" w:hAnsi="宋体" w:eastAsia="宋体" w:cs="宋体"/>
          <w:b w:val="0"/>
          <w:i w:val="0"/>
          <w:caps w:val="0"/>
          <w:color w:val="auto"/>
          <w:spacing w:val="0"/>
          <w:w w:val="100"/>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val="en-US" w:eastAsia="zh-CN" w:bidi="ar-SA"/>
        </w:rPr>
        <w:t>元/吨（</w:t>
      </w:r>
      <w:r>
        <w:rPr>
          <w:rFonts w:hint="eastAsia" w:ascii="宋体" w:hAnsi="宋体" w:eastAsia="宋体" w:cs="宋体"/>
          <w:color w:val="auto"/>
          <w:sz w:val="24"/>
          <w:szCs w:val="24"/>
          <w:lang w:val="en-US" w:eastAsia="zh-CN"/>
        </w:rPr>
        <w:t>折卡价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元/千卡.吨</w:t>
      </w:r>
      <w:r>
        <w:rPr>
          <w:rFonts w:hint="eastAsia" w:ascii="宋体" w:hAnsi="宋体" w:eastAsia="宋体" w:cs="宋体"/>
          <w:color w:val="auto"/>
          <w:kern w:val="2"/>
          <w:sz w:val="24"/>
          <w:szCs w:val="24"/>
          <w:highlight w:val="none"/>
          <w:lang w:val="en-US" w:eastAsia="zh-CN" w:bidi="ar-SA"/>
        </w:rPr>
        <w:t>）；不含</w:t>
      </w:r>
      <w:r>
        <w:rPr>
          <w:rFonts w:hint="eastAsia" w:ascii="宋体" w:hAnsi="宋体" w:eastAsia="宋体" w:cs="宋体"/>
          <w:b w:val="0"/>
          <w:i w:val="0"/>
          <w:caps w:val="0"/>
          <w:color w:val="auto"/>
          <w:spacing w:val="0"/>
          <w:w w:val="100"/>
          <w:sz w:val="24"/>
          <w:szCs w:val="24"/>
          <w:highlight w:val="none"/>
        </w:rPr>
        <w:t>税价</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元/吨（折卡价</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元/千卡·吨）</w:t>
      </w:r>
      <w:r>
        <w:rPr>
          <w:rFonts w:hint="eastAsia" w:ascii="宋体" w:hAnsi="宋体" w:eastAsia="宋体" w:cs="宋体"/>
          <w:b w:val="0"/>
          <w:i w:val="0"/>
          <w:caps w:val="0"/>
          <w:color w:val="auto"/>
          <w:spacing w:val="0"/>
          <w:w w:val="100"/>
          <w:sz w:val="24"/>
          <w:szCs w:val="24"/>
          <w:highlight w:val="none"/>
          <w:lang w:val="en-US" w:eastAsia="zh-CN"/>
        </w:rPr>
        <w:t>，增值税额</w:t>
      </w:r>
      <w:r>
        <w:rPr>
          <w:rFonts w:hint="eastAsia" w:ascii="宋体" w:hAnsi="宋体" w:eastAsia="宋体" w:cs="宋体"/>
          <w:b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i w:val="0"/>
          <w:caps w:val="0"/>
          <w:color w:val="auto"/>
          <w:spacing w:val="0"/>
          <w:w w:val="100"/>
          <w:sz w:val="24"/>
          <w:szCs w:val="24"/>
          <w:highlight w:val="none"/>
          <w:lang w:val="en-US" w:eastAsia="zh-CN"/>
        </w:rPr>
        <w:t>元/吨</w:t>
      </w:r>
      <w:r>
        <w:rPr>
          <w:rFonts w:hint="eastAsia" w:ascii="宋体" w:hAnsi="宋体" w:eastAsia="宋体" w:cs="宋体"/>
          <w:color w:val="auto"/>
          <w:kern w:val="2"/>
          <w:sz w:val="24"/>
          <w:szCs w:val="24"/>
          <w:highlight w:val="none"/>
          <w:lang w:val="en-US" w:eastAsia="zh-CN" w:bidi="ar-SA"/>
        </w:rPr>
        <w:t>。计算方法：折卡价=含税煤价/基准发热量（结果保留至小数点后 4 位数）。</w:t>
      </w:r>
    </w:p>
    <w:p w14:paraId="7FF64AC7">
      <w:pPr>
        <w:pStyle w:val="2"/>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2.计价</w:t>
      </w:r>
      <w:r>
        <w:rPr>
          <w:rFonts w:hint="eastAsia" w:ascii="宋体" w:hAnsi="宋体" w:eastAsia="宋体" w:cs="宋体"/>
          <w:color w:val="auto"/>
          <w:sz w:val="24"/>
          <w:szCs w:val="24"/>
          <w:highlight w:val="none"/>
        </w:rPr>
        <w:t>考核标准：合同有效期内供煤</w:t>
      </w:r>
      <w:r>
        <w:rPr>
          <w:rFonts w:hint="eastAsia" w:ascii="宋体" w:hAnsi="宋体" w:eastAsia="宋体" w:cs="宋体"/>
          <w:color w:val="auto"/>
          <w:sz w:val="24"/>
          <w:szCs w:val="24"/>
          <w:highlight w:val="none"/>
          <w:lang w:val="en-US" w:eastAsia="zh-CN"/>
        </w:rPr>
        <w:t>的各项质量指标</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自然月以曲靖电厂</w:t>
      </w:r>
      <w:r>
        <w:rPr>
          <w:rFonts w:hint="eastAsia" w:ascii="宋体" w:hAnsi="宋体" w:eastAsia="宋体" w:cs="宋体"/>
          <w:color w:val="auto"/>
          <w:sz w:val="24"/>
          <w:szCs w:val="24"/>
          <w:highlight w:val="none"/>
        </w:rPr>
        <w:t>验收结果的加权平均值（</w:t>
      </w:r>
      <w:r>
        <w:rPr>
          <w:rFonts w:hint="eastAsia" w:ascii="宋体" w:hAnsi="宋体" w:eastAsia="宋体" w:cs="宋体"/>
          <w:color w:val="auto"/>
          <w:sz w:val="24"/>
          <w:szCs w:val="24"/>
          <w:highlight w:val="none"/>
          <w:lang w:val="en-US" w:eastAsia="zh-CN"/>
        </w:rPr>
        <w:t>发热量以“千卡/千克”为单位的结果保留至个位数，其他指标</w:t>
      </w:r>
      <w:r>
        <w:rPr>
          <w:rFonts w:hint="eastAsia" w:ascii="宋体" w:hAnsi="宋体" w:eastAsia="宋体" w:cs="宋体"/>
          <w:color w:val="auto"/>
          <w:sz w:val="24"/>
          <w:szCs w:val="24"/>
          <w:highlight w:val="none"/>
        </w:rPr>
        <w:t>结果保留</w:t>
      </w:r>
      <w:r>
        <w:rPr>
          <w:rFonts w:hint="eastAsia" w:ascii="宋体" w:hAnsi="宋体" w:eastAsia="宋体" w:cs="宋体"/>
          <w:color w:val="auto"/>
          <w:sz w:val="24"/>
          <w:szCs w:val="24"/>
          <w:highlight w:val="none"/>
          <w:lang w:val="en-US" w:eastAsia="zh-CN"/>
        </w:rPr>
        <w:t>至小数点后2 位数</w:t>
      </w:r>
      <w:r>
        <w:rPr>
          <w:rFonts w:hint="eastAsia" w:ascii="宋体" w:hAnsi="宋体" w:eastAsia="宋体" w:cs="宋体"/>
          <w:color w:val="auto"/>
          <w:sz w:val="24"/>
          <w:szCs w:val="24"/>
          <w:highlight w:val="none"/>
        </w:rPr>
        <w:t>）计价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合同另有约定的除外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13A3496">
      <w:pPr>
        <w:pStyle w:val="2"/>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质量</w:t>
      </w:r>
      <w:r>
        <w:rPr>
          <w:rFonts w:hint="eastAsia" w:ascii="宋体" w:hAnsi="宋体" w:eastAsia="宋体" w:cs="宋体"/>
          <w:sz w:val="24"/>
          <w:szCs w:val="24"/>
          <w:highlight w:val="none"/>
        </w:rPr>
        <w:t>考核</w:t>
      </w:r>
      <w:r>
        <w:rPr>
          <w:rFonts w:hint="eastAsia" w:ascii="宋体" w:hAnsi="宋体" w:eastAsia="宋体" w:cs="宋体"/>
          <w:sz w:val="24"/>
          <w:szCs w:val="24"/>
          <w:highlight w:val="none"/>
          <w:lang w:val="en-US" w:eastAsia="zh-CN"/>
        </w:rPr>
        <w:t>标准</w:t>
      </w:r>
      <w:r>
        <w:rPr>
          <w:rFonts w:hint="eastAsia" w:ascii="宋体" w:hAnsi="宋体" w:eastAsia="宋体" w:cs="宋体"/>
          <w:sz w:val="24"/>
          <w:szCs w:val="24"/>
          <w:highlight w:val="none"/>
        </w:rPr>
        <w:t>：</w:t>
      </w:r>
    </w:p>
    <w:tbl>
      <w:tblPr>
        <w:tblStyle w:val="6"/>
        <w:tblpPr w:leftFromText="180" w:rightFromText="180" w:vertAnchor="text" w:horzAnchor="page" w:tblpX="1380" w:tblpY="603"/>
        <w:tblOverlap w:val="never"/>
        <w:tblW w:w="9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7532"/>
      </w:tblGrid>
      <w:tr w14:paraId="4413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703" w:type="dxa"/>
            <w:tcBorders>
              <w:tl2br w:val="nil"/>
              <w:tr2bl w:val="nil"/>
            </w:tcBorders>
            <w:vAlign w:val="center"/>
          </w:tcPr>
          <w:p w14:paraId="336DB793">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 xml:space="preserve">发热量(Qnet,ar) </w:t>
            </w:r>
          </w:p>
          <w:p w14:paraId="63826DBA">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考核标准</w:t>
            </w:r>
          </w:p>
        </w:tc>
        <w:tc>
          <w:tcPr>
            <w:tcW w:w="7532" w:type="dxa"/>
            <w:tcBorders>
              <w:tl2br w:val="nil"/>
              <w:tr2bl w:val="nil"/>
            </w:tcBorders>
            <w:noWrap/>
            <w:vAlign w:val="center"/>
          </w:tcPr>
          <w:p w14:paraId="584B35B3">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1.收到基低位发热量≥3000千卡/千克以上的来煤：按照折卡价×实际热值计价。</w:t>
            </w:r>
          </w:p>
          <w:p w14:paraId="41ABC76E">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2.收到基低位发热量大于等于2900小于3000千卡/千克的来煤：按照（折卡价-0.0030）×实际热值计价。</w:t>
            </w:r>
          </w:p>
          <w:p w14:paraId="7CED60C4">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3.收到基低位发热量大于等于2800小于2900千卡/千克的来煤：按照（折卡价*0.0060）×实际热值计价。</w:t>
            </w:r>
          </w:p>
          <w:p w14:paraId="72024749">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4.收到基低位发热量＜2800千卡/千克的来煤，按照合同单价—（合同基准热值-实际到厂热值）×折卡价×4.0结算,直至核减为零。</w:t>
            </w:r>
          </w:p>
        </w:tc>
      </w:tr>
      <w:tr w14:paraId="6B2C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03" w:type="dxa"/>
            <w:tcBorders>
              <w:tl2br w:val="nil"/>
              <w:tr2bl w:val="nil"/>
            </w:tcBorders>
            <w:vAlign w:val="center"/>
          </w:tcPr>
          <w:p w14:paraId="25234C02">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挥发</w:t>
            </w:r>
            <w:r>
              <w:rPr>
                <w:rFonts w:hint="eastAsia" w:ascii="宋体" w:hAnsi="宋体" w:eastAsia="宋体" w:cs="宋体"/>
                <w:b w:val="0"/>
                <w:bCs w:val="0"/>
                <w:i w:val="0"/>
                <w:caps w:val="0"/>
                <w:color w:val="auto"/>
                <w:spacing w:val="0"/>
                <w:w w:val="100"/>
                <w:sz w:val="24"/>
                <w:szCs w:val="24"/>
                <w:highlight w:val="none"/>
                <w:lang w:eastAsia="zh-CN"/>
              </w:rPr>
              <w:t>分</w:t>
            </w:r>
            <w:r>
              <w:rPr>
                <w:rFonts w:hint="eastAsia" w:ascii="宋体" w:hAnsi="宋体" w:eastAsia="宋体" w:cs="宋体"/>
                <w:b w:val="0"/>
                <w:bCs w:val="0"/>
                <w:i w:val="0"/>
                <w:caps w:val="0"/>
                <w:color w:val="auto"/>
                <w:spacing w:val="0"/>
                <w:w w:val="100"/>
                <w:sz w:val="24"/>
                <w:szCs w:val="24"/>
                <w:highlight w:val="none"/>
              </w:rPr>
              <w:t>(Vdaf)</w:t>
            </w:r>
          </w:p>
          <w:p w14:paraId="41314895">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考核标准</w:t>
            </w:r>
          </w:p>
        </w:tc>
        <w:tc>
          <w:tcPr>
            <w:tcW w:w="7532" w:type="dxa"/>
            <w:tcBorders>
              <w:tl2br w:val="nil"/>
              <w:tr2bl w:val="nil"/>
            </w:tcBorders>
            <w:noWrap/>
            <w:vAlign w:val="center"/>
          </w:tcPr>
          <w:p w14:paraId="7698AB88">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0"/>
                <w:sz w:val="24"/>
                <w:szCs w:val="24"/>
                <w:highlight w:val="none"/>
              </w:rPr>
            </w:pPr>
            <w:bookmarkStart w:id="3" w:name="OLE_LINK10"/>
            <w:r>
              <w:rPr>
                <w:rFonts w:hint="eastAsia" w:ascii="宋体" w:hAnsi="宋体" w:eastAsia="宋体" w:cs="宋体"/>
                <w:color w:val="auto"/>
                <w:kern w:val="0"/>
                <w:sz w:val="24"/>
                <w:szCs w:val="24"/>
                <w:highlight w:val="none"/>
              </w:rPr>
              <w:t>挥发分(Vdaf)≥27％。挥发分(Vdaf)若低于27％,每降低1％，扣煤价3.0元/吨。</w:t>
            </w:r>
          </w:p>
          <w:p w14:paraId="20A18D55">
            <w:pPr>
              <w:widowControl/>
              <w:snapToGrid w:val="0"/>
              <w:spacing w:before="0" w:beforeAutospacing="0" w:after="0" w:afterAutospacing="0" w:line="360" w:lineRule="auto"/>
              <w:ind w:right="-6" w:rightChars="0"/>
              <w:jc w:val="left"/>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若单批次来煤干燥无灰基挥发分（Vdaf）＜24.00%，考核5万元/批次；单批次来煤干燥无灰基挥发分（Vdaf）＜20.00%，考核10万元/批次，从当月结算煤款中直接扣除。</w:t>
            </w:r>
            <w:bookmarkEnd w:id="3"/>
          </w:p>
        </w:tc>
      </w:tr>
      <w:tr w14:paraId="2A82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703" w:type="dxa"/>
            <w:tcBorders>
              <w:tl2br w:val="nil"/>
              <w:tr2bl w:val="nil"/>
            </w:tcBorders>
            <w:vAlign w:val="center"/>
          </w:tcPr>
          <w:p w14:paraId="3725E384">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全硫(St,d)</w:t>
            </w:r>
          </w:p>
          <w:p w14:paraId="4BBCF24F">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 xml:space="preserve"> 考核标准</w:t>
            </w:r>
          </w:p>
        </w:tc>
        <w:tc>
          <w:tcPr>
            <w:tcW w:w="7532" w:type="dxa"/>
            <w:tcBorders>
              <w:tl2br w:val="nil"/>
              <w:tr2bl w:val="nil"/>
            </w:tcBorders>
            <w:noWrap/>
            <w:vAlign w:val="center"/>
          </w:tcPr>
          <w:p w14:paraId="13F35B8F">
            <w:pPr>
              <w:pStyle w:val="2"/>
              <w:keepLines w:val="0"/>
              <w:snapToGrid w:val="0"/>
              <w:spacing w:before="0" w:beforeAutospacing="0" w:after="0" w:afterAutospacing="0" w:line="360" w:lineRule="auto"/>
              <w:ind w:left="0" w:leftChars="0" w:right="0" w:rightChars="0" w:firstLine="0" w:firstLineChars="0"/>
              <w:jc w:val="both"/>
              <w:textAlignment w:val="baseline"/>
              <w:rPr>
                <w:rFonts w:hint="eastAsia" w:ascii="宋体" w:hAnsi="宋体" w:eastAsia="宋体" w:cs="宋体"/>
                <w:color w:val="auto"/>
                <w:kern w:val="0"/>
                <w:sz w:val="24"/>
                <w:szCs w:val="24"/>
                <w:highlight w:val="none"/>
                <w:lang w:val="en-US" w:eastAsia="zh-CN" w:bidi="ar-SA"/>
              </w:rPr>
            </w:pPr>
            <w:bookmarkStart w:id="4" w:name="OLE_LINK12"/>
            <w:r>
              <w:rPr>
                <w:rFonts w:hint="eastAsia" w:ascii="宋体" w:hAnsi="宋体" w:eastAsia="宋体" w:cs="宋体"/>
                <w:color w:val="auto"/>
                <w:kern w:val="0"/>
                <w:sz w:val="24"/>
                <w:szCs w:val="24"/>
                <w:highlight w:val="none"/>
              </w:rPr>
              <w:t>全硫（St,d）≤1.20%。若全硫(St,d) ＞1.20%，则每增加0.1%,扣煤价4.0元/吨，按自然月进行加权平均结算。若单批次来煤干燥基硫含量（Std）＞2.40%，考核5万元/批次；单批次来煤干燥基硫含量（Std）＞3.0%，考核10万元/批次，从当月结算煤款中直接扣除。</w:t>
            </w:r>
            <w:bookmarkEnd w:id="4"/>
          </w:p>
        </w:tc>
      </w:tr>
      <w:tr w14:paraId="510D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703" w:type="dxa"/>
            <w:tcBorders>
              <w:tl2br w:val="nil"/>
              <w:tr2bl w:val="nil"/>
            </w:tcBorders>
            <w:vAlign w:val="center"/>
          </w:tcPr>
          <w:p w14:paraId="0FEC24A0">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sz w:val="24"/>
                <w:szCs w:val="24"/>
                <w:highlight w:val="none"/>
              </w:rPr>
            </w:pPr>
            <w:r>
              <w:rPr>
                <w:rFonts w:hint="eastAsia" w:ascii="宋体" w:hAnsi="宋体" w:eastAsia="宋体" w:cs="宋体"/>
                <w:b w:val="0"/>
                <w:bCs w:val="0"/>
                <w:i w:val="0"/>
                <w:caps w:val="0"/>
                <w:color w:val="auto"/>
                <w:spacing w:val="0"/>
                <w:w w:val="100"/>
                <w:sz w:val="24"/>
                <w:szCs w:val="24"/>
                <w:highlight w:val="none"/>
              </w:rPr>
              <w:t>全水(M</w:t>
            </w:r>
            <w:r>
              <w:rPr>
                <w:rFonts w:hint="eastAsia" w:ascii="宋体" w:hAnsi="宋体" w:eastAsia="宋体" w:cs="宋体"/>
                <w:b w:val="0"/>
                <w:bCs w:val="0"/>
                <w:i w:val="0"/>
                <w:caps w:val="0"/>
                <w:color w:val="auto"/>
                <w:spacing w:val="0"/>
                <w:w w:val="100"/>
                <w:sz w:val="24"/>
                <w:szCs w:val="24"/>
                <w:highlight w:val="none"/>
                <w:lang w:val="en-US" w:eastAsia="zh-CN"/>
              </w:rPr>
              <w:t>t</w:t>
            </w:r>
            <w:r>
              <w:rPr>
                <w:rFonts w:hint="eastAsia" w:ascii="宋体" w:hAnsi="宋体" w:eastAsia="宋体" w:cs="宋体"/>
                <w:b w:val="0"/>
                <w:bCs w:val="0"/>
                <w:i w:val="0"/>
                <w:caps w:val="0"/>
                <w:color w:val="auto"/>
                <w:spacing w:val="0"/>
                <w:w w:val="100"/>
                <w:sz w:val="24"/>
                <w:szCs w:val="24"/>
                <w:highlight w:val="none"/>
              </w:rPr>
              <w:t>)</w:t>
            </w:r>
          </w:p>
          <w:p w14:paraId="09651470">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kern w:val="0"/>
                <w:sz w:val="24"/>
                <w:szCs w:val="24"/>
                <w:highlight w:val="none"/>
              </w:rPr>
            </w:pPr>
            <w:r>
              <w:rPr>
                <w:rFonts w:hint="eastAsia" w:ascii="宋体" w:hAnsi="宋体" w:eastAsia="宋体" w:cs="宋体"/>
                <w:b w:val="0"/>
                <w:bCs w:val="0"/>
                <w:i w:val="0"/>
                <w:caps w:val="0"/>
                <w:color w:val="auto"/>
                <w:spacing w:val="0"/>
                <w:w w:val="100"/>
                <w:kern w:val="0"/>
                <w:sz w:val="24"/>
                <w:szCs w:val="24"/>
                <w:highlight w:val="none"/>
              </w:rPr>
              <w:t>考核标准</w:t>
            </w:r>
          </w:p>
        </w:tc>
        <w:tc>
          <w:tcPr>
            <w:tcW w:w="7532" w:type="dxa"/>
            <w:tcBorders>
              <w:tl2br w:val="nil"/>
              <w:tr2bl w:val="nil"/>
            </w:tcBorders>
            <w:noWrap/>
            <w:vAlign w:val="center"/>
          </w:tcPr>
          <w:p w14:paraId="0D0B6648">
            <w:pPr>
              <w:widowControl/>
              <w:snapToGrid w:val="0"/>
              <w:spacing w:before="0" w:beforeAutospacing="0" w:after="0" w:afterAutospacing="0" w:line="360" w:lineRule="auto"/>
              <w:ind w:right="-6" w:rightChars="0"/>
              <w:jc w:val="both"/>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全水分≤9％。超过9％扣减吨位＝当月实际供煤量×（实际水分－合同规定水分）/（1.00－合同规定水分）</w:t>
            </w:r>
          </w:p>
          <w:p w14:paraId="52FAA1C7">
            <w:pPr>
              <w:widowControl/>
              <w:snapToGrid w:val="0"/>
              <w:spacing w:before="0" w:beforeAutospacing="0" w:after="0" w:afterAutospacing="0" w:line="360" w:lineRule="auto"/>
              <w:ind w:right="-6" w:rightChars="0"/>
              <w:jc w:val="both"/>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当月实际结算数量=当月实际供煤量-扣减吨位。</w:t>
            </w:r>
          </w:p>
        </w:tc>
      </w:tr>
      <w:tr w14:paraId="1391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703" w:type="dxa"/>
            <w:tcBorders>
              <w:tl2br w:val="nil"/>
              <w:tr2bl w:val="nil"/>
            </w:tcBorders>
            <w:vAlign w:val="center"/>
          </w:tcPr>
          <w:p w14:paraId="1B5A0D9A">
            <w:pPr>
              <w:widowControl/>
              <w:snapToGrid/>
              <w:spacing w:before="0" w:beforeAutospacing="0" w:after="0" w:afterAutospacing="0" w:line="360" w:lineRule="auto"/>
              <w:jc w:val="center"/>
              <w:textAlignment w:val="baseline"/>
              <w:rPr>
                <w:rFonts w:hint="eastAsia" w:ascii="宋体" w:hAnsi="宋体" w:eastAsia="宋体" w:cs="宋体"/>
                <w:b w:val="0"/>
                <w:bCs w:val="0"/>
                <w:i w:val="0"/>
                <w:caps w:val="0"/>
                <w:color w:val="auto"/>
                <w:spacing w:val="0"/>
                <w:w w:val="100"/>
                <w:kern w:val="2"/>
                <w:sz w:val="24"/>
                <w:szCs w:val="24"/>
                <w:highlight w:val="none"/>
                <w:lang w:val="en-US" w:eastAsia="zh-CN" w:bidi="ar-SA"/>
              </w:rPr>
            </w:pPr>
            <w:r>
              <w:rPr>
                <w:rFonts w:hint="eastAsia" w:ascii="宋体" w:hAnsi="宋体" w:eastAsia="宋体" w:cs="宋体"/>
                <w:b w:val="0"/>
                <w:bCs w:val="0"/>
                <w:i w:val="0"/>
                <w:caps w:val="0"/>
                <w:color w:val="auto"/>
                <w:spacing w:val="0"/>
                <w:w w:val="100"/>
                <w:sz w:val="24"/>
                <w:szCs w:val="24"/>
                <w:highlight w:val="none"/>
                <w:lang w:val="en-US" w:eastAsia="zh-CN"/>
              </w:rPr>
              <w:t>煤中氟（Fd）</w:t>
            </w:r>
          </w:p>
        </w:tc>
        <w:tc>
          <w:tcPr>
            <w:tcW w:w="7532" w:type="dxa"/>
            <w:tcBorders>
              <w:tl2br w:val="nil"/>
              <w:tr2bl w:val="nil"/>
            </w:tcBorders>
            <w:noWrap/>
            <w:vAlign w:val="center"/>
          </w:tcPr>
          <w:p w14:paraId="4351E593">
            <w:pPr>
              <w:widowControl/>
              <w:snapToGrid w:val="0"/>
              <w:spacing w:before="0" w:beforeAutospacing="0" w:after="0" w:afterAutospacing="0" w:line="360" w:lineRule="auto"/>
              <w:ind w:right="-6" w:rightChars="0"/>
              <w:jc w:val="both"/>
              <w:textAlignment w:val="baseline"/>
              <w:rPr>
                <w:rFonts w:hint="eastAsia" w:ascii="宋体" w:hAnsi="宋体" w:eastAsia="宋体" w:cs="宋体"/>
                <w:color w:val="auto"/>
                <w:kern w:val="0"/>
                <w:sz w:val="24"/>
                <w:szCs w:val="24"/>
                <w:highlight w:val="none"/>
              </w:rPr>
            </w:pPr>
            <w:bookmarkStart w:id="5" w:name="OLE_LINK13"/>
            <w:r>
              <w:rPr>
                <w:rFonts w:hint="eastAsia" w:ascii="宋体" w:hAnsi="宋体" w:eastAsia="宋体" w:cs="宋体"/>
                <w:color w:val="auto"/>
                <w:kern w:val="0"/>
                <w:sz w:val="24"/>
                <w:szCs w:val="24"/>
                <w:highlight w:val="none"/>
              </w:rPr>
              <w:t>煤中氟（Fd）≤600μg/g。若600μg/g＜煤中氟（Fd）≤800μg/g，则每增加100μg/g扣煤价10元/吨，扣减煤价=（实际供煤煤中氟-600μg/g）/100×10元/吨；若煤中氟（Fd）＞800μg/g，则每增加100μg/g扣煤价20元/吨，采用分段额度累进计算，扣减煤价=（800μg/g-600μg/g）/100×10+（实际供煤煤中氟-800μg/g）/100×20元/吨，直至核减为零。</w:t>
            </w:r>
          </w:p>
          <w:p w14:paraId="7ACA1EA5">
            <w:pPr>
              <w:widowControl/>
              <w:snapToGrid w:val="0"/>
              <w:spacing w:before="0" w:beforeAutospacing="0" w:after="0" w:afterAutospacing="0" w:line="360" w:lineRule="auto"/>
              <w:ind w:right="-6" w:rightChars="0"/>
              <w:jc w:val="both"/>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曲靖电厂有权根据生产情况对</w:t>
            </w:r>
            <w:r>
              <w:rPr>
                <w:rFonts w:hint="eastAsia" w:ascii="宋体" w:hAnsi="宋体" w:eastAsia="宋体" w:cs="宋体"/>
                <w:color w:val="auto"/>
                <w:kern w:val="0"/>
                <w:sz w:val="24"/>
                <w:szCs w:val="24"/>
                <w:highlight w:val="none"/>
                <w:lang w:eastAsia="zh-CN"/>
              </w:rPr>
              <w:t>供</w:t>
            </w:r>
            <w:r>
              <w:rPr>
                <w:rFonts w:hint="eastAsia" w:ascii="宋体" w:hAnsi="宋体" w:eastAsia="宋体" w:cs="宋体"/>
                <w:color w:val="auto"/>
                <w:kern w:val="0"/>
                <w:sz w:val="24"/>
                <w:szCs w:val="24"/>
                <w:highlight w:val="none"/>
              </w:rPr>
              <w:t>方所供煤煤中氟（Fd）随机进行抽检或全检，若煤中氟（Fd）＞600μg/g，则该批次对应代表煤量按上述考核方式进行结算。</w:t>
            </w:r>
            <w:bookmarkEnd w:id="5"/>
          </w:p>
        </w:tc>
      </w:tr>
      <w:tr w14:paraId="276F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8" w:hRule="atLeast"/>
        </w:trPr>
        <w:tc>
          <w:tcPr>
            <w:tcW w:w="1703" w:type="dxa"/>
            <w:tcBorders>
              <w:tl2br w:val="nil"/>
              <w:tr2bl w:val="nil"/>
            </w:tcBorders>
            <w:vAlign w:val="center"/>
          </w:tcPr>
          <w:p w14:paraId="45B538D0">
            <w:pPr>
              <w:widowControl/>
              <w:snapToGrid/>
              <w:spacing w:before="0" w:beforeAutospacing="0" w:after="0" w:afterAutospacing="0" w:line="360" w:lineRule="auto"/>
              <w:jc w:val="center"/>
              <w:rPr>
                <w:rFonts w:hint="eastAsia" w:ascii="宋体" w:hAnsi="宋体" w:eastAsia="宋体" w:cs="宋体"/>
                <w:b w:val="0"/>
                <w:bCs w:val="0"/>
                <w:i w:val="0"/>
                <w:color w:val="auto"/>
                <w:spacing w:val="0"/>
                <w:w w:val="100"/>
                <w:sz w:val="24"/>
                <w:szCs w:val="24"/>
                <w:highlight w:val="yellow"/>
                <w:lang w:eastAsia="zh-CN"/>
              </w:rPr>
            </w:pPr>
            <w:r>
              <w:rPr>
                <w:rFonts w:hint="eastAsia" w:hAnsi="宋体"/>
                <w:sz w:val="24"/>
                <w:highlight w:val="yellow"/>
              </w:rPr>
              <w:t>煤的镜质体平均最大反射率（</w:t>
            </w:r>
            <w:r>
              <w:rPr>
                <w:rFonts w:hint="eastAsia" w:ascii="宋体" w:hAnsi="宋体" w:eastAsia="宋体" w:cs="宋体"/>
                <w:color w:val="auto"/>
                <w:kern w:val="0"/>
                <w:sz w:val="24"/>
                <w:szCs w:val="24"/>
                <w:highlight w:val="yellow"/>
                <w:lang w:val="en-US" w:eastAsia="zh-CN" w:bidi="ar-SA"/>
              </w:rPr>
              <w:t>Rmax</w:t>
            </w:r>
            <w:r>
              <w:rPr>
                <w:rFonts w:hint="eastAsia" w:hAnsi="宋体"/>
                <w:sz w:val="24"/>
                <w:highlight w:val="yellow"/>
              </w:rPr>
              <w:t>）</w:t>
            </w:r>
          </w:p>
        </w:tc>
        <w:tc>
          <w:tcPr>
            <w:tcW w:w="7532" w:type="dxa"/>
            <w:tcBorders>
              <w:tl2br w:val="nil"/>
              <w:tr2bl w:val="nil"/>
            </w:tcBorders>
            <w:noWrap/>
            <w:vAlign w:val="center"/>
          </w:tcPr>
          <w:p w14:paraId="3AAE9844">
            <w:pPr>
              <w:widowControl/>
              <w:snapToGrid w:val="0"/>
              <w:spacing w:line="360" w:lineRule="auto"/>
              <w:ind w:right="-6"/>
              <w:jc w:val="both"/>
              <w:textAlignment w:val="baseline"/>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rPr>
              <w:t>煤的镜质体平均最大反射率（Rmax）：煤的镜质体平均最大反射率（Rmax）＜2.5，对应频率（%）占比≤2%。</w:t>
            </w:r>
          </w:p>
          <w:p w14:paraId="38155B27">
            <w:pPr>
              <w:widowControl/>
              <w:snapToGrid w:val="0"/>
              <w:spacing w:line="360" w:lineRule="auto"/>
              <w:ind w:right="-6"/>
              <w:jc w:val="both"/>
              <w:textAlignment w:val="baseline"/>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rPr>
              <w:t>若煤的镜质体平均最大反射率（Rmax）</w:t>
            </w:r>
            <w:r>
              <w:rPr>
                <w:rFonts w:hint="eastAsia" w:ascii="宋体" w:hAnsi="宋体" w:eastAsia="宋体" w:cs="宋体"/>
                <w:color w:val="auto"/>
                <w:sz w:val="24"/>
                <w:szCs w:val="24"/>
                <w:highlight w:val="yellow"/>
                <w:lang w:val="en-US" w:eastAsia="zh-CN"/>
              </w:rPr>
              <w:t>≥</w:t>
            </w:r>
            <w:r>
              <w:rPr>
                <w:rFonts w:hint="eastAsia" w:ascii="宋体" w:hAnsi="宋体" w:eastAsia="宋体" w:cs="宋体"/>
                <w:color w:val="auto"/>
                <w:kern w:val="0"/>
                <w:sz w:val="24"/>
                <w:szCs w:val="24"/>
                <w:highlight w:val="yellow"/>
              </w:rPr>
              <w:t>2.5，对应频率（%）占比＞2%时，测定来煤煤种中含有无烟煤成分，频率每增加 1％扣煤价20.0 元/吨，计算公式：扣减煤价=（实际频率-2%）×100×20.0元/吨。</w:t>
            </w:r>
          </w:p>
          <w:p w14:paraId="26D08DC2">
            <w:pPr>
              <w:widowControl/>
              <w:snapToGrid w:val="0"/>
              <w:spacing w:before="0" w:beforeAutospacing="0" w:after="0" w:afterAutospacing="0" w:line="360" w:lineRule="auto"/>
              <w:ind w:right="-6" w:rightChars="0"/>
              <w:jc w:val="both"/>
              <w:textAlignment w:val="baseline"/>
              <w:rPr>
                <w:rFonts w:hint="default" w:ascii="宋体" w:hAnsi="宋体" w:eastAsia="宋体" w:cs="宋体"/>
                <w:color w:val="auto"/>
                <w:kern w:val="0"/>
                <w:sz w:val="24"/>
                <w:szCs w:val="24"/>
                <w:highlight w:val="yellow"/>
                <w:lang w:val="en-US" w:eastAsia="zh-CN" w:bidi="ar-SA"/>
              </w:rPr>
            </w:pPr>
            <w:r>
              <w:rPr>
                <w:rFonts w:hint="eastAsia" w:ascii="宋体" w:hAnsi="宋体" w:eastAsia="宋体" w:cs="宋体"/>
                <w:color w:val="auto"/>
                <w:kern w:val="0"/>
                <w:sz w:val="24"/>
                <w:szCs w:val="24"/>
                <w:highlight w:val="yellow"/>
              </w:rPr>
              <w:t>曲靖电厂有权根据生产情况对</w:t>
            </w:r>
            <w:r>
              <w:rPr>
                <w:rFonts w:hint="eastAsia" w:ascii="宋体" w:hAnsi="宋体" w:eastAsia="宋体" w:cs="宋体"/>
                <w:color w:val="auto"/>
                <w:kern w:val="0"/>
                <w:sz w:val="24"/>
                <w:szCs w:val="24"/>
                <w:highlight w:val="yellow"/>
                <w:lang w:eastAsia="zh-CN"/>
              </w:rPr>
              <w:t>供</w:t>
            </w:r>
            <w:r>
              <w:rPr>
                <w:rFonts w:hint="eastAsia" w:ascii="宋体" w:hAnsi="宋体" w:eastAsia="宋体" w:cs="宋体"/>
                <w:color w:val="auto"/>
                <w:kern w:val="0"/>
                <w:sz w:val="24"/>
                <w:szCs w:val="24"/>
                <w:highlight w:val="yellow"/>
              </w:rPr>
              <w:t>方所供煤煤的镜质体平均最大反射率（Rmax）随机进行抽检或全检，若煤的镜质体平均最大反射率（Rmax）</w:t>
            </w:r>
            <w:r>
              <w:rPr>
                <w:rFonts w:hint="eastAsia" w:ascii="宋体" w:hAnsi="宋体" w:eastAsia="宋体" w:cs="宋体"/>
                <w:color w:val="auto"/>
                <w:sz w:val="24"/>
                <w:szCs w:val="24"/>
                <w:highlight w:val="yellow"/>
                <w:lang w:val="en-US" w:eastAsia="zh-CN"/>
              </w:rPr>
              <w:t>≥</w:t>
            </w:r>
            <w:r>
              <w:rPr>
                <w:rFonts w:hint="eastAsia" w:ascii="宋体" w:hAnsi="宋体" w:eastAsia="宋体" w:cs="宋体"/>
                <w:color w:val="auto"/>
                <w:kern w:val="0"/>
                <w:sz w:val="24"/>
                <w:szCs w:val="24"/>
                <w:highlight w:val="yellow"/>
              </w:rPr>
              <w:t>2.5，且对应频率（%）占比＞2%时，则该批次对应代表煤量按上述考核方式进行结算。</w:t>
            </w:r>
          </w:p>
        </w:tc>
      </w:tr>
      <w:tr w14:paraId="3CE7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703" w:type="dxa"/>
            <w:tcBorders>
              <w:tl2br w:val="nil"/>
              <w:tr2bl w:val="nil"/>
            </w:tcBorders>
            <w:vAlign w:val="center"/>
          </w:tcPr>
          <w:p w14:paraId="0ECC7632">
            <w:pPr>
              <w:widowControl/>
              <w:snapToGrid w:val="0"/>
              <w:spacing w:before="0" w:beforeAutospacing="0" w:after="0" w:afterAutospacing="0" w:line="360" w:lineRule="auto"/>
              <w:ind w:right="-6" w:rightChars="0"/>
              <w:jc w:val="both"/>
              <w:textAlignment w:val="baseline"/>
              <w:rPr>
                <w:rFonts w:hint="eastAsia" w:ascii="宋体" w:hAnsi="宋体" w:eastAsia="宋体" w:cs="宋体"/>
                <w:b w:val="0"/>
                <w:bCs w:val="0"/>
                <w:i w:val="0"/>
                <w:caps w:val="0"/>
                <w:color w:val="auto"/>
                <w:spacing w:val="0"/>
                <w:w w:val="100"/>
                <w:kern w:val="0"/>
                <w:sz w:val="24"/>
                <w:szCs w:val="24"/>
                <w:highlight w:val="none"/>
                <w:lang w:val="en-US" w:eastAsia="zh-CN"/>
              </w:rPr>
            </w:pPr>
            <w:r>
              <w:rPr>
                <w:rFonts w:hint="eastAsia" w:ascii="宋体" w:hAnsi="宋体" w:eastAsia="宋体" w:cs="宋体"/>
                <w:b w:val="0"/>
                <w:bCs w:val="0"/>
                <w:i w:val="0"/>
                <w:caps w:val="0"/>
                <w:color w:val="auto"/>
                <w:spacing w:val="0"/>
                <w:w w:val="100"/>
                <w:kern w:val="0"/>
                <w:sz w:val="24"/>
                <w:szCs w:val="24"/>
                <w:highlight w:val="none"/>
                <w:lang w:val="en-US" w:eastAsia="zh-CN"/>
              </w:rPr>
              <w:t>履约率考核</w:t>
            </w:r>
          </w:p>
        </w:tc>
        <w:tc>
          <w:tcPr>
            <w:tcW w:w="7532" w:type="dxa"/>
            <w:tcBorders>
              <w:tl2br w:val="nil"/>
              <w:tr2bl w:val="nil"/>
            </w:tcBorders>
            <w:noWrap/>
            <w:vAlign w:val="center"/>
          </w:tcPr>
          <w:p w14:paraId="2B2B5AA1">
            <w:pPr>
              <w:widowControl/>
              <w:snapToGrid w:val="0"/>
              <w:spacing w:before="0" w:beforeAutospacing="0" w:after="0" w:afterAutospacing="0" w:line="360" w:lineRule="auto"/>
              <w:ind w:right="-6" w:rightChars="0"/>
              <w:jc w:val="both"/>
              <w:textAlignment w:val="baseline"/>
              <w:rPr>
                <w:rFonts w:hint="eastAsia" w:ascii="宋体" w:hAnsi="宋体" w:eastAsia="宋体" w:cs="宋体"/>
                <w:b w:val="0"/>
                <w:bCs w:val="0"/>
                <w:i w:val="0"/>
                <w:caps w:val="0"/>
                <w:color w:val="auto"/>
                <w:spacing w:val="0"/>
                <w:w w:val="100"/>
                <w:kern w:val="0"/>
                <w:sz w:val="24"/>
                <w:szCs w:val="24"/>
                <w:highlight w:val="none"/>
              </w:rPr>
            </w:pPr>
            <w:r>
              <w:rPr>
                <w:rFonts w:hint="eastAsia" w:ascii="宋体" w:hAnsi="宋体" w:eastAsia="宋体" w:cs="宋体"/>
                <w:color w:val="auto"/>
                <w:kern w:val="0"/>
                <w:sz w:val="24"/>
                <w:szCs w:val="24"/>
                <w:highlight w:val="none"/>
              </w:rPr>
              <w:t>若</w:t>
            </w:r>
            <w:r>
              <w:rPr>
                <w:rFonts w:hint="eastAsia" w:ascii="宋体" w:hAnsi="宋体" w:eastAsia="宋体" w:cs="宋体"/>
                <w:color w:val="auto"/>
                <w:kern w:val="0"/>
                <w:sz w:val="24"/>
                <w:szCs w:val="24"/>
                <w:highlight w:val="none"/>
                <w:lang w:eastAsia="zh-CN"/>
              </w:rPr>
              <w:t>供</w:t>
            </w:r>
            <w:r>
              <w:rPr>
                <w:rFonts w:hint="eastAsia" w:ascii="宋体" w:hAnsi="宋体" w:eastAsia="宋体" w:cs="宋体"/>
                <w:color w:val="auto"/>
                <w:kern w:val="0"/>
                <w:sz w:val="24"/>
                <w:szCs w:val="24"/>
                <w:highlight w:val="none"/>
              </w:rPr>
              <w:t>方在合同交货期限内未完成签约数量，下欠供应数量按照下列方式进行结算：供煤量≥90%×合同签约量，按合同单价进行结算；70%×合同签约量≤供煤量＜90%×合同签约量，供煤量不足（90%×合同签约量）的部分，扣煤价10.0元/吨，直至核减为零，扣减公式=（90%×合同签约量-实际供煤量）×10.0元/吨；供煤量＜70%×合同签约量，供煤量不足（90%×合同签约量）的部分，扣煤价10.0元/吨，直至核减为零，扣减公式=（90%×合同签约量-实际供煤量）×10.0元/吨，同时扣除全部合同履约保证金。因曲靖电厂生产需要及煤炭市场情况调整供煤量的除外。</w:t>
            </w:r>
          </w:p>
        </w:tc>
      </w:tr>
    </w:tbl>
    <w:p w14:paraId="4DCC69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2" w:firstLineChars="175"/>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、验收标准、方式及煤质指标争议解决方式：</w:t>
      </w:r>
    </w:p>
    <w:p w14:paraId="766787DD">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1.数量验收：以</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汽车衡器或轨道衡过磅净重数量为准，并收取</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过磅单，若因质量问题扣减，以最终结算净重为准。</w:t>
      </w:r>
    </w:p>
    <w:p w14:paraId="73ECEFCD">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2.质量验收：煤质采制样执行标准：GB/T 19494.1—20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、GB/T 19494.2—20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、GB/T 475-2008、GB/T 474-2008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GB/T6948-2008。煤炭到达</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煤场后，</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按国家关于煤炭的采样(机械采样和落地煤采样相结合)、制样、化验标准进行采样、制样、化验，并在卸煤过程中对来煤进行现场验收。以</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rPr>
        <w:t>最终化验报告指标为准并作为结算依据。若来煤有异味，第一次给予警告并扣吨或退车处理，第二次列入不诚信供应商名单，取消供煤资格，所造成的损失由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自行承担。</w:t>
      </w:r>
      <w:r>
        <w:rPr>
          <w:rFonts w:hint="eastAsia" w:ascii="宋体" w:hAnsi="宋体" w:eastAsia="宋体" w:cs="宋体"/>
          <w:color w:val="auto"/>
          <w:sz w:val="24"/>
          <w:szCs w:val="24"/>
          <w:highlight w:val="none"/>
          <w:lang w:val="en-US" w:eastAsia="zh-CN"/>
        </w:rPr>
        <w:t>若来煤连续三次存在掺杂使假现象（如分层、含矸重、掺伴其他不符合合同约定煤种等），</w:t>
      </w:r>
      <w:r>
        <w:rPr>
          <w:rFonts w:hint="eastAsia" w:ascii="宋体" w:hAnsi="宋体" w:eastAsia="宋体" w:cs="宋体"/>
          <w:color w:val="auto"/>
          <w:kern w:val="2"/>
          <w:sz w:val="24"/>
          <w:szCs w:val="24"/>
          <w:highlight w:val="none"/>
          <w:lang w:val="en-US" w:eastAsia="zh-CN" w:bidi="ar-SA"/>
        </w:rPr>
        <w:t>需方有权终止合同</w:t>
      </w:r>
      <w:r>
        <w:rPr>
          <w:rFonts w:hint="eastAsia" w:ascii="宋体" w:hAnsi="宋体" w:eastAsia="宋体" w:cs="宋体"/>
          <w:color w:val="auto"/>
          <w:sz w:val="24"/>
          <w:szCs w:val="24"/>
          <w:highlight w:val="none"/>
        </w:rPr>
        <w:t>，所造成的损失由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自行承担</w:t>
      </w:r>
      <w:r>
        <w:rPr>
          <w:rFonts w:hint="eastAsia" w:ascii="宋体" w:hAnsi="宋体" w:eastAsia="宋体" w:cs="宋体"/>
          <w:color w:val="auto"/>
          <w:sz w:val="24"/>
          <w:szCs w:val="24"/>
          <w:highlight w:val="none"/>
          <w:lang w:eastAsia="zh-CN"/>
        </w:rPr>
        <w:t>；禁止在煤中添加任何有毒有害物资和危险废料，危险废料包括但不限于炭渣、水渣、轮胎粉等，</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lang w:eastAsia="zh-CN"/>
        </w:rPr>
        <w:t>有权向执法监督监管部门进行举报并提供违法行为证据。</w:t>
      </w:r>
    </w:p>
    <w:p w14:paraId="5E00514E">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3.煤质化验执行标准：GB/T211—20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7、GB/T212—2008、GB/T213—2008、GB/T214—2007</w:t>
      </w:r>
      <w:r>
        <w:rPr>
          <w:rFonts w:hint="eastAsia" w:ascii="宋体" w:hAnsi="宋体" w:eastAsia="宋体" w:cs="宋体"/>
          <w:color w:val="auto"/>
          <w:sz w:val="24"/>
          <w:szCs w:val="24"/>
          <w:highlight w:val="none"/>
          <w:lang w:eastAsia="zh-CN"/>
        </w:rPr>
        <w:t>、GB/T6948-2008</w:t>
      </w:r>
      <w:r>
        <w:rPr>
          <w:rFonts w:hint="eastAsia" w:ascii="宋体" w:hAnsi="宋体" w:eastAsia="宋体" w:cs="宋体"/>
          <w:color w:val="auto"/>
          <w:sz w:val="24"/>
          <w:szCs w:val="24"/>
          <w:highlight w:val="none"/>
        </w:rPr>
        <w:t>。若</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的化验结果有异议，</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必须在</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化验结果出具（张贴出具或通知出具）后15个工作日</w:t>
      </w:r>
      <w:r>
        <w:rPr>
          <w:rFonts w:hint="eastAsia" w:ascii="宋体" w:hAnsi="宋体" w:eastAsia="宋体" w:cs="宋体"/>
          <w:color w:val="auto"/>
          <w:sz w:val="24"/>
          <w:szCs w:val="24"/>
          <w:highlight w:val="none"/>
          <w:lang w:eastAsia="zh-CN"/>
        </w:rPr>
        <w:t>内</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提出书面要求，经</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确认，共同将</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存查样送至双方认可有资质的第三方按合同约定的质量指标进行复检（收到基全水值M</w:t>
      </w:r>
      <w:r>
        <w:rPr>
          <w:rFonts w:hint="eastAsia" w:ascii="宋体" w:hAnsi="宋体" w:eastAsia="宋体" w:cs="宋体"/>
          <w:color w:val="auto"/>
          <w:sz w:val="24"/>
          <w:szCs w:val="24"/>
          <w:highlight w:val="none"/>
          <w:lang w:val="en-US" w:eastAsia="zh-CN"/>
        </w:rPr>
        <w:t>t</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的检测值为准），若化验结果在国家标准允许误差范围内，以</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的原化验结果为准；超出范围的，以第三方化验结果为最终结算依据。复检所产生的费用由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承担。逾期未提出异议或进行检测化验的，视为</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认可</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化验结果。</w:t>
      </w:r>
    </w:p>
    <w:p w14:paraId="343B0B1C">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b w:val="0"/>
          <w:bCs w:val="0"/>
          <w:i w:val="0"/>
          <w:color w:val="auto"/>
          <w:spacing w:val="0"/>
          <w:w w:val="100"/>
          <w:sz w:val="24"/>
          <w:szCs w:val="24"/>
          <w:highlight w:val="none"/>
          <w:lang w:val="en-US" w:eastAsia="zh-CN"/>
        </w:rPr>
        <w:t>煤中氟（Fd）验收</w:t>
      </w:r>
      <w:r>
        <w:rPr>
          <w:rFonts w:hint="eastAsia" w:ascii="宋体" w:hAnsi="宋体" w:eastAsia="宋体" w:cs="宋体"/>
          <w:color w:val="auto"/>
          <w:sz w:val="24"/>
          <w:szCs w:val="24"/>
          <w:highlight w:val="none"/>
          <w:lang w:val="en-US" w:eastAsia="zh-CN"/>
        </w:rPr>
        <w:t>：以曲靖电厂送检第三方检测机构出具的报告为准。</w:t>
      </w:r>
      <w:r>
        <w:rPr>
          <w:rFonts w:hint="eastAsia" w:ascii="宋体" w:hAnsi="宋体" w:eastAsia="宋体" w:cs="宋体"/>
          <w:color w:val="auto"/>
          <w:sz w:val="24"/>
          <w:szCs w:val="24"/>
          <w:highlight w:val="none"/>
        </w:rPr>
        <w:t>若</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val="en-US" w:eastAsia="zh-CN"/>
        </w:rPr>
        <w:t>报告</w:t>
      </w:r>
      <w:r>
        <w:rPr>
          <w:rFonts w:hint="eastAsia" w:ascii="宋体" w:hAnsi="宋体" w:eastAsia="宋体" w:cs="宋体"/>
          <w:color w:val="auto"/>
          <w:sz w:val="24"/>
          <w:szCs w:val="24"/>
          <w:highlight w:val="none"/>
        </w:rPr>
        <w:t>有异议，</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必须在</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lang w:val="en-US" w:eastAsia="zh-CN"/>
        </w:rPr>
        <w:t>报告</w:t>
      </w:r>
      <w:r>
        <w:rPr>
          <w:rFonts w:hint="eastAsia" w:ascii="宋体" w:hAnsi="宋体" w:eastAsia="宋体" w:cs="宋体"/>
          <w:color w:val="auto"/>
          <w:sz w:val="24"/>
          <w:szCs w:val="24"/>
          <w:highlight w:val="none"/>
        </w:rPr>
        <w:t>出具（张贴出具或通知出具）后5个工作日</w:t>
      </w:r>
      <w:r>
        <w:rPr>
          <w:rFonts w:hint="eastAsia" w:ascii="宋体" w:hAnsi="宋体" w:eastAsia="宋体" w:cs="宋体"/>
          <w:color w:val="auto"/>
          <w:sz w:val="24"/>
          <w:szCs w:val="24"/>
          <w:highlight w:val="none"/>
          <w:lang w:eastAsia="zh-CN"/>
        </w:rPr>
        <w:t>内</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提出书面要求，经</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确认，共同将存查样送至双方认可有资质的第三方进行复检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供需双方约定</w:t>
      </w:r>
      <w:r>
        <w:rPr>
          <w:rFonts w:hint="eastAsia" w:ascii="宋体" w:hAnsi="宋体" w:eastAsia="宋体" w:cs="宋体"/>
          <w:b w:val="0"/>
          <w:bCs w:val="0"/>
          <w:i w:val="0"/>
          <w:color w:val="auto"/>
          <w:spacing w:val="0"/>
          <w:w w:val="100"/>
          <w:sz w:val="24"/>
          <w:szCs w:val="24"/>
          <w:highlight w:val="none"/>
          <w:lang w:val="en-US" w:eastAsia="zh-CN"/>
        </w:rPr>
        <w:t>煤中氟（Fd）</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200</w:t>
      </w:r>
      <w:r>
        <w:rPr>
          <w:rFonts w:hint="eastAsia" w:ascii="宋体" w:hAnsi="宋体" w:eastAsia="宋体" w:cs="宋体"/>
          <w:color w:val="auto"/>
          <w:sz w:val="24"/>
          <w:szCs w:val="24"/>
          <w:highlight w:val="none"/>
          <w:lang w:val="zh-CN" w:eastAsia="zh-CN"/>
        </w:rPr>
        <w:t>μg/g</w:t>
      </w:r>
      <w:r>
        <w:rPr>
          <w:rFonts w:hint="eastAsia" w:ascii="宋体" w:hAnsi="宋体" w:eastAsia="宋体" w:cs="宋体"/>
          <w:color w:val="auto"/>
          <w:sz w:val="24"/>
          <w:szCs w:val="24"/>
          <w:highlight w:val="none"/>
        </w:rPr>
        <w:t>范围内，以</w:t>
      </w:r>
      <w:r>
        <w:rPr>
          <w:rFonts w:hint="eastAsia" w:ascii="宋体" w:hAnsi="宋体" w:eastAsia="宋体" w:cs="宋体"/>
          <w:color w:val="auto"/>
          <w:sz w:val="24"/>
          <w:szCs w:val="24"/>
          <w:highlight w:val="none"/>
          <w:lang w:val="en-US" w:eastAsia="zh-CN"/>
        </w:rPr>
        <w:t>曲靖电厂送检第三方检测机构出具的报告</w:t>
      </w:r>
      <w:r>
        <w:rPr>
          <w:rFonts w:hint="eastAsia" w:ascii="宋体" w:hAnsi="宋体" w:eastAsia="宋体" w:cs="宋体"/>
          <w:color w:val="auto"/>
          <w:sz w:val="24"/>
          <w:szCs w:val="24"/>
          <w:highlight w:val="none"/>
        </w:rPr>
        <w:t>为准；超出范围的，以</w:t>
      </w:r>
      <w:r>
        <w:rPr>
          <w:rFonts w:hint="eastAsia" w:ascii="宋体" w:hAnsi="宋体" w:eastAsia="宋体" w:cs="宋体"/>
          <w:color w:val="auto"/>
          <w:sz w:val="24"/>
          <w:szCs w:val="24"/>
          <w:highlight w:val="none"/>
          <w:lang w:val="en-US" w:eastAsia="zh-CN"/>
        </w:rPr>
        <w:t>双方共同送至</w:t>
      </w:r>
      <w:r>
        <w:rPr>
          <w:rFonts w:hint="eastAsia" w:ascii="宋体" w:hAnsi="宋体" w:eastAsia="宋体" w:cs="宋体"/>
          <w:color w:val="auto"/>
          <w:sz w:val="24"/>
          <w:szCs w:val="24"/>
          <w:highlight w:val="none"/>
        </w:rPr>
        <w:t>第三方化验结果为最终结算依据。复检所产生的费用由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承担。逾期未提出异议或进行检测化验的，视为</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认可</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lang w:val="en-US" w:eastAsia="zh-CN"/>
        </w:rPr>
        <w:t>送检第三方检测机构出具的报告</w:t>
      </w:r>
      <w:r>
        <w:rPr>
          <w:rFonts w:hint="eastAsia" w:ascii="宋体" w:hAnsi="宋体" w:eastAsia="宋体" w:cs="宋体"/>
          <w:color w:val="auto"/>
          <w:sz w:val="24"/>
          <w:szCs w:val="24"/>
          <w:highlight w:val="none"/>
        </w:rPr>
        <w:t>。</w:t>
      </w:r>
    </w:p>
    <w:p w14:paraId="474741FB">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yellow"/>
          <w:lang w:val="en-US" w:eastAsia="zh-CN"/>
        </w:rPr>
        <w:t>煤的镜质体平均最大反射率（Rmax）验收：执行标准：按国家标准《商品煤混煤类型的判别方法》GB/T15591-2013的规定，对商品煤镜质体反射率进行测定、结果计算、绘制反射率分布图和进行判别。引用标准为：《煤的镜质体反射率显微镜测定方法》GB/T6948-2008。以曲靖电厂送检第三方检测机构出具的报告为准。若供方对报告有异议，供方必须在需方报告出具（张贴出具或通知出具）后5个工作日内向需方提出书面要求，经需方确认，共同将存查样送至双方认可有资质的第三方进行复检。需、供双方约定煤的镜质体平均最大反射率（Rmax）</w:t>
      </w:r>
      <w:r>
        <w:rPr>
          <w:rFonts w:hint="eastAsia" w:ascii="宋体" w:hAnsi="宋体" w:eastAsia="宋体" w:cs="宋体"/>
          <w:color w:val="auto"/>
          <w:kern w:val="0"/>
          <w:sz w:val="24"/>
          <w:szCs w:val="24"/>
          <w:highlight w:val="yellow"/>
        </w:rPr>
        <w:t>＜</w:t>
      </w:r>
      <w:r>
        <w:rPr>
          <w:rFonts w:hint="eastAsia" w:ascii="宋体" w:hAnsi="宋体" w:eastAsia="宋体" w:cs="宋体"/>
          <w:color w:val="auto"/>
          <w:sz w:val="24"/>
          <w:szCs w:val="24"/>
          <w:highlight w:val="yellow"/>
          <w:lang w:val="en-US" w:eastAsia="zh-CN"/>
        </w:rPr>
        <w:t>2.5，对应频率（%）占比≤2%，超出此范围的，以双方共同送至第三方化验结果为最终结算依据。复检所产生的费用由供方承担。逾期未提出异议或进行检测化验的，视为供方认可需方送检第三方检测机构出具的报告。</w:t>
      </w:r>
    </w:p>
    <w:p w14:paraId="4D7AB132">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相关供煤的存查样</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按照国家标准保存3个月，过期</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不再保存，视为认可</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化验结果。</w:t>
      </w:r>
    </w:p>
    <w:p w14:paraId="59356AB9">
      <w:pPr>
        <w:pStyle w:val="3"/>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七、结算方式及结算条件：</w:t>
      </w:r>
    </w:p>
    <w:p w14:paraId="4E57AEC9">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1.结算方式：先货后款。</w:t>
      </w:r>
    </w:p>
    <w:p w14:paraId="0346902E">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2.煤款结算时间：煤款结算日为供煤次月2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，如遇其他特殊情况</w:t>
      </w:r>
      <w:r>
        <w:rPr>
          <w:rFonts w:hint="eastAsia" w:ascii="宋体" w:hAnsi="宋体" w:eastAsia="宋体" w:cs="宋体"/>
          <w:color w:val="auto"/>
          <w:sz w:val="24"/>
          <w:szCs w:val="24"/>
          <w:highlight w:val="none"/>
          <w:lang w:eastAsia="zh-CN"/>
        </w:rPr>
        <w:t>供需</w:t>
      </w:r>
      <w:r>
        <w:rPr>
          <w:rFonts w:hint="eastAsia" w:ascii="宋体" w:hAnsi="宋体" w:eastAsia="宋体" w:cs="宋体"/>
          <w:color w:val="auto"/>
          <w:sz w:val="24"/>
          <w:szCs w:val="24"/>
          <w:highlight w:val="none"/>
        </w:rPr>
        <w:t>双方协商结算日期。</w:t>
      </w:r>
    </w:p>
    <w:p w14:paraId="05E62738">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3.支付金额：</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收到合格的发票后</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天内支付货款给</w:t>
      </w:r>
      <w:r>
        <w:rPr>
          <w:rFonts w:hint="eastAsia" w:ascii="宋体" w:hAnsi="宋体" w:eastAsia="宋体" w:cs="宋体"/>
          <w:color w:val="auto"/>
          <w:sz w:val="24"/>
          <w:szCs w:val="24"/>
          <w:highlight w:val="none"/>
          <w:lang w:eastAsia="zh-CN"/>
        </w:rPr>
        <w:t>供</w:t>
      </w:r>
      <w:r>
        <w:rPr>
          <w:rFonts w:hint="eastAsia" w:ascii="宋体" w:hAnsi="宋体" w:eastAsia="宋体" w:cs="宋体"/>
          <w:color w:val="auto"/>
          <w:sz w:val="24"/>
          <w:szCs w:val="24"/>
          <w:highlight w:val="none"/>
        </w:rPr>
        <w:t>方。</w:t>
      </w:r>
    </w:p>
    <w:p w14:paraId="2A8AC9F9">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4.煤款支付方式：银行转账或银行承兑汇票结算。</w:t>
      </w:r>
    </w:p>
    <w:p w14:paraId="049A6FC1">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合同执行过程中，</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账户信息发生变化，需及时通知</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并提交账户变更材料，否则由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承担因此造成的所有损失与责任。</w:t>
      </w:r>
    </w:p>
    <w:p w14:paraId="66C451F4">
      <w:pPr>
        <w:keepNext w:val="0"/>
        <w:keepLines w:val="0"/>
        <w:pageBreakBefore w:val="0"/>
        <w:numPr>
          <w:ilvl w:val="-1"/>
          <w:numId w:val="0"/>
        </w:numPr>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以约定的合格到厂煤数量和质量要求为计量计价基准，</w:t>
      </w:r>
      <w:r>
        <w:rPr>
          <w:rFonts w:hint="eastAsia" w:ascii="宋体" w:hAnsi="宋体" w:eastAsia="宋体" w:cs="宋体"/>
          <w:color w:val="auto"/>
          <w:sz w:val="24"/>
          <w:szCs w:val="24"/>
          <w:highlight w:val="none"/>
          <w:lang w:val="en-US" w:eastAsia="zh-CN"/>
        </w:rPr>
        <w:t>合同有效期内供煤</w:t>
      </w:r>
      <w:r>
        <w:rPr>
          <w:rFonts w:hint="eastAsia" w:ascii="宋体" w:hAnsi="宋体" w:eastAsia="宋体" w:cs="宋体"/>
          <w:b w:val="0"/>
          <w:i w:val="0"/>
          <w:caps w:val="0"/>
          <w:color w:val="auto"/>
          <w:spacing w:val="0"/>
          <w:w w:val="100"/>
          <w:sz w:val="24"/>
          <w:szCs w:val="24"/>
          <w:highlight w:val="none"/>
        </w:rPr>
        <w:t>的各项质量指标</w:t>
      </w:r>
      <w:r>
        <w:rPr>
          <w:rFonts w:hint="eastAsia" w:ascii="宋体" w:hAnsi="宋体" w:eastAsia="宋体" w:cs="宋体"/>
          <w:b w:val="0"/>
          <w:i w:val="0"/>
          <w:caps w:val="0"/>
          <w:color w:val="auto"/>
          <w:spacing w:val="0"/>
          <w:w w:val="100"/>
          <w:sz w:val="24"/>
          <w:szCs w:val="24"/>
          <w:highlight w:val="none"/>
          <w:lang w:val="en-US" w:eastAsia="zh-CN"/>
        </w:rPr>
        <w:t>按自然月</w:t>
      </w:r>
      <w:r>
        <w:rPr>
          <w:rFonts w:hint="eastAsia" w:ascii="宋体" w:hAnsi="宋体" w:eastAsia="宋体" w:cs="宋体"/>
          <w:b w:val="0"/>
          <w:i w:val="0"/>
          <w:caps w:val="0"/>
          <w:color w:val="auto"/>
          <w:spacing w:val="0"/>
          <w:w w:val="100"/>
          <w:sz w:val="24"/>
          <w:szCs w:val="24"/>
          <w:highlight w:val="none"/>
        </w:rPr>
        <w:t>进行加权平均结算，</w:t>
      </w:r>
      <w:r>
        <w:rPr>
          <w:rFonts w:hint="eastAsia" w:ascii="宋体" w:hAnsi="宋体" w:eastAsia="宋体" w:cs="宋体"/>
          <w:color w:val="auto"/>
          <w:sz w:val="24"/>
          <w:szCs w:val="24"/>
          <w:highlight w:val="none"/>
        </w:rPr>
        <w:t>根据考核标准计量计价后进行结算；结算为零的标的物按作废处理，</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自认为抛弃物，由</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自行处理。</w:t>
      </w:r>
    </w:p>
    <w:p w14:paraId="12F72095">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yellow"/>
          <w:lang w:val="en-US" w:eastAsia="zh-CN"/>
        </w:rPr>
        <w:t>6.根据合同约定，在合同有效期截止日或自然月最后一天24点00分前，供方以汽车或火车运输方式入厂，完成汽车重车过磅或火车轨道衡过重工作后，需方以汽车重车过磅或火车轨道衡过重时间为准，允许加权平均结算。</w:t>
      </w:r>
    </w:p>
    <w:p w14:paraId="2F0C4A66">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方按需方业务部门出具盖章认可的结算单，开具合格的增值税专用发票（13%税率），供煤次月30日前到需方办理结算（一票结算，开具全额增值税发票），供方发票开出后未及时送达需方所造成的损失由供方承担。在合同履行过程中遇国家税收政策变动或供方原因无法按照合同约定的税率开具增值税专用发票时，付款金额按合同约定的单价×实际验收数量÷（1+本合同约定税率）×（1+新税率）计算。</w:t>
      </w:r>
    </w:p>
    <w:p w14:paraId="7F1B5E28">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拒绝提供发票或者提供的发票不符合法定、约定条件的，</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有权拒付款项并不承担任何违约责任。</w:t>
      </w:r>
    </w:p>
    <w:p w14:paraId="2BCA8986">
      <w:pP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实际供煤量据实结算。</w:t>
      </w:r>
    </w:p>
    <w:p w14:paraId="402694D2">
      <w:pPr>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八、双方的责任和义务</w:t>
      </w:r>
    </w:p>
    <w:p w14:paraId="3ED8F729">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的责任和义务</w:t>
      </w:r>
    </w:p>
    <w:p w14:paraId="04118D99">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提供卸货的便利与及时。如若</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进煤量较大，以至于</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在供煤期间未完成供煤任务，</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不承担相应责任。</w:t>
      </w:r>
    </w:p>
    <w:p w14:paraId="0F813632">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随时提供</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对所供煤量、煤质情况的信息查询（电话、传真及到厂查询）。</w:t>
      </w:r>
    </w:p>
    <w:p w14:paraId="2B0D44ED">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及时为</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办理结算与支付。</w:t>
      </w:r>
    </w:p>
    <w:p w14:paraId="0714B0EA">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的责任和义务</w:t>
      </w:r>
    </w:p>
    <w:p w14:paraId="53727353">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负责按合同约定质量的煤炭运输到</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安排的交货地点。</w:t>
      </w:r>
    </w:p>
    <w:p w14:paraId="394CB3CD">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对其运输车辆驾驶员、工作人员负有管理、教育、遵守</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相关规章制度、规定的责任和义务，并接受</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的现场管理。自觉维护</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煤炭接卸、验收的正常秩序。</w:t>
      </w:r>
    </w:p>
    <w:p w14:paraId="4614062A">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车辆及人员必须遵守</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相关的规章制度和现场工作人员的指挥，自觉维护</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的采样、计量、卸煤等设备或设施，若有损坏，由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负责照价赔偿。</w:t>
      </w:r>
    </w:p>
    <w:p w14:paraId="31ABD89A">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（4）因现场验收发生争议，</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应保证其工作人员不得以任何违法方式包括但不限于哄闹、围攻、侮辱、殴打或威胁</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工作人员，干扰其正常工作。</w:t>
      </w:r>
    </w:p>
    <w:p w14:paraId="1B9E39EC">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自主管理和教育其工作人员、驾驶员，保证其人身、财产安全，责任由</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自负。如</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责任造成</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人员伤亡及设备损坏的，必须赔偿</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的损失。</w:t>
      </w:r>
    </w:p>
    <w:p w14:paraId="56E8D1A0">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必须积极了解掌握供煤数量及质量情况，加强管理，保证煤质、煤量。发生异常情况时，必须及时告知</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rPr>
        <w:t>。</w:t>
      </w:r>
    </w:p>
    <w:p w14:paraId="374F06C1">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bookmarkStart w:id="6" w:name="OLE_LINK5"/>
      <w:r>
        <w:rPr>
          <w:rFonts w:hint="eastAsia" w:ascii="宋体" w:hAnsi="宋体" w:eastAsia="宋体" w:cs="宋体"/>
          <w:color w:val="auto"/>
          <w:sz w:val="24"/>
          <w:szCs w:val="24"/>
          <w:highlight w:val="none"/>
        </w:rPr>
        <w:t>（7）</w:t>
      </w:r>
      <w:bookmarkEnd w:id="6"/>
      <w:r>
        <w:rPr>
          <w:rFonts w:hint="eastAsia" w:ascii="宋体" w:hAnsi="宋体" w:eastAsia="宋体" w:cs="宋体"/>
          <w:color w:val="auto"/>
          <w:sz w:val="24"/>
          <w:szCs w:val="24"/>
          <w:highlight w:val="none"/>
        </w:rPr>
        <w:t>采用铁路运输时，</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每次发车后，必须当日将发车日期、车号传真给</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rPr>
        <w:t>，并及时向</w:t>
      </w:r>
      <w:r>
        <w:rPr>
          <w:rFonts w:hint="eastAsia" w:ascii="宋体" w:hAnsi="宋体" w:eastAsia="宋体" w:cs="宋体"/>
          <w:color w:val="auto"/>
          <w:sz w:val="24"/>
          <w:szCs w:val="24"/>
          <w:highlight w:val="none"/>
          <w:lang w:val="en-US" w:eastAsia="zh-CN"/>
        </w:rPr>
        <w:t>需方</w:t>
      </w:r>
      <w:r>
        <w:rPr>
          <w:rFonts w:hint="eastAsia" w:ascii="宋体" w:hAnsi="宋体" w:eastAsia="宋体" w:cs="宋体"/>
          <w:color w:val="auto"/>
          <w:sz w:val="24"/>
          <w:szCs w:val="24"/>
          <w:highlight w:val="none"/>
        </w:rPr>
        <w:t>送达铁路大票。</w:t>
      </w:r>
    </w:p>
    <w:p w14:paraId="4DA27ECF">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供</w:t>
      </w:r>
      <w:r>
        <w:rPr>
          <w:rFonts w:hint="eastAsia" w:ascii="宋体" w:hAnsi="宋体" w:eastAsia="宋体" w:cs="宋体"/>
          <w:color w:val="auto"/>
          <w:sz w:val="24"/>
          <w:szCs w:val="24"/>
          <w:highlight w:val="none"/>
        </w:rPr>
        <w:t>方运煤车辆未悬挂牌照或悬挂的牌照前后不一致的，曲靖电厂有权对该车辆来煤拒收。</w:t>
      </w:r>
    </w:p>
    <w:p w14:paraId="35BA74B4">
      <w:pPr>
        <w:keepNext w:val="0"/>
        <w:keepLines w:val="0"/>
        <w:pageBreakBefore w:val="0"/>
        <w:tabs>
          <w:tab w:val="left" w:pos="4740"/>
        </w:tabs>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九、合同变更及解除条件：</w:t>
      </w:r>
    </w:p>
    <w:p w14:paraId="331230F8">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1.合同履行期内，如需变更合同条款，应经双方协商一致，最终以书面方式签署补充、修改协议。</w:t>
      </w:r>
    </w:p>
    <w:p w14:paraId="355292EE">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供需</w:t>
      </w:r>
      <w:r>
        <w:rPr>
          <w:rFonts w:hint="eastAsia" w:ascii="宋体" w:hAnsi="宋体" w:eastAsia="宋体" w:cs="宋体"/>
          <w:color w:val="auto"/>
          <w:sz w:val="24"/>
          <w:szCs w:val="24"/>
          <w:highlight w:val="none"/>
        </w:rPr>
        <w:t>双方同意，有下列情形之一的，</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可书面通知</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解除本合同，除第（7）项外，</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还应向</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支付违约金5万元并赔偿</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由此造成的一切损失。</w:t>
      </w:r>
    </w:p>
    <w:p w14:paraId="652EE459">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(1)未经</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同意，擅自委托第三方代为发煤的。</w:t>
      </w:r>
    </w:p>
    <w:p w14:paraId="3B3EE9F7">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未经</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同意，擅自改变发煤地点，且到厂煤指标与合同约定明显不吻合的。</w:t>
      </w:r>
    </w:p>
    <w:p w14:paraId="12A0219D">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发生掺杂使假行为的。</w:t>
      </w:r>
    </w:p>
    <w:p w14:paraId="3FE21ADE">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(4)人为破坏</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设备设施的。</w:t>
      </w:r>
    </w:p>
    <w:p w14:paraId="3A7C8C08">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(5)威胁、恐吓、辱骂、殴打</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工作人员的。</w:t>
      </w:r>
    </w:p>
    <w:p w14:paraId="45E950AF">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以不正当的手段和方法试图或已经影响煤炭数量与质量验收数据。</w:t>
      </w:r>
    </w:p>
    <w:p w14:paraId="5572FF7A">
      <w:pPr>
        <w:keepNext w:val="0"/>
        <w:keepLines w:val="0"/>
        <w:pageBreakBefore w:val="0"/>
        <w:tabs>
          <w:tab w:val="left" w:pos="4740"/>
        </w:tabs>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(7）遇有不可抗力发生，致使本合同的履行完全没有可能，本合同解除。</w:t>
      </w:r>
    </w:p>
    <w:p w14:paraId="0145E19D">
      <w:pPr>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十、违约责任</w:t>
      </w:r>
      <w:r>
        <w:rPr>
          <w:rFonts w:hint="eastAsia" w:ascii="宋体" w:hAnsi="宋体" w:eastAsia="宋体" w:cs="宋体"/>
          <w:color w:val="auto"/>
          <w:sz w:val="24"/>
          <w:szCs w:val="24"/>
          <w:highlight w:val="none"/>
        </w:rPr>
        <w:t>：</w:t>
      </w:r>
    </w:p>
    <w:p w14:paraId="266E0673">
      <w:pPr>
        <w:keepNext w:val="0"/>
        <w:keepLines w:val="0"/>
        <w:pageBreakBefore w:val="0"/>
        <w:kinsoku/>
        <w:wordWrap/>
        <w:overflowPunct/>
        <w:topLinePunct w:val="0"/>
        <w:autoSpaceDE/>
        <w:autoSpaceDN/>
        <w:bidi w:val="0"/>
        <w:adjustRightInd/>
        <w:snapToGrid/>
        <w:spacing w:line="440" w:lineRule="exact"/>
        <w:ind w:left="239" w:leftChars="114"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bookmarkStart w:id="7" w:name="OLE_LINK1"/>
      <w:r>
        <w:rPr>
          <w:rFonts w:hint="eastAsia" w:ascii="宋体" w:hAnsi="宋体" w:eastAsia="宋体" w:cs="宋体"/>
          <w:color w:val="auto"/>
          <w:sz w:val="24"/>
          <w:szCs w:val="24"/>
          <w:highlight w:val="none"/>
          <w:lang w:val="en-US" w:eastAsia="zh-CN"/>
        </w:rPr>
        <w:t>供方应在合同签订前，</w:t>
      </w:r>
      <w:r>
        <w:rPr>
          <w:rFonts w:hint="eastAsia" w:ascii="宋体" w:hAnsi="宋体" w:eastAsia="宋体" w:cs="宋体"/>
          <w:color w:val="auto"/>
          <w:kern w:val="2"/>
          <w:sz w:val="24"/>
          <w:szCs w:val="24"/>
          <w:highlight w:val="none"/>
          <w:lang w:val="en-US" w:eastAsia="zh-CN" w:bidi="ar-SA"/>
        </w:rPr>
        <w:t>按成交金额的5%</w:t>
      </w:r>
      <w:r>
        <w:rPr>
          <w:rFonts w:hint="eastAsia" w:ascii="宋体" w:hAnsi="宋体" w:eastAsia="宋体" w:cs="宋体"/>
          <w:color w:val="auto"/>
          <w:sz w:val="24"/>
          <w:szCs w:val="24"/>
          <w:highlight w:val="none"/>
          <w:lang w:val="en-US" w:eastAsia="zh-CN"/>
        </w:rPr>
        <w:t>向需方缴纳金额为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元（大写：人民币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整）履约保证金。</w:t>
      </w:r>
      <w:bookmarkEnd w:id="7"/>
    </w:p>
    <w:p w14:paraId="07539BD5">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开具的发票无法认证、认证不符或因发票瑕疵导致发票作废等原因，导致</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无法抵扣进项税额或税务机关因此对</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进行行政处罚的，</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构成根本违约，除向</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支付违约金</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万元外，还应承担</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的抵扣税额损失及行政处罚罚金、滞纳金等一切损失。</w:t>
      </w:r>
    </w:p>
    <w:p w14:paraId="7E985F19">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违约方应承担与本协议有关的费用、支出、违约金、赔偿金、罚款、资金占用利息、行政处罚以及守约方为主张权利所支付的律师代理费、诉讼费、执行费、保全费、因保全产生的担保费、公告费、公证费、评估费、拍卖佣金等费用。</w:t>
      </w:r>
    </w:p>
    <w:p w14:paraId="1D935544">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4.如遇不可抗力因素时，履约率考核根据实际情况双方协商处理。</w:t>
      </w:r>
    </w:p>
    <w:p w14:paraId="64DBE31E">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lang w:eastAsia="zh-CN"/>
        </w:rPr>
        <w:t>供方</w:t>
      </w:r>
      <w:r>
        <w:rPr>
          <w:rFonts w:hint="eastAsia" w:ascii="宋体" w:hAnsi="宋体" w:eastAsia="宋体" w:cs="宋体"/>
          <w:bCs/>
          <w:color w:val="auto"/>
          <w:sz w:val="24"/>
          <w:szCs w:val="24"/>
          <w:highlight w:val="none"/>
        </w:rPr>
        <w:t>供应的煤炭车厢外有明显滴水现象，</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作拒收处理。运煤车辆过磅后严禁放水，故意放水减轻皮重者，</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扣该车1.5吨并考核500元。</w:t>
      </w:r>
    </w:p>
    <w:p w14:paraId="5F0ABC67">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6.为确保煤炭运输、接卸秩序正常，供方应严格按照曲靖电厂调度安排组织供煤；未按曲靖电厂调度安排组织供煤，曲靖电厂有权根据当天来煤调整接卸顺序。</w:t>
      </w:r>
    </w:p>
    <w:p w14:paraId="0C6AD313">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7.由于供方原因，在签订合同后第五天若未正常启动供煤，扣除全部履约保证金，超过七天还未正常启动供煤，需方有权终止合同，供方还须承担相应的赔偿责任。</w:t>
      </w:r>
    </w:p>
    <w:p w14:paraId="76114C08">
      <w:pPr>
        <w:pStyle w:val="2"/>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kern w:val="0"/>
          <w:sz w:val="24"/>
          <w:szCs w:val="24"/>
          <w:highlight w:val="none"/>
          <w:lang w:val="en-US" w:eastAsia="zh-CN"/>
        </w:rPr>
        <w:t>因曲靖电厂生产需要及煤炭市场情况调整采购量不视为违约，需方不承担违约责任。</w:t>
      </w:r>
    </w:p>
    <w:p w14:paraId="3C57E292">
      <w:pPr>
        <w:pStyle w:val="3"/>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十一、解决合同纠纷的方式：</w:t>
      </w:r>
    </w:p>
    <w:p w14:paraId="462144E7">
      <w:pPr>
        <w:pStyle w:val="3"/>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本合同在履行过程中如发生争议，双方协商解决。协商不成，双方均可向</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lang w:val="en-US" w:eastAsia="zh-CN"/>
        </w:rPr>
        <w:t>注册</w:t>
      </w:r>
      <w:r>
        <w:rPr>
          <w:rFonts w:hint="eastAsia" w:ascii="宋体" w:hAnsi="宋体" w:eastAsia="宋体" w:cs="宋体"/>
          <w:color w:val="auto"/>
          <w:sz w:val="24"/>
          <w:szCs w:val="24"/>
          <w:highlight w:val="none"/>
        </w:rPr>
        <w:t>地人民法院（即曲靖市沾益区人民法院）提起诉讼。</w:t>
      </w:r>
    </w:p>
    <w:p w14:paraId="4C198F9F">
      <w:pPr>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十二、其他约定事项：</w:t>
      </w:r>
    </w:p>
    <w:p w14:paraId="7AE98FC0">
      <w:pPr>
        <w:keepNext w:val="0"/>
        <w:keepLines w:val="0"/>
        <w:pageBreakBefore w:val="0"/>
        <w:kinsoku/>
        <w:wordWrap/>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1.供方现场代表及驾驶员的管理，严格按需方指定收货人（云南能投曲靖发电有限公司）现场管理要求执行，若产生不利影响，一切后果由供方承担。</w:t>
      </w:r>
    </w:p>
    <w:p w14:paraId="0DA28F9D">
      <w:pPr>
        <w:pStyle w:val="2"/>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2.若供煤过程中发生考核款项，则</w:t>
      </w:r>
      <w:r>
        <w:rPr>
          <w:rFonts w:hint="eastAsia" w:ascii="宋体" w:hAnsi="宋体" w:eastAsia="宋体" w:cs="宋体"/>
          <w:color w:val="auto"/>
          <w:sz w:val="24"/>
          <w:szCs w:val="24"/>
          <w:highlight w:val="none"/>
        </w:rPr>
        <w:t>从</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lang w:val="en-US" w:eastAsia="zh-CN"/>
        </w:rPr>
        <w:t>履约保证金、</w:t>
      </w:r>
      <w:r>
        <w:rPr>
          <w:rFonts w:hint="eastAsia" w:ascii="宋体" w:hAnsi="宋体" w:eastAsia="宋体" w:cs="宋体"/>
          <w:color w:val="auto"/>
          <w:sz w:val="24"/>
          <w:szCs w:val="24"/>
          <w:highlight w:val="none"/>
        </w:rPr>
        <w:t>结算款中直接扣除</w:t>
      </w:r>
      <w:r>
        <w:rPr>
          <w:rFonts w:hint="eastAsia" w:ascii="宋体" w:hAnsi="宋体" w:eastAsia="宋体" w:cs="宋体"/>
          <w:color w:val="auto"/>
          <w:sz w:val="24"/>
          <w:szCs w:val="24"/>
          <w:highlight w:val="none"/>
          <w:lang w:val="en-US" w:eastAsia="zh-CN"/>
        </w:rPr>
        <w:t>或供方到需方办理现金支付。</w:t>
      </w:r>
    </w:p>
    <w:p w14:paraId="164F10A3">
      <w:pPr>
        <w:pStyle w:val="2"/>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3.供方</w:t>
      </w:r>
      <w:r>
        <w:rPr>
          <w:rFonts w:hint="eastAsia" w:ascii="宋体" w:hAnsi="宋体" w:eastAsia="宋体" w:cs="宋体"/>
          <w:color w:val="auto"/>
          <w:sz w:val="24"/>
          <w:szCs w:val="24"/>
          <w:highlight w:val="none"/>
          <w:lang w:val="zh-CN" w:eastAsia="zh-CN"/>
        </w:rPr>
        <w:t>供煤量不超过合同</w:t>
      </w:r>
      <w:r>
        <w:rPr>
          <w:rFonts w:hint="eastAsia" w:ascii="宋体" w:hAnsi="宋体" w:eastAsia="宋体" w:cs="宋体"/>
          <w:color w:val="auto"/>
          <w:sz w:val="24"/>
          <w:szCs w:val="24"/>
          <w:highlight w:val="none"/>
          <w:lang w:val="en-US" w:eastAsia="zh-CN"/>
        </w:rPr>
        <w:t>签订</w:t>
      </w:r>
      <w:r>
        <w:rPr>
          <w:rFonts w:hint="eastAsia" w:ascii="宋体" w:hAnsi="宋体" w:eastAsia="宋体" w:cs="宋体"/>
          <w:color w:val="auto"/>
          <w:sz w:val="24"/>
          <w:szCs w:val="24"/>
          <w:highlight w:val="none"/>
          <w:lang w:val="zh-CN" w:eastAsia="zh-CN"/>
        </w:rPr>
        <w:t>量的10%，超过合同</w:t>
      </w:r>
      <w:r>
        <w:rPr>
          <w:rFonts w:hint="eastAsia" w:ascii="宋体" w:hAnsi="宋体" w:eastAsia="宋体" w:cs="宋体"/>
          <w:color w:val="auto"/>
          <w:sz w:val="24"/>
          <w:szCs w:val="24"/>
          <w:highlight w:val="none"/>
          <w:lang w:val="en-US" w:eastAsia="zh-CN"/>
        </w:rPr>
        <w:t>签订</w:t>
      </w:r>
      <w:r>
        <w:rPr>
          <w:rFonts w:hint="eastAsia" w:ascii="宋体" w:hAnsi="宋体" w:eastAsia="宋体" w:cs="宋体"/>
          <w:color w:val="auto"/>
          <w:sz w:val="24"/>
          <w:szCs w:val="24"/>
          <w:highlight w:val="none"/>
          <w:lang w:val="zh-CN" w:eastAsia="zh-CN"/>
        </w:rPr>
        <w:t>量10%的部分不予结算。</w:t>
      </w:r>
    </w:p>
    <w:p w14:paraId="7677B592">
      <w:pPr>
        <w:pStyle w:val="2"/>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4.由于供方集中发运、燃煤卸车困难等原因，产生的到达站延占费用由供方承担。</w:t>
      </w:r>
    </w:p>
    <w:p w14:paraId="0ED58A59">
      <w:pPr>
        <w:pStyle w:val="2"/>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i w:val="0"/>
          <w:caps w:val="0"/>
          <w:color w:val="auto"/>
          <w:spacing w:val="0"/>
          <w:w w:val="100"/>
          <w:kern w:val="2"/>
          <w:sz w:val="24"/>
          <w:szCs w:val="24"/>
          <w:highlight w:val="none"/>
          <w:lang w:val="en-US" w:eastAsia="zh-CN" w:bidi="ar-SA"/>
        </w:rPr>
      </w:pPr>
      <w:r>
        <w:rPr>
          <w:rFonts w:hint="eastAsia" w:ascii="宋体" w:hAnsi="宋体" w:eastAsia="宋体" w:cs="宋体"/>
          <w:b w:val="0"/>
          <w:i w:val="0"/>
          <w:caps w:val="0"/>
          <w:color w:val="auto"/>
          <w:spacing w:val="0"/>
          <w:w w:val="100"/>
          <w:kern w:val="2"/>
          <w:sz w:val="24"/>
          <w:szCs w:val="24"/>
          <w:highlight w:val="none"/>
          <w:lang w:val="en-US" w:eastAsia="zh-CN" w:bidi="ar-SA"/>
        </w:rPr>
        <w:t>5.</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可根据</w:t>
      </w:r>
      <w:r>
        <w:rPr>
          <w:rFonts w:hint="eastAsia" w:ascii="宋体" w:hAnsi="宋体" w:eastAsia="宋体" w:cs="宋体"/>
          <w:color w:val="auto"/>
          <w:sz w:val="24"/>
          <w:szCs w:val="24"/>
          <w:highlight w:val="none"/>
          <w:lang w:val="en-US" w:eastAsia="zh-CN"/>
        </w:rPr>
        <w:t>曲靖电厂</w:t>
      </w:r>
      <w:r>
        <w:rPr>
          <w:rFonts w:hint="eastAsia" w:ascii="宋体" w:hAnsi="宋体" w:eastAsia="宋体" w:cs="宋体"/>
          <w:color w:val="auto"/>
          <w:sz w:val="24"/>
          <w:szCs w:val="24"/>
          <w:highlight w:val="none"/>
        </w:rPr>
        <w:t>生产需要及煤炭市场情况调整</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供煤数量</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单价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并函告供方。若供方未按需方函告要求组织供煤，需方将扣除供方全部履约保证金，同时需方有权终止合同。</w:t>
      </w:r>
    </w:p>
    <w:p w14:paraId="163300EA">
      <w:pPr>
        <w:pStyle w:val="2"/>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i w:val="0"/>
          <w:caps w:val="0"/>
          <w:color w:val="auto"/>
          <w:spacing w:val="0"/>
          <w:w w:val="100"/>
          <w:kern w:val="2"/>
          <w:sz w:val="24"/>
          <w:szCs w:val="24"/>
          <w:highlight w:val="none"/>
          <w:lang w:val="en-US" w:eastAsia="zh-CN" w:bidi="ar-SA"/>
        </w:rPr>
        <w:t>6.</w:t>
      </w:r>
      <w:r>
        <w:rPr>
          <w:rFonts w:hint="eastAsia" w:ascii="宋体" w:hAnsi="宋体" w:eastAsia="宋体" w:cs="宋体"/>
          <w:color w:val="auto"/>
          <w:sz w:val="24"/>
          <w:szCs w:val="24"/>
          <w:highlight w:val="none"/>
        </w:rPr>
        <w:t>其它未尽事宜可签订补充协议，与本合同具有同等效力。</w:t>
      </w:r>
    </w:p>
    <w:p w14:paraId="169F6AB4">
      <w:pPr>
        <w:keepNext w:val="0"/>
        <w:keepLines w:val="0"/>
        <w:pageBreakBefore w:val="0"/>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十三、</w:t>
      </w: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需方</w:t>
      </w:r>
      <w:r>
        <w:rPr>
          <w:rFonts w:hint="eastAsia" w:ascii="宋体" w:hAnsi="宋体" w:eastAsia="宋体" w:cs="宋体"/>
          <w:color w:val="auto"/>
          <w:sz w:val="24"/>
          <w:szCs w:val="24"/>
          <w:highlight w:val="none"/>
        </w:rPr>
        <w:t>执二份，</w:t>
      </w:r>
      <w:r>
        <w:rPr>
          <w:rFonts w:hint="eastAsia" w:ascii="宋体" w:hAnsi="宋体" w:eastAsia="宋体" w:cs="宋体"/>
          <w:color w:val="auto"/>
          <w:sz w:val="24"/>
          <w:szCs w:val="24"/>
          <w:highlight w:val="none"/>
          <w:lang w:eastAsia="zh-CN"/>
        </w:rPr>
        <w:t>供方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份，具有同等效力。自双方法定代表人或委托代理人签字并加盖公章或合同专用章后生效，至合同履行完毕时终止。</w:t>
      </w:r>
    </w:p>
    <w:p w14:paraId="445274DF">
      <w:pPr>
        <w:pStyle w:val="2"/>
        <w:rPr>
          <w:rFonts w:hint="eastAsia" w:ascii="宋体" w:hAnsi="宋体" w:eastAsia="宋体" w:cs="宋体"/>
          <w:color w:val="auto"/>
          <w:sz w:val="24"/>
          <w:szCs w:val="24"/>
          <w:highlight w:val="none"/>
          <w:lang w:eastAsia="zh-CN"/>
        </w:rPr>
      </w:pPr>
    </w:p>
    <w:p w14:paraId="6AE8AC16">
      <w:pPr>
        <w:pStyle w:val="2"/>
        <w:rPr>
          <w:rFonts w:hint="eastAsia" w:ascii="宋体" w:hAnsi="宋体" w:eastAsia="宋体" w:cs="宋体"/>
          <w:color w:val="auto"/>
          <w:sz w:val="24"/>
          <w:szCs w:val="24"/>
          <w:highlight w:val="none"/>
          <w:lang w:eastAsia="zh-CN"/>
        </w:rPr>
      </w:pPr>
    </w:p>
    <w:p w14:paraId="1EB04205">
      <w:pPr>
        <w:pStyle w:val="2"/>
        <w:rPr>
          <w:rFonts w:hint="eastAsia" w:ascii="宋体" w:hAnsi="宋体" w:eastAsia="宋体" w:cs="宋体"/>
          <w:color w:val="auto"/>
          <w:sz w:val="24"/>
          <w:szCs w:val="24"/>
          <w:highlight w:val="none"/>
          <w:lang w:eastAsia="zh-CN"/>
        </w:rPr>
      </w:pPr>
    </w:p>
    <w:p w14:paraId="418209F2">
      <w:pPr>
        <w:pStyle w:val="2"/>
        <w:rPr>
          <w:rFonts w:hint="eastAsia" w:ascii="宋体" w:hAnsi="宋体" w:eastAsia="宋体" w:cs="宋体"/>
          <w:color w:val="auto"/>
          <w:sz w:val="24"/>
          <w:szCs w:val="24"/>
          <w:highlight w:val="none"/>
          <w:lang w:eastAsia="zh-CN"/>
        </w:rPr>
      </w:pPr>
    </w:p>
    <w:p w14:paraId="70F12233">
      <w:pPr>
        <w:pStyle w:val="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50923BE9">
      <w:pPr>
        <w:adjustRightInd w:val="0"/>
        <w:snapToGrid w:val="0"/>
        <w:spacing w:line="360" w:lineRule="auto"/>
        <w:ind w:right="-314"/>
        <w:rPr>
          <w:rFonts w:hint="eastAsia" w:ascii="宋体" w:hAnsi="宋体" w:cs="宋体"/>
          <w:color w:val="000000"/>
          <w:sz w:val="24"/>
          <w:szCs w:val="24"/>
        </w:rPr>
      </w:pPr>
      <w:r>
        <w:rPr>
          <w:rFonts w:hint="eastAsia" w:ascii="宋体" w:hAnsi="宋体" w:eastAsia="宋体" w:cs="宋体"/>
          <w:b/>
          <w:bCs/>
          <w:i w:val="0"/>
          <w:caps w:val="0"/>
          <w:color w:val="auto"/>
          <w:spacing w:val="0"/>
          <w:w w:val="100"/>
          <w:kern w:val="2"/>
          <w:sz w:val="24"/>
          <w:szCs w:val="24"/>
          <w:highlight w:val="none"/>
          <w:lang w:val="en-US" w:eastAsia="zh-CN" w:bidi="ar-SA"/>
        </w:rPr>
        <w:t>需方</w:t>
      </w:r>
      <w:r>
        <w:rPr>
          <w:rFonts w:hint="eastAsia" w:ascii="宋体" w:hAnsi="宋体"/>
          <w:b/>
          <w:bCs/>
          <w:color w:val="000000"/>
          <w:sz w:val="24"/>
          <w:szCs w:val="24"/>
          <w:highlight w:val="none"/>
        </w:rPr>
        <w:t>：</w:t>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ab/>
      </w:r>
      <w:r>
        <w:rPr>
          <w:rFonts w:hint="eastAsia" w:ascii="宋体" w:hAnsi="宋体"/>
          <w:b/>
          <w:color w:val="000000"/>
          <w:sz w:val="24"/>
          <w:szCs w:val="24"/>
          <w:highlight w:val="none"/>
        </w:rPr>
        <w:t xml:space="preserve">  </w:t>
      </w:r>
      <w:r>
        <w:rPr>
          <w:rFonts w:hint="eastAsia" w:ascii="宋体" w:hAnsi="宋体"/>
          <w:b/>
          <w:color w:val="000000"/>
          <w:sz w:val="24"/>
          <w:szCs w:val="24"/>
          <w:highlight w:val="none"/>
          <w:lang w:val="en-US" w:eastAsia="zh-CN"/>
        </w:rPr>
        <w:t xml:space="preserve">    </w:t>
      </w:r>
      <w:r>
        <w:rPr>
          <w:rFonts w:hint="eastAsia" w:ascii="宋体" w:hAnsi="宋体"/>
          <w:b/>
          <w:color w:val="000000"/>
          <w:sz w:val="24"/>
          <w:szCs w:val="24"/>
          <w:highlight w:val="none"/>
        </w:rPr>
        <w:t xml:space="preserve">    </w:t>
      </w:r>
      <w:r>
        <w:rPr>
          <w:rFonts w:hint="eastAsia" w:ascii="宋体" w:hAnsi="宋体"/>
          <w:b/>
          <w:color w:val="000000"/>
          <w:sz w:val="24"/>
          <w:szCs w:val="24"/>
          <w:highlight w:val="none"/>
          <w:lang w:val="en-US" w:eastAsia="zh-CN"/>
        </w:rPr>
        <w:t xml:space="preserve"> 供方</w:t>
      </w:r>
      <w:r>
        <w:rPr>
          <w:rFonts w:hint="eastAsia" w:ascii="宋体" w:hAnsi="宋体"/>
          <w:b/>
          <w:color w:val="000000"/>
          <w:sz w:val="24"/>
          <w:szCs w:val="24"/>
          <w:highlight w:val="none"/>
        </w:rPr>
        <w:t>：</w:t>
      </w:r>
    </w:p>
    <w:p w14:paraId="4C2019B6">
      <w:pPr>
        <w:adjustRightInd w:val="0"/>
        <w:snapToGrid w:val="0"/>
        <w:spacing w:line="360" w:lineRule="auto"/>
        <w:ind w:left="5040" w:right="-314" w:hanging="5040" w:hangingChars="2100"/>
        <w:rPr>
          <w:rFonts w:hint="eastAsia" w:ascii="宋体" w:hAnsi="宋体" w:cs="宋体"/>
          <w:color w:val="000000"/>
          <w:sz w:val="24"/>
          <w:szCs w:val="24"/>
        </w:rPr>
      </w:pPr>
      <w:r>
        <w:rPr>
          <w:rFonts w:hint="eastAsia" w:ascii="宋体" w:hAnsi="宋体" w:cs="宋体"/>
          <w:color w:val="000000"/>
          <w:sz w:val="24"/>
          <w:szCs w:val="24"/>
        </w:rPr>
        <w:t xml:space="preserve">单位名称: </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单位名称：</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w:t>
      </w:r>
    </w:p>
    <w:p w14:paraId="707BCA59">
      <w:pPr>
        <w:adjustRightInd w:val="0"/>
        <w:snapToGrid w:val="0"/>
        <w:spacing w:line="360" w:lineRule="auto"/>
        <w:ind w:left="6000" w:right="-314" w:hanging="6000" w:hangingChars="2500"/>
        <w:rPr>
          <w:rFonts w:hint="default" w:ascii="宋体" w:hAnsi="宋体" w:cs="宋体"/>
          <w:color w:val="000000"/>
          <w:sz w:val="24"/>
          <w:szCs w:val="24"/>
          <w:lang w:val="en-US" w:eastAsia="zh-CN"/>
        </w:rPr>
      </w:pPr>
      <w:r>
        <w:rPr>
          <w:rFonts w:hint="eastAsia" w:ascii="宋体" w:hAnsi="宋体" w:cs="宋体"/>
          <w:color w:val="000000"/>
          <w:sz w:val="24"/>
          <w:szCs w:val="24"/>
        </w:rPr>
        <w:t>单位地址：</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单位地址：</w:t>
      </w:r>
    </w:p>
    <w:p w14:paraId="377A03E8">
      <w:pPr>
        <w:adjustRightInd w:val="0"/>
        <w:snapToGrid w:val="0"/>
        <w:spacing w:line="360" w:lineRule="auto"/>
        <w:ind w:right="-314"/>
        <w:rPr>
          <w:rFonts w:hint="default" w:ascii="宋体" w:hAnsi="宋体" w:cs="宋体"/>
          <w:color w:val="000000"/>
          <w:sz w:val="24"/>
          <w:szCs w:val="24"/>
          <w:lang w:val="en-US"/>
        </w:rPr>
      </w:pPr>
      <w:r>
        <w:rPr>
          <w:rFonts w:hint="eastAsia" w:ascii="宋体" w:hAnsi="宋体" w:cs="宋体"/>
          <w:color w:val="000000"/>
          <w:sz w:val="24"/>
          <w:szCs w:val="24"/>
        </w:rPr>
        <w:t>法定代表人：</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法定代表人：</w:t>
      </w:r>
    </w:p>
    <w:p w14:paraId="0928C3E3">
      <w:pPr>
        <w:adjustRightInd w:val="0"/>
        <w:snapToGrid w:val="0"/>
        <w:spacing w:line="360" w:lineRule="auto"/>
        <w:ind w:right="-314"/>
        <w:rPr>
          <w:rFonts w:hint="eastAsia" w:ascii="宋体" w:hAnsi="宋体" w:cs="宋体"/>
          <w:color w:val="000000"/>
          <w:sz w:val="24"/>
          <w:szCs w:val="24"/>
        </w:rPr>
      </w:pPr>
      <w:r>
        <w:rPr>
          <w:rFonts w:hint="eastAsia" w:ascii="宋体" w:hAnsi="宋体" w:cs="宋体"/>
          <w:color w:val="000000"/>
          <w:sz w:val="24"/>
          <w:szCs w:val="24"/>
        </w:rPr>
        <w:t xml:space="preserve">委托代理人：                     </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委托代理人： </w:t>
      </w:r>
    </w:p>
    <w:p w14:paraId="474CC5D6">
      <w:pPr>
        <w:adjustRightInd w:val="0"/>
        <w:snapToGrid w:val="0"/>
        <w:spacing w:line="360" w:lineRule="auto"/>
        <w:ind w:right="-314"/>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开户银行：</w:t>
      </w:r>
    </w:p>
    <w:p w14:paraId="447BB9D6">
      <w:pPr>
        <w:adjustRightInd w:val="0"/>
        <w:snapToGrid w:val="0"/>
        <w:spacing w:line="360" w:lineRule="auto"/>
        <w:ind w:right="-314"/>
        <w:rPr>
          <w:rFonts w:hint="eastAsia" w:ascii="宋体" w:hAnsi="宋体" w:cs="宋体"/>
          <w:color w:val="000000"/>
          <w:sz w:val="24"/>
          <w:szCs w:val="24"/>
        </w:rPr>
      </w:pPr>
      <w:r>
        <w:rPr>
          <w:rFonts w:hint="eastAsia" w:ascii="宋体" w:hAnsi="宋体" w:cs="宋体"/>
          <w:color w:val="000000"/>
          <w:sz w:val="24"/>
          <w:szCs w:val="24"/>
        </w:rPr>
        <w:t>帐号：</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帐号： </w:t>
      </w:r>
    </w:p>
    <w:p w14:paraId="00F353C5">
      <w:pPr>
        <w:adjustRightInd w:val="0"/>
        <w:snapToGrid w:val="0"/>
        <w:spacing w:line="360" w:lineRule="auto"/>
        <w:ind w:right="-314"/>
        <w:rPr>
          <w:rFonts w:hint="eastAsia" w:ascii="宋体" w:hAnsi="宋体" w:cs="宋体"/>
          <w:color w:val="000000"/>
          <w:sz w:val="24"/>
          <w:szCs w:val="24"/>
        </w:rPr>
      </w:pPr>
      <w:r>
        <w:rPr>
          <w:rFonts w:hint="eastAsia" w:ascii="宋体" w:hAnsi="宋体" w:cs="宋体"/>
          <w:color w:val="000000"/>
          <w:sz w:val="24"/>
          <w:szCs w:val="24"/>
        </w:rPr>
        <w:t>纳税登记号：</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纳税登记号：   </w:t>
      </w:r>
    </w:p>
    <w:p w14:paraId="7977432F">
      <w:pPr>
        <w:adjustRightInd w:val="0"/>
        <w:snapToGrid w:val="0"/>
        <w:spacing w:line="360" w:lineRule="auto"/>
        <w:ind w:right="-314"/>
        <w:rPr>
          <w:rFonts w:hint="eastAsia" w:ascii="宋体" w:hAnsi="宋体" w:cs="宋体"/>
          <w:color w:val="000000"/>
          <w:sz w:val="24"/>
          <w:szCs w:val="24"/>
        </w:rPr>
      </w:pPr>
      <w:r>
        <w:rPr>
          <w:rFonts w:hint="eastAsia" w:ascii="宋体" w:hAnsi="宋体" w:cs="宋体"/>
          <w:color w:val="000000"/>
          <w:sz w:val="24"/>
          <w:szCs w:val="24"/>
        </w:rPr>
        <w:t>电话:</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 xml:space="preserve">                     电话：   </w:t>
      </w:r>
    </w:p>
    <w:p w14:paraId="4950734B">
      <w:pPr>
        <w:adjustRightInd w:val="0"/>
        <w:snapToGrid w:val="0"/>
        <w:spacing w:line="360" w:lineRule="auto"/>
        <w:ind w:right="-314"/>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需方</w:t>
      </w:r>
      <w:r>
        <w:rPr>
          <w:rFonts w:hint="eastAsia" w:ascii="宋体" w:hAnsi="宋体" w:cs="宋体"/>
          <w:color w:val="000000"/>
          <w:sz w:val="24"/>
          <w:szCs w:val="24"/>
        </w:rPr>
        <w:t>签订时间：</w:t>
      </w:r>
      <w:r>
        <w:rPr>
          <w:rFonts w:hint="eastAsia" w:ascii="宋体" w:hAnsi="宋体" w:cs="宋体"/>
          <w:color w:val="000000"/>
          <w:sz w:val="24"/>
          <w:szCs w:val="24"/>
          <w:lang w:val="en-US" w:eastAsia="zh-CN"/>
        </w:rPr>
        <w:t>2026</w:t>
      </w:r>
      <w:r>
        <w:rPr>
          <w:rFonts w:hint="eastAsia" w:ascii="宋体" w:hAnsi="宋体" w:cs="宋体"/>
          <w:color w:val="000000"/>
          <w:sz w:val="24"/>
          <w:szCs w:val="24"/>
        </w:rPr>
        <w:t>年</w:t>
      </w:r>
      <w:r>
        <w:rPr>
          <w:rFonts w:hint="eastAsia" w:ascii="宋体" w:hAnsi="宋体" w:cs="宋体"/>
          <w:color w:val="000000"/>
          <w:sz w:val="24"/>
          <w:szCs w:val="24"/>
          <w:lang w:val="en-US" w:eastAsia="zh-CN"/>
        </w:rPr>
        <w:t xml:space="preserve">   月   </w:t>
      </w:r>
      <w:r>
        <w:rPr>
          <w:rFonts w:hint="eastAsia" w:ascii="宋体" w:hAnsi="宋体" w:cs="宋体"/>
          <w:color w:val="000000"/>
          <w:sz w:val="24"/>
          <w:szCs w:val="24"/>
        </w:rPr>
        <w:t xml:space="preserve">日  </w:t>
      </w:r>
      <w:r>
        <w:rPr>
          <w:rFonts w:hint="eastAsia" w:ascii="宋体" w:hAnsi="宋体" w:cs="宋体"/>
          <w:color w:val="000000"/>
          <w:sz w:val="24"/>
          <w:szCs w:val="24"/>
          <w:lang w:val="en-US" w:eastAsia="zh-CN"/>
        </w:rPr>
        <w:t xml:space="preserve">       供方</w:t>
      </w:r>
      <w:r>
        <w:rPr>
          <w:rFonts w:hint="eastAsia" w:ascii="宋体" w:hAnsi="宋体" w:cs="宋体"/>
          <w:color w:val="000000"/>
          <w:sz w:val="24"/>
          <w:szCs w:val="24"/>
        </w:rPr>
        <w:t>签订时间：</w:t>
      </w:r>
      <w:r>
        <w:rPr>
          <w:rFonts w:hint="eastAsia" w:ascii="宋体" w:hAnsi="宋体" w:cs="宋体"/>
          <w:color w:val="000000"/>
          <w:sz w:val="24"/>
          <w:szCs w:val="24"/>
          <w:lang w:val="en-US" w:eastAsia="zh-CN"/>
        </w:rPr>
        <w:t>2026</w:t>
      </w:r>
      <w:r>
        <w:rPr>
          <w:rFonts w:hint="eastAsia" w:ascii="宋体" w:hAnsi="宋体" w:cs="宋体"/>
          <w:color w:val="000000"/>
          <w:sz w:val="24"/>
          <w:szCs w:val="24"/>
        </w:rPr>
        <w:t>年</w:t>
      </w:r>
      <w:r>
        <w:rPr>
          <w:rFonts w:hint="eastAsia" w:ascii="宋体" w:hAnsi="宋体" w:cs="宋体"/>
          <w:color w:val="000000"/>
          <w:sz w:val="24"/>
          <w:szCs w:val="24"/>
          <w:lang w:val="en-US" w:eastAsia="zh-CN"/>
        </w:rPr>
        <w:t xml:space="preserve">   月   </w:t>
      </w:r>
      <w:r>
        <w:rPr>
          <w:rFonts w:hint="eastAsia" w:ascii="宋体" w:hAnsi="宋体" w:cs="宋体"/>
          <w:color w:val="000000"/>
          <w:sz w:val="24"/>
          <w:szCs w:val="24"/>
        </w:rPr>
        <w:t xml:space="preserve">日  </w:t>
      </w:r>
      <w:r>
        <w:rPr>
          <w:rFonts w:hint="eastAsia" w:ascii="宋体" w:hAnsi="宋体" w:cs="宋体"/>
          <w:color w:val="000000"/>
          <w:sz w:val="24"/>
          <w:szCs w:val="24"/>
          <w:lang w:val="en-US" w:eastAsia="zh-CN"/>
        </w:rPr>
        <w:t xml:space="preserve"> </w:t>
      </w:r>
    </w:p>
    <w:p w14:paraId="71560B42">
      <w:pPr>
        <w:pStyle w:val="2"/>
        <w:ind w:left="0" w:leftChars="0" w:firstLine="0" w:firstLineChars="0"/>
        <w:rPr>
          <w:rFonts w:hint="eastAsia" w:ascii="宋体" w:hAnsi="宋体" w:cs="宋体"/>
          <w:b/>
          <w:bCs/>
          <w:color w:val="000000"/>
          <w:sz w:val="24"/>
          <w:szCs w:val="24"/>
          <w:highlight w:val="none"/>
        </w:rPr>
      </w:pPr>
      <w:bookmarkStart w:id="8" w:name="_GoBack"/>
      <w:bookmarkEnd w:id="8"/>
    </w:p>
    <w:p w14:paraId="1F8714E9">
      <w:pPr>
        <w:pStyle w:val="2"/>
        <w:ind w:left="0" w:leftChars="0" w:firstLine="0" w:firstLineChars="0"/>
        <w:rPr>
          <w:rFonts w:hint="eastAsia" w:ascii="宋体" w:hAnsi="宋体" w:eastAsia="宋体" w:cs="宋体"/>
          <w:color w:val="auto"/>
          <w:sz w:val="24"/>
          <w:szCs w:val="24"/>
          <w:highlight w:val="none"/>
          <w:lang w:eastAsia="zh-CN"/>
        </w:rPr>
      </w:pPr>
    </w:p>
    <w:p w14:paraId="2769BE7C">
      <w:pPr>
        <w:pStyle w:val="11"/>
        <w:keepNext w:val="0"/>
        <w:keepLines w:val="0"/>
        <w:pageBreakBefore w:val="0"/>
        <w:widowControl w:val="0"/>
        <w:kinsoku/>
        <w:wordWrap/>
        <w:overflowPunct/>
        <w:topLinePunct w:val="0"/>
        <w:autoSpaceDE w:val="0"/>
        <w:autoSpaceDN w:val="0"/>
        <w:bidi w:val="0"/>
        <w:adjustRightInd/>
        <w:snapToGrid/>
        <w:spacing w:beforeLines="0" w:afterLines="0" w:line="360" w:lineRule="auto"/>
        <w:ind w:right="0" w:firstLine="6240" w:firstLineChars="2600"/>
        <w:textAlignment w:val="auto"/>
        <w:rPr>
          <w:rFonts w:hint="eastAsia" w:ascii="宋体" w:hAnsi="宋体" w:eastAsia="宋体" w:cs="宋体"/>
          <w:sz w:val="24"/>
          <w:szCs w:val="24"/>
        </w:rPr>
      </w:pPr>
    </w:p>
    <w:sectPr>
      <w:headerReference r:id="rId3" w:type="default"/>
      <w:footerReference r:id="rId4" w:type="default"/>
      <w:pgSz w:w="11906" w:h="16838"/>
      <w:pgMar w:top="1157" w:right="1066" w:bottom="1270" w:left="123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wiss"/>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1D2B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4489B">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34489B">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49C5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0C825E"/>
    <w:multiLevelType w:val="singleLevel"/>
    <w:tmpl w:val="B10C825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7020C"/>
    <w:rsid w:val="018950E1"/>
    <w:rsid w:val="025771D2"/>
    <w:rsid w:val="0287500B"/>
    <w:rsid w:val="02C679BC"/>
    <w:rsid w:val="03186FDF"/>
    <w:rsid w:val="04C839DD"/>
    <w:rsid w:val="057E5B68"/>
    <w:rsid w:val="05B46C9F"/>
    <w:rsid w:val="05CE4982"/>
    <w:rsid w:val="08D47A4A"/>
    <w:rsid w:val="09231CAB"/>
    <w:rsid w:val="093654F9"/>
    <w:rsid w:val="099F4FEB"/>
    <w:rsid w:val="0B3F7627"/>
    <w:rsid w:val="0C1464BD"/>
    <w:rsid w:val="0D111F7E"/>
    <w:rsid w:val="0DBD466E"/>
    <w:rsid w:val="0DF79C77"/>
    <w:rsid w:val="0E05517B"/>
    <w:rsid w:val="10FA322B"/>
    <w:rsid w:val="116DC939"/>
    <w:rsid w:val="11970911"/>
    <w:rsid w:val="122977B6"/>
    <w:rsid w:val="13F53ABF"/>
    <w:rsid w:val="14911F23"/>
    <w:rsid w:val="15572447"/>
    <w:rsid w:val="159C4219"/>
    <w:rsid w:val="16AE5AA4"/>
    <w:rsid w:val="16F5724D"/>
    <w:rsid w:val="1847022E"/>
    <w:rsid w:val="19222226"/>
    <w:rsid w:val="1A0D1510"/>
    <w:rsid w:val="1AB42400"/>
    <w:rsid w:val="1ACD7E12"/>
    <w:rsid w:val="1ADE684E"/>
    <w:rsid w:val="1B665EED"/>
    <w:rsid w:val="1BCC5AE2"/>
    <w:rsid w:val="1DF0216B"/>
    <w:rsid w:val="1E3710B4"/>
    <w:rsid w:val="1E636F76"/>
    <w:rsid w:val="1F0F38F4"/>
    <w:rsid w:val="1F7A0611"/>
    <w:rsid w:val="20803D79"/>
    <w:rsid w:val="2148547F"/>
    <w:rsid w:val="21F03026"/>
    <w:rsid w:val="2215714B"/>
    <w:rsid w:val="22295BDD"/>
    <w:rsid w:val="222E1669"/>
    <w:rsid w:val="22AD3ADE"/>
    <w:rsid w:val="23803CE8"/>
    <w:rsid w:val="23B55BE7"/>
    <w:rsid w:val="244335E2"/>
    <w:rsid w:val="24F131EB"/>
    <w:rsid w:val="266A5568"/>
    <w:rsid w:val="26D11085"/>
    <w:rsid w:val="28362887"/>
    <w:rsid w:val="286272B0"/>
    <w:rsid w:val="287879D2"/>
    <w:rsid w:val="28DB3969"/>
    <w:rsid w:val="28FA7253"/>
    <w:rsid w:val="295E2F13"/>
    <w:rsid w:val="29CA3852"/>
    <w:rsid w:val="29EC1D35"/>
    <w:rsid w:val="29FC323D"/>
    <w:rsid w:val="2ADF3CE2"/>
    <w:rsid w:val="2B9B19EE"/>
    <w:rsid w:val="2BC3483D"/>
    <w:rsid w:val="2CE764A7"/>
    <w:rsid w:val="35027EBF"/>
    <w:rsid w:val="35191283"/>
    <w:rsid w:val="351C1F9C"/>
    <w:rsid w:val="357D5C7C"/>
    <w:rsid w:val="35A26E0E"/>
    <w:rsid w:val="36DD11DE"/>
    <w:rsid w:val="36E9216D"/>
    <w:rsid w:val="36EA71D3"/>
    <w:rsid w:val="38734F49"/>
    <w:rsid w:val="38833DC6"/>
    <w:rsid w:val="39F92E5A"/>
    <w:rsid w:val="3A616FC3"/>
    <w:rsid w:val="3A6233EC"/>
    <w:rsid w:val="3AD14FBA"/>
    <w:rsid w:val="3B524068"/>
    <w:rsid w:val="3C017F5D"/>
    <w:rsid w:val="3CBA2439"/>
    <w:rsid w:val="3CD87F0B"/>
    <w:rsid w:val="3DA311CF"/>
    <w:rsid w:val="3DB12D59"/>
    <w:rsid w:val="3E50744C"/>
    <w:rsid w:val="3E9B58E4"/>
    <w:rsid w:val="3EB75AF9"/>
    <w:rsid w:val="3F2339E6"/>
    <w:rsid w:val="3F2F3B66"/>
    <w:rsid w:val="40967FF4"/>
    <w:rsid w:val="40C669DF"/>
    <w:rsid w:val="411724A1"/>
    <w:rsid w:val="41B033B2"/>
    <w:rsid w:val="41B475E0"/>
    <w:rsid w:val="42802F65"/>
    <w:rsid w:val="43EE581C"/>
    <w:rsid w:val="44AB2B16"/>
    <w:rsid w:val="455F729C"/>
    <w:rsid w:val="45645CFB"/>
    <w:rsid w:val="46196AF2"/>
    <w:rsid w:val="49E1317B"/>
    <w:rsid w:val="4ADB2172"/>
    <w:rsid w:val="4B9D5BB3"/>
    <w:rsid w:val="4C1546AF"/>
    <w:rsid w:val="4DF7AA7C"/>
    <w:rsid w:val="4FB50595"/>
    <w:rsid w:val="50C03423"/>
    <w:rsid w:val="51860C12"/>
    <w:rsid w:val="5214433A"/>
    <w:rsid w:val="521A3A82"/>
    <w:rsid w:val="5345488D"/>
    <w:rsid w:val="53920CBC"/>
    <w:rsid w:val="54545078"/>
    <w:rsid w:val="550B4973"/>
    <w:rsid w:val="557636BC"/>
    <w:rsid w:val="564C409C"/>
    <w:rsid w:val="573909CF"/>
    <w:rsid w:val="57860E90"/>
    <w:rsid w:val="57CC7219"/>
    <w:rsid w:val="586107DD"/>
    <w:rsid w:val="58D37A00"/>
    <w:rsid w:val="59174ED7"/>
    <w:rsid w:val="59F83027"/>
    <w:rsid w:val="5A5F7445"/>
    <w:rsid w:val="5A8B5893"/>
    <w:rsid w:val="5ACE0C59"/>
    <w:rsid w:val="5AEF74F2"/>
    <w:rsid w:val="5C783B5E"/>
    <w:rsid w:val="5CAA24A9"/>
    <w:rsid w:val="5E192A8C"/>
    <w:rsid w:val="5E237EA2"/>
    <w:rsid w:val="5F140B77"/>
    <w:rsid w:val="600332F2"/>
    <w:rsid w:val="60506FC7"/>
    <w:rsid w:val="605174E6"/>
    <w:rsid w:val="60774ADE"/>
    <w:rsid w:val="612A570E"/>
    <w:rsid w:val="61E268CF"/>
    <w:rsid w:val="61E60EAB"/>
    <w:rsid w:val="61FF1F83"/>
    <w:rsid w:val="62322853"/>
    <w:rsid w:val="62690EEB"/>
    <w:rsid w:val="62B742B7"/>
    <w:rsid w:val="636C5044"/>
    <w:rsid w:val="65011064"/>
    <w:rsid w:val="651B4BEE"/>
    <w:rsid w:val="65221484"/>
    <w:rsid w:val="65DE00C3"/>
    <w:rsid w:val="666D76CD"/>
    <w:rsid w:val="671D317B"/>
    <w:rsid w:val="682F7AFE"/>
    <w:rsid w:val="68D67097"/>
    <w:rsid w:val="6BBF00FB"/>
    <w:rsid w:val="6C273A6F"/>
    <w:rsid w:val="6C6D245C"/>
    <w:rsid w:val="6C8A0DB0"/>
    <w:rsid w:val="6DD96688"/>
    <w:rsid w:val="6E65361A"/>
    <w:rsid w:val="6E9B2422"/>
    <w:rsid w:val="6E9E4BF0"/>
    <w:rsid w:val="6ECB5CE6"/>
    <w:rsid w:val="6F6265E3"/>
    <w:rsid w:val="6F7F8779"/>
    <w:rsid w:val="6F8758FF"/>
    <w:rsid w:val="6FA51089"/>
    <w:rsid w:val="6FE35727"/>
    <w:rsid w:val="709C4794"/>
    <w:rsid w:val="722E75FA"/>
    <w:rsid w:val="728C706B"/>
    <w:rsid w:val="730B50AC"/>
    <w:rsid w:val="73746BDD"/>
    <w:rsid w:val="744558E7"/>
    <w:rsid w:val="7526392D"/>
    <w:rsid w:val="752A7316"/>
    <w:rsid w:val="75827BB3"/>
    <w:rsid w:val="75A27E9B"/>
    <w:rsid w:val="763E01AA"/>
    <w:rsid w:val="771434A7"/>
    <w:rsid w:val="780121D2"/>
    <w:rsid w:val="784A063B"/>
    <w:rsid w:val="79534E91"/>
    <w:rsid w:val="7A2C32D1"/>
    <w:rsid w:val="7A76489E"/>
    <w:rsid w:val="7AD86ECD"/>
    <w:rsid w:val="7B810688"/>
    <w:rsid w:val="7C3E7E7A"/>
    <w:rsid w:val="7C7126A0"/>
    <w:rsid w:val="7D6464A1"/>
    <w:rsid w:val="7E43168A"/>
    <w:rsid w:val="7EE76B60"/>
    <w:rsid w:val="FAFBEECA"/>
    <w:rsid w:val="FBBFAA2C"/>
    <w:rsid w:val="FD3EF5F4"/>
    <w:rsid w:val="FFA72F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99"/>
    <w:pPr>
      <w:ind w:firstLine="420" w:firstLineChars="200"/>
    </w:pPr>
  </w:style>
  <w:style w:type="paragraph" w:styleId="3">
    <w:name w:val="Body Text"/>
    <w:basedOn w:val="1"/>
    <w:qFormat/>
    <w:uiPriority w:val="0"/>
    <w:rPr>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qFormat/>
    <w:uiPriority w:val="0"/>
    <w:rPr>
      <w:sz w:val="21"/>
      <w:szCs w:val="21"/>
    </w:rPr>
  </w:style>
  <w:style w:type="paragraph" w:customStyle="1" w:styleId="10">
    <w:name w:val="p0"/>
    <w:basedOn w:val="1"/>
    <w:qFormat/>
    <w:uiPriority w:val="0"/>
    <w:pPr>
      <w:widowControl/>
    </w:pPr>
    <w:rPr>
      <w:kern w:val="0"/>
      <w:szCs w:val="21"/>
    </w:rPr>
  </w:style>
  <w:style w:type="paragraph" w:customStyle="1" w:styleId="11">
    <w:name w:val="CM3"/>
    <w:basedOn w:val="12"/>
    <w:unhideWhenUsed/>
    <w:qFormat/>
    <w:uiPriority w:val="99"/>
    <w:pPr>
      <w:spacing w:beforeLines="0" w:afterLines="0" w:line="608" w:lineRule="atLeast"/>
    </w:pPr>
    <w:rPr>
      <w:rFonts w:hint="eastAsia"/>
      <w:sz w:val="24"/>
    </w:rPr>
  </w:style>
  <w:style w:type="paragraph" w:customStyle="1" w:styleId="12">
    <w:name w:val="Default"/>
    <w:unhideWhenUsed/>
    <w:qFormat/>
    <w:uiPriority w:val="99"/>
    <w:pPr>
      <w:widowControl w:val="0"/>
      <w:autoSpaceDE w:val="0"/>
      <w:autoSpaceDN w:val="0"/>
      <w:adjustRightInd w:val="0"/>
      <w:spacing w:beforeLines="0" w:afterLines="0"/>
    </w:pPr>
    <w:rPr>
      <w:rFonts w:hint="eastAsia" w:ascii="方正小标宋简体" w:hAnsi="方正小标宋简体" w:eastAsia="方正小标宋简体" w:cs="Times New Roman"/>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12508</Words>
  <Characters>13440</Characters>
  <Lines>0</Lines>
  <Paragraphs>0</Paragraphs>
  <TotalTime>0</TotalTime>
  <ScaleCrop>false</ScaleCrop>
  <LinksUpToDate>false</LinksUpToDate>
  <CharactersWithSpaces>14160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2025-01-16T19:57:00Z</dcterms:created>
  <dc:creator>Admin</dc:creator>
  <cp:lastModifiedBy>SEWSOUL</cp:lastModifiedBy>
  <cp:lastPrinted>2026-05-11T06:07:00Z</cp:lastPrinted>
  <dcterms:modified xsi:type="dcterms:W3CDTF">2026-07-21T06:57:37Z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eyJoZGlkIjoiY2U5MTQ5OWY2MDhkMDk4NTQ2Yzk4ODVkOTA4YTdiNGIiLCJ1c2VySWQiOiIxNTA4NjM3ODk4In0=</vt:lpwstr>
  </property>
  <property fmtid="{D5CDD505-2E9C-101B-9397-08002B2CF9AE}" pid="4" name="ICV">
    <vt:lpwstr>5154DBA21BFF4E8A815AE2F443FD12A6_12</vt:lpwstr>
  </property>
</Properties>
</file>