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34"/>
        <w:rPr>
          <w:rFonts w:ascii="Times New Roman" w:hAnsi="Times New Roman"/>
          <w:color w:val="000000"/>
          <w:sz w:val="44"/>
          <w:szCs w:val="36"/>
        </w:rPr>
      </w:pPr>
    </w:p>
    <w:p>
      <w:pPr>
        <w:rPr>
          <w:rFonts w:ascii="Times New Roman" w:hAnsi="Times New Roman"/>
          <w:color w:val="000000"/>
          <w:sz w:val="44"/>
          <w:szCs w:val="36"/>
        </w:rPr>
      </w:pPr>
    </w:p>
    <w:p>
      <w:pPr>
        <w:pStyle w:val="34"/>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34"/>
        <w:rPr>
          <w:rFonts w:hint="eastAsia" w:ascii="黑体" w:hAnsi="黑体" w:eastAsia="黑体" w:cs="黑体"/>
          <w:lang w:val="en-US" w:eastAsia="zh-CN"/>
        </w:rPr>
      </w:pPr>
    </w:p>
    <w:p>
      <w:pPr>
        <w:pStyle w:val="34"/>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34"/>
        <w:rPr>
          <w:rFonts w:hint="eastAsia" w:ascii="黑体" w:hAnsi="黑体" w:eastAsia="黑体" w:cs="黑体"/>
          <w:lang w:val="en-US" w:eastAsia="zh-CN"/>
        </w:rPr>
      </w:pPr>
    </w:p>
    <w:p>
      <w:pPr>
        <w:pStyle w:val="34"/>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34"/>
        <w:rPr>
          <w:rFonts w:hint="eastAsia" w:ascii="黑体" w:hAnsi="黑体" w:eastAsia="黑体" w:cs="黑体"/>
        </w:rPr>
      </w:pPr>
    </w:p>
    <w:p>
      <w:pPr>
        <w:pStyle w:val="34"/>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hint="eastAsia" w:ascii="楷体" w:hAnsi="楷体" w:eastAsia="楷体" w:cs="楷体"/>
          <w:b/>
          <w:bCs/>
          <w:color w:val="000000"/>
          <w:sz w:val="32"/>
          <w:szCs w:val="32"/>
        </w:rPr>
      </w:pPr>
      <w:r>
        <w:rPr>
          <w:rFonts w:hint="eastAsia" w:ascii="楷体" w:hAnsi="楷体" w:eastAsia="楷体" w:cs="楷体"/>
          <w:b/>
          <w:bCs/>
          <w:color w:val="auto"/>
          <w:sz w:val="32"/>
          <w:szCs w:val="32"/>
          <w:highlight w:val="none"/>
          <w:u w:val="none"/>
          <w:lang w:val="en-US" w:eastAsia="zh-CN"/>
        </w:rPr>
        <w:t>询价单位</w:t>
      </w:r>
      <w:r>
        <w:rPr>
          <w:rFonts w:hint="eastAsia" w:ascii="楷体" w:hAnsi="楷体" w:eastAsia="楷体" w:cs="楷体"/>
          <w:b/>
          <w:bCs/>
          <w:color w:val="auto"/>
          <w:sz w:val="32"/>
          <w:szCs w:val="32"/>
          <w:highlight w:val="none"/>
          <w:u w:val="none"/>
        </w:rPr>
        <w:t>：中煤华晋集团有限公司</w:t>
      </w:r>
      <w:r>
        <w:rPr>
          <w:rFonts w:hint="eastAsia" w:ascii="楷体" w:hAnsi="楷体" w:eastAsia="楷体" w:cs="楷体"/>
          <w:b/>
          <w:bCs/>
          <w:color w:val="000000"/>
          <w:sz w:val="32"/>
          <w:szCs w:val="32"/>
        </w:rPr>
        <w:br w:type="page"/>
      </w:r>
    </w:p>
    <w:p>
      <w:pPr>
        <w:pStyle w:val="54"/>
        <w:spacing w:line="720" w:lineRule="auto"/>
        <w:jc w:val="center"/>
        <w:rPr>
          <w:rFonts w:hint="eastAsia" w:ascii="楷体" w:hAnsi="楷体" w:eastAsia="楷体" w:cs="楷体"/>
          <w:b/>
          <w:bCs/>
          <w:color w:val="auto"/>
          <w:sz w:val="40"/>
          <w:szCs w:val="40"/>
          <w:lang w:val="zh-CN"/>
        </w:rPr>
      </w:pPr>
      <w:bookmarkStart w:id="0" w:name="_Toc152045511"/>
      <w:bookmarkStart w:id="1" w:name="_Toc152042287"/>
      <w:bookmarkStart w:id="2" w:name="_Toc144974479"/>
      <w:r>
        <w:rPr>
          <w:rFonts w:hint="eastAsia" w:ascii="楷体" w:hAnsi="楷体" w:eastAsia="楷体" w:cs="楷体"/>
          <w:b/>
          <w:bCs/>
          <w:color w:val="auto"/>
          <w:sz w:val="40"/>
          <w:szCs w:val="40"/>
          <w:lang w:val="zh-CN"/>
        </w:rPr>
        <w:t>目  录</w:t>
      </w:r>
    </w:p>
    <w:p>
      <w:pPr>
        <w:rPr>
          <w:rFonts w:hint="eastAsia"/>
        </w:rPr>
      </w:pPr>
    </w:p>
    <w:p>
      <w:pPr>
        <w:rPr>
          <w:rFonts w:hint="eastAsia" w:ascii="楷体" w:hAnsi="楷体" w:eastAsia="楷体" w:cs="楷体"/>
          <w:b/>
          <w:bCs/>
          <w:sz w:val="32"/>
          <w:szCs w:val="32"/>
        </w:rPr>
      </w:pPr>
    </w:p>
    <w:p>
      <w:pPr>
        <w:pStyle w:val="27"/>
        <w:keepNext w:val="0"/>
        <w:keepLines w:val="0"/>
        <w:pageBreakBefore w:val="0"/>
        <w:widowControl w:val="0"/>
        <w:numPr>
          <w:ilvl w:val="0"/>
          <w:numId w:val="1"/>
        </w:numPr>
        <w:tabs>
          <w:tab w:val="right" w:leader="dot" w:pos="8640"/>
        </w:tabs>
        <w:kinsoku/>
        <w:wordWrap/>
        <w:overflowPunct/>
        <w:topLinePunct w:val="0"/>
        <w:autoSpaceDE/>
        <w:autoSpaceDN/>
        <w:bidi w:val="0"/>
        <w:adjustRightInd/>
        <w:snapToGrid/>
        <w:spacing w:before="157" w:beforeLines="50" w:after="157" w:afterLines="50" w:line="480" w:lineRule="auto"/>
        <w:textAlignment w:val="auto"/>
        <w:rPr>
          <w:rFonts w:hint="eastAsia" w:ascii="楷体" w:hAnsi="楷体" w:eastAsia="楷体" w:cs="楷体"/>
          <w:b/>
          <w:bCs/>
          <w:sz w:val="36"/>
          <w:szCs w:val="36"/>
        </w:rPr>
      </w:pPr>
      <w:r>
        <w:rPr>
          <w:rFonts w:hint="eastAsia" w:ascii="楷体" w:hAnsi="楷体" w:eastAsia="楷体" w:cs="楷体"/>
          <w:b/>
          <w:bCs/>
          <w:sz w:val="36"/>
          <w:szCs w:val="36"/>
          <w:lang w:val="en-US" w:eastAsia="zh-CN"/>
        </w:rPr>
        <w:t>询价</w:t>
      </w:r>
      <w:r>
        <w:rPr>
          <w:rFonts w:hint="eastAsia" w:ascii="楷体" w:hAnsi="楷体" w:eastAsia="楷体" w:cs="楷体"/>
          <w:b/>
          <w:bCs/>
          <w:sz w:val="36"/>
          <w:szCs w:val="36"/>
        </w:rPr>
        <w:t>公告</w:t>
      </w:r>
    </w:p>
    <w:p>
      <w:pPr>
        <w:pStyle w:val="27"/>
        <w:keepNext w:val="0"/>
        <w:keepLines w:val="0"/>
        <w:pageBreakBefore w:val="0"/>
        <w:widowControl w:val="0"/>
        <w:numPr>
          <w:ilvl w:val="0"/>
          <w:numId w:val="1"/>
        </w:numPr>
        <w:tabs>
          <w:tab w:val="right" w:leader="dot" w:pos="8640"/>
        </w:tabs>
        <w:kinsoku/>
        <w:wordWrap/>
        <w:overflowPunct/>
        <w:topLinePunct w:val="0"/>
        <w:autoSpaceDE/>
        <w:autoSpaceDN/>
        <w:bidi w:val="0"/>
        <w:adjustRightInd/>
        <w:snapToGrid/>
        <w:spacing w:before="157" w:beforeLines="50" w:after="157" w:afterLines="50" w:line="480" w:lineRule="auto"/>
        <w:textAlignment w:val="auto"/>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报价须知</w:t>
      </w:r>
    </w:p>
    <w:p>
      <w:pPr>
        <w:pStyle w:val="27"/>
        <w:keepNext w:val="0"/>
        <w:keepLines w:val="0"/>
        <w:pageBreakBefore w:val="0"/>
        <w:widowControl w:val="0"/>
        <w:numPr>
          <w:ilvl w:val="0"/>
          <w:numId w:val="1"/>
        </w:numPr>
        <w:tabs>
          <w:tab w:val="right" w:leader="dot" w:pos="8640"/>
        </w:tabs>
        <w:kinsoku/>
        <w:wordWrap/>
        <w:overflowPunct/>
        <w:topLinePunct w:val="0"/>
        <w:autoSpaceDE/>
        <w:autoSpaceDN/>
        <w:bidi w:val="0"/>
        <w:adjustRightInd/>
        <w:snapToGrid/>
        <w:spacing w:before="157" w:beforeLines="50" w:after="157" w:afterLines="50" w:line="480" w:lineRule="auto"/>
        <w:textAlignment w:val="auto"/>
        <w:rPr>
          <w:rFonts w:hint="eastAsia" w:ascii="楷体" w:hAnsi="楷体" w:eastAsia="楷体" w:cs="楷体"/>
          <w:b/>
          <w:bCs/>
          <w:sz w:val="36"/>
          <w:szCs w:val="36"/>
        </w:rPr>
      </w:pPr>
      <w:r>
        <w:rPr>
          <w:rFonts w:hint="eastAsia" w:ascii="楷体" w:hAnsi="楷体" w:eastAsia="楷体" w:cs="楷体"/>
          <w:b/>
          <w:bCs/>
          <w:sz w:val="36"/>
          <w:szCs w:val="36"/>
        </w:rPr>
        <w:t>合同</w:t>
      </w:r>
      <w:r>
        <w:rPr>
          <w:rFonts w:hint="eastAsia" w:ascii="楷体" w:hAnsi="楷体" w:eastAsia="楷体" w:cs="楷体"/>
          <w:b/>
          <w:bCs/>
          <w:sz w:val="36"/>
          <w:szCs w:val="36"/>
          <w:lang w:val="en-US" w:eastAsia="zh-CN"/>
        </w:rPr>
        <w:t>主要</w:t>
      </w:r>
      <w:r>
        <w:rPr>
          <w:rFonts w:hint="eastAsia" w:ascii="楷体" w:hAnsi="楷体" w:eastAsia="楷体" w:cs="楷体"/>
          <w:b/>
          <w:bCs/>
          <w:sz w:val="36"/>
          <w:szCs w:val="36"/>
        </w:rPr>
        <w:t>条款及格式</w:t>
      </w:r>
    </w:p>
    <w:p>
      <w:pPr>
        <w:pStyle w:val="27"/>
        <w:keepNext w:val="0"/>
        <w:keepLines w:val="0"/>
        <w:pageBreakBefore w:val="0"/>
        <w:widowControl w:val="0"/>
        <w:numPr>
          <w:ilvl w:val="0"/>
          <w:numId w:val="1"/>
        </w:numPr>
        <w:tabs>
          <w:tab w:val="right" w:leader="dot" w:pos="8640"/>
        </w:tabs>
        <w:kinsoku/>
        <w:wordWrap/>
        <w:overflowPunct/>
        <w:topLinePunct w:val="0"/>
        <w:autoSpaceDE/>
        <w:autoSpaceDN/>
        <w:bidi w:val="0"/>
        <w:adjustRightInd/>
        <w:snapToGrid/>
        <w:spacing w:before="157" w:beforeLines="50" w:after="157" w:afterLines="50" w:line="480" w:lineRule="auto"/>
        <w:textAlignment w:val="auto"/>
        <w:rPr>
          <w:rFonts w:hint="eastAsia" w:ascii="楷体" w:hAnsi="楷体" w:eastAsia="楷体" w:cs="楷体"/>
          <w:b/>
          <w:bCs/>
          <w:sz w:val="36"/>
          <w:szCs w:val="36"/>
        </w:rPr>
      </w:pPr>
      <w:r>
        <w:rPr>
          <w:rFonts w:hint="eastAsia" w:ascii="楷体" w:hAnsi="楷体" w:eastAsia="楷体" w:cs="楷体"/>
          <w:b/>
          <w:bCs/>
          <w:sz w:val="36"/>
          <w:szCs w:val="36"/>
          <w:lang w:val="en-US" w:eastAsia="zh-CN"/>
        </w:rPr>
        <w:t>技术</w:t>
      </w:r>
      <w:r>
        <w:rPr>
          <w:rFonts w:hint="eastAsia" w:ascii="楷体" w:hAnsi="楷体" w:eastAsia="楷体" w:cs="楷体"/>
          <w:b/>
          <w:bCs/>
          <w:sz w:val="36"/>
          <w:szCs w:val="36"/>
        </w:rPr>
        <w:t>要求</w:t>
      </w:r>
    </w:p>
    <w:p>
      <w:pPr>
        <w:pStyle w:val="27"/>
        <w:keepNext w:val="0"/>
        <w:keepLines w:val="0"/>
        <w:pageBreakBefore w:val="0"/>
        <w:widowControl w:val="0"/>
        <w:numPr>
          <w:ilvl w:val="0"/>
          <w:numId w:val="1"/>
        </w:numPr>
        <w:tabs>
          <w:tab w:val="right" w:leader="dot" w:pos="8640"/>
        </w:tabs>
        <w:kinsoku/>
        <w:wordWrap/>
        <w:overflowPunct/>
        <w:topLinePunct w:val="0"/>
        <w:autoSpaceDE/>
        <w:autoSpaceDN/>
        <w:bidi w:val="0"/>
        <w:adjustRightInd/>
        <w:snapToGrid/>
        <w:spacing w:before="157" w:beforeLines="50" w:after="157" w:afterLines="50" w:line="480" w:lineRule="auto"/>
        <w:textAlignment w:val="auto"/>
        <w:rPr>
          <w:rFonts w:hint="eastAsia" w:ascii="楷体" w:hAnsi="楷体" w:eastAsia="楷体" w:cs="楷体"/>
          <w:b/>
          <w:bCs/>
          <w:sz w:val="36"/>
          <w:szCs w:val="36"/>
        </w:rPr>
      </w:pPr>
      <w:r>
        <w:rPr>
          <w:rFonts w:hint="eastAsia" w:ascii="楷体" w:hAnsi="楷体" w:eastAsia="楷体" w:cs="楷体"/>
          <w:b/>
          <w:bCs/>
          <w:sz w:val="36"/>
          <w:szCs w:val="36"/>
          <w:lang w:val="en-US" w:eastAsia="zh-CN"/>
        </w:rPr>
        <w:t>报价</w:t>
      </w:r>
      <w:r>
        <w:rPr>
          <w:rFonts w:hint="eastAsia" w:ascii="楷体" w:hAnsi="楷体" w:eastAsia="楷体" w:cs="楷体"/>
          <w:b/>
          <w:bCs/>
          <w:sz w:val="36"/>
          <w:szCs w:val="36"/>
        </w:rPr>
        <w:t>文件</w:t>
      </w:r>
      <w:bookmarkStart w:id="3" w:name="_Toc5431"/>
      <w:r>
        <w:rPr>
          <w:rFonts w:hint="eastAsia" w:ascii="楷体" w:hAnsi="楷体" w:eastAsia="楷体" w:cs="楷体"/>
          <w:b/>
          <w:bCs/>
          <w:sz w:val="36"/>
          <w:szCs w:val="36"/>
        </w:rPr>
        <w:br w:type="page"/>
      </w:r>
    </w:p>
    <w:p>
      <w:pPr>
        <w:pStyle w:val="2"/>
        <w:numPr>
          <w:ilvl w:val="0"/>
          <w:numId w:val="2"/>
        </w:numPr>
        <w:spacing w:line="240" w:lineRule="auto"/>
        <w:jc w:val="center"/>
        <w:rPr>
          <w:rFonts w:hint="eastAsia" w:ascii="楷体" w:hAnsi="楷体" w:eastAsia="楷体" w:cs="楷体"/>
          <w:color w:val="000000"/>
          <w:sz w:val="36"/>
          <w:szCs w:val="36"/>
        </w:rPr>
      </w:pPr>
      <w:r>
        <w:rPr>
          <w:rFonts w:hint="eastAsia" w:ascii="楷体" w:hAnsi="楷体" w:eastAsia="楷体" w:cs="楷体"/>
          <w:color w:val="000000"/>
          <w:sz w:val="36"/>
          <w:szCs w:val="36"/>
          <w:lang w:val="en-US" w:eastAsia="zh-CN"/>
        </w:rPr>
        <w:t>询价</w:t>
      </w:r>
      <w:r>
        <w:rPr>
          <w:rFonts w:hint="eastAsia" w:ascii="楷体" w:hAnsi="楷体" w:eastAsia="楷体" w:cs="楷体"/>
          <w:color w:val="000000"/>
          <w:sz w:val="36"/>
          <w:szCs w:val="36"/>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val="0"/>
          <w:bCs w:val="0"/>
          <w:color w:val="000000"/>
          <w:kern w:val="28"/>
          <w:sz w:val="28"/>
          <w:szCs w:val="28"/>
          <w:lang w:val="en-US" w:eastAsia="zh-CN"/>
        </w:rPr>
      </w:pPr>
      <w:bookmarkStart w:id="4" w:name="_Toc438129396"/>
      <w:bookmarkStart w:id="5" w:name="_Toc405303153"/>
      <w:bookmarkStart w:id="6" w:name="_Toc484184039"/>
      <w:r>
        <w:rPr>
          <w:rFonts w:hint="eastAsia" w:ascii="楷体" w:hAnsi="楷体" w:eastAsia="楷体" w:cs="楷体"/>
          <w:b w:val="0"/>
          <w:bCs w:val="0"/>
          <w:color w:val="000000"/>
          <w:kern w:val="28"/>
          <w:sz w:val="28"/>
          <w:szCs w:val="28"/>
          <w:lang w:val="en-US" w:eastAsia="zh-CN"/>
        </w:rPr>
        <w:t>项目询价书名称和编码（编号）：详见中国中煤供应链平台询价通知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val="0"/>
          <w:bCs w:val="0"/>
          <w:color w:val="000000"/>
          <w:kern w:val="28"/>
          <w:sz w:val="28"/>
          <w:szCs w:val="28"/>
          <w:lang w:val="en-US" w:eastAsia="zh-CN"/>
        </w:rPr>
      </w:pPr>
      <w:r>
        <w:rPr>
          <w:rFonts w:hint="eastAsia" w:ascii="楷体" w:hAnsi="楷体" w:eastAsia="楷体" w:cs="楷体"/>
          <w:b w:val="0"/>
          <w:bCs w:val="0"/>
          <w:color w:val="000000"/>
          <w:kern w:val="28"/>
          <w:sz w:val="28"/>
          <w:szCs w:val="28"/>
          <w:lang w:val="en-US" w:eastAsia="zh-CN"/>
        </w:rPr>
        <w:t>项目类别：公开询比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val="0"/>
          <w:bCs w:val="0"/>
          <w:color w:val="000000"/>
          <w:kern w:val="28"/>
          <w:sz w:val="28"/>
          <w:szCs w:val="28"/>
          <w:lang w:val="en-US" w:eastAsia="zh-CN"/>
        </w:rPr>
      </w:pPr>
      <w:r>
        <w:rPr>
          <w:rFonts w:hint="eastAsia" w:ascii="楷体" w:hAnsi="楷体" w:eastAsia="楷体" w:cs="楷体"/>
          <w:b w:val="0"/>
          <w:bCs w:val="0"/>
          <w:color w:val="000000"/>
          <w:kern w:val="28"/>
          <w:sz w:val="28"/>
          <w:szCs w:val="28"/>
          <w:lang w:val="en-US" w:eastAsia="zh-CN"/>
        </w:rPr>
        <w:t>中煤华晋集团有限公司物资采购中心（以下简称“采购人”）就本项目进行公开询比，请符合资格要求的潜在供应商前来报名。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1.</w:t>
      </w:r>
      <w:bookmarkEnd w:id="4"/>
      <w:bookmarkEnd w:id="5"/>
      <w:bookmarkEnd w:id="6"/>
      <w:r>
        <w:rPr>
          <w:rFonts w:hint="default" w:ascii="楷体" w:hAnsi="楷体" w:eastAsia="楷体" w:cs="楷体"/>
          <w:b/>
          <w:bCs/>
          <w:color w:val="000000"/>
          <w:kern w:val="28"/>
          <w:sz w:val="28"/>
          <w:szCs w:val="28"/>
          <w:lang w:val="en-US" w:eastAsia="zh-CN"/>
        </w:rPr>
        <w:t>项目概况与询价内容</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bookmarkStart w:id="7" w:name="_Toc405303154"/>
      <w:bookmarkStart w:id="8" w:name="_Toc484184040"/>
      <w:bookmarkStart w:id="9" w:name="_Toc438129397"/>
      <w:r>
        <w:rPr>
          <w:rFonts w:hint="eastAsia" w:ascii="楷体" w:hAnsi="楷体" w:eastAsia="楷体" w:cs="楷体"/>
          <w:sz w:val="28"/>
          <w:szCs w:val="28"/>
          <w:lang w:val="en-US" w:eastAsia="zh-CN"/>
        </w:rPr>
        <w:t>1.1询价内容：详见中国</w:t>
      </w:r>
      <w:r>
        <w:rPr>
          <w:rFonts w:hint="eastAsia" w:ascii="楷体" w:hAnsi="楷体" w:eastAsia="楷体" w:cs="楷体"/>
          <w:sz w:val="28"/>
          <w:szCs w:val="28"/>
        </w:rPr>
        <w:t>中煤</w:t>
      </w:r>
      <w:r>
        <w:rPr>
          <w:rFonts w:hint="eastAsia" w:ascii="楷体" w:hAnsi="楷体" w:eastAsia="楷体" w:cs="楷体"/>
          <w:sz w:val="28"/>
          <w:szCs w:val="28"/>
          <w:lang w:val="en-US" w:eastAsia="zh-CN"/>
        </w:rPr>
        <w:t>供应链</w:t>
      </w:r>
      <w:r>
        <w:rPr>
          <w:rFonts w:hint="eastAsia" w:ascii="楷体" w:hAnsi="楷体" w:eastAsia="楷体" w:cs="楷体"/>
          <w:sz w:val="28"/>
          <w:szCs w:val="28"/>
        </w:rPr>
        <w:t>平台</w:t>
      </w:r>
      <w:r>
        <w:rPr>
          <w:rFonts w:hint="eastAsia" w:ascii="楷体" w:hAnsi="楷体" w:eastAsia="楷体" w:cs="楷体"/>
          <w:sz w:val="28"/>
          <w:szCs w:val="28"/>
          <w:lang w:val="en-US" w:eastAsia="zh-CN"/>
        </w:rPr>
        <w:t>询价通知、技术规格书。（询价物资参数要求均以技术规格书为准）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1.2资金来源：企业自筹。</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1.3交货期：详见技术规格书或合同条款。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zh-CN" w:eastAsia="zh-CN"/>
        </w:rPr>
      </w:pPr>
      <w:r>
        <w:rPr>
          <w:rFonts w:hint="eastAsia" w:ascii="楷体" w:hAnsi="楷体" w:eastAsia="楷体" w:cs="楷体"/>
          <w:sz w:val="28"/>
          <w:szCs w:val="28"/>
          <w:lang w:val="en-US" w:eastAsia="zh-CN"/>
        </w:rPr>
        <w:t>1.4</w:t>
      </w:r>
      <w:r>
        <w:rPr>
          <w:rFonts w:hint="eastAsia" w:ascii="楷体" w:hAnsi="楷体" w:eastAsia="楷体" w:cs="楷体"/>
          <w:sz w:val="28"/>
          <w:szCs w:val="28"/>
          <w:lang w:val="zh-CN" w:eastAsia="zh-CN"/>
        </w:rPr>
        <w:t>交货地点：山西省沁水县龙港镇里必村</w:t>
      </w:r>
      <w:bookmarkStart w:id="62" w:name="_GoBack"/>
      <w:bookmarkEnd w:id="62"/>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1.5付款方式：详见技术规格书或合同条款。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rPr>
      </w:pPr>
      <w:r>
        <w:rPr>
          <w:rFonts w:hint="eastAsia" w:ascii="楷体" w:hAnsi="楷体" w:eastAsia="楷体" w:cs="楷体"/>
          <w:b/>
          <w:bCs/>
          <w:color w:val="000000"/>
          <w:kern w:val="28"/>
          <w:sz w:val="28"/>
          <w:szCs w:val="28"/>
          <w:lang w:val="en-US" w:eastAsia="zh-CN"/>
        </w:rPr>
        <w:t>2.报价人资质</w:t>
      </w:r>
      <w:r>
        <w:rPr>
          <w:rFonts w:hint="eastAsia" w:ascii="楷体" w:hAnsi="楷体" w:eastAsia="楷体" w:cs="楷体"/>
          <w:b/>
          <w:bCs/>
          <w:color w:val="000000"/>
          <w:kern w:val="28"/>
          <w:sz w:val="28"/>
          <w:szCs w:val="28"/>
        </w:rPr>
        <w:t>要求</w:t>
      </w:r>
      <w:bookmarkEnd w:id="7"/>
      <w:bookmarkEnd w:id="8"/>
      <w:bookmarkEnd w:id="9"/>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bookmarkStart w:id="10" w:name="bidRequire"/>
      <w:r>
        <w:rPr>
          <w:rFonts w:hint="eastAsia" w:ascii="楷体" w:hAnsi="楷体" w:eastAsia="楷体" w:cs="楷体"/>
          <w:sz w:val="28"/>
          <w:szCs w:val="28"/>
          <w:lang w:val="en-US" w:eastAsia="zh-CN"/>
        </w:rPr>
        <w:t>2.1</w:t>
      </w:r>
      <w:bookmarkEnd w:id="10"/>
      <w:r>
        <w:rPr>
          <w:rFonts w:hint="eastAsia" w:ascii="楷体" w:hAnsi="楷体" w:eastAsia="楷体" w:cs="楷体"/>
          <w:sz w:val="28"/>
          <w:szCs w:val="28"/>
          <w:lang w:val="en-US" w:eastAsia="zh-CN"/>
        </w:rPr>
        <w:t>报价人须在中华人民共和国注册，并具有独立法人资格。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2.1.1报价人为企业的，应提供营业执照和组织机构代码证的扫描件（按照“三证合一”或“五证合一”登记制度进行登记的，可仅提供营业执照扫描件）；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2.1.2报价人为依法允许经营的事业单位的，应提供事业单位法人证书和组织机构代码证的扫描件（按照“三证合一”或“五证合一”登记制度进行登记的，可仅提供事业单位法人证书）。</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报价人须未被最高人民法院在“信用中国”网站（www.creditchina.gov.cn）或各级信用信息共享平台中列入失信被执行人名单；未被工商行政管理机关在全国企业信用信息公示系统（www.gsxt.gov.cn）中列入严重违法失信企业名单；在近三年内报价人或其法定代表人（单位负责人）无行贿犯罪行为，以中国裁判文书网（wenshu.court.gov.cn）查询结果为准（上述情况报价人均应自行提供查询截图，如未提供截图，以评审现场查询结果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2.3报价人应签订《供应商廉洁承诺书》，格式见第五章报价文件部分，需报价文件中提供（凡没有签订《供应商廉洁承诺书》的报价人均被否决投标）。</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2.4本项目约定的其他资质要求详见技术规格书。</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本项目是否接受联合体投标：否。</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注：（1）本次询价采用资格后审，潜在供应商报名成功后不代表已经通过资格审查。资格审查以供应商成功递交的电子报价文件为准。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单位负责人为同一人或者存在控股、管理关系的不同单位，不得参加同一项目</w:t>
      </w:r>
      <w:r>
        <w:rPr>
          <w:rFonts w:hint="eastAsia" w:ascii="楷体" w:hAnsi="楷体" w:eastAsia="楷体" w:cs="楷体"/>
          <w:sz w:val="28"/>
          <w:szCs w:val="28"/>
          <w:lang w:val="en-US" w:eastAsia="zh-CN"/>
        </w:rPr>
        <w:t>报名、报价。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报价人应按报价人资格要求所述在报价文件中提供投标产品相应的“矿用产品安全标志”证书或自愿性“产品认证证书”；若报价人未在报价文件中提供的，未提供的设备以评审小组在国家矿用产品安全标志中心网站查询为准，相关产品“矿用产品安全标志证书”或自愿性“产品认证证书”实际存在并有效的，则不否决投标；若经评审小组查询复核，相关产品“矿用产品安全标志”或自愿性“产品认证证书”不存在或无效的，则否决投标。（如适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3、报名和报价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3.1供应商须登录（https://ego.chinacoal.com）“中国中煤供应链平台”进行在线报名。</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3.2已注册用户的供应商直接登录，通过系统网上报名，报名审核方式为资格后审，报名提交后无需等待审核即可进行网上报价。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3.2</w:t>
      </w:r>
      <w:r>
        <w:rPr>
          <w:rFonts w:hint="default" w:ascii="楷体" w:hAnsi="楷体" w:eastAsia="楷体" w:cs="楷体"/>
          <w:sz w:val="28"/>
          <w:szCs w:val="28"/>
          <w:lang w:val="en-US" w:eastAsia="zh-CN"/>
        </w:rPr>
        <w:t>未注册的供应商</w:t>
      </w:r>
      <w:r>
        <w:rPr>
          <w:rFonts w:hint="eastAsia" w:ascii="楷体" w:hAnsi="楷体" w:eastAsia="楷体" w:cs="楷体"/>
          <w:sz w:val="28"/>
          <w:szCs w:val="28"/>
          <w:lang w:val="en-US" w:eastAsia="zh-CN"/>
        </w:rPr>
        <w:t>需</w:t>
      </w:r>
      <w:r>
        <w:rPr>
          <w:rFonts w:hint="default" w:ascii="楷体" w:hAnsi="楷体" w:eastAsia="楷体" w:cs="楷体"/>
          <w:sz w:val="28"/>
          <w:szCs w:val="28"/>
          <w:lang w:val="en-US" w:eastAsia="zh-CN"/>
        </w:rPr>
        <w:t>在网站进行注册，待审核通过后可以参与报名报价</w:t>
      </w:r>
      <w:r>
        <w:rPr>
          <w:rFonts w:hint="eastAsia" w:ascii="楷体" w:hAnsi="楷体" w:eastAsia="楷体" w:cs="楷体"/>
          <w:sz w:val="28"/>
          <w:szCs w:val="28"/>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3.3供应商报名后，</w:t>
      </w:r>
      <w:r>
        <w:rPr>
          <w:rFonts w:hint="default" w:ascii="楷体" w:hAnsi="楷体" w:eastAsia="楷体" w:cs="楷体"/>
          <w:sz w:val="28"/>
          <w:szCs w:val="28"/>
          <w:lang w:val="en-US" w:eastAsia="zh-CN"/>
        </w:rPr>
        <w:t>可在</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报价</w:t>
      </w:r>
      <w:r>
        <w:rPr>
          <w:rFonts w:hint="eastAsia" w:ascii="楷体" w:hAnsi="楷体" w:eastAsia="楷体" w:cs="楷体"/>
          <w:sz w:val="28"/>
          <w:szCs w:val="28"/>
          <w:lang w:val="en-US" w:eastAsia="zh-CN"/>
        </w:rPr>
        <w:t>录入”界面</w:t>
      </w:r>
      <w:r>
        <w:rPr>
          <w:rFonts w:hint="default" w:ascii="楷体" w:hAnsi="楷体" w:eastAsia="楷体" w:cs="楷体"/>
          <w:sz w:val="28"/>
          <w:szCs w:val="28"/>
          <w:lang w:val="en-US" w:eastAsia="zh-CN"/>
        </w:rPr>
        <w:t>下载</w:t>
      </w:r>
      <w:r>
        <w:rPr>
          <w:rFonts w:hint="eastAsia" w:ascii="楷体" w:hAnsi="楷体" w:eastAsia="楷体" w:cs="楷体"/>
          <w:sz w:val="28"/>
          <w:szCs w:val="28"/>
          <w:lang w:val="en-US" w:eastAsia="zh-CN"/>
        </w:rPr>
        <w:t>询价</w:t>
      </w:r>
      <w:r>
        <w:rPr>
          <w:rFonts w:hint="default" w:ascii="楷体" w:hAnsi="楷体" w:eastAsia="楷体" w:cs="楷体"/>
          <w:sz w:val="28"/>
          <w:szCs w:val="28"/>
          <w:lang w:val="en-US" w:eastAsia="zh-CN"/>
        </w:rPr>
        <w:t>文件</w:t>
      </w:r>
      <w:r>
        <w:rPr>
          <w:rFonts w:hint="eastAsia" w:ascii="楷体" w:hAnsi="楷体" w:eastAsia="楷体" w:cs="楷体"/>
          <w:sz w:val="28"/>
          <w:szCs w:val="28"/>
          <w:lang w:val="en-US" w:eastAsia="zh-CN"/>
        </w:rPr>
        <w:t>。请务必</w:t>
      </w:r>
      <w:r>
        <w:rPr>
          <w:rFonts w:hint="default" w:ascii="楷体" w:hAnsi="楷体" w:eastAsia="楷体" w:cs="楷体"/>
          <w:sz w:val="28"/>
          <w:szCs w:val="28"/>
          <w:lang w:val="en-US" w:eastAsia="zh-CN"/>
        </w:rPr>
        <w:t>认真</w:t>
      </w:r>
      <w:r>
        <w:rPr>
          <w:rFonts w:hint="eastAsia" w:ascii="楷体" w:hAnsi="楷体" w:eastAsia="楷体" w:cs="楷体"/>
          <w:sz w:val="28"/>
          <w:szCs w:val="28"/>
          <w:lang w:val="en-US" w:eastAsia="zh-CN"/>
        </w:rPr>
        <w:t>仔细</w:t>
      </w:r>
      <w:r>
        <w:rPr>
          <w:rFonts w:hint="default" w:ascii="楷体" w:hAnsi="楷体" w:eastAsia="楷体" w:cs="楷体"/>
          <w:sz w:val="28"/>
          <w:szCs w:val="28"/>
          <w:lang w:val="en-US" w:eastAsia="zh-CN"/>
        </w:rPr>
        <w:t>阅读，按照</w:t>
      </w:r>
      <w:r>
        <w:rPr>
          <w:rFonts w:hint="eastAsia" w:ascii="楷体" w:hAnsi="楷体" w:eastAsia="楷体" w:cs="楷体"/>
          <w:sz w:val="28"/>
          <w:szCs w:val="28"/>
          <w:lang w:val="en-US" w:eastAsia="zh-CN"/>
        </w:rPr>
        <w:t>询价</w:t>
      </w:r>
      <w:r>
        <w:rPr>
          <w:rFonts w:hint="default" w:ascii="楷体" w:hAnsi="楷体" w:eastAsia="楷体" w:cs="楷体"/>
          <w:sz w:val="28"/>
          <w:szCs w:val="28"/>
          <w:lang w:val="en-US" w:eastAsia="zh-CN"/>
        </w:rPr>
        <w:t>文件要求进行报价</w:t>
      </w:r>
      <w:r>
        <w:rPr>
          <w:rFonts w:hint="eastAsia" w:ascii="楷体" w:hAnsi="楷体" w:eastAsia="楷体" w:cs="楷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4、报价文件编制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4.1供应商须按照询价文件第五章要求的格式编制</w:t>
      </w:r>
      <w:r>
        <w:rPr>
          <w:rFonts w:hint="default" w:ascii="楷体" w:hAnsi="楷体" w:eastAsia="楷体" w:cs="楷体"/>
          <w:sz w:val="28"/>
          <w:szCs w:val="28"/>
          <w:lang w:val="en-US" w:eastAsia="zh-CN"/>
        </w:rPr>
        <w:t>1</w:t>
      </w:r>
      <w:r>
        <w:rPr>
          <w:rFonts w:hint="eastAsia" w:ascii="楷体" w:hAnsi="楷体" w:eastAsia="楷体" w:cs="楷体"/>
          <w:sz w:val="28"/>
          <w:szCs w:val="28"/>
          <w:lang w:val="en-US" w:eastAsia="zh-CN"/>
        </w:rPr>
        <w:t>个完整不可编辑的电子版报价文件（PDF或Word格式），在报价界面作为附件上传，未上传电子版报价文件视为无效报价。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4.2电子版报价文件须加盖法人单位公章和法定代表人（或其代理人）签字或盖章，否则视为无效报价。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4.3供应商应于报价截止前（以系统时间为准）递交报价文件。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5、</w:t>
      </w:r>
      <w:r>
        <w:rPr>
          <w:rFonts w:hint="default" w:ascii="楷体" w:hAnsi="楷体" w:eastAsia="楷体" w:cs="楷体"/>
          <w:b/>
          <w:bCs/>
          <w:color w:val="000000"/>
          <w:kern w:val="28"/>
          <w:sz w:val="28"/>
          <w:szCs w:val="28"/>
          <w:lang w:val="en-US" w:eastAsia="zh-CN"/>
        </w:rPr>
        <w:t>郑重声明</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报价人应</w:t>
      </w:r>
      <w:r>
        <w:rPr>
          <w:rFonts w:hint="default" w:ascii="楷体" w:hAnsi="楷体" w:eastAsia="楷体" w:cs="楷体"/>
          <w:sz w:val="28"/>
          <w:szCs w:val="28"/>
          <w:lang w:val="en-US" w:eastAsia="zh-CN"/>
        </w:rPr>
        <w:t>对报价</w:t>
      </w:r>
      <w:r>
        <w:rPr>
          <w:rFonts w:hint="eastAsia" w:ascii="楷体" w:hAnsi="楷体" w:eastAsia="楷体" w:cs="楷体"/>
          <w:sz w:val="28"/>
          <w:szCs w:val="28"/>
          <w:lang w:val="en-US" w:eastAsia="zh-CN"/>
        </w:rPr>
        <w:t>的</w:t>
      </w:r>
      <w:r>
        <w:rPr>
          <w:rFonts w:hint="default" w:ascii="楷体" w:hAnsi="楷体" w:eastAsia="楷体" w:cs="楷体"/>
          <w:sz w:val="28"/>
          <w:szCs w:val="28"/>
          <w:lang w:val="en-US" w:eastAsia="zh-CN"/>
        </w:rPr>
        <w:t>合法性负责，</w:t>
      </w:r>
      <w:r>
        <w:rPr>
          <w:rFonts w:hint="eastAsia" w:ascii="楷体" w:hAnsi="楷体" w:eastAsia="楷体" w:cs="楷体"/>
          <w:sz w:val="28"/>
          <w:szCs w:val="28"/>
          <w:lang w:val="en-US" w:eastAsia="zh-CN"/>
        </w:rPr>
        <w:t>并承担相关</w:t>
      </w:r>
      <w:r>
        <w:rPr>
          <w:rFonts w:hint="default" w:ascii="楷体" w:hAnsi="楷体" w:eastAsia="楷体" w:cs="楷体"/>
          <w:sz w:val="28"/>
          <w:szCs w:val="28"/>
          <w:lang w:val="en-US" w:eastAsia="zh-CN"/>
        </w:rPr>
        <w:t>经济及法律责任。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6、发布公告的媒介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本询价公告在“中国中煤供应链平台”发布。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7、项目具体时间安排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项目报名、报价开始及截止时间、报价揭示时间详见中国</w:t>
      </w:r>
      <w:r>
        <w:rPr>
          <w:rFonts w:hint="eastAsia" w:ascii="楷体" w:hAnsi="楷体" w:eastAsia="楷体" w:cs="楷体"/>
          <w:sz w:val="28"/>
          <w:szCs w:val="28"/>
        </w:rPr>
        <w:t>中煤</w:t>
      </w:r>
      <w:r>
        <w:rPr>
          <w:rFonts w:hint="eastAsia" w:ascii="楷体" w:hAnsi="楷体" w:eastAsia="楷体" w:cs="楷体"/>
          <w:sz w:val="28"/>
          <w:szCs w:val="28"/>
          <w:lang w:val="en-US" w:eastAsia="zh-CN"/>
        </w:rPr>
        <w:t>供应链</w:t>
      </w:r>
      <w:r>
        <w:rPr>
          <w:rFonts w:hint="eastAsia" w:ascii="楷体" w:hAnsi="楷体" w:eastAsia="楷体" w:cs="楷体"/>
          <w:sz w:val="28"/>
          <w:szCs w:val="28"/>
        </w:rPr>
        <w:t>平台</w:t>
      </w:r>
      <w:r>
        <w:rPr>
          <w:rFonts w:hint="eastAsia" w:ascii="楷体" w:hAnsi="楷体" w:eastAsia="楷体" w:cs="楷体"/>
          <w:sz w:val="28"/>
          <w:szCs w:val="28"/>
          <w:lang w:val="en-US" w:eastAsia="zh-CN"/>
        </w:rPr>
        <w:t>询价通知。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8、采购人联系方式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联 系 人：武晓波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联系方式：0359-2311241</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电子邮箱：</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"mailto:zmzbhjny@126.com"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zmzbhjny@126.com</w:t>
      </w:r>
      <w:r>
        <w:rPr>
          <w:rFonts w:hint="eastAsia" w:ascii="楷体" w:hAnsi="楷体" w:eastAsia="楷体" w:cs="楷体"/>
          <w:sz w:val="28"/>
          <w:szCs w:val="28"/>
          <w:lang w:val="en-US" w:eastAsia="zh-CN"/>
        </w:rPr>
        <w:fldChar w:fldCharType="end"/>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开标地点：山西运城市河津市固镇村中煤华晋集团有限公司办公楼3层电子评标会议室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邮 编：043300</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br w:type="page"/>
      </w:r>
    </w:p>
    <w:p>
      <w:pPr>
        <w:pStyle w:val="2"/>
        <w:numPr>
          <w:ilvl w:val="0"/>
          <w:numId w:val="3"/>
        </w:numPr>
        <w:spacing w:line="240" w:lineRule="auto"/>
        <w:jc w:val="center"/>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val="en-US" w:eastAsia="zh-CN"/>
        </w:rPr>
        <w:t>报价须知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1、报价要求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1.1报价方式：固定总价。所报价格为含税（必须为13%增值税）到货价，包括但不限于原材料、生产加工、检验、包装、管理、运杂、装卸、技术服务、税金等全部费用。</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1.2报价人在报价录入页面选中参与项目，点击“录入报价”在系统中进行价格录入。报价人务必严格按照要求报价，不得少报或漏报。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1.3供应商应于报价截止时间前（以系统时间为准）将报价文件以附件形式上传，逾期未上传或未按要求格式上传将否决其投标。</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1.4</w:t>
      </w:r>
      <w:r>
        <w:rPr>
          <w:rFonts w:hint="default" w:ascii="楷体" w:hAnsi="楷体" w:eastAsia="楷体" w:cs="楷体"/>
          <w:sz w:val="28"/>
          <w:szCs w:val="28"/>
          <w:lang w:val="en-US" w:eastAsia="zh-CN"/>
        </w:rPr>
        <w:t>报价有效期：</w:t>
      </w:r>
      <w:r>
        <w:rPr>
          <w:rFonts w:hint="eastAsia" w:ascii="楷体" w:hAnsi="楷体" w:eastAsia="楷体" w:cs="楷体"/>
          <w:sz w:val="28"/>
          <w:szCs w:val="28"/>
          <w:lang w:val="en-US" w:eastAsia="zh-CN"/>
        </w:rPr>
        <w:t>所报价格应从报价截止之日起120天内有效。</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1.5</w:t>
      </w:r>
      <w:r>
        <w:rPr>
          <w:rFonts w:hint="default" w:ascii="楷体" w:hAnsi="楷体" w:eastAsia="楷体" w:cs="楷体"/>
          <w:sz w:val="28"/>
          <w:szCs w:val="28"/>
          <w:lang w:val="en-US" w:eastAsia="zh-CN"/>
        </w:rPr>
        <w:t>现场踏勘：</w:t>
      </w:r>
      <w:r>
        <w:rPr>
          <w:rFonts w:hint="eastAsia" w:ascii="楷体" w:hAnsi="楷体" w:eastAsia="楷体" w:cs="楷体"/>
          <w:sz w:val="28"/>
          <w:szCs w:val="28"/>
          <w:lang w:val="en-US" w:eastAsia="zh-CN"/>
        </w:rPr>
        <w:t>采购人不安排踏勘。</w:t>
      </w:r>
      <w:r>
        <w:rPr>
          <w:rFonts w:hint="default" w:ascii="楷体" w:hAnsi="楷体" w:eastAsia="楷体" w:cs="楷体"/>
          <w:sz w:val="28"/>
          <w:szCs w:val="28"/>
          <w:lang w:val="en-US" w:eastAsia="zh-CN"/>
        </w:rPr>
        <w:t>报价</w:t>
      </w:r>
      <w:r>
        <w:rPr>
          <w:rFonts w:hint="eastAsia" w:ascii="楷体" w:hAnsi="楷体" w:eastAsia="楷体" w:cs="楷体"/>
          <w:sz w:val="28"/>
          <w:szCs w:val="28"/>
          <w:lang w:val="en-US" w:eastAsia="zh-CN"/>
        </w:rPr>
        <w:t>人</w:t>
      </w:r>
      <w:r>
        <w:rPr>
          <w:rFonts w:hint="default" w:ascii="楷体" w:hAnsi="楷体" w:eastAsia="楷体" w:cs="楷体"/>
          <w:sz w:val="28"/>
          <w:szCs w:val="28"/>
          <w:lang w:val="en-US" w:eastAsia="zh-CN"/>
        </w:rPr>
        <w:t>认为如有必要，</w:t>
      </w:r>
      <w:r>
        <w:rPr>
          <w:rFonts w:hint="eastAsia" w:ascii="楷体" w:hAnsi="楷体" w:eastAsia="楷体" w:cs="楷体"/>
          <w:sz w:val="28"/>
          <w:szCs w:val="28"/>
          <w:lang w:val="en-US" w:eastAsia="zh-CN"/>
        </w:rPr>
        <w:t>可自行安排，相关一切费用自理。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1.6</w:t>
      </w:r>
      <w:r>
        <w:rPr>
          <w:rFonts w:hint="default" w:ascii="楷体" w:hAnsi="楷体" w:eastAsia="楷体" w:cs="楷体"/>
          <w:sz w:val="28"/>
          <w:szCs w:val="28"/>
          <w:lang w:val="en-US" w:eastAsia="zh-CN"/>
        </w:rPr>
        <w:t>澄清</w:t>
      </w:r>
      <w:r>
        <w:rPr>
          <w:rFonts w:hint="eastAsia" w:ascii="楷体" w:hAnsi="楷体" w:eastAsia="楷体" w:cs="楷体"/>
          <w:sz w:val="28"/>
          <w:szCs w:val="28"/>
          <w:lang w:val="en-US" w:eastAsia="zh-CN"/>
        </w:rPr>
        <w:t>与修改</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递交报价文件截止之日前，报价人可对已发出的询价文件进行必要的澄清或修改，澄清或修改的内容将作为询价文件的组成部分。澄清接受和发出形式：</w:t>
      </w:r>
      <w:r>
        <w:rPr>
          <w:rFonts w:hint="default" w:ascii="楷体" w:hAnsi="楷体" w:eastAsia="楷体" w:cs="楷体"/>
          <w:sz w:val="28"/>
          <w:szCs w:val="28"/>
          <w:lang w:val="en-US" w:eastAsia="zh-CN"/>
        </w:rPr>
        <w:t>以书面形式在</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"mailto:zmzbhjny@126.com"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zmzbhjny@126.com</w:t>
      </w:r>
      <w:r>
        <w:rPr>
          <w:rFonts w:hint="eastAsia" w:ascii="楷体" w:hAnsi="楷体" w:eastAsia="楷体" w:cs="楷体"/>
          <w:sz w:val="28"/>
          <w:szCs w:val="28"/>
          <w:lang w:val="en-US" w:eastAsia="zh-CN"/>
        </w:rPr>
        <w:fldChar w:fldCharType="end"/>
      </w:r>
      <w:r>
        <w:rPr>
          <w:rFonts w:hint="default" w:ascii="楷体" w:hAnsi="楷体" w:eastAsia="楷体" w:cs="楷体"/>
          <w:sz w:val="28"/>
          <w:szCs w:val="28"/>
          <w:lang w:val="en-US" w:eastAsia="zh-CN"/>
        </w:rPr>
        <w:t>提出并通知</w:t>
      </w:r>
      <w:r>
        <w:rPr>
          <w:rFonts w:hint="eastAsia" w:ascii="楷体" w:hAnsi="楷体" w:eastAsia="楷体" w:cs="楷体"/>
          <w:sz w:val="28"/>
          <w:szCs w:val="28"/>
          <w:lang w:val="en-US" w:eastAsia="zh-CN"/>
        </w:rPr>
        <w:t>采购人</w:t>
      </w:r>
      <w:r>
        <w:rPr>
          <w:rFonts w:hint="default" w:ascii="楷体" w:hAnsi="楷体" w:eastAsia="楷体" w:cs="楷体"/>
          <w:sz w:val="28"/>
          <w:szCs w:val="28"/>
          <w:lang w:val="en-US" w:eastAsia="zh-CN"/>
        </w:rPr>
        <w:t>，澄清文件应</w:t>
      </w:r>
      <w:r>
        <w:rPr>
          <w:rFonts w:hint="eastAsia" w:ascii="楷体" w:hAnsi="楷体" w:eastAsia="楷体" w:cs="楷体"/>
          <w:sz w:val="28"/>
          <w:szCs w:val="28"/>
          <w:lang w:val="en-US" w:eastAsia="zh-CN"/>
        </w:rPr>
        <w:t>为盖章扫描件。</w:t>
      </w:r>
      <w:r>
        <w:rPr>
          <w:rFonts w:hint="default" w:ascii="楷体" w:hAnsi="楷体" w:eastAsia="楷体" w:cs="楷体"/>
          <w:sz w:val="28"/>
          <w:szCs w:val="28"/>
          <w:lang w:val="en-US" w:eastAsia="zh-CN"/>
        </w:rPr>
        <w:t>澄清内容可能影响</w:t>
      </w:r>
      <w:r>
        <w:rPr>
          <w:rFonts w:hint="eastAsia" w:ascii="楷体" w:hAnsi="楷体" w:eastAsia="楷体" w:cs="楷体"/>
          <w:sz w:val="28"/>
          <w:szCs w:val="28"/>
          <w:lang w:val="en-US" w:eastAsia="zh-CN"/>
        </w:rPr>
        <w:t>报价</w:t>
      </w:r>
      <w:r>
        <w:rPr>
          <w:rFonts w:hint="default" w:ascii="楷体" w:hAnsi="楷体" w:eastAsia="楷体" w:cs="楷体"/>
          <w:sz w:val="28"/>
          <w:szCs w:val="28"/>
          <w:lang w:val="en-US" w:eastAsia="zh-CN"/>
        </w:rPr>
        <w:t>文件编制的，</w:t>
      </w:r>
      <w:r>
        <w:rPr>
          <w:rFonts w:hint="eastAsia" w:ascii="楷体" w:hAnsi="楷体" w:eastAsia="楷体" w:cs="楷体"/>
          <w:sz w:val="28"/>
          <w:szCs w:val="28"/>
          <w:lang w:val="en-US" w:eastAsia="zh-CN"/>
        </w:rPr>
        <w:t>采购人</w:t>
      </w:r>
      <w:r>
        <w:rPr>
          <w:rFonts w:hint="default" w:ascii="楷体" w:hAnsi="楷体" w:eastAsia="楷体" w:cs="楷体"/>
          <w:sz w:val="28"/>
          <w:szCs w:val="28"/>
          <w:lang w:val="en-US" w:eastAsia="zh-CN"/>
        </w:rPr>
        <w:t>将相应延长</w:t>
      </w:r>
      <w:r>
        <w:rPr>
          <w:rFonts w:hint="eastAsia" w:ascii="楷体" w:hAnsi="楷体" w:eastAsia="楷体" w:cs="楷体"/>
          <w:sz w:val="28"/>
          <w:szCs w:val="28"/>
          <w:lang w:val="en-US" w:eastAsia="zh-CN"/>
        </w:rPr>
        <w:t>报价</w:t>
      </w:r>
      <w:r>
        <w:rPr>
          <w:rFonts w:hint="default" w:ascii="楷体" w:hAnsi="楷体" w:eastAsia="楷体" w:cs="楷体"/>
          <w:sz w:val="28"/>
          <w:szCs w:val="28"/>
          <w:lang w:val="en-US" w:eastAsia="zh-CN"/>
        </w:rPr>
        <w:t>截止时间。</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1.7</w:t>
      </w:r>
      <w:r>
        <w:rPr>
          <w:rFonts w:hint="default" w:ascii="楷体" w:hAnsi="楷体" w:eastAsia="楷体" w:cs="楷体"/>
          <w:sz w:val="28"/>
          <w:szCs w:val="28"/>
          <w:lang w:val="en-US" w:eastAsia="zh-CN"/>
        </w:rPr>
        <w:t>报价</w:t>
      </w:r>
      <w:r>
        <w:rPr>
          <w:rFonts w:hint="eastAsia" w:ascii="楷体" w:hAnsi="楷体" w:eastAsia="楷体" w:cs="楷体"/>
          <w:sz w:val="28"/>
          <w:szCs w:val="28"/>
          <w:lang w:val="en-US" w:eastAsia="zh-CN"/>
        </w:rPr>
        <w:t>保证金</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无。</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1.8采购服务费</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无。</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1.9请各报价人在报价揭示当天保持手机畅通。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2、报价人注意事项</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2.1接采购人成交通知后，如需签订相关技术协议应与甲方进行签订，若成交供应商在接到成交通知后因自身原因在30天内未履行合同签订的，采购人有权取消其成交资格并列入中国中煤供应商“黑名单”。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2.2报价文件的澄清</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2.2.1</w:t>
      </w:r>
      <w:r>
        <w:rPr>
          <w:rFonts w:hint="default" w:ascii="楷体" w:hAnsi="楷体" w:eastAsia="楷体" w:cs="楷体"/>
          <w:sz w:val="28"/>
          <w:szCs w:val="28"/>
          <w:lang w:val="en-US" w:eastAsia="zh-CN"/>
        </w:rPr>
        <w:t>在</w:t>
      </w:r>
      <w:r>
        <w:rPr>
          <w:rFonts w:hint="eastAsia" w:ascii="楷体" w:hAnsi="楷体" w:eastAsia="楷体" w:cs="楷体"/>
          <w:sz w:val="28"/>
          <w:szCs w:val="28"/>
          <w:lang w:val="en-US" w:eastAsia="zh-CN"/>
        </w:rPr>
        <w:t>评审</w:t>
      </w:r>
      <w:r>
        <w:rPr>
          <w:rFonts w:hint="default" w:ascii="楷体" w:hAnsi="楷体" w:eastAsia="楷体" w:cs="楷体"/>
          <w:sz w:val="28"/>
          <w:szCs w:val="28"/>
          <w:lang w:val="en-US" w:eastAsia="zh-CN"/>
        </w:rPr>
        <w:t>过程中，</w:t>
      </w:r>
      <w:r>
        <w:rPr>
          <w:rFonts w:hint="eastAsia" w:ascii="楷体" w:hAnsi="楷体" w:eastAsia="楷体" w:cs="楷体"/>
          <w:sz w:val="28"/>
          <w:szCs w:val="28"/>
          <w:lang w:val="en-US" w:eastAsia="zh-CN"/>
        </w:rPr>
        <w:t>评审小组</w:t>
      </w:r>
      <w:r>
        <w:rPr>
          <w:rFonts w:hint="default" w:ascii="楷体" w:hAnsi="楷体" w:eastAsia="楷体" w:cs="楷体"/>
          <w:sz w:val="28"/>
          <w:szCs w:val="28"/>
          <w:lang w:val="en-US" w:eastAsia="zh-CN"/>
        </w:rPr>
        <w:t>可以</w:t>
      </w:r>
      <w:r>
        <w:rPr>
          <w:rFonts w:hint="eastAsia" w:ascii="楷体" w:hAnsi="楷体" w:eastAsia="楷体" w:cs="楷体"/>
          <w:sz w:val="28"/>
          <w:szCs w:val="28"/>
          <w:lang w:val="en-US" w:eastAsia="zh-CN"/>
        </w:rPr>
        <w:t>已</w:t>
      </w:r>
      <w:r>
        <w:rPr>
          <w:rFonts w:hint="default" w:ascii="楷体" w:hAnsi="楷体" w:eastAsia="楷体" w:cs="楷体"/>
          <w:sz w:val="28"/>
          <w:szCs w:val="28"/>
          <w:lang w:val="en-US" w:eastAsia="zh-CN"/>
        </w:rPr>
        <w:t>书面</w:t>
      </w:r>
      <w:r>
        <w:rPr>
          <w:rFonts w:hint="eastAsia" w:ascii="楷体" w:hAnsi="楷体" w:eastAsia="楷体" w:cs="楷体"/>
          <w:sz w:val="28"/>
          <w:szCs w:val="28"/>
          <w:lang w:val="en-US" w:eastAsia="zh-CN"/>
        </w:rPr>
        <w:t>或电话</w:t>
      </w:r>
      <w:r>
        <w:rPr>
          <w:rFonts w:hint="default" w:ascii="楷体" w:hAnsi="楷体" w:eastAsia="楷体" w:cs="楷体"/>
          <w:sz w:val="28"/>
          <w:szCs w:val="28"/>
          <w:lang w:val="en-US" w:eastAsia="zh-CN"/>
        </w:rPr>
        <w:t>形式要求</w:t>
      </w:r>
      <w:r>
        <w:rPr>
          <w:rFonts w:hint="eastAsia" w:ascii="楷体" w:hAnsi="楷体" w:eastAsia="楷体" w:cs="楷体"/>
          <w:sz w:val="28"/>
          <w:szCs w:val="28"/>
          <w:lang w:val="en-US" w:eastAsia="zh-CN"/>
        </w:rPr>
        <w:t>报价人</w:t>
      </w:r>
      <w:r>
        <w:rPr>
          <w:rFonts w:hint="default" w:ascii="楷体" w:hAnsi="楷体" w:eastAsia="楷体" w:cs="楷体"/>
          <w:sz w:val="28"/>
          <w:szCs w:val="28"/>
          <w:lang w:val="en-US" w:eastAsia="zh-CN"/>
        </w:rPr>
        <w:t>对</w:t>
      </w:r>
      <w:r>
        <w:rPr>
          <w:rFonts w:hint="eastAsia" w:ascii="楷体" w:hAnsi="楷体" w:eastAsia="楷体" w:cs="楷体"/>
          <w:sz w:val="28"/>
          <w:szCs w:val="28"/>
          <w:lang w:val="en-US" w:eastAsia="zh-CN"/>
        </w:rPr>
        <w:t>报价文件</w:t>
      </w:r>
      <w:r>
        <w:rPr>
          <w:rFonts w:hint="default" w:ascii="楷体" w:hAnsi="楷体" w:eastAsia="楷体" w:cs="楷体"/>
          <w:sz w:val="28"/>
          <w:szCs w:val="28"/>
          <w:lang w:val="en-US" w:eastAsia="zh-CN"/>
        </w:rPr>
        <w:t>中含义不明确、对同类问题表述不一致或者有明显文字和计算错误的内容做必要的澄清、说明或补正。澄清、说明或补正以书面方式进行。</w:t>
      </w:r>
      <w:r>
        <w:rPr>
          <w:rFonts w:hint="eastAsia" w:ascii="楷体" w:hAnsi="楷体" w:eastAsia="楷体" w:cs="楷体"/>
          <w:sz w:val="28"/>
          <w:szCs w:val="28"/>
          <w:lang w:val="en-US" w:eastAsia="zh-CN"/>
        </w:rPr>
        <w:t>评审小组</w:t>
      </w:r>
      <w:r>
        <w:rPr>
          <w:rFonts w:hint="default" w:ascii="楷体" w:hAnsi="楷体" w:eastAsia="楷体" w:cs="楷体"/>
          <w:sz w:val="28"/>
          <w:szCs w:val="28"/>
          <w:lang w:val="en-US" w:eastAsia="zh-CN"/>
        </w:rPr>
        <w:t>不接受</w:t>
      </w:r>
      <w:r>
        <w:rPr>
          <w:rFonts w:hint="eastAsia" w:ascii="楷体" w:hAnsi="楷体" w:eastAsia="楷体" w:cs="楷体"/>
          <w:sz w:val="28"/>
          <w:szCs w:val="28"/>
          <w:lang w:val="en-US" w:eastAsia="zh-CN"/>
        </w:rPr>
        <w:t>报价人</w:t>
      </w:r>
      <w:r>
        <w:rPr>
          <w:rFonts w:hint="default" w:ascii="楷体" w:hAnsi="楷体" w:eastAsia="楷体" w:cs="楷体"/>
          <w:sz w:val="28"/>
          <w:szCs w:val="28"/>
          <w:lang w:val="en-US" w:eastAsia="zh-CN"/>
        </w:rPr>
        <w:t>主动提出的澄清、说明或补正。</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.2 澄清、说明或补正不得超出</w:t>
      </w:r>
      <w:r>
        <w:rPr>
          <w:rFonts w:hint="eastAsia" w:ascii="楷体" w:hAnsi="楷体" w:eastAsia="楷体" w:cs="楷体"/>
          <w:sz w:val="28"/>
          <w:szCs w:val="28"/>
          <w:lang w:val="en-US" w:eastAsia="zh-CN"/>
        </w:rPr>
        <w:t>报价文件</w:t>
      </w:r>
      <w:r>
        <w:rPr>
          <w:rFonts w:hint="default" w:ascii="楷体" w:hAnsi="楷体" w:eastAsia="楷体" w:cs="楷体"/>
          <w:sz w:val="28"/>
          <w:szCs w:val="28"/>
          <w:lang w:val="en-US" w:eastAsia="zh-CN"/>
        </w:rPr>
        <w:t>的范围且不得改变</w:t>
      </w:r>
      <w:r>
        <w:rPr>
          <w:rFonts w:hint="eastAsia" w:ascii="楷体" w:hAnsi="楷体" w:eastAsia="楷体" w:cs="楷体"/>
          <w:sz w:val="28"/>
          <w:szCs w:val="28"/>
          <w:lang w:val="en-US" w:eastAsia="zh-CN"/>
        </w:rPr>
        <w:t>报价文件</w:t>
      </w:r>
      <w:r>
        <w:rPr>
          <w:rFonts w:hint="default" w:ascii="楷体" w:hAnsi="楷体" w:eastAsia="楷体" w:cs="楷体"/>
          <w:sz w:val="28"/>
          <w:szCs w:val="28"/>
          <w:lang w:val="en-US" w:eastAsia="zh-CN"/>
        </w:rPr>
        <w:t>的实质性内容，并构成</w:t>
      </w:r>
      <w:r>
        <w:rPr>
          <w:rFonts w:hint="eastAsia" w:ascii="楷体" w:hAnsi="楷体" w:eastAsia="楷体" w:cs="楷体"/>
          <w:sz w:val="28"/>
          <w:szCs w:val="28"/>
          <w:lang w:val="en-US" w:eastAsia="zh-CN"/>
        </w:rPr>
        <w:t>报价文件</w:t>
      </w:r>
      <w:r>
        <w:rPr>
          <w:rFonts w:hint="default" w:ascii="楷体" w:hAnsi="楷体" w:eastAsia="楷体" w:cs="楷体"/>
          <w:sz w:val="28"/>
          <w:szCs w:val="28"/>
          <w:lang w:val="en-US" w:eastAsia="zh-CN"/>
        </w:rPr>
        <w:t>的组成部分。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 xml:space="preserve">.3 </w:t>
      </w:r>
      <w:r>
        <w:rPr>
          <w:rFonts w:hint="eastAsia" w:ascii="楷体" w:hAnsi="楷体" w:eastAsia="楷体" w:cs="楷体"/>
          <w:sz w:val="28"/>
          <w:szCs w:val="28"/>
          <w:lang w:val="en-US" w:eastAsia="zh-CN"/>
        </w:rPr>
        <w:t>评审小组</w:t>
      </w:r>
      <w:r>
        <w:rPr>
          <w:rFonts w:hint="default" w:ascii="楷体" w:hAnsi="楷体" w:eastAsia="楷体" w:cs="楷体"/>
          <w:sz w:val="28"/>
          <w:szCs w:val="28"/>
          <w:lang w:val="en-US" w:eastAsia="zh-CN"/>
        </w:rPr>
        <w:t>对</w:t>
      </w:r>
      <w:r>
        <w:rPr>
          <w:rFonts w:hint="eastAsia" w:ascii="楷体" w:hAnsi="楷体" w:eastAsia="楷体" w:cs="楷体"/>
          <w:sz w:val="28"/>
          <w:szCs w:val="28"/>
          <w:lang w:val="en-US" w:eastAsia="zh-CN"/>
        </w:rPr>
        <w:t>报价人</w:t>
      </w:r>
      <w:r>
        <w:rPr>
          <w:rFonts w:hint="default" w:ascii="楷体" w:hAnsi="楷体" w:eastAsia="楷体" w:cs="楷体"/>
          <w:sz w:val="28"/>
          <w:szCs w:val="28"/>
          <w:lang w:val="en-US" w:eastAsia="zh-CN"/>
        </w:rPr>
        <w:t>提交的澄清、说明或补正有疑问的，可以要求</w:t>
      </w:r>
      <w:r>
        <w:rPr>
          <w:rFonts w:hint="eastAsia" w:ascii="楷体" w:hAnsi="楷体" w:eastAsia="楷体" w:cs="楷体"/>
          <w:sz w:val="28"/>
          <w:szCs w:val="28"/>
          <w:lang w:val="en-US" w:eastAsia="zh-CN"/>
        </w:rPr>
        <w:t>报价人</w:t>
      </w:r>
      <w:r>
        <w:rPr>
          <w:rFonts w:hint="default" w:ascii="楷体" w:hAnsi="楷体" w:eastAsia="楷体" w:cs="楷体"/>
          <w:sz w:val="28"/>
          <w:szCs w:val="28"/>
          <w:lang w:val="en-US" w:eastAsia="zh-CN"/>
        </w:rPr>
        <w:t>进一步澄清、说明或补正，直至满足</w:t>
      </w:r>
      <w:r>
        <w:rPr>
          <w:rFonts w:hint="eastAsia" w:ascii="楷体" w:hAnsi="楷体" w:eastAsia="楷体" w:cs="楷体"/>
          <w:sz w:val="28"/>
          <w:szCs w:val="28"/>
          <w:lang w:val="en-US" w:eastAsia="zh-CN"/>
        </w:rPr>
        <w:t>评审小组</w:t>
      </w:r>
      <w:r>
        <w:rPr>
          <w:rFonts w:hint="default" w:ascii="楷体" w:hAnsi="楷体" w:eastAsia="楷体" w:cs="楷体"/>
          <w:sz w:val="28"/>
          <w:szCs w:val="28"/>
          <w:lang w:val="en-US" w:eastAsia="zh-CN"/>
        </w:rPr>
        <w:t>的要求。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2.2.4 报价人报价有算术错误及其他错误的，评审小组按以下原则对报价进</w:t>
      </w:r>
      <w:bookmarkStart w:id="11" w:name="_Toc247514027"/>
      <w:bookmarkStart w:id="12" w:name="_Toc152045603"/>
      <w:bookmarkStart w:id="13" w:name="_Toc369531582"/>
      <w:bookmarkStart w:id="14" w:name="_Toc352691538"/>
      <w:bookmarkStart w:id="15" w:name="_Toc144974570"/>
      <w:bookmarkStart w:id="16" w:name="_Toc2907"/>
      <w:bookmarkStart w:id="17" w:name="_Toc384308277"/>
      <w:bookmarkStart w:id="18" w:name="_Toc300835013"/>
      <w:bookmarkStart w:id="19" w:name="_Toc361508651"/>
      <w:bookmarkStart w:id="20" w:name="_Toc152042380"/>
      <w:bookmarkStart w:id="21" w:name="_Toc247527628"/>
      <w:r>
        <w:rPr>
          <w:rFonts w:hint="eastAsia" w:ascii="楷体" w:hAnsi="楷体" w:eastAsia="楷体" w:cs="楷体"/>
          <w:sz w:val="28"/>
          <w:szCs w:val="28"/>
          <w:lang w:val="en-US" w:eastAsia="zh-CN"/>
        </w:rPr>
        <w:t>行修正（小数点或单位等明显错误的除外），并要求报价人书面澄清确认。</w:t>
      </w:r>
      <w:bookmarkEnd w:id="11"/>
      <w:bookmarkEnd w:id="12"/>
      <w:bookmarkEnd w:id="13"/>
      <w:bookmarkEnd w:id="14"/>
      <w:bookmarkEnd w:id="15"/>
      <w:bookmarkEnd w:id="16"/>
      <w:bookmarkEnd w:id="17"/>
      <w:bookmarkEnd w:id="18"/>
      <w:bookmarkEnd w:id="19"/>
      <w:bookmarkEnd w:id="20"/>
      <w:bookmarkEnd w:id="21"/>
      <w:r>
        <w:rPr>
          <w:rFonts w:hint="eastAsia" w:ascii="楷体" w:hAnsi="楷体" w:eastAsia="楷体" w:cs="楷体"/>
          <w:sz w:val="28"/>
          <w:szCs w:val="28"/>
          <w:lang w:val="en-US" w:eastAsia="zh-CN"/>
        </w:rPr>
        <w:t>报价人拒不澄清确认的，评审小组可以否决其投标：</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（1）报价文件中的大写金额与小写金额不一致的，以大写金额为准；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（2）总价金额与单价金额不一致的，以单价金额为准，但单价金额小数点有明显错误的除外；</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（3）总价为各分项报价金额之和，总价与分项报价的合价不一致的，</w:t>
      </w:r>
      <w:r>
        <w:rPr>
          <w:rFonts w:hint="default" w:ascii="楷体" w:hAnsi="楷体" w:eastAsia="楷体" w:cs="楷体"/>
          <w:sz w:val="28"/>
          <w:szCs w:val="28"/>
          <w:lang w:val="en-US" w:eastAsia="zh-CN"/>
        </w:rPr>
        <w:t>应以各分项合价累计数为准，修正</w:t>
      </w:r>
      <w:r>
        <w:rPr>
          <w:rFonts w:hint="eastAsia" w:ascii="楷体" w:hAnsi="楷体" w:eastAsia="楷体" w:cs="楷体"/>
          <w:sz w:val="28"/>
          <w:szCs w:val="28"/>
          <w:lang w:val="en-US" w:eastAsia="zh-CN"/>
        </w:rPr>
        <w:t>总</w:t>
      </w:r>
      <w:r>
        <w:rPr>
          <w:rFonts w:hint="default" w:ascii="楷体" w:hAnsi="楷体" w:eastAsia="楷体" w:cs="楷体"/>
          <w:sz w:val="28"/>
          <w:szCs w:val="28"/>
          <w:lang w:val="en-US" w:eastAsia="zh-CN"/>
        </w:rPr>
        <w:t>价</w:t>
      </w:r>
      <w:r>
        <w:rPr>
          <w:rFonts w:hint="eastAsia" w:ascii="楷体" w:hAnsi="楷体" w:eastAsia="楷体" w:cs="楷体"/>
          <w:sz w:val="28"/>
          <w:szCs w:val="28"/>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（4）相同物资报价不同时，以低价核准总价。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（5）中国中煤供应链平台中报价金额与报价文件中报价不一致的，以报价文件为准。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bookmarkStart w:id="22" w:name="_Toc17379"/>
      <w:bookmarkStart w:id="23" w:name="_Toc4979"/>
      <w:r>
        <w:rPr>
          <w:rFonts w:hint="eastAsia" w:ascii="楷体" w:hAnsi="楷体" w:eastAsia="楷体" w:cs="楷体"/>
          <w:sz w:val="28"/>
          <w:szCs w:val="28"/>
          <w:lang w:val="en-US" w:eastAsia="zh-CN"/>
        </w:rPr>
        <w:t>2.</w:t>
      </w:r>
      <w:bookmarkEnd w:id="22"/>
      <w:bookmarkEnd w:id="23"/>
      <w:r>
        <w:rPr>
          <w:rFonts w:hint="eastAsia" w:ascii="楷体" w:hAnsi="楷体" w:eastAsia="楷体" w:cs="楷体"/>
          <w:sz w:val="28"/>
          <w:szCs w:val="28"/>
          <w:lang w:val="en-US" w:eastAsia="zh-CN"/>
        </w:rPr>
        <w:t>3报价人不得存在下列情形之一：</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（1）与采购人存在利害关系且可能影响询价公正性；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（2）与本项目的其他报价人为同一个单位负责人；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（3）与本项目的其他报价人存在控股、管理关系；</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（4）为本项目提供过设计、编制技术规范和其他文件的咨询服务；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（5）被依法暂停或者取消投标资格；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（6）被责令停产停业，暂扣或者吊销许可证，暂扣或者吊销执照；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（7）进入清算程序，或被宣告破产，或其他丧失履约能力的情形；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（8）在近三年内发生重大产品质量问题（以相关行业主管部门的行政处罚决定或司法机关出具的有关法律文书为准）；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（9）被国家市场监督管理总局国家企业信用信息公示系统网站（www.gsxt.gov.cn）列入严重违法失信企业名单；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（10）被最高人民法院在“信用中国”网站或各级信用信息共享平台中列入失信被执行人名单（www.creditchina.gov.cn）；</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（11）在近三年内报价人或其法定代表人（单位负责人）有行贿犯罪行为的（以中国裁判文书网（wenshu.court.gov.cn）查询结果为准）；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（12）被中煤集团、华晋公司列入“失信供应商”或“黑名单供应商”名单，且正在处置期的；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（13）法律法规或报价人须知前附表规定的其他情形。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bookmarkStart w:id="24" w:name="_Toc485303289"/>
      <w:bookmarkStart w:id="25" w:name="_Toc14300"/>
      <w:bookmarkStart w:id="26" w:name="_Toc8583"/>
      <w:r>
        <w:rPr>
          <w:rFonts w:hint="eastAsia" w:ascii="楷体" w:hAnsi="楷体" w:eastAsia="楷体" w:cs="楷体"/>
          <w:sz w:val="28"/>
          <w:szCs w:val="28"/>
          <w:lang w:val="en-US" w:eastAsia="zh-CN"/>
        </w:rPr>
        <w:t xml:space="preserve">2.4 </w:t>
      </w:r>
      <w:bookmarkEnd w:id="24"/>
      <w:bookmarkEnd w:id="25"/>
      <w:bookmarkEnd w:id="26"/>
      <w:r>
        <w:rPr>
          <w:rFonts w:hint="eastAsia" w:ascii="楷体" w:hAnsi="楷体" w:eastAsia="楷体" w:cs="楷体"/>
          <w:sz w:val="28"/>
          <w:szCs w:val="28"/>
          <w:lang w:val="en-US" w:eastAsia="zh-CN"/>
        </w:rPr>
        <w:t>属于以下情形之一的，视为报价人相互串通投标，报价将被否决：</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（1）不同报价供应商的已标价工程量清单XML电子文档记录的计价软件加密锁序列号信息有一条及以上相同的； </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（2）不同报价供应商电子报价文件中报价用同一序列号的编辑计价软件制作的； </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（3）不同报价供应商在报价阶段（不含注册信息）所留信息存在联系人相同（姓名和身份证号码均相同）或联系方式（电话或邮箱）相同，且无法证明其合理性的；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（4）不同报价供应商报价时IP地址相同，且无法证明其合理性的；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bookmarkStart w:id="27" w:name="_Toc32220"/>
      <w:bookmarkStart w:id="28" w:name="_Toc31558"/>
      <w:r>
        <w:rPr>
          <w:rFonts w:hint="eastAsia" w:ascii="楷体" w:hAnsi="楷体" w:eastAsia="楷体" w:cs="楷体"/>
          <w:sz w:val="28"/>
          <w:szCs w:val="28"/>
          <w:lang w:val="en-US" w:eastAsia="zh-CN"/>
        </w:rPr>
        <w:t>（5）法律法规规定、中煤集团及华晋公司相关管理制度和评审小组认定的其他情形。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2.5报价人失信行为</w:t>
      </w:r>
      <w:bookmarkEnd w:id="27"/>
      <w:bookmarkEnd w:id="28"/>
      <w:r>
        <w:rPr>
          <w:rFonts w:hint="eastAsia" w:ascii="楷体" w:hAnsi="楷体" w:eastAsia="楷体" w:cs="楷体"/>
          <w:sz w:val="28"/>
          <w:szCs w:val="28"/>
          <w:lang w:val="en-US" w:eastAsia="zh-CN"/>
        </w:rPr>
        <w:t>处置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采购人对以下失信供应商在全集团范围内实行限期停用，列入供应商“黑名单”。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
        </w:rPr>
      </w:pPr>
      <w:r>
        <w:rPr>
          <w:rFonts w:hint="eastAsia" w:ascii="楷体" w:hAnsi="楷体" w:eastAsia="楷体" w:cs="楷体"/>
          <w:sz w:val="28"/>
          <w:szCs w:val="28"/>
          <w:lang w:val="en-US" w:eastAsia="zh-CN"/>
        </w:rPr>
        <w:t>2.5.1</w:t>
      </w:r>
      <w:r>
        <w:rPr>
          <w:rFonts w:hint="eastAsia" w:ascii="楷体" w:hAnsi="楷体" w:eastAsia="楷体" w:cs="楷体"/>
          <w:sz w:val="28"/>
          <w:szCs w:val="28"/>
          <w:lang w:val="en-US" w:eastAsia="zh"/>
        </w:rPr>
        <w:t>对以下</w:t>
      </w:r>
      <w:bookmarkStart w:id="29" w:name="OLE_LINK7"/>
      <w:r>
        <w:rPr>
          <w:rFonts w:hint="eastAsia" w:ascii="楷体" w:hAnsi="楷体" w:eastAsia="楷体" w:cs="楷体"/>
          <w:sz w:val="28"/>
          <w:szCs w:val="28"/>
          <w:lang w:val="en-US" w:eastAsia="zh"/>
        </w:rPr>
        <w:t>失信供应商停用1年</w:t>
      </w:r>
      <w:bookmarkEnd w:id="29"/>
      <w:r>
        <w:rPr>
          <w:rFonts w:hint="eastAsia" w:ascii="楷体" w:hAnsi="楷体" w:eastAsia="楷体" w:cs="楷体"/>
          <w:sz w:val="28"/>
          <w:szCs w:val="28"/>
          <w:lang w:val="en-US" w:eastAsia="zh"/>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（1）捏造事实、伪造材料或者以非法手段取得证明材料进行投诉；</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（2）采购寻源过程中弄虚作假未取得成交资格（未成为成交候选人）；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（3）采购过程中串通投标行为中止（指已递交投标（报价）文件且存在串通投标行为，但未完成报价揭示流程）；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（4）采购项目报价揭示后，在评审工作开始前无正当理由放弃报价；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（5）华晋公司认定的其他情形。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
        </w:rPr>
      </w:pPr>
      <w:r>
        <w:rPr>
          <w:rFonts w:hint="eastAsia" w:ascii="楷体" w:hAnsi="楷体" w:eastAsia="楷体" w:cs="楷体"/>
          <w:sz w:val="28"/>
          <w:szCs w:val="28"/>
          <w:lang w:val="en-US" w:eastAsia="zh-CN"/>
        </w:rPr>
        <w:t>2.5.2</w:t>
      </w:r>
      <w:r>
        <w:rPr>
          <w:rFonts w:hint="eastAsia" w:ascii="楷体" w:hAnsi="楷体" w:eastAsia="楷体" w:cs="楷体"/>
          <w:sz w:val="28"/>
          <w:szCs w:val="28"/>
          <w:lang w:val="en-US" w:eastAsia="zh"/>
        </w:rPr>
        <w:t>对以下失信供应商停用2年：</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（1）破坏或扰乱采购秩序；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（2）评审工作开始后，无正当理由放弃报价、放弃成交候选人资格、放弃成交；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（3）拒签或拒绝履行合同；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（4）恶意投诉、举报采购人或竞争对手；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（5）对采购人恶意诉讼或仲裁；</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（6）华晋公司认定的其他情形。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
        </w:rPr>
      </w:pPr>
      <w:r>
        <w:rPr>
          <w:rFonts w:hint="eastAsia" w:ascii="楷体" w:hAnsi="楷体" w:eastAsia="楷体" w:cs="楷体"/>
          <w:sz w:val="28"/>
          <w:szCs w:val="28"/>
          <w:lang w:val="en-US" w:eastAsia="zh-CN"/>
        </w:rPr>
        <w:t>2.5.3</w:t>
      </w:r>
      <w:r>
        <w:rPr>
          <w:rFonts w:hint="eastAsia" w:ascii="楷体" w:hAnsi="楷体" w:eastAsia="楷体" w:cs="楷体"/>
          <w:sz w:val="28"/>
          <w:szCs w:val="28"/>
          <w:lang w:val="en-US" w:eastAsia="zh"/>
        </w:rPr>
        <w:t>对以下失信供应商</w:t>
      </w:r>
      <w:bookmarkStart w:id="30" w:name="OLE_LINK6"/>
      <w:r>
        <w:rPr>
          <w:rFonts w:hint="eastAsia" w:ascii="楷体" w:hAnsi="楷体" w:eastAsia="楷体" w:cs="楷体"/>
          <w:sz w:val="28"/>
          <w:szCs w:val="28"/>
          <w:lang w:val="en-US" w:eastAsia="zh"/>
        </w:rPr>
        <w:t>停用3年</w:t>
      </w:r>
      <w:bookmarkEnd w:id="30"/>
      <w:r>
        <w:rPr>
          <w:rFonts w:hint="eastAsia" w:ascii="楷体" w:hAnsi="楷体" w:eastAsia="楷体" w:cs="楷体"/>
          <w:sz w:val="28"/>
          <w:szCs w:val="28"/>
          <w:lang w:val="en-US" w:eastAsia="zh"/>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（1）采购过程中串通投标（已完成报价揭示流程且存在串通投标行为）；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（2）采购寻源过程中弄虚作假取得成交资格（指成为成交候选人，或取得成交通知书），或未取得成交资格但多次弄虚作假；</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（3）违反报价承诺或者合同约定提高价格、降低质量；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（4）履约过程中提供假冒伪劣产品，伪造施工、货物和服务检验、试验合格证明、报告、文件资料，虚假结算套取资金；</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（5）华晋公司认定的其他情形。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
        </w:rPr>
      </w:pPr>
      <w:r>
        <w:rPr>
          <w:rFonts w:hint="eastAsia" w:ascii="楷体" w:hAnsi="楷体" w:eastAsia="楷体" w:cs="楷体"/>
          <w:sz w:val="28"/>
          <w:szCs w:val="28"/>
          <w:lang w:val="en-US" w:eastAsia="zh-CN"/>
        </w:rPr>
        <w:t>2.5.4</w:t>
      </w:r>
      <w:r>
        <w:rPr>
          <w:rFonts w:hint="eastAsia" w:ascii="楷体" w:hAnsi="楷体" w:eastAsia="楷体" w:cs="楷体"/>
          <w:sz w:val="28"/>
          <w:szCs w:val="28"/>
          <w:lang w:val="en-US" w:eastAsia="zh"/>
        </w:rPr>
        <w:t xml:space="preserve"> 对以下失信供应商停用5年：</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（1）严重违法违规受到重大刑事处罚、行政处罚；</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（2）引发严重质量事故或生产安全事故；</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（3）引发突发环境事件、生态损害赔偿等环保事件；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（4）恶意进行诬告陷害、转包或违法分包、违法挂靠、侵害集团公司专利权（商标权）等知识产权、利用商业贿赂及其他不正当手段谋取利益等严重破坏市场公平竞争秩序和社会正常秩序；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（5）对生产经营造成重大影响、造成重大社会影响或较大经济损失的相关情形；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（6）华晋公司认定的其他情形。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3、评审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3.1评审（谈判）小组的组成：评审（谈判）小组由三人或以上单数组成。</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3.2评审办法：最低评审价格法。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评审（谈判）小组按照询价文件的资质和技术要求，从报价人递交的报价文件的有效性、完整性和对询价文件的响应程度进行审查，以确定报价人是否符合本项目的资质和技术要求，以及是否对询价文件的实质性要求作出响应。对不符合资格、技术要求及未实质性响应的报价人，予以否决。</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评审（谈判）小组对符合询价文件要求的报价文件进行评审，并按照经评审的价格由低到高的顺序推荐成交候选人。若存在最低报价相同的情况，评审（谈判）小组可采取以下措施：</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（1）可要求供应商分别进行二次或多次报价；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若报价仍相同，可依据中国中煤供应链平台供应商等级由高到低推荐成交候选人；若供应商等级相同，由评审（谈判）小组依据报价文件中提供的业绩、售后服务、产品质量保证等内容进行综合审议推荐成交候选人并详细编写评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★4、评审否决性条款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评审过程中发现下列情况之一的，报价人参与评审资格将被否决：</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4.1报价文件格式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（1）未按询价要求编制并递交报价文件的；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（2）递交的报价文件未加盖法人单位公章和法定代表人（或其代理人）签字或盖章的；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递交的报价文件缺少报价函、授权委托书（法定代表人投标除外，但必须提供法定代表人身份证）、法定代表人身份证、被授权人身份证、投标一览表、分项报价表（如适用）、技术偏离表、商务偏离表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（4）递交的报价文件项目询价书编码（编号）、项目名称与询价公告不一致的。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4.2商务条款</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未提供或不符合询价文件资质要求的；</w:t>
      </w:r>
    </w:p>
    <w:p>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报价税率不满足询价文件要求的；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（3）交货期不满足询价文件要求的；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（4）付款方式不满足合同条款的（注：无预付款）；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（5）违约责任与争议解决不满足合同条款的；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（6）符合询价文件中规定否决其资格的其他商务条款。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4.3技术条款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报价文件中技术响应负偏离的；</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报价文件中未提供所投设备详细参数或描述的（适用于设备类采购项目）；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（3）符合询价文件中规定否决其资格的其他技术条款。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4.4其他</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报价文件中未注明所投产品品牌或生产厂家的；</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60" w:lineRule="exact"/>
        <w:ind w:left="0" w:leftChars="0"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报价文件中对同一物资报有两个或多个报价的；</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评审小组提出澄清时，且未</w:t>
      </w:r>
      <w:r>
        <w:rPr>
          <w:rFonts w:hint="default" w:ascii="楷体" w:hAnsi="楷体" w:eastAsia="楷体" w:cs="楷体"/>
          <w:sz w:val="28"/>
          <w:szCs w:val="28"/>
          <w:lang w:val="en-US" w:eastAsia="zh-CN"/>
        </w:rPr>
        <w:t>超出</w:t>
      </w:r>
      <w:r>
        <w:rPr>
          <w:rFonts w:hint="eastAsia" w:ascii="楷体" w:hAnsi="楷体" w:eastAsia="楷体" w:cs="楷体"/>
          <w:sz w:val="28"/>
          <w:szCs w:val="28"/>
          <w:lang w:val="en-US" w:eastAsia="zh-CN"/>
        </w:rPr>
        <w:t>询价（报价）</w:t>
      </w:r>
      <w:r>
        <w:rPr>
          <w:rFonts w:hint="default" w:ascii="楷体" w:hAnsi="楷体" w:eastAsia="楷体" w:cs="楷体"/>
          <w:sz w:val="28"/>
          <w:szCs w:val="28"/>
          <w:lang w:val="en-US" w:eastAsia="zh-CN"/>
        </w:rPr>
        <w:t>文件的范围或改变</w:t>
      </w:r>
      <w:r>
        <w:rPr>
          <w:rFonts w:hint="eastAsia" w:ascii="楷体" w:hAnsi="楷体" w:eastAsia="楷体" w:cs="楷体"/>
          <w:sz w:val="28"/>
          <w:szCs w:val="28"/>
          <w:lang w:val="en-US" w:eastAsia="zh-CN"/>
        </w:rPr>
        <w:t>询价（报价）</w:t>
      </w:r>
      <w:r>
        <w:rPr>
          <w:rFonts w:hint="default" w:ascii="楷体" w:hAnsi="楷体" w:eastAsia="楷体" w:cs="楷体"/>
          <w:sz w:val="28"/>
          <w:szCs w:val="28"/>
          <w:lang w:val="en-US" w:eastAsia="zh-CN"/>
        </w:rPr>
        <w:t>文件的实质性内容</w:t>
      </w:r>
      <w:r>
        <w:rPr>
          <w:rFonts w:hint="eastAsia" w:ascii="楷体" w:hAnsi="楷体" w:eastAsia="楷体" w:cs="楷体"/>
          <w:sz w:val="28"/>
          <w:szCs w:val="28"/>
          <w:lang w:val="en-US" w:eastAsia="zh-CN"/>
        </w:rPr>
        <w:t>，报价人应做出书面说明并提供相应的证明材料，报价人不能合理说明或者不能提供相应证明材料的，其报价文件将被视为无效；</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报价人存在围串标行为的；</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符合询价文件中规定否决其资格的其他条款。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4.5评审小组经评审一致认定的其他情形。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default"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5、确定成交供应商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5.1采购人根据评审报告确定预成交供应商，并在发布公告的媒介进行公示。</w:t>
      </w:r>
      <w:bookmarkStart w:id="31" w:name="bookmark989"/>
      <w:bookmarkStart w:id="32" w:name="bookmark990"/>
      <w:bookmarkStart w:id="33" w:name="bookmark991"/>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5.2</w:t>
      </w:r>
      <w:bookmarkEnd w:id="31"/>
      <w:bookmarkEnd w:id="32"/>
      <w:bookmarkEnd w:id="33"/>
      <w:r>
        <w:rPr>
          <w:rFonts w:hint="eastAsia" w:ascii="楷体" w:hAnsi="楷体" w:eastAsia="楷体" w:cs="楷体"/>
          <w:sz w:val="28"/>
          <w:szCs w:val="28"/>
          <w:lang w:val="en-US" w:eastAsia="zh-CN"/>
        </w:rPr>
        <w:t>公示期结束后，采购人出具成交通知书。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6、签订合同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采购人和成交供应商应当在成交通知书下发后30天内签订书面合同。成交供应商无正当理由拒绝签订合同或在签订合同时向采购人提出附加条件，采购人取消其成交资格。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楷体" w:hAnsi="楷体" w:eastAsia="楷体" w:cs="楷体"/>
          <w:b/>
          <w:bCs/>
          <w:color w:val="000000"/>
          <w:kern w:val="28"/>
          <w:sz w:val="28"/>
          <w:szCs w:val="28"/>
          <w:lang w:val="en-US" w:eastAsia="zh-CN"/>
        </w:rPr>
      </w:pPr>
      <w:r>
        <w:rPr>
          <w:rFonts w:hint="eastAsia" w:ascii="楷体" w:hAnsi="楷体" w:eastAsia="楷体" w:cs="楷体"/>
          <w:b/>
          <w:bCs/>
          <w:color w:val="000000"/>
          <w:kern w:val="28"/>
          <w:sz w:val="28"/>
          <w:szCs w:val="28"/>
          <w:lang w:val="en-US" w:eastAsia="zh-CN"/>
        </w:rPr>
        <w:t>7、异议和投诉</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7.1报价人对询价文件、评审结果提出异议或投诉的，应当向询价文件中提供的联系方式向采购人提出异议或投诉。</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7.2报价</w:t>
      </w:r>
      <w:r>
        <w:rPr>
          <w:rFonts w:hint="default" w:ascii="楷体" w:hAnsi="楷体" w:eastAsia="楷体" w:cs="楷体"/>
          <w:sz w:val="28"/>
          <w:szCs w:val="28"/>
          <w:lang w:val="en-US" w:eastAsia="zh-CN"/>
        </w:rPr>
        <w:t>人或者其他利害关系人提出异议</w:t>
      </w:r>
      <w:r>
        <w:rPr>
          <w:rFonts w:hint="eastAsia" w:ascii="楷体" w:hAnsi="楷体" w:eastAsia="楷体" w:cs="楷体"/>
          <w:sz w:val="28"/>
          <w:szCs w:val="28"/>
          <w:lang w:val="en-US" w:eastAsia="zh-CN"/>
        </w:rPr>
        <w:t>或投诉</w:t>
      </w:r>
      <w:r>
        <w:rPr>
          <w:rFonts w:hint="default" w:ascii="楷体" w:hAnsi="楷体" w:eastAsia="楷体" w:cs="楷体"/>
          <w:sz w:val="28"/>
          <w:szCs w:val="28"/>
          <w:lang w:val="en-US" w:eastAsia="zh-CN"/>
        </w:rPr>
        <w:t>应当提交异议函</w:t>
      </w:r>
      <w:r>
        <w:rPr>
          <w:rFonts w:hint="eastAsia" w:ascii="楷体" w:hAnsi="楷体" w:eastAsia="楷体" w:cs="楷体"/>
          <w:sz w:val="28"/>
          <w:szCs w:val="28"/>
          <w:lang w:val="en-US" w:eastAsia="zh-CN"/>
        </w:rPr>
        <w:t>或投诉书</w:t>
      </w:r>
      <w:r>
        <w:rPr>
          <w:rFonts w:hint="default" w:ascii="楷体" w:hAnsi="楷体" w:eastAsia="楷体" w:cs="楷体"/>
          <w:sz w:val="28"/>
          <w:szCs w:val="28"/>
          <w:lang w:val="en-US" w:eastAsia="zh-CN"/>
        </w:rPr>
        <w:t>和必要的证明材料；材料不齐全的，且未在补正期限内进行补正或者补正后仍不符合规定的，不予受理。异议函</w:t>
      </w:r>
      <w:r>
        <w:rPr>
          <w:rFonts w:hint="eastAsia" w:ascii="楷体" w:hAnsi="楷体" w:eastAsia="楷体" w:cs="楷体"/>
          <w:sz w:val="28"/>
          <w:szCs w:val="28"/>
          <w:lang w:val="en-US" w:eastAsia="zh-CN"/>
        </w:rPr>
        <w:t>或投诉书</w:t>
      </w:r>
      <w:r>
        <w:rPr>
          <w:rFonts w:hint="default" w:ascii="楷体" w:hAnsi="楷体" w:eastAsia="楷体" w:cs="楷体"/>
          <w:sz w:val="28"/>
          <w:szCs w:val="28"/>
          <w:lang w:val="en-US" w:eastAsia="zh-CN"/>
        </w:rPr>
        <w:t>应当包括下列内容：</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1</w:t>
      </w:r>
      <w:r>
        <w:rPr>
          <w:rFonts w:hint="default" w:ascii="楷体" w:hAnsi="楷体" w:eastAsia="楷体" w:cs="楷体"/>
          <w:sz w:val="28"/>
          <w:szCs w:val="28"/>
          <w:lang w:val="en-US" w:eastAsia="zh-CN"/>
        </w:rPr>
        <w:t>）异议方</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投诉人和被投诉人的姓名或者名称、地址、联系人及联系电话；</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2</w:t>
      </w:r>
      <w:r>
        <w:rPr>
          <w:rFonts w:hint="default" w:ascii="楷体" w:hAnsi="楷体" w:eastAsia="楷体" w:cs="楷体"/>
          <w:sz w:val="28"/>
          <w:szCs w:val="28"/>
          <w:lang w:val="en-US" w:eastAsia="zh-CN"/>
        </w:rPr>
        <w:t>）项目的名称、编号；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3</w:t>
      </w:r>
      <w:r>
        <w:rPr>
          <w:rFonts w:hint="default" w:ascii="楷体" w:hAnsi="楷体" w:eastAsia="楷体" w:cs="楷体"/>
          <w:sz w:val="28"/>
          <w:szCs w:val="28"/>
          <w:lang w:val="en-US" w:eastAsia="zh-CN"/>
        </w:rPr>
        <w:t>）具体、明确的异议</w:t>
      </w:r>
      <w:r>
        <w:rPr>
          <w:rFonts w:hint="eastAsia" w:ascii="楷体" w:hAnsi="楷体" w:eastAsia="楷体" w:cs="楷体"/>
          <w:sz w:val="28"/>
          <w:szCs w:val="28"/>
          <w:lang w:val="en-US" w:eastAsia="zh-CN"/>
        </w:rPr>
        <w:t>或投诉</w:t>
      </w:r>
      <w:r>
        <w:rPr>
          <w:rFonts w:hint="default" w:ascii="楷体" w:hAnsi="楷体" w:eastAsia="楷体" w:cs="楷体"/>
          <w:sz w:val="28"/>
          <w:szCs w:val="28"/>
          <w:lang w:val="en-US" w:eastAsia="zh-CN"/>
        </w:rPr>
        <w:t>事项和与异议</w:t>
      </w:r>
      <w:r>
        <w:rPr>
          <w:rFonts w:hint="eastAsia" w:ascii="楷体" w:hAnsi="楷体" w:eastAsia="楷体" w:cs="楷体"/>
          <w:sz w:val="28"/>
          <w:szCs w:val="28"/>
          <w:lang w:val="en-US" w:eastAsia="zh-CN"/>
        </w:rPr>
        <w:t>或投诉</w:t>
      </w:r>
      <w:r>
        <w:rPr>
          <w:rFonts w:hint="default" w:ascii="楷体" w:hAnsi="楷体" w:eastAsia="楷体" w:cs="楷体"/>
          <w:sz w:val="28"/>
          <w:szCs w:val="28"/>
          <w:lang w:val="en-US" w:eastAsia="zh-CN"/>
        </w:rPr>
        <w:t>事项相关的请求；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4</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异议和异议答复情况说明及相关证明材料；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5</w:t>
      </w:r>
      <w:r>
        <w:rPr>
          <w:rFonts w:hint="default" w:ascii="楷体" w:hAnsi="楷体" w:eastAsia="楷体" w:cs="楷体"/>
          <w:sz w:val="28"/>
          <w:szCs w:val="28"/>
          <w:lang w:val="en-US" w:eastAsia="zh-CN"/>
        </w:rPr>
        <w:t>）事实依据和证明材料；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6</w:t>
      </w:r>
      <w:r>
        <w:rPr>
          <w:rFonts w:hint="default" w:ascii="楷体" w:hAnsi="楷体" w:eastAsia="楷体" w:cs="楷体"/>
          <w:sz w:val="28"/>
          <w:szCs w:val="28"/>
          <w:lang w:val="en-US" w:eastAsia="zh-CN"/>
        </w:rPr>
        <w:t>）必要的法律依据；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7</w:t>
      </w:r>
      <w:r>
        <w:rPr>
          <w:rFonts w:hint="default" w:ascii="楷体" w:hAnsi="楷体" w:eastAsia="楷体" w:cs="楷体"/>
          <w:sz w:val="28"/>
          <w:szCs w:val="28"/>
          <w:lang w:val="en-US" w:eastAsia="zh-CN"/>
        </w:rPr>
        <w:t>）提出异议</w:t>
      </w:r>
      <w:r>
        <w:rPr>
          <w:rFonts w:hint="eastAsia" w:ascii="楷体" w:hAnsi="楷体" w:eastAsia="楷体" w:cs="楷体"/>
          <w:sz w:val="28"/>
          <w:szCs w:val="28"/>
          <w:lang w:val="en-US" w:eastAsia="zh-CN"/>
        </w:rPr>
        <w:t>或投诉</w:t>
      </w:r>
      <w:r>
        <w:rPr>
          <w:rFonts w:hint="default" w:ascii="楷体" w:hAnsi="楷体" w:eastAsia="楷体" w:cs="楷体"/>
          <w:sz w:val="28"/>
          <w:szCs w:val="28"/>
          <w:lang w:val="en-US" w:eastAsia="zh-CN"/>
        </w:rPr>
        <w:t>的日期。</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0" w:firstLineChars="200"/>
        <w:textAlignment w:val="auto"/>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t>异议方</w:t>
      </w:r>
      <w:r>
        <w:rPr>
          <w:rFonts w:hint="eastAsia" w:ascii="楷体" w:hAnsi="楷体" w:eastAsia="楷体" w:cs="楷体"/>
          <w:sz w:val="28"/>
          <w:szCs w:val="28"/>
          <w:lang w:val="en-US" w:eastAsia="zh-CN"/>
        </w:rPr>
        <w:t>或</w:t>
      </w:r>
      <w:r>
        <w:rPr>
          <w:rFonts w:hint="default" w:ascii="楷体" w:hAnsi="楷体" w:eastAsia="楷体" w:cs="楷体"/>
          <w:sz w:val="28"/>
          <w:szCs w:val="28"/>
          <w:lang w:val="en-US" w:eastAsia="zh-CN"/>
        </w:rPr>
        <w:t>投诉人为自然人的，应当由本人签字；异议方</w:t>
      </w:r>
      <w:r>
        <w:rPr>
          <w:rFonts w:hint="eastAsia" w:ascii="楷体" w:hAnsi="楷体" w:eastAsia="楷体" w:cs="楷体"/>
          <w:sz w:val="28"/>
          <w:szCs w:val="28"/>
          <w:lang w:val="en-US" w:eastAsia="zh-CN"/>
        </w:rPr>
        <w:t>或</w:t>
      </w:r>
      <w:r>
        <w:rPr>
          <w:rFonts w:hint="default" w:ascii="楷体" w:hAnsi="楷体" w:eastAsia="楷体" w:cs="楷体"/>
          <w:sz w:val="28"/>
          <w:szCs w:val="28"/>
          <w:lang w:val="en-US" w:eastAsia="zh-CN"/>
        </w:rPr>
        <w:t>投诉人为法人或者其他组织的，应当由法定代表人、主要负责人，或者其授权代表签字或者盖章，并加盖公章。</w:t>
      </w:r>
    </w:p>
    <w:p>
      <w:pPr>
        <w:rPr>
          <w:rFonts w:hint="default" w:ascii="楷体" w:hAnsi="楷体" w:eastAsia="楷体" w:cs="楷体"/>
          <w:sz w:val="28"/>
          <w:szCs w:val="28"/>
          <w:lang w:val="en-US" w:eastAsia="zh-CN"/>
        </w:rPr>
      </w:pPr>
      <w:r>
        <w:rPr>
          <w:rFonts w:hint="default" w:ascii="楷体" w:hAnsi="楷体" w:eastAsia="楷体" w:cs="楷体"/>
          <w:sz w:val="28"/>
          <w:szCs w:val="28"/>
          <w:lang w:val="en-US" w:eastAsia="zh-CN"/>
        </w:rPr>
        <w:br w:type="page"/>
      </w:r>
    </w:p>
    <w:p>
      <w:pPr>
        <w:pStyle w:val="2"/>
        <w:numPr>
          <w:ilvl w:val="0"/>
          <w:numId w:val="3"/>
        </w:numPr>
        <w:spacing w:line="240" w:lineRule="auto"/>
        <w:jc w:val="center"/>
        <w:rPr>
          <w:rFonts w:hint="eastAsia" w:ascii="楷体" w:hAnsi="楷体" w:eastAsia="楷体" w:cs="楷体"/>
          <w:color w:val="000000"/>
          <w:sz w:val="36"/>
          <w:szCs w:val="36"/>
          <w:lang w:val="en-US" w:eastAsia="zh-CN"/>
        </w:rPr>
      </w:pPr>
      <w:bookmarkStart w:id="34" w:name="_Toc55480655"/>
      <w:bookmarkEnd w:id="34"/>
      <w:bookmarkStart w:id="35" w:name="_Toc9245"/>
      <w:r>
        <w:rPr>
          <w:rFonts w:hint="eastAsia" w:ascii="楷体" w:hAnsi="楷体" w:eastAsia="楷体" w:cs="楷体"/>
          <w:color w:val="000000"/>
          <w:sz w:val="36"/>
          <w:szCs w:val="36"/>
          <w:lang w:val="en-US" w:eastAsia="zh-CN"/>
        </w:rPr>
        <w:t>合同条款及格式</w:t>
      </w:r>
      <w:bookmarkEnd w:id="35"/>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2" w:firstLineChars="200"/>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（此合同为模板格式具体条款以双方协商签订为准）</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ind w:firstLine="720" w:firstLineChars="200"/>
        <w:jc w:val="center"/>
        <w:rPr>
          <w:rFonts w:hint="eastAsia" w:eastAsiaTheme="minorEastAsia"/>
          <w:sz w:val="24"/>
          <w:szCs w:val="24"/>
          <w:highlight w:val="none"/>
          <w:lang w:eastAsia="zh-CN"/>
        </w:rPr>
      </w:pPr>
      <w:r>
        <w:rPr>
          <w:rFonts w:hint="eastAsia" w:ascii="黑体" w:eastAsia="黑体"/>
          <w:sz w:val="36"/>
          <w:szCs w:val="36"/>
          <w:highlight w:val="none"/>
          <w:lang w:eastAsia="zh-CN"/>
        </w:rPr>
        <w:t>[合同名称]</w:t>
      </w:r>
    </w:p>
    <w:p>
      <w:pPr>
        <w:jc w:val="right"/>
        <w:rPr>
          <w:rFonts w:hint="eastAsia"/>
          <w:sz w:val="24"/>
          <w:szCs w:val="24"/>
          <w:highlight w:val="none"/>
        </w:rPr>
      </w:pPr>
    </w:p>
    <w:p>
      <w:pPr>
        <w:jc w:val="right"/>
        <w:rPr>
          <w:rFonts w:hint="default" w:eastAsia="宋体"/>
          <w:sz w:val="24"/>
          <w:szCs w:val="24"/>
          <w:highlight w:val="none"/>
          <w:lang w:val="en-US" w:eastAsia="zh-CN"/>
        </w:rPr>
      </w:pPr>
      <w:r>
        <w:rPr>
          <w:rFonts w:hint="eastAsia"/>
          <w:sz w:val="24"/>
          <w:szCs w:val="24"/>
          <w:highlight w:val="none"/>
        </w:rPr>
        <w:t>合同编号：</w:t>
      </w:r>
      <w:r>
        <w:rPr>
          <w:rFonts w:hint="eastAsia" w:ascii="宋体" w:hAnsi="宋体" w:eastAsia="宋体" w:cs="宋体"/>
          <w:sz w:val="24"/>
          <w:szCs w:val="24"/>
          <w:highlight w:val="none"/>
          <w:lang w:val="en-US" w:eastAsia="zh-CN"/>
        </w:rPr>
        <w:t>[合同编号]</w:t>
      </w:r>
    </w:p>
    <w:p>
      <w:pPr>
        <w:ind w:firstLine="3840" w:firstLineChars="1600"/>
        <w:rPr>
          <w:rFonts w:hint="eastAsia"/>
          <w:sz w:val="24"/>
          <w:szCs w:val="24"/>
          <w:highlight w:val="none"/>
        </w:rPr>
      </w:pPr>
    </w:p>
    <w:p>
      <w:pPr>
        <w:ind w:firstLine="480" w:firstLineChars="200"/>
        <w:rPr>
          <w:rFonts w:hint="eastAsia" w:eastAsiaTheme="minorEastAsia"/>
          <w:sz w:val="24"/>
          <w:szCs w:val="24"/>
          <w:highlight w:val="none"/>
          <w:u w:val="single"/>
          <w:lang w:val="en-US" w:eastAsia="zh-CN"/>
        </w:rPr>
      </w:pPr>
      <w:r>
        <w:rPr>
          <w:rFonts w:hint="eastAsia"/>
          <w:sz w:val="24"/>
          <w:szCs w:val="24"/>
          <w:highlight w:val="none"/>
        </w:rPr>
        <w:t>买受人（甲方）：</w:t>
      </w:r>
    </w:p>
    <w:p>
      <w:pPr>
        <w:ind w:firstLine="480" w:firstLineChars="200"/>
        <w:rPr>
          <w:rFonts w:hint="eastAsia" w:eastAsiaTheme="minorEastAsia"/>
          <w:sz w:val="24"/>
          <w:szCs w:val="24"/>
          <w:highlight w:val="none"/>
          <w:lang w:val="en-US" w:eastAsia="zh-CN"/>
        </w:rPr>
      </w:pPr>
      <w:r>
        <w:rPr>
          <w:rFonts w:hint="eastAsia"/>
          <w:sz w:val="24"/>
          <w:szCs w:val="24"/>
          <w:highlight w:val="none"/>
        </w:rPr>
        <w:t>出卖人（乙方）：</w:t>
      </w:r>
      <w:r>
        <w:rPr>
          <w:rFonts w:hint="eastAsia"/>
          <w:sz w:val="24"/>
          <w:szCs w:val="24"/>
          <w:highlight w:val="none"/>
          <w:u w:val="single"/>
          <w:lang w:eastAsia="zh-CN"/>
        </w:rPr>
        <w:t>[供应商]</w:t>
      </w:r>
    </w:p>
    <w:p>
      <w:pPr>
        <w:rPr>
          <w:sz w:val="24"/>
          <w:szCs w:val="24"/>
          <w:highlight w:val="none"/>
        </w:rPr>
      </w:pPr>
    </w:p>
    <w:p>
      <w:pPr>
        <w:ind w:firstLine="480" w:firstLineChars="200"/>
        <w:rPr>
          <w:rFonts w:hint="eastAsia"/>
          <w:sz w:val="24"/>
          <w:szCs w:val="24"/>
          <w:highlight w:val="none"/>
        </w:rPr>
      </w:pPr>
      <w:r>
        <w:rPr>
          <w:rFonts w:hint="eastAsia"/>
          <w:sz w:val="24"/>
          <w:szCs w:val="24"/>
          <w:highlight w:val="none"/>
        </w:rPr>
        <w:t>根据</w:t>
      </w:r>
      <w:bookmarkStart w:id="36" w:name="OLE_LINK1"/>
      <w:r>
        <w:rPr>
          <w:rFonts w:ascii="宋体" w:hAnsi="宋体" w:eastAsia="宋体" w:cs="宋体"/>
          <w:sz w:val="24"/>
          <w:szCs w:val="24"/>
          <w:highlight w:val="none"/>
        </w:rPr>
        <w:t>《中华人民共和国民法典·合同编》</w:t>
      </w:r>
      <w:bookmarkEnd w:id="36"/>
      <w:r>
        <w:rPr>
          <w:rFonts w:hint="eastAsia"/>
          <w:sz w:val="24"/>
          <w:szCs w:val="24"/>
          <w:highlight w:val="none"/>
        </w:rPr>
        <w:t>及相关法律法规，本着平等自愿、等价有偿、诚实信用的原则，经双方协商一致，订立本合同。</w:t>
      </w:r>
    </w:p>
    <w:p>
      <w:pPr>
        <w:numPr>
          <w:ilvl w:val="0"/>
          <w:numId w:val="7"/>
        </w:numPr>
        <w:rPr>
          <w:rFonts w:hint="eastAsia"/>
          <w:b/>
          <w:sz w:val="24"/>
          <w:szCs w:val="24"/>
          <w:highlight w:val="none"/>
        </w:rPr>
      </w:pPr>
      <w:r>
        <w:rPr>
          <w:rFonts w:hint="eastAsia"/>
          <w:b/>
          <w:sz w:val="24"/>
          <w:szCs w:val="24"/>
          <w:highlight w:val="none"/>
        </w:rPr>
        <w:t xml:space="preserve"> </w:t>
      </w:r>
      <w:r>
        <w:rPr>
          <w:b/>
          <w:sz w:val="24"/>
          <w:szCs w:val="24"/>
          <w:highlight w:val="none"/>
        </w:rPr>
        <w:t xml:space="preserve"> </w:t>
      </w:r>
      <w:r>
        <w:rPr>
          <w:rFonts w:hint="eastAsia"/>
          <w:b/>
          <w:sz w:val="24"/>
          <w:szCs w:val="24"/>
          <w:highlight w:val="none"/>
        </w:rPr>
        <w:t>标的、数量、价款</w:t>
      </w:r>
    </w:p>
    <w:p>
      <w:pPr>
        <w:rPr>
          <w:rFonts w:hint="eastAsia" w:hAnsi="宋体"/>
          <w:b w:val="0"/>
          <w:bCs/>
          <w:sz w:val="24"/>
          <w:szCs w:val="24"/>
          <w:highlight w:val="none"/>
          <w:lang w:val="en-US" w:eastAsia="zh-CN"/>
        </w:rPr>
      </w:pPr>
      <w:bookmarkStart w:id="37" w:name="PO_863125144616665088"/>
      <w:bookmarkStart w:id="38" w:name="PO_891056499358806016"/>
      <w:r>
        <w:rPr>
          <w:rFonts w:hint="eastAsia" w:hAnsi="宋体"/>
          <w:b w:val="0"/>
          <w:bCs/>
          <w:sz w:val="24"/>
          <w:szCs w:val="24"/>
          <w:highlight w:val="none"/>
          <w:lang w:val="en-US" w:eastAsia="zh-CN"/>
        </w:rPr>
        <w:t>[物资明细表：物料名称,计量单位,数量,含税单价,含税金额]</w:t>
      </w:r>
      <w:bookmarkEnd w:id="37"/>
      <w:bookmarkEnd w:id="38"/>
    </w:p>
    <w:p>
      <w:pPr>
        <w:rPr>
          <w:rFonts w:hint="default" w:hAnsi="宋体"/>
          <w:b/>
          <w:bCs w:val="0"/>
          <w:sz w:val="24"/>
          <w:szCs w:val="24"/>
          <w:highlight w:val="none"/>
          <w:lang w:val="en-US" w:eastAsia="zh-CN"/>
        </w:rPr>
      </w:pPr>
      <w:r>
        <w:rPr>
          <w:rFonts w:hint="eastAsia" w:hAnsi="宋体"/>
          <w:b w:val="0"/>
          <w:bCs/>
          <w:sz w:val="24"/>
          <w:szCs w:val="24"/>
          <w:highlight w:val="none"/>
          <w:lang w:val="en-US" w:eastAsia="zh-CN"/>
        </w:rPr>
        <w:t>合同金额：</w:t>
      </w:r>
      <w:r>
        <w:rPr>
          <w:rFonts w:hint="default" w:ascii="Arial" w:hAnsi="Arial" w:cs="Arial"/>
          <w:b w:val="0"/>
          <w:bCs/>
          <w:sz w:val="24"/>
          <w:szCs w:val="24"/>
          <w:highlight w:val="none"/>
          <w:lang w:val="en-US" w:eastAsia="zh-CN"/>
        </w:rPr>
        <w:t>¥</w:t>
      </w:r>
      <w:r>
        <w:rPr>
          <w:rFonts w:hint="eastAsia" w:ascii="Arial" w:hAnsi="Arial" w:cs="Arial"/>
          <w:b w:val="0"/>
          <w:bCs/>
          <w:sz w:val="24"/>
          <w:szCs w:val="24"/>
          <w:highlight w:val="none"/>
          <w:lang w:val="en-US" w:eastAsia="zh-CN"/>
        </w:rPr>
        <w:t>[合同金额]（大写：[合同金额大写]）税率：13%</w:t>
      </w:r>
    </w:p>
    <w:p>
      <w:pPr>
        <w:ind w:left="482"/>
        <w:rPr>
          <w:rFonts w:hint="eastAsia" w:hAnsi="宋体"/>
          <w:sz w:val="24"/>
          <w:szCs w:val="24"/>
          <w:highlight w:val="none"/>
        </w:rPr>
      </w:pPr>
      <w:r>
        <w:rPr>
          <w:rFonts w:hint="eastAsia" w:hAnsi="宋体"/>
          <w:b/>
          <w:sz w:val="24"/>
          <w:szCs w:val="24"/>
          <w:highlight w:val="none"/>
        </w:rPr>
        <w:t>第二条</w:t>
      </w:r>
      <w:r>
        <w:rPr>
          <w:rFonts w:hint="eastAsia"/>
          <w:b/>
          <w:sz w:val="24"/>
          <w:szCs w:val="24"/>
          <w:highlight w:val="none"/>
        </w:rPr>
        <w:t xml:space="preserve">  </w:t>
      </w:r>
      <w:r>
        <w:rPr>
          <w:rFonts w:hint="eastAsia" w:hAnsi="宋体"/>
          <w:b/>
          <w:sz w:val="24"/>
          <w:szCs w:val="24"/>
          <w:highlight w:val="none"/>
        </w:rPr>
        <w:t>质量标准</w:t>
      </w:r>
    </w:p>
    <w:p>
      <w:pPr>
        <w:ind w:left="482"/>
        <w:rPr>
          <w:rFonts w:hint="eastAsia" w:hAnsi="宋体"/>
          <w:sz w:val="24"/>
          <w:szCs w:val="24"/>
          <w:highlight w:val="none"/>
        </w:rPr>
      </w:pPr>
      <w:r>
        <w:rPr>
          <w:rFonts w:hint="eastAsia"/>
          <w:bCs/>
          <w:sz w:val="24"/>
          <w:szCs w:val="24"/>
          <w:highlight w:val="none"/>
        </w:rPr>
        <w:t>1.</w:t>
      </w:r>
      <w:r>
        <w:rPr>
          <w:rFonts w:hint="eastAsia" w:hAnsi="宋体"/>
          <w:sz w:val="24"/>
          <w:szCs w:val="24"/>
          <w:highlight w:val="none"/>
        </w:rPr>
        <w:t>执行国家、行业标准。</w:t>
      </w:r>
    </w:p>
    <w:p>
      <w:pPr>
        <w:ind w:firstLine="480" w:firstLineChars="200"/>
        <w:rPr>
          <w:rFonts w:hint="eastAsia"/>
          <w:sz w:val="24"/>
          <w:szCs w:val="24"/>
          <w:highlight w:val="none"/>
        </w:rPr>
      </w:pPr>
      <w:r>
        <w:rPr>
          <w:rFonts w:hint="eastAsia"/>
          <w:sz w:val="24"/>
          <w:szCs w:val="24"/>
          <w:highlight w:val="none"/>
        </w:rPr>
        <w:t>2.</w:t>
      </w:r>
      <w:r>
        <w:rPr>
          <w:rFonts w:ascii="宋体" w:hAnsi="宋体" w:eastAsia="宋体" w:cs="宋体"/>
          <w:sz w:val="24"/>
          <w:szCs w:val="24"/>
          <w:highlight w:val="none"/>
        </w:rPr>
        <w:t>乙方保证其所出售的标的物安全可靠，是符合最新质量和技术要求的全新合格产品，不存在任何质量瑕疵，也不存在侵犯他人合法权益的情况，凡由此产生的责任和给甲方造成的损失均由乙方承担。</w:t>
      </w:r>
    </w:p>
    <w:p>
      <w:pPr>
        <w:ind w:firstLine="482" w:firstLineChars="200"/>
        <w:rPr>
          <w:rFonts w:hint="eastAsia"/>
          <w:b/>
          <w:sz w:val="24"/>
          <w:szCs w:val="24"/>
          <w:highlight w:val="none"/>
        </w:rPr>
      </w:pPr>
      <w:r>
        <w:rPr>
          <w:rFonts w:hint="eastAsia" w:hAnsi="宋体"/>
          <w:b/>
          <w:sz w:val="24"/>
          <w:szCs w:val="24"/>
          <w:highlight w:val="none"/>
        </w:rPr>
        <w:t>第三条</w:t>
      </w:r>
      <w:r>
        <w:rPr>
          <w:rFonts w:hint="eastAsia"/>
          <w:b/>
          <w:sz w:val="24"/>
          <w:szCs w:val="24"/>
          <w:highlight w:val="none"/>
        </w:rPr>
        <w:t xml:space="preserve">  </w:t>
      </w:r>
      <w:r>
        <w:rPr>
          <w:rFonts w:hint="eastAsia" w:hAnsi="宋体"/>
          <w:b/>
          <w:sz w:val="24"/>
          <w:szCs w:val="24"/>
          <w:highlight w:val="none"/>
        </w:rPr>
        <w:t>包装标准、包装物的供应与回收</w:t>
      </w:r>
      <w:r>
        <w:rPr>
          <w:rFonts w:hint="eastAsia"/>
          <w:b/>
          <w:sz w:val="24"/>
          <w:szCs w:val="24"/>
          <w:highlight w:val="none"/>
        </w:rPr>
        <w:t xml:space="preserve"> </w:t>
      </w:r>
    </w:p>
    <w:p>
      <w:pPr>
        <w:ind w:firstLine="480" w:firstLineChars="200"/>
        <w:rPr>
          <w:rFonts w:hint="eastAsia"/>
          <w:sz w:val="24"/>
          <w:szCs w:val="24"/>
          <w:highlight w:val="none"/>
        </w:rPr>
      </w:pPr>
      <w:r>
        <w:rPr>
          <w:rFonts w:hint="eastAsia"/>
          <w:sz w:val="24"/>
          <w:szCs w:val="24"/>
          <w:highlight w:val="none"/>
        </w:rPr>
        <w:t>1.</w:t>
      </w:r>
      <w:r>
        <w:rPr>
          <w:rFonts w:hint="eastAsia" w:hAnsi="宋体"/>
          <w:sz w:val="24"/>
          <w:szCs w:val="24"/>
          <w:highlight w:val="none"/>
        </w:rPr>
        <w:t>标准包装。产品所需包装由乙方合理包装，适合水运和长途内陆运输，防潮，防湿，防震，防锈。</w:t>
      </w:r>
    </w:p>
    <w:p>
      <w:pPr>
        <w:ind w:firstLine="480" w:firstLineChars="200"/>
        <w:rPr>
          <w:rFonts w:hint="eastAsia" w:hAnsi="宋体"/>
          <w:sz w:val="24"/>
          <w:szCs w:val="24"/>
          <w:highlight w:val="none"/>
        </w:rPr>
      </w:pPr>
      <w:r>
        <w:rPr>
          <w:rFonts w:hint="eastAsia"/>
          <w:sz w:val="24"/>
          <w:szCs w:val="24"/>
          <w:highlight w:val="none"/>
        </w:rPr>
        <w:t>2.</w:t>
      </w:r>
      <w:r>
        <w:rPr>
          <w:rFonts w:hint="eastAsia" w:hAnsi="宋体"/>
          <w:sz w:val="24"/>
          <w:szCs w:val="24"/>
          <w:highlight w:val="none"/>
        </w:rPr>
        <w:t>包装物由乙方提供，不计费、不回收。</w:t>
      </w:r>
    </w:p>
    <w:p>
      <w:pPr>
        <w:ind w:firstLine="482" w:firstLineChars="200"/>
        <w:rPr>
          <w:rFonts w:hint="eastAsia" w:ascii="宋体" w:hAnsi="宋体"/>
          <w:b/>
          <w:szCs w:val="21"/>
          <w:highlight w:val="none"/>
        </w:rPr>
      </w:pPr>
      <w:r>
        <w:rPr>
          <w:rFonts w:hint="eastAsia" w:hAnsi="宋体"/>
          <w:b/>
          <w:sz w:val="24"/>
          <w:szCs w:val="24"/>
          <w:highlight w:val="none"/>
        </w:rPr>
        <w:t>第四条  随机的必备品、配件、技术资料、工具数量及供应方法</w:t>
      </w:r>
    </w:p>
    <w:p>
      <w:pPr>
        <w:ind w:firstLine="480" w:firstLineChars="200"/>
        <w:rPr>
          <w:rFonts w:hint="eastAsia" w:hAnsi="宋体"/>
          <w:sz w:val="24"/>
          <w:szCs w:val="24"/>
          <w:highlight w:val="none"/>
        </w:rPr>
      </w:pPr>
      <w:r>
        <w:rPr>
          <w:rFonts w:hint="eastAsia" w:hAnsi="宋体"/>
          <w:sz w:val="24"/>
          <w:szCs w:val="24"/>
          <w:highlight w:val="none"/>
        </w:rPr>
        <w:t>具体清单和要求应在交货时交给甲方，并按对交货的要求办理交付。上述清单和要求及乙方提供的售后服务书等视为本合同的一部分。</w:t>
      </w:r>
    </w:p>
    <w:p>
      <w:pPr>
        <w:ind w:firstLine="482" w:firstLineChars="200"/>
        <w:rPr>
          <w:rFonts w:hint="eastAsia"/>
          <w:b/>
          <w:sz w:val="24"/>
          <w:szCs w:val="24"/>
          <w:highlight w:val="none"/>
        </w:rPr>
      </w:pPr>
      <w:r>
        <w:rPr>
          <w:rFonts w:hint="eastAsia" w:hAnsi="宋体"/>
          <w:b/>
          <w:sz w:val="24"/>
          <w:szCs w:val="24"/>
          <w:highlight w:val="none"/>
        </w:rPr>
        <w:t>第五条</w:t>
      </w:r>
      <w:r>
        <w:rPr>
          <w:rFonts w:hint="eastAsia"/>
          <w:b/>
          <w:sz w:val="24"/>
          <w:szCs w:val="24"/>
          <w:highlight w:val="none"/>
        </w:rPr>
        <w:t xml:space="preserve">  </w:t>
      </w:r>
      <w:r>
        <w:rPr>
          <w:rFonts w:hint="eastAsia" w:hAnsi="宋体"/>
          <w:b/>
          <w:sz w:val="24"/>
          <w:szCs w:val="24"/>
          <w:highlight w:val="none"/>
        </w:rPr>
        <w:t>合理损耗标准及计算方法</w:t>
      </w:r>
    </w:p>
    <w:p>
      <w:pPr>
        <w:ind w:firstLine="480" w:firstLineChars="200"/>
        <w:rPr>
          <w:rFonts w:hint="eastAsia"/>
          <w:sz w:val="24"/>
          <w:szCs w:val="24"/>
          <w:highlight w:val="none"/>
        </w:rPr>
      </w:pPr>
      <w:r>
        <w:rPr>
          <w:rFonts w:hint="eastAsia" w:hAnsi="宋体"/>
          <w:sz w:val="24"/>
          <w:szCs w:val="24"/>
          <w:highlight w:val="none"/>
        </w:rPr>
        <w:t>以双方共同确定的法定计量为准，合理损耗为</w:t>
      </w:r>
      <w:r>
        <w:rPr>
          <w:rFonts w:hint="eastAsia"/>
          <w:sz w:val="24"/>
          <w:szCs w:val="24"/>
          <w:highlight w:val="none"/>
          <w:u w:val="single"/>
        </w:rPr>
        <w:t>0</w:t>
      </w:r>
      <w:r>
        <w:rPr>
          <w:rFonts w:hint="eastAsia"/>
          <w:sz w:val="24"/>
          <w:szCs w:val="24"/>
          <w:highlight w:val="none"/>
        </w:rPr>
        <w:t>%</w:t>
      </w:r>
      <w:r>
        <w:rPr>
          <w:rFonts w:hint="eastAsia" w:hAnsi="宋体"/>
          <w:sz w:val="24"/>
          <w:szCs w:val="24"/>
          <w:highlight w:val="none"/>
        </w:rPr>
        <w:t>。乙方向甲方实际所交付的产品数量在本合同约定的误差范围内，乙方不承担违约责任，甲乙双方也不互补差价。</w:t>
      </w:r>
    </w:p>
    <w:p>
      <w:pPr>
        <w:ind w:firstLine="482" w:firstLineChars="200"/>
        <w:rPr>
          <w:rFonts w:hint="eastAsia"/>
          <w:b/>
          <w:sz w:val="24"/>
          <w:szCs w:val="24"/>
          <w:highlight w:val="none"/>
        </w:rPr>
      </w:pPr>
      <w:r>
        <w:rPr>
          <w:rFonts w:hint="eastAsia" w:hAnsi="宋体"/>
          <w:b/>
          <w:sz w:val="24"/>
          <w:szCs w:val="24"/>
          <w:highlight w:val="none"/>
        </w:rPr>
        <w:t>第六条</w:t>
      </w:r>
      <w:r>
        <w:rPr>
          <w:rFonts w:hint="eastAsia"/>
          <w:b/>
          <w:sz w:val="24"/>
          <w:szCs w:val="24"/>
          <w:highlight w:val="none"/>
        </w:rPr>
        <w:t xml:space="preserve">  </w:t>
      </w:r>
      <w:r>
        <w:rPr>
          <w:rFonts w:hint="eastAsia" w:hAnsi="宋体"/>
          <w:b/>
          <w:sz w:val="24"/>
          <w:szCs w:val="24"/>
          <w:highlight w:val="none"/>
        </w:rPr>
        <w:t>标的物的风险及所有权的转移</w:t>
      </w:r>
    </w:p>
    <w:p>
      <w:pPr>
        <w:ind w:firstLine="480" w:firstLineChars="200"/>
        <w:rPr>
          <w:rFonts w:hint="eastAsia"/>
          <w:sz w:val="24"/>
          <w:szCs w:val="24"/>
          <w:highlight w:val="none"/>
        </w:rPr>
      </w:pPr>
      <w:r>
        <w:rPr>
          <w:rFonts w:hint="eastAsia"/>
          <w:sz w:val="24"/>
          <w:szCs w:val="24"/>
          <w:highlight w:val="none"/>
        </w:rPr>
        <w:t>1.</w:t>
      </w:r>
      <w:r>
        <w:rPr>
          <w:rFonts w:hint="eastAsia" w:hAnsi="宋体"/>
          <w:sz w:val="24"/>
          <w:szCs w:val="24"/>
          <w:highlight w:val="none"/>
        </w:rPr>
        <w:t>标的物的风险及所有权自交付之时转移至甲方，即在约定时间、约定地点交付之前标的物的风险由乙方承担，交付之后标的物的风险由甲方承担。</w:t>
      </w:r>
    </w:p>
    <w:p>
      <w:pPr>
        <w:ind w:firstLine="480" w:firstLineChars="200"/>
        <w:rPr>
          <w:rFonts w:hint="eastAsia"/>
          <w:sz w:val="24"/>
          <w:szCs w:val="24"/>
          <w:highlight w:val="none"/>
        </w:rPr>
      </w:pPr>
      <w:r>
        <w:rPr>
          <w:rFonts w:hint="eastAsia"/>
          <w:sz w:val="24"/>
          <w:szCs w:val="24"/>
          <w:highlight w:val="none"/>
        </w:rPr>
        <w:t>2.</w:t>
      </w:r>
      <w:r>
        <w:rPr>
          <w:rFonts w:hint="eastAsia" w:hAnsi="宋体"/>
          <w:sz w:val="24"/>
          <w:szCs w:val="24"/>
          <w:highlight w:val="none"/>
        </w:rPr>
        <w:t>迟延交付的，由造成迟延交付的一方承担迟延期间标的物的风险责任。</w:t>
      </w:r>
    </w:p>
    <w:p>
      <w:pPr>
        <w:ind w:firstLine="482" w:firstLineChars="200"/>
        <w:rPr>
          <w:b/>
          <w:sz w:val="24"/>
          <w:szCs w:val="24"/>
          <w:highlight w:val="none"/>
        </w:rPr>
      </w:pPr>
      <w:r>
        <w:rPr>
          <w:rFonts w:hint="eastAsia" w:hAnsi="宋体"/>
          <w:b/>
          <w:sz w:val="24"/>
          <w:szCs w:val="24"/>
          <w:highlight w:val="none"/>
        </w:rPr>
        <w:t>第七条</w:t>
      </w:r>
      <w:r>
        <w:rPr>
          <w:rFonts w:hint="eastAsia"/>
          <w:b/>
          <w:sz w:val="24"/>
          <w:szCs w:val="24"/>
          <w:highlight w:val="none"/>
        </w:rPr>
        <w:t xml:space="preserve">  </w:t>
      </w:r>
      <w:r>
        <w:rPr>
          <w:rFonts w:hint="eastAsia" w:hAnsi="宋体"/>
          <w:b/>
          <w:sz w:val="24"/>
          <w:szCs w:val="24"/>
          <w:highlight w:val="none"/>
        </w:rPr>
        <w:t>交（提）货时间、地点：</w:t>
      </w:r>
    </w:p>
    <w:p>
      <w:pPr>
        <w:ind w:firstLine="480" w:firstLineChars="200"/>
        <w:rPr>
          <w:rFonts w:hAnsi="宋体"/>
          <w:sz w:val="24"/>
          <w:szCs w:val="24"/>
          <w:highlight w:val="none"/>
        </w:rPr>
      </w:pPr>
      <w:r>
        <w:rPr>
          <w:rFonts w:hint="eastAsia" w:hAnsi="宋体"/>
          <w:sz w:val="24"/>
          <w:szCs w:val="24"/>
          <w:highlight w:val="none"/>
        </w:rPr>
        <w:t>交货时间：按甲方要求；</w:t>
      </w:r>
    </w:p>
    <w:p>
      <w:pPr>
        <w:ind w:firstLine="480" w:firstLineChars="200"/>
        <w:rPr>
          <w:rFonts w:hint="eastAsia" w:ascii="宋体" w:hAnsi="宋体"/>
          <w:sz w:val="22"/>
          <w:szCs w:val="22"/>
          <w:highlight w:val="none"/>
        </w:rPr>
      </w:pPr>
      <w:r>
        <w:rPr>
          <w:rFonts w:hint="eastAsia" w:hAnsi="宋体"/>
          <w:sz w:val="24"/>
          <w:szCs w:val="24"/>
          <w:highlight w:val="none"/>
        </w:rPr>
        <w:t>交货地点：</w:t>
      </w:r>
    </w:p>
    <w:p>
      <w:pPr>
        <w:ind w:firstLine="482" w:firstLineChars="200"/>
        <w:rPr>
          <w:rFonts w:hAnsi="宋体"/>
          <w:b/>
          <w:sz w:val="24"/>
          <w:szCs w:val="24"/>
          <w:highlight w:val="none"/>
        </w:rPr>
      </w:pPr>
      <w:r>
        <w:rPr>
          <w:rFonts w:hint="eastAsia" w:hAnsi="宋体"/>
          <w:b/>
          <w:sz w:val="24"/>
          <w:szCs w:val="24"/>
          <w:highlight w:val="none"/>
        </w:rPr>
        <w:t>第八条</w:t>
      </w:r>
      <w:r>
        <w:rPr>
          <w:rFonts w:hint="eastAsia"/>
          <w:b/>
          <w:sz w:val="24"/>
          <w:szCs w:val="24"/>
          <w:highlight w:val="none"/>
        </w:rPr>
        <w:t xml:space="preserve">  </w:t>
      </w:r>
      <w:r>
        <w:rPr>
          <w:rFonts w:hint="eastAsia" w:hAnsi="宋体"/>
          <w:b/>
          <w:sz w:val="24"/>
          <w:szCs w:val="24"/>
          <w:highlight w:val="none"/>
        </w:rPr>
        <w:t>运输方法及到达站（港）和费用负担</w:t>
      </w:r>
    </w:p>
    <w:p>
      <w:pPr>
        <w:ind w:firstLine="480" w:firstLineChars="200"/>
        <w:rPr>
          <w:rFonts w:hint="eastAsia"/>
          <w:b/>
          <w:sz w:val="24"/>
          <w:szCs w:val="24"/>
          <w:highlight w:val="none"/>
        </w:rPr>
      </w:pPr>
      <w:r>
        <w:rPr>
          <w:rFonts w:hint="eastAsia" w:hAnsi="宋体"/>
          <w:sz w:val="24"/>
          <w:szCs w:val="24"/>
          <w:highlight w:val="none"/>
        </w:rPr>
        <w:t>公路运输，运费已包含在本合同价款内；保险：由乙方负责。</w:t>
      </w:r>
    </w:p>
    <w:p>
      <w:pPr>
        <w:ind w:firstLine="482" w:firstLineChars="200"/>
        <w:rPr>
          <w:rFonts w:hint="eastAsia"/>
          <w:b/>
          <w:sz w:val="24"/>
          <w:szCs w:val="24"/>
          <w:highlight w:val="none"/>
        </w:rPr>
      </w:pPr>
      <w:r>
        <w:rPr>
          <w:rFonts w:hint="eastAsia" w:hAnsi="宋体"/>
          <w:b/>
          <w:sz w:val="24"/>
          <w:szCs w:val="24"/>
          <w:highlight w:val="none"/>
        </w:rPr>
        <w:t>第九条</w:t>
      </w:r>
      <w:r>
        <w:rPr>
          <w:rFonts w:hint="eastAsia"/>
          <w:b/>
          <w:sz w:val="24"/>
          <w:szCs w:val="24"/>
          <w:highlight w:val="none"/>
        </w:rPr>
        <w:t xml:space="preserve">  </w:t>
      </w:r>
      <w:r>
        <w:rPr>
          <w:rFonts w:hint="eastAsia" w:hAnsi="宋体"/>
          <w:b/>
          <w:sz w:val="24"/>
          <w:szCs w:val="24"/>
          <w:highlight w:val="none"/>
        </w:rPr>
        <w:t>检验标准、方法、地点及期限</w:t>
      </w:r>
    </w:p>
    <w:p>
      <w:pPr>
        <w:ind w:firstLine="480" w:firstLineChars="200"/>
        <w:rPr>
          <w:rFonts w:hint="eastAsia"/>
          <w:sz w:val="24"/>
          <w:szCs w:val="24"/>
          <w:highlight w:val="none"/>
        </w:rPr>
      </w:pPr>
      <w:r>
        <w:rPr>
          <w:rFonts w:hint="eastAsia"/>
          <w:sz w:val="24"/>
          <w:szCs w:val="24"/>
          <w:highlight w:val="none"/>
        </w:rPr>
        <w:t>1.</w:t>
      </w:r>
      <w:r>
        <w:rPr>
          <w:rFonts w:hint="eastAsia" w:hAnsi="宋体"/>
          <w:sz w:val="24"/>
          <w:szCs w:val="24"/>
          <w:highlight w:val="none"/>
        </w:rPr>
        <w:t>检验标准：按本合同第二条质量标准进行检验。</w:t>
      </w:r>
    </w:p>
    <w:p>
      <w:pPr>
        <w:ind w:firstLine="480" w:firstLineChars="200"/>
        <w:rPr>
          <w:rFonts w:hint="eastAsia"/>
          <w:sz w:val="24"/>
          <w:szCs w:val="24"/>
          <w:highlight w:val="none"/>
        </w:rPr>
      </w:pPr>
      <w:r>
        <w:rPr>
          <w:rFonts w:hint="eastAsia"/>
          <w:sz w:val="24"/>
          <w:szCs w:val="24"/>
          <w:highlight w:val="none"/>
        </w:rPr>
        <w:t>2.</w:t>
      </w:r>
      <w:r>
        <w:rPr>
          <w:rFonts w:hint="eastAsia" w:hAnsi="宋体"/>
          <w:sz w:val="24"/>
          <w:szCs w:val="24"/>
          <w:highlight w:val="none"/>
        </w:rPr>
        <w:t>验收方式：乙方送货及代办托运的，甲方在交付后，对产品的数量和质量进行验收，如甲方对产品质量和</w:t>
      </w:r>
      <w:r>
        <w:rPr>
          <w:rFonts w:hint="eastAsia"/>
          <w:sz w:val="24"/>
          <w:szCs w:val="24"/>
          <w:highlight w:val="none"/>
        </w:rPr>
        <w:t>/</w:t>
      </w:r>
      <w:r>
        <w:rPr>
          <w:rFonts w:hint="eastAsia" w:hAnsi="宋体"/>
          <w:sz w:val="24"/>
          <w:szCs w:val="24"/>
          <w:highlight w:val="none"/>
        </w:rPr>
        <w:t>或数量有异议，应按规定提取产品样品，并立即通知乙方。</w:t>
      </w:r>
    </w:p>
    <w:p>
      <w:pPr>
        <w:ind w:firstLine="480" w:firstLineChars="200"/>
        <w:rPr>
          <w:rFonts w:hAnsi="宋体"/>
          <w:sz w:val="24"/>
          <w:szCs w:val="24"/>
          <w:highlight w:val="none"/>
        </w:rPr>
      </w:pPr>
      <w:r>
        <w:rPr>
          <w:rFonts w:hint="eastAsia"/>
          <w:sz w:val="24"/>
          <w:szCs w:val="24"/>
          <w:highlight w:val="none"/>
        </w:rPr>
        <w:t>3.</w:t>
      </w:r>
      <w:r>
        <w:rPr>
          <w:rFonts w:hint="eastAsia" w:hAnsi="宋体"/>
          <w:sz w:val="24"/>
          <w:szCs w:val="24"/>
          <w:highlight w:val="none"/>
        </w:rPr>
        <w:t>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firstLine="482" w:firstLineChars="200"/>
        <w:rPr>
          <w:rFonts w:hint="eastAsia"/>
          <w:b/>
          <w:sz w:val="24"/>
          <w:szCs w:val="24"/>
          <w:highlight w:val="none"/>
        </w:rPr>
      </w:pPr>
      <w:r>
        <w:rPr>
          <w:rFonts w:hint="eastAsia" w:hAnsi="宋体"/>
          <w:b/>
          <w:sz w:val="24"/>
          <w:szCs w:val="24"/>
          <w:highlight w:val="none"/>
        </w:rPr>
        <w:t>第十条</w:t>
      </w:r>
      <w:r>
        <w:rPr>
          <w:rFonts w:hint="eastAsia"/>
          <w:b/>
          <w:sz w:val="24"/>
          <w:szCs w:val="24"/>
          <w:highlight w:val="none"/>
        </w:rPr>
        <w:t xml:space="preserve">  </w:t>
      </w:r>
      <w:r>
        <w:rPr>
          <w:rFonts w:hint="eastAsia" w:hAnsi="宋体"/>
          <w:b/>
          <w:sz w:val="24"/>
          <w:szCs w:val="24"/>
          <w:highlight w:val="none"/>
        </w:rPr>
        <w:t>结算方式、时间</w:t>
      </w:r>
    </w:p>
    <w:p>
      <w:pPr>
        <w:ind w:firstLine="480" w:firstLineChars="200"/>
        <w:rPr>
          <w:rFonts w:hint="eastAsia" w:hAnsi="宋体"/>
          <w:sz w:val="24"/>
          <w:szCs w:val="24"/>
          <w:highlight w:val="none"/>
        </w:rPr>
      </w:pPr>
      <w:r>
        <w:rPr>
          <w:rFonts w:hAnsi="宋体"/>
          <w:sz w:val="24"/>
          <w:szCs w:val="24"/>
          <w:highlight w:val="none"/>
        </w:rPr>
        <w:t>1.</w:t>
      </w:r>
      <w:r>
        <w:rPr>
          <w:rFonts w:hint="eastAsia" w:hAnsi="宋体"/>
          <w:sz w:val="24"/>
          <w:szCs w:val="24"/>
          <w:highlight w:val="none"/>
        </w:rPr>
        <w:t>货到现场、验收合格交付后一次性付清。</w:t>
      </w:r>
    </w:p>
    <w:p>
      <w:pPr>
        <w:ind w:firstLine="480" w:firstLineChars="200"/>
        <w:rPr>
          <w:rFonts w:hint="default" w:hAnsi="宋体" w:eastAsiaTheme="minorEastAsia"/>
          <w:sz w:val="24"/>
          <w:szCs w:val="24"/>
          <w:highlight w:val="none"/>
          <w:lang w:val="en-US" w:eastAsia="zh-CN"/>
        </w:rPr>
      </w:pPr>
      <w:r>
        <w:rPr>
          <w:rFonts w:hint="eastAsia" w:hAnsi="宋体"/>
          <w:sz w:val="24"/>
          <w:szCs w:val="24"/>
          <w:highlight w:val="none"/>
          <w:lang w:val="en-US" w:eastAsia="zh-CN"/>
        </w:rPr>
        <w:t>2.</w:t>
      </w:r>
      <w:r>
        <w:rPr>
          <w:rFonts w:hint="eastAsia" w:hAnsi="宋体"/>
          <w:sz w:val="24"/>
          <w:szCs w:val="24"/>
        </w:rPr>
        <w:t>付款时乙方应按货款数额给甲方开具合法、有效的增值税专用发票，本合同发票乙方向</w:t>
      </w:r>
      <w:r>
        <w:rPr>
          <w:rFonts w:hint="eastAsia" w:hAnsi="宋体"/>
          <w:sz w:val="24"/>
          <w:szCs w:val="24"/>
          <w:lang w:val="en-US" w:eastAsia="zh-CN"/>
        </w:rPr>
        <w:t>---------------------</w:t>
      </w:r>
      <w:r>
        <w:rPr>
          <w:rFonts w:hint="eastAsia" w:hAnsi="宋体"/>
          <w:sz w:val="24"/>
          <w:szCs w:val="24"/>
        </w:rPr>
        <w:t>开具。</w:t>
      </w:r>
    </w:p>
    <w:p>
      <w:pPr>
        <w:ind w:firstLine="480" w:firstLineChars="200"/>
        <w:rPr>
          <w:rFonts w:hint="eastAsia" w:hAnsi="宋体"/>
          <w:sz w:val="24"/>
          <w:szCs w:val="24"/>
          <w:highlight w:val="none"/>
        </w:rPr>
      </w:pPr>
      <w:r>
        <w:rPr>
          <w:rFonts w:hint="eastAsia" w:hAnsi="宋体"/>
          <w:sz w:val="24"/>
          <w:szCs w:val="24"/>
          <w:highlight w:val="none"/>
          <w:lang w:val="en-US" w:eastAsia="zh-CN"/>
        </w:rPr>
        <w:t>3</w:t>
      </w:r>
      <w:r>
        <w:rPr>
          <w:rFonts w:hAnsi="宋体"/>
          <w:sz w:val="24"/>
          <w:szCs w:val="24"/>
          <w:highlight w:val="none"/>
        </w:rPr>
        <w:t>.</w:t>
      </w:r>
      <w:r>
        <w:rPr>
          <w:rFonts w:hint="eastAsia" w:hAnsi="宋体"/>
          <w:sz w:val="24"/>
          <w:szCs w:val="24"/>
          <w:highlight w:val="none"/>
        </w:rPr>
        <w:t>在合同履行期间，因国家税收政策调整，本合同税率发生变化，结算时不能按原定税率开具发票的，产生的税差在合同总价中做相应调增或调减。</w:t>
      </w:r>
    </w:p>
    <w:p>
      <w:pPr>
        <w:ind w:firstLine="482" w:firstLineChars="200"/>
        <w:rPr>
          <w:rFonts w:hint="eastAsia" w:hAnsi="宋体"/>
          <w:b/>
          <w:sz w:val="24"/>
          <w:szCs w:val="24"/>
          <w:highlight w:val="none"/>
        </w:rPr>
      </w:pPr>
      <w:r>
        <w:rPr>
          <w:rFonts w:hint="eastAsia" w:hAnsi="宋体"/>
          <w:b/>
          <w:sz w:val="24"/>
          <w:szCs w:val="24"/>
          <w:highlight w:val="none"/>
        </w:rPr>
        <w:t>第十一条  不可抗力</w:t>
      </w:r>
    </w:p>
    <w:p>
      <w:pPr>
        <w:ind w:firstLine="480" w:firstLineChars="200"/>
        <w:rPr>
          <w:rFonts w:hint="eastAsia"/>
          <w:sz w:val="24"/>
          <w:szCs w:val="24"/>
          <w:highlight w:val="none"/>
        </w:rPr>
      </w:pPr>
      <w:bookmarkStart w:id="39" w:name="_Hlk33783754"/>
      <w:r>
        <w:rPr>
          <w:rFonts w:hint="eastAsia"/>
          <w:sz w:val="24"/>
          <w:szCs w:val="24"/>
          <w:highlight w:val="none"/>
        </w:rPr>
        <w:t>1.</w:t>
      </w:r>
      <w:bookmarkEnd w:id="39"/>
      <w:r>
        <w:rPr>
          <w:rFonts w:hint="eastAsia"/>
          <w:sz w:val="24"/>
          <w:szCs w:val="24"/>
          <w:highlight w:val="none"/>
        </w:rPr>
        <w:t>“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firstLine="480" w:firstLineChars="200"/>
        <w:rPr>
          <w:rFonts w:hint="eastAsia"/>
          <w:sz w:val="24"/>
          <w:szCs w:val="24"/>
          <w:highlight w:val="none"/>
        </w:rPr>
      </w:pPr>
      <w:bookmarkStart w:id="40" w:name="_Hlk33783761"/>
      <w:r>
        <w:rPr>
          <w:rFonts w:hint="eastAsia"/>
          <w:sz w:val="24"/>
          <w:szCs w:val="24"/>
          <w:highlight w:val="none"/>
        </w:rPr>
        <w:t>2.</w:t>
      </w:r>
      <w:bookmarkEnd w:id="40"/>
      <w:r>
        <w:rPr>
          <w:rFonts w:hint="eastAsia"/>
          <w:sz w:val="24"/>
          <w:szCs w:val="24"/>
          <w:highlight w:val="none"/>
        </w:rPr>
        <w:t>由于不可抗力的原因，而不能履行合同或延迟履行合同的一方可视不可抗力的实际影响免除部分或全部违约责任。但受不可抗力影响的一方应在通知可能的情况下立即通知对方,并在不可抗力发生后15日内特快专递邮寄相关的主管部门签发的证明文件,以便其他各方审查、确认。</w:t>
      </w:r>
    </w:p>
    <w:p>
      <w:pPr>
        <w:ind w:firstLine="480" w:firstLineChars="200"/>
        <w:rPr>
          <w:rFonts w:hint="eastAsia"/>
          <w:sz w:val="24"/>
          <w:szCs w:val="24"/>
          <w:highlight w:val="none"/>
        </w:rPr>
      </w:pPr>
      <w:r>
        <w:rPr>
          <w:rFonts w:hint="eastAsia"/>
          <w:sz w:val="24"/>
          <w:szCs w:val="24"/>
          <w:highlight w:val="none"/>
        </w:rPr>
        <w:t>3.发生不可抗力事件终止或消除后，受不可抗力影响的一方，应立即通知对方</w:t>
      </w:r>
      <w:r>
        <w:rPr>
          <w:rFonts w:hint="eastAsia"/>
          <w:sz w:val="24"/>
          <w:szCs w:val="24"/>
          <w:highlight w:val="none"/>
          <w:lang w:eastAsia="zh-CN"/>
        </w:rPr>
        <w:t>，</w:t>
      </w:r>
      <w:r>
        <w:rPr>
          <w:rFonts w:hint="eastAsia"/>
          <w:sz w:val="24"/>
          <w:szCs w:val="24"/>
          <w:highlight w:val="none"/>
        </w:rPr>
        <w:t>发生不可抗力事件终止或消除后10日内特快专递邮寄相关的主管部门签发的证明文件确认不可抗力事件的终止或消除。</w:t>
      </w:r>
    </w:p>
    <w:p>
      <w:pPr>
        <w:ind w:firstLine="480" w:firstLineChars="200"/>
        <w:rPr>
          <w:rFonts w:hint="eastAsia"/>
          <w:sz w:val="24"/>
          <w:szCs w:val="24"/>
          <w:highlight w:val="none"/>
        </w:rPr>
      </w:pPr>
      <w:r>
        <w:rPr>
          <w:rFonts w:hint="eastAsia"/>
          <w:sz w:val="24"/>
          <w:szCs w:val="24"/>
          <w:highlight w:val="none"/>
        </w:rPr>
        <w:t>4.如果不可抗力的影响持续超过一个月，受不可抗力影响的一方应与对方取得联系，以便解决进一步履行合同的问题。</w:t>
      </w:r>
    </w:p>
    <w:p>
      <w:pPr>
        <w:spacing w:line="300" w:lineRule="exact"/>
        <w:ind w:firstLine="482" w:firstLineChars="200"/>
        <w:rPr>
          <w:rFonts w:hint="eastAsia"/>
          <w:b/>
          <w:sz w:val="24"/>
          <w:szCs w:val="24"/>
          <w:highlight w:val="none"/>
        </w:rPr>
      </w:pPr>
      <w:r>
        <w:rPr>
          <w:rFonts w:hint="eastAsia" w:hAnsi="宋体"/>
          <w:b/>
          <w:sz w:val="24"/>
          <w:szCs w:val="24"/>
          <w:highlight w:val="none"/>
        </w:rPr>
        <w:t>第十二条</w:t>
      </w:r>
      <w:r>
        <w:rPr>
          <w:rFonts w:hint="eastAsia"/>
          <w:b/>
          <w:sz w:val="24"/>
          <w:szCs w:val="24"/>
          <w:highlight w:val="none"/>
        </w:rPr>
        <w:t xml:space="preserve">  </w:t>
      </w:r>
      <w:r>
        <w:rPr>
          <w:rFonts w:hint="eastAsia" w:hAnsi="宋体"/>
          <w:b/>
          <w:sz w:val="24"/>
          <w:szCs w:val="24"/>
          <w:highlight w:val="none"/>
        </w:rPr>
        <w:t>合同的变更和解除</w:t>
      </w:r>
    </w:p>
    <w:p>
      <w:pPr>
        <w:ind w:firstLine="480" w:firstLineChars="200"/>
        <w:rPr>
          <w:rFonts w:hint="eastAsia"/>
          <w:sz w:val="24"/>
          <w:szCs w:val="24"/>
          <w:highlight w:val="none"/>
        </w:rPr>
      </w:pPr>
      <w:r>
        <w:rPr>
          <w:rFonts w:hint="eastAsia"/>
          <w:sz w:val="24"/>
          <w:szCs w:val="24"/>
          <w:highlight w:val="none"/>
        </w:rPr>
        <w:t>1.</w:t>
      </w:r>
      <w:r>
        <w:rPr>
          <w:rFonts w:hint="eastAsia" w:hAnsi="宋体"/>
          <w:sz w:val="24"/>
          <w:szCs w:val="24"/>
          <w:highlight w:val="none"/>
        </w:rPr>
        <w:t>双方协商一致可变更或解除本合同，合同变更或解除应采取书面形式。</w:t>
      </w:r>
    </w:p>
    <w:p>
      <w:pPr>
        <w:ind w:firstLine="480" w:firstLineChars="200"/>
        <w:rPr>
          <w:rFonts w:hint="eastAsia"/>
          <w:sz w:val="24"/>
          <w:szCs w:val="24"/>
          <w:highlight w:val="none"/>
        </w:rPr>
      </w:pPr>
      <w:r>
        <w:rPr>
          <w:rFonts w:hint="eastAsia"/>
          <w:sz w:val="24"/>
          <w:szCs w:val="24"/>
          <w:highlight w:val="none"/>
        </w:rPr>
        <w:t>2.对下述情况甲方有权单方解除合同：乙方延迟交付超过10日；在质保期内，拒不履行“三包”（免费包退、包换、包修）义务的；标的物等不合格，难以修正或不能满足、达到甲方要求的。经甲方进行市场调研，合同价格市场波动较大的。</w:t>
      </w:r>
    </w:p>
    <w:p>
      <w:pPr>
        <w:ind w:firstLine="480" w:firstLineChars="200"/>
        <w:rPr>
          <w:rFonts w:hint="eastAsia"/>
          <w:sz w:val="24"/>
          <w:szCs w:val="24"/>
          <w:highlight w:val="none"/>
        </w:rPr>
      </w:pPr>
      <w:r>
        <w:rPr>
          <w:rFonts w:hint="eastAsia"/>
          <w:sz w:val="24"/>
          <w:szCs w:val="24"/>
          <w:highlight w:val="none"/>
        </w:rPr>
        <w:t>因上述原因单方解除合同的，责任由乙方承担。已支付货款的，乙方应返还货款，并赔偿给甲方造成的损失。</w:t>
      </w:r>
    </w:p>
    <w:p>
      <w:pPr>
        <w:ind w:firstLine="480" w:firstLineChars="200"/>
        <w:rPr>
          <w:rFonts w:hint="eastAsia"/>
          <w:sz w:val="24"/>
          <w:szCs w:val="24"/>
          <w:highlight w:val="none"/>
        </w:rPr>
      </w:pPr>
      <w:r>
        <w:rPr>
          <w:rFonts w:hint="eastAsia"/>
          <w:sz w:val="24"/>
          <w:szCs w:val="24"/>
          <w:highlight w:val="none"/>
        </w:rPr>
        <w:t>3.</w:t>
      </w:r>
      <w:r>
        <w:rPr>
          <w:rFonts w:hint="eastAsia" w:hAnsi="宋体"/>
          <w:sz w:val="24"/>
          <w:szCs w:val="24"/>
          <w:highlight w:val="none"/>
        </w:rPr>
        <w:t>解除合同方在解除合同时，应履行通知对方义务。</w:t>
      </w:r>
    </w:p>
    <w:p>
      <w:pPr>
        <w:ind w:firstLine="482" w:firstLineChars="200"/>
        <w:rPr>
          <w:rFonts w:hint="eastAsia"/>
          <w:b/>
          <w:sz w:val="24"/>
          <w:szCs w:val="24"/>
          <w:highlight w:val="none"/>
        </w:rPr>
      </w:pPr>
      <w:r>
        <w:rPr>
          <w:rFonts w:hint="eastAsia" w:hAnsi="宋体"/>
          <w:b/>
          <w:sz w:val="24"/>
          <w:szCs w:val="24"/>
          <w:highlight w:val="none"/>
        </w:rPr>
        <w:t>第十三条</w:t>
      </w:r>
      <w:r>
        <w:rPr>
          <w:rFonts w:hint="eastAsia"/>
          <w:b/>
          <w:sz w:val="24"/>
          <w:szCs w:val="24"/>
          <w:highlight w:val="none"/>
        </w:rPr>
        <w:t xml:space="preserve">  </w:t>
      </w:r>
      <w:r>
        <w:rPr>
          <w:rFonts w:hint="eastAsia" w:hAnsi="宋体"/>
          <w:b/>
          <w:sz w:val="24"/>
          <w:szCs w:val="24"/>
          <w:highlight w:val="none"/>
        </w:rPr>
        <w:t>违约责任</w:t>
      </w:r>
    </w:p>
    <w:p>
      <w:pPr>
        <w:ind w:firstLine="480" w:firstLineChars="200"/>
        <w:rPr>
          <w:rFonts w:hint="eastAsia"/>
          <w:sz w:val="24"/>
          <w:szCs w:val="24"/>
          <w:highlight w:val="none"/>
        </w:rPr>
      </w:pPr>
      <w:r>
        <w:rPr>
          <w:rFonts w:hint="eastAsia"/>
          <w:sz w:val="24"/>
          <w:szCs w:val="24"/>
          <w:highlight w:val="none"/>
        </w:rPr>
        <w:t>1.乙</w:t>
      </w:r>
      <w:r>
        <w:rPr>
          <w:rFonts w:hint="eastAsia" w:hAnsi="宋体"/>
          <w:sz w:val="24"/>
          <w:szCs w:val="24"/>
          <w:highlight w:val="none"/>
        </w:rPr>
        <w:t>方未按期交付标的，每逾期一日，应向甲方支付延迟交付标的货款金额</w:t>
      </w:r>
      <w:r>
        <w:rPr>
          <w:rFonts w:hint="eastAsia"/>
          <w:sz w:val="24"/>
          <w:szCs w:val="24"/>
          <w:highlight w:val="none"/>
          <w:u w:val="single"/>
        </w:rPr>
        <w:t>1</w:t>
      </w:r>
      <w:r>
        <w:rPr>
          <w:rFonts w:hint="eastAsia" w:hAnsi="宋体"/>
          <w:sz w:val="24"/>
          <w:szCs w:val="24"/>
          <w:highlight w:val="none"/>
        </w:rPr>
        <w:t>‰的违约金，如乙方逾期交货超过</w:t>
      </w:r>
      <w:r>
        <w:rPr>
          <w:rFonts w:hint="eastAsia"/>
          <w:sz w:val="24"/>
          <w:szCs w:val="24"/>
          <w:highlight w:val="none"/>
          <w:u w:val="single"/>
        </w:rPr>
        <w:t>10</w:t>
      </w:r>
      <w:r>
        <w:rPr>
          <w:rFonts w:hint="eastAsia" w:hAnsi="宋体"/>
          <w:sz w:val="24"/>
          <w:szCs w:val="24"/>
          <w:highlight w:val="none"/>
        </w:rPr>
        <w:t>日的，除应向甲方支付违约金外，甲方有权解除合同，并要求乙方赔偿因逾期交货而造成的损失。</w:t>
      </w:r>
    </w:p>
    <w:p>
      <w:pPr>
        <w:ind w:firstLine="480" w:firstLineChars="200"/>
        <w:rPr>
          <w:rFonts w:hint="eastAsia"/>
          <w:sz w:val="24"/>
          <w:szCs w:val="24"/>
          <w:highlight w:val="none"/>
        </w:rPr>
      </w:pPr>
      <w:r>
        <w:rPr>
          <w:rFonts w:hint="eastAsia"/>
          <w:sz w:val="24"/>
          <w:szCs w:val="24"/>
          <w:highlight w:val="none"/>
        </w:rPr>
        <w:t>2.乙</w:t>
      </w:r>
      <w:r>
        <w:rPr>
          <w:rFonts w:hint="eastAsia" w:hAnsi="宋体"/>
          <w:sz w:val="24"/>
          <w:szCs w:val="24"/>
          <w:highlight w:val="none"/>
        </w:rPr>
        <w:t>方交付的标的不符合合同约定的数量，乙方应按甲方要求在合理期限内补足标的数量，同时甲方有权要求乙方赔偿因其不完全履约而造成的损失。</w:t>
      </w:r>
    </w:p>
    <w:p>
      <w:pPr>
        <w:ind w:firstLine="480" w:firstLineChars="200"/>
        <w:rPr>
          <w:rFonts w:hint="eastAsia"/>
          <w:sz w:val="24"/>
          <w:szCs w:val="24"/>
          <w:highlight w:val="none"/>
        </w:rPr>
      </w:pPr>
      <w:r>
        <w:rPr>
          <w:rFonts w:hint="eastAsia"/>
          <w:sz w:val="24"/>
          <w:szCs w:val="24"/>
          <w:highlight w:val="none"/>
        </w:rPr>
        <w:t>3.乙</w:t>
      </w:r>
      <w:r>
        <w:rPr>
          <w:rFonts w:hint="eastAsia" w:hAnsi="宋体"/>
          <w:sz w:val="24"/>
          <w:szCs w:val="24"/>
          <w:highlight w:val="none"/>
        </w:rPr>
        <w:t>方交付的标的不符合合同约定的质量，甲方有权拒收和</w:t>
      </w:r>
      <w:r>
        <w:rPr>
          <w:rFonts w:hint="eastAsia"/>
          <w:sz w:val="24"/>
          <w:szCs w:val="24"/>
          <w:highlight w:val="none"/>
        </w:rPr>
        <w:t>/</w:t>
      </w:r>
      <w:r>
        <w:rPr>
          <w:rFonts w:hint="eastAsia" w:hAnsi="宋体"/>
          <w:sz w:val="24"/>
          <w:szCs w:val="24"/>
          <w:highlight w:val="none"/>
        </w:rPr>
        <w:t>或要求更换和</w:t>
      </w:r>
      <w:r>
        <w:rPr>
          <w:rFonts w:hint="eastAsia"/>
          <w:sz w:val="24"/>
          <w:szCs w:val="24"/>
          <w:highlight w:val="none"/>
        </w:rPr>
        <w:t>/</w:t>
      </w:r>
      <w:r>
        <w:rPr>
          <w:rFonts w:hint="eastAsia" w:hAnsi="宋体"/>
          <w:sz w:val="24"/>
          <w:szCs w:val="24"/>
          <w:highlight w:val="none"/>
        </w:rPr>
        <w:t>或终止合同，乙方仍须对甲方的损失承担赔偿责任。在乙方对质量负责的期限内，如标的出现质量问题，乙方应在合理期限内负责修理、更换或者退货，因标的质量问题给甲方造成的经济损失仍由乙方承担。</w:t>
      </w:r>
    </w:p>
    <w:p>
      <w:pPr>
        <w:ind w:firstLine="480" w:firstLineChars="200"/>
        <w:rPr>
          <w:rFonts w:hint="eastAsia"/>
          <w:sz w:val="24"/>
          <w:szCs w:val="24"/>
          <w:highlight w:val="none"/>
        </w:rPr>
      </w:pPr>
      <w:r>
        <w:rPr>
          <w:rFonts w:hint="eastAsia"/>
          <w:sz w:val="24"/>
          <w:szCs w:val="24"/>
          <w:highlight w:val="none"/>
        </w:rPr>
        <w:t>4.</w:t>
      </w:r>
      <w:r>
        <w:rPr>
          <w:rFonts w:hint="eastAsia" w:hAnsi="宋体"/>
          <w:sz w:val="24"/>
          <w:szCs w:val="24"/>
          <w:highlight w:val="none"/>
        </w:rPr>
        <w:t>发生其他违约情形，违约方应赔偿由此给对方造成的损失。如属双方过错，应各自承担相应责任。</w:t>
      </w:r>
    </w:p>
    <w:p>
      <w:pPr>
        <w:ind w:firstLine="482" w:firstLineChars="200"/>
        <w:rPr>
          <w:rFonts w:hint="eastAsia"/>
          <w:b/>
          <w:sz w:val="24"/>
          <w:szCs w:val="24"/>
          <w:highlight w:val="none"/>
        </w:rPr>
      </w:pPr>
      <w:r>
        <w:rPr>
          <w:rFonts w:hint="eastAsia" w:hAnsi="宋体"/>
          <w:b/>
          <w:sz w:val="24"/>
          <w:szCs w:val="24"/>
          <w:highlight w:val="none"/>
        </w:rPr>
        <w:t>第十四条</w:t>
      </w:r>
      <w:r>
        <w:rPr>
          <w:rFonts w:hint="eastAsia"/>
          <w:b/>
          <w:sz w:val="24"/>
          <w:szCs w:val="24"/>
          <w:highlight w:val="none"/>
        </w:rPr>
        <w:t xml:space="preserve">  </w:t>
      </w:r>
      <w:r>
        <w:rPr>
          <w:rFonts w:hint="eastAsia" w:hAnsi="宋体"/>
          <w:b/>
          <w:sz w:val="24"/>
          <w:szCs w:val="24"/>
          <w:highlight w:val="none"/>
        </w:rPr>
        <w:t>合同争议的解决方式：</w:t>
      </w:r>
      <w:r>
        <w:rPr>
          <w:rFonts w:hint="eastAsia" w:hAnsi="宋体"/>
          <w:sz w:val="24"/>
          <w:szCs w:val="24"/>
          <w:highlight w:val="none"/>
        </w:rPr>
        <w:t>发生争议，由双方协商解决。协商不成的，提交运城仲裁委员会仲裁。</w:t>
      </w:r>
    </w:p>
    <w:p>
      <w:pPr>
        <w:ind w:firstLine="482" w:firstLineChars="200"/>
        <w:rPr>
          <w:rFonts w:hint="eastAsia"/>
          <w:b/>
          <w:sz w:val="24"/>
          <w:szCs w:val="24"/>
          <w:highlight w:val="none"/>
        </w:rPr>
      </w:pPr>
      <w:r>
        <w:rPr>
          <w:rFonts w:hint="eastAsia" w:hAnsi="宋体"/>
          <w:b/>
          <w:sz w:val="24"/>
          <w:szCs w:val="24"/>
          <w:highlight w:val="none"/>
        </w:rPr>
        <w:t>第十五条</w:t>
      </w:r>
      <w:r>
        <w:rPr>
          <w:rFonts w:hint="eastAsia"/>
          <w:b/>
          <w:sz w:val="24"/>
          <w:szCs w:val="24"/>
          <w:highlight w:val="none"/>
        </w:rPr>
        <w:t xml:space="preserve">  </w:t>
      </w:r>
      <w:r>
        <w:rPr>
          <w:rFonts w:hint="eastAsia" w:hAnsi="宋体"/>
          <w:b/>
          <w:sz w:val="24"/>
          <w:szCs w:val="24"/>
          <w:highlight w:val="none"/>
        </w:rPr>
        <w:t>其他</w:t>
      </w:r>
    </w:p>
    <w:p>
      <w:pPr>
        <w:ind w:firstLine="480" w:firstLineChars="200"/>
        <w:rPr>
          <w:sz w:val="24"/>
          <w:szCs w:val="24"/>
          <w:highlight w:val="none"/>
        </w:rPr>
      </w:pPr>
      <w:r>
        <w:rPr>
          <w:sz w:val="24"/>
          <w:szCs w:val="24"/>
          <w:highlight w:val="none"/>
        </w:rPr>
        <w:t>1.</w:t>
      </w:r>
      <w:r>
        <w:rPr>
          <w:rFonts w:hint="eastAsia" w:hAnsi="宋体"/>
          <w:sz w:val="24"/>
          <w:szCs w:val="24"/>
          <w:highlight w:val="none"/>
        </w:rPr>
        <w:t>本合同自双方法定代表人或授权代表签字或盖章并加盖合同专用章或公章后生效。</w:t>
      </w:r>
    </w:p>
    <w:p>
      <w:pPr>
        <w:ind w:firstLine="480" w:firstLineChars="200"/>
        <w:rPr>
          <w:sz w:val="24"/>
          <w:szCs w:val="24"/>
          <w:highlight w:val="none"/>
        </w:rPr>
      </w:pPr>
      <w:r>
        <w:rPr>
          <w:rFonts w:hint="eastAsia"/>
          <w:sz w:val="24"/>
          <w:szCs w:val="24"/>
          <w:highlight w:val="none"/>
        </w:rPr>
        <w:t>2</w:t>
      </w:r>
      <w:r>
        <w:rPr>
          <w:sz w:val="24"/>
          <w:szCs w:val="24"/>
          <w:highlight w:val="none"/>
        </w:rPr>
        <w:t>.</w:t>
      </w:r>
      <w:r>
        <w:rPr>
          <w:rFonts w:hint="eastAsia" w:hAnsi="宋体"/>
          <w:sz w:val="24"/>
          <w:szCs w:val="24"/>
          <w:highlight w:val="none"/>
        </w:rPr>
        <w:t>本合同未尽事宜，双方协商签订补充协议。</w:t>
      </w:r>
    </w:p>
    <w:p>
      <w:pPr>
        <w:ind w:firstLine="480" w:firstLineChars="200"/>
        <w:rPr>
          <w:sz w:val="24"/>
          <w:szCs w:val="24"/>
          <w:highlight w:val="none"/>
        </w:rPr>
      </w:pPr>
      <w:r>
        <w:rPr>
          <w:rFonts w:hint="eastAsia"/>
          <w:sz w:val="24"/>
          <w:szCs w:val="24"/>
          <w:highlight w:val="none"/>
        </w:rPr>
        <w:t>3</w:t>
      </w:r>
      <w:r>
        <w:rPr>
          <w:sz w:val="24"/>
          <w:szCs w:val="24"/>
          <w:highlight w:val="none"/>
        </w:rPr>
        <w:t>.</w:t>
      </w:r>
      <w:r>
        <w:rPr>
          <w:rFonts w:hint="eastAsia" w:hAnsi="宋体"/>
          <w:sz w:val="24"/>
          <w:szCs w:val="24"/>
          <w:highlight w:val="none"/>
        </w:rPr>
        <w:t>本合同的附件及补充协议是本合同组成部分，与本合同具有同等法律效力。</w:t>
      </w:r>
    </w:p>
    <w:p>
      <w:pPr>
        <w:ind w:firstLine="480" w:firstLineChars="200"/>
        <w:rPr>
          <w:rFonts w:hint="eastAsia" w:hAnsi="宋体"/>
          <w:sz w:val="24"/>
          <w:szCs w:val="24"/>
          <w:highlight w:val="none"/>
        </w:rPr>
      </w:pPr>
      <w:r>
        <w:rPr>
          <w:sz w:val="24"/>
          <w:szCs w:val="24"/>
          <w:highlight w:val="none"/>
        </w:rPr>
        <w:t>4.</w:t>
      </w:r>
      <w:r>
        <w:rPr>
          <w:rFonts w:hint="eastAsia" w:hAnsi="宋体"/>
          <w:sz w:val="24"/>
          <w:szCs w:val="24"/>
          <w:highlight w:val="none"/>
        </w:rPr>
        <w:t>本合同一式</w:t>
      </w:r>
      <w:r>
        <w:rPr>
          <w:rFonts w:hint="eastAsia" w:hAnsi="宋体"/>
          <w:sz w:val="24"/>
          <w:szCs w:val="24"/>
          <w:highlight w:val="none"/>
          <w:lang w:eastAsia="zh-CN"/>
        </w:rPr>
        <w:t>五</w:t>
      </w:r>
      <w:r>
        <w:rPr>
          <w:rFonts w:hint="eastAsia" w:hAnsi="宋体"/>
          <w:sz w:val="24"/>
          <w:szCs w:val="24"/>
          <w:highlight w:val="none"/>
        </w:rPr>
        <w:t>份，</w:t>
      </w:r>
      <w:r>
        <w:rPr>
          <w:rFonts w:hint="eastAsia"/>
          <w:sz w:val="24"/>
          <w:szCs w:val="24"/>
          <w:highlight w:val="none"/>
        </w:rPr>
        <w:t>具有同等法律效力，</w:t>
      </w:r>
      <w:r>
        <w:rPr>
          <w:rFonts w:hint="eastAsia" w:hAnsi="宋体"/>
          <w:sz w:val="24"/>
          <w:szCs w:val="24"/>
          <w:highlight w:val="none"/>
        </w:rPr>
        <w:t>甲方执</w:t>
      </w:r>
      <w:r>
        <w:rPr>
          <w:rFonts w:hint="eastAsia" w:hAnsi="宋体"/>
          <w:sz w:val="24"/>
          <w:szCs w:val="24"/>
          <w:highlight w:val="none"/>
          <w:lang w:eastAsia="zh-CN"/>
        </w:rPr>
        <w:t>四</w:t>
      </w:r>
      <w:r>
        <w:rPr>
          <w:rFonts w:hint="eastAsia" w:hAnsi="宋体"/>
          <w:sz w:val="24"/>
          <w:szCs w:val="24"/>
          <w:highlight w:val="none"/>
        </w:rPr>
        <w:t>份，乙方执</w:t>
      </w:r>
      <w:r>
        <w:rPr>
          <w:rFonts w:hint="eastAsia" w:hAnsi="宋体"/>
          <w:sz w:val="24"/>
          <w:szCs w:val="24"/>
          <w:highlight w:val="none"/>
          <w:lang w:eastAsia="zh-CN"/>
        </w:rPr>
        <w:t>一</w:t>
      </w:r>
      <w:r>
        <w:rPr>
          <w:rFonts w:hint="eastAsia" w:hAnsi="宋体"/>
          <w:sz w:val="24"/>
          <w:szCs w:val="24"/>
          <w:highlight w:val="none"/>
        </w:rPr>
        <w:t>份。</w:t>
      </w:r>
    </w:p>
    <w:tbl>
      <w:tblPr>
        <w:tblStyle w:val="40"/>
        <w:tblW w:w="8407" w:type="dxa"/>
        <w:jc w:val="center"/>
        <w:tblInd w:w="0" w:type="dxa"/>
        <w:tblLayout w:type="fixed"/>
        <w:tblCellMar>
          <w:top w:w="0" w:type="dxa"/>
          <w:left w:w="28" w:type="dxa"/>
          <w:bottom w:w="0" w:type="dxa"/>
          <w:right w:w="28" w:type="dxa"/>
        </w:tblCellMar>
      </w:tblPr>
      <w:tblGrid>
        <w:gridCol w:w="4092"/>
        <w:gridCol w:w="4315"/>
      </w:tblGrid>
      <w:tr>
        <w:tblPrEx>
          <w:tblLayout w:type="fixed"/>
          <w:tblCellMar>
            <w:top w:w="0" w:type="dxa"/>
            <w:left w:w="28" w:type="dxa"/>
            <w:bottom w:w="0" w:type="dxa"/>
            <w:right w:w="28" w:type="dxa"/>
          </w:tblCellMar>
        </w:tblPrEx>
        <w:trPr>
          <w:trHeight w:val="515" w:hRule="atLeast"/>
          <w:jc w:val="center"/>
        </w:trPr>
        <w:tc>
          <w:tcPr>
            <w:tcW w:w="4092" w:type="dxa"/>
            <w:noWrap w:val="0"/>
            <w:vAlign w:val="center"/>
          </w:tcPr>
          <w:p>
            <w:pPr>
              <w:spacing w:line="300" w:lineRule="exact"/>
              <w:rPr>
                <w:rFonts w:hint="eastAsia" w:cs="宋体"/>
                <w:sz w:val="24"/>
                <w:szCs w:val="24"/>
                <w:highlight w:val="none"/>
              </w:rPr>
            </w:pPr>
          </w:p>
          <w:p>
            <w:pPr>
              <w:spacing w:line="300" w:lineRule="exact"/>
              <w:rPr>
                <w:rFonts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eastAsiaTheme="minorEastAsia"/>
                <w:sz w:val="24"/>
                <w:szCs w:val="24"/>
                <w:highlight w:val="none"/>
                <w:lang w:eastAsia="zh-CN"/>
              </w:rPr>
            </w:pPr>
            <w:r>
              <w:rPr>
                <w:rFonts w:hint="eastAsia" w:cs="宋体"/>
                <w:sz w:val="24"/>
                <w:szCs w:val="24"/>
                <w:highlight w:val="none"/>
              </w:rPr>
              <w:t>甲方：</w:t>
            </w:r>
          </w:p>
        </w:tc>
        <w:tc>
          <w:tcPr>
            <w:tcW w:w="4315" w:type="dxa"/>
            <w:noWrap w:val="0"/>
            <w:vAlign w:val="center"/>
          </w:tcPr>
          <w:p>
            <w:pPr>
              <w:spacing w:line="300" w:lineRule="exact"/>
              <w:rPr>
                <w:rFonts w:hint="eastAsia"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eastAsiaTheme="minorEastAsia"/>
                <w:sz w:val="24"/>
                <w:szCs w:val="24"/>
                <w:highlight w:val="none"/>
                <w:lang w:eastAsia="zh-CN"/>
              </w:rPr>
            </w:pPr>
            <w:r>
              <w:rPr>
                <w:rFonts w:hint="eastAsia" w:cs="宋体"/>
                <w:sz w:val="24"/>
                <w:szCs w:val="24"/>
                <w:highlight w:val="none"/>
              </w:rPr>
              <w:t xml:space="preserve">乙方： </w:t>
            </w:r>
            <w:r>
              <w:rPr>
                <w:rFonts w:hint="eastAsia"/>
                <w:sz w:val="24"/>
                <w:szCs w:val="24"/>
                <w:highlight w:val="none"/>
                <w:lang w:eastAsia="zh-CN"/>
              </w:rPr>
              <w:t>[供应商]</w:t>
            </w:r>
          </w:p>
        </w:tc>
      </w:tr>
      <w:tr>
        <w:tblPrEx>
          <w:tblLayout w:type="fixed"/>
          <w:tblCellMar>
            <w:top w:w="0" w:type="dxa"/>
            <w:left w:w="28" w:type="dxa"/>
            <w:bottom w:w="0" w:type="dxa"/>
            <w:right w:w="28" w:type="dxa"/>
          </w:tblCellMar>
        </w:tblPrEx>
        <w:trPr>
          <w:trHeight w:val="621" w:hRule="atLeast"/>
          <w:jc w:val="center"/>
        </w:trPr>
        <w:tc>
          <w:tcPr>
            <w:tcW w:w="4092" w:type="dxa"/>
            <w:noWrap w:val="0"/>
            <w:vAlign w:val="top"/>
          </w:tcPr>
          <w:p>
            <w:pPr>
              <w:spacing w:line="300" w:lineRule="exact"/>
              <w:ind w:firstLine="1200" w:firstLineChars="500"/>
              <w:rPr>
                <w:rFonts w:cs="宋体"/>
                <w:sz w:val="24"/>
                <w:szCs w:val="24"/>
                <w:highlight w:val="none"/>
              </w:rPr>
            </w:pPr>
          </w:p>
        </w:tc>
        <w:tc>
          <w:tcPr>
            <w:tcW w:w="4315" w:type="dxa"/>
            <w:noWrap w:val="0"/>
            <w:vAlign w:val="top"/>
          </w:tcPr>
          <w:p>
            <w:pPr>
              <w:spacing w:line="300" w:lineRule="exact"/>
              <w:rPr>
                <w:rFonts w:hint="eastAsia" w:cs="宋体"/>
                <w:sz w:val="24"/>
                <w:szCs w:val="24"/>
                <w:highlight w:val="none"/>
              </w:rPr>
            </w:pPr>
          </w:p>
        </w:tc>
      </w:tr>
      <w:tr>
        <w:tblPrEx>
          <w:tblLayout w:type="fixed"/>
          <w:tblCellMar>
            <w:top w:w="0" w:type="dxa"/>
            <w:left w:w="28" w:type="dxa"/>
            <w:bottom w:w="0" w:type="dxa"/>
            <w:right w:w="28" w:type="dxa"/>
          </w:tblCellMar>
        </w:tblPrEx>
        <w:trPr>
          <w:trHeight w:val="786" w:hRule="atLeast"/>
          <w:jc w:val="center"/>
        </w:trPr>
        <w:tc>
          <w:tcPr>
            <w:tcW w:w="4092" w:type="dxa"/>
            <w:noWrap w:val="0"/>
            <w:vAlign w:val="center"/>
          </w:tcPr>
          <w:p>
            <w:pPr>
              <w:spacing w:line="300" w:lineRule="exact"/>
              <w:rPr>
                <w:rFonts w:cs="宋体"/>
                <w:sz w:val="24"/>
                <w:szCs w:val="24"/>
                <w:highlight w:val="none"/>
              </w:rPr>
            </w:pPr>
          </w:p>
          <w:p>
            <w:pPr>
              <w:spacing w:line="300" w:lineRule="exact"/>
              <w:rPr>
                <w:rFonts w:cs="宋体"/>
                <w:sz w:val="24"/>
                <w:szCs w:val="24"/>
                <w:highlight w:val="none"/>
              </w:rPr>
            </w:pPr>
            <w:r>
              <w:rPr>
                <w:rFonts w:hint="eastAsia" w:cs="宋体"/>
                <w:sz w:val="24"/>
                <w:szCs w:val="24"/>
                <w:highlight w:val="none"/>
              </w:rPr>
              <w:t>法定代表人</w:t>
            </w:r>
          </w:p>
          <w:p>
            <w:pPr>
              <w:spacing w:line="300" w:lineRule="exact"/>
              <w:rPr>
                <w:rFonts w:cs="宋体"/>
                <w:sz w:val="24"/>
                <w:szCs w:val="24"/>
                <w:highlight w:val="none"/>
              </w:rPr>
            </w:pPr>
            <w:r>
              <w:rPr>
                <w:rFonts w:hint="eastAsia" w:cs="宋体"/>
                <w:sz w:val="24"/>
                <w:szCs w:val="24"/>
                <w:highlight w:val="none"/>
              </w:rPr>
              <w:t>或授权代表：</w:t>
            </w:r>
          </w:p>
        </w:tc>
        <w:tc>
          <w:tcPr>
            <w:tcW w:w="4315" w:type="dxa"/>
            <w:noWrap w:val="0"/>
            <w:vAlign w:val="center"/>
          </w:tcPr>
          <w:p>
            <w:pPr>
              <w:spacing w:line="300" w:lineRule="exact"/>
              <w:rPr>
                <w:rFonts w:hint="eastAsia" w:cs="宋体"/>
                <w:sz w:val="24"/>
                <w:szCs w:val="24"/>
                <w:highlight w:val="none"/>
              </w:rPr>
            </w:pPr>
          </w:p>
          <w:p>
            <w:pPr>
              <w:spacing w:line="300" w:lineRule="exact"/>
              <w:rPr>
                <w:rFonts w:hint="eastAsia" w:cs="宋体"/>
                <w:sz w:val="24"/>
                <w:szCs w:val="24"/>
                <w:highlight w:val="none"/>
              </w:rPr>
            </w:pPr>
          </w:p>
          <w:p>
            <w:pPr>
              <w:spacing w:line="300" w:lineRule="exact"/>
              <w:rPr>
                <w:rFonts w:hint="eastAsia" w:cs="宋体"/>
                <w:sz w:val="24"/>
                <w:szCs w:val="24"/>
                <w:highlight w:val="none"/>
              </w:rPr>
            </w:pPr>
            <w:r>
              <w:rPr>
                <w:rFonts w:hint="eastAsia" w:cs="宋体"/>
                <w:sz w:val="24"/>
                <w:szCs w:val="24"/>
                <w:highlight w:val="none"/>
              </w:rPr>
              <w:t>法定代表人</w:t>
            </w:r>
          </w:p>
          <w:p>
            <w:pPr>
              <w:spacing w:line="300" w:lineRule="exact"/>
              <w:rPr>
                <w:rFonts w:hint="eastAsia" w:cs="宋体"/>
                <w:sz w:val="24"/>
                <w:szCs w:val="24"/>
                <w:highlight w:val="none"/>
              </w:rPr>
            </w:pPr>
            <w:r>
              <w:rPr>
                <w:rFonts w:hint="eastAsia" w:cs="宋体"/>
                <w:sz w:val="24"/>
                <w:szCs w:val="24"/>
                <w:highlight w:val="none"/>
              </w:rPr>
              <w:t>或授权代表：</w:t>
            </w:r>
          </w:p>
          <w:p>
            <w:pPr>
              <w:spacing w:line="300" w:lineRule="exact"/>
              <w:rPr>
                <w:rFonts w:hint="eastAsia" w:cs="宋体"/>
                <w:sz w:val="24"/>
                <w:szCs w:val="24"/>
                <w:highlight w:val="none"/>
              </w:rPr>
            </w:pPr>
          </w:p>
        </w:tc>
      </w:tr>
      <w:tr>
        <w:tblPrEx>
          <w:tblLayout w:type="fixed"/>
          <w:tblCellMar>
            <w:top w:w="0" w:type="dxa"/>
            <w:left w:w="28" w:type="dxa"/>
            <w:bottom w:w="0" w:type="dxa"/>
            <w:right w:w="28" w:type="dxa"/>
          </w:tblCellMar>
        </w:tblPrEx>
        <w:trPr>
          <w:trHeight w:val="464" w:hRule="atLeast"/>
          <w:jc w:val="center"/>
        </w:trPr>
        <w:tc>
          <w:tcPr>
            <w:tcW w:w="4092" w:type="dxa"/>
            <w:noWrap w:val="0"/>
            <w:vAlign w:val="center"/>
          </w:tcPr>
          <w:p>
            <w:pPr>
              <w:spacing w:line="300" w:lineRule="exact"/>
              <w:rPr>
                <w:rFonts w:hint="eastAsia" w:eastAsia="宋体" w:cs="宋体"/>
                <w:sz w:val="24"/>
                <w:szCs w:val="24"/>
                <w:highlight w:val="none"/>
                <w:lang w:eastAsia="zh-CN"/>
              </w:rPr>
            </w:pPr>
            <w:r>
              <w:rPr>
                <w:rFonts w:hint="eastAsia" w:cs="宋体"/>
                <w:sz w:val="24"/>
                <w:szCs w:val="24"/>
                <w:highlight w:val="none"/>
              </w:rPr>
              <w:t>地址：</w:t>
            </w:r>
          </w:p>
        </w:tc>
        <w:tc>
          <w:tcPr>
            <w:tcW w:w="4315" w:type="dxa"/>
            <w:noWrap w:val="0"/>
            <w:vAlign w:val="center"/>
          </w:tcPr>
          <w:p>
            <w:pPr>
              <w:spacing w:line="300" w:lineRule="exact"/>
              <w:rPr>
                <w:rFonts w:hint="default" w:cs="宋体"/>
                <w:sz w:val="24"/>
                <w:szCs w:val="24"/>
                <w:highlight w:val="none"/>
                <w:lang w:val="en-US"/>
              </w:rPr>
            </w:pPr>
            <w:r>
              <w:rPr>
                <w:rFonts w:hint="eastAsia" w:cs="宋体"/>
                <w:sz w:val="24"/>
                <w:szCs w:val="24"/>
                <w:highlight w:val="none"/>
              </w:rPr>
              <w:t>地址</w:t>
            </w:r>
            <w:r>
              <w:rPr>
                <w:rFonts w:hint="eastAsia" w:cs="宋体"/>
                <w:sz w:val="24"/>
                <w:szCs w:val="24"/>
                <w:highlight w:val="none"/>
                <w:lang w:eastAsia="zh-CN"/>
              </w:rPr>
              <w:t>：</w:t>
            </w:r>
            <w:r>
              <w:rPr>
                <w:rFonts w:hint="eastAsia" w:cs="宋体"/>
                <w:sz w:val="24"/>
                <w:szCs w:val="24"/>
                <w:highlight w:val="none"/>
                <w:lang w:val="en-US" w:eastAsia="zh-CN"/>
              </w:rPr>
              <w:t>[乙方单位地址]</w:t>
            </w:r>
          </w:p>
        </w:tc>
      </w:tr>
      <w:tr>
        <w:tblPrEx>
          <w:tblLayout w:type="fixed"/>
          <w:tblCellMar>
            <w:top w:w="0" w:type="dxa"/>
            <w:left w:w="28" w:type="dxa"/>
            <w:bottom w:w="0" w:type="dxa"/>
            <w:right w:w="28" w:type="dxa"/>
          </w:tblCellMar>
        </w:tblPrEx>
        <w:trPr>
          <w:trHeight w:val="450" w:hRule="atLeast"/>
          <w:jc w:val="center"/>
        </w:trPr>
        <w:tc>
          <w:tcPr>
            <w:tcW w:w="4092" w:type="dxa"/>
            <w:noWrap w:val="0"/>
            <w:vAlign w:val="center"/>
          </w:tcPr>
          <w:p>
            <w:pPr>
              <w:spacing w:line="300" w:lineRule="exact"/>
              <w:rPr>
                <w:rFonts w:cs="宋体"/>
                <w:sz w:val="24"/>
                <w:szCs w:val="24"/>
                <w:highlight w:val="none"/>
              </w:rPr>
            </w:pPr>
            <w:r>
              <w:rPr>
                <w:rFonts w:hint="eastAsia" w:cs="宋体"/>
                <w:sz w:val="24"/>
                <w:szCs w:val="24"/>
                <w:highlight w:val="none"/>
              </w:rPr>
              <w:t>开户银行：</w:t>
            </w:r>
          </w:p>
        </w:tc>
        <w:tc>
          <w:tcPr>
            <w:tcW w:w="4315" w:type="dxa"/>
            <w:noWrap w:val="0"/>
            <w:vAlign w:val="center"/>
          </w:tcPr>
          <w:p>
            <w:pPr>
              <w:spacing w:line="300" w:lineRule="exact"/>
              <w:rPr>
                <w:rFonts w:hint="default" w:eastAsia="宋体" w:cs="宋体"/>
                <w:sz w:val="24"/>
                <w:szCs w:val="24"/>
                <w:highlight w:val="none"/>
                <w:lang w:val="en-US" w:eastAsia="zh-CN"/>
              </w:rPr>
            </w:pPr>
            <w:r>
              <w:rPr>
                <w:rFonts w:hint="eastAsia" w:cs="宋体"/>
                <w:sz w:val="24"/>
                <w:szCs w:val="24"/>
                <w:highlight w:val="none"/>
              </w:rPr>
              <w:t>开户银行：</w:t>
            </w:r>
            <w:r>
              <w:rPr>
                <w:rFonts w:hint="eastAsia" w:cs="宋体"/>
                <w:sz w:val="24"/>
                <w:szCs w:val="24"/>
                <w:highlight w:val="none"/>
                <w:lang w:val="en-US" w:eastAsia="zh-CN"/>
              </w:rPr>
              <w:t>[乙方-分行名称]</w:t>
            </w:r>
          </w:p>
        </w:tc>
      </w:tr>
      <w:tr>
        <w:tblPrEx>
          <w:tblLayout w:type="fixed"/>
          <w:tblCellMar>
            <w:top w:w="0" w:type="dxa"/>
            <w:left w:w="28" w:type="dxa"/>
            <w:bottom w:w="0" w:type="dxa"/>
            <w:right w:w="28" w:type="dxa"/>
          </w:tblCellMar>
        </w:tblPrEx>
        <w:trPr>
          <w:trHeight w:val="450" w:hRule="atLeast"/>
          <w:jc w:val="center"/>
        </w:trPr>
        <w:tc>
          <w:tcPr>
            <w:tcW w:w="4092" w:type="dxa"/>
            <w:noWrap w:val="0"/>
            <w:vAlign w:val="center"/>
          </w:tcPr>
          <w:p>
            <w:pPr>
              <w:spacing w:line="300" w:lineRule="exact"/>
              <w:rPr>
                <w:rFonts w:cs="宋体"/>
                <w:sz w:val="24"/>
                <w:szCs w:val="24"/>
                <w:highlight w:val="none"/>
              </w:rPr>
            </w:pPr>
            <w:r>
              <w:rPr>
                <w:rFonts w:hint="eastAsia" w:cs="宋体"/>
                <w:sz w:val="24"/>
                <w:szCs w:val="24"/>
                <w:highlight w:val="none"/>
              </w:rPr>
              <w:t>账号：</w:t>
            </w:r>
          </w:p>
        </w:tc>
        <w:tc>
          <w:tcPr>
            <w:tcW w:w="4315" w:type="dxa"/>
            <w:noWrap w:val="0"/>
            <w:vAlign w:val="center"/>
          </w:tcPr>
          <w:p>
            <w:pPr>
              <w:spacing w:line="300" w:lineRule="exact"/>
              <w:rPr>
                <w:rFonts w:hint="default" w:eastAsia="宋体" w:cs="宋体"/>
                <w:sz w:val="24"/>
                <w:szCs w:val="24"/>
                <w:highlight w:val="none"/>
                <w:lang w:val="en-US" w:eastAsia="zh-CN"/>
              </w:rPr>
            </w:pPr>
            <w:r>
              <w:rPr>
                <w:rFonts w:hint="eastAsia" w:cs="宋体"/>
                <w:sz w:val="24"/>
                <w:szCs w:val="24"/>
                <w:highlight w:val="none"/>
              </w:rPr>
              <w:t>账号：</w:t>
            </w:r>
            <w:r>
              <w:rPr>
                <w:rFonts w:hint="eastAsia" w:cs="宋体"/>
                <w:sz w:val="24"/>
                <w:szCs w:val="24"/>
                <w:highlight w:val="none"/>
                <w:lang w:val="en-US" w:eastAsia="zh-CN"/>
              </w:rPr>
              <w:t>[乙方-开户行账户]</w:t>
            </w:r>
          </w:p>
        </w:tc>
      </w:tr>
    </w:tbl>
    <w:p>
      <w:pPr>
        <w:spacing w:line="400" w:lineRule="exact"/>
        <w:ind w:firstLine="5040" w:firstLineChars="2100"/>
        <w:jc w:val="both"/>
        <w:rPr>
          <w:sz w:val="24"/>
          <w:szCs w:val="24"/>
          <w:highlight w:val="none"/>
        </w:rPr>
      </w:pPr>
      <w:r>
        <w:rPr>
          <w:rFonts w:hint="eastAsia"/>
          <w:sz w:val="24"/>
          <w:szCs w:val="24"/>
          <w:highlight w:val="none"/>
        </w:rPr>
        <w:t>签订日期：</w:t>
      </w:r>
      <w:r>
        <w:rPr>
          <w:rFonts w:hint="eastAsia"/>
          <w:sz w:val="24"/>
          <w:szCs w:val="24"/>
          <w:highlight w:val="none"/>
          <w:lang w:val="en-US" w:eastAsia="zh-CN"/>
        </w:rPr>
        <w:t xml:space="preserve">    </w:t>
      </w:r>
      <w:r>
        <w:rPr>
          <w:rFonts w:hint="eastAsia"/>
          <w:sz w:val="24"/>
          <w:szCs w:val="24"/>
          <w:highlight w:val="none"/>
        </w:rPr>
        <w:t>年</w:t>
      </w:r>
      <w:r>
        <w:rPr>
          <w:sz w:val="24"/>
          <w:szCs w:val="24"/>
          <w:highlight w:val="none"/>
        </w:rPr>
        <w:t xml:space="preserve"> </w:t>
      </w:r>
      <w:r>
        <w:rPr>
          <w:rFonts w:hint="eastAsia"/>
          <w:sz w:val="24"/>
          <w:szCs w:val="24"/>
          <w:highlight w:val="none"/>
          <w:lang w:val="en-US" w:eastAsia="zh-CN"/>
        </w:rPr>
        <w:t xml:space="preserve"> </w:t>
      </w:r>
      <w:r>
        <w:rPr>
          <w:sz w:val="24"/>
          <w:szCs w:val="24"/>
          <w:highlight w:val="none"/>
        </w:rPr>
        <w:t xml:space="preserve"> </w:t>
      </w:r>
      <w:r>
        <w:rPr>
          <w:rFonts w:hint="eastAsia"/>
          <w:sz w:val="24"/>
          <w:szCs w:val="24"/>
          <w:highlight w:val="none"/>
        </w:rPr>
        <w:t>月 </w:t>
      </w:r>
      <w:r>
        <w:rPr>
          <w:sz w:val="24"/>
          <w:szCs w:val="24"/>
          <w:highlight w:val="none"/>
        </w:rPr>
        <w:t xml:space="preserve"> </w:t>
      </w:r>
      <w:r>
        <w:rPr>
          <w:rFonts w:hint="eastAsia"/>
          <w:sz w:val="24"/>
          <w:szCs w:val="24"/>
          <w:highlight w:val="none"/>
        </w:rPr>
        <w:t>  日</w:t>
      </w:r>
    </w:p>
    <w:p>
      <w:pPr>
        <w:rPr>
          <w:rFonts w:hint="eastAsia"/>
          <w:sz w:val="24"/>
          <w:szCs w:val="24"/>
          <w:highlight w:val="none"/>
        </w:rPr>
      </w:pPr>
      <w:r>
        <w:rPr>
          <w:rFonts w:hint="eastAsia"/>
          <w:sz w:val="24"/>
          <w:szCs w:val="24"/>
          <w:highlight w:val="none"/>
        </w:rPr>
        <w:t xml:space="preserve">                                </w:t>
      </w:r>
      <w:r>
        <w:rPr>
          <w:sz w:val="24"/>
          <w:szCs w:val="24"/>
          <w:highlight w:val="none"/>
        </w:rPr>
        <w:t xml:space="preserve">          </w:t>
      </w:r>
      <w:r>
        <w:rPr>
          <w:rFonts w:hint="eastAsia"/>
          <w:sz w:val="24"/>
          <w:szCs w:val="24"/>
          <w:highlight w:val="none"/>
        </w:rPr>
        <w:t>签订地点：</w:t>
      </w: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lang w:val="en-US" w:eastAsia="zh-CN" w:bidi="ar"/>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62" w:firstLineChars="200"/>
        <w:jc w:val="center"/>
        <w:textAlignment w:val="auto"/>
        <w:rPr>
          <w:rFonts w:hint="eastAsia" w:ascii="楷体" w:hAnsi="楷体" w:eastAsia="楷体" w:cs="楷体"/>
          <w:b/>
          <w:bCs/>
          <w:sz w:val="28"/>
          <w:szCs w:val="28"/>
          <w:lang w:val="en-US" w:eastAsia="zh-CN"/>
        </w:rPr>
      </w:pPr>
    </w:p>
    <w:p>
      <w:pPr>
        <w:keepNext w:val="0"/>
        <w:keepLines w:val="0"/>
        <w:widowControl w:val="0"/>
        <w:suppressLineNumbers w:val="0"/>
        <w:autoSpaceDE w:val="0"/>
        <w:autoSpaceDN/>
        <w:spacing w:before="0" w:beforeAutospacing="0" w:after="0" w:afterAutospacing="0" w:line="560" w:lineRule="exact"/>
        <w:ind w:left="0" w:leftChars="0" w:right="0"/>
        <w:jc w:val="center"/>
        <w:rPr>
          <w:rFonts w:hint="eastAsia" w:ascii="楷体" w:hAnsi="楷体" w:eastAsia="楷体" w:cs="楷体"/>
          <w:color w:val="000000"/>
          <w:kern w:val="2"/>
          <w:sz w:val="36"/>
          <w:szCs w:val="36"/>
        </w:rPr>
      </w:pPr>
      <w:r>
        <w:rPr>
          <w:rFonts w:hint="eastAsia" w:ascii="楷体" w:hAnsi="楷体" w:eastAsia="楷体" w:cs="楷体"/>
          <w:color w:val="000000"/>
          <w:kern w:val="2"/>
          <w:sz w:val="36"/>
          <w:szCs w:val="36"/>
          <w:lang w:val="en-US" w:eastAsia="zh-CN" w:bidi="ar"/>
        </w:rPr>
        <w:t>供需廉洁互保协议</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甲方（需方）：</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kern w:val="2"/>
          <w:sz w:val="28"/>
          <w:szCs w:val="28"/>
        </w:rPr>
      </w:pPr>
      <w:r>
        <w:rPr>
          <w:rFonts w:hint="eastAsia" w:ascii="楷体" w:hAnsi="楷体" w:eastAsia="楷体" w:cs="楷体"/>
          <w:color w:val="000000"/>
          <w:kern w:val="2"/>
          <w:sz w:val="28"/>
          <w:szCs w:val="28"/>
          <w:lang w:val="en-US" w:eastAsia="zh-CN" w:bidi="ar"/>
        </w:rPr>
        <w:t>乙方（供方）：</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乙方1：</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乙方2：</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为预防商业贿赂和不正当竞争，规范供需双方业务往来活动，建立诚实守信的商务合作关系，共同维护各方合法权益，防止违规违纪行为发生，经友好协商，各方就业务往来中的廉洁事宜达成此互保协议。</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第一条</w:t>
      </w:r>
      <w:r>
        <w:rPr>
          <w:rFonts w:hint="eastAsia" w:ascii="楷体" w:hAnsi="楷体" w:eastAsia="楷体" w:cs="楷体"/>
          <w:color w:val="000000"/>
          <w:kern w:val="2"/>
          <w:sz w:val="28"/>
          <w:szCs w:val="28"/>
          <w:lang w:val="en-US" w:eastAsia="zh-CN" w:bidi="ar"/>
        </w:rPr>
        <w:t xml:space="preserve">  甲、乙双方共同的权利和义务</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1.严格遵守国家有关法律法规，坚持诚实守信原则，恪守商业道德，规范工作人员廉洁从业行为。</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2.双方业务活动坚持公开、公正、诚信、透明的原则（商业秘密和合同文件另有规定的除外），不得损害国家和集体利益。</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3.发现对方工作人员在业务活动中有违反廉洁规定的行为，有及时要求对方纠正并向对方举报的权利和义务；涉嫌违法的，可以依法向有关部门举报。</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4.对涉嫌不廉洁的商业行为进行调查时，双方有相互配合、提供证据、作证的义务。</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5.未经对方同意，不向任何新闻媒体、第三人</w:t>
      </w:r>
      <w:bookmarkStart w:id="41" w:name="FunCunProofread7952"/>
      <w:r>
        <w:rPr>
          <w:rFonts w:hint="eastAsia" w:ascii="楷体" w:hAnsi="楷体" w:eastAsia="楷体" w:cs="楷体"/>
          <w:color w:val="000000"/>
          <w:kern w:val="2"/>
          <w:sz w:val="28"/>
          <w:szCs w:val="28"/>
          <w:u w:val="none" w:color="ED7D31"/>
          <w:lang w:val="en-US" w:eastAsia="zh-CN" w:bidi="ar"/>
        </w:rPr>
        <w:t>述及</w:t>
      </w:r>
      <w:bookmarkEnd w:id="41"/>
      <w:r>
        <w:rPr>
          <w:rFonts w:hint="eastAsia" w:ascii="楷体" w:hAnsi="楷体" w:eastAsia="楷体" w:cs="楷体"/>
          <w:color w:val="000000"/>
          <w:kern w:val="2"/>
          <w:sz w:val="28"/>
          <w:szCs w:val="28"/>
          <w:lang w:val="en-US" w:eastAsia="zh-CN" w:bidi="ar"/>
        </w:rPr>
        <w:t>有关对方工作人员恪守商业道德方面的评价、信息。</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6.双方应依法保护举报人员，不得以任何方式对举报人员进行打击报复。</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第二条</w:t>
      </w:r>
      <w:r>
        <w:rPr>
          <w:rFonts w:hint="eastAsia" w:ascii="楷体" w:hAnsi="楷体" w:eastAsia="楷体" w:cs="楷体"/>
          <w:color w:val="000000"/>
          <w:kern w:val="2"/>
          <w:sz w:val="28"/>
          <w:szCs w:val="28"/>
          <w:lang w:val="en-US" w:eastAsia="zh-CN" w:bidi="ar"/>
        </w:rPr>
        <w:t xml:space="preserve">  甲方的廉洁责任</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甲方工作人员及其配偶、子女、其他特定关系人不得以任何形式索要或接受乙方回扣、礼品、礼金和有价证券等财物，不得以借用名义占用乙方或其工作人员提供的财物，不得在乙方报销或要求乙方或其工作人员支付任何应由其个人支付的各种费用。</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2.甲方工作人员及其配偶、子女、其他特定关系人不得要求或者接受乙方以住房装修、婚丧嫁娶、家属及其他亲属的工作安排、出国出境、旅游等为理由所提供的方便。</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3.甲方工作人员及其配偶、子女、其他特定关系人不得通过向乙方或其工作人员以明显低于市场的价格购买或者以明显高于市场的价格出售房屋、汽车等，获取不正当利益。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4.甲方工作人员及其配偶、子女、其他特定关系人不得以委托乙方或其工作人员投资证券、期货或者其他委托理财名义，获取不正当利益。</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5.甲方工作人员不得私自参加乙方安排的宴请，不得私自接受乙方提供的通讯、交通工具和办公用品，不得向乙方泄露谈判中的商业秘密。</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6.甲方工作人员不得以任何理由向乙方推荐物资、服务供应单位、工程承包或劳务分包单位，合同另有约定除外。</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第三条</w:t>
      </w:r>
      <w:r>
        <w:rPr>
          <w:rFonts w:hint="eastAsia" w:ascii="楷体" w:hAnsi="楷体" w:eastAsia="楷体" w:cs="楷体"/>
          <w:color w:val="000000"/>
          <w:kern w:val="2"/>
          <w:sz w:val="28"/>
          <w:szCs w:val="28"/>
          <w:lang w:val="en-US" w:eastAsia="zh-CN" w:bidi="ar"/>
        </w:rPr>
        <w:t xml:space="preserve">  乙方的廉洁责任</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1.乙方及其工作人员不得为甲方工作人员及其配偶、子女、其他特定关系人提供回扣、礼品、礼金、有价证券等财物，或报销、支付任何个人费用。</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2.乙方及其工作人员不得为甲方工作人员及其配偶、子女、其他特定关系人安排有可能影响公平、公正交易的宴请、健身、娱乐等活动。</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3.乙方及其工作人员不得为甲方工作人员及其配偶、子女、其他特定关系人投资入股、个人借款或买卖股票、债券等提供方便。</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4.乙方及其工作人员不得为甲方工作人员及其配偶、子女、其他特定关系人购买或装修住房、婚丧嫁娶、配偶子女上学或工作安排以及出国出境、旅游等提供方便。</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5.乙方及其工作人员不得为甲方工作人员及其配偶、子女、其他特定关系人在其相关企业挂名兼职、合伙经营、介绍承揽业务等提供方便。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560" w:firstLineChars="200"/>
        <w:jc w:val="left"/>
        <w:textAlignment w:val="auto"/>
        <w:rPr>
          <w:rFonts w:hint="eastAsia" w:ascii="楷体" w:hAnsi="楷体" w:eastAsia="楷体" w:cs="楷体"/>
          <w:color w:val="000000"/>
          <w:kern w:val="2"/>
          <w:sz w:val="28"/>
          <w:szCs w:val="28"/>
          <w:lang w:val="en-US" w:eastAsia="zh-CN" w:bidi="ar"/>
        </w:rPr>
      </w:pPr>
      <w:r>
        <w:rPr>
          <w:rFonts w:hint="eastAsia" w:ascii="楷体" w:hAnsi="楷体" w:eastAsia="楷体" w:cs="楷体"/>
          <w:color w:val="000000"/>
          <w:kern w:val="2"/>
          <w:sz w:val="28"/>
          <w:szCs w:val="28"/>
          <w:lang w:val="en-US" w:eastAsia="zh-CN" w:bidi="ar"/>
        </w:rPr>
        <w:t>6.乙方及其工作人员不得利用非法手段向甲方工作人员打探有关涉及甲方的商业秘密、业务渠道等。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560" w:firstLineChars="200"/>
        <w:jc w:val="left"/>
        <w:textAlignment w:val="auto"/>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7.乙方及其工作人员与甲方发生业务往来过程中，不得有弄虚作假、以次充好、虚结虚算等违反诚信原则的行为。</w:t>
      </w:r>
    </w:p>
    <w:p>
      <w:pPr>
        <w:keepNext w:val="0"/>
        <w:keepLines w:val="0"/>
        <w:widowControl/>
        <w:suppressLineNumbers w:val="0"/>
        <w:autoSpaceDE w:val="0"/>
        <w:autoSpaceDN/>
        <w:spacing w:before="0" w:beforeAutospacing="0" w:after="0" w:afterAutospacing="0" w:line="560" w:lineRule="exact"/>
        <w:ind w:left="0" w:leftChars="0" w:right="0" w:firstLine="560" w:firstLineChars="200"/>
        <w:jc w:val="left"/>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8.其他违反廉洁规定的行为。</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第四条</w:t>
      </w:r>
      <w:r>
        <w:rPr>
          <w:rFonts w:hint="eastAsia" w:ascii="楷体" w:hAnsi="楷体" w:eastAsia="楷体" w:cs="楷体"/>
          <w:color w:val="000000"/>
          <w:kern w:val="2"/>
          <w:sz w:val="28"/>
          <w:szCs w:val="28"/>
          <w:lang w:val="en-US" w:eastAsia="zh-CN" w:bidi="ar"/>
        </w:rPr>
        <w:t xml:space="preserve">  甲方工作人员有违反本协议行为的，甲方按照有关法律法规、规章及企业规章制度对该工作人员进行组织处理、处分；如该工作人员涉嫌犯罪的，移送国家监察机关或司法机关查处。</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 xml:space="preserve">第五条 </w:t>
      </w:r>
      <w:r>
        <w:rPr>
          <w:rFonts w:hint="eastAsia" w:ascii="楷体" w:hAnsi="楷体" w:eastAsia="楷体" w:cs="楷体"/>
          <w:color w:val="000000"/>
          <w:kern w:val="2"/>
          <w:sz w:val="28"/>
          <w:szCs w:val="28"/>
          <w:lang w:val="en-US" w:eastAsia="zh-CN" w:bidi="ar"/>
        </w:rPr>
        <w:t xml:space="preserve"> 监督与举报</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双方均有权对对方在业务往来中的廉洁情况进行监督，并鼓励员工对发现的违反廉洁规定的行为进行举报。</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举报渠道：</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甲方设立举报电话：[0359-2311117]，举报邮箱：[zmhjjw@163.com]，接收乙方及社会各界对甲方员工违反廉洁规定行为的举报。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乙方设立举报电话：[乙方举报电话]，举报邮箱：[乙方举报邮箱]，接收甲方及社会各界对乙方员工违反廉洁规定行为的举报。</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举报处理：</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接到举报后，双方应对举报内容进行调查或核实。如确有违反廉洁规定的行为，应依据本单位的相关规定对违规人员进行严肃处理，并及时将处理结果告知对方。</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对于举报人的信息，双方应严格保密，严禁对举报人进行打击报复。如发现有打击报复举报人行为的，将依法追究相关人员的法律责任。</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 xml:space="preserve">第六条  </w:t>
      </w:r>
      <w:r>
        <w:rPr>
          <w:rFonts w:hint="eastAsia" w:ascii="楷体" w:hAnsi="楷体" w:eastAsia="楷体" w:cs="楷体"/>
          <w:color w:val="000000"/>
          <w:kern w:val="2"/>
          <w:sz w:val="28"/>
          <w:szCs w:val="28"/>
          <w:lang w:val="en-US" w:eastAsia="zh-CN" w:bidi="ar"/>
        </w:rPr>
        <w:t>乙方及其工作人员有违反本协议行为的，视其情节严重性按照如下条款执行：</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1.情节轻微的，甲方有权要求乙方限期整改。</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情节严重的，甲方有权要求乙方支付合同金额20%的违约金，违约金不足以弥补甲方损失的，甲方有权要求乙方承担赔偿责任，直至甲方损失全部得到弥补。同时，甲方有权解除、终止尚未履行完毕的所有合同及订单并将乙方列入供应商黑名单，乙方因甲方解除合同、订单产生的损失由乙方自行承担。本条所述情节严重的包括但不限于以下情形：</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（1）导致甲方或其工作人员受到组织处理、处分或构成违法犯罪的；</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（2）给甲方造成重大社会影响的，如省级以上媒体发布甲方的负面报道；相关网络信息实际被点击、浏览次数达到两千五百次以上，或者被转发次数达到二百五十次以上；</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（3）给甲方或所属企业造成重大经济损失达到100万以上的。</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kern w:val="2"/>
          <w:sz w:val="28"/>
          <w:szCs w:val="28"/>
        </w:rPr>
      </w:pPr>
      <w:r>
        <w:rPr>
          <w:rFonts w:hint="eastAsia" w:ascii="楷体" w:hAnsi="楷体" w:eastAsia="楷体" w:cs="楷体"/>
          <w:color w:val="000000"/>
          <w:kern w:val="2"/>
          <w:sz w:val="28"/>
          <w:szCs w:val="28"/>
          <w:lang w:val="en-US" w:eastAsia="zh-CN" w:bidi="ar"/>
        </w:rPr>
        <w:t>本条所述的违约金、损失赔偿金甲方有权从给乙方的应付款中扣除，不足部分由乙方在接到甲方书面通知之日起7个自然日内一次性支付给甲方。</w:t>
      </w:r>
    </w:p>
    <w:p>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楷体" w:hAnsi="楷体" w:eastAsia="楷体" w:cs="楷体"/>
          <w:color w:val="000000"/>
          <w:kern w:val="2"/>
          <w:sz w:val="28"/>
          <w:szCs w:val="28"/>
        </w:rPr>
      </w:pPr>
      <w:r>
        <w:rPr>
          <w:rFonts w:hint="eastAsia" w:ascii="楷体" w:hAnsi="楷体" w:eastAsia="楷体" w:cs="楷体"/>
          <w:b/>
          <w:bCs/>
          <w:color w:val="000000"/>
          <w:kern w:val="2"/>
          <w:sz w:val="28"/>
          <w:szCs w:val="28"/>
          <w:lang w:val="en-US" w:eastAsia="zh-CN" w:bidi="ar"/>
        </w:rPr>
        <w:t>第七条</w:t>
      </w:r>
      <w:r>
        <w:rPr>
          <w:rFonts w:hint="eastAsia" w:ascii="楷体" w:hAnsi="楷体" w:eastAsia="楷体" w:cs="楷体"/>
          <w:color w:val="000000"/>
          <w:kern w:val="2"/>
          <w:sz w:val="28"/>
          <w:szCs w:val="28"/>
          <w:lang w:val="en-US" w:eastAsia="zh-CN" w:bidi="ar"/>
        </w:rPr>
        <w:t xml:space="preserve">  其他</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1.本协议作为双方签订的所有业务合同的组成部分，与业务合同具有同等法律效力。</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2.本协议乙方为一个单位或组织的，为单一“乙方”；本协议乙方为两个或两个以上单位或组织的，合称“乙方”，任一乙方对另外其他乙方的违约行为承担连带赔偿责任。</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left"/>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3.本协议所述“合同金额”指甲方已付及应付未付的合同价款总和，包括：（1）供需标的明确的采购合同的合同总额；（2）长期供货合同项下自首笔订单交易起至出现本协议第五条所述情节严重情形之日止（</w:t>
      </w:r>
      <w:r>
        <w:rPr>
          <w:rFonts w:hint="eastAsia" w:ascii="楷体" w:hAnsi="楷体" w:eastAsia="楷体" w:cs="楷体"/>
          <w:b w:val="0"/>
          <w:bCs w:val="0"/>
          <w:i w:val="0"/>
          <w:iCs w:val="0"/>
          <w:color w:val="000000"/>
          <w:kern w:val="2"/>
          <w:sz w:val="28"/>
          <w:szCs w:val="28"/>
          <w:lang w:val="en-US" w:eastAsia="zh-CN" w:bidi="ar"/>
        </w:rPr>
        <w:t>以甲方作出处理决定或正式通知之日，国家审计机构出具审计报告之日，以及公检法、国家纪检监察等机关立案通知之日为标志）</w:t>
      </w:r>
      <w:r>
        <w:rPr>
          <w:rFonts w:hint="eastAsia" w:ascii="楷体" w:hAnsi="楷体" w:eastAsia="楷体" w:cs="楷体"/>
          <w:color w:val="000000"/>
          <w:kern w:val="2"/>
          <w:sz w:val="28"/>
          <w:szCs w:val="28"/>
          <w:lang w:val="en-US" w:eastAsia="zh-CN" w:bidi="ar"/>
        </w:rPr>
        <w:t>，甲、乙双方之间已发生的所有订单交易总额。</w:t>
      </w:r>
    </w:p>
    <w:p>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4.本协议自双方法定代表人或其授权代表签署并加盖合同章或公章后生效，有效期与业务合同有效期一致，但有效期内发生的违约和违法违规违纪行为在有效期后发现的，仍适用本协议。</w:t>
      </w:r>
    </w:p>
    <w:p>
      <w:pPr>
        <w:keepNext w:val="0"/>
        <w:keepLines w:val="0"/>
        <w:widowControl w:val="0"/>
        <w:suppressLineNumbers w:val="0"/>
        <w:autoSpaceDE w:val="0"/>
        <w:autoSpaceDN/>
        <w:spacing w:before="0" w:beforeAutospacing="0" w:after="0" w:afterAutospacing="0" w:line="560" w:lineRule="exact"/>
        <w:ind w:left="4886" w:leftChars="0" w:right="0" w:hanging="4886" w:hangingChars="1745"/>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甲方（盖章）：                  乙方（盖章）：</w:t>
      </w:r>
    </w:p>
    <w:p>
      <w:pPr>
        <w:keepNext w:val="0"/>
        <w:keepLines w:val="0"/>
        <w:widowControl w:val="0"/>
        <w:suppressLineNumbers w:val="0"/>
        <w:autoSpaceDE w:val="0"/>
        <w:autoSpaceDN/>
        <w:spacing w:before="0" w:beforeAutospacing="0" w:after="0" w:afterAutospacing="0" w:line="560" w:lineRule="exact"/>
        <w:ind w:left="4886" w:leftChars="0" w:right="0" w:hanging="4886" w:hangingChars="1745"/>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授权代表（甲方签名）：          授权代表（乙方签名）：</w:t>
      </w:r>
    </w:p>
    <w:p>
      <w:pPr>
        <w:keepNext w:val="0"/>
        <w:keepLines w:val="0"/>
        <w:widowControl w:val="0"/>
        <w:suppressLineNumbers w:val="0"/>
        <w:autoSpaceDE w:val="0"/>
        <w:autoSpaceDN/>
        <w:spacing w:before="0" w:beforeAutospacing="0" w:after="0" w:afterAutospacing="0" w:line="560" w:lineRule="exact"/>
        <w:ind w:left="4886" w:leftChars="0" w:right="0" w:hanging="4886" w:hangingChars="1745"/>
        <w:jc w:val="both"/>
        <w:rPr>
          <w:rFonts w:hint="eastAsia" w:ascii="楷体" w:hAnsi="楷体" w:eastAsia="楷体" w:cs="楷体"/>
          <w:color w:val="000000"/>
          <w:kern w:val="2"/>
          <w:sz w:val="28"/>
          <w:szCs w:val="28"/>
        </w:rPr>
      </w:pPr>
      <w:r>
        <w:rPr>
          <w:rFonts w:hint="eastAsia" w:ascii="楷体" w:hAnsi="楷体" w:eastAsia="楷体" w:cs="楷体"/>
          <w:color w:val="000000"/>
          <w:kern w:val="2"/>
          <w:sz w:val="28"/>
          <w:szCs w:val="28"/>
          <w:lang w:val="en-US" w:eastAsia="zh-CN" w:bidi="ar"/>
        </w:rPr>
        <w:t>地址：                         地址：</w:t>
      </w:r>
    </w:p>
    <w:p>
      <w:pPr>
        <w:keepNext w:val="0"/>
        <w:keepLines w:val="0"/>
        <w:widowControl w:val="0"/>
        <w:suppressLineNumbers w:val="0"/>
        <w:autoSpaceDE w:val="0"/>
        <w:autoSpaceDN/>
        <w:spacing w:before="0" w:beforeAutospacing="0" w:after="0" w:afterAutospacing="0" w:line="560" w:lineRule="exact"/>
        <w:ind w:left="0" w:leftChars="0" w:right="0"/>
        <w:jc w:val="both"/>
        <w:rPr>
          <w:rFonts w:hint="eastAsia" w:ascii="楷体" w:hAnsi="楷体" w:eastAsia="楷体" w:cs="楷体"/>
          <w:kern w:val="2"/>
          <w:sz w:val="28"/>
          <w:szCs w:val="28"/>
        </w:rPr>
      </w:pPr>
      <w:r>
        <w:rPr>
          <w:rFonts w:hint="eastAsia" w:ascii="楷体" w:hAnsi="楷体" w:eastAsia="楷体" w:cs="楷体"/>
          <w:color w:val="000000"/>
          <w:kern w:val="2"/>
          <w:sz w:val="28"/>
          <w:szCs w:val="28"/>
          <w:lang w:val="en-US" w:eastAsia="zh-CN" w:bidi="ar"/>
        </w:rPr>
        <w:t>电话：                         电话：</w:t>
      </w:r>
    </w:p>
    <w:p>
      <w:pPr>
        <w:pStyle w:val="2"/>
        <w:spacing w:line="240" w:lineRule="auto"/>
        <w:jc w:val="center"/>
        <w:rPr>
          <w:rFonts w:hint="eastAsia" w:ascii="楷体" w:hAnsi="楷体" w:eastAsia="楷体" w:cs="楷体"/>
          <w:color w:val="000000"/>
          <w:sz w:val="36"/>
          <w:szCs w:val="36"/>
          <w:lang w:val="en-US" w:eastAsia="zh-CN"/>
        </w:rPr>
      </w:pPr>
      <w:bookmarkStart w:id="42" w:name="_Toc246997081"/>
      <w:bookmarkStart w:id="43" w:name="_Toc7579"/>
      <w:bookmarkStart w:id="44" w:name="_Toc246996338"/>
      <w:bookmarkStart w:id="45" w:name="_Toc247085853"/>
      <w:bookmarkStart w:id="46" w:name="_Toc179632787"/>
      <w:bookmarkStart w:id="47" w:name="_Toc184635122"/>
      <w:bookmarkStart w:id="48" w:name="_Toc144974829"/>
      <w:bookmarkStart w:id="49" w:name="_Toc144974578"/>
      <w:bookmarkStart w:id="50" w:name="_Toc300835199"/>
      <w:bookmarkStart w:id="51" w:name="_Toc152042388"/>
      <w:bookmarkStart w:id="52" w:name="_Toc247527798"/>
      <w:bookmarkStart w:id="53" w:name="_Toc152042549"/>
      <w:bookmarkStart w:id="54" w:name="_Toc152045610"/>
      <w:bookmarkStart w:id="55" w:name="_Toc247514197"/>
      <w:r>
        <w:rPr>
          <w:rFonts w:hint="eastAsia" w:ascii="楷体" w:hAnsi="楷体" w:eastAsia="楷体" w:cs="楷体"/>
          <w:color w:val="000000"/>
          <w:sz w:val="36"/>
          <w:szCs w:val="36"/>
          <w:lang w:val="en-US" w:eastAsia="zh-CN"/>
        </w:rPr>
        <w:t>第四章 技术要求</w:t>
      </w:r>
      <w:bookmarkEnd w:id="42"/>
      <w:bookmarkEnd w:id="43"/>
      <w:bookmarkEnd w:id="44"/>
      <w:bookmarkEnd w:id="45"/>
      <w:bookmarkEnd w:id="46"/>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楷体" w:hAnsi="楷体" w:eastAsia="楷体" w:cs="楷体"/>
          <w:b/>
          <w:bCs/>
          <w:sz w:val="36"/>
          <w:szCs w:val="32"/>
          <w:lang w:val="en-US" w:eastAsia="zh-CN"/>
        </w:rPr>
      </w:pPr>
      <w:r>
        <w:rPr>
          <w:rFonts w:hint="eastAsia" w:ascii="楷体" w:hAnsi="楷体" w:eastAsia="楷体" w:cs="楷体"/>
          <w:b/>
          <w:bCs/>
          <w:sz w:val="36"/>
          <w:szCs w:val="32"/>
          <w:lang w:val="en-US" w:eastAsia="zh-CN"/>
        </w:rPr>
        <w:t>详见技术规格书</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eastAsia" w:ascii="Times New Roman" w:hAnsi="Times New Roman"/>
          <w:lang w:val="en-US" w:eastAsia="zh-CN"/>
        </w:rPr>
      </w:pPr>
    </w:p>
    <w:bookmarkEnd w:id="47"/>
    <w:bookmarkEnd w:id="48"/>
    <w:bookmarkEnd w:id="49"/>
    <w:bookmarkEnd w:id="50"/>
    <w:bookmarkEnd w:id="51"/>
    <w:bookmarkEnd w:id="52"/>
    <w:bookmarkEnd w:id="53"/>
    <w:bookmarkEnd w:id="54"/>
    <w:bookmarkEnd w:id="55"/>
    <w:p>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pPr>
        <w:pStyle w:val="2"/>
        <w:spacing w:line="240" w:lineRule="auto"/>
        <w:jc w:val="center"/>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val="en-US" w:eastAsia="zh-CN"/>
        </w:rPr>
        <w:t>第五章 报价文件</w:t>
      </w:r>
    </w:p>
    <w:p>
      <w:pPr>
        <w:snapToGrid w:val="0"/>
        <w:rPr>
          <w:rFonts w:hint="eastAsia" w:ascii="楷体_GB2312" w:eastAsia="楷体_GB2312"/>
          <w:b/>
          <w:bCs/>
          <w:color w:val="000000"/>
          <w:sz w:val="52"/>
          <w:szCs w:val="52"/>
        </w:rPr>
      </w:pPr>
      <w:r>
        <w:br w:type="page"/>
      </w:r>
    </w:p>
    <w:p>
      <w:pPr>
        <w:snapToGrid w:val="0"/>
        <w:jc w:val="center"/>
        <w:rPr>
          <w:rFonts w:hint="eastAsia" w:ascii="宋体" w:hAnsi="宋体" w:eastAsia="宋体" w:cs="宋体"/>
          <w:b/>
          <w:bCs/>
          <w:color w:val="000000"/>
          <w:sz w:val="52"/>
          <w:szCs w:val="52"/>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eastAsia="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color w:val="000000"/>
          <w:sz w:val="44"/>
          <w:szCs w:val="44"/>
          <w:lang w:eastAsia="zh-CN"/>
        </w:rPr>
        <w:t>（</w:t>
      </w:r>
      <w:r>
        <w:rPr>
          <w:rFonts w:hint="eastAsia" w:ascii="宋体" w:hAnsi="宋体" w:cs="宋体"/>
          <w:b w:val="0"/>
          <w:bCs w:val="0"/>
          <w:color w:val="000000"/>
          <w:sz w:val="44"/>
          <w:szCs w:val="44"/>
          <w:lang w:eastAsia="zh-CN"/>
        </w:rPr>
        <w:t>询价书编码（</w:t>
      </w:r>
      <w:r>
        <w:rPr>
          <w:rFonts w:hint="eastAsia" w:ascii="宋体" w:hAnsi="宋体" w:cs="宋体"/>
          <w:b w:val="0"/>
          <w:bCs w:val="0"/>
          <w:color w:val="000000"/>
          <w:sz w:val="44"/>
          <w:szCs w:val="44"/>
          <w:lang w:val="en-US" w:eastAsia="zh-CN"/>
        </w:rPr>
        <w:t>编号</w:t>
      </w:r>
      <w:r>
        <w:rPr>
          <w:rFonts w:hint="eastAsia" w:ascii="宋体" w:hAnsi="宋体" w:cs="宋体"/>
          <w:b w:val="0"/>
          <w:bCs w:val="0"/>
          <w:color w:val="000000"/>
          <w:sz w:val="44"/>
          <w:szCs w:val="44"/>
          <w:lang w:eastAsia="zh-CN"/>
        </w:rPr>
        <w:t>）</w:t>
      </w:r>
      <w:r>
        <w:rPr>
          <w:rFonts w:hint="eastAsia" w:ascii="宋体" w:hAnsi="宋体" w:eastAsia="宋体" w:cs="宋体"/>
          <w:b w:val="0"/>
          <w:bCs w:val="0"/>
          <w:color w:val="000000"/>
          <w:sz w:val="44"/>
          <w:szCs w:val="44"/>
          <w:lang w:eastAsia="zh-CN"/>
        </w:rPr>
        <w:t>：</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bCs/>
          <w:color w:val="000000"/>
          <w:spacing w:val="60"/>
          <w:sz w:val="72"/>
          <w:szCs w:val="72"/>
        </w:rPr>
      </w:pPr>
      <w:r>
        <w:rPr>
          <w:rFonts w:hint="eastAsia" w:ascii="宋体" w:hAnsi="宋体" w:eastAsia="宋体" w:cs="宋体"/>
          <w:b/>
          <w:bCs/>
          <w:color w:val="000000"/>
          <w:spacing w:val="60"/>
          <w:sz w:val="72"/>
          <w:szCs w:val="72"/>
          <w:lang w:val="en-US" w:eastAsia="zh-CN"/>
        </w:rPr>
        <w:t>报价</w:t>
      </w:r>
      <w:r>
        <w:rPr>
          <w:rFonts w:hint="eastAsia" w:ascii="宋体" w:hAnsi="宋体" w:eastAsia="宋体" w:cs="宋体"/>
          <w:b/>
          <w:bCs/>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9"/>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9"/>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r>
        <w:rPr>
          <w:rFonts w:hint="eastAsia" w:hAnsi="宋体" w:cs="宋体"/>
          <w:color w:val="000000"/>
          <w:sz w:val="28"/>
          <w:szCs w:val="28"/>
          <w:lang w:val="en-US" w:eastAsia="zh-CN"/>
        </w:rPr>
        <w:t>或盖章</w:t>
      </w:r>
      <w:r>
        <w:rPr>
          <w:rFonts w:hint="eastAsia" w:ascii="宋体" w:hAnsi="宋体" w:eastAsia="宋体" w:cs="宋体"/>
          <w:color w:val="000000"/>
          <w:sz w:val="28"/>
          <w:szCs w:val="28"/>
        </w:rPr>
        <w:t>）:</w:t>
      </w:r>
    </w:p>
    <w:p>
      <w:pPr>
        <w:pStyle w:val="19"/>
        <w:spacing w:line="300" w:lineRule="auto"/>
        <w:ind w:left="2" w:hanging="48"/>
        <w:rPr>
          <w:rFonts w:hint="eastAsia" w:ascii="宋体" w:hAnsi="宋体" w:eastAsia="宋体" w:cs="宋体"/>
          <w:color w:val="000000"/>
          <w:sz w:val="28"/>
          <w:szCs w:val="28"/>
        </w:rPr>
      </w:pPr>
    </w:p>
    <w:p>
      <w:pPr>
        <w:pStyle w:val="19"/>
        <w:spacing w:line="300" w:lineRule="auto"/>
        <w:ind w:left="2" w:hanging="48"/>
        <w:rPr>
          <w:rFonts w:hint="eastAsia" w:ascii="宋体" w:hAnsi="宋体" w:eastAsia="宋体" w:cs="宋体"/>
          <w:color w:val="000000"/>
          <w:sz w:val="28"/>
          <w:szCs w:val="28"/>
        </w:rPr>
      </w:pPr>
    </w:p>
    <w:p>
      <w:pPr>
        <w:pStyle w:val="19"/>
        <w:spacing w:line="300" w:lineRule="auto"/>
        <w:ind w:left="2" w:hanging="48"/>
        <w:rPr>
          <w:rFonts w:hint="eastAsia" w:ascii="宋体" w:hAnsi="宋体" w:eastAsia="宋体" w:cs="宋体"/>
          <w:color w:val="000000"/>
          <w:sz w:val="28"/>
          <w:szCs w:val="28"/>
        </w:rPr>
      </w:pPr>
    </w:p>
    <w:p>
      <w:pPr>
        <w:pStyle w:val="19"/>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日期：__________年__________月____________日</w:t>
      </w:r>
    </w:p>
    <w:p>
      <w:pPr>
        <w:pStyle w:val="20"/>
        <w:rPr>
          <w:rFonts w:hint="eastAsia" w:ascii="宋体" w:hAnsi="宋体" w:eastAsia="宋体" w:cs="宋体"/>
          <w:color w:val="000000"/>
          <w:sz w:val="28"/>
          <w:szCs w:val="28"/>
        </w:rPr>
      </w:pPr>
    </w:p>
    <w:p>
      <w:pPr>
        <w:pStyle w:val="20"/>
        <w:rPr>
          <w:rFonts w:hint="eastAsia" w:ascii="宋体" w:hAnsi="宋体" w:eastAsia="宋体" w:cs="宋体"/>
          <w:color w:val="000000"/>
          <w:sz w:val="28"/>
          <w:szCs w:val="28"/>
        </w:rPr>
      </w:pPr>
    </w:p>
    <w:p>
      <w:p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一、报价函</w:t>
      </w:r>
    </w:p>
    <w:p>
      <w:pPr>
        <w:pStyle w:val="19"/>
        <w:adjustRightInd w:val="0"/>
        <w:snapToGrid w:val="0"/>
        <w:spacing w:line="420" w:lineRule="exact"/>
        <w:ind w:firstLine="16" w:firstLineChars="6"/>
        <w:rPr>
          <w:rFonts w:hint="eastAsia" w:ascii="宋体" w:hAnsi="宋体" w:eastAsia="宋体" w:cs="宋体"/>
          <w:color w:val="000000"/>
          <w:sz w:val="28"/>
          <w:szCs w:val="28"/>
        </w:rPr>
      </w:pPr>
      <w:r>
        <w:rPr>
          <w:rFonts w:hint="eastAsia" w:ascii="宋体" w:hAnsi="宋体" w:eastAsia="宋体" w:cs="宋体"/>
          <w:color w:val="000000"/>
          <w:sz w:val="28"/>
          <w:szCs w:val="28"/>
          <w:u w:val="single"/>
          <w:lang w:eastAsia="zh-CN"/>
        </w:rPr>
        <w:t>中煤华晋</w:t>
      </w:r>
      <w:r>
        <w:rPr>
          <w:rFonts w:hint="eastAsia" w:hAnsi="宋体" w:eastAsia="宋体" w:cs="宋体"/>
          <w:color w:val="000000"/>
          <w:sz w:val="28"/>
          <w:szCs w:val="28"/>
          <w:u w:val="single"/>
          <w:lang w:eastAsia="zh-CN"/>
        </w:rPr>
        <w:t>集团</w:t>
      </w:r>
      <w:r>
        <w:rPr>
          <w:rFonts w:hint="eastAsia" w:ascii="宋体" w:hAnsi="宋体" w:eastAsia="宋体" w:cs="宋体"/>
          <w:color w:val="000000"/>
          <w:sz w:val="28"/>
          <w:szCs w:val="28"/>
          <w:u w:val="single"/>
          <w:lang w:eastAsia="zh-CN"/>
        </w:rPr>
        <w:t>有限</w:t>
      </w:r>
      <w:r>
        <w:rPr>
          <w:rFonts w:hint="eastAsia" w:ascii="宋体" w:hAnsi="宋体" w:eastAsia="宋体" w:cs="宋体"/>
          <w:color w:val="000000"/>
          <w:sz w:val="28"/>
          <w:szCs w:val="28"/>
          <w:u w:val="single"/>
        </w:rPr>
        <w:t>公司</w:t>
      </w:r>
      <w:r>
        <w:rPr>
          <w:rFonts w:hint="eastAsia" w:ascii="宋体" w:hAnsi="宋体" w:eastAsia="宋体" w:cs="宋体"/>
          <w:color w:val="000000"/>
          <w:sz w:val="28"/>
          <w:szCs w:val="28"/>
        </w:rPr>
        <w:t>：</w:t>
      </w:r>
    </w:p>
    <w:p>
      <w:pPr>
        <w:pStyle w:val="19"/>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hAnsi="宋体" w:cs="宋体"/>
          <w:color w:val="000000"/>
          <w:sz w:val="28"/>
          <w:szCs w:val="28"/>
          <w:lang w:eastAsia="zh-CN"/>
        </w:rPr>
        <w:t>询价书编码（</w:t>
      </w:r>
      <w:r>
        <w:rPr>
          <w:rFonts w:hint="eastAsia" w:hAnsi="宋体" w:cs="宋体"/>
          <w:color w:val="000000"/>
          <w:sz w:val="28"/>
          <w:szCs w:val="28"/>
          <w:lang w:val="en-US" w:eastAsia="zh-CN"/>
        </w:rPr>
        <w:t>编号</w:t>
      </w:r>
      <w:r>
        <w:rPr>
          <w:rFonts w:hint="eastAsia" w:hAnsi="宋体" w:cs="宋体"/>
          <w:color w:val="000000"/>
          <w:sz w:val="28"/>
          <w:szCs w:val="28"/>
          <w:lang w:eastAsia="zh-CN"/>
        </w:rPr>
        <w:t>）</w:t>
      </w:r>
      <w:r>
        <w:rPr>
          <w:rFonts w:hint="eastAsia" w:ascii="宋体" w:hAnsi="宋体" w:eastAsia="宋体" w:cs="宋体"/>
          <w:color w:val="000000"/>
          <w:sz w:val="28"/>
          <w:szCs w:val="28"/>
        </w:rPr>
        <w:t>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（大写）的总价，按要求向甲方供货。</w:t>
      </w:r>
    </w:p>
    <w:p>
      <w:pPr>
        <w:pStyle w:val="19"/>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9"/>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9"/>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w:t>
      </w:r>
      <w:r>
        <w:rPr>
          <w:rFonts w:hint="eastAsia" w:ascii="宋体" w:hAnsi="宋体" w:cs="宋体"/>
          <w:sz w:val="28"/>
          <w:szCs w:val="28"/>
          <w:lang w:eastAsia="zh-CN"/>
        </w:rPr>
        <w:t>（</w:t>
      </w:r>
      <w:r>
        <w:rPr>
          <w:rFonts w:hint="eastAsia" w:ascii="宋体" w:hAnsi="宋体" w:cs="宋体"/>
          <w:sz w:val="28"/>
          <w:szCs w:val="28"/>
          <w:lang w:val="en-US" w:eastAsia="zh-CN"/>
        </w:rPr>
        <w:t>以下为关键信息，务必认真填写，且真实有效</w:t>
      </w:r>
      <w:r>
        <w:rPr>
          <w:rFonts w:hint="eastAsia" w:ascii="宋体" w:hAnsi="宋体" w:cs="宋体"/>
          <w:sz w:val="28"/>
          <w:szCs w:val="28"/>
          <w:lang w:eastAsia="zh-CN"/>
        </w:rPr>
        <w:t>）</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单位名称：(盖章)                                 </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单位通讯地址：</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邮编：</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电话：</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联系人：</w:t>
      </w:r>
    </w:p>
    <w:p>
      <w:pPr>
        <w:numPr>
          <w:ilvl w:val="0"/>
          <w:numId w:val="0"/>
        </w:numPr>
        <w:spacing w:line="360" w:lineRule="auto"/>
        <w:ind w:leftChars="0"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联系人手机号码：</w:t>
      </w:r>
    </w:p>
    <w:p>
      <w:pPr>
        <w:numPr>
          <w:ilvl w:val="0"/>
          <w:numId w:val="0"/>
        </w:numPr>
        <w:spacing w:line="360" w:lineRule="auto"/>
        <w:ind w:leftChars="0"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联系人邮箱：</w:t>
      </w:r>
    </w:p>
    <w:p>
      <w:pPr>
        <w:pStyle w:val="19"/>
        <w:adjustRightInd w:val="0"/>
        <w:snapToGrid w:val="0"/>
        <w:spacing w:line="420" w:lineRule="exact"/>
        <w:ind w:firstLine="397"/>
        <w:rPr>
          <w:rFonts w:hint="eastAsia" w:ascii="宋体" w:hAnsi="宋体" w:eastAsia="宋体" w:cs="宋体"/>
          <w:color w:val="000000"/>
          <w:sz w:val="28"/>
          <w:szCs w:val="28"/>
        </w:rPr>
      </w:pPr>
    </w:p>
    <w:p>
      <w:pPr>
        <w:pStyle w:val="19"/>
        <w:adjustRightInd w:val="0"/>
        <w:snapToGrid w:val="0"/>
        <w:spacing w:line="420" w:lineRule="exact"/>
        <w:ind w:firstLine="3360" w:firstLineChars="1200"/>
        <w:rPr>
          <w:rFonts w:hint="eastAsia" w:ascii="宋体" w:hAnsi="宋体" w:eastAsia="宋体" w:cs="宋体"/>
          <w:color w:val="000000"/>
          <w:sz w:val="28"/>
          <w:szCs w:val="28"/>
        </w:rPr>
      </w:pPr>
    </w:p>
    <w:p>
      <w:pPr>
        <w:pStyle w:val="19"/>
        <w:adjustRightInd w:val="0"/>
        <w:snapToGrid w:val="0"/>
        <w:spacing w:line="420" w:lineRule="exact"/>
        <w:ind w:firstLine="3360" w:firstLineChars="1200"/>
        <w:rPr>
          <w:rFonts w:hint="eastAsia" w:ascii="宋体" w:hAnsi="宋体" w:eastAsia="宋体" w:cs="宋体"/>
          <w:color w:val="000000"/>
          <w:sz w:val="28"/>
          <w:szCs w:val="28"/>
        </w:rPr>
      </w:pPr>
    </w:p>
    <w:p>
      <w:pPr>
        <w:pStyle w:val="19"/>
        <w:adjustRightInd w:val="0"/>
        <w:snapToGrid w:val="0"/>
        <w:spacing w:line="420" w:lineRule="exact"/>
        <w:ind w:firstLine="3360" w:firstLineChars="1200"/>
        <w:rPr>
          <w:rFonts w:hint="eastAsia" w:ascii="宋体" w:hAnsi="宋体" w:eastAsia="宋体" w:cs="宋体"/>
          <w:color w:val="000000"/>
          <w:sz w:val="28"/>
          <w:szCs w:val="28"/>
        </w:rPr>
      </w:pPr>
    </w:p>
    <w:p>
      <w:pPr>
        <w:pStyle w:val="19"/>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hAnsi="宋体" w:cs="宋体"/>
          <w:color w:val="000000"/>
          <w:sz w:val="28"/>
          <w:szCs w:val="28"/>
          <w:lang w:val="en-US" w:eastAsia="zh-CN"/>
        </w:rPr>
        <w:t>或</w:t>
      </w:r>
      <w:r>
        <w:rPr>
          <w:rFonts w:hint="eastAsia" w:ascii="宋体" w:hAnsi="宋体" w:eastAsia="宋体" w:cs="宋体"/>
          <w:color w:val="000000"/>
          <w:sz w:val="28"/>
          <w:szCs w:val="28"/>
        </w:rPr>
        <w:t>盖章)</w:t>
      </w:r>
    </w:p>
    <w:p>
      <w:pPr>
        <w:pStyle w:val="19"/>
        <w:adjustRightInd w:val="0"/>
        <w:snapToGrid w:val="0"/>
        <w:spacing w:line="420" w:lineRule="exact"/>
        <w:ind w:firstLine="397"/>
        <w:rPr>
          <w:rFonts w:hint="eastAsia" w:ascii="宋体" w:hAnsi="宋体" w:eastAsia="宋体" w:cs="宋体"/>
          <w:color w:val="000000"/>
          <w:sz w:val="28"/>
          <w:szCs w:val="28"/>
        </w:rPr>
      </w:pPr>
    </w:p>
    <w:p>
      <w:pPr>
        <w:pStyle w:val="19"/>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9"/>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9"/>
        <w:adjustRightInd w:val="0"/>
        <w:snapToGrid w:val="0"/>
        <w:spacing w:line="420" w:lineRule="exact"/>
        <w:ind w:left="-8" w:leftChars="-4" w:firstLine="440" w:firstLineChars="200"/>
        <w:rPr>
          <w:rFonts w:hAnsi="宋体"/>
          <w:color w:val="000000"/>
          <w:sz w:val="22"/>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中煤</w:t>
      </w:r>
      <w:r>
        <w:rPr>
          <w:rFonts w:hint="eastAsia" w:ascii="宋体" w:hAnsi="宋体" w:eastAsia="宋体" w:cs="宋体"/>
          <w:color w:val="000000"/>
          <w:sz w:val="28"/>
          <w:szCs w:val="28"/>
          <w:u w:val="single"/>
          <w:lang w:eastAsia="zh-CN"/>
        </w:rPr>
        <w:t>华晋集团</w:t>
      </w:r>
      <w:r>
        <w:rPr>
          <w:rFonts w:hint="eastAsia" w:ascii="宋体" w:hAnsi="宋体" w:eastAsia="宋体" w:cs="宋体"/>
          <w:color w:val="000000"/>
          <w:sz w:val="28"/>
          <w:szCs w:val="28"/>
          <w:u w:val="single"/>
        </w:rPr>
        <w:t xml:space="preserve">有限公司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cs="宋体"/>
          <w:color w:val="000000"/>
          <w:sz w:val="28"/>
          <w:szCs w:val="28"/>
          <w:lang w:val="en-US" w:eastAsia="zh-CN"/>
        </w:rPr>
        <w:t>或</w:t>
      </w:r>
      <w:r>
        <w:rPr>
          <w:rFonts w:hint="eastAsia" w:ascii="宋体" w:hAnsi="宋体" w:eastAsia="宋体" w:cs="宋体"/>
          <w:color w:val="000000"/>
          <w:sz w:val="28"/>
          <w:szCs w:val="28"/>
        </w:rPr>
        <w:t>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w:t>
      </w:r>
      <w:r>
        <w:rPr>
          <w:rFonts w:hint="eastAsia" w:ascii="宋体" w:hAnsi="宋体" w:cs="宋体"/>
          <w:color w:val="000000"/>
          <w:sz w:val="28"/>
          <w:szCs w:val="28"/>
          <w:lang w:val="en-US" w:eastAsia="zh-CN"/>
        </w:rPr>
        <w:t>或</w:t>
      </w:r>
      <w:r>
        <w:rPr>
          <w:rFonts w:hint="eastAsia" w:ascii="宋体" w:hAnsi="宋体" w:eastAsia="宋体" w:cs="宋体"/>
          <w:color w:val="000000"/>
          <w:sz w:val="28"/>
          <w:szCs w:val="28"/>
        </w:rPr>
        <w:t>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40"/>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w:t>
            </w:r>
            <w:r>
              <w:rPr>
                <w:rFonts w:hint="eastAsia" w:ascii="宋体" w:hAnsi="宋体" w:eastAsia="宋体" w:cs="宋体"/>
                <w:b/>
                <w:bCs/>
                <w:color w:val="000000"/>
                <w:sz w:val="28"/>
                <w:szCs w:val="28"/>
                <w:lang w:eastAsia="zh-CN"/>
              </w:rPr>
              <w:t>注：身份证关键信息应清晰可辨</w:t>
            </w:r>
            <w:r>
              <w:rPr>
                <w:rFonts w:hint="eastAsia" w:ascii="宋体" w:hAnsi="宋体" w:cs="宋体"/>
                <w:b/>
                <w:bCs/>
                <w:color w:val="000000"/>
                <w:sz w:val="28"/>
                <w:szCs w:val="28"/>
                <w:lang w:eastAsia="zh-CN"/>
              </w:rPr>
              <w:t>。</w:t>
            </w:r>
          </w:p>
          <w:p>
            <w:pPr>
              <w:jc w:val="center"/>
              <w:rPr>
                <w:rFonts w:hint="eastAsia" w:ascii="宋体" w:hAnsi="宋体" w:eastAsia="宋体" w:cs="宋体"/>
                <w:color w:val="000000"/>
                <w:sz w:val="28"/>
                <w:szCs w:val="28"/>
              </w:rPr>
            </w:pPr>
          </w:p>
        </w:tc>
      </w:tr>
    </w:tbl>
    <w:p>
      <w:pPr>
        <w:pStyle w:val="19"/>
        <w:tabs>
          <w:tab w:val="left" w:pos="1785"/>
        </w:tabs>
        <w:snapToGrid w:val="0"/>
        <w:spacing w:line="300" w:lineRule="auto"/>
        <w:jc w:val="center"/>
        <w:rPr>
          <w:rFonts w:hint="default"/>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2"/>
        <w:rPr>
          <w:rFonts w:hint="eastAsia" w:ascii="宋体" w:hAnsi="宋体" w:cs="宋体"/>
          <w:b/>
          <w:bCs/>
          <w:kern w:val="0"/>
          <w:sz w:val="28"/>
        </w:rPr>
      </w:pPr>
      <w:r>
        <w:rPr>
          <w:rFonts w:hint="eastAsia" w:ascii="宋体" w:hAnsi="宋体" w:cs="宋体"/>
          <w:b/>
          <w:bCs/>
          <w:kern w:val="0"/>
          <w:sz w:val="28"/>
          <w:lang w:val="en-US" w:eastAsia="zh-CN"/>
        </w:rPr>
        <w:t>三、</w:t>
      </w:r>
      <w:r>
        <w:rPr>
          <w:rFonts w:hint="eastAsia" w:ascii="宋体" w:hAnsi="宋体" w:cs="宋体"/>
          <w:b/>
          <w:bCs/>
          <w:kern w:val="0"/>
          <w:sz w:val="28"/>
        </w:rPr>
        <w:t>投标一览表</w:t>
      </w:r>
    </w:p>
    <w:p>
      <w:pPr>
        <w:pStyle w:val="47"/>
      </w:pPr>
    </w:p>
    <w:tbl>
      <w:tblPr>
        <w:tblStyle w:val="40"/>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473"/>
        <w:gridCol w:w="1321"/>
        <w:gridCol w:w="1778"/>
        <w:gridCol w:w="1567"/>
        <w:gridCol w:w="1664"/>
        <w:gridCol w:w="1445"/>
        <w:gridCol w:w="165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atLeast"/>
          <w:jc w:val="center"/>
        </w:trPr>
        <w:tc>
          <w:tcPr>
            <w:tcW w:w="10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序号</w:t>
            </w:r>
          </w:p>
        </w:tc>
        <w:tc>
          <w:tcPr>
            <w:tcW w:w="24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lang w:val="en-US" w:eastAsia="zh-CN"/>
              </w:rPr>
              <w:t>项目</w:t>
            </w:r>
            <w:r>
              <w:rPr>
                <w:rFonts w:hint="eastAsia" w:ascii="宋体" w:hAnsi="宋体"/>
                <w:sz w:val="24"/>
                <w:szCs w:val="24"/>
              </w:rPr>
              <w:t>名称</w:t>
            </w:r>
          </w:p>
        </w:tc>
        <w:tc>
          <w:tcPr>
            <w:tcW w:w="1321"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r>
              <w:rPr>
                <w:rFonts w:hint="eastAsia" w:ascii="宋体" w:hAnsi="宋体"/>
                <w:sz w:val="24"/>
                <w:szCs w:val="24"/>
              </w:rPr>
              <w:t>规格</w:t>
            </w:r>
          </w:p>
          <w:p>
            <w:pPr>
              <w:widowControl/>
              <w:adjustRightInd w:val="0"/>
              <w:snapToGrid w:val="0"/>
              <w:jc w:val="center"/>
              <w:rPr>
                <w:rFonts w:ascii="宋体" w:hAnsi="宋体"/>
                <w:sz w:val="24"/>
                <w:szCs w:val="24"/>
              </w:rPr>
            </w:pPr>
            <w:r>
              <w:rPr>
                <w:rFonts w:hint="eastAsia" w:ascii="宋体" w:hAnsi="宋体"/>
                <w:sz w:val="24"/>
                <w:szCs w:val="24"/>
              </w:rPr>
              <w:t>型号</w:t>
            </w:r>
          </w:p>
        </w:tc>
        <w:tc>
          <w:tcPr>
            <w:tcW w:w="17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数  量</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投标价（</w:t>
            </w:r>
            <w:r>
              <w:rPr>
                <w:rFonts w:hint="eastAsia" w:ascii="宋体" w:hAnsi="宋体"/>
                <w:sz w:val="24"/>
                <w:szCs w:val="24"/>
                <w:lang w:val="en-US" w:eastAsia="zh-CN"/>
              </w:rPr>
              <w:t>万</w:t>
            </w:r>
            <w:r>
              <w:rPr>
                <w:rFonts w:hint="eastAsia" w:ascii="宋体" w:hAnsi="宋体"/>
                <w:sz w:val="24"/>
                <w:szCs w:val="24"/>
              </w:rPr>
              <w:t>元）</w:t>
            </w:r>
          </w:p>
        </w:tc>
        <w:tc>
          <w:tcPr>
            <w:tcW w:w="1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交货期</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FF0000"/>
                <w:sz w:val="24"/>
                <w:szCs w:val="24"/>
                <w:highlight w:val="none"/>
                <w:lang w:eastAsia="zh-CN"/>
              </w:rPr>
            </w:pPr>
            <w:r>
              <w:rPr>
                <w:rFonts w:hint="eastAsia" w:ascii="宋体" w:hAnsi="宋体" w:cs="宋体"/>
                <w:b/>
                <w:bCs/>
                <w:color w:val="FF0000"/>
                <w:sz w:val="24"/>
                <w:szCs w:val="24"/>
                <w:highlight w:val="none"/>
                <w:lang w:eastAsia="zh-CN"/>
              </w:rPr>
              <w:t>产品品牌</w:t>
            </w:r>
          </w:p>
          <w:p>
            <w:pPr>
              <w:widowControl/>
              <w:jc w:val="center"/>
              <w:rPr>
                <w:rFonts w:hint="default" w:ascii="宋体" w:hAnsi="宋体" w:eastAsia="宋体"/>
                <w:sz w:val="24"/>
                <w:szCs w:val="24"/>
                <w:lang w:val="en-US" w:eastAsia="zh-CN"/>
              </w:rPr>
            </w:pPr>
            <w:r>
              <w:rPr>
                <w:rFonts w:hint="eastAsia" w:ascii="宋体" w:hAnsi="宋体" w:cs="宋体"/>
                <w:b/>
                <w:bCs/>
                <w:color w:val="FF0000"/>
                <w:sz w:val="24"/>
                <w:szCs w:val="24"/>
                <w:highlight w:val="none"/>
                <w:lang w:eastAsia="zh-CN"/>
              </w:rPr>
              <w:t>或生产厂</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szCs w:val="24"/>
                <w:lang w:val="en-US" w:eastAsia="zh-CN"/>
              </w:rPr>
            </w:pPr>
            <w:r>
              <w:rPr>
                <w:rFonts w:hint="eastAsia" w:ascii="宋体" w:hAnsi="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0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单  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总  价</w:t>
            </w:r>
          </w:p>
        </w:tc>
        <w:tc>
          <w:tcPr>
            <w:tcW w:w="14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1</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2</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3</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r>
              <w:rPr>
                <w:rFonts w:hint="eastAsia" w:ascii="宋体" w:hAnsi="宋体"/>
                <w:sz w:val="24"/>
                <w:szCs w:val="24"/>
              </w:rPr>
              <w:t>……</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pStyle w:val="29"/>
              <w:rPr>
                <w:rFonts w:ascii="宋体" w:hAnsi="宋体" w:cs="宋体"/>
                <w:sz w:val="24"/>
                <w:szCs w:val="24"/>
              </w:rPr>
            </w:pPr>
            <w:r>
              <w:rPr>
                <w:rFonts w:hint="eastAsia" w:ascii="宋体" w:hAnsi="宋体" w:cs="宋体"/>
                <w:sz w:val="24"/>
                <w:szCs w:val="24"/>
              </w:rPr>
              <w:t>合计：小写</w:t>
            </w:r>
            <w:r>
              <w:rPr>
                <w:rFonts w:hint="eastAsia" w:ascii="宋体" w:hAnsi="宋体" w:cs="宋体"/>
                <w:sz w:val="24"/>
                <w:szCs w:val="24"/>
                <w:u w:val="single"/>
              </w:rPr>
              <w:t xml:space="preserve">            </w:t>
            </w:r>
            <w:r>
              <w:rPr>
                <w:rFonts w:hint="eastAsia" w:ascii="宋体" w:hAnsi="宋体" w:cs="宋体"/>
                <w:sz w:val="24"/>
                <w:szCs w:val="24"/>
              </w:rPr>
              <w:t>元（人民币大写</w:t>
            </w:r>
            <w:r>
              <w:rPr>
                <w:rFonts w:hint="eastAsia" w:ascii="宋体" w:hAnsi="宋体" w:cs="宋体"/>
                <w:sz w:val="24"/>
                <w:szCs w:val="24"/>
                <w:u w:val="single"/>
              </w:rPr>
              <w:t xml:space="preserve">              </w:t>
            </w:r>
            <w:r>
              <w:rPr>
                <w:rFonts w:hint="eastAsia" w:ascii="宋体" w:hAnsi="宋体" w:cs="宋体"/>
                <w:sz w:val="24"/>
                <w:szCs w:val="24"/>
              </w:rPr>
              <w:t>）（含税，税率：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jc w:val="center"/>
        </w:trPr>
        <w:tc>
          <w:tcPr>
            <w:tcW w:w="14220" w:type="dxa"/>
            <w:gridSpan w:val="9"/>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20" w:after="20"/>
              <w:rPr>
                <w:rFonts w:ascii="宋体" w:hAnsi="宋体"/>
                <w:b/>
                <w:kern w:val="0"/>
                <w:szCs w:val="21"/>
              </w:rPr>
            </w:pPr>
            <w:r>
              <w:rPr>
                <w:rFonts w:hint="eastAsia" w:ascii="宋体" w:hAnsi="宋体"/>
                <w:b/>
                <w:kern w:val="0"/>
                <w:szCs w:val="21"/>
              </w:rPr>
              <w:t>备注：1.投标报价为</w:t>
            </w:r>
            <w:r>
              <w:rPr>
                <w:rFonts w:hint="eastAsia" w:ascii="宋体" w:hAnsi="宋体"/>
                <w:b/>
                <w:kern w:val="0"/>
                <w:szCs w:val="21"/>
                <w:u w:val="single"/>
              </w:rPr>
              <w:t>目的地交货含税价格</w:t>
            </w:r>
            <w:r>
              <w:rPr>
                <w:rFonts w:hint="eastAsia" w:ascii="宋体" w:hAnsi="宋体"/>
                <w:b/>
                <w:kern w:val="0"/>
                <w:szCs w:val="21"/>
              </w:rPr>
              <w:t>；</w:t>
            </w:r>
          </w:p>
          <w:p>
            <w:pPr>
              <w:widowControl/>
              <w:adjustRightInd w:val="0"/>
              <w:snapToGrid w:val="0"/>
              <w:spacing w:before="20" w:after="20"/>
              <w:ind w:firstLine="632" w:firstLineChars="300"/>
              <w:rPr>
                <w:rFonts w:ascii="宋体" w:hAnsi="宋体"/>
                <w:b/>
                <w:kern w:val="0"/>
                <w:szCs w:val="21"/>
              </w:rPr>
            </w:pPr>
            <w:r>
              <w:rPr>
                <w:rFonts w:hint="eastAsia" w:ascii="宋体" w:hAnsi="宋体"/>
                <w:b/>
                <w:kern w:val="0"/>
                <w:szCs w:val="21"/>
              </w:rPr>
              <w:t>2.此表手写无效；</w:t>
            </w:r>
          </w:p>
          <w:p>
            <w:pPr>
              <w:ind w:firstLine="632" w:firstLineChars="300"/>
              <w:jc w:val="left"/>
              <w:rPr>
                <w:rFonts w:ascii="宋体" w:hAnsi="宋体"/>
                <w:b/>
                <w:sz w:val="24"/>
                <w:szCs w:val="24"/>
              </w:rPr>
            </w:pPr>
            <w:r>
              <w:rPr>
                <w:rFonts w:hint="eastAsia" w:ascii="宋体" w:hAnsi="宋体"/>
                <w:b/>
                <w:kern w:val="0"/>
                <w:szCs w:val="21"/>
              </w:rPr>
              <w:t>3.</w:t>
            </w:r>
            <w:r>
              <w:rPr>
                <w:rFonts w:hint="eastAsia" w:ascii="宋体" w:hAnsi="宋体"/>
                <w:b/>
                <w:kern w:val="0"/>
                <w:szCs w:val="21"/>
                <w:lang w:eastAsia="zh-CN"/>
              </w:rPr>
              <w:t>报价人</w:t>
            </w:r>
            <w:r>
              <w:rPr>
                <w:rFonts w:hint="eastAsia" w:ascii="宋体" w:hAnsi="宋体"/>
                <w:b/>
                <w:kern w:val="0"/>
                <w:szCs w:val="21"/>
              </w:rPr>
              <w:t>可根据项目实际情况扩展、完善</w:t>
            </w:r>
          </w:p>
        </w:tc>
      </w:tr>
    </w:tbl>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center"/>
        <w:outlineLvl w:val="2"/>
        <w:rPr>
          <w:rFonts w:hint="eastAsia" w:ascii="宋体" w:hAnsi="宋体" w:cs="宋体"/>
          <w:b/>
          <w:bCs/>
          <w:kern w:val="0"/>
          <w:sz w:val="28"/>
          <w:szCs w:val="22"/>
        </w:rPr>
      </w:pPr>
    </w:p>
    <w:p>
      <w:pPr>
        <w:keepNext/>
        <w:keepLines/>
        <w:adjustRightInd w:val="0"/>
        <w:snapToGrid w:val="0"/>
        <w:spacing w:line="360" w:lineRule="auto"/>
        <w:jc w:val="both"/>
        <w:outlineLvl w:val="2"/>
        <w:rPr>
          <w:rFonts w:hint="eastAsia" w:ascii="宋体" w:hAnsi="宋体" w:cs="宋体"/>
          <w:b/>
          <w:bCs/>
          <w:kern w:val="0"/>
          <w:sz w:val="28"/>
          <w:szCs w:val="22"/>
        </w:rPr>
      </w:pPr>
    </w:p>
    <w:p>
      <w:pPr>
        <w:pStyle w:val="47"/>
        <w:rPr>
          <w:rFonts w:hint="eastAsia"/>
        </w:rPr>
      </w:pPr>
    </w:p>
    <w:p>
      <w:pPr>
        <w:keepNext/>
        <w:keepLines/>
        <w:numPr>
          <w:ilvl w:val="0"/>
          <w:numId w:val="0"/>
        </w:numPr>
        <w:adjustRightInd w:val="0"/>
        <w:snapToGrid w:val="0"/>
        <w:spacing w:line="360" w:lineRule="auto"/>
        <w:jc w:val="center"/>
        <w:outlineLvl w:val="2"/>
        <w:rPr>
          <w:rFonts w:hint="eastAsia" w:ascii="宋体" w:hAnsi="宋体" w:cs="宋体"/>
          <w:b/>
          <w:bCs/>
          <w:kern w:val="0"/>
          <w:sz w:val="28"/>
          <w:szCs w:val="22"/>
        </w:rPr>
      </w:pPr>
      <w:r>
        <w:rPr>
          <w:rFonts w:hint="eastAsia" w:ascii="宋体" w:hAnsi="宋体" w:cs="宋体"/>
          <w:b/>
          <w:bCs/>
          <w:kern w:val="0"/>
          <w:sz w:val="28"/>
          <w:szCs w:val="22"/>
          <w:lang w:val="en-US" w:eastAsia="zh-CN"/>
        </w:rPr>
        <w:t>四、</w:t>
      </w:r>
      <w:r>
        <w:rPr>
          <w:rFonts w:hint="eastAsia" w:ascii="宋体" w:hAnsi="宋体" w:cs="宋体"/>
          <w:b/>
          <w:bCs/>
          <w:kern w:val="0"/>
          <w:sz w:val="28"/>
          <w:szCs w:val="22"/>
        </w:rPr>
        <w:t>分项报价表</w:t>
      </w:r>
    </w:p>
    <w:p>
      <w:pPr>
        <w:pStyle w:val="47"/>
        <w:numPr>
          <w:ilvl w:val="0"/>
          <w:numId w:val="0"/>
        </w:numPr>
      </w:pPr>
    </w:p>
    <w:tbl>
      <w:tblPr>
        <w:tblStyle w:val="40"/>
        <w:tblW w:w="139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423"/>
        <w:gridCol w:w="1085"/>
        <w:gridCol w:w="1107"/>
        <w:gridCol w:w="1456"/>
        <w:gridCol w:w="1527"/>
        <w:gridCol w:w="1269"/>
        <w:gridCol w:w="1404"/>
        <w:gridCol w:w="1650"/>
        <w:gridCol w:w="12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lang w:val="en-US" w:eastAsia="zh-CN"/>
              </w:rPr>
              <w:t>项目</w:t>
            </w:r>
            <w:r>
              <w:rPr>
                <w:rFonts w:hint="eastAsia" w:ascii="宋体" w:hAnsi="宋体"/>
                <w:b/>
                <w:sz w:val="24"/>
                <w:szCs w:val="24"/>
              </w:rPr>
              <w:t>名称</w:t>
            </w:r>
          </w:p>
        </w:tc>
        <w:tc>
          <w:tcPr>
            <w:tcW w:w="1423"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规格型号</w:t>
            </w:r>
          </w:p>
        </w:tc>
        <w:tc>
          <w:tcPr>
            <w:tcW w:w="1085"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单位</w:t>
            </w:r>
          </w:p>
        </w:tc>
        <w:tc>
          <w:tcPr>
            <w:tcW w:w="1107"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数量</w:t>
            </w:r>
          </w:p>
        </w:tc>
        <w:tc>
          <w:tcPr>
            <w:tcW w:w="145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sz w:val="24"/>
                <w:szCs w:val="24"/>
                <w:lang w:eastAsia="zh-CN"/>
              </w:rPr>
            </w:pPr>
            <w:r>
              <w:rPr>
                <w:rFonts w:hint="eastAsia" w:ascii="宋体" w:hAnsi="宋体"/>
                <w:b/>
                <w:bCs/>
                <w:sz w:val="24"/>
                <w:szCs w:val="24"/>
              </w:rPr>
              <w:t>单重</w:t>
            </w:r>
            <w:r>
              <w:rPr>
                <w:rFonts w:hint="eastAsia" w:ascii="宋体" w:hAnsi="宋体"/>
                <w:b/>
                <w:bCs/>
                <w:sz w:val="24"/>
                <w:szCs w:val="24"/>
                <w:lang w:eastAsia="zh-CN"/>
              </w:rPr>
              <w:t>（</w:t>
            </w:r>
            <w:r>
              <w:rPr>
                <w:rFonts w:hint="eastAsia" w:ascii="宋体" w:hAnsi="宋体"/>
                <w:b/>
                <w:bCs/>
                <w:sz w:val="24"/>
                <w:szCs w:val="24"/>
                <w:lang w:val="en-US" w:eastAsia="zh-CN"/>
              </w:rPr>
              <w:t>选填</w:t>
            </w:r>
            <w:r>
              <w:rPr>
                <w:rFonts w:hint="eastAsia" w:ascii="宋体" w:hAnsi="宋体"/>
                <w:b/>
                <w:bCs/>
                <w:sz w:val="24"/>
                <w:szCs w:val="24"/>
                <w:lang w:eastAsia="zh-CN"/>
              </w:rPr>
              <w:t>）</w:t>
            </w:r>
          </w:p>
          <w:p>
            <w:pPr>
              <w:spacing w:line="360" w:lineRule="auto"/>
              <w:jc w:val="center"/>
              <w:rPr>
                <w:rFonts w:ascii="宋体" w:hAnsi="宋体"/>
                <w:b/>
                <w:bCs/>
                <w:sz w:val="24"/>
                <w:szCs w:val="24"/>
              </w:rPr>
            </w:pPr>
            <w:r>
              <w:rPr>
                <w:rFonts w:hint="eastAsia" w:ascii="宋体" w:hAnsi="宋体"/>
                <w:b/>
                <w:bCs/>
                <w:sz w:val="24"/>
                <w:szCs w:val="24"/>
              </w:rPr>
              <w:t>(KG)</w:t>
            </w:r>
          </w:p>
        </w:tc>
        <w:tc>
          <w:tcPr>
            <w:tcW w:w="1527"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szCs w:val="24"/>
              </w:rPr>
            </w:pPr>
            <w:r>
              <w:rPr>
                <w:rFonts w:hint="eastAsia" w:ascii="宋体" w:hAnsi="宋体"/>
                <w:b/>
                <w:bCs/>
                <w:sz w:val="24"/>
                <w:szCs w:val="24"/>
              </w:rPr>
              <w:t>总重</w:t>
            </w:r>
            <w:r>
              <w:rPr>
                <w:rFonts w:hint="eastAsia" w:ascii="宋体" w:hAnsi="宋体"/>
                <w:b/>
                <w:bCs/>
                <w:sz w:val="24"/>
                <w:szCs w:val="24"/>
                <w:lang w:eastAsia="zh-CN"/>
              </w:rPr>
              <w:t>（</w:t>
            </w:r>
            <w:r>
              <w:rPr>
                <w:rFonts w:hint="eastAsia" w:ascii="宋体" w:hAnsi="宋体"/>
                <w:b/>
                <w:bCs/>
                <w:sz w:val="24"/>
                <w:szCs w:val="24"/>
                <w:lang w:val="en-US" w:eastAsia="zh-CN"/>
              </w:rPr>
              <w:t>选填</w:t>
            </w:r>
            <w:r>
              <w:rPr>
                <w:rFonts w:hint="eastAsia" w:ascii="宋体" w:hAnsi="宋体"/>
                <w:b/>
                <w:bCs/>
                <w:sz w:val="24"/>
                <w:szCs w:val="24"/>
                <w:lang w:eastAsia="zh-CN"/>
              </w:rPr>
              <w:t>）</w:t>
            </w:r>
          </w:p>
          <w:p>
            <w:pPr>
              <w:spacing w:line="360" w:lineRule="auto"/>
              <w:jc w:val="center"/>
              <w:rPr>
                <w:rFonts w:ascii="宋体" w:hAnsi="宋体"/>
                <w:b/>
                <w:bCs/>
                <w:sz w:val="24"/>
                <w:szCs w:val="24"/>
              </w:rPr>
            </w:pPr>
            <w:r>
              <w:rPr>
                <w:rFonts w:hint="eastAsia" w:ascii="宋体" w:hAnsi="宋体"/>
                <w:b/>
                <w:bCs/>
                <w:sz w:val="24"/>
                <w:szCs w:val="24"/>
              </w:rPr>
              <w:t>(KG)</w:t>
            </w:r>
          </w:p>
        </w:tc>
        <w:tc>
          <w:tcPr>
            <w:tcW w:w="1269"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szCs w:val="24"/>
              </w:rPr>
            </w:pPr>
            <w:r>
              <w:rPr>
                <w:rFonts w:hint="eastAsia" w:ascii="宋体" w:hAnsi="宋体"/>
                <w:b/>
                <w:bCs/>
                <w:sz w:val="24"/>
                <w:szCs w:val="24"/>
              </w:rPr>
              <w:t>单价</w:t>
            </w:r>
          </w:p>
          <w:p>
            <w:pPr>
              <w:spacing w:line="360" w:lineRule="auto"/>
              <w:jc w:val="center"/>
              <w:rPr>
                <w:rFonts w:ascii="宋体" w:hAnsi="宋体"/>
                <w:b/>
                <w:bCs/>
                <w:sz w:val="24"/>
                <w:szCs w:val="24"/>
              </w:rPr>
            </w:pPr>
            <w:r>
              <w:rPr>
                <w:rFonts w:hint="eastAsia" w:ascii="宋体" w:hAnsi="宋体"/>
                <w:b/>
                <w:bCs/>
                <w:sz w:val="24"/>
                <w:szCs w:val="24"/>
              </w:rPr>
              <w:t>(万元)</w:t>
            </w:r>
          </w:p>
        </w:tc>
        <w:tc>
          <w:tcPr>
            <w:tcW w:w="1404"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sz w:val="24"/>
                <w:szCs w:val="24"/>
              </w:rPr>
            </w:pPr>
            <w:r>
              <w:rPr>
                <w:rFonts w:hint="eastAsia" w:ascii="宋体" w:hAnsi="宋体"/>
                <w:b/>
                <w:bCs/>
                <w:sz w:val="24"/>
                <w:szCs w:val="24"/>
              </w:rPr>
              <w:t>总价</w:t>
            </w:r>
          </w:p>
          <w:p>
            <w:pPr>
              <w:spacing w:line="360" w:lineRule="auto"/>
              <w:jc w:val="center"/>
              <w:rPr>
                <w:rFonts w:ascii="宋体" w:hAnsi="宋体"/>
                <w:b/>
                <w:bCs/>
                <w:sz w:val="24"/>
                <w:szCs w:val="24"/>
              </w:rPr>
            </w:pPr>
            <w:r>
              <w:rPr>
                <w:rFonts w:hint="eastAsia" w:ascii="宋体" w:hAnsi="宋体"/>
                <w:b/>
                <w:bCs/>
                <w:sz w:val="24"/>
                <w:szCs w:val="24"/>
              </w:rPr>
              <w:t>(万元)</w:t>
            </w:r>
          </w:p>
        </w:tc>
        <w:tc>
          <w:tcPr>
            <w:tcW w:w="1650"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FF0000"/>
                <w:sz w:val="24"/>
                <w:szCs w:val="24"/>
                <w:highlight w:val="none"/>
                <w:lang w:eastAsia="zh-CN"/>
              </w:rPr>
            </w:pPr>
            <w:r>
              <w:rPr>
                <w:rFonts w:hint="eastAsia" w:ascii="宋体" w:hAnsi="宋体" w:cs="宋体"/>
                <w:b/>
                <w:bCs/>
                <w:color w:val="FF0000"/>
                <w:sz w:val="24"/>
                <w:szCs w:val="24"/>
                <w:highlight w:val="none"/>
                <w:lang w:eastAsia="zh-CN"/>
              </w:rPr>
              <w:t>产品品牌</w:t>
            </w:r>
          </w:p>
          <w:p>
            <w:pPr>
              <w:spacing w:line="360" w:lineRule="auto"/>
              <w:jc w:val="center"/>
              <w:rPr>
                <w:rFonts w:hint="default" w:ascii="宋体" w:hAnsi="宋体" w:eastAsia="宋体"/>
                <w:b/>
                <w:sz w:val="24"/>
                <w:szCs w:val="24"/>
                <w:lang w:val="en-US" w:eastAsia="zh-CN"/>
              </w:rPr>
            </w:pPr>
            <w:r>
              <w:rPr>
                <w:rFonts w:hint="eastAsia" w:ascii="宋体" w:hAnsi="宋体" w:cs="宋体"/>
                <w:b/>
                <w:bCs/>
                <w:color w:val="FF0000"/>
                <w:sz w:val="24"/>
                <w:szCs w:val="24"/>
                <w:highlight w:val="none"/>
                <w:lang w:eastAsia="zh-CN"/>
              </w:rPr>
              <w:t>或生产厂</w:t>
            </w:r>
          </w:p>
        </w:tc>
        <w:tc>
          <w:tcPr>
            <w:tcW w:w="1230"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center"/>
              <w:rPr>
                <w:rFonts w:ascii="宋体" w:hAnsi="宋体"/>
                <w:kern w:val="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7" w:type="dxa"/>
            <w:tcBorders>
              <w:top w:val="single" w:color="auto" w:sz="4" w:space="0"/>
              <w:left w:val="doub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1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52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single" w:color="auto" w:sz="4" w:space="0"/>
              <w:right w:val="double" w:color="auto" w:sz="4" w:space="0"/>
            </w:tcBorders>
            <w:noWrap w:val="0"/>
            <w:vAlign w:val="top"/>
          </w:tcPr>
          <w:p>
            <w:pPr>
              <w:spacing w:line="360" w:lineRule="auto"/>
              <w:rPr>
                <w:rFonts w:ascii="宋体" w:hAnsi="宋体"/>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8" w:type="dxa"/>
            <w:gridSpan w:val="5"/>
            <w:tcBorders>
              <w:top w:val="single" w:color="auto" w:sz="4" w:space="0"/>
              <w:left w:val="double" w:color="auto" w:sz="4" w:space="0"/>
              <w:bottom w:val="double" w:color="auto" w:sz="4" w:space="0"/>
              <w:right w:val="single" w:color="auto" w:sz="4" w:space="0"/>
            </w:tcBorders>
            <w:noWrap w:val="0"/>
            <w:vAlign w:val="top"/>
          </w:tcPr>
          <w:p>
            <w:pPr>
              <w:spacing w:line="360" w:lineRule="auto"/>
              <w:rPr>
                <w:rFonts w:ascii="宋体" w:hAnsi="宋体"/>
                <w:b/>
                <w:sz w:val="24"/>
                <w:szCs w:val="24"/>
              </w:rPr>
            </w:pPr>
            <w:r>
              <w:rPr>
                <w:rFonts w:hint="eastAsia" w:ascii="宋体" w:hAnsi="宋体"/>
                <w:sz w:val="24"/>
                <w:szCs w:val="24"/>
              </w:rPr>
              <w:t>总 计（列入价格汇总表）</w:t>
            </w:r>
          </w:p>
        </w:tc>
        <w:tc>
          <w:tcPr>
            <w:tcW w:w="1527"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69"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404"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650" w:type="dxa"/>
            <w:tcBorders>
              <w:top w:val="single" w:color="auto" w:sz="4" w:space="0"/>
              <w:left w:val="single" w:color="auto" w:sz="4" w:space="0"/>
              <w:bottom w:val="double" w:color="auto" w:sz="4" w:space="0"/>
              <w:right w:val="single" w:color="auto" w:sz="4" w:space="0"/>
            </w:tcBorders>
            <w:noWrap w:val="0"/>
            <w:vAlign w:val="top"/>
          </w:tcPr>
          <w:p>
            <w:pPr>
              <w:spacing w:line="360" w:lineRule="auto"/>
              <w:rPr>
                <w:rFonts w:ascii="宋体" w:hAnsi="宋体"/>
                <w:b/>
                <w:sz w:val="24"/>
                <w:szCs w:val="24"/>
              </w:rPr>
            </w:pPr>
          </w:p>
        </w:tc>
        <w:tc>
          <w:tcPr>
            <w:tcW w:w="1230" w:type="dxa"/>
            <w:tcBorders>
              <w:top w:val="single" w:color="auto" w:sz="4" w:space="0"/>
              <w:left w:val="single" w:color="auto" w:sz="4" w:space="0"/>
              <w:bottom w:val="double" w:color="auto" w:sz="4" w:space="0"/>
              <w:right w:val="double" w:color="auto" w:sz="4" w:space="0"/>
            </w:tcBorders>
            <w:noWrap w:val="0"/>
            <w:vAlign w:val="top"/>
          </w:tcPr>
          <w:p>
            <w:pPr>
              <w:spacing w:line="360" w:lineRule="auto"/>
              <w:rPr>
                <w:rFonts w:ascii="宋体" w:hAnsi="宋体"/>
                <w:b/>
                <w:sz w:val="24"/>
                <w:szCs w:val="24"/>
              </w:rPr>
            </w:pPr>
          </w:p>
        </w:tc>
      </w:tr>
    </w:tbl>
    <w:p>
      <w:pPr>
        <w:spacing w:line="360" w:lineRule="auto"/>
        <w:rPr>
          <w:rFonts w:hint="eastAsia" w:ascii="宋体" w:hAnsi="宋体"/>
          <w:sz w:val="24"/>
          <w:szCs w:val="24"/>
        </w:rPr>
      </w:pPr>
    </w:p>
    <w:p>
      <w:pPr>
        <w:spacing w:line="360" w:lineRule="auto"/>
        <w:rPr>
          <w:rFonts w:ascii="宋体" w:hAnsi="宋体"/>
          <w:sz w:val="24"/>
          <w:szCs w:val="24"/>
        </w:rPr>
      </w:pPr>
      <w:r>
        <w:rPr>
          <w:rFonts w:hint="eastAsia" w:ascii="宋体" w:hAnsi="宋体"/>
          <w:sz w:val="24"/>
          <w:szCs w:val="24"/>
        </w:rPr>
        <w:t>要求:1.如果按单价计算的结果与总价不一致，以单价为准修正总价。</w:t>
      </w:r>
    </w:p>
    <w:p>
      <w:pPr>
        <w:spacing w:line="360" w:lineRule="auto"/>
        <w:ind w:firstLine="600" w:firstLineChars="25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如果有外购件必须报出型号、供货厂家、价格。</w:t>
      </w:r>
    </w:p>
    <w:p>
      <w:pPr>
        <w:spacing w:line="360" w:lineRule="auto"/>
        <w:ind w:firstLine="600" w:firstLineChars="250"/>
        <w:rPr>
          <w:rFonts w:ascii="宋体" w:hAnsi="宋体"/>
          <w:b/>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lang w:eastAsia="zh-CN"/>
        </w:rPr>
        <w:t>报价人</w:t>
      </w:r>
      <w:r>
        <w:rPr>
          <w:rFonts w:hint="eastAsia" w:ascii="宋体" w:hAnsi="宋体"/>
          <w:sz w:val="24"/>
          <w:szCs w:val="24"/>
          <w:lang w:val="en-US" w:eastAsia="zh-CN"/>
        </w:rPr>
        <w:t>可</w:t>
      </w:r>
      <w:r>
        <w:rPr>
          <w:rFonts w:hint="eastAsia" w:ascii="宋体" w:hAnsi="宋体"/>
          <w:sz w:val="24"/>
          <w:szCs w:val="24"/>
        </w:rPr>
        <w:t>按技术要求及相关图纸详细列出分项报价，可按此格式扩展。</w:t>
      </w:r>
    </w:p>
    <w:p>
      <w:pPr>
        <w:spacing w:line="360" w:lineRule="auto"/>
        <w:ind w:firstLine="600" w:firstLineChars="250"/>
        <w:rPr>
          <w:rFonts w:ascii="宋体" w:hAnsi="宋体"/>
          <w:sz w:val="24"/>
          <w:szCs w:val="24"/>
        </w:rPr>
      </w:pPr>
      <w:r>
        <w:rPr>
          <w:rFonts w:hint="eastAsia" w:ascii="宋体" w:hAnsi="宋体"/>
          <w:sz w:val="24"/>
          <w:szCs w:val="24"/>
        </w:rPr>
        <w:t>4.本表包括标准件、专用工具等。</w:t>
      </w:r>
    </w:p>
    <w:p>
      <w:pPr>
        <w:spacing w:line="360" w:lineRule="auto"/>
        <w:ind w:firstLine="600" w:firstLineChars="250"/>
        <w:rPr>
          <w:rFonts w:ascii="宋体" w:hAnsi="宋体"/>
          <w:sz w:val="24"/>
          <w:szCs w:val="24"/>
        </w:rPr>
      </w:pPr>
      <w:r>
        <w:rPr>
          <w:rFonts w:ascii="宋体" w:hAnsi="宋体"/>
          <w:sz w:val="24"/>
          <w:szCs w:val="24"/>
        </w:rPr>
        <w:t>5</w:t>
      </w:r>
      <w:r>
        <w:rPr>
          <w:rFonts w:hint="eastAsia" w:ascii="宋体" w:hAnsi="宋体"/>
          <w:sz w:val="24"/>
          <w:szCs w:val="24"/>
        </w:rPr>
        <w:t>.此表仅供</w:t>
      </w:r>
      <w:r>
        <w:rPr>
          <w:rFonts w:hint="eastAsia" w:ascii="宋体" w:hAnsi="宋体"/>
          <w:sz w:val="24"/>
          <w:szCs w:val="24"/>
          <w:lang w:eastAsia="zh-CN"/>
        </w:rPr>
        <w:t>报价人</w:t>
      </w:r>
      <w:r>
        <w:rPr>
          <w:rFonts w:hint="eastAsia" w:ascii="宋体" w:hAnsi="宋体"/>
          <w:sz w:val="24"/>
          <w:szCs w:val="24"/>
        </w:rPr>
        <w:t>报价时，做格式参考，</w:t>
      </w:r>
      <w:r>
        <w:rPr>
          <w:rFonts w:hint="eastAsia" w:ascii="宋体" w:hAnsi="宋体"/>
          <w:sz w:val="24"/>
          <w:szCs w:val="24"/>
          <w:lang w:eastAsia="zh-CN"/>
        </w:rPr>
        <w:t>报价人</w:t>
      </w:r>
      <w:r>
        <w:rPr>
          <w:rFonts w:hint="eastAsia" w:ascii="宋体" w:hAnsi="宋体"/>
          <w:sz w:val="24"/>
          <w:szCs w:val="24"/>
        </w:rPr>
        <w:t>可根据项目情况自行编制。</w:t>
      </w:r>
    </w:p>
    <w:p>
      <w:pPr>
        <w:spacing w:line="360" w:lineRule="auto"/>
        <w:ind w:firstLine="600" w:firstLineChars="250"/>
        <w:rPr>
          <w:rFonts w:ascii="宋体" w:hAnsi="宋体"/>
          <w:sz w:val="24"/>
          <w:szCs w:val="24"/>
        </w:rPr>
      </w:pPr>
      <w:r>
        <w:rPr>
          <w:rFonts w:ascii="宋体" w:hAnsi="宋体"/>
          <w:sz w:val="24"/>
          <w:szCs w:val="24"/>
        </w:rPr>
        <w:t>6</w:t>
      </w:r>
      <w:r>
        <w:rPr>
          <w:rFonts w:hint="eastAsia" w:ascii="宋体" w:hAnsi="宋体"/>
          <w:sz w:val="24"/>
          <w:szCs w:val="24"/>
        </w:rPr>
        <w:t>.此表价格为目的地交货价，含技术资料、运输、保险、增值税等。</w:t>
      </w:r>
    </w:p>
    <w:p>
      <w:pPr>
        <w:spacing w:line="360" w:lineRule="auto"/>
        <w:ind w:firstLine="600" w:firstLineChars="250"/>
        <w:rPr>
          <w:rFonts w:hint="eastAsia" w:ascii="宋体" w:hAnsi="宋体"/>
          <w:sz w:val="24"/>
          <w:szCs w:val="24"/>
        </w:rPr>
        <w:sectPr>
          <w:pgSz w:w="16838" w:h="11900" w:orient="landscape"/>
          <w:pgMar w:top="1083" w:right="1440" w:bottom="1128" w:left="690" w:header="0" w:footer="0" w:gutter="0"/>
          <w:cols w:space="720" w:num="1"/>
          <w:rtlGutter w:val="0"/>
          <w:docGrid w:linePitch="0" w:charSpace="0"/>
        </w:sectPr>
      </w:pPr>
      <w:r>
        <w:rPr>
          <w:rFonts w:ascii="宋体" w:hAnsi="宋体"/>
          <w:sz w:val="24"/>
          <w:szCs w:val="24"/>
        </w:rPr>
        <w:t>7</w:t>
      </w:r>
      <w:r>
        <w:rPr>
          <w:rFonts w:hint="eastAsia" w:ascii="宋体" w:hAnsi="宋体"/>
          <w:sz w:val="24"/>
          <w:szCs w:val="24"/>
        </w:rPr>
        <w:t>.此表手写无效。</w:t>
      </w:r>
    </w:p>
    <w:p>
      <w:pPr>
        <w:pStyle w:val="3"/>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left"/>
        <w:rPr>
          <w:rFonts w:hint="eastAsia" w:ascii="宋体" w:hAnsi="宋体" w:eastAsia="宋体" w:cs="宋体"/>
          <w:b/>
          <w:bCs/>
          <w:color w:val="000000"/>
          <w:sz w:val="28"/>
          <w:szCs w:val="28"/>
        </w:rPr>
      </w:pPr>
      <w:r>
        <w:rPr>
          <w:rFonts w:hint="eastAsia" w:ascii="宋体" w:hAnsi="宋体" w:cs="宋体"/>
          <w:b/>
          <w:bCs/>
          <w:color w:val="000000"/>
          <w:sz w:val="28"/>
          <w:szCs w:val="28"/>
          <w:lang w:val="en-US" w:eastAsia="zh-CN"/>
        </w:rPr>
        <w:t>5</w:t>
      </w:r>
      <w:r>
        <w:rPr>
          <w:rFonts w:hint="eastAsia" w:ascii="宋体" w:hAnsi="宋体" w:eastAsia="宋体" w:cs="宋体"/>
          <w:b/>
          <w:bCs/>
          <w:color w:val="000000"/>
          <w:sz w:val="28"/>
          <w:szCs w:val="28"/>
        </w:rPr>
        <w:t>.1 技术规格偏离表</w:t>
      </w:r>
    </w:p>
    <w:p>
      <w:pPr>
        <w:pStyle w:val="13"/>
        <w:rPr>
          <w:rFonts w:hint="eastAsia"/>
        </w:rPr>
      </w:pPr>
    </w:p>
    <w:tbl>
      <w:tblPr>
        <w:tblStyle w:val="40"/>
        <w:tblW w:w="7756"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976"/>
        <w:gridCol w:w="1560"/>
        <w:gridCol w:w="1323"/>
        <w:gridCol w:w="1077"/>
        <w:gridCol w:w="1262"/>
        <w:gridCol w:w="1558"/>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技术要求参数</w:t>
            </w:r>
          </w:p>
        </w:tc>
        <w:tc>
          <w:tcPr>
            <w:tcW w:w="1323" w:type="dxa"/>
            <w:noWrap w:val="0"/>
            <w:vAlign w:val="top"/>
          </w:tcPr>
          <w:p>
            <w:pPr>
              <w:spacing w:before="120"/>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报价参数</w:t>
            </w:r>
          </w:p>
        </w:tc>
        <w:tc>
          <w:tcPr>
            <w:tcW w:w="1077" w:type="dxa"/>
            <w:noWrap w:val="0"/>
            <w:vAlign w:val="top"/>
          </w:tcPr>
          <w:p>
            <w:pPr>
              <w:spacing w:before="120"/>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是否偏离</w:t>
            </w:r>
          </w:p>
        </w:tc>
        <w:tc>
          <w:tcPr>
            <w:tcW w:w="1262"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偏离类型（正/负）</w:t>
            </w:r>
          </w:p>
        </w:tc>
        <w:tc>
          <w:tcPr>
            <w:tcW w:w="1558" w:type="dxa"/>
            <w:noWrap w:val="0"/>
            <w:vAlign w:val="top"/>
          </w:tcPr>
          <w:p>
            <w:pPr>
              <w:spacing w:before="120"/>
              <w:rPr>
                <w:rFonts w:hint="eastAsia" w:ascii="宋体" w:hAnsi="宋体" w:eastAsia="宋体" w:cs="宋体"/>
                <w:color w:val="000000"/>
                <w:sz w:val="28"/>
                <w:szCs w:val="28"/>
              </w:rPr>
            </w:pPr>
            <w:r>
              <w:rPr>
                <w:rFonts w:hint="eastAsia" w:ascii="宋体" w:hAnsi="宋体" w:cs="宋体"/>
                <w:color w:val="000000"/>
                <w:sz w:val="28"/>
                <w:szCs w:val="28"/>
                <w:lang w:val="en-US" w:eastAsia="zh-CN"/>
              </w:rPr>
              <w:t>偏离</w:t>
            </w: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976"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262" w:type="dxa"/>
            <w:noWrap w:val="0"/>
            <w:vAlign w:val="top"/>
          </w:tcPr>
          <w:p>
            <w:pPr>
              <w:rPr>
                <w:rFonts w:hint="eastAsia" w:ascii="宋体" w:hAnsi="宋体" w:eastAsia="宋体" w:cs="宋体"/>
                <w:color w:val="000000"/>
                <w:sz w:val="28"/>
                <w:szCs w:val="28"/>
              </w:rPr>
            </w:pPr>
          </w:p>
        </w:tc>
        <w:tc>
          <w:tcPr>
            <w:tcW w:w="1558"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val="en-US" w:eastAsia="zh-CN"/>
        </w:rPr>
        <w:t>响应文件中</w:t>
      </w: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lang w:val="en-US" w:eastAsia="zh-CN"/>
        </w:rPr>
        <w:t>文件</w:t>
      </w:r>
      <w:r>
        <w:rPr>
          <w:rFonts w:hint="eastAsia" w:ascii="宋体" w:hAnsi="宋体" w:eastAsia="宋体" w:cs="宋体"/>
          <w:color w:val="000000"/>
          <w:sz w:val="28"/>
          <w:szCs w:val="28"/>
        </w:rPr>
        <w:t>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w:t>
      </w:r>
      <w:r>
        <w:rPr>
          <w:rFonts w:hint="eastAsia" w:ascii="宋体" w:hAnsi="宋体" w:eastAsia="宋体" w:cs="宋体"/>
          <w:color w:val="000000"/>
          <w:sz w:val="28"/>
          <w:szCs w:val="28"/>
          <w:lang w:val="en-US" w:eastAsia="zh-CN"/>
        </w:rPr>
        <w:t>文件</w:t>
      </w:r>
      <w:r>
        <w:rPr>
          <w:rFonts w:hint="eastAsia" w:ascii="宋体" w:hAnsi="宋体" w:eastAsia="宋体" w:cs="宋体"/>
          <w:color w:val="000000"/>
          <w:sz w:val="28"/>
          <w:szCs w:val="28"/>
          <w:lang w:eastAsia="zh-CN"/>
        </w:rPr>
        <w:t>及附件</w:t>
      </w:r>
      <w:r>
        <w:rPr>
          <w:rFonts w:hint="eastAsia" w:ascii="宋体" w:hAnsi="宋体" w:eastAsia="宋体" w:cs="宋体"/>
          <w:color w:val="000000"/>
          <w:sz w:val="28"/>
          <w:szCs w:val="28"/>
        </w:rPr>
        <w:t>技术规格书中的要求。</w:t>
      </w:r>
    </w:p>
    <w:p>
      <w:pPr>
        <w:pStyle w:val="13"/>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2、本公司如存在虚假响应，愿承担法律责任并接受废标处理。</w:t>
      </w:r>
    </w:p>
    <w:p>
      <w:pPr>
        <w:rPr>
          <w:rFonts w:hint="eastAsia" w:ascii="宋体" w:hAnsi="宋体" w:eastAsia="宋体" w:cs="宋体"/>
          <w:color w:val="000000"/>
          <w:sz w:val="28"/>
          <w:szCs w:val="28"/>
        </w:rPr>
      </w:pPr>
    </w:p>
    <w:p>
      <w:pPr>
        <w:pStyle w:val="3"/>
        <w:jc w:val="both"/>
        <w:rPr>
          <w:rFonts w:hint="eastAsia" w:ascii="楷体_GB2312" w:hAnsi="Times New Roman" w:eastAsia="楷体_GB2312"/>
          <w:b/>
          <w:bCs w:val="0"/>
          <w:color w:val="000000"/>
          <w:kern w:val="2"/>
          <w:sz w:val="36"/>
          <w:szCs w:val="24"/>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b w:val="0"/>
          <w:bCs/>
          <w:color w:val="000000"/>
          <w:sz w:val="30"/>
          <w:szCs w:val="30"/>
          <w:lang w:val="en-US" w:eastAsia="zh-CN"/>
        </w:rPr>
      </w:pPr>
    </w:p>
    <w:p>
      <w:pPr>
        <w:jc w:val="left"/>
        <w:rPr>
          <w:rFonts w:hint="eastAsia" w:ascii="宋体" w:hAnsi="宋体"/>
          <w:b/>
          <w:bCs w:val="0"/>
          <w:color w:val="000000"/>
          <w:sz w:val="28"/>
          <w:szCs w:val="28"/>
        </w:rPr>
      </w:pPr>
      <w:r>
        <w:rPr>
          <w:rFonts w:hint="eastAsia" w:ascii="宋体" w:hAnsi="宋体"/>
          <w:b/>
          <w:bCs w:val="0"/>
          <w:color w:val="000000"/>
          <w:sz w:val="28"/>
          <w:szCs w:val="28"/>
          <w:lang w:val="en-US" w:eastAsia="zh-CN"/>
        </w:rPr>
        <w:t>5</w:t>
      </w:r>
      <w:r>
        <w:rPr>
          <w:rFonts w:hint="eastAsia" w:ascii="宋体" w:hAnsi="宋体"/>
          <w:b/>
          <w:bCs w:val="0"/>
          <w:color w:val="000000"/>
          <w:sz w:val="28"/>
          <w:szCs w:val="28"/>
        </w:rPr>
        <w:t>.2 商务条款偏离表</w:t>
      </w:r>
    </w:p>
    <w:p>
      <w:pPr>
        <w:pStyle w:val="13"/>
        <w:rPr>
          <w:rFonts w:hint="eastAsia"/>
        </w:rPr>
      </w:pPr>
    </w:p>
    <w:tbl>
      <w:tblPr>
        <w:tblStyle w:val="40"/>
        <w:tblW w:w="8115"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1006"/>
        <w:gridCol w:w="2130"/>
        <w:gridCol w:w="2115"/>
        <w:gridCol w:w="1432"/>
        <w:gridCol w:w="14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序号</w:t>
            </w:r>
          </w:p>
        </w:tc>
        <w:tc>
          <w:tcPr>
            <w:tcW w:w="213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w:t>
            </w:r>
            <w:r>
              <w:rPr>
                <w:rFonts w:hint="eastAsia" w:ascii="宋体" w:hAnsi="宋体" w:cs="宋体"/>
                <w:color w:val="000000"/>
                <w:sz w:val="28"/>
                <w:szCs w:val="28"/>
                <w:lang w:val="en-US" w:eastAsia="zh-CN"/>
              </w:rPr>
              <w:t>文件</w:t>
            </w:r>
            <w:r>
              <w:rPr>
                <w:rFonts w:hint="eastAsia" w:ascii="宋体" w:hAnsi="宋体" w:eastAsia="宋体" w:cs="宋体"/>
                <w:color w:val="000000"/>
                <w:sz w:val="28"/>
                <w:szCs w:val="28"/>
              </w:rPr>
              <w:t>的商务条款</w:t>
            </w:r>
          </w:p>
        </w:tc>
        <w:tc>
          <w:tcPr>
            <w:tcW w:w="21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432" w:type="dxa"/>
            <w:noWrap w:val="0"/>
            <w:vAlign w:val="top"/>
          </w:tcPr>
          <w:p>
            <w:pPr>
              <w:spacing w:before="120"/>
              <w:rPr>
                <w:rFonts w:hint="eastAsia" w:ascii="宋体" w:hAnsi="宋体" w:eastAsia="宋体" w:cs="宋体"/>
                <w:color w:val="000000"/>
                <w:sz w:val="28"/>
                <w:szCs w:val="28"/>
              </w:rPr>
            </w:pPr>
            <w:r>
              <w:rPr>
                <w:rFonts w:hint="eastAsia" w:ascii="宋体" w:hAnsi="宋体" w:cs="宋体"/>
                <w:color w:val="000000"/>
                <w:sz w:val="28"/>
                <w:szCs w:val="28"/>
                <w:lang w:val="en-US" w:eastAsia="zh-CN"/>
              </w:rPr>
              <w:t>是否偏离</w:t>
            </w:r>
          </w:p>
        </w:tc>
        <w:tc>
          <w:tcPr>
            <w:tcW w:w="1432"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偏离类型（正/负）</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1006" w:type="dxa"/>
            <w:noWrap w:val="0"/>
            <w:vAlign w:val="center"/>
          </w:tcPr>
          <w:p>
            <w:pPr>
              <w:spacing w:before="120"/>
              <w:rPr>
                <w:rFonts w:hint="eastAsia" w:ascii="宋体" w:hAnsi="宋体" w:eastAsia="宋体" w:cs="宋体"/>
                <w:color w:val="000000"/>
                <w:sz w:val="28"/>
                <w:szCs w:val="28"/>
                <w:lang w:eastAsia="zh-CN"/>
              </w:rPr>
            </w:pPr>
          </w:p>
        </w:tc>
        <w:tc>
          <w:tcPr>
            <w:tcW w:w="2130" w:type="dxa"/>
            <w:noWrap w:val="0"/>
            <w:vAlign w:val="center"/>
          </w:tcPr>
          <w:p>
            <w:pPr>
              <w:spacing w:before="120"/>
              <w:rPr>
                <w:rFonts w:hint="eastAsia" w:ascii="宋体" w:hAnsi="宋体" w:eastAsia="宋体" w:cs="宋体"/>
                <w:color w:val="000000"/>
                <w:sz w:val="28"/>
                <w:szCs w:val="28"/>
                <w:lang w:eastAsia="zh-CN"/>
              </w:rPr>
            </w:pPr>
          </w:p>
        </w:tc>
        <w:tc>
          <w:tcPr>
            <w:tcW w:w="2115" w:type="dxa"/>
            <w:noWrap w:val="0"/>
            <w:vAlign w:val="center"/>
          </w:tcPr>
          <w:p>
            <w:pPr>
              <w:spacing w:before="120"/>
              <w:rPr>
                <w:rFonts w:hint="eastAsia" w:ascii="宋体" w:hAnsi="宋体" w:eastAsia="宋体" w:cs="宋体"/>
                <w:color w:val="000000"/>
                <w:sz w:val="28"/>
                <w:szCs w:val="28"/>
                <w:lang w:eastAsia="zh-CN"/>
              </w:rPr>
            </w:pPr>
          </w:p>
        </w:tc>
        <w:tc>
          <w:tcPr>
            <w:tcW w:w="1432" w:type="dxa"/>
            <w:noWrap w:val="0"/>
            <w:vAlign w:val="center"/>
          </w:tcPr>
          <w:p>
            <w:pPr>
              <w:spacing w:before="120"/>
              <w:jc w:val="center"/>
              <w:rPr>
                <w:rFonts w:hint="eastAsia" w:ascii="宋体" w:hAnsi="宋体" w:eastAsia="宋体" w:cs="宋体"/>
                <w:color w:val="000000"/>
                <w:sz w:val="28"/>
                <w:szCs w:val="28"/>
              </w:rPr>
            </w:pPr>
          </w:p>
        </w:tc>
        <w:tc>
          <w:tcPr>
            <w:tcW w:w="1432" w:type="dxa"/>
            <w:noWrap w:val="0"/>
            <w:vAlign w:val="center"/>
          </w:tcPr>
          <w:p>
            <w:pPr>
              <w:spacing w:before="120"/>
              <w:jc w:val="cente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cs="宋体"/>
          <w:color w:val="000000"/>
          <w:sz w:val="28"/>
          <w:szCs w:val="28"/>
          <w:lang w:val="en-US" w:eastAsia="zh-CN"/>
        </w:rPr>
        <w:t>响应文件中</w:t>
      </w:r>
      <w:r>
        <w:rPr>
          <w:rFonts w:hint="eastAsia" w:ascii="宋体" w:hAnsi="宋体" w:eastAsia="宋体" w:cs="宋体"/>
          <w:color w:val="000000"/>
          <w:sz w:val="28"/>
          <w:szCs w:val="28"/>
        </w:rPr>
        <w:t>与</w:t>
      </w:r>
      <w:r>
        <w:rPr>
          <w:rFonts w:hint="eastAsia" w:ascii="宋体" w:hAnsi="宋体" w:eastAsia="宋体" w:cs="宋体"/>
          <w:color w:val="000000"/>
          <w:sz w:val="28"/>
          <w:szCs w:val="28"/>
          <w:lang w:eastAsia="zh-CN"/>
        </w:rPr>
        <w:t>询价</w:t>
      </w:r>
      <w:r>
        <w:rPr>
          <w:rFonts w:hint="eastAsia" w:ascii="宋体" w:hAnsi="宋体" w:cs="宋体"/>
          <w:color w:val="000000"/>
          <w:sz w:val="28"/>
          <w:szCs w:val="28"/>
          <w:lang w:val="en-US" w:eastAsia="zh-CN"/>
        </w:rPr>
        <w:t>文件</w:t>
      </w:r>
      <w:r>
        <w:rPr>
          <w:rFonts w:hint="eastAsia" w:ascii="宋体" w:hAnsi="宋体" w:eastAsia="宋体" w:cs="宋体"/>
          <w:color w:val="000000"/>
          <w:sz w:val="28"/>
          <w:szCs w:val="28"/>
        </w:rPr>
        <w:t>的要求有不同时，应逐条列在</w:t>
      </w:r>
      <w:r>
        <w:rPr>
          <w:rFonts w:hint="eastAsia" w:ascii="宋体" w:hAnsi="宋体" w:cs="宋体"/>
          <w:color w:val="000000"/>
          <w:sz w:val="28"/>
          <w:szCs w:val="28"/>
          <w:lang w:val="en-US" w:eastAsia="zh-CN"/>
        </w:rPr>
        <w:t>商务</w:t>
      </w:r>
      <w:r>
        <w:rPr>
          <w:rFonts w:hint="eastAsia" w:ascii="宋体" w:hAnsi="宋体" w:eastAsia="宋体" w:cs="宋体"/>
          <w:color w:val="000000"/>
          <w:sz w:val="28"/>
          <w:szCs w:val="28"/>
        </w:rPr>
        <w:t>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w:t>
      </w:r>
      <w:r>
        <w:rPr>
          <w:rFonts w:hint="eastAsia" w:ascii="宋体" w:hAnsi="宋体" w:cs="宋体"/>
          <w:color w:val="000000"/>
          <w:sz w:val="28"/>
          <w:szCs w:val="28"/>
          <w:lang w:val="en-US" w:eastAsia="zh-CN"/>
        </w:rPr>
        <w:t>文件</w:t>
      </w:r>
      <w:r>
        <w:rPr>
          <w:rFonts w:hint="eastAsia" w:ascii="宋体" w:hAnsi="宋体" w:eastAsia="宋体" w:cs="宋体"/>
          <w:color w:val="000000"/>
          <w:sz w:val="28"/>
          <w:szCs w:val="28"/>
          <w:lang w:eastAsia="zh-CN"/>
        </w:rPr>
        <w:t>及附件</w:t>
      </w:r>
      <w:r>
        <w:rPr>
          <w:rFonts w:hint="eastAsia" w:ascii="宋体" w:hAnsi="宋体" w:eastAsia="宋体" w:cs="宋体"/>
          <w:color w:val="000000"/>
          <w:sz w:val="28"/>
          <w:szCs w:val="28"/>
        </w:rPr>
        <w:t>技术规格书中的要求。</w:t>
      </w:r>
    </w:p>
    <w:p>
      <w:pPr>
        <w:pStyle w:val="13"/>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2、本公司如存在虚假响应，愿承担法律责任并接受废标处理。</w:t>
      </w:r>
    </w:p>
    <w:p>
      <w:pPr>
        <w:pStyle w:val="14"/>
        <w:rPr>
          <w:rFonts w:hint="eastAsia"/>
        </w:rPr>
      </w:pPr>
    </w:p>
    <w:p>
      <w:pPr>
        <w:rPr>
          <w:rFonts w:hint="eastAsia" w:ascii="宋体" w:hAnsi="宋体" w:eastAsia="宋体" w:cs="宋体"/>
          <w:color w:val="000000"/>
          <w:sz w:val="28"/>
          <w:szCs w:val="28"/>
        </w:rPr>
      </w:pPr>
    </w:p>
    <w:p>
      <w:pPr>
        <w:spacing w:after="0" w:line="200" w:lineRule="exact"/>
        <w:rPr>
          <w:color w:val="auto"/>
          <w:sz w:val="20"/>
          <w:szCs w:val="20"/>
        </w:rPr>
      </w:pPr>
    </w:p>
    <w:p>
      <w:pPr>
        <w:spacing w:after="0" w:line="200" w:lineRule="exact"/>
        <w:rPr>
          <w:color w:val="auto"/>
          <w:sz w:val="20"/>
          <w:szCs w:val="20"/>
        </w:rPr>
      </w:pPr>
    </w:p>
    <w:p>
      <w:pPr>
        <w:spacing w:line="560" w:lineRule="exact"/>
        <w:jc w:val="center"/>
        <w:rPr>
          <w:rFonts w:hint="eastAsia" w:ascii="楷体_GB2312" w:eastAsia="楷体_GB2312"/>
          <w:b/>
          <w:color w:val="000000"/>
          <w:sz w:val="36"/>
          <w:lang w:val="en-US" w:eastAsia="zh-CN"/>
        </w:rPr>
      </w:pPr>
    </w:p>
    <w:p>
      <w:pPr>
        <w:spacing w:line="560" w:lineRule="exact"/>
        <w:jc w:val="center"/>
        <w:rPr>
          <w:rFonts w:hint="eastAsia" w:ascii="楷体_GB2312" w:eastAsia="楷体_GB2312"/>
          <w:b/>
          <w:color w:val="000000"/>
          <w:sz w:val="36"/>
          <w:lang w:val="en-US" w:eastAsia="zh-CN"/>
        </w:rPr>
      </w:pPr>
    </w:p>
    <w:p>
      <w:pPr>
        <w:spacing w:line="560" w:lineRule="exact"/>
        <w:jc w:val="center"/>
        <w:rPr>
          <w:rFonts w:hint="eastAsia" w:ascii="楷体_GB2312" w:eastAsia="楷体_GB2312"/>
          <w:b/>
          <w:color w:val="000000"/>
          <w:sz w:val="36"/>
          <w:lang w:val="en-US" w:eastAsia="zh-CN"/>
        </w:rPr>
      </w:pPr>
    </w:p>
    <w:p>
      <w:pPr>
        <w:spacing w:line="560" w:lineRule="exact"/>
        <w:jc w:val="center"/>
        <w:rPr>
          <w:rFonts w:hint="eastAsia" w:ascii="楷体_GB2312" w:eastAsia="楷体_GB2312"/>
          <w:b/>
          <w:color w:val="000000"/>
          <w:sz w:val="36"/>
          <w:lang w:val="en-US" w:eastAsia="zh-CN"/>
        </w:r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9"/>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9"/>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七、证明文件（供参考）</w:t>
      </w:r>
    </w:p>
    <w:p>
      <w:pPr>
        <w:pStyle w:val="19"/>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1.营业执照(副本复印件)、开户许可证（如资质有要求）</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hint="eastAsia" w:ascii="宋体" w:hAnsi="宋体"/>
          <w:b/>
          <w:sz w:val="24"/>
          <w:szCs w:val="24"/>
        </w:rPr>
      </w:pPr>
      <w:r>
        <w:rPr>
          <w:rFonts w:hint="eastAsia" w:ascii="宋体" w:hAnsi="宋体"/>
          <w:b/>
          <w:sz w:val="24"/>
          <w:szCs w:val="24"/>
        </w:rPr>
        <w:t>3.质量认证证书等证明材料（如资质有要求）</w:t>
      </w:r>
    </w:p>
    <w:p>
      <w:pPr>
        <w:pStyle w:val="4"/>
        <w:keepNext/>
        <w:keepLines/>
        <w:pageBreakBefore w:val="0"/>
        <w:widowControl w:val="0"/>
        <w:kinsoku w:val="0"/>
        <w:wordWrap/>
        <w:overflowPunct w:val="0"/>
        <w:topLinePunct w:val="0"/>
        <w:autoSpaceDE/>
        <w:autoSpaceDN/>
        <w:bidi w:val="0"/>
        <w:adjustRightInd/>
        <w:snapToGrid/>
        <w:spacing w:before="0" w:after="0" w:line="360" w:lineRule="auto"/>
        <w:ind w:left="0" w:leftChars="0" w:firstLine="0" w:firstLineChars="0"/>
        <w:textAlignment w:val="auto"/>
        <w:rPr>
          <w:sz w:val="21"/>
        </w:rPr>
      </w:pPr>
      <w:r>
        <w:rPr>
          <w:rFonts w:hint="eastAsia"/>
          <w:sz w:val="21"/>
          <w:lang w:eastAsia="zh-CN"/>
        </w:rPr>
        <w:t>（</w:t>
      </w:r>
      <w:r>
        <w:rPr>
          <w:rFonts w:hint="eastAsia"/>
          <w:sz w:val="21"/>
          <w:lang w:val="en-US" w:eastAsia="zh-CN"/>
        </w:rPr>
        <w:t>1</w:t>
      </w:r>
      <w:r>
        <w:rPr>
          <w:rFonts w:hint="eastAsia"/>
          <w:sz w:val="21"/>
          <w:lang w:eastAsia="zh-CN"/>
        </w:rPr>
        <w:t>）</w:t>
      </w:r>
      <w:r>
        <w:rPr>
          <w:rFonts w:hint="eastAsia"/>
          <w:sz w:val="21"/>
        </w:rPr>
        <w:t>质量管理体系、环境管理体系、职业健康管理体系认证证书（如适用）</w:t>
      </w:r>
    </w:p>
    <w:p>
      <w:pPr>
        <w:pStyle w:val="4"/>
        <w:keepNext/>
        <w:keepLines/>
        <w:pageBreakBefore w:val="0"/>
        <w:widowControl w:val="0"/>
        <w:numPr>
          <w:ilvl w:val="0"/>
          <w:numId w:val="0"/>
        </w:numPr>
        <w:kinsoku w:val="0"/>
        <w:wordWrap/>
        <w:overflowPunct w:val="0"/>
        <w:topLinePunct w:val="0"/>
        <w:autoSpaceDE/>
        <w:autoSpaceDN/>
        <w:bidi w:val="0"/>
        <w:adjustRightInd/>
        <w:snapToGrid/>
        <w:spacing w:before="0" w:after="0" w:line="360" w:lineRule="auto"/>
        <w:textAlignment w:val="auto"/>
        <w:rPr>
          <w:rFonts w:hint="eastAsia"/>
          <w:sz w:val="21"/>
        </w:rPr>
      </w:pPr>
      <w:r>
        <w:rPr>
          <w:rFonts w:hint="eastAsia"/>
          <w:sz w:val="21"/>
          <w:lang w:eastAsia="zh-CN"/>
        </w:rPr>
        <w:t>（</w:t>
      </w:r>
      <w:r>
        <w:rPr>
          <w:rFonts w:hint="eastAsia"/>
          <w:sz w:val="21"/>
          <w:lang w:val="en-US" w:eastAsia="zh-CN"/>
        </w:rPr>
        <w:t>2</w:t>
      </w:r>
      <w:r>
        <w:rPr>
          <w:rFonts w:hint="eastAsia"/>
          <w:sz w:val="21"/>
          <w:lang w:eastAsia="zh-CN"/>
        </w:rPr>
        <w:t>）</w:t>
      </w:r>
      <w:r>
        <w:rPr>
          <w:rFonts w:hint="eastAsia"/>
          <w:sz w:val="21"/>
        </w:rPr>
        <w:t>投标供应商专利技术证书，包括发明专利、实用新型专利（如适用）</w:t>
      </w:r>
    </w:p>
    <w:p>
      <w:pPr>
        <w:spacing w:line="360" w:lineRule="auto"/>
        <w:rPr>
          <w:rFonts w:ascii="宋体" w:hAnsi="宋体"/>
          <w:b/>
          <w:sz w:val="24"/>
          <w:szCs w:val="24"/>
        </w:rPr>
      </w:pPr>
      <w:r>
        <w:rPr>
          <w:rFonts w:hint="eastAsia" w:ascii="宋体" w:hAnsi="宋体"/>
          <w:b/>
          <w:sz w:val="24"/>
          <w:szCs w:val="24"/>
        </w:rPr>
        <w:t>4.</w:t>
      </w:r>
      <w:r>
        <w:rPr>
          <w:rFonts w:hint="eastAsia" w:ascii="宋体" w:hAnsi="宋体"/>
          <w:b/>
          <w:sz w:val="24"/>
          <w:szCs w:val="24"/>
          <w:lang w:eastAsia="zh-CN"/>
        </w:rPr>
        <w:t>报价人</w:t>
      </w:r>
      <w:r>
        <w:rPr>
          <w:rFonts w:hint="eastAsia" w:ascii="宋体" w:hAnsi="宋体"/>
          <w:b/>
          <w:sz w:val="24"/>
          <w:szCs w:val="24"/>
        </w:rPr>
        <w:t>近3年的销售业绩（业绩表填表后，须在后附加主要业绩的合同证明或中标通知书等可以证明业绩真实可信的相关材料）（如资质有要求）</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cs="Times New Roman"/>
          <w:b/>
          <w:sz w:val="24"/>
          <w:szCs w:val="24"/>
          <w:lang w:eastAsia="zh-CN"/>
        </w:rPr>
        <w:t>报价人</w:t>
      </w:r>
      <w:r>
        <w:rPr>
          <w:rFonts w:hint="eastAsia" w:ascii="宋体" w:hAnsi="宋体" w:eastAsia="宋体" w:cs="Times New Roman"/>
          <w:b/>
          <w:sz w:val="24"/>
          <w:szCs w:val="24"/>
        </w:rPr>
        <w:t>近三年会计师事务所出具完整的审计报告（</w:t>
      </w:r>
      <w:r>
        <w:rPr>
          <w:rFonts w:hint="eastAsia" w:ascii="宋体" w:hAnsi="宋体"/>
          <w:b/>
          <w:sz w:val="24"/>
          <w:szCs w:val="24"/>
        </w:rPr>
        <w:t>如需要</w:t>
      </w:r>
      <w:r>
        <w:rPr>
          <w:rFonts w:hint="eastAsia" w:ascii="宋体" w:hAnsi="宋体" w:eastAsia="宋体" w:cs="Times New Roman"/>
          <w:b/>
          <w:sz w:val="24"/>
          <w:szCs w:val="24"/>
        </w:rPr>
        <w:t>）</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其它资质证明文件（如：井下使用产品需提供煤安证书、防爆合格证书，以及其它国家有强制要求的资质证明文件等。）（如资质有要求）</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
        <w:keepNext/>
        <w:keepLines/>
        <w:pageBreakBefore w:val="0"/>
        <w:widowControl w:val="0"/>
        <w:kinsoku/>
        <w:wordWrap/>
        <w:overflowPunct/>
        <w:topLinePunct w:val="0"/>
        <w:autoSpaceDE/>
        <w:autoSpaceDN/>
        <w:bidi w:val="0"/>
        <w:adjustRightInd/>
        <w:snapToGrid/>
        <w:spacing w:before="20" w:after="20" w:line="413" w:lineRule="auto"/>
        <w:ind w:left="0" w:leftChars="0" w:firstLine="0" w:firstLineChars="0"/>
        <w:jc w:val="both"/>
        <w:textAlignment w:val="auto"/>
        <w:rPr>
          <w:b/>
          <w:bCs/>
          <w:sz w:val="24"/>
          <w:szCs w:val="22"/>
        </w:rPr>
      </w:pPr>
      <w:bookmarkStart w:id="56" w:name="_bookmark163"/>
      <w:bookmarkEnd w:id="56"/>
      <w:r>
        <w:rPr>
          <w:rFonts w:hint="eastAsia" w:ascii="黑体" w:hAnsi="黑体"/>
          <w:b/>
          <w:bCs/>
          <w:sz w:val="36"/>
          <w:szCs w:val="22"/>
        </w:rPr>
        <w:t>其他文件</w:t>
      </w:r>
      <w:r>
        <w:rPr>
          <w:rFonts w:hint="eastAsia" w:ascii="楷体_GB2312" w:hAnsi="Times New Roman" w:eastAsia="楷体_GB2312"/>
          <w:b/>
          <w:color w:val="000000"/>
          <w:kern w:val="2"/>
          <w:sz w:val="36"/>
          <w:szCs w:val="24"/>
          <w:lang w:val="en-US" w:eastAsia="zh-CN" w:bidi="ar-SA"/>
        </w:rPr>
        <w:t>（供参考）</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r>
        <w:rPr>
          <w:rFonts w:hint="eastAsia" w:ascii="黑体" w:hAnsi="黑体" w:cs="Times New Roman"/>
          <w:szCs w:val="22"/>
          <w:lang w:val="en-US" w:eastAsia="zh-CN"/>
        </w:rPr>
        <w:t>（一）公司简介</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7" w:name="_bookmark167"/>
      <w:bookmarkEnd w:id="57"/>
      <w:r>
        <w:rPr>
          <w:rFonts w:hint="eastAsia" w:ascii="黑体" w:hAnsi="黑体" w:cs="Times New Roman"/>
          <w:szCs w:val="22"/>
          <w:lang w:val="en-US" w:eastAsia="zh-CN"/>
        </w:rPr>
        <w:t>（二）企业信誉或获奖情况</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default" w:ascii="黑体" w:hAnsi="黑体" w:cs="Times New Roman"/>
          <w:szCs w:val="22"/>
          <w:lang w:val="en-US" w:eastAsia="zh-CN"/>
        </w:rPr>
        <w:sectPr>
          <w:headerReference r:id="rId7" w:type="default"/>
          <w:footerReference r:id="rId8"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ascii="黑体" w:hAnsi="黑体"/>
          <w:szCs w:val="22"/>
        </w:rPr>
      </w:pPr>
      <w:bookmarkStart w:id="58" w:name="_bookmark170"/>
      <w:bookmarkEnd w:id="58"/>
      <w:r>
        <w:rPr>
          <w:rFonts w:hint="eastAsia" w:ascii="黑体" w:hAnsi="黑体"/>
          <w:szCs w:val="22"/>
          <w:lang w:val="en-US" w:eastAsia="zh-CN"/>
        </w:rPr>
        <w:t>（三）</w:t>
      </w:r>
      <w:r>
        <w:rPr>
          <w:rFonts w:hint="eastAsia" w:ascii="黑体" w:hAnsi="黑体"/>
          <w:szCs w:val="22"/>
        </w:rPr>
        <w:t>投标设备技术性能指标（材料质量标准）的详细描述</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59" w:name="_bookmark171"/>
      <w:bookmarkEnd w:id="59"/>
      <w:r>
        <w:rPr>
          <w:rFonts w:hint="eastAsia" w:ascii="黑体" w:hAnsi="黑体" w:cs="Times New Roman"/>
          <w:szCs w:val="22"/>
          <w:lang w:val="en-US" w:eastAsia="zh-CN"/>
        </w:rPr>
        <w:t>（四）技术支持资料</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60" w:name="_bookmark172"/>
      <w:bookmarkEnd w:id="60"/>
      <w:r>
        <w:rPr>
          <w:rFonts w:hint="eastAsia" w:ascii="黑体" w:hAnsi="黑体" w:cs="Times New Roman"/>
          <w:szCs w:val="22"/>
          <w:lang w:val="en-US" w:eastAsia="zh-CN"/>
        </w:rPr>
        <w:t>（五）技术服务、售后服务和质保期服务计划</w:t>
      </w:r>
    </w:p>
    <w:p>
      <w:pPr>
        <w:pStyle w:val="3"/>
        <w:keepNext/>
        <w:keepLines/>
        <w:pageBreakBefore w:val="0"/>
        <w:widowControl w:val="0"/>
        <w:kinsoku w:val="0"/>
        <w:wordWrap/>
        <w:overflowPunct w:val="0"/>
        <w:topLinePunct w:val="0"/>
        <w:autoSpaceDE/>
        <w:autoSpaceDN/>
        <w:bidi w:val="0"/>
        <w:adjustRightInd/>
        <w:snapToGrid/>
        <w:spacing w:before="140" w:after="140" w:line="498" w:lineRule="exact"/>
        <w:ind w:right="300"/>
        <w:jc w:val="both"/>
        <w:textAlignment w:val="auto"/>
        <w:rPr>
          <w:rFonts w:hint="eastAsia" w:ascii="黑体" w:hAnsi="黑体" w:cs="Times New Roman"/>
          <w:szCs w:val="22"/>
          <w:lang w:val="en-US" w:eastAsia="zh-CN"/>
        </w:rPr>
      </w:pPr>
      <w:bookmarkStart w:id="61" w:name="_bookmark173"/>
      <w:bookmarkEnd w:id="61"/>
      <w:r>
        <w:rPr>
          <w:rFonts w:hint="eastAsia" w:ascii="黑体" w:hAnsi="黑体" w:cs="Times New Roman"/>
          <w:szCs w:val="22"/>
          <w:lang w:val="en-US" w:eastAsia="zh-CN"/>
        </w:rPr>
        <w:t>（七）投标供应商认为需要加以说明的其他内容</w:t>
      </w:r>
    </w:p>
    <w:p>
      <w:pPr>
        <w:widowControl w:val="0"/>
        <w:numPr>
          <w:ilvl w:val="0"/>
          <w:numId w:val="0"/>
        </w:numPr>
        <w:jc w:val="both"/>
      </w:pPr>
    </w:p>
    <w:p>
      <w:pPr>
        <w:numPr>
          <w:ilvl w:val="0"/>
          <w:numId w:val="0"/>
        </w:numPr>
        <w:ind w:leftChars="0"/>
      </w:pPr>
    </w:p>
    <w:p>
      <w:pPr>
        <w:pStyle w:val="47"/>
      </w:pP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10</w:t>
    </w:r>
    <w:r>
      <w:fldChar w:fldCharType="end"/>
    </w:r>
  </w:p>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4"/>
      </w:rPr>
    </w:pPr>
    <w:r>
      <w:fldChar w:fldCharType="begin"/>
    </w:r>
    <w:r>
      <w:rPr>
        <w:rStyle w:val="44"/>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fldChar w:fldCharType="begin"/>
    </w:r>
    <w:r>
      <w:rPr>
        <w:rStyle w:val="44"/>
      </w:rPr>
      <w:instrText xml:space="preserve"> PAGE </w:instrText>
    </w:r>
    <w:r>
      <w:fldChar w:fldCharType="separate"/>
    </w:r>
    <w:r>
      <w:rPr>
        <w:rStyle w:val="44"/>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FAC62"/>
    <w:multiLevelType w:val="singleLevel"/>
    <w:tmpl w:val="C80FAC62"/>
    <w:lvl w:ilvl="0" w:tentative="0">
      <w:start w:val="1"/>
      <w:numFmt w:val="decimal"/>
      <w:suff w:val="nothing"/>
      <w:lvlText w:val="（%1）"/>
      <w:lvlJc w:val="left"/>
    </w:lvl>
  </w:abstractNum>
  <w:abstractNum w:abstractNumId="1">
    <w:nsid w:val="EDAB0F71"/>
    <w:multiLevelType w:val="singleLevel"/>
    <w:tmpl w:val="EDAB0F71"/>
    <w:lvl w:ilvl="0" w:tentative="0">
      <w:start w:val="2"/>
      <w:numFmt w:val="chineseCounting"/>
      <w:suff w:val="space"/>
      <w:lvlText w:val="第%1章"/>
      <w:lvlJc w:val="left"/>
      <w:rPr>
        <w:rFonts w:hint="eastAsia"/>
      </w:rPr>
    </w:lvl>
  </w:abstractNum>
  <w:abstractNum w:abstractNumId="2">
    <w:nsid w:val="00A49269"/>
    <w:multiLevelType w:val="singleLevel"/>
    <w:tmpl w:val="00A49269"/>
    <w:lvl w:ilvl="0" w:tentative="0">
      <w:start w:val="1"/>
      <w:numFmt w:val="chineseCounting"/>
      <w:suff w:val="space"/>
      <w:lvlText w:val="第%1章"/>
      <w:lvlJc w:val="left"/>
      <w:rPr>
        <w:rFonts w:hint="eastAsia"/>
      </w:rPr>
    </w:lvl>
  </w:abstractNum>
  <w:abstractNum w:abstractNumId="3">
    <w:nsid w:val="1D6F76A3"/>
    <w:multiLevelType w:val="singleLevel"/>
    <w:tmpl w:val="1D6F76A3"/>
    <w:lvl w:ilvl="0" w:tentative="0">
      <w:start w:val="1"/>
      <w:numFmt w:val="decimal"/>
      <w:suff w:val="nothing"/>
      <w:lvlText w:val="（%1）"/>
      <w:lvlJc w:val="left"/>
    </w:lvl>
  </w:abstractNum>
  <w:abstractNum w:abstractNumId="4">
    <w:nsid w:val="229718EE"/>
    <w:multiLevelType w:val="singleLevel"/>
    <w:tmpl w:val="229718EE"/>
    <w:lvl w:ilvl="0" w:tentative="0">
      <w:start w:val="1"/>
      <w:numFmt w:val="chineseCounting"/>
      <w:suff w:val="space"/>
      <w:lvlText w:val="第%1章"/>
      <w:lvlJc w:val="left"/>
      <w:rPr>
        <w:rFonts w:hint="eastAsia"/>
      </w:rPr>
    </w:lvl>
  </w:abstractNum>
  <w:abstractNum w:abstractNumId="5">
    <w:nsid w:val="2B7BB1E6"/>
    <w:multiLevelType w:val="singleLevel"/>
    <w:tmpl w:val="2B7BB1E6"/>
    <w:lvl w:ilvl="0" w:tentative="0">
      <w:start w:val="1"/>
      <w:numFmt w:val="decimal"/>
      <w:suff w:val="nothing"/>
      <w:lvlText w:val="（%1）"/>
      <w:lvlJc w:val="left"/>
    </w:lvl>
  </w:abstractNum>
  <w:abstractNum w:abstractNumId="6">
    <w:nsid w:val="52C93B59"/>
    <w:multiLevelType w:val="multilevel"/>
    <w:tmpl w:val="52C93B59"/>
    <w:lvl w:ilvl="0" w:tentative="0">
      <w:start w:val="1"/>
      <w:numFmt w:val="japaneseCounting"/>
      <w:lvlText w:val="第%1条"/>
      <w:lvlJc w:val="left"/>
      <w:pPr>
        <w:ind w:left="1442" w:hanging="960"/>
      </w:pPr>
      <w:rPr>
        <w:rFonts w:hint="default" w:hAnsi="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4BB"/>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2D4559"/>
    <w:rsid w:val="014E4B09"/>
    <w:rsid w:val="018570C8"/>
    <w:rsid w:val="02AF383B"/>
    <w:rsid w:val="02CD558E"/>
    <w:rsid w:val="02F954F7"/>
    <w:rsid w:val="0320159E"/>
    <w:rsid w:val="032D4FC8"/>
    <w:rsid w:val="03542CFB"/>
    <w:rsid w:val="03A30712"/>
    <w:rsid w:val="03EB7B18"/>
    <w:rsid w:val="04A3132C"/>
    <w:rsid w:val="04C647CC"/>
    <w:rsid w:val="05214D9E"/>
    <w:rsid w:val="05466C03"/>
    <w:rsid w:val="058E204C"/>
    <w:rsid w:val="05C73104"/>
    <w:rsid w:val="060C13D1"/>
    <w:rsid w:val="061D7F7D"/>
    <w:rsid w:val="0787278A"/>
    <w:rsid w:val="07CB51FF"/>
    <w:rsid w:val="07F941B6"/>
    <w:rsid w:val="081D1C70"/>
    <w:rsid w:val="087263A0"/>
    <w:rsid w:val="08862D58"/>
    <w:rsid w:val="0892434E"/>
    <w:rsid w:val="08A17A30"/>
    <w:rsid w:val="08C73E86"/>
    <w:rsid w:val="08E629B3"/>
    <w:rsid w:val="09086C9E"/>
    <w:rsid w:val="096A718F"/>
    <w:rsid w:val="09B0194F"/>
    <w:rsid w:val="0A033AB2"/>
    <w:rsid w:val="0A4270B6"/>
    <w:rsid w:val="0B34076E"/>
    <w:rsid w:val="0B3D612D"/>
    <w:rsid w:val="0B7932AB"/>
    <w:rsid w:val="0CBD680E"/>
    <w:rsid w:val="0CE62C1D"/>
    <w:rsid w:val="0D0264FC"/>
    <w:rsid w:val="0DEC43F9"/>
    <w:rsid w:val="0DF41C0B"/>
    <w:rsid w:val="0ED4718B"/>
    <w:rsid w:val="0FFF63B5"/>
    <w:rsid w:val="100653D1"/>
    <w:rsid w:val="1135411C"/>
    <w:rsid w:val="11D8256B"/>
    <w:rsid w:val="129605BB"/>
    <w:rsid w:val="12BB1D53"/>
    <w:rsid w:val="12C93B91"/>
    <w:rsid w:val="12E61367"/>
    <w:rsid w:val="12EA441C"/>
    <w:rsid w:val="1394497D"/>
    <w:rsid w:val="13E763C7"/>
    <w:rsid w:val="13F13A91"/>
    <w:rsid w:val="141007B1"/>
    <w:rsid w:val="14173EB5"/>
    <w:rsid w:val="142F21C9"/>
    <w:rsid w:val="143B1D4E"/>
    <w:rsid w:val="14B663AB"/>
    <w:rsid w:val="150F14EC"/>
    <w:rsid w:val="15241F34"/>
    <w:rsid w:val="157A6181"/>
    <w:rsid w:val="160040FF"/>
    <w:rsid w:val="160C11E0"/>
    <w:rsid w:val="162A0935"/>
    <w:rsid w:val="162E33EB"/>
    <w:rsid w:val="165D6ECF"/>
    <w:rsid w:val="169C5459"/>
    <w:rsid w:val="16F86E7F"/>
    <w:rsid w:val="16FA792A"/>
    <w:rsid w:val="1714086C"/>
    <w:rsid w:val="1714307F"/>
    <w:rsid w:val="172A4A57"/>
    <w:rsid w:val="179A0945"/>
    <w:rsid w:val="17A71517"/>
    <w:rsid w:val="17A93843"/>
    <w:rsid w:val="180B7B5C"/>
    <w:rsid w:val="181F648C"/>
    <w:rsid w:val="1824322E"/>
    <w:rsid w:val="18B72DA7"/>
    <w:rsid w:val="18E276B7"/>
    <w:rsid w:val="197A2BBE"/>
    <w:rsid w:val="19AD0BD8"/>
    <w:rsid w:val="19B94E7B"/>
    <w:rsid w:val="1A580D51"/>
    <w:rsid w:val="1AB9684E"/>
    <w:rsid w:val="1AC576A1"/>
    <w:rsid w:val="1B5D6AB9"/>
    <w:rsid w:val="1B8C50CE"/>
    <w:rsid w:val="1BE00AFC"/>
    <w:rsid w:val="1CB424E4"/>
    <w:rsid w:val="1CBC4BAC"/>
    <w:rsid w:val="1CCC5875"/>
    <w:rsid w:val="1D206E8B"/>
    <w:rsid w:val="1D381513"/>
    <w:rsid w:val="1D3C0729"/>
    <w:rsid w:val="1E293E48"/>
    <w:rsid w:val="1E6F56F1"/>
    <w:rsid w:val="1F3D032E"/>
    <w:rsid w:val="1F720104"/>
    <w:rsid w:val="1F866EC4"/>
    <w:rsid w:val="210A5A0F"/>
    <w:rsid w:val="215313DE"/>
    <w:rsid w:val="217B22EC"/>
    <w:rsid w:val="21D70458"/>
    <w:rsid w:val="21F94319"/>
    <w:rsid w:val="22421EF3"/>
    <w:rsid w:val="224578C9"/>
    <w:rsid w:val="229058DA"/>
    <w:rsid w:val="22B31A67"/>
    <w:rsid w:val="23BB49F7"/>
    <w:rsid w:val="24081E24"/>
    <w:rsid w:val="24162A12"/>
    <w:rsid w:val="24531A68"/>
    <w:rsid w:val="24832077"/>
    <w:rsid w:val="249A1D87"/>
    <w:rsid w:val="24F305AA"/>
    <w:rsid w:val="25122706"/>
    <w:rsid w:val="256166A4"/>
    <w:rsid w:val="25BE07AA"/>
    <w:rsid w:val="26523FF5"/>
    <w:rsid w:val="26827B2C"/>
    <w:rsid w:val="26C70F42"/>
    <w:rsid w:val="26CB6B86"/>
    <w:rsid w:val="26D24C82"/>
    <w:rsid w:val="270D1CD1"/>
    <w:rsid w:val="27C3780D"/>
    <w:rsid w:val="27D35C79"/>
    <w:rsid w:val="27E637EB"/>
    <w:rsid w:val="28271C83"/>
    <w:rsid w:val="28466F55"/>
    <w:rsid w:val="28E93685"/>
    <w:rsid w:val="29143B49"/>
    <w:rsid w:val="29F3066E"/>
    <w:rsid w:val="2A0E41D3"/>
    <w:rsid w:val="2A20052E"/>
    <w:rsid w:val="2A527E8E"/>
    <w:rsid w:val="2AE91B40"/>
    <w:rsid w:val="2B214D5B"/>
    <w:rsid w:val="2B8A0D4B"/>
    <w:rsid w:val="2BD61206"/>
    <w:rsid w:val="2C1B3797"/>
    <w:rsid w:val="2C3D6E32"/>
    <w:rsid w:val="2C677365"/>
    <w:rsid w:val="2CD9183F"/>
    <w:rsid w:val="2D5561A6"/>
    <w:rsid w:val="2D6E34A7"/>
    <w:rsid w:val="2D7A5810"/>
    <w:rsid w:val="2E734AAD"/>
    <w:rsid w:val="2E863C44"/>
    <w:rsid w:val="2EAF12D8"/>
    <w:rsid w:val="2F022441"/>
    <w:rsid w:val="2F0430D2"/>
    <w:rsid w:val="2F520F27"/>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3456890"/>
    <w:rsid w:val="340F2D34"/>
    <w:rsid w:val="34436C96"/>
    <w:rsid w:val="350910B7"/>
    <w:rsid w:val="35DD21D4"/>
    <w:rsid w:val="35E506D9"/>
    <w:rsid w:val="36026880"/>
    <w:rsid w:val="364963F2"/>
    <w:rsid w:val="36884BC0"/>
    <w:rsid w:val="36DA10EC"/>
    <w:rsid w:val="36F871A7"/>
    <w:rsid w:val="378E1589"/>
    <w:rsid w:val="380764A1"/>
    <w:rsid w:val="38F444D1"/>
    <w:rsid w:val="38FC556E"/>
    <w:rsid w:val="396661BD"/>
    <w:rsid w:val="399E38AA"/>
    <w:rsid w:val="39B57210"/>
    <w:rsid w:val="39C80A83"/>
    <w:rsid w:val="39D42781"/>
    <w:rsid w:val="3A6227BF"/>
    <w:rsid w:val="3A816D41"/>
    <w:rsid w:val="3AF8453A"/>
    <w:rsid w:val="3AF85C82"/>
    <w:rsid w:val="3B0216D1"/>
    <w:rsid w:val="3B3F71E3"/>
    <w:rsid w:val="3BC25DC5"/>
    <w:rsid w:val="3C4C7E13"/>
    <w:rsid w:val="3C7626F9"/>
    <w:rsid w:val="3C843D09"/>
    <w:rsid w:val="3D3261A9"/>
    <w:rsid w:val="3D637BB9"/>
    <w:rsid w:val="3D6C1213"/>
    <w:rsid w:val="3D6C13F8"/>
    <w:rsid w:val="3D811F18"/>
    <w:rsid w:val="3DD75255"/>
    <w:rsid w:val="3DDD79E8"/>
    <w:rsid w:val="3FA637C7"/>
    <w:rsid w:val="3FBF05B1"/>
    <w:rsid w:val="3FD94560"/>
    <w:rsid w:val="40551EE9"/>
    <w:rsid w:val="406706B3"/>
    <w:rsid w:val="40B35988"/>
    <w:rsid w:val="41294935"/>
    <w:rsid w:val="41B03AD3"/>
    <w:rsid w:val="41F20CFE"/>
    <w:rsid w:val="41FF42C7"/>
    <w:rsid w:val="42003BED"/>
    <w:rsid w:val="422B44E5"/>
    <w:rsid w:val="42F860BA"/>
    <w:rsid w:val="434846C3"/>
    <w:rsid w:val="43822435"/>
    <w:rsid w:val="438D0C58"/>
    <w:rsid w:val="43997DFF"/>
    <w:rsid w:val="43A022D3"/>
    <w:rsid w:val="43C367A9"/>
    <w:rsid w:val="43DC43DA"/>
    <w:rsid w:val="43DC7139"/>
    <w:rsid w:val="43F34005"/>
    <w:rsid w:val="43FC6C22"/>
    <w:rsid w:val="44086395"/>
    <w:rsid w:val="44364759"/>
    <w:rsid w:val="446156A2"/>
    <w:rsid w:val="44791600"/>
    <w:rsid w:val="44A41927"/>
    <w:rsid w:val="44CC73CF"/>
    <w:rsid w:val="45185CC7"/>
    <w:rsid w:val="452E0A39"/>
    <w:rsid w:val="456E5D97"/>
    <w:rsid w:val="45780A1D"/>
    <w:rsid w:val="45BC3439"/>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23B4C"/>
    <w:rsid w:val="49E74DC6"/>
    <w:rsid w:val="4A2B7417"/>
    <w:rsid w:val="4A5B4034"/>
    <w:rsid w:val="4A7E30FC"/>
    <w:rsid w:val="4A7F6A22"/>
    <w:rsid w:val="4A895CED"/>
    <w:rsid w:val="4AD87C28"/>
    <w:rsid w:val="4AF87892"/>
    <w:rsid w:val="4B06733D"/>
    <w:rsid w:val="4B721A58"/>
    <w:rsid w:val="4B9106CF"/>
    <w:rsid w:val="4BD51267"/>
    <w:rsid w:val="4C033545"/>
    <w:rsid w:val="4C207F8B"/>
    <w:rsid w:val="4C21155B"/>
    <w:rsid w:val="4C232E35"/>
    <w:rsid w:val="4CB37B3F"/>
    <w:rsid w:val="4CEA0883"/>
    <w:rsid w:val="4D074BF6"/>
    <w:rsid w:val="4D091462"/>
    <w:rsid w:val="4D2E65F4"/>
    <w:rsid w:val="4D3358A5"/>
    <w:rsid w:val="4D3E79A5"/>
    <w:rsid w:val="4D646FA8"/>
    <w:rsid w:val="4DBD4658"/>
    <w:rsid w:val="4E7A678B"/>
    <w:rsid w:val="4EF641ED"/>
    <w:rsid w:val="4F304989"/>
    <w:rsid w:val="4F425EA7"/>
    <w:rsid w:val="4FC740B1"/>
    <w:rsid w:val="4FEB1B0A"/>
    <w:rsid w:val="5025797F"/>
    <w:rsid w:val="504557E4"/>
    <w:rsid w:val="504F1365"/>
    <w:rsid w:val="50D436E4"/>
    <w:rsid w:val="50DC133F"/>
    <w:rsid w:val="50DD52BE"/>
    <w:rsid w:val="50F86BB7"/>
    <w:rsid w:val="5134028E"/>
    <w:rsid w:val="515A169C"/>
    <w:rsid w:val="51A712AC"/>
    <w:rsid w:val="51B2273F"/>
    <w:rsid w:val="51E43809"/>
    <w:rsid w:val="52013877"/>
    <w:rsid w:val="52DE7234"/>
    <w:rsid w:val="533E69B9"/>
    <w:rsid w:val="53A619F8"/>
    <w:rsid w:val="53D76A4D"/>
    <w:rsid w:val="541C219E"/>
    <w:rsid w:val="547D1318"/>
    <w:rsid w:val="54D5463A"/>
    <w:rsid w:val="552B46EA"/>
    <w:rsid w:val="55590A7B"/>
    <w:rsid w:val="55B57011"/>
    <w:rsid w:val="55EE46CE"/>
    <w:rsid w:val="561C01DC"/>
    <w:rsid w:val="56D85EBE"/>
    <w:rsid w:val="570E6017"/>
    <w:rsid w:val="57D63774"/>
    <w:rsid w:val="58253C56"/>
    <w:rsid w:val="58311772"/>
    <w:rsid w:val="588E3388"/>
    <w:rsid w:val="58B64FD1"/>
    <w:rsid w:val="59462137"/>
    <w:rsid w:val="59A417DF"/>
    <w:rsid w:val="5A150B74"/>
    <w:rsid w:val="5A595D42"/>
    <w:rsid w:val="5A7A663F"/>
    <w:rsid w:val="5ABC5795"/>
    <w:rsid w:val="5B1F2E32"/>
    <w:rsid w:val="5B8D05F1"/>
    <w:rsid w:val="5BEB6E7E"/>
    <w:rsid w:val="5C4D1DB3"/>
    <w:rsid w:val="5CCC5BEA"/>
    <w:rsid w:val="5CEE2993"/>
    <w:rsid w:val="5D3112EA"/>
    <w:rsid w:val="5D333601"/>
    <w:rsid w:val="5D343D1B"/>
    <w:rsid w:val="5DA014FA"/>
    <w:rsid w:val="5DD32969"/>
    <w:rsid w:val="5E131AE1"/>
    <w:rsid w:val="5E2B4BBA"/>
    <w:rsid w:val="5E431B16"/>
    <w:rsid w:val="5E8254B3"/>
    <w:rsid w:val="5EED6B35"/>
    <w:rsid w:val="5F64744E"/>
    <w:rsid w:val="5FF50F6F"/>
    <w:rsid w:val="60141A41"/>
    <w:rsid w:val="60180D8C"/>
    <w:rsid w:val="60365152"/>
    <w:rsid w:val="60400EAC"/>
    <w:rsid w:val="60A17999"/>
    <w:rsid w:val="60CC71C6"/>
    <w:rsid w:val="61353271"/>
    <w:rsid w:val="615C46D7"/>
    <w:rsid w:val="62714A2C"/>
    <w:rsid w:val="62773740"/>
    <w:rsid w:val="62825678"/>
    <w:rsid w:val="62A96597"/>
    <w:rsid w:val="6347676C"/>
    <w:rsid w:val="63706C05"/>
    <w:rsid w:val="63CA01BB"/>
    <w:rsid w:val="63E702B4"/>
    <w:rsid w:val="644D6ECE"/>
    <w:rsid w:val="65F36FB4"/>
    <w:rsid w:val="663027F8"/>
    <w:rsid w:val="66521708"/>
    <w:rsid w:val="67333B6F"/>
    <w:rsid w:val="67384DB0"/>
    <w:rsid w:val="676A2ABF"/>
    <w:rsid w:val="67AF7F23"/>
    <w:rsid w:val="68A2078B"/>
    <w:rsid w:val="68E24A13"/>
    <w:rsid w:val="69654B6F"/>
    <w:rsid w:val="69771DFD"/>
    <w:rsid w:val="697D68D0"/>
    <w:rsid w:val="698D4E76"/>
    <w:rsid w:val="69AA170E"/>
    <w:rsid w:val="6A8857AC"/>
    <w:rsid w:val="6B276FC0"/>
    <w:rsid w:val="6B541DD4"/>
    <w:rsid w:val="6B746E30"/>
    <w:rsid w:val="6B79303A"/>
    <w:rsid w:val="6C94357E"/>
    <w:rsid w:val="6CA821A9"/>
    <w:rsid w:val="6D391458"/>
    <w:rsid w:val="6D7D2A37"/>
    <w:rsid w:val="6E0F60F8"/>
    <w:rsid w:val="6E2673EC"/>
    <w:rsid w:val="6E4B6C92"/>
    <w:rsid w:val="6E593EEB"/>
    <w:rsid w:val="6E6011C3"/>
    <w:rsid w:val="6EA63A9D"/>
    <w:rsid w:val="6ED77465"/>
    <w:rsid w:val="6EE95D08"/>
    <w:rsid w:val="6EEA0449"/>
    <w:rsid w:val="6EF34C2C"/>
    <w:rsid w:val="6EF94940"/>
    <w:rsid w:val="6F1D4020"/>
    <w:rsid w:val="6F1D4D75"/>
    <w:rsid w:val="6F4D643C"/>
    <w:rsid w:val="6FD107CB"/>
    <w:rsid w:val="70405B3D"/>
    <w:rsid w:val="70BF0967"/>
    <w:rsid w:val="70D9168A"/>
    <w:rsid w:val="71675358"/>
    <w:rsid w:val="71784803"/>
    <w:rsid w:val="719A01D2"/>
    <w:rsid w:val="71C87581"/>
    <w:rsid w:val="71CD20B4"/>
    <w:rsid w:val="71E179F6"/>
    <w:rsid w:val="721A3E0D"/>
    <w:rsid w:val="7247183F"/>
    <w:rsid w:val="72A106E0"/>
    <w:rsid w:val="72CF5403"/>
    <w:rsid w:val="72FB7DBB"/>
    <w:rsid w:val="7327014A"/>
    <w:rsid w:val="733F2C70"/>
    <w:rsid w:val="734015F3"/>
    <w:rsid w:val="7350519D"/>
    <w:rsid w:val="73642D4D"/>
    <w:rsid w:val="73B61AA2"/>
    <w:rsid w:val="73E10E1B"/>
    <w:rsid w:val="73EE0C71"/>
    <w:rsid w:val="74082F2F"/>
    <w:rsid w:val="746F3BF8"/>
    <w:rsid w:val="74761E70"/>
    <w:rsid w:val="74912FD9"/>
    <w:rsid w:val="75177580"/>
    <w:rsid w:val="756036C6"/>
    <w:rsid w:val="75EC65D9"/>
    <w:rsid w:val="75FD507B"/>
    <w:rsid w:val="76014685"/>
    <w:rsid w:val="765E271F"/>
    <w:rsid w:val="76C02CA1"/>
    <w:rsid w:val="76F20FC6"/>
    <w:rsid w:val="77162764"/>
    <w:rsid w:val="77383AA7"/>
    <w:rsid w:val="779052CB"/>
    <w:rsid w:val="77F0414A"/>
    <w:rsid w:val="788554ED"/>
    <w:rsid w:val="78CE61C8"/>
    <w:rsid w:val="79A41575"/>
    <w:rsid w:val="79B14DFF"/>
    <w:rsid w:val="79E61F64"/>
    <w:rsid w:val="7A504461"/>
    <w:rsid w:val="7A566BF7"/>
    <w:rsid w:val="7AAD1B85"/>
    <w:rsid w:val="7ABA023C"/>
    <w:rsid w:val="7ACC78A5"/>
    <w:rsid w:val="7AED7E0D"/>
    <w:rsid w:val="7B41707C"/>
    <w:rsid w:val="7B6839D6"/>
    <w:rsid w:val="7B794B10"/>
    <w:rsid w:val="7C055ED7"/>
    <w:rsid w:val="7C8A1D77"/>
    <w:rsid w:val="7C8B644A"/>
    <w:rsid w:val="7CCE5617"/>
    <w:rsid w:val="7CD1277D"/>
    <w:rsid w:val="7CFF3AAE"/>
    <w:rsid w:val="7D613BF9"/>
    <w:rsid w:val="7D66580D"/>
    <w:rsid w:val="7D954C19"/>
    <w:rsid w:val="7DA205E1"/>
    <w:rsid w:val="7DB076D1"/>
    <w:rsid w:val="7E466A82"/>
    <w:rsid w:val="7E5E541F"/>
    <w:rsid w:val="7E883D33"/>
    <w:rsid w:val="7EE859B2"/>
    <w:rsid w:val="7F253B70"/>
    <w:rsid w:val="7F417B1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65"/>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unhideWhenUsed/>
    <w:qFormat/>
    <w:uiPriority w:val="0"/>
    <w:pPr>
      <w:keepNext/>
      <w:keepLines/>
      <w:spacing w:before="280" w:after="290" w:line="372" w:lineRule="auto"/>
      <w:outlineLvl w:val="4"/>
    </w:pPr>
    <w:rPr>
      <w:rFonts w:ascii="Calibri" w:hAnsi="Calibri"/>
      <w:b/>
      <w:bCs/>
      <w:sz w:val="28"/>
      <w:szCs w:val="2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00" w:leftChars="1200"/>
    </w:pPr>
  </w:style>
  <w:style w:type="paragraph" w:styleId="7">
    <w:name w:val="Normal Indent"/>
    <w:basedOn w:val="1"/>
    <w:next w:val="1"/>
    <w:qFormat/>
    <w:uiPriority w:val="0"/>
    <w:pPr>
      <w:ind w:firstLine="420"/>
    </w:pPr>
  </w:style>
  <w:style w:type="paragraph" w:styleId="8">
    <w:name w:val="caption"/>
    <w:basedOn w:val="1"/>
    <w:next w:val="1"/>
    <w:qFormat/>
    <w:uiPriority w:val="0"/>
    <w:pPr>
      <w:ind w:firstLine="6290" w:firstLineChars="2282"/>
    </w:pPr>
    <w:rPr>
      <w:b/>
      <w:bCs/>
      <w:snapToGrid/>
      <w:color w:val="000080"/>
      <w:kern w:val="2"/>
      <w:sz w:val="28"/>
      <w:szCs w:val="24"/>
    </w:rPr>
  </w:style>
  <w:style w:type="paragraph" w:styleId="9">
    <w:name w:val="Document Map"/>
    <w:basedOn w:val="1"/>
    <w:qFormat/>
    <w:uiPriority w:val="0"/>
    <w:rPr>
      <w:rFonts w:ascii="宋体" w:cs="宋体"/>
      <w:sz w:val="18"/>
      <w:szCs w:val="18"/>
    </w:rPr>
  </w:style>
  <w:style w:type="paragraph" w:styleId="10">
    <w:name w:val="toa heading"/>
    <w:basedOn w:val="1"/>
    <w:next w:val="1"/>
    <w:unhideWhenUsed/>
    <w:qFormat/>
    <w:uiPriority w:val="99"/>
    <w:pPr>
      <w:spacing w:before="120"/>
    </w:pPr>
    <w:rPr>
      <w:rFonts w:ascii="Arial" w:hAnsi="Arial"/>
      <w:sz w:val="24"/>
    </w:rPr>
  </w:style>
  <w:style w:type="paragraph" w:styleId="11">
    <w:name w:val="annotation text"/>
    <w:basedOn w:val="1"/>
    <w:link w:val="55"/>
    <w:qFormat/>
    <w:uiPriority w:val="0"/>
    <w:pPr>
      <w:jc w:val="left"/>
    </w:pPr>
    <w:rPr>
      <w:rFonts w:ascii="Times New Roman" w:hAnsi="Times New Roman"/>
      <w:szCs w:val="20"/>
    </w:rPr>
  </w:style>
  <w:style w:type="paragraph" w:styleId="12">
    <w:name w:val="Body Text 3"/>
    <w:basedOn w:val="1"/>
    <w:link w:val="56"/>
    <w:qFormat/>
    <w:uiPriority w:val="0"/>
    <w:rPr>
      <w:rFonts w:ascii="宋体"/>
      <w:sz w:val="24"/>
      <w:szCs w:val="20"/>
    </w:rPr>
  </w:style>
  <w:style w:type="paragraph" w:styleId="13">
    <w:name w:val="Body Text"/>
    <w:basedOn w:val="1"/>
    <w:next w:val="14"/>
    <w:unhideWhenUsed/>
    <w:qFormat/>
    <w:uiPriority w:val="1"/>
    <w:rPr>
      <w:rFonts w:hint="eastAsia"/>
    </w:rPr>
  </w:style>
  <w:style w:type="paragraph" w:styleId="14">
    <w:name w:val="Body Text First Indent 2"/>
    <w:basedOn w:val="15"/>
    <w:next w:val="1"/>
    <w:qFormat/>
    <w:uiPriority w:val="0"/>
    <w:pPr>
      <w:tabs>
        <w:tab w:val="left" w:pos="1230"/>
      </w:tabs>
      <w:ind w:firstLine="420" w:firstLineChars="200"/>
    </w:pPr>
  </w:style>
  <w:style w:type="paragraph" w:styleId="15">
    <w:name w:val="Body Text Indent"/>
    <w:basedOn w:val="1"/>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6">
    <w:name w:val="Block Text"/>
    <w:basedOn w:val="1"/>
    <w:next w:val="1"/>
    <w:qFormat/>
    <w:uiPriority w:val="99"/>
    <w:pPr>
      <w:adjustRightInd w:val="0"/>
      <w:spacing w:line="360" w:lineRule="auto"/>
      <w:ind w:left="1560" w:right="1466" w:hanging="240"/>
      <w:textAlignment w:val="baseline"/>
    </w:pPr>
    <w:rPr>
      <w:color w:val="000000"/>
      <w:kern w:val="0"/>
      <w:sz w:val="24"/>
    </w:rPr>
  </w:style>
  <w:style w:type="paragraph" w:styleId="17">
    <w:name w:val="toc 5"/>
    <w:basedOn w:val="1"/>
    <w:next w:val="1"/>
    <w:qFormat/>
    <w:uiPriority w:val="39"/>
    <w:pPr>
      <w:ind w:left="800" w:leftChars="800"/>
    </w:pPr>
  </w:style>
  <w:style w:type="paragraph" w:styleId="18">
    <w:name w:val="toc 3"/>
    <w:basedOn w:val="1"/>
    <w:next w:val="1"/>
    <w:qFormat/>
    <w:uiPriority w:val="39"/>
    <w:pPr>
      <w:ind w:left="400" w:leftChars="400"/>
    </w:pPr>
  </w:style>
  <w:style w:type="paragraph" w:styleId="19">
    <w:name w:val="Plain Text"/>
    <w:basedOn w:val="1"/>
    <w:next w:val="20"/>
    <w:qFormat/>
    <w:uiPriority w:val="0"/>
    <w:rPr>
      <w:rFonts w:ascii="宋体"/>
    </w:rPr>
  </w:style>
  <w:style w:type="paragraph" w:customStyle="1" w:styleId="20">
    <w:name w:val="y6"/>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1">
    <w:name w:val="toc 8"/>
    <w:basedOn w:val="1"/>
    <w:next w:val="1"/>
    <w:qFormat/>
    <w:uiPriority w:val="39"/>
    <w:pPr>
      <w:ind w:left="1400" w:leftChars="1400"/>
    </w:pPr>
  </w:style>
  <w:style w:type="paragraph" w:styleId="22">
    <w:name w:val="Date"/>
    <w:basedOn w:val="1"/>
    <w:next w:val="1"/>
    <w:qFormat/>
    <w:uiPriority w:val="0"/>
    <w:pPr>
      <w:ind w:left="2500" w:leftChars="2500"/>
    </w:pPr>
    <w:rPr>
      <w:rFonts w:ascii="Times New Roman" w:hAnsi="Times New Roman"/>
      <w:szCs w:val="20"/>
    </w:rPr>
  </w:style>
  <w:style w:type="paragraph" w:styleId="23">
    <w:name w:val="Body Text Indent 2"/>
    <w:basedOn w:val="1"/>
    <w:next w:val="24"/>
    <w:qFormat/>
    <w:uiPriority w:val="0"/>
    <w:pPr>
      <w:spacing w:line="240" w:lineRule="auto"/>
      <w:ind w:firstLine="420" w:firstLineChars="200"/>
      <w:jc w:val="both"/>
    </w:pPr>
    <w:rPr>
      <w:rFonts w:ascii="Times New Roman" w:hAnsi="Times New Roman" w:eastAsia="宋体" w:cs="Times New Roman"/>
      <w:szCs w:val="24"/>
    </w:rPr>
  </w:style>
  <w:style w:type="paragraph" w:styleId="24">
    <w:name w:val="Body Text 2"/>
    <w:basedOn w:val="1"/>
    <w:next w:val="25"/>
    <w:unhideWhenUsed/>
    <w:qFormat/>
    <w:uiPriority w:val="0"/>
    <w:rPr>
      <w:rFonts w:ascii="仿宋_GB2312" w:hAnsi="宋体" w:eastAsia="仿宋_GB2312"/>
      <w:sz w:val="28"/>
      <w:lang w:val="zh-CN" w:eastAsia="zh-CN"/>
    </w:rPr>
  </w:style>
  <w:style w:type="paragraph" w:customStyle="1" w:styleId="25">
    <w:name w:val="列出段落1"/>
    <w:basedOn w:val="1"/>
    <w:next w:val="26"/>
    <w:qFormat/>
    <w:uiPriority w:val="99"/>
    <w:pPr>
      <w:ind w:firstLine="420" w:firstLineChars="200"/>
    </w:pPr>
  </w:style>
  <w:style w:type="paragraph" w:styleId="26">
    <w:name w:val="envelope return"/>
    <w:basedOn w:val="1"/>
    <w:next w:val="27"/>
    <w:qFormat/>
    <w:uiPriority w:val="0"/>
    <w:pPr>
      <w:ind w:left="3584" w:firstLine="3584"/>
    </w:pPr>
  </w:style>
  <w:style w:type="paragraph" w:styleId="27">
    <w:name w:val="toc 1"/>
    <w:basedOn w:val="1"/>
    <w:next w:val="1"/>
    <w:qFormat/>
    <w:uiPriority w:val="39"/>
  </w:style>
  <w:style w:type="paragraph" w:styleId="28">
    <w:name w:val="Balloon Text"/>
    <w:basedOn w:val="1"/>
    <w:qFormat/>
    <w:uiPriority w:val="0"/>
    <w:rPr>
      <w:rFonts w:ascii="Times New Roman" w:hAnsi="Times New Roman"/>
      <w:sz w:val="18"/>
      <w:szCs w:val="20"/>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tabs>
        <w:tab w:val="center" w:pos="4153"/>
        <w:tab w:val="right" w:pos="8306"/>
      </w:tabs>
      <w:snapToGrid w:val="0"/>
    </w:pPr>
    <w:rPr>
      <w:rFonts w:ascii="Times New Roman" w:hAnsi="Times New Roman"/>
      <w:sz w:val="18"/>
      <w:szCs w:val="20"/>
    </w:rPr>
  </w:style>
  <w:style w:type="paragraph" w:styleId="31">
    <w:name w:val="toc 4"/>
    <w:basedOn w:val="1"/>
    <w:next w:val="1"/>
    <w:qFormat/>
    <w:uiPriority w:val="39"/>
    <w:pPr>
      <w:ind w:left="600" w:leftChars="600"/>
    </w:pPr>
  </w:style>
  <w:style w:type="paragraph" w:styleId="32">
    <w:name w:val="toc 6"/>
    <w:basedOn w:val="1"/>
    <w:next w:val="1"/>
    <w:qFormat/>
    <w:uiPriority w:val="39"/>
    <w:pPr>
      <w:ind w:left="1000" w:leftChars="1000"/>
    </w:pPr>
  </w:style>
  <w:style w:type="paragraph" w:styleId="33">
    <w:name w:val="Body Text Indent 3"/>
    <w:basedOn w:val="1"/>
    <w:qFormat/>
    <w:uiPriority w:val="0"/>
    <w:pPr>
      <w:spacing w:after="120"/>
      <w:ind w:left="200" w:leftChars="200"/>
    </w:pPr>
    <w:rPr>
      <w:sz w:val="16"/>
      <w:szCs w:val="16"/>
    </w:rPr>
  </w:style>
  <w:style w:type="paragraph" w:styleId="34">
    <w:name w:val="toc 2"/>
    <w:basedOn w:val="1"/>
    <w:next w:val="1"/>
    <w:qFormat/>
    <w:uiPriority w:val="39"/>
    <w:pPr>
      <w:ind w:left="200" w:leftChars="200"/>
    </w:pPr>
  </w:style>
  <w:style w:type="paragraph" w:styleId="35">
    <w:name w:val="toc 9"/>
    <w:basedOn w:val="1"/>
    <w:next w:val="1"/>
    <w:qFormat/>
    <w:uiPriority w:val="39"/>
    <w:pPr>
      <w:ind w:left="1600" w:leftChars="1600"/>
    </w:pPr>
  </w:style>
  <w:style w:type="paragraph" w:styleId="3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37">
    <w:name w:val="Title"/>
    <w:basedOn w:val="1"/>
    <w:next w:val="1"/>
    <w:qFormat/>
    <w:uiPriority w:val="0"/>
    <w:pPr>
      <w:spacing w:before="240" w:after="60" w:line="240" w:lineRule="auto"/>
      <w:jc w:val="center"/>
      <w:outlineLvl w:val="0"/>
    </w:pPr>
    <w:rPr>
      <w:rFonts w:ascii="Cambria" w:hAnsi="Cambria"/>
      <w:b/>
      <w:bCs/>
      <w:sz w:val="32"/>
      <w:szCs w:val="32"/>
    </w:rPr>
  </w:style>
  <w:style w:type="paragraph" w:styleId="38">
    <w:name w:val="annotation subject"/>
    <w:basedOn w:val="11"/>
    <w:next w:val="11"/>
    <w:qFormat/>
    <w:uiPriority w:val="0"/>
  </w:style>
  <w:style w:type="paragraph" w:styleId="39">
    <w:name w:val="Body Text First Indent"/>
    <w:basedOn w:val="13"/>
    <w:semiHidden/>
    <w:unhideWhenUsed/>
    <w:qFormat/>
    <w:uiPriority w:val="99"/>
    <w:pPr>
      <w:ind w:firstLine="420" w:firstLineChars="100"/>
    </w:p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Hyperlink"/>
    <w:qFormat/>
    <w:uiPriority w:val="99"/>
    <w:rPr>
      <w:color w:val="0000FF"/>
      <w:u w:val="single"/>
    </w:rPr>
  </w:style>
  <w:style w:type="character" w:styleId="46">
    <w:name w:val="annotation reference"/>
    <w:qFormat/>
    <w:uiPriority w:val="0"/>
    <w:rPr>
      <w:sz w:val="21"/>
    </w:rPr>
  </w:style>
  <w:style w:type="paragraph" w:customStyle="1" w:styleId="47">
    <w:name w:val="Default"/>
    <w:next w:val="7"/>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表格"/>
    <w:basedOn w:val="1"/>
    <w:next w:val="1"/>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9">
    <w:name w:val="style_kwd"/>
    <w:basedOn w:val="42"/>
    <w:qFormat/>
    <w:uiPriority w:val="0"/>
  </w:style>
  <w:style w:type="character" w:customStyle="1" w:styleId="50">
    <w:name w:val="批注文字 Char1"/>
    <w:qFormat/>
    <w:uiPriority w:val="0"/>
    <w:rPr>
      <w:rFonts w:ascii="Times New Roman" w:hAnsi="Times New Roman" w:eastAsia="宋体" w:cs="Times New Roman"/>
      <w:sz w:val="20"/>
      <w:szCs w:val="20"/>
      <w:lang w:bidi="ar-SA"/>
    </w:rPr>
  </w:style>
  <w:style w:type="character" w:customStyle="1" w:styleId="51">
    <w:name w:val="Comment Text Char"/>
    <w:qFormat/>
    <w:uiPriority w:val="0"/>
  </w:style>
  <w:style w:type="paragraph" w:customStyle="1" w:styleId="52">
    <w:name w:val="修订1"/>
    <w:qFormat/>
    <w:uiPriority w:val="0"/>
    <w:rPr>
      <w:rFonts w:ascii="Times New Roman" w:hAnsi="Times New Roman" w:eastAsia="宋体" w:cs="Times New Roman"/>
      <w:kern w:val="2"/>
      <w:sz w:val="21"/>
      <w:lang w:val="en-US" w:eastAsia="zh-CN" w:bidi="ar-SA"/>
    </w:rPr>
  </w:style>
  <w:style w:type="paragraph" w:customStyle="1" w:styleId="53">
    <w:name w:val="_Style 23"/>
    <w:basedOn w:val="1"/>
    <w:qFormat/>
    <w:uiPriority w:val="0"/>
    <w:pPr>
      <w:widowControl/>
      <w:spacing w:after="160" w:line="240" w:lineRule="exact"/>
      <w:jc w:val="left"/>
    </w:pPr>
  </w:style>
  <w:style w:type="paragraph" w:customStyle="1" w:styleId="54">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5">
    <w:name w:val="批注文字 Char"/>
    <w:basedOn w:val="42"/>
    <w:link w:val="11"/>
    <w:qFormat/>
    <w:uiPriority w:val="0"/>
    <w:rPr>
      <w:rFonts w:eastAsia="宋体"/>
      <w:kern w:val="2"/>
      <w:sz w:val="21"/>
    </w:rPr>
  </w:style>
  <w:style w:type="character" w:customStyle="1" w:styleId="56">
    <w:name w:val="正文文本 3 Char"/>
    <w:basedOn w:val="42"/>
    <w:link w:val="12"/>
    <w:qFormat/>
    <w:uiPriority w:val="0"/>
    <w:rPr>
      <w:rFonts w:ascii="宋体" w:hAnsi="Calibri" w:eastAsia="宋体"/>
      <w:kern w:val="2"/>
      <w:sz w:val="24"/>
    </w:rPr>
  </w:style>
  <w:style w:type="character" w:customStyle="1" w:styleId="57">
    <w:name w:val="font161"/>
    <w:qFormat/>
    <w:uiPriority w:val="0"/>
    <w:rPr>
      <w:b/>
      <w:bCs/>
      <w:sz w:val="32"/>
      <w:szCs w:val="32"/>
    </w:rPr>
  </w:style>
  <w:style w:type="paragraph" w:styleId="58">
    <w:name w:val="List Paragraph"/>
    <w:basedOn w:val="1"/>
    <w:qFormat/>
    <w:uiPriority w:val="34"/>
    <w:pPr>
      <w:ind w:firstLine="420" w:firstLineChars="200"/>
    </w:pPr>
    <w:rPr>
      <w:rFonts w:asciiTheme="minorHAnsi" w:hAnsiTheme="minorHAnsi" w:eastAsiaTheme="minorEastAsia" w:cstheme="minorBidi"/>
    </w:rPr>
  </w:style>
  <w:style w:type="paragraph" w:customStyle="1" w:styleId="59">
    <w:name w:val="列出段落12"/>
    <w:basedOn w:val="1"/>
    <w:unhideWhenUsed/>
    <w:qFormat/>
    <w:uiPriority w:val="0"/>
    <w:pPr>
      <w:widowControl/>
      <w:ind w:left="720" w:firstLine="360"/>
    </w:pPr>
    <w:rPr>
      <w:rFonts w:hint="eastAsia"/>
      <w:sz w:val="22"/>
      <w:lang w:eastAsia="en-US"/>
    </w:rPr>
  </w:style>
  <w:style w:type="paragraph" w:customStyle="1" w:styleId="60">
    <w:name w:val="标书正文"/>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61">
    <w:name w:val="默认段落字体 Para Char Char Char Char Char Char Char"/>
    <w:basedOn w:val="1"/>
    <w:qFormat/>
    <w:uiPriority w:val="0"/>
    <w:pPr>
      <w:adjustRightInd/>
      <w:spacing w:line="240" w:lineRule="auto"/>
      <w:textAlignment w:val="auto"/>
    </w:pPr>
  </w:style>
  <w:style w:type="paragraph" w:customStyle="1" w:styleId="62">
    <w:name w:val="_Style 1"/>
    <w:basedOn w:val="1"/>
    <w:qFormat/>
    <w:uiPriority w:val="0"/>
    <w:pPr>
      <w:adjustRightInd/>
      <w:spacing w:line="240" w:lineRule="auto"/>
      <w:jc w:val="both"/>
      <w:textAlignment w:val="auto"/>
    </w:pPr>
    <w:rPr>
      <w:spacing w:val="0"/>
      <w:kern w:val="2"/>
    </w:rPr>
  </w:style>
  <w:style w:type="paragraph" w:customStyle="1" w:styleId="63">
    <w:name w:val="BodyText"/>
    <w:basedOn w:val="1"/>
    <w:qFormat/>
    <w:uiPriority w:val="0"/>
    <w:pPr>
      <w:spacing w:after="120"/>
      <w:jc w:val="both"/>
      <w:textAlignment w:val="baseline"/>
    </w:pPr>
    <w:rPr>
      <w:kern w:val="2"/>
      <w:sz w:val="28"/>
      <w:szCs w:val="28"/>
      <w:lang w:val="en-US" w:eastAsia="zh-CN" w:bidi="ar-SA"/>
    </w:rPr>
  </w:style>
  <w:style w:type="character" w:customStyle="1" w:styleId="64">
    <w:name w:val="NormalCharacter"/>
    <w:qFormat/>
    <w:uiPriority w:val="0"/>
    <w:rPr>
      <w:kern w:val="2"/>
      <w:sz w:val="28"/>
      <w:szCs w:val="28"/>
      <w:lang w:val="en-US" w:eastAsia="zh-CN" w:bidi="ar-SA"/>
    </w:rPr>
  </w:style>
  <w:style w:type="character" w:customStyle="1" w:styleId="65">
    <w:name w:val="标题 2 字符"/>
    <w:link w:val="3"/>
    <w:qFormat/>
    <w:uiPriority w:val="0"/>
    <w:rPr>
      <w:rFonts w:ascii="Arial" w:hAnsi="Arial" w:eastAsia="黑体"/>
      <w:b/>
      <w:sz w:val="32"/>
      <w:szCs w:val="20"/>
    </w:rPr>
  </w:style>
  <w:style w:type="paragraph" w:customStyle="1" w:styleId="66">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67">
    <w:name w:val="表格文字"/>
    <w:basedOn w:val="19"/>
    <w:next w:val="1"/>
    <w:qFormat/>
    <w:uiPriority w:val="0"/>
    <w:pPr>
      <w:adjustRightInd w:val="0"/>
      <w:spacing w:line="420" w:lineRule="atLeast"/>
      <w:jc w:val="left"/>
      <w:textAlignment w:val="baseline"/>
    </w:pPr>
    <w:rPr>
      <w:kern w:val="0"/>
      <w:szCs w:val="20"/>
    </w:rPr>
  </w:style>
  <w:style w:type="paragraph" w:customStyle="1" w:styleId="68">
    <w:name w:val="列出段落"/>
    <w:basedOn w:val="1"/>
    <w:qFormat/>
    <w:uiPriority w:val="0"/>
    <w:pPr>
      <w:spacing w:line="360" w:lineRule="auto"/>
      <w:ind w:firstLine="420" w:firstLineChars="200"/>
    </w:pPr>
    <w:rPr>
      <w:rFonts w:eastAsia="楷体_GB2312"/>
      <w:color w:val="8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38</Pages>
  <Words>13128</Words>
  <Characters>13667</Characters>
  <Lines>367</Lines>
  <Paragraphs>103</Paragraphs>
  <TotalTime>0</TotalTime>
  <ScaleCrop>false</ScaleCrop>
  <LinksUpToDate>false</LinksUpToDate>
  <CharactersWithSpaces>14079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2025-08-11T02:17:12Z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DE44A6D1479A47ABADD3E54E34DF77E9</vt:lpwstr>
  </property>
  <property fmtid="{D5CDD505-2E9C-101B-9397-08002B2CF9AE}" pid="4" name="KSOTemplateDocerSaveRecord">
    <vt:lpwstr>eyJoZGlkIjoiOGZhZmE1ZmNkYmRjNGFmNjM0MWFlMTM2NmZlNGI3YzkiLCJ1c2VySWQiOiIzMDU4MjkxNzQifQ==</vt:lpwstr>
  </property>
</Properties>
</file>