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E439B">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本项目评标阶段，采用两阶段评标。</w:t>
      </w:r>
    </w:p>
    <w:p w14:paraId="16CA2FBD">
      <w:pPr>
        <w:pStyle w:val="15"/>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一阶段：先开设计文件部分，对设计文件进行评审。在设计文件评审合格（得分在21分及以上）的投标人中只有设计文件得分汇总排在前7名的，才能进入第二阶段开标、评标；设计文件评审符合上述要求的投标人少于7名的，全部进入第二阶段开标、评标。</w:t>
      </w:r>
    </w:p>
    <w:p w14:paraId="42A138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第二阶段：开启所有投标文件（仅针对进入第二段的投标文件）的商务技术部分，评标委员会按照招标文件规定的评标方法对商务技术标进行评审，第一阶段设计文件得分带入第二阶段。</w:t>
      </w:r>
    </w:p>
    <w:tbl>
      <w:tblPr>
        <w:tblStyle w:val="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2051"/>
        <w:gridCol w:w="1647"/>
        <w:gridCol w:w="4611"/>
      </w:tblGrid>
      <w:tr w14:paraId="675E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9040" w:type="dxa"/>
            <w:gridSpan w:val="4"/>
            <w:vAlign w:val="center"/>
          </w:tcPr>
          <w:p w14:paraId="348D480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初步评审</w:t>
            </w:r>
          </w:p>
        </w:tc>
      </w:tr>
      <w:tr w14:paraId="7D07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2782" w:type="dxa"/>
            <w:gridSpan w:val="2"/>
            <w:vAlign w:val="center"/>
          </w:tcPr>
          <w:p w14:paraId="14EA06A3">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条款号</w:t>
            </w:r>
          </w:p>
        </w:tc>
        <w:tc>
          <w:tcPr>
            <w:tcW w:w="1647" w:type="dxa"/>
            <w:vAlign w:val="center"/>
          </w:tcPr>
          <w:p w14:paraId="7BCB9D30">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评审因素</w:t>
            </w:r>
          </w:p>
        </w:tc>
        <w:tc>
          <w:tcPr>
            <w:tcW w:w="4611" w:type="dxa"/>
            <w:vAlign w:val="center"/>
          </w:tcPr>
          <w:p w14:paraId="498A8B34">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评审标准</w:t>
            </w:r>
          </w:p>
        </w:tc>
      </w:tr>
      <w:tr w14:paraId="3E24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Merge w:val="restart"/>
            <w:vAlign w:val="center"/>
          </w:tcPr>
          <w:p w14:paraId="4FEB1AD8">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1.1.1</w:t>
            </w:r>
          </w:p>
        </w:tc>
        <w:tc>
          <w:tcPr>
            <w:tcW w:w="2051" w:type="dxa"/>
            <w:vMerge w:val="restart"/>
            <w:vAlign w:val="center"/>
          </w:tcPr>
          <w:p w14:paraId="0906C3DB">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形式性评审标准</w:t>
            </w:r>
          </w:p>
        </w:tc>
        <w:tc>
          <w:tcPr>
            <w:tcW w:w="1647" w:type="dxa"/>
            <w:vAlign w:val="center"/>
          </w:tcPr>
          <w:p w14:paraId="41BE4108">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投标人名称</w:t>
            </w:r>
          </w:p>
        </w:tc>
        <w:tc>
          <w:tcPr>
            <w:tcW w:w="4611" w:type="dxa"/>
            <w:vAlign w:val="center"/>
          </w:tcPr>
          <w:p w14:paraId="09F35E9A">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与营业执照、资质证书、安全生产许可证一致</w:t>
            </w:r>
          </w:p>
        </w:tc>
      </w:tr>
      <w:tr w14:paraId="2A6E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Merge w:val="continue"/>
            <w:vAlign w:val="center"/>
          </w:tcPr>
          <w:p w14:paraId="0C043698">
            <w:pPr>
              <w:spacing w:line="400" w:lineRule="exact"/>
              <w:jc w:val="center"/>
              <w:rPr>
                <w:rFonts w:hint="eastAsia" w:ascii="仿宋" w:hAnsi="仿宋" w:eastAsia="仿宋" w:cs="仿宋"/>
                <w:color w:val="auto"/>
                <w:highlight w:val="none"/>
              </w:rPr>
            </w:pPr>
          </w:p>
        </w:tc>
        <w:tc>
          <w:tcPr>
            <w:tcW w:w="2051" w:type="dxa"/>
            <w:vMerge w:val="continue"/>
            <w:vAlign w:val="center"/>
          </w:tcPr>
          <w:p w14:paraId="203528B1">
            <w:pPr>
              <w:spacing w:line="400" w:lineRule="exact"/>
              <w:jc w:val="center"/>
              <w:rPr>
                <w:rFonts w:hint="eastAsia" w:ascii="仿宋" w:hAnsi="仿宋" w:eastAsia="仿宋" w:cs="仿宋"/>
                <w:color w:val="auto"/>
                <w:highlight w:val="none"/>
              </w:rPr>
            </w:pPr>
          </w:p>
        </w:tc>
        <w:tc>
          <w:tcPr>
            <w:tcW w:w="1647" w:type="dxa"/>
            <w:vAlign w:val="center"/>
          </w:tcPr>
          <w:p w14:paraId="19E5DAAB">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投标函签字盖章</w:t>
            </w:r>
          </w:p>
        </w:tc>
        <w:tc>
          <w:tcPr>
            <w:tcW w:w="4611" w:type="dxa"/>
            <w:vAlign w:val="center"/>
          </w:tcPr>
          <w:p w14:paraId="19DF7E33">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有法定代表人的签字或盖章并加盖法人印章</w:t>
            </w:r>
          </w:p>
        </w:tc>
      </w:tr>
      <w:tr w14:paraId="127A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1" w:type="dxa"/>
            <w:vMerge w:val="continue"/>
            <w:vAlign w:val="center"/>
          </w:tcPr>
          <w:p w14:paraId="55E0694E">
            <w:pPr>
              <w:spacing w:line="400" w:lineRule="exact"/>
              <w:jc w:val="center"/>
              <w:rPr>
                <w:rFonts w:hint="eastAsia" w:ascii="仿宋" w:hAnsi="仿宋" w:eastAsia="仿宋" w:cs="仿宋"/>
                <w:color w:val="auto"/>
                <w:highlight w:val="none"/>
              </w:rPr>
            </w:pPr>
          </w:p>
        </w:tc>
        <w:tc>
          <w:tcPr>
            <w:tcW w:w="2051" w:type="dxa"/>
            <w:vMerge w:val="continue"/>
            <w:vAlign w:val="center"/>
          </w:tcPr>
          <w:p w14:paraId="35DA8AE6">
            <w:pPr>
              <w:spacing w:line="400" w:lineRule="exact"/>
              <w:jc w:val="center"/>
              <w:rPr>
                <w:rFonts w:hint="eastAsia" w:ascii="仿宋" w:hAnsi="仿宋" w:eastAsia="仿宋" w:cs="仿宋"/>
                <w:color w:val="auto"/>
                <w:highlight w:val="none"/>
              </w:rPr>
            </w:pPr>
          </w:p>
        </w:tc>
        <w:tc>
          <w:tcPr>
            <w:tcW w:w="1647" w:type="dxa"/>
            <w:vAlign w:val="center"/>
          </w:tcPr>
          <w:p w14:paraId="2C352278">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报价唯一</w:t>
            </w:r>
          </w:p>
        </w:tc>
        <w:tc>
          <w:tcPr>
            <w:tcW w:w="4611" w:type="dxa"/>
            <w:vAlign w:val="center"/>
          </w:tcPr>
          <w:p w14:paraId="427CCD40">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只能有一个有效报价</w:t>
            </w:r>
          </w:p>
        </w:tc>
      </w:tr>
      <w:tr w14:paraId="2D71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731" w:type="dxa"/>
            <w:vMerge w:val="continue"/>
            <w:vAlign w:val="center"/>
          </w:tcPr>
          <w:p w14:paraId="7CDA130B">
            <w:pPr>
              <w:spacing w:line="400" w:lineRule="exact"/>
              <w:jc w:val="center"/>
              <w:rPr>
                <w:rFonts w:hint="eastAsia" w:ascii="仿宋" w:hAnsi="仿宋" w:eastAsia="仿宋" w:cs="仿宋"/>
                <w:color w:val="auto"/>
                <w:highlight w:val="none"/>
              </w:rPr>
            </w:pPr>
          </w:p>
        </w:tc>
        <w:tc>
          <w:tcPr>
            <w:tcW w:w="2051" w:type="dxa"/>
            <w:vMerge w:val="continue"/>
            <w:vAlign w:val="center"/>
          </w:tcPr>
          <w:p w14:paraId="1C967F35">
            <w:pPr>
              <w:spacing w:line="400" w:lineRule="exact"/>
              <w:jc w:val="center"/>
              <w:rPr>
                <w:rFonts w:hint="eastAsia" w:ascii="仿宋" w:hAnsi="仿宋" w:eastAsia="仿宋" w:cs="仿宋"/>
                <w:color w:val="auto"/>
                <w:highlight w:val="none"/>
              </w:rPr>
            </w:pPr>
          </w:p>
        </w:tc>
        <w:tc>
          <w:tcPr>
            <w:tcW w:w="1647" w:type="dxa"/>
            <w:vAlign w:val="center"/>
          </w:tcPr>
          <w:p w14:paraId="239997B7">
            <w:pPr>
              <w:spacing w:line="400" w:lineRule="exac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暗标</w:t>
            </w:r>
          </w:p>
        </w:tc>
        <w:tc>
          <w:tcPr>
            <w:tcW w:w="4611" w:type="dxa"/>
            <w:vAlign w:val="center"/>
          </w:tcPr>
          <w:p w14:paraId="5D7D720D">
            <w:pPr>
              <w:spacing w:line="400" w:lineRule="exac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符合招标文件有关暗标的要求</w:t>
            </w:r>
          </w:p>
        </w:tc>
      </w:tr>
      <w:tr w14:paraId="4F68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731" w:type="dxa"/>
            <w:vAlign w:val="center"/>
          </w:tcPr>
          <w:p w14:paraId="30711153">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1.1.2</w:t>
            </w:r>
          </w:p>
        </w:tc>
        <w:tc>
          <w:tcPr>
            <w:tcW w:w="2051" w:type="dxa"/>
            <w:vAlign w:val="center"/>
          </w:tcPr>
          <w:p w14:paraId="76766D56">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资格评审标准</w:t>
            </w:r>
          </w:p>
        </w:tc>
        <w:tc>
          <w:tcPr>
            <w:tcW w:w="6258" w:type="dxa"/>
            <w:gridSpan w:val="2"/>
            <w:vAlign w:val="center"/>
          </w:tcPr>
          <w:p w14:paraId="080954CC">
            <w:pPr>
              <w:spacing w:line="400" w:lineRule="exact"/>
              <w:jc w:val="left"/>
              <w:rPr>
                <w:rFonts w:hint="eastAsia"/>
                <w:color w:val="auto"/>
                <w:highlight w:val="none"/>
                <w:lang w:val="en-US" w:eastAsia="zh-CN"/>
              </w:rPr>
            </w:pPr>
            <w:r>
              <w:rPr>
                <w:rFonts w:hint="eastAsia" w:ascii="仿宋" w:hAnsi="仿宋" w:eastAsia="仿宋" w:cs="仿宋"/>
                <w:color w:val="auto"/>
                <w:highlight w:val="none"/>
                <w:lang w:val="en-US" w:eastAsia="zh-CN"/>
              </w:rPr>
              <w:t xml:space="preserve">  /</w:t>
            </w:r>
          </w:p>
        </w:tc>
      </w:tr>
      <w:tr w14:paraId="0759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731" w:type="dxa"/>
            <w:vMerge w:val="restart"/>
            <w:vAlign w:val="center"/>
          </w:tcPr>
          <w:p w14:paraId="52FC532B">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1.1.3</w:t>
            </w:r>
          </w:p>
        </w:tc>
        <w:tc>
          <w:tcPr>
            <w:tcW w:w="2051" w:type="dxa"/>
            <w:vMerge w:val="restart"/>
            <w:vAlign w:val="center"/>
          </w:tcPr>
          <w:p w14:paraId="6E088915">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响应性评审标准</w:t>
            </w:r>
          </w:p>
        </w:tc>
        <w:tc>
          <w:tcPr>
            <w:tcW w:w="1647" w:type="dxa"/>
            <w:vAlign w:val="center"/>
          </w:tcPr>
          <w:p w14:paraId="47A0C003">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投标内容</w:t>
            </w:r>
          </w:p>
        </w:tc>
        <w:tc>
          <w:tcPr>
            <w:tcW w:w="4611" w:type="dxa"/>
            <w:vAlign w:val="center"/>
          </w:tcPr>
          <w:p w14:paraId="3D1FD31D">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符合“投标人须知”</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规定</w:t>
            </w:r>
          </w:p>
        </w:tc>
      </w:tr>
      <w:tr w14:paraId="3DC1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Merge w:val="continue"/>
            <w:vAlign w:val="center"/>
          </w:tcPr>
          <w:p w14:paraId="5C47515D">
            <w:pPr>
              <w:spacing w:line="400" w:lineRule="exact"/>
              <w:jc w:val="left"/>
              <w:rPr>
                <w:rFonts w:hint="eastAsia" w:ascii="仿宋" w:hAnsi="仿宋" w:eastAsia="仿宋" w:cs="仿宋"/>
                <w:color w:val="auto"/>
                <w:highlight w:val="none"/>
              </w:rPr>
            </w:pPr>
          </w:p>
        </w:tc>
        <w:tc>
          <w:tcPr>
            <w:tcW w:w="2051" w:type="dxa"/>
            <w:vMerge w:val="continue"/>
            <w:vAlign w:val="center"/>
          </w:tcPr>
          <w:p w14:paraId="0C55A8F8">
            <w:pPr>
              <w:spacing w:line="400" w:lineRule="exact"/>
              <w:jc w:val="left"/>
              <w:rPr>
                <w:rFonts w:hint="eastAsia" w:ascii="仿宋" w:hAnsi="仿宋" w:eastAsia="仿宋" w:cs="仿宋"/>
                <w:color w:val="auto"/>
                <w:highlight w:val="none"/>
              </w:rPr>
            </w:pPr>
          </w:p>
        </w:tc>
        <w:tc>
          <w:tcPr>
            <w:tcW w:w="1647" w:type="dxa"/>
            <w:vAlign w:val="center"/>
          </w:tcPr>
          <w:p w14:paraId="2BC8C5C0">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工期</w:t>
            </w:r>
          </w:p>
        </w:tc>
        <w:tc>
          <w:tcPr>
            <w:tcW w:w="4611" w:type="dxa"/>
            <w:vAlign w:val="center"/>
          </w:tcPr>
          <w:p w14:paraId="31809378">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投标函中载明的工期符合“投标人须知”</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规定</w:t>
            </w:r>
          </w:p>
        </w:tc>
      </w:tr>
      <w:tr w14:paraId="5CE7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Merge w:val="continue"/>
            <w:vAlign w:val="center"/>
          </w:tcPr>
          <w:p w14:paraId="05443D4F">
            <w:pPr>
              <w:spacing w:line="400" w:lineRule="exact"/>
              <w:jc w:val="left"/>
              <w:rPr>
                <w:rFonts w:hint="eastAsia" w:ascii="仿宋" w:hAnsi="仿宋" w:eastAsia="仿宋" w:cs="仿宋"/>
                <w:color w:val="auto"/>
                <w:highlight w:val="none"/>
              </w:rPr>
            </w:pPr>
          </w:p>
        </w:tc>
        <w:tc>
          <w:tcPr>
            <w:tcW w:w="2051" w:type="dxa"/>
            <w:vMerge w:val="continue"/>
            <w:vAlign w:val="center"/>
          </w:tcPr>
          <w:p w14:paraId="1429B81A">
            <w:pPr>
              <w:spacing w:line="400" w:lineRule="exact"/>
              <w:jc w:val="left"/>
              <w:rPr>
                <w:rFonts w:hint="eastAsia" w:ascii="仿宋" w:hAnsi="仿宋" w:eastAsia="仿宋" w:cs="仿宋"/>
                <w:color w:val="auto"/>
                <w:highlight w:val="none"/>
              </w:rPr>
            </w:pPr>
          </w:p>
        </w:tc>
        <w:tc>
          <w:tcPr>
            <w:tcW w:w="1647" w:type="dxa"/>
            <w:vAlign w:val="center"/>
          </w:tcPr>
          <w:p w14:paraId="491D7BD5">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工程质量</w:t>
            </w:r>
          </w:p>
        </w:tc>
        <w:tc>
          <w:tcPr>
            <w:tcW w:w="4611" w:type="dxa"/>
            <w:vAlign w:val="center"/>
          </w:tcPr>
          <w:p w14:paraId="32E9654F">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投标函中载明的质量符合“投标人须知”</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规定</w:t>
            </w:r>
          </w:p>
        </w:tc>
      </w:tr>
      <w:tr w14:paraId="56BE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731" w:type="dxa"/>
            <w:vMerge w:val="continue"/>
            <w:vAlign w:val="center"/>
          </w:tcPr>
          <w:p w14:paraId="24B16764">
            <w:pPr>
              <w:spacing w:line="400" w:lineRule="exact"/>
              <w:jc w:val="left"/>
              <w:rPr>
                <w:rFonts w:hint="eastAsia" w:ascii="仿宋" w:hAnsi="仿宋" w:eastAsia="仿宋" w:cs="仿宋"/>
                <w:color w:val="auto"/>
                <w:highlight w:val="none"/>
              </w:rPr>
            </w:pPr>
          </w:p>
        </w:tc>
        <w:tc>
          <w:tcPr>
            <w:tcW w:w="2051" w:type="dxa"/>
            <w:vMerge w:val="continue"/>
            <w:vAlign w:val="center"/>
          </w:tcPr>
          <w:p w14:paraId="7E9D9AB1">
            <w:pPr>
              <w:spacing w:line="400" w:lineRule="exact"/>
              <w:jc w:val="left"/>
              <w:rPr>
                <w:rFonts w:hint="eastAsia" w:ascii="仿宋" w:hAnsi="仿宋" w:eastAsia="仿宋" w:cs="仿宋"/>
                <w:color w:val="auto"/>
                <w:highlight w:val="none"/>
              </w:rPr>
            </w:pPr>
          </w:p>
        </w:tc>
        <w:tc>
          <w:tcPr>
            <w:tcW w:w="1647" w:type="dxa"/>
            <w:vAlign w:val="center"/>
          </w:tcPr>
          <w:p w14:paraId="1E6BB1ED">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投标有效期</w:t>
            </w:r>
          </w:p>
        </w:tc>
        <w:tc>
          <w:tcPr>
            <w:tcW w:w="4611" w:type="dxa"/>
            <w:vAlign w:val="center"/>
          </w:tcPr>
          <w:p w14:paraId="79F4BE63">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投标函附录中承诺的投标有效期符合“投标人须知”</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规定</w:t>
            </w:r>
          </w:p>
        </w:tc>
      </w:tr>
      <w:tr w14:paraId="0C2C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trPr>
        <w:tc>
          <w:tcPr>
            <w:tcW w:w="731" w:type="dxa"/>
            <w:vMerge w:val="continue"/>
            <w:vAlign w:val="center"/>
          </w:tcPr>
          <w:p w14:paraId="72B69001">
            <w:pPr>
              <w:spacing w:line="400" w:lineRule="exact"/>
              <w:jc w:val="left"/>
              <w:rPr>
                <w:rFonts w:hint="eastAsia" w:ascii="仿宋" w:hAnsi="仿宋" w:eastAsia="仿宋" w:cs="仿宋"/>
                <w:color w:val="auto"/>
                <w:highlight w:val="none"/>
              </w:rPr>
            </w:pPr>
          </w:p>
        </w:tc>
        <w:tc>
          <w:tcPr>
            <w:tcW w:w="2051" w:type="dxa"/>
            <w:vMerge w:val="continue"/>
            <w:vAlign w:val="center"/>
          </w:tcPr>
          <w:p w14:paraId="0B2458CA">
            <w:pPr>
              <w:spacing w:line="400" w:lineRule="exact"/>
              <w:jc w:val="left"/>
              <w:rPr>
                <w:rFonts w:hint="eastAsia" w:ascii="仿宋" w:hAnsi="仿宋" w:eastAsia="仿宋" w:cs="仿宋"/>
                <w:color w:val="auto"/>
                <w:highlight w:val="none"/>
              </w:rPr>
            </w:pPr>
          </w:p>
        </w:tc>
        <w:tc>
          <w:tcPr>
            <w:tcW w:w="1647" w:type="dxa"/>
            <w:vAlign w:val="center"/>
          </w:tcPr>
          <w:p w14:paraId="6579055A">
            <w:pPr>
              <w:spacing w:line="40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已标价工程量清单</w:t>
            </w:r>
          </w:p>
        </w:tc>
        <w:tc>
          <w:tcPr>
            <w:tcW w:w="4611" w:type="dxa"/>
            <w:vAlign w:val="center"/>
          </w:tcPr>
          <w:p w14:paraId="375E86D7">
            <w:pPr>
              <w:spacing w:line="40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符合“投标人须知”</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规定；</w:t>
            </w:r>
            <w:r>
              <w:rPr>
                <w:rFonts w:hint="eastAsia" w:ascii="仿宋" w:hAnsi="仿宋" w:eastAsia="仿宋" w:cs="仿宋"/>
                <w:color w:val="auto"/>
                <w:highlight w:val="none"/>
                <w:lang w:val="en-US" w:eastAsia="zh-CN"/>
              </w:rPr>
              <w:t>且1、投标报价不低于工程成本或者不高于招标文件设定的最高投标限价（期望值）；2、未改变招标文件规定的暂估价（如有）、暂列金额及甲供材料价格；3、未改变不可竞争费用项目或费率或计算基础的。</w:t>
            </w:r>
          </w:p>
        </w:tc>
      </w:tr>
      <w:tr w14:paraId="4E04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Merge w:val="continue"/>
            <w:vAlign w:val="center"/>
          </w:tcPr>
          <w:p w14:paraId="294DBF0E">
            <w:pPr>
              <w:spacing w:line="400" w:lineRule="exact"/>
              <w:jc w:val="left"/>
              <w:rPr>
                <w:rFonts w:hint="eastAsia" w:ascii="仿宋" w:hAnsi="仿宋" w:eastAsia="仿宋" w:cs="仿宋"/>
                <w:color w:val="auto"/>
                <w:highlight w:val="none"/>
              </w:rPr>
            </w:pPr>
          </w:p>
        </w:tc>
        <w:tc>
          <w:tcPr>
            <w:tcW w:w="2051" w:type="dxa"/>
            <w:vMerge w:val="continue"/>
            <w:vAlign w:val="center"/>
          </w:tcPr>
          <w:p w14:paraId="40E15E41">
            <w:pPr>
              <w:spacing w:line="400" w:lineRule="exact"/>
              <w:jc w:val="left"/>
              <w:rPr>
                <w:rFonts w:hint="eastAsia" w:ascii="仿宋" w:hAnsi="仿宋" w:eastAsia="仿宋" w:cs="仿宋"/>
                <w:color w:val="auto"/>
                <w:highlight w:val="none"/>
              </w:rPr>
            </w:pPr>
          </w:p>
        </w:tc>
        <w:tc>
          <w:tcPr>
            <w:tcW w:w="1647" w:type="dxa"/>
            <w:vAlign w:val="center"/>
          </w:tcPr>
          <w:p w14:paraId="7791DFBB">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其他要求</w:t>
            </w:r>
          </w:p>
        </w:tc>
        <w:tc>
          <w:tcPr>
            <w:tcW w:w="4611" w:type="dxa"/>
            <w:vAlign w:val="center"/>
          </w:tcPr>
          <w:p w14:paraId="62160C97">
            <w:pPr>
              <w:spacing w:line="400" w:lineRule="exact"/>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无</w:t>
            </w:r>
            <w:r>
              <w:rPr>
                <w:rFonts w:hint="eastAsia" w:ascii="仿宋" w:hAnsi="仿宋" w:eastAsia="仿宋" w:cs="仿宋"/>
                <w:color w:val="auto"/>
                <w:highlight w:val="none"/>
                <w:lang w:val="en-US" w:eastAsia="zh-CN"/>
              </w:rPr>
              <w:t>招标文件规定的其他否决</w:t>
            </w:r>
            <w:r>
              <w:rPr>
                <w:rFonts w:hint="eastAsia" w:ascii="仿宋" w:hAnsi="仿宋" w:eastAsia="仿宋" w:cs="仿宋"/>
                <w:color w:val="auto"/>
                <w:highlight w:val="none"/>
              </w:rPr>
              <w:t>所列情形</w:t>
            </w:r>
            <w:r>
              <w:rPr>
                <w:rFonts w:hint="eastAsia" w:ascii="仿宋" w:hAnsi="仿宋" w:eastAsia="仿宋" w:cs="仿宋"/>
                <w:color w:val="auto"/>
                <w:highlight w:val="none"/>
                <w:lang w:eastAsia="zh-CN"/>
              </w:rPr>
              <w:t>。</w:t>
            </w:r>
          </w:p>
        </w:tc>
      </w:tr>
      <w:tr w14:paraId="0356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9040" w:type="dxa"/>
            <w:gridSpan w:val="4"/>
            <w:vAlign w:val="center"/>
          </w:tcPr>
          <w:p w14:paraId="7E249FE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详细评审</w:t>
            </w:r>
          </w:p>
        </w:tc>
      </w:tr>
      <w:tr w14:paraId="0D20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Align w:val="center"/>
          </w:tcPr>
          <w:p w14:paraId="4DEE5543">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条款号</w:t>
            </w:r>
          </w:p>
        </w:tc>
        <w:tc>
          <w:tcPr>
            <w:tcW w:w="3698" w:type="dxa"/>
            <w:gridSpan w:val="2"/>
            <w:vAlign w:val="center"/>
          </w:tcPr>
          <w:p w14:paraId="7AE5DD76">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评审因素</w:t>
            </w:r>
          </w:p>
        </w:tc>
        <w:tc>
          <w:tcPr>
            <w:tcW w:w="4611" w:type="dxa"/>
            <w:vAlign w:val="center"/>
          </w:tcPr>
          <w:p w14:paraId="6A9A87BF">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评审标准</w:t>
            </w:r>
          </w:p>
        </w:tc>
      </w:tr>
      <w:tr w14:paraId="46B0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Align w:val="center"/>
          </w:tcPr>
          <w:p w14:paraId="45486254">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1.2.1</w:t>
            </w:r>
          </w:p>
        </w:tc>
        <w:tc>
          <w:tcPr>
            <w:tcW w:w="3698" w:type="dxa"/>
            <w:gridSpan w:val="2"/>
            <w:vAlign w:val="center"/>
          </w:tcPr>
          <w:p w14:paraId="2EC37FC4">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商务标</w:t>
            </w:r>
          </w:p>
        </w:tc>
        <w:tc>
          <w:tcPr>
            <w:tcW w:w="4611" w:type="dxa"/>
            <w:vAlign w:val="center"/>
          </w:tcPr>
          <w:p w14:paraId="5B145325">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企业业绩、</w:t>
            </w:r>
            <w:r>
              <w:rPr>
                <w:rFonts w:hint="eastAsia" w:ascii="仿宋" w:hAnsi="仿宋" w:eastAsia="仿宋" w:cs="仿宋"/>
                <w:color w:val="auto"/>
                <w:highlight w:val="none"/>
                <w:lang w:val="en-US" w:eastAsia="zh-CN"/>
              </w:rPr>
              <w:t>人员配置、奖项</w:t>
            </w:r>
            <w:r>
              <w:rPr>
                <w:rFonts w:hint="eastAsia" w:ascii="仿宋" w:hAnsi="仿宋" w:eastAsia="仿宋" w:cs="仿宋"/>
                <w:color w:val="auto"/>
                <w:highlight w:val="none"/>
              </w:rPr>
              <w:t>等</w:t>
            </w:r>
          </w:p>
        </w:tc>
      </w:tr>
      <w:tr w14:paraId="53F2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Align w:val="center"/>
          </w:tcPr>
          <w:p w14:paraId="3CC1BD9D">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1.2.2</w:t>
            </w:r>
          </w:p>
        </w:tc>
        <w:tc>
          <w:tcPr>
            <w:tcW w:w="3698" w:type="dxa"/>
            <w:gridSpan w:val="2"/>
            <w:vAlign w:val="center"/>
          </w:tcPr>
          <w:p w14:paraId="08F22344">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经济标</w:t>
            </w:r>
          </w:p>
        </w:tc>
        <w:tc>
          <w:tcPr>
            <w:tcW w:w="4611" w:type="dxa"/>
            <w:vAlign w:val="center"/>
          </w:tcPr>
          <w:p w14:paraId="3BDB59F0">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工程总承包报价</w:t>
            </w:r>
          </w:p>
        </w:tc>
      </w:tr>
      <w:tr w14:paraId="6C14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31" w:type="dxa"/>
            <w:vAlign w:val="center"/>
          </w:tcPr>
          <w:p w14:paraId="3EF6C91D">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1.2.3</w:t>
            </w:r>
          </w:p>
        </w:tc>
        <w:tc>
          <w:tcPr>
            <w:tcW w:w="3698" w:type="dxa"/>
            <w:gridSpan w:val="2"/>
            <w:vAlign w:val="center"/>
          </w:tcPr>
          <w:p w14:paraId="1C112C6E">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技术标</w:t>
            </w:r>
          </w:p>
        </w:tc>
        <w:tc>
          <w:tcPr>
            <w:tcW w:w="4611" w:type="dxa"/>
            <w:vAlign w:val="center"/>
          </w:tcPr>
          <w:p w14:paraId="77ED939A">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设计文件、项目管理组织方案</w:t>
            </w:r>
          </w:p>
        </w:tc>
      </w:tr>
      <w:tr w14:paraId="3E93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trPr>
        <w:tc>
          <w:tcPr>
            <w:tcW w:w="731" w:type="dxa"/>
            <w:vAlign w:val="center"/>
          </w:tcPr>
          <w:p w14:paraId="0CAAB622">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2.3.4</w:t>
            </w:r>
          </w:p>
        </w:tc>
        <w:tc>
          <w:tcPr>
            <w:tcW w:w="3698" w:type="dxa"/>
            <w:gridSpan w:val="2"/>
            <w:vAlign w:val="center"/>
          </w:tcPr>
          <w:p w14:paraId="6DF23FC4">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评标方式、评审因素及评审顺序</w:t>
            </w:r>
          </w:p>
        </w:tc>
        <w:tc>
          <w:tcPr>
            <w:tcW w:w="4611" w:type="dxa"/>
            <w:vAlign w:val="center"/>
          </w:tcPr>
          <w:p w14:paraId="70CBDB24">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1、评标方式</w:t>
            </w:r>
          </w:p>
          <w:p w14:paraId="4E070E17">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定量评审</w:t>
            </w:r>
          </w:p>
          <w:p w14:paraId="3758B2BB">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2、评审因素：商务标</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经济标</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技术标</w:t>
            </w:r>
          </w:p>
          <w:p w14:paraId="69703A54">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3、评审顺序：</w:t>
            </w:r>
            <w:r>
              <w:rPr>
                <w:rFonts w:hint="eastAsia" w:ascii="仿宋" w:hAnsi="仿宋" w:eastAsia="仿宋" w:cs="仿宋"/>
                <w:color w:val="auto"/>
                <w:highlight w:val="none"/>
                <w:lang w:val="en-US" w:eastAsia="zh-CN"/>
              </w:rPr>
              <w:t>先设计标，再项目管理组织方案、商务标、经济标、</w:t>
            </w:r>
            <w:r>
              <w:rPr>
                <w:rFonts w:hint="eastAsia" w:ascii="仿宋" w:hAnsi="仿宋" w:eastAsia="仿宋" w:cs="仿宋"/>
                <w:color w:val="auto"/>
                <w:highlight w:val="none"/>
              </w:rPr>
              <w:t>工程业绩</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投标企业奖项</w:t>
            </w:r>
            <w:r>
              <w:rPr>
                <w:rFonts w:hint="eastAsia" w:ascii="仿宋" w:hAnsi="仿宋" w:eastAsia="仿宋" w:cs="仿宋"/>
                <w:color w:val="auto"/>
                <w:highlight w:val="none"/>
                <w:lang w:val="en-US" w:eastAsia="zh-CN"/>
              </w:rPr>
              <w:t>。</w:t>
            </w:r>
          </w:p>
        </w:tc>
      </w:tr>
      <w:tr w14:paraId="302D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rPr>
        <w:tc>
          <w:tcPr>
            <w:tcW w:w="731" w:type="dxa"/>
            <w:vAlign w:val="center"/>
          </w:tcPr>
          <w:p w14:paraId="6EDAA39C">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2.3.5</w:t>
            </w:r>
          </w:p>
        </w:tc>
        <w:tc>
          <w:tcPr>
            <w:tcW w:w="3698" w:type="dxa"/>
            <w:gridSpan w:val="2"/>
            <w:vAlign w:val="center"/>
          </w:tcPr>
          <w:p w14:paraId="544976C3">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入围下一评审阶段的方法</w:t>
            </w:r>
          </w:p>
        </w:tc>
        <w:tc>
          <w:tcPr>
            <w:tcW w:w="4611" w:type="dxa"/>
            <w:vAlign w:val="center"/>
          </w:tcPr>
          <w:p w14:paraId="10B6AA8F">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sym w:font="Wingdings" w:char="00FE"/>
            </w:r>
            <w:r>
              <w:rPr>
                <w:rFonts w:hint="eastAsia" w:ascii="仿宋" w:hAnsi="仿宋" w:eastAsia="仿宋" w:cs="仿宋"/>
                <w:color w:val="auto"/>
                <w:highlight w:val="none"/>
              </w:rPr>
              <w:t>优选法：优选数量</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u w:val="none"/>
              </w:rPr>
              <w:t>名</w:t>
            </w:r>
            <w:r>
              <w:rPr>
                <w:rFonts w:hint="eastAsia" w:ascii="仿宋" w:hAnsi="仿宋" w:eastAsia="仿宋" w:cs="仿宋"/>
                <w:color w:val="auto"/>
                <w:highlight w:val="none"/>
                <w:u w:val="single"/>
              </w:rPr>
              <w:t>（不足</w:t>
            </w:r>
            <w:r>
              <w:rPr>
                <w:rFonts w:hint="eastAsia" w:ascii="仿宋" w:hAnsi="仿宋" w:eastAsia="仿宋" w:cs="仿宋"/>
                <w:color w:val="auto"/>
                <w:highlight w:val="none"/>
                <w:u w:val="single"/>
                <w:lang w:val="en-US" w:eastAsia="zh-CN"/>
              </w:rPr>
              <w:t>7</w:t>
            </w:r>
            <w:r>
              <w:rPr>
                <w:rFonts w:hint="eastAsia" w:ascii="仿宋" w:hAnsi="仿宋" w:eastAsia="仿宋" w:cs="仿宋"/>
                <w:color w:val="auto"/>
                <w:highlight w:val="none"/>
                <w:u w:val="single"/>
              </w:rPr>
              <w:t>名则全部进入定标评审阶段）</w:t>
            </w:r>
          </w:p>
        </w:tc>
      </w:tr>
      <w:tr w14:paraId="62C1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trPr>
        <w:tc>
          <w:tcPr>
            <w:tcW w:w="731" w:type="dxa"/>
            <w:vAlign w:val="center"/>
          </w:tcPr>
          <w:p w14:paraId="45760B09">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.2</w:t>
            </w:r>
          </w:p>
        </w:tc>
        <w:tc>
          <w:tcPr>
            <w:tcW w:w="3698" w:type="dxa"/>
            <w:gridSpan w:val="2"/>
            <w:vAlign w:val="center"/>
          </w:tcPr>
          <w:p w14:paraId="1E7D42E1">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竞争性判断</w:t>
            </w:r>
          </w:p>
        </w:tc>
        <w:tc>
          <w:tcPr>
            <w:tcW w:w="4611" w:type="dxa"/>
            <w:vAlign w:val="center"/>
          </w:tcPr>
          <w:p w14:paraId="24EFE686">
            <w:pPr>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授权评标委员会作出竞争性判断：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是□否</w:t>
            </w:r>
          </w:p>
          <w:p w14:paraId="30BF466A">
            <w:pPr>
              <w:spacing w:line="40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竞争性判断方式：由评标委员会投票表决是否具有竞争性</w:t>
            </w:r>
            <w:r>
              <w:rPr>
                <w:rFonts w:hint="eastAsia" w:ascii="仿宋" w:hAnsi="仿宋" w:eastAsia="仿宋" w:cs="仿宋"/>
                <w:color w:val="auto"/>
                <w:highlight w:val="none"/>
                <w:lang w:eastAsia="zh-CN"/>
              </w:rPr>
              <w:t>。</w:t>
            </w:r>
          </w:p>
        </w:tc>
      </w:tr>
    </w:tbl>
    <w:p w14:paraId="7E9A86CD">
      <w:pPr>
        <w:numPr>
          <w:ilvl w:val="0"/>
          <w:numId w:val="0"/>
        </w:numPr>
        <w:spacing w:before="61" w:line="380" w:lineRule="exact"/>
        <w:jc w:val="both"/>
        <w:rPr>
          <w:rFonts w:hint="eastAsia" w:ascii="仿宋" w:hAnsi="仿宋" w:eastAsia="仿宋" w:cs="仿宋"/>
          <w:b/>
          <w:color w:val="auto"/>
          <w:sz w:val="28"/>
          <w:szCs w:val="28"/>
          <w:highlight w:val="none"/>
        </w:rPr>
      </w:pPr>
    </w:p>
    <w:p w14:paraId="6B41B0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1"/>
          <w:szCs w:val="21"/>
          <w:highlight w:val="none"/>
          <w:lang w:val="en-US" w:eastAsia="zh-CN" w:bidi="ar-SA"/>
        </w:rPr>
      </w:pPr>
    </w:p>
    <w:p w14:paraId="4860E5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1"/>
          <w:szCs w:val="21"/>
          <w:highlight w:val="none"/>
          <w:lang w:val="en-US" w:eastAsia="zh-CN" w:bidi="ar-SA"/>
        </w:rPr>
      </w:pPr>
    </w:p>
    <w:p w14:paraId="5D8D6A08">
      <w:pPr>
        <w:pStyle w:val="2"/>
        <w:rPr>
          <w:color w:val="auto"/>
          <w:sz w:val="30"/>
          <w:szCs w:val="30"/>
          <w:highlight w:val="none"/>
        </w:rPr>
      </w:pPr>
    </w:p>
    <w:p w14:paraId="4FA24D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第一阶段评审：</w:t>
      </w:r>
    </w:p>
    <w:tbl>
      <w:tblPr>
        <w:tblStyle w:val="9"/>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315"/>
        <w:gridCol w:w="2371"/>
        <w:gridCol w:w="4677"/>
      </w:tblGrid>
      <w:tr w14:paraId="780C1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95" w:type="dxa"/>
            <w:gridSpan w:val="3"/>
            <w:tcBorders>
              <w:bottom w:val="single" w:color="auto" w:sz="4" w:space="0"/>
              <w:right w:val="single" w:color="auto" w:sz="4" w:space="0"/>
            </w:tcBorders>
            <w:vAlign w:val="center"/>
          </w:tcPr>
          <w:p w14:paraId="6C5DF125">
            <w:pPr>
              <w:spacing w:line="440" w:lineRule="exact"/>
              <w:jc w:val="center"/>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第一阶段评审</w:t>
            </w:r>
            <w:r>
              <w:rPr>
                <w:rFonts w:hint="eastAsia" w:cs="Times New Roman" w:asciiTheme="minorEastAsia" w:hAnsiTheme="minorEastAsia" w:eastAsiaTheme="minorEastAsia"/>
                <w:color w:val="auto"/>
                <w:szCs w:val="21"/>
                <w:highlight w:val="none"/>
              </w:rPr>
              <w:t>分值构成</w:t>
            </w:r>
          </w:p>
          <w:p w14:paraId="01EC97B7">
            <w:pPr>
              <w:spacing w:line="440" w:lineRule="exact"/>
              <w:jc w:val="center"/>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eastAsia="zh-CN"/>
              </w:rPr>
              <w:t>（</w:t>
            </w:r>
            <w:r>
              <w:rPr>
                <w:rFonts w:hint="eastAsia" w:cs="Times New Roman" w:asciiTheme="minorEastAsia" w:hAnsiTheme="minorEastAsia" w:eastAsiaTheme="minorEastAsia"/>
                <w:color w:val="auto"/>
                <w:szCs w:val="21"/>
                <w:highlight w:val="none"/>
                <w:lang w:val="en-US" w:eastAsia="zh-CN"/>
              </w:rPr>
              <w:t>满分35分</w:t>
            </w:r>
            <w:r>
              <w:rPr>
                <w:rFonts w:hint="eastAsia" w:cs="Times New Roman" w:asciiTheme="minorEastAsia" w:hAnsiTheme="minorEastAsia" w:eastAsiaTheme="minorEastAsia"/>
                <w:color w:val="auto"/>
                <w:szCs w:val="21"/>
                <w:highlight w:val="none"/>
                <w:lang w:eastAsia="zh-CN"/>
              </w:rPr>
              <w:t>）</w:t>
            </w:r>
          </w:p>
        </w:tc>
        <w:tc>
          <w:tcPr>
            <w:tcW w:w="4677" w:type="dxa"/>
            <w:tcBorders>
              <w:top w:val="single" w:color="auto" w:sz="4" w:space="0"/>
              <w:left w:val="single" w:color="auto" w:sz="4" w:space="0"/>
              <w:bottom w:val="single" w:color="auto" w:sz="4" w:space="0"/>
              <w:right w:val="single" w:color="auto" w:sz="4" w:space="0"/>
            </w:tcBorders>
            <w:vAlign w:val="center"/>
          </w:tcPr>
          <w:p w14:paraId="204AC190">
            <w:pPr>
              <w:spacing w:line="440" w:lineRule="exact"/>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方案设计文件：</w:t>
            </w:r>
            <w:r>
              <w:rPr>
                <w:rFonts w:hint="eastAsia" w:cs="Times New Roman" w:asciiTheme="minorEastAsia" w:hAnsiTheme="minorEastAsia" w:eastAsiaTheme="minorEastAsia"/>
                <w:color w:val="auto"/>
                <w:szCs w:val="21"/>
                <w:highlight w:val="none"/>
                <w:lang w:val="en-US" w:eastAsia="zh-CN"/>
              </w:rPr>
              <w:t>35</w:t>
            </w:r>
            <w:r>
              <w:rPr>
                <w:rFonts w:hint="eastAsia" w:cs="Times New Roman" w:asciiTheme="minorEastAsia" w:hAnsiTheme="minorEastAsia" w:eastAsiaTheme="minorEastAsia"/>
                <w:color w:val="auto"/>
                <w:szCs w:val="21"/>
                <w:highlight w:val="none"/>
              </w:rPr>
              <w:t>分</w:t>
            </w:r>
          </w:p>
        </w:tc>
      </w:tr>
      <w:tr w14:paraId="06DAF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bottom w:val="single" w:color="auto" w:sz="4" w:space="0"/>
              <w:right w:val="single" w:color="auto" w:sz="4" w:space="0"/>
            </w:tcBorders>
            <w:shd w:val="clear" w:color="auto" w:fill="auto"/>
            <w:vAlign w:val="center"/>
          </w:tcPr>
          <w:p w14:paraId="78F0BF40">
            <w:pPr>
              <w:spacing w:line="440" w:lineRule="exact"/>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序号</w:t>
            </w:r>
          </w:p>
        </w:tc>
        <w:tc>
          <w:tcPr>
            <w:tcW w:w="1315" w:type="dxa"/>
            <w:tcBorders>
              <w:bottom w:val="single" w:color="auto" w:sz="4" w:space="0"/>
              <w:right w:val="single" w:color="auto" w:sz="4" w:space="0"/>
            </w:tcBorders>
            <w:shd w:val="clear" w:color="auto" w:fill="auto"/>
            <w:vAlign w:val="center"/>
          </w:tcPr>
          <w:p w14:paraId="3D85160F">
            <w:pPr>
              <w:spacing w:line="440" w:lineRule="exact"/>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评审项</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14:paraId="07B9BE1F">
            <w:pPr>
              <w:spacing w:line="440" w:lineRule="exact"/>
              <w:jc w:val="center"/>
              <w:rPr>
                <w:rFonts w:hint="eastAsia" w:cs="Times New Roman"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评分因素（偏差率）</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14:paraId="343F6135">
            <w:pPr>
              <w:spacing w:line="440" w:lineRule="exact"/>
              <w:jc w:val="center"/>
              <w:rPr>
                <w:rFonts w:hint="eastAsia" w:cs="Times New Roman"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评分标准</w:t>
            </w:r>
          </w:p>
        </w:tc>
      </w:tr>
      <w:tr w14:paraId="66EAC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right w:val="single" w:color="000000" w:sz="4" w:space="0"/>
            </w:tcBorders>
            <w:vAlign w:val="center"/>
          </w:tcPr>
          <w:p w14:paraId="51382B29">
            <w:pPr>
              <w:spacing w:line="440" w:lineRule="exact"/>
              <w:jc w:val="center"/>
              <w:rPr>
                <w:rFonts w:hint="eastAsia" w:asciiTheme="minorEastAsia" w:hAnsiTheme="minorEastAsia" w:eastAsiaTheme="minorEastAsia"/>
                <w:color w:val="auto"/>
                <w:szCs w:val="21"/>
                <w:highlight w:val="none"/>
              </w:rPr>
            </w:pPr>
          </w:p>
        </w:tc>
        <w:tc>
          <w:tcPr>
            <w:tcW w:w="1315" w:type="dxa"/>
            <w:vMerge w:val="restart"/>
            <w:tcBorders>
              <w:left w:val="single" w:color="000000" w:sz="4" w:space="0"/>
              <w:right w:val="single" w:color="auto" w:sz="4" w:space="0"/>
            </w:tcBorders>
            <w:vAlign w:val="center"/>
          </w:tcPr>
          <w:p w14:paraId="40D46B3E">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1.2方案设计文件（35分）</w:t>
            </w:r>
          </w:p>
        </w:tc>
        <w:tc>
          <w:tcPr>
            <w:tcW w:w="2371" w:type="dxa"/>
            <w:tcBorders>
              <w:top w:val="single" w:color="auto" w:sz="4" w:space="0"/>
              <w:left w:val="single" w:color="auto" w:sz="4" w:space="0"/>
              <w:bottom w:val="single" w:color="auto" w:sz="4" w:space="0"/>
              <w:right w:val="single" w:color="auto" w:sz="4" w:space="0"/>
            </w:tcBorders>
            <w:vAlign w:val="center"/>
          </w:tcPr>
          <w:p w14:paraId="09C2D01B">
            <w:pPr>
              <w:rPr>
                <w:rFonts w:hint="eastAsia"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1.设计说明（11分）</w:t>
            </w:r>
          </w:p>
        </w:tc>
        <w:tc>
          <w:tcPr>
            <w:tcW w:w="4677" w:type="dxa"/>
            <w:tcBorders>
              <w:top w:val="single" w:color="auto" w:sz="4" w:space="0"/>
              <w:left w:val="single" w:color="auto" w:sz="4" w:space="0"/>
              <w:bottom w:val="single" w:color="auto" w:sz="4" w:space="0"/>
              <w:right w:val="single" w:color="auto" w:sz="4" w:space="0"/>
            </w:tcBorders>
            <w:vAlign w:val="center"/>
          </w:tcPr>
          <w:p w14:paraId="58B3D5F8">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1．设计说明</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对项目现状的情况解读充分，对污水厂实际运行情况了解，理解深刻，分析准确，构思新颖。</w:t>
            </w:r>
          </w:p>
          <w:p w14:paraId="5251E375">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优:3分-2.4 分；良:2.4 分-1.8 分；中:1.8 分-1.2分；差:1.2 分-0 分；无:0 分；</w:t>
            </w:r>
          </w:p>
          <w:p w14:paraId="70A26D93">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2．污水厂提标设计各项指标满足任务书及规划设计要点，并合理科学。</w:t>
            </w:r>
          </w:p>
          <w:p w14:paraId="688BB379">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分-2.4 分；良:2.4 分-1.8 分；中:1.8 分-1.2分；差:1.2 分-0 分；无:0 分；</w:t>
            </w:r>
          </w:p>
          <w:p w14:paraId="27783FEB">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3．采用的提标技术方案路线满足任务书要求，符合规划和主管部门的要求。</w:t>
            </w:r>
          </w:p>
          <w:p w14:paraId="63853C44">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分-2.4 分；良:2.4 分-1.8 分；中:1.8 分-1.2分；差:1.2 分-0 分；无:0 分；</w:t>
            </w:r>
          </w:p>
          <w:p w14:paraId="2106F264">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4．各专业工程设计说明完整，工程量合理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设计理念先进。</w:t>
            </w:r>
          </w:p>
          <w:p w14:paraId="587209AC">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优:2 分-1.6 分;良:1.6 分-1.2 分;中:1.2分-0.8分;差:0.8 分-0 分;无:0 分;</w:t>
            </w:r>
          </w:p>
        </w:tc>
      </w:tr>
      <w:tr w14:paraId="0C022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right w:val="single" w:color="000000" w:sz="4" w:space="0"/>
            </w:tcBorders>
            <w:vAlign w:val="center"/>
          </w:tcPr>
          <w:p w14:paraId="6DE17E0A">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right w:val="single" w:color="auto" w:sz="4" w:space="0"/>
            </w:tcBorders>
          </w:tcPr>
          <w:p w14:paraId="5B0C042B">
            <w:pPr>
              <w:spacing w:line="440" w:lineRule="exact"/>
              <w:jc w:val="center"/>
              <w:rPr>
                <w:rFonts w:hint="eastAsia" w:asciiTheme="minorEastAsia" w:hAnsiTheme="minorEastAsia" w:eastAsiaTheme="minorEastAsia"/>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085493FE">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2.技术方案（18分）</w:t>
            </w:r>
          </w:p>
        </w:tc>
        <w:tc>
          <w:tcPr>
            <w:tcW w:w="4677" w:type="dxa"/>
            <w:tcBorders>
              <w:top w:val="single" w:color="auto" w:sz="4" w:space="0"/>
              <w:left w:val="single" w:color="auto" w:sz="4" w:space="0"/>
              <w:bottom w:val="single" w:color="auto" w:sz="4" w:space="0"/>
              <w:right w:val="single" w:color="auto" w:sz="4" w:space="0"/>
            </w:tcBorders>
          </w:tcPr>
          <w:p w14:paraId="3F5DA6E6">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总图设计：内容完整、设计合理充分表现城市独有特色。</w:t>
            </w:r>
          </w:p>
          <w:p w14:paraId="6A704C4D">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分-2.4 分；良:2.4 分-1.8 分；中:1.8 分-1.2分；差:1.2 分-0 分；无:0 分；</w:t>
            </w:r>
          </w:p>
          <w:p w14:paraId="244A35DD">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项目设计</w:t>
            </w:r>
            <w:r>
              <w:rPr>
                <w:rFonts w:hint="eastAsia" w:asciiTheme="minorEastAsia" w:hAnsiTheme="minorEastAsia" w:eastAsiaTheme="minorEastAsia"/>
                <w:color w:val="auto"/>
                <w:szCs w:val="21"/>
                <w:highlight w:val="none"/>
                <w:lang w:val="en-US" w:eastAsia="zh-CN"/>
              </w:rPr>
              <w:t>电镀废水</w:t>
            </w:r>
            <w:r>
              <w:rPr>
                <w:rFonts w:hint="eastAsia" w:asciiTheme="minorEastAsia" w:hAnsiTheme="minorEastAsia" w:eastAsiaTheme="minorEastAsia"/>
                <w:color w:val="auto"/>
                <w:szCs w:val="21"/>
                <w:highlight w:val="none"/>
              </w:rPr>
              <w:t>的特点及关键性技术问题的对策措施合理。</w:t>
            </w:r>
          </w:p>
          <w:p w14:paraId="50651E73">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分-2.4 分；良:2.4 分-1.8 分；中:1.8 分-1.2分；差:1.2 分-0 分；无:0 分；</w:t>
            </w:r>
          </w:p>
          <w:p w14:paraId="36C90342">
            <w:pPr>
              <w:spacing w:line="44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专业工程设计方案</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了解现场实际用地情况，建设方案合理可行</w:t>
            </w:r>
            <w:r>
              <w:rPr>
                <w:rFonts w:hint="eastAsia" w:asciiTheme="minorEastAsia" w:hAnsiTheme="minorEastAsia" w:eastAsiaTheme="minorEastAsia"/>
                <w:color w:val="auto"/>
                <w:szCs w:val="21"/>
                <w:highlight w:val="none"/>
                <w:lang w:eastAsia="zh-CN"/>
              </w:rPr>
              <w:t>。</w:t>
            </w:r>
          </w:p>
          <w:p w14:paraId="63759870">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 3 分-2.4 分；良:2.4 分-1.8 分；中:1.8 分-1.2分；差:1.2 分-0 分；无:0 分；</w:t>
            </w:r>
          </w:p>
          <w:p w14:paraId="13448E6E">
            <w:pPr>
              <w:spacing w:line="44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4、初步设计概算完整性及</w:t>
            </w:r>
            <w:r>
              <w:rPr>
                <w:rFonts w:hint="eastAsia" w:asciiTheme="minorEastAsia" w:hAnsiTheme="minorEastAsia" w:eastAsiaTheme="minorEastAsia"/>
                <w:color w:val="auto"/>
                <w:szCs w:val="21"/>
                <w:highlight w:val="none"/>
              </w:rPr>
              <w:t>合理</w:t>
            </w:r>
            <w:r>
              <w:rPr>
                <w:rFonts w:hint="eastAsia" w:asciiTheme="minorEastAsia" w:hAnsiTheme="minorEastAsia" w:eastAsiaTheme="minorEastAsia"/>
                <w:color w:val="auto"/>
                <w:szCs w:val="21"/>
                <w:highlight w:val="none"/>
                <w:lang w:val="en-US" w:eastAsia="zh-CN"/>
              </w:rPr>
              <w:t>性</w:t>
            </w:r>
            <w:r>
              <w:rPr>
                <w:rFonts w:hint="eastAsia" w:asciiTheme="minorEastAsia" w:hAnsiTheme="minorEastAsia" w:eastAsiaTheme="minorEastAsia"/>
                <w:color w:val="auto"/>
                <w:szCs w:val="21"/>
                <w:highlight w:val="none"/>
                <w:lang w:eastAsia="zh-CN"/>
              </w:rPr>
              <w:t>。</w:t>
            </w:r>
          </w:p>
          <w:p w14:paraId="4DA24DB5">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分-2.4 分；良:2.4 分-1.8 分；中:1.8 分-1.2分；差:1.2 分-0 分；无:0 分；</w:t>
            </w:r>
          </w:p>
          <w:p w14:paraId="3A3B9456">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设计依据的技术标准、采用的设计指标等。</w:t>
            </w:r>
          </w:p>
          <w:p w14:paraId="311E168A">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分-2.4 分；良:2.4 分-1.8 分；中:1.8 分-1.2分；差:1.2 分-0 分；无:0 分；</w:t>
            </w:r>
          </w:p>
          <w:p w14:paraId="5FB24BE5">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6、提供四个不同视角鸟瞰图</w:t>
            </w:r>
            <w:r>
              <w:rPr>
                <w:rFonts w:hint="eastAsia" w:asciiTheme="minorEastAsia" w:hAnsiTheme="minorEastAsia" w:eastAsiaTheme="minorEastAsia"/>
                <w:color w:val="auto"/>
                <w:szCs w:val="21"/>
                <w:highlight w:val="none"/>
              </w:rPr>
              <w:t>。</w:t>
            </w:r>
          </w:p>
          <w:p w14:paraId="59E69225">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分-2.4 分；良:2.4 分-1.8 分；中:1.8 分-1.2分；差:1.2 分-0 分；无:0 分；</w:t>
            </w:r>
          </w:p>
        </w:tc>
      </w:tr>
      <w:tr w14:paraId="39F32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709" w:type="dxa"/>
            <w:vMerge w:val="continue"/>
            <w:tcBorders>
              <w:right w:val="single" w:color="000000" w:sz="4" w:space="0"/>
            </w:tcBorders>
            <w:vAlign w:val="center"/>
          </w:tcPr>
          <w:p w14:paraId="5AA46681">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right w:val="single" w:color="auto" w:sz="4" w:space="0"/>
            </w:tcBorders>
          </w:tcPr>
          <w:p w14:paraId="1F4C2674">
            <w:pPr>
              <w:spacing w:line="440" w:lineRule="exact"/>
              <w:jc w:val="center"/>
              <w:rPr>
                <w:rFonts w:hint="eastAsia" w:asciiTheme="minorEastAsia" w:hAnsiTheme="minorEastAsia" w:eastAsiaTheme="minorEastAsia"/>
                <w:color w:val="auto"/>
                <w:szCs w:val="21"/>
                <w:highlight w:val="none"/>
              </w:rPr>
            </w:pPr>
          </w:p>
        </w:tc>
        <w:tc>
          <w:tcPr>
            <w:tcW w:w="2371" w:type="dxa"/>
            <w:tcBorders>
              <w:top w:val="single" w:color="auto" w:sz="4" w:space="0"/>
              <w:left w:val="single" w:color="auto" w:sz="4" w:space="0"/>
              <w:right w:val="single" w:color="auto" w:sz="4" w:space="0"/>
            </w:tcBorders>
            <w:vAlign w:val="center"/>
          </w:tcPr>
          <w:p w14:paraId="2343C8AE">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3．设计深度（6分）</w:t>
            </w:r>
          </w:p>
        </w:tc>
        <w:tc>
          <w:tcPr>
            <w:tcW w:w="4677" w:type="dxa"/>
            <w:tcBorders>
              <w:top w:val="single" w:color="auto" w:sz="4" w:space="0"/>
              <w:left w:val="single" w:color="auto" w:sz="4" w:space="0"/>
              <w:right w:val="single" w:color="auto" w:sz="4" w:space="0"/>
            </w:tcBorders>
          </w:tcPr>
          <w:p w14:paraId="72FD30C6">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1．提供各专业图纸是否符合设计任务书要求</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提供各专业图纸是否符合国家规定的《市政公用工程设计文件编制深度规定》。</w:t>
            </w:r>
          </w:p>
          <w:p w14:paraId="6AF0683C">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优: </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lang w:val="en-US" w:eastAsia="zh-CN"/>
              </w:rPr>
              <w:t>4.8</w:t>
            </w:r>
            <w:r>
              <w:rPr>
                <w:rFonts w:hint="eastAsia" w:asciiTheme="minorEastAsia" w:hAnsiTheme="minorEastAsia" w:eastAsiaTheme="minorEastAsia"/>
                <w:color w:val="auto"/>
                <w:szCs w:val="21"/>
                <w:highlight w:val="none"/>
              </w:rPr>
              <w:t xml:space="preserve"> 分；良:</w:t>
            </w:r>
            <w:r>
              <w:rPr>
                <w:rFonts w:hint="eastAsia" w:asciiTheme="minorEastAsia" w:hAnsiTheme="minorEastAsia" w:eastAsiaTheme="minorEastAsia"/>
                <w:color w:val="auto"/>
                <w:szCs w:val="21"/>
                <w:highlight w:val="none"/>
                <w:lang w:val="en-US" w:eastAsia="zh-CN"/>
              </w:rPr>
              <w:t>4.8</w:t>
            </w:r>
            <w:r>
              <w:rPr>
                <w:rFonts w:hint="eastAsia" w:asciiTheme="minorEastAsia" w:hAnsiTheme="minorEastAsia" w:eastAsiaTheme="minorEastAsia"/>
                <w:color w:val="auto"/>
                <w:szCs w:val="21"/>
                <w:highlight w:val="none"/>
              </w:rPr>
              <w:t xml:space="preserve"> 分-</w:t>
            </w:r>
            <w:r>
              <w:rPr>
                <w:rFonts w:hint="eastAsia" w:asciiTheme="minorEastAsia" w:hAnsiTheme="minorEastAsia" w:eastAsiaTheme="minorEastAsia"/>
                <w:color w:val="auto"/>
                <w:szCs w:val="21"/>
                <w:highlight w:val="none"/>
                <w:lang w:val="en-US" w:eastAsia="zh-CN"/>
              </w:rPr>
              <w:t>3.6</w:t>
            </w:r>
            <w:r>
              <w:rPr>
                <w:rFonts w:hint="eastAsia" w:asciiTheme="minorEastAsia" w:hAnsiTheme="minorEastAsia" w:eastAsiaTheme="minorEastAsia"/>
                <w:color w:val="auto"/>
                <w:szCs w:val="21"/>
                <w:highlight w:val="none"/>
              </w:rPr>
              <w:t>分；中:</w:t>
            </w:r>
            <w:r>
              <w:rPr>
                <w:rFonts w:hint="eastAsia" w:asciiTheme="minorEastAsia" w:hAnsiTheme="minorEastAsia" w:eastAsiaTheme="minorEastAsia"/>
                <w:color w:val="auto"/>
                <w:szCs w:val="21"/>
                <w:highlight w:val="none"/>
                <w:lang w:val="en-US" w:eastAsia="zh-CN"/>
              </w:rPr>
              <w:t>3.6</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lang w:val="en-US" w:eastAsia="zh-CN"/>
              </w:rPr>
              <w:t>2.4</w:t>
            </w:r>
            <w:r>
              <w:rPr>
                <w:rFonts w:hint="eastAsia" w:asciiTheme="minorEastAsia" w:hAnsiTheme="minorEastAsia" w:eastAsiaTheme="minorEastAsia"/>
                <w:color w:val="auto"/>
                <w:szCs w:val="21"/>
                <w:highlight w:val="none"/>
              </w:rPr>
              <w:t>分；差:</w:t>
            </w:r>
            <w:r>
              <w:rPr>
                <w:rFonts w:hint="eastAsia" w:asciiTheme="minorEastAsia" w:hAnsiTheme="minorEastAsia" w:eastAsiaTheme="minorEastAsia"/>
                <w:color w:val="auto"/>
                <w:szCs w:val="21"/>
                <w:highlight w:val="none"/>
                <w:lang w:val="en-US" w:eastAsia="zh-CN"/>
              </w:rPr>
              <w:t>2.4</w:t>
            </w:r>
            <w:r>
              <w:rPr>
                <w:rFonts w:hint="eastAsia" w:asciiTheme="minorEastAsia" w:hAnsiTheme="minorEastAsia" w:eastAsiaTheme="minorEastAsia"/>
                <w:color w:val="auto"/>
                <w:szCs w:val="21"/>
                <w:highlight w:val="none"/>
              </w:rPr>
              <w:t>分-0 分；无:0 分；</w:t>
            </w:r>
          </w:p>
          <w:p w14:paraId="2E3CA1E4">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注：本项可视设计深度符合程度在0~6分之间酌情打分。</w:t>
            </w:r>
          </w:p>
        </w:tc>
      </w:tr>
    </w:tbl>
    <w:p w14:paraId="3D76006F">
      <w:pPr>
        <w:pStyle w:val="2"/>
        <w:rPr>
          <w:rFonts w:hint="eastAsia" w:ascii="仿宋" w:hAnsi="仿宋" w:eastAsia="仿宋" w:cs="仿宋"/>
          <w:b/>
          <w:bCs/>
          <w:color w:val="auto"/>
          <w:kern w:val="2"/>
          <w:sz w:val="21"/>
          <w:szCs w:val="21"/>
          <w:highlight w:val="none"/>
          <w:lang w:val="en-US" w:eastAsia="zh-CN" w:bidi="ar-SA"/>
        </w:rPr>
      </w:pPr>
    </w:p>
    <w:p w14:paraId="1A6BCCD2">
      <w:pPr>
        <w:pStyle w:val="2"/>
        <w:rPr>
          <w:rFonts w:hint="eastAsia" w:ascii="仿宋" w:hAnsi="仿宋" w:eastAsia="仿宋" w:cs="仿宋"/>
          <w:b/>
          <w:bCs/>
          <w:color w:val="auto"/>
          <w:kern w:val="2"/>
          <w:sz w:val="21"/>
          <w:szCs w:val="21"/>
          <w:highlight w:val="none"/>
          <w:lang w:val="en-US" w:eastAsia="zh-CN" w:bidi="ar-SA"/>
        </w:rPr>
      </w:pPr>
    </w:p>
    <w:p w14:paraId="45B8E61A">
      <w:pPr>
        <w:pStyle w:val="2"/>
        <w:rPr>
          <w:rFonts w:hint="eastAsia" w:ascii="仿宋" w:hAnsi="仿宋" w:eastAsia="仿宋" w:cs="仿宋"/>
          <w:b/>
          <w:bCs/>
          <w:color w:val="auto"/>
          <w:kern w:val="2"/>
          <w:sz w:val="21"/>
          <w:szCs w:val="21"/>
          <w:highlight w:val="none"/>
          <w:lang w:val="en-US" w:eastAsia="zh-CN" w:bidi="ar-SA"/>
        </w:rPr>
      </w:pPr>
    </w:p>
    <w:p w14:paraId="76506201">
      <w:pPr>
        <w:pStyle w:val="2"/>
        <w:rPr>
          <w:rFonts w:hint="eastAsia" w:ascii="仿宋" w:hAnsi="仿宋" w:eastAsia="仿宋" w:cs="仿宋"/>
          <w:b/>
          <w:bCs/>
          <w:color w:val="auto"/>
          <w:kern w:val="2"/>
          <w:sz w:val="21"/>
          <w:szCs w:val="21"/>
          <w:highlight w:val="none"/>
          <w:lang w:val="en-US" w:eastAsia="zh-CN" w:bidi="ar-SA"/>
        </w:rPr>
      </w:pPr>
    </w:p>
    <w:p w14:paraId="4DECBE8B">
      <w:pPr>
        <w:pStyle w:val="8"/>
        <w:keepNext w:val="0"/>
        <w:keepLines w:val="0"/>
        <w:pageBreakBefore w:val="0"/>
        <w:widowControl w:val="0"/>
        <w:kinsoku/>
        <w:wordWrap/>
        <w:overflowPunct/>
        <w:topLinePunct w:val="0"/>
        <w:bidi w:val="0"/>
        <w:spacing w:before="0" w:line="360" w:lineRule="auto"/>
        <w:ind w:left="0" w:leftChars="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第二阶段评审：</w:t>
      </w:r>
    </w:p>
    <w:tbl>
      <w:tblPr>
        <w:tblStyle w:val="9"/>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315"/>
        <w:gridCol w:w="2371"/>
        <w:gridCol w:w="4677"/>
      </w:tblGrid>
      <w:tr w14:paraId="61C39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95" w:type="dxa"/>
            <w:gridSpan w:val="3"/>
            <w:tcBorders>
              <w:bottom w:val="single" w:color="auto" w:sz="4" w:space="0"/>
              <w:right w:val="single" w:color="auto" w:sz="4" w:space="0"/>
            </w:tcBorders>
            <w:vAlign w:val="center"/>
          </w:tcPr>
          <w:p w14:paraId="01371FC3">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第二阶段评审</w:t>
            </w:r>
            <w:r>
              <w:rPr>
                <w:rFonts w:hint="eastAsia" w:ascii="仿宋" w:hAnsi="仿宋" w:eastAsia="仿宋" w:cs="仿宋"/>
                <w:color w:val="auto"/>
                <w:sz w:val="21"/>
                <w:szCs w:val="21"/>
                <w:highlight w:val="none"/>
              </w:rPr>
              <w:t>分值构成</w:t>
            </w:r>
          </w:p>
          <w:p w14:paraId="08F0DFFC">
            <w:pPr>
              <w:spacing w:line="440" w:lineRule="exact"/>
              <w:jc w:val="center"/>
              <w:rPr>
                <w:rFonts w:hint="eastAsia" w:asciiTheme="minorEastAsia" w:hAnsiTheme="minorEastAsia" w:eastAsiaTheme="minorEastAsia"/>
                <w:color w:val="auto"/>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小计满分65分</w:t>
            </w:r>
            <w:r>
              <w:rPr>
                <w:rFonts w:hint="eastAsia" w:ascii="仿宋" w:hAnsi="仿宋" w:eastAsia="仿宋" w:cs="仿宋"/>
                <w:color w:val="auto"/>
                <w:sz w:val="21"/>
                <w:szCs w:val="21"/>
                <w:highlight w:val="none"/>
                <w:lang w:eastAsia="zh-CN"/>
              </w:rPr>
              <w:t>）</w:t>
            </w:r>
          </w:p>
        </w:tc>
        <w:tc>
          <w:tcPr>
            <w:tcW w:w="4677" w:type="dxa"/>
            <w:tcBorders>
              <w:top w:val="single" w:color="auto" w:sz="4" w:space="0"/>
              <w:left w:val="single" w:color="auto" w:sz="4" w:space="0"/>
              <w:bottom w:val="single" w:color="auto" w:sz="4" w:space="0"/>
              <w:right w:val="single" w:color="auto" w:sz="4" w:space="0"/>
            </w:tcBorders>
            <w:vAlign w:val="center"/>
          </w:tcPr>
          <w:p w14:paraId="05851C6B">
            <w:pPr>
              <w:spacing w:line="440" w:lineRule="exact"/>
              <w:ind w:firstLine="42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项目管理组织方案：9分</w:t>
            </w:r>
          </w:p>
          <w:p w14:paraId="2BE6AEF0">
            <w:pPr>
              <w:spacing w:line="440" w:lineRule="exact"/>
              <w:ind w:firstLine="42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经济标：工程总承包报价：50分</w:t>
            </w:r>
          </w:p>
          <w:p w14:paraId="07A7FFB8">
            <w:pPr>
              <w:spacing w:line="440" w:lineRule="exact"/>
              <w:ind w:firstLine="42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商务标：项目管理机构： 2分</w:t>
            </w:r>
          </w:p>
          <w:p w14:paraId="742A3907">
            <w:pPr>
              <w:spacing w:line="440" w:lineRule="exact"/>
              <w:ind w:firstLine="42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工程业绩：1分</w:t>
            </w:r>
          </w:p>
          <w:p w14:paraId="4180BB8E">
            <w:pPr>
              <w:spacing w:line="440" w:lineRule="exact"/>
              <w:ind w:firstLine="420" w:firstLineChars="200"/>
              <w:rPr>
                <w:rFonts w:hint="eastAsia"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投标企业奖项：3分</w:t>
            </w:r>
          </w:p>
        </w:tc>
      </w:tr>
      <w:tr w14:paraId="06CEA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09" w:type="dxa"/>
            <w:vMerge w:val="restart"/>
            <w:tcBorders>
              <w:top w:val="single" w:color="auto" w:sz="4" w:space="0"/>
              <w:right w:val="single" w:color="000000" w:sz="4" w:space="0"/>
            </w:tcBorders>
            <w:vAlign w:val="center"/>
          </w:tcPr>
          <w:p w14:paraId="4C81A2AA">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315" w:type="dxa"/>
            <w:vMerge w:val="restart"/>
            <w:tcBorders>
              <w:top w:val="single" w:color="auto" w:sz="4" w:space="0"/>
              <w:left w:val="single" w:color="000000" w:sz="4" w:space="0"/>
              <w:right w:val="single" w:color="auto" w:sz="4" w:space="0"/>
            </w:tcBorders>
            <w:vAlign w:val="center"/>
          </w:tcPr>
          <w:p w14:paraId="244A2C66">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工程总承包报价（50分）</w:t>
            </w:r>
          </w:p>
        </w:tc>
        <w:tc>
          <w:tcPr>
            <w:tcW w:w="2371" w:type="dxa"/>
            <w:tcBorders>
              <w:top w:val="single" w:color="auto" w:sz="4" w:space="0"/>
              <w:left w:val="single" w:color="auto" w:sz="4" w:space="0"/>
              <w:bottom w:val="single" w:color="auto" w:sz="4" w:space="0"/>
              <w:right w:val="single" w:color="auto" w:sz="4" w:space="0"/>
            </w:tcBorders>
            <w:vAlign w:val="center"/>
          </w:tcPr>
          <w:p w14:paraId="4C961A53">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报价评审（工程总承包范围内的所有费用）</w:t>
            </w:r>
          </w:p>
          <w:p w14:paraId="357CB0C1">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（48分）</w:t>
            </w:r>
          </w:p>
        </w:tc>
        <w:tc>
          <w:tcPr>
            <w:tcW w:w="4677" w:type="dxa"/>
            <w:tcBorders>
              <w:top w:val="single" w:color="auto" w:sz="4" w:space="0"/>
              <w:left w:val="single" w:color="auto" w:sz="4" w:space="0"/>
              <w:right w:val="single" w:color="auto" w:sz="4" w:space="0"/>
            </w:tcBorders>
            <w:vAlign w:val="center"/>
          </w:tcPr>
          <w:p w14:paraId="0B95A459">
            <w:pPr>
              <w:spacing w:line="44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有效投标文件的评标价进行算术平均，该平均值下浮（3%、3.5%、4%、4.5%）中确定四个及以上数值，开标时随机抽取）为评标基准价。评标价等于评标基准价的得满分；每低于评标基准价1%扣0.1分；每高于评标基准价1%扣0.</w:t>
            </w:r>
            <w:r>
              <w:rPr>
                <w:rFonts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分。偏离不足1%的，按照插入法计算得分。</w:t>
            </w:r>
          </w:p>
        </w:tc>
      </w:tr>
      <w:tr w14:paraId="4B7E5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709" w:type="dxa"/>
            <w:vMerge w:val="continue"/>
            <w:tcBorders>
              <w:right w:val="single" w:color="000000" w:sz="4" w:space="0"/>
            </w:tcBorders>
            <w:vAlign w:val="center"/>
          </w:tcPr>
          <w:p w14:paraId="401E5925">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right w:val="single" w:color="auto" w:sz="4" w:space="0"/>
            </w:tcBorders>
            <w:vAlign w:val="center"/>
          </w:tcPr>
          <w:p w14:paraId="674EC9B7">
            <w:pPr>
              <w:spacing w:line="440" w:lineRule="exact"/>
              <w:jc w:val="center"/>
              <w:rPr>
                <w:rFonts w:hint="eastAsia" w:asciiTheme="minorEastAsia" w:hAnsiTheme="minorEastAsia" w:eastAsiaTheme="minorEastAsia"/>
                <w:color w:val="auto"/>
                <w:szCs w:val="21"/>
                <w:highlight w:val="none"/>
              </w:rPr>
            </w:pPr>
          </w:p>
        </w:tc>
        <w:tc>
          <w:tcPr>
            <w:tcW w:w="2371" w:type="dxa"/>
            <w:vMerge w:val="restart"/>
            <w:tcBorders>
              <w:top w:val="single" w:color="auto" w:sz="4" w:space="0"/>
              <w:left w:val="single" w:color="auto" w:sz="4" w:space="0"/>
              <w:right w:val="single" w:color="auto" w:sz="4" w:space="0"/>
            </w:tcBorders>
            <w:vAlign w:val="center"/>
          </w:tcPr>
          <w:p w14:paraId="549D5330">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投标报价合理性（2 分）</w:t>
            </w:r>
          </w:p>
        </w:tc>
        <w:tc>
          <w:tcPr>
            <w:tcW w:w="4677" w:type="dxa"/>
            <w:tcBorders>
              <w:top w:val="single" w:color="auto" w:sz="4" w:space="0"/>
              <w:left w:val="single" w:color="auto" w:sz="4" w:space="0"/>
              <w:right w:val="single" w:color="auto" w:sz="4" w:space="0"/>
            </w:tcBorders>
            <w:vAlign w:val="center"/>
          </w:tcPr>
          <w:p w14:paraId="328D2CE2">
            <w:pPr>
              <w:numPr>
                <w:ilvl w:val="0"/>
                <w:numId w:val="1"/>
              </w:numPr>
              <w:spacing w:line="440" w:lineRule="exact"/>
              <w:ind w:left="36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工程总承包报价是否与招标范围相一致；</w:t>
            </w:r>
          </w:p>
          <w:p w14:paraId="6CFFA8C6">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优：0.5分、良：0.4分、中：0.3分、差：0.1分，无得0分；</w:t>
            </w:r>
          </w:p>
          <w:p w14:paraId="26FAA97E">
            <w:pPr>
              <w:numPr>
                <w:ilvl w:val="0"/>
                <w:numId w:val="1"/>
              </w:numPr>
              <w:spacing w:line="440" w:lineRule="exact"/>
              <w:ind w:left="36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工程总承包报价是否与投标方案设计文件相匹配；</w:t>
            </w:r>
          </w:p>
          <w:p w14:paraId="79452076">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优：0.5分、良：0.4分、中：0.3分、差：0.1分，无得0分；</w:t>
            </w:r>
          </w:p>
          <w:p w14:paraId="6BFB38F7">
            <w:pPr>
              <w:numPr>
                <w:ilvl w:val="0"/>
                <w:numId w:val="1"/>
              </w:numPr>
              <w:spacing w:line="440" w:lineRule="exact"/>
              <w:ind w:left="36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工程总承包报价是否与投标项目管理组织方案相匹配；</w:t>
            </w:r>
          </w:p>
          <w:p w14:paraId="1FC53D5D">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优：0.5分、良：0.4分、中：0.3分、差：0.1分，无得0分；</w:t>
            </w:r>
          </w:p>
          <w:p w14:paraId="6CCFE655">
            <w:pPr>
              <w:numPr>
                <w:ilvl w:val="0"/>
                <w:numId w:val="1"/>
              </w:numPr>
              <w:spacing w:line="440" w:lineRule="exact"/>
              <w:ind w:left="36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工程总承包报价中的风险金计取是否明确、合理。</w:t>
            </w:r>
          </w:p>
          <w:p w14:paraId="7EC44B01">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优：0.5分、良：0.4分、中：0.3分、差：0.1分，无得0分；</w:t>
            </w:r>
          </w:p>
        </w:tc>
      </w:tr>
      <w:tr w14:paraId="64FBE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continue"/>
            <w:tcBorders>
              <w:bottom w:val="single" w:color="000000" w:sz="4" w:space="0"/>
              <w:right w:val="single" w:color="000000" w:sz="4" w:space="0"/>
            </w:tcBorders>
            <w:vAlign w:val="center"/>
          </w:tcPr>
          <w:p w14:paraId="48CC574A">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bottom w:val="single" w:color="000000" w:sz="4" w:space="0"/>
              <w:right w:val="single" w:color="auto" w:sz="4" w:space="0"/>
            </w:tcBorders>
            <w:vAlign w:val="center"/>
          </w:tcPr>
          <w:p w14:paraId="623D7E75">
            <w:pPr>
              <w:spacing w:line="440" w:lineRule="exact"/>
              <w:jc w:val="center"/>
              <w:rPr>
                <w:rFonts w:hint="eastAsia" w:asciiTheme="minorEastAsia" w:hAnsiTheme="minorEastAsia" w:eastAsiaTheme="minorEastAsia"/>
                <w:color w:val="auto"/>
                <w:szCs w:val="21"/>
                <w:highlight w:val="none"/>
              </w:rPr>
            </w:pPr>
          </w:p>
        </w:tc>
        <w:tc>
          <w:tcPr>
            <w:tcW w:w="2371" w:type="dxa"/>
            <w:vMerge w:val="continue"/>
            <w:tcBorders>
              <w:left w:val="single" w:color="auto" w:sz="4" w:space="0"/>
              <w:right w:val="single" w:color="auto" w:sz="4" w:space="0"/>
            </w:tcBorders>
            <w:vAlign w:val="center"/>
          </w:tcPr>
          <w:p w14:paraId="6C2940C4">
            <w:pPr>
              <w:spacing w:line="440" w:lineRule="exact"/>
              <w:rPr>
                <w:rFonts w:hint="eastAsia" w:asciiTheme="minorEastAsia" w:hAnsiTheme="minorEastAsia" w:eastAsiaTheme="minorEastAsia"/>
                <w:color w:val="auto"/>
                <w:szCs w:val="21"/>
                <w:highlight w:val="none"/>
              </w:rPr>
            </w:pPr>
          </w:p>
        </w:tc>
        <w:tc>
          <w:tcPr>
            <w:tcW w:w="4677" w:type="dxa"/>
            <w:tcBorders>
              <w:top w:val="single" w:color="auto" w:sz="4" w:space="0"/>
              <w:left w:val="single" w:color="auto" w:sz="4" w:space="0"/>
              <w:right w:val="single" w:color="auto" w:sz="4" w:space="0"/>
            </w:tcBorders>
            <w:vAlign w:val="center"/>
          </w:tcPr>
          <w:p w14:paraId="05A69F7C">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p w14:paraId="64410A52">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1.评标价指经澄清、补正和修正算术计算错误的投标报价；</w:t>
            </w:r>
          </w:p>
          <w:p w14:paraId="2E35E76C">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2.有效投标文件是指未被评标委员会判定为无效标的投标文件。</w:t>
            </w:r>
          </w:p>
        </w:tc>
      </w:tr>
      <w:tr w14:paraId="02D65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000000" w:sz="4" w:space="0"/>
              <w:right w:val="single" w:color="000000" w:sz="4" w:space="0"/>
            </w:tcBorders>
            <w:vAlign w:val="center"/>
          </w:tcPr>
          <w:p w14:paraId="2F2021F9">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1315" w:type="dxa"/>
            <w:vMerge w:val="restart"/>
            <w:tcBorders>
              <w:top w:val="single" w:color="000000" w:sz="4" w:space="0"/>
              <w:left w:val="single" w:color="000000" w:sz="4" w:space="0"/>
              <w:right w:val="single" w:color="auto" w:sz="4" w:space="0"/>
            </w:tcBorders>
            <w:vAlign w:val="center"/>
          </w:tcPr>
          <w:p w14:paraId="7EC42B30">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项目管理组织方案</w:t>
            </w:r>
          </w:p>
          <w:p w14:paraId="46B9D98E">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（9分）</w:t>
            </w:r>
          </w:p>
        </w:tc>
        <w:tc>
          <w:tcPr>
            <w:tcW w:w="2371" w:type="dxa"/>
            <w:tcBorders>
              <w:top w:val="single" w:color="auto" w:sz="4" w:space="0"/>
              <w:left w:val="single" w:color="auto" w:sz="4" w:space="0"/>
              <w:bottom w:val="single" w:color="auto" w:sz="4" w:space="0"/>
              <w:right w:val="single" w:color="auto" w:sz="4" w:space="0"/>
            </w:tcBorders>
            <w:vAlign w:val="center"/>
          </w:tcPr>
          <w:p w14:paraId="62DC0602">
            <w:pPr>
              <w:rPr>
                <w:rFonts w:hint="eastAsia"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1．总体概述（2分）</w:t>
            </w:r>
          </w:p>
        </w:tc>
        <w:tc>
          <w:tcPr>
            <w:tcW w:w="4677" w:type="dxa"/>
            <w:tcBorders>
              <w:top w:val="single" w:color="auto" w:sz="4" w:space="0"/>
              <w:left w:val="single" w:color="auto" w:sz="4" w:space="0"/>
              <w:bottom w:val="single" w:color="auto" w:sz="4" w:space="0"/>
              <w:right w:val="single" w:color="auto" w:sz="4" w:space="0"/>
            </w:tcBorders>
            <w:vAlign w:val="center"/>
          </w:tcPr>
          <w:p w14:paraId="2DDF6A5F">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对工程总承包的总体设想、组织形式、各项管理目标及控制措施、设计与施工的协调措施等内容进行评分。</w:t>
            </w:r>
          </w:p>
          <w:p w14:paraId="6F008AB6">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（优：2 分- 1.8 分；良：1.7 分- 1.6 分；中：1.5分-1.4 分）</w:t>
            </w:r>
          </w:p>
        </w:tc>
      </w:tr>
      <w:tr w14:paraId="55AC0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right w:val="single" w:color="000000" w:sz="4" w:space="0"/>
            </w:tcBorders>
            <w:vAlign w:val="center"/>
          </w:tcPr>
          <w:p w14:paraId="74DD556F">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right w:val="single" w:color="auto" w:sz="4" w:space="0"/>
            </w:tcBorders>
            <w:vAlign w:val="center"/>
          </w:tcPr>
          <w:p w14:paraId="6A238074">
            <w:pPr>
              <w:spacing w:line="440" w:lineRule="exact"/>
              <w:jc w:val="center"/>
              <w:rPr>
                <w:rFonts w:hint="eastAsia" w:asciiTheme="minorEastAsia" w:hAnsiTheme="minorEastAsia" w:eastAsiaTheme="minorEastAsia"/>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6F03E018">
            <w:pPr>
              <w:rPr>
                <w:rFonts w:hint="eastAsia"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2．设计管理方案（2分）</w:t>
            </w:r>
          </w:p>
        </w:tc>
        <w:tc>
          <w:tcPr>
            <w:tcW w:w="4677" w:type="dxa"/>
            <w:tcBorders>
              <w:top w:val="single" w:color="auto" w:sz="4" w:space="0"/>
              <w:left w:val="single" w:color="auto" w:sz="4" w:space="0"/>
              <w:bottom w:val="single" w:color="auto" w:sz="4" w:space="0"/>
              <w:right w:val="single" w:color="auto" w:sz="4" w:space="0"/>
            </w:tcBorders>
            <w:vAlign w:val="center"/>
          </w:tcPr>
          <w:p w14:paraId="02B8DF86">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对设计执行计划、设计组织实施方案、设计控制措施、设计收尾等内容进行评分。</w:t>
            </w:r>
          </w:p>
          <w:p w14:paraId="0963D340">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（优：2 分- 1.8 分；良：1.7 分- 1.6 分；中：1.5分-1.4 分）</w:t>
            </w:r>
          </w:p>
        </w:tc>
      </w:tr>
      <w:tr w14:paraId="18874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right w:val="single" w:color="000000" w:sz="4" w:space="0"/>
            </w:tcBorders>
            <w:vAlign w:val="center"/>
          </w:tcPr>
          <w:p w14:paraId="42B85A77">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right w:val="single" w:color="auto" w:sz="4" w:space="0"/>
            </w:tcBorders>
            <w:vAlign w:val="center"/>
          </w:tcPr>
          <w:p w14:paraId="35736591">
            <w:pPr>
              <w:spacing w:line="440" w:lineRule="exact"/>
              <w:jc w:val="center"/>
              <w:rPr>
                <w:rFonts w:hint="eastAsia" w:asciiTheme="minorEastAsia" w:hAnsiTheme="minorEastAsia" w:eastAsiaTheme="minorEastAsia"/>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270C3974">
            <w:pPr>
              <w:rPr>
                <w:rFonts w:hint="eastAsia"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3．施工管理方案（3分）</w:t>
            </w:r>
          </w:p>
        </w:tc>
        <w:tc>
          <w:tcPr>
            <w:tcW w:w="4677" w:type="dxa"/>
            <w:tcBorders>
              <w:top w:val="single" w:color="auto" w:sz="4" w:space="0"/>
              <w:left w:val="single" w:color="auto" w:sz="4" w:space="0"/>
              <w:bottom w:val="single" w:color="auto" w:sz="4" w:space="0"/>
              <w:right w:val="single" w:color="auto" w:sz="4" w:space="0"/>
            </w:tcBorders>
            <w:vAlign w:val="center"/>
          </w:tcPr>
          <w:p w14:paraId="1B04DF73">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对施工执行计划、施工进度控制、施工费用控制、施工质量控制、施工安全管理、施工现场管理、施工变更管理等内容进行评分。</w:t>
            </w:r>
          </w:p>
          <w:p w14:paraId="24FCFD1F">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（优：3 分- 2.7 分；良：2.6 分- 2.4 分；中：2.3分-2.1分）</w:t>
            </w:r>
          </w:p>
        </w:tc>
      </w:tr>
      <w:tr w14:paraId="7ED30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709" w:type="dxa"/>
            <w:vMerge w:val="continue"/>
            <w:tcBorders>
              <w:right w:val="single" w:color="000000" w:sz="4" w:space="0"/>
            </w:tcBorders>
            <w:vAlign w:val="center"/>
          </w:tcPr>
          <w:p w14:paraId="18A9B90F">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right w:val="single" w:color="auto" w:sz="4" w:space="0"/>
            </w:tcBorders>
            <w:vAlign w:val="center"/>
          </w:tcPr>
          <w:p w14:paraId="422D2C45">
            <w:pPr>
              <w:spacing w:line="440" w:lineRule="exact"/>
              <w:jc w:val="center"/>
              <w:rPr>
                <w:rFonts w:hint="eastAsia" w:asciiTheme="minorEastAsia" w:hAnsiTheme="minorEastAsia" w:eastAsiaTheme="minorEastAsia"/>
                <w:color w:val="auto"/>
                <w:szCs w:val="21"/>
                <w:highlight w:val="none"/>
              </w:rPr>
            </w:pPr>
          </w:p>
        </w:tc>
        <w:tc>
          <w:tcPr>
            <w:tcW w:w="2371" w:type="dxa"/>
            <w:tcBorders>
              <w:top w:val="single" w:color="auto" w:sz="4" w:space="0"/>
              <w:left w:val="single" w:color="auto" w:sz="4" w:space="0"/>
              <w:right w:val="single" w:color="auto" w:sz="4" w:space="0"/>
            </w:tcBorders>
            <w:vAlign w:val="center"/>
          </w:tcPr>
          <w:p w14:paraId="5A083944">
            <w:pPr>
              <w:rPr>
                <w:rFonts w:hint="eastAsia"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4．</w:t>
            </w:r>
            <w:r>
              <w:rPr>
                <w:rFonts w:hint="eastAsia" w:asciiTheme="minorEastAsia" w:hAnsiTheme="minorEastAsia" w:eastAsiaTheme="minorEastAsia"/>
                <w:color w:val="auto"/>
                <w:szCs w:val="21"/>
                <w:highlight w:val="none"/>
              </w:rPr>
              <w:t>采购管理方案（</w:t>
            </w:r>
            <w:r>
              <w:rPr>
                <w:rFonts w:hint="eastAsia" w:asciiTheme="minorEastAsia" w:hAnsiTheme="minorEastAsia" w:eastAsiaTheme="minorEastAsia"/>
                <w:color w:val="auto"/>
                <w:szCs w:val="22"/>
                <w:highlight w:val="none"/>
              </w:rPr>
              <w:t>2分</w:t>
            </w:r>
            <w:r>
              <w:rPr>
                <w:rFonts w:hint="eastAsia" w:asciiTheme="minorEastAsia" w:hAnsiTheme="minorEastAsia" w:eastAsiaTheme="minorEastAsia"/>
                <w:color w:val="auto"/>
                <w:szCs w:val="21"/>
                <w:highlight w:val="none"/>
              </w:rPr>
              <w:t>）</w:t>
            </w:r>
          </w:p>
        </w:tc>
        <w:tc>
          <w:tcPr>
            <w:tcW w:w="4677" w:type="dxa"/>
            <w:tcBorders>
              <w:top w:val="single" w:color="auto" w:sz="4" w:space="0"/>
              <w:left w:val="single" w:color="auto" w:sz="4" w:space="0"/>
              <w:right w:val="single" w:color="auto" w:sz="4" w:space="0"/>
            </w:tcBorders>
            <w:vAlign w:val="center"/>
          </w:tcPr>
          <w:p w14:paraId="0889DC9E">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对采购工作程序、采购执行计划、采买、催交与检验、运输与交付、采购变更管理、仓储管理等内容进行评分。</w:t>
            </w:r>
          </w:p>
          <w:p w14:paraId="2BE156FE">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（优：2 分- 1.8 分；良：1.7 分- 1.6 分；中：1.5分-1.4 分）</w:t>
            </w:r>
          </w:p>
        </w:tc>
      </w:tr>
      <w:tr w14:paraId="5F0D5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bottom w:val="single" w:color="auto" w:sz="4" w:space="0"/>
              <w:right w:val="single" w:color="000000" w:sz="4" w:space="0"/>
            </w:tcBorders>
            <w:vAlign w:val="center"/>
          </w:tcPr>
          <w:p w14:paraId="01BD1FFE">
            <w:pPr>
              <w:spacing w:line="440" w:lineRule="exact"/>
              <w:jc w:val="center"/>
              <w:rPr>
                <w:rFonts w:hint="eastAsia" w:asciiTheme="minorEastAsia" w:hAnsiTheme="minorEastAsia" w:eastAsiaTheme="minorEastAsia"/>
                <w:color w:val="auto"/>
                <w:szCs w:val="21"/>
                <w:highlight w:val="none"/>
              </w:rPr>
            </w:pPr>
          </w:p>
        </w:tc>
        <w:tc>
          <w:tcPr>
            <w:tcW w:w="1315" w:type="dxa"/>
            <w:vMerge w:val="continue"/>
            <w:tcBorders>
              <w:left w:val="single" w:color="000000" w:sz="4" w:space="0"/>
              <w:bottom w:val="single" w:color="auto" w:sz="4" w:space="0"/>
              <w:right w:val="single" w:color="auto" w:sz="4" w:space="0"/>
            </w:tcBorders>
            <w:vAlign w:val="center"/>
          </w:tcPr>
          <w:p w14:paraId="4F810759">
            <w:pPr>
              <w:spacing w:line="440" w:lineRule="exact"/>
              <w:jc w:val="center"/>
              <w:rPr>
                <w:rFonts w:hint="eastAsia" w:asciiTheme="minorEastAsia" w:hAnsiTheme="minorEastAsia" w:eastAsiaTheme="minorEastAsia"/>
                <w:color w:val="auto"/>
                <w:szCs w:val="21"/>
                <w:highlight w:val="none"/>
              </w:rPr>
            </w:pP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2403C464">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注：1．项目管理组织方案总篇幅不超过100页。</w:t>
            </w:r>
          </w:p>
          <w:p w14:paraId="3F91FFC1">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项目管理组织方案各评分点得分应当取所有技术标评委评分中分别去掉一个最高和最低评分后的平均值为最终得分。项目管理组织方案中（项目管理机构评分点除外）除缺少相应内容的评审要点不得分外，其它各项评审要点得分不应低于该评审要点满分的70%。</w:t>
            </w:r>
          </w:p>
        </w:tc>
      </w:tr>
      <w:tr w14:paraId="24FF6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bottom w:val="single" w:color="auto" w:sz="4" w:space="0"/>
              <w:right w:val="single" w:color="000000" w:sz="4" w:space="0"/>
            </w:tcBorders>
            <w:vAlign w:val="center"/>
          </w:tcPr>
          <w:p w14:paraId="1DD9C8D6">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315" w:type="dxa"/>
            <w:tcBorders>
              <w:left w:val="single" w:color="000000" w:sz="4" w:space="0"/>
              <w:bottom w:val="single" w:color="auto" w:sz="4" w:space="0"/>
              <w:right w:val="single" w:color="auto" w:sz="4" w:space="0"/>
            </w:tcBorders>
            <w:vAlign w:val="center"/>
          </w:tcPr>
          <w:p w14:paraId="46FA7A41">
            <w:pPr>
              <w:spacing w:line="36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项目管理机构（2分）</w:t>
            </w: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1230F884">
            <w:pP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对项目管理机构人员配置情况及取得的专业类别、技术职称级别等，具体如下：</w:t>
            </w:r>
          </w:p>
          <w:p w14:paraId="4D9AABDE">
            <w:pP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给排水专业负责人具有：同时具有注册公用设备工程师（给水排水）证书和</w:t>
            </w:r>
            <w:bookmarkStart w:id="0" w:name="OLE_LINK2"/>
            <w:r>
              <w:rPr>
                <w:rFonts w:hint="eastAsia" w:asciiTheme="minorEastAsia" w:hAnsiTheme="minorEastAsia" w:eastAsiaTheme="minorEastAsia"/>
                <w:color w:val="auto"/>
                <w:szCs w:val="21"/>
                <w:highlight w:val="none"/>
              </w:rPr>
              <w:t>给排水专业</w:t>
            </w:r>
            <w:bookmarkEnd w:id="0"/>
            <w:r>
              <w:rPr>
                <w:rFonts w:hint="eastAsia" w:asciiTheme="minorEastAsia" w:hAnsiTheme="minorEastAsia" w:eastAsiaTheme="minorEastAsia"/>
                <w:color w:val="auto"/>
                <w:szCs w:val="21"/>
                <w:highlight w:val="none"/>
              </w:rPr>
              <w:t>正（或研究员级）高级工程师职称且具有省级及以上优秀工程勘察设计师。</w:t>
            </w:r>
          </w:p>
          <w:p w14:paraId="1C668E2F">
            <w:pP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结构专业负责人具有：同时具有一级注册结构工程师证书和结构专业正（或研究员级）高级工程师职称且具有省级及以上优秀工程勘察设计师。</w:t>
            </w:r>
          </w:p>
          <w:p w14:paraId="4FD766EB">
            <w:pPr>
              <w:spacing w:line="360" w:lineRule="exact"/>
              <w:ind w:firstLine="630" w:firstLineChars="3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环保专业负责人具有：同时具有注册环保工程师证书和给排水专业正（或研究员级）高级工程师职称且具有省级及以上优秀工程勘察设计师。</w:t>
            </w:r>
          </w:p>
          <w:p w14:paraId="582808E0">
            <w:pP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技术负责人具有：同时具有注册环保工程师证书和注册公用设备工程师（给水排水）证书且具有省级及以上优秀工程勘察设计师。</w:t>
            </w:r>
          </w:p>
          <w:p w14:paraId="416BA0FA">
            <w:pP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以上评分同一人次按最高分值计分，不得重复计分；每有1人不满足扣1分，有2人及以上不满足扣2分。</w:t>
            </w:r>
          </w:p>
          <w:p w14:paraId="590B63C5">
            <w:pP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以上人员要求提供相关证书原件彩色扫描件。</w:t>
            </w:r>
          </w:p>
        </w:tc>
      </w:tr>
      <w:tr w14:paraId="52EE4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09" w:type="dxa"/>
            <w:tcBorders>
              <w:right w:val="single" w:color="000000" w:sz="4" w:space="0"/>
            </w:tcBorders>
            <w:vAlign w:val="center"/>
          </w:tcPr>
          <w:p w14:paraId="75C4A15E">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1315" w:type="dxa"/>
            <w:tcBorders>
              <w:left w:val="single" w:color="000000" w:sz="4" w:space="0"/>
              <w:right w:val="single" w:color="auto" w:sz="4" w:space="0"/>
            </w:tcBorders>
            <w:vAlign w:val="center"/>
          </w:tcPr>
          <w:p w14:paraId="136F9407">
            <w:pPr>
              <w:spacing w:line="440" w:lineRule="exact"/>
              <w:jc w:val="center"/>
              <w:rPr>
                <w:rFonts w:hint="eastAsia" w:asciiTheme="minorEastAsia" w:hAnsiTheme="minorEastAsia" w:eastAsiaTheme="minorEastAsia"/>
                <w:color w:val="auto"/>
                <w:szCs w:val="21"/>
                <w:highlight w:val="none"/>
              </w:rPr>
            </w:pPr>
          </w:p>
          <w:p w14:paraId="3A8E9434">
            <w:pPr>
              <w:spacing w:line="440" w:lineRule="exact"/>
              <w:jc w:val="center"/>
              <w:rPr>
                <w:rFonts w:hint="eastAsia" w:asciiTheme="minorEastAsia" w:hAnsiTheme="minorEastAsia" w:eastAsiaTheme="minorEastAsia"/>
                <w:color w:val="auto"/>
                <w:szCs w:val="21"/>
                <w:highlight w:val="none"/>
              </w:rPr>
            </w:pPr>
          </w:p>
          <w:p w14:paraId="0AD8698F">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工程业绩</w:t>
            </w:r>
          </w:p>
          <w:p w14:paraId="2B563E2F">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（1分）</w:t>
            </w:r>
          </w:p>
        </w:tc>
        <w:tc>
          <w:tcPr>
            <w:tcW w:w="2371" w:type="dxa"/>
            <w:tcBorders>
              <w:top w:val="single" w:color="auto" w:sz="4" w:space="0"/>
              <w:left w:val="single" w:color="auto" w:sz="4" w:space="0"/>
              <w:bottom w:val="single" w:color="auto" w:sz="4" w:space="0"/>
              <w:right w:val="single" w:color="auto" w:sz="4" w:space="0"/>
            </w:tcBorders>
            <w:vAlign w:val="center"/>
          </w:tcPr>
          <w:p w14:paraId="269C637F">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1．投标人类似工程业绩（1分）</w:t>
            </w:r>
          </w:p>
        </w:tc>
        <w:tc>
          <w:tcPr>
            <w:tcW w:w="4677" w:type="dxa"/>
            <w:tcBorders>
              <w:top w:val="single" w:color="auto" w:sz="4" w:space="0"/>
              <w:left w:val="single" w:color="auto" w:sz="4" w:space="0"/>
              <w:bottom w:val="single" w:color="auto" w:sz="4" w:space="0"/>
              <w:right w:val="single" w:color="auto" w:sz="4" w:space="0"/>
            </w:tcBorders>
            <w:vAlign w:val="center"/>
          </w:tcPr>
          <w:p w14:paraId="58A1D17B">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对单位承担过类似及以上的工程总承包业绩加分，有1个加1分，最多加</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分，如仅有类似设计业绩乘0.8，如仅有类似施工业绩乘0.7。</w:t>
            </w:r>
          </w:p>
        </w:tc>
      </w:tr>
      <w:tr w14:paraId="32A24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09" w:type="dxa"/>
            <w:tcBorders>
              <w:bottom w:val="single" w:color="auto" w:sz="4" w:space="0"/>
              <w:right w:val="single" w:color="000000" w:sz="4" w:space="0"/>
            </w:tcBorders>
            <w:vAlign w:val="center"/>
          </w:tcPr>
          <w:p w14:paraId="1B1D1E19">
            <w:pPr>
              <w:spacing w:line="440" w:lineRule="exact"/>
              <w:jc w:val="center"/>
              <w:rPr>
                <w:rFonts w:hint="eastAsia" w:asciiTheme="minorEastAsia" w:hAnsiTheme="minorEastAsia" w:eastAsiaTheme="minorEastAsia"/>
                <w:color w:val="auto"/>
                <w:szCs w:val="21"/>
                <w:highlight w:val="none"/>
              </w:rPr>
            </w:pPr>
          </w:p>
        </w:tc>
        <w:tc>
          <w:tcPr>
            <w:tcW w:w="1315" w:type="dxa"/>
            <w:tcBorders>
              <w:left w:val="single" w:color="000000" w:sz="4" w:space="0"/>
              <w:bottom w:val="single" w:color="auto" w:sz="4" w:space="0"/>
              <w:right w:val="single" w:color="auto" w:sz="4" w:space="0"/>
            </w:tcBorders>
            <w:vAlign w:val="center"/>
          </w:tcPr>
          <w:p w14:paraId="47187435">
            <w:pPr>
              <w:spacing w:line="440" w:lineRule="exact"/>
              <w:jc w:val="center"/>
              <w:rPr>
                <w:rFonts w:hint="eastAsia" w:asciiTheme="minorEastAsia" w:hAnsiTheme="minorEastAsia" w:eastAsiaTheme="minorEastAsia"/>
                <w:color w:val="auto"/>
                <w:szCs w:val="21"/>
                <w:highlight w:val="none"/>
              </w:rPr>
            </w:pP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102EE7E7">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cs="宋体" w:asciiTheme="minorEastAsia" w:hAnsiTheme="minorEastAsia" w:eastAsiaTheme="minorEastAsia"/>
                <w:color w:val="auto"/>
                <w:highlight w:val="none"/>
              </w:rPr>
              <w:t>类似工程</w:t>
            </w:r>
            <w:r>
              <w:rPr>
                <w:rFonts w:hint="eastAsia" w:asciiTheme="minorEastAsia" w:hAnsiTheme="minorEastAsia" w:eastAsiaTheme="minorEastAsia"/>
                <w:color w:val="auto"/>
                <w:szCs w:val="21"/>
                <w:highlight w:val="none"/>
              </w:rPr>
              <w:t>如下：</w:t>
            </w:r>
            <w:bookmarkStart w:id="1" w:name="_GoBack"/>
            <w:bookmarkEnd w:id="1"/>
          </w:p>
          <w:p w14:paraId="728349CE">
            <w:pPr>
              <w:spacing w:line="44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自2020年11月1日（时间以竣工验收证明为准）以来，承担过单项合同金额（设计项目为总投资）</w:t>
            </w:r>
            <w:r>
              <w:rPr>
                <w:rFonts w:hint="eastAsia" w:asciiTheme="minorEastAsia" w:hAnsiTheme="minorEastAsia" w:eastAsiaTheme="minorEastAsia"/>
                <w:color w:val="auto"/>
                <w:szCs w:val="21"/>
                <w:highlight w:val="none"/>
                <w:lang w:val="en-US" w:eastAsia="zh-CN"/>
              </w:rPr>
              <w:t>6000 万元</w:t>
            </w:r>
            <w:r>
              <w:rPr>
                <w:rFonts w:hint="eastAsia" w:asciiTheme="minorEastAsia" w:hAnsiTheme="minorEastAsia" w:eastAsiaTheme="minorEastAsia"/>
                <w:color w:val="auto"/>
                <w:szCs w:val="21"/>
                <w:highlight w:val="none"/>
              </w:rPr>
              <w:t>及以上排水工程总承包业绩或工程施工业绩或工程设计业绩；</w:t>
            </w:r>
          </w:p>
          <w:p w14:paraId="31B34937">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业绩应同时提供以下资料：⑴依法承发包的交易结果（中标或成交）文件；⑵合同；⑶符合国家规定的竣工验收证明材料（设计业绩无需提供）；⑷其他证明资料（如有）。依法承发包的交易结果文件包括中标通知书、直接发包通知书（或备案表）和成交通知书等；依法可以不进行招标的项目，可以提供业主单位或招标代理机构出具的有关中标文件。</w:t>
            </w:r>
          </w:p>
          <w:p w14:paraId="460C93AE">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2、投标人以联合体方式承担过的工程总承包业绩分值计算方法为：牵头方按该项分值的100%记取、参与方按该项分值的60%记取。</w:t>
            </w:r>
          </w:p>
          <w:p w14:paraId="6B8A45BC">
            <w:pPr>
              <w:spacing w:line="44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3、本次以联合体方式投标的，只对参加本次投标联合体牵头方承担过的工程总承包业绩加分。</w:t>
            </w:r>
          </w:p>
        </w:tc>
      </w:tr>
      <w:tr w14:paraId="49892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09" w:type="dxa"/>
            <w:tcBorders>
              <w:top w:val="single" w:color="auto" w:sz="4" w:space="0"/>
              <w:bottom w:val="single" w:color="auto" w:sz="4" w:space="0"/>
              <w:right w:val="single" w:color="000000" w:sz="4" w:space="0"/>
            </w:tcBorders>
            <w:vAlign w:val="center"/>
          </w:tcPr>
          <w:p w14:paraId="15A8230B">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1315" w:type="dxa"/>
            <w:tcBorders>
              <w:top w:val="single" w:color="auto" w:sz="4" w:space="0"/>
              <w:left w:val="single" w:color="000000" w:sz="4" w:space="0"/>
              <w:bottom w:val="single" w:color="auto" w:sz="4" w:space="0"/>
              <w:right w:val="single" w:color="auto" w:sz="4" w:space="0"/>
            </w:tcBorders>
            <w:vAlign w:val="center"/>
          </w:tcPr>
          <w:p w14:paraId="6E5510FE">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投标企业奖项（牵头人或联合体成员单位奖项加分）3分</w:t>
            </w: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5079E2B9">
            <w:pPr>
              <w:pStyle w:val="14"/>
              <w:spacing w:line="440" w:lineRule="exact"/>
              <w:ind w:right="-15" w:firstLine="330" w:firstLineChars="150"/>
              <w:rPr>
                <w:rFonts w:hint="eastAsia" w:cs="Times New Roman" w:asciiTheme="minorEastAsia" w:hAnsiTheme="minorEastAsia" w:eastAsiaTheme="minorEastAsia"/>
                <w:color w:val="auto"/>
                <w:szCs w:val="21"/>
                <w:highlight w:val="none"/>
                <w:lang w:val="en-US" w:bidi="ar-SA"/>
              </w:rPr>
            </w:pPr>
            <w:r>
              <w:rPr>
                <w:rFonts w:hint="eastAsia" w:cs="Times New Roman" w:asciiTheme="minorEastAsia" w:hAnsiTheme="minorEastAsia" w:eastAsiaTheme="minorEastAsia"/>
                <w:color w:val="auto"/>
                <w:szCs w:val="21"/>
                <w:highlight w:val="none"/>
                <w:lang w:val="en-US" w:bidi="ar-SA"/>
              </w:rPr>
              <w:t>1、对于投标人</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rPr>
              <w:t>牵头人或联合体成员单位）</w:t>
            </w:r>
            <w:r>
              <w:rPr>
                <w:rFonts w:hint="eastAsia" w:asciiTheme="minorEastAsia" w:hAnsiTheme="minorEastAsia" w:eastAsiaTheme="minorEastAsia"/>
                <w:color w:val="auto"/>
                <w:szCs w:val="21"/>
                <w:highlight w:val="none"/>
              </w:rPr>
              <w:t>2020年11月</w:t>
            </w:r>
            <w:r>
              <w:rPr>
                <w:rFonts w:hint="eastAsia" w:cs="Times New Roman" w:asciiTheme="minorEastAsia" w:hAnsiTheme="minorEastAsia" w:eastAsiaTheme="minorEastAsia"/>
                <w:color w:val="auto"/>
                <w:szCs w:val="21"/>
                <w:highlight w:val="none"/>
                <w:lang w:val="en-US" w:bidi="ar-SA"/>
              </w:rPr>
              <w:t>1日以来独立（或联合体牵头人）承接的污水处理厂工程总承包项目获得省级及以上行政主管部门颁发的设计奖项的给予加分（协会颁发的不予认可），其中：每有1个得1分，最高得3分。</w:t>
            </w:r>
          </w:p>
          <w:p w14:paraId="6EFBB62F">
            <w:pPr>
              <w:pStyle w:val="14"/>
              <w:spacing w:line="440" w:lineRule="exact"/>
              <w:ind w:right="-15" w:firstLine="330" w:firstLineChars="150"/>
              <w:rPr>
                <w:rFonts w:hint="eastAsia" w:cs="Times New Roman" w:asciiTheme="minorEastAsia" w:hAnsiTheme="minorEastAsia" w:eastAsiaTheme="minorEastAsia"/>
                <w:color w:val="auto"/>
                <w:szCs w:val="21"/>
                <w:highlight w:val="none"/>
                <w:lang w:val="en-US" w:bidi="ar-SA"/>
              </w:rPr>
            </w:pPr>
            <w:r>
              <w:rPr>
                <w:rFonts w:hint="eastAsia" w:cs="Times New Roman" w:asciiTheme="minorEastAsia" w:hAnsiTheme="minorEastAsia" w:eastAsiaTheme="minorEastAsia"/>
                <w:color w:val="auto"/>
                <w:szCs w:val="21"/>
                <w:highlight w:val="none"/>
                <w:lang w:val="en-US" w:bidi="ar-SA"/>
              </w:rPr>
              <w:t>同一个项目加分时只针对上述奖项中的一个最高奖项计分，同一个项目不累积加分。（提供获奖证书、工程总承包合同、联合体协议书（体现联合体牵头人）扫描件）。</w:t>
            </w:r>
          </w:p>
        </w:tc>
      </w:tr>
    </w:tbl>
    <w:p w14:paraId="2DB3BDF5">
      <w:pPr>
        <w:spacing w:line="360" w:lineRule="auto"/>
        <w:rPr>
          <w:b/>
          <w:color w:val="auto"/>
          <w:sz w:val="32"/>
          <w:szCs w:val="32"/>
          <w:highlight w:val="none"/>
        </w:rPr>
      </w:pPr>
    </w:p>
    <w:p w14:paraId="638B3592">
      <w:pPr>
        <w:widowControl/>
        <w:jc w:val="left"/>
        <w:rPr>
          <w:rFonts w:hint="eastAsia" w:ascii="宋体" w:hAnsi="宋体"/>
          <w:color w:val="auto"/>
          <w:highlight w:val="none"/>
        </w:rPr>
      </w:pPr>
    </w:p>
    <w:p w14:paraId="1A53DBB4">
      <w:pPr>
        <w:spacing w:line="380" w:lineRule="exact"/>
        <w:ind w:left="260" w:leftChars="124" w:firstLine="101" w:firstLineChars="48"/>
        <w:rPr>
          <w:rFonts w:hint="eastAsia" w:ascii="宋体" w:hAnsi="宋体" w:cs="Arial"/>
          <w:b/>
          <w:color w:val="auto"/>
          <w:kern w:val="0"/>
          <w:highlight w:val="none"/>
        </w:rPr>
      </w:pPr>
      <w:r>
        <w:rPr>
          <w:rFonts w:hint="eastAsia" w:ascii="宋体" w:hAnsi="宋体" w:cs="Arial"/>
          <w:b/>
          <w:color w:val="auto"/>
          <w:kern w:val="0"/>
          <w:highlight w:val="none"/>
        </w:rPr>
        <w:t>二、定标阶段：</w:t>
      </w:r>
    </w:p>
    <w:p w14:paraId="1E204143">
      <w:pPr>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1、组建招标监督小组</w:t>
      </w:r>
    </w:p>
    <w:p w14:paraId="56747C02">
      <w:pPr>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招标开始前，招标人已按照苏建规字（2023）2号文件要求组建监督小组（成员三人），监督小组对招标投标活动全过程进行监督，有权就定标委员会违反定标规则的行为进行质询，确保定标过程公正、公平。</w:t>
      </w:r>
    </w:p>
    <w:p w14:paraId="4DC63C4E">
      <w:pPr>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2、组建定标委员会</w:t>
      </w:r>
    </w:p>
    <w:p w14:paraId="49046589">
      <w:pPr>
        <w:tabs>
          <w:tab w:val="left" w:pos="540"/>
        </w:tabs>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2.1本次定标委员会成员数量为5人，招标人在召开定标会议前建立《定标备选成员库》，在“监督小组”成员的见证下，所有定标委员会成员均在《定标备选成员库》中产生，且符合苏建规字（2023）2号文要求。</w:t>
      </w:r>
    </w:p>
    <w:p w14:paraId="48B81382">
      <w:pPr>
        <w:tabs>
          <w:tab w:val="left" w:pos="540"/>
        </w:tabs>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2.2有下列情形之一的，不得担任定标委员会成员：</w:t>
      </w:r>
    </w:p>
    <w:p w14:paraId="58D13ACA">
      <w:pPr>
        <w:tabs>
          <w:tab w:val="left" w:pos="540"/>
        </w:tabs>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（1）投标人或者投标人主要负责人的近亲属；</w:t>
      </w:r>
    </w:p>
    <w:p w14:paraId="6DC94C0B">
      <w:pPr>
        <w:tabs>
          <w:tab w:val="left" w:pos="540"/>
        </w:tabs>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（2）项目主管部门或者行政监督部门的人员。</w:t>
      </w:r>
    </w:p>
    <w:p w14:paraId="5E773B14">
      <w:pPr>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3、定标时间</w:t>
      </w:r>
    </w:p>
    <w:p w14:paraId="1F225C7D">
      <w:pPr>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招标人将在收到评标报告之日起10日内在扬州市公共资源交易中心宝应分中心召开定标会议。</w:t>
      </w:r>
    </w:p>
    <w:p w14:paraId="0442E24F">
      <w:pPr>
        <w:widowControl/>
        <w:autoSpaceDE w:val="0"/>
        <w:autoSpaceDN w:val="0"/>
        <w:adjustRightInd w:val="0"/>
        <w:snapToGrid w:val="0"/>
        <w:spacing w:line="380" w:lineRule="exact"/>
        <w:ind w:firstLine="420" w:firstLineChars="200"/>
        <w:jc w:val="left"/>
        <w:textAlignment w:val="baseline"/>
        <w:rPr>
          <w:rFonts w:hint="eastAsia" w:ascii="宋体" w:hAnsi="宋体" w:cs="Arial"/>
          <w:color w:val="auto"/>
          <w:highlight w:val="none"/>
        </w:rPr>
      </w:pPr>
      <w:r>
        <w:rPr>
          <w:rFonts w:hint="eastAsia" w:ascii="宋体" w:hAnsi="宋体" w:cs="Arial"/>
          <w:color w:val="auto"/>
          <w:highlight w:val="none"/>
        </w:rPr>
        <w:t>招标人在定标前可以对投标人及拟派项目负责人进行考察。经考察，定标候选人的投标所用业绩、奖项等弄虚作假，或是经营、财务状况发生较大变化或者存在违法行为，可能影响其履约能力的，招标人应如实记录并提交定标委员会参考。招标人定标前组织考察的，定标会议时间可以适当推迟。</w:t>
      </w:r>
    </w:p>
    <w:p w14:paraId="14F09B56">
      <w:pPr>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除投标人须知前附表规定评标委员会直接确定中标人外，招标人依据评标委员会推荐的定标候选人确定中标候选人，评标委员会推荐定标候选人的人数见投标人须知前附表。</w:t>
      </w:r>
    </w:p>
    <w:p w14:paraId="6D83F347">
      <w:pPr>
        <w:widowControl/>
        <w:numPr>
          <w:ilvl w:val="0"/>
          <w:numId w:val="2"/>
        </w:numPr>
        <w:tabs>
          <w:tab w:val="left" w:pos="0"/>
          <w:tab w:val="left" w:pos="993"/>
          <w:tab w:val="left" w:pos="1134"/>
        </w:tabs>
        <w:autoSpaceDE w:val="0"/>
        <w:autoSpaceDN w:val="0"/>
        <w:adjustRightInd w:val="0"/>
        <w:snapToGrid w:val="0"/>
        <w:spacing w:line="380" w:lineRule="exact"/>
        <w:ind w:firstLine="420" w:firstLineChars="200"/>
        <w:jc w:val="left"/>
        <w:textAlignment w:val="baseline"/>
        <w:rPr>
          <w:rFonts w:hint="eastAsia" w:ascii="宋体" w:hAnsi="宋体" w:cs="Arial"/>
          <w:color w:val="auto"/>
          <w:kern w:val="0"/>
          <w:highlight w:val="none"/>
        </w:rPr>
      </w:pPr>
      <w:r>
        <w:rPr>
          <w:rFonts w:hint="eastAsia" w:ascii="宋体" w:hAnsi="宋体" w:cs="Arial"/>
          <w:color w:val="auto"/>
          <w:kern w:val="0"/>
          <w:highlight w:val="none"/>
        </w:rPr>
        <w:t>定标方法</w:t>
      </w:r>
    </w:p>
    <w:p w14:paraId="7A18DE1B">
      <w:pPr>
        <w:widowControl/>
        <w:autoSpaceDE w:val="0"/>
        <w:autoSpaceDN w:val="0"/>
        <w:adjustRightInd w:val="0"/>
        <w:snapToGrid w:val="0"/>
        <w:spacing w:line="380" w:lineRule="exact"/>
        <w:ind w:firstLine="420" w:firstLineChars="200"/>
        <w:jc w:val="left"/>
        <w:textAlignment w:val="baseline"/>
        <w:rPr>
          <w:rFonts w:hint="eastAsia" w:ascii="宋体" w:hAnsi="宋体"/>
          <w:color w:val="auto"/>
          <w:kern w:val="0"/>
          <w:highlight w:val="none"/>
        </w:rPr>
      </w:pPr>
      <w:r>
        <w:rPr>
          <w:rFonts w:hint="eastAsia" w:ascii="宋体" w:hAnsi="宋体"/>
          <w:color w:val="auto"/>
          <w:kern w:val="0"/>
          <w:highlight w:val="none"/>
        </w:rPr>
        <w:t>定标委员会成员根据定标标准对各中标候选人进行评价比较后记名票决，1 人 1 票，经投票统计，得票数最多的为中标人，当得票数相同无法确定中标人时，将对得票数相同的单位再次票决，直至确定中标人。</w:t>
      </w:r>
    </w:p>
    <w:p w14:paraId="270DA0A1">
      <w:pPr>
        <w:autoSpaceDE w:val="0"/>
        <w:autoSpaceDN w:val="0"/>
        <w:adjustRightInd w:val="0"/>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 xml:space="preserve">5、定标因素如下： </w:t>
      </w:r>
    </w:p>
    <w:p w14:paraId="632E2FFB">
      <w:pPr>
        <w:widowControl/>
        <w:autoSpaceDE w:val="0"/>
        <w:autoSpaceDN w:val="0"/>
        <w:adjustRightInd w:val="0"/>
        <w:snapToGrid w:val="0"/>
        <w:spacing w:line="380" w:lineRule="exact"/>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（1）设计文件与招标文件设计深度、设计任务书的契合程度、投标人</w:t>
      </w:r>
      <w:r>
        <w:rPr>
          <w:rFonts w:hint="eastAsia" w:ascii="宋体" w:hAnsi="宋体" w:cs="宋体"/>
          <w:snapToGrid w:val="0"/>
          <w:color w:val="auto"/>
          <w:kern w:val="0"/>
          <w:szCs w:val="21"/>
          <w:highlight w:val="none"/>
        </w:rPr>
        <w:t>（牵头人或联合体成员单位）工程总承包项目设计奖项</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项目管理机构人员配置</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总承包项目经理</w:t>
      </w:r>
      <w:r>
        <w:rPr>
          <w:rFonts w:hint="eastAsia" w:ascii="宋体" w:hAnsi="宋体" w:cs="宋体"/>
          <w:snapToGrid w:val="0"/>
          <w:color w:val="auto"/>
          <w:kern w:val="0"/>
          <w:szCs w:val="21"/>
          <w:highlight w:val="none"/>
          <w:lang w:val="en-US" w:eastAsia="zh-CN"/>
        </w:rPr>
        <w:t>现场书面</w:t>
      </w:r>
      <w:r>
        <w:rPr>
          <w:rFonts w:hint="eastAsia" w:ascii="宋体" w:hAnsi="宋体" w:cs="宋体"/>
          <w:snapToGrid w:val="0"/>
          <w:color w:val="auto"/>
          <w:kern w:val="0"/>
          <w:szCs w:val="21"/>
          <w:highlight w:val="none"/>
        </w:rPr>
        <w:t>答辩。</w:t>
      </w:r>
    </w:p>
    <w:p w14:paraId="6F79DD3D">
      <w:pPr>
        <w:autoSpaceDE w:val="0"/>
        <w:autoSpaceDN w:val="0"/>
        <w:adjustRightInd w:val="0"/>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（2）在同等条件下，择优的相对标准有以下几个方面：</w:t>
      </w:r>
    </w:p>
    <w:p w14:paraId="68ABCC70">
      <w:pPr>
        <w:widowControl/>
        <w:autoSpaceDE w:val="0"/>
        <w:autoSpaceDN w:val="0"/>
        <w:adjustRightInd w:val="0"/>
        <w:snapToGrid w:val="0"/>
        <w:spacing w:line="380" w:lineRule="exact"/>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①设计文件与招标项目契合程度高的优于契合程度低的；</w:t>
      </w:r>
    </w:p>
    <w:p w14:paraId="53702568">
      <w:pPr>
        <w:widowControl/>
        <w:autoSpaceDE w:val="0"/>
        <w:autoSpaceDN w:val="0"/>
        <w:adjustRightInd w:val="0"/>
        <w:snapToGrid w:val="0"/>
        <w:spacing w:line="380" w:lineRule="exact"/>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②投标人（牵头人或联合体成员单位）2020年11月1日以来独立（或联合体牵头人）承接的污水处理厂工程总承包项目获得省级及以上行政主管部门颁发的设计奖项多的优于污水处理厂工程总承包项目获的行政主管部门颁发的设计奖项少的（协会颁发的不予认可）；</w:t>
      </w:r>
    </w:p>
    <w:p w14:paraId="15CCA405">
      <w:pPr>
        <w:widowControl/>
        <w:autoSpaceDE w:val="0"/>
        <w:autoSpaceDN w:val="0"/>
        <w:adjustRightInd w:val="0"/>
        <w:snapToGrid w:val="0"/>
        <w:spacing w:line="380" w:lineRule="exact"/>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③项目管理机构人员配置高的优于配置低。</w:t>
      </w:r>
    </w:p>
    <w:p w14:paraId="02D143E5">
      <w:pPr>
        <w:widowControl/>
        <w:autoSpaceDE w:val="0"/>
        <w:autoSpaceDN w:val="0"/>
        <w:adjustRightInd w:val="0"/>
        <w:snapToGrid w:val="0"/>
        <w:spacing w:line="380" w:lineRule="exact"/>
        <w:ind w:firstLine="420" w:firstLineChars="200"/>
        <w:jc w:val="left"/>
        <w:textAlignment w:val="baseline"/>
        <w:rPr>
          <w:rFonts w:hint="eastAsia"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④</w:t>
      </w:r>
      <w:r>
        <w:rPr>
          <w:rFonts w:hint="eastAsia" w:ascii="宋体" w:hAnsi="宋体" w:cs="宋体"/>
          <w:snapToGrid w:val="0"/>
          <w:color w:val="auto"/>
          <w:kern w:val="0"/>
          <w:szCs w:val="21"/>
          <w:highlight w:val="none"/>
        </w:rPr>
        <w:t>总承包项目经理</w:t>
      </w:r>
      <w:r>
        <w:rPr>
          <w:rFonts w:hint="eastAsia" w:ascii="宋体" w:hAnsi="宋体" w:cs="宋体"/>
          <w:snapToGrid w:val="0"/>
          <w:color w:val="auto"/>
          <w:kern w:val="0"/>
          <w:szCs w:val="21"/>
          <w:highlight w:val="none"/>
          <w:lang w:val="en-US" w:eastAsia="zh-CN"/>
        </w:rPr>
        <w:t>现场答辩优秀的优于答辩一般的。</w:t>
      </w:r>
    </w:p>
    <w:p w14:paraId="0F504547">
      <w:pPr>
        <w:rPr>
          <w:rFonts w:asciiTheme="minorEastAsia" w:hAnsiTheme="minorEastAsia" w:eastAsiaTheme="minor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B34F7"/>
    <w:multiLevelType w:val="multilevel"/>
    <w:tmpl w:val="19CB34F7"/>
    <w:lvl w:ilvl="0" w:tentative="0">
      <w:start w:val="1"/>
      <w:numFmt w:val="decimal"/>
      <w:lvlText w:val="%1．"/>
      <w:lvlJc w:val="left"/>
      <w:pPr>
        <w:ind w:left="785" w:hanging="360"/>
      </w:pPr>
      <w:rPr>
        <w:rFonts w:hint="default" w:cs="Times New Roman"/>
      </w:rPr>
    </w:lvl>
    <w:lvl w:ilvl="1" w:tentative="0">
      <w:start w:val="1"/>
      <w:numFmt w:val="lowerLetter"/>
      <w:lvlText w:val="%2)"/>
      <w:lvlJc w:val="left"/>
      <w:pPr>
        <w:ind w:left="1265" w:hanging="420"/>
      </w:pPr>
      <w:rPr>
        <w:rFonts w:cs="Times New Roman"/>
      </w:rPr>
    </w:lvl>
    <w:lvl w:ilvl="2" w:tentative="0">
      <w:start w:val="1"/>
      <w:numFmt w:val="lowerRoman"/>
      <w:lvlText w:val="%3."/>
      <w:lvlJc w:val="right"/>
      <w:pPr>
        <w:ind w:left="1685" w:hanging="420"/>
      </w:pPr>
      <w:rPr>
        <w:rFonts w:cs="Times New Roman"/>
      </w:rPr>
    </w:lvl>
    <w:lvl w:ilvl="3" w:tentative="0">
      <w:start w:val="1"/>
      <w:numFmt w:val="decimal"/>
      <w:lvlText w:val="%4."/>
      <w:lvlJc w:val="left"/>
      <w:pPr>
        <w:ind w:left="2105" w:hanging="420"/>
      </w:pPr>
      <w:rPr>
        <w:rFonts w:cs="Times New Roman"/>
      </w:rPr>
    </w:lvl>
    <w:lvl w:ilvl="4" w:tentative="0">
      <w:start w:val="1"/>
      <w:numFmt w:val="lowerLetter"/>
      <w:lvlText w:val="%5)"/>
      <w:lvlJc w:val="left"/>
      <w:pPr>
        <w:ind w:left="2525" w:hanging="420"/>
      </w:pPr>
      <w:rPr>
        <w:rFonts w:cs="Times New Roman"/>
      </w:rPr>
    </w:lvl>
    <w:lvl w:ilvl="5" w:tentative="0">
      <w:start w:val="1"/>
      <w:numFmt w:val="lowerRoman"/>
      <w:lvlText w:val="%6."/>
      <w:lvlJc w:val="right"/>
      <w:pPr>
        <w:ind w:left="2945" w:hanging="420"/>
      </w:pPr>
      <w:rPr>
        <w:rFonts w:cs="Times New Roman"/>
      </w:rPr>
    </w:lvl>
    <w:lvl w:ilvl="6" w:tentative="0">
      <w:start w:val="1"/>
      <w:numFmt w:val="decimal"/>
      <w:lvlText w:val="%7."/>
      <w:lvlJc w:val="left"/>
      <w:pPr>
        <w:ind w:left="3365" w:hanging="420"/>
      </w:pPr>
      <w:rPr>
        <w:rFonts w:cs="Times New Roman"/>
      </w:rPr>
    </w:lvl>
    <w:lvl w:ilvl="7" w:tentative="0">
      <w:start w:val="1"/>
      <w:numFmt w:val="lowerLetter"/>
      <w:lvlText w:val="%8)"/>
      <w:lvlJc w:val="left"/>
      <w:pPr>
        <w:ind w:left="3785" w:hanging="420"/>
      </w:pPr>
      <w:rPr>
        <w:rFonts w:cs="Times New Roman"/>
      </w:rPr>
    </w:lvl>
    <w:lvl w:ilvl="8" w:tentative="0">
      <w:start w:val="1"/>
      <w:numFmt w:val="lowerRoman"/>
      <w:lvlText w:val="%9."/>
      <w:lvlJc w:val="right"/>
      <w:pPr>
        <w:ind w:left="4205" w:hanging="420"/>
      </w:pPr>
      <w:rPr>
        <w:rFonts w:cs="Times New Roman"/>
      </w:rPr>
    </w:lvl>
  </w:abstractNum>
  <w:abstractNum w:abstractNumId="1">
    <w:nsid w:val="74677062"/>
    <w:multiLevelType w:val="multilevel"/>
    <w:tmpl w:val="74677062"/>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196B"/>
    <w:rsid w:val="00145C5B"/>
    <w:rsid w:val="0023124A"/>
    <w:rsid w:val="00263058"/>
    <w:rsid w:val="0036778A"/>
    <w:rsid w:val="00494638"/>
    <w:rsid w:val="006156D8"/>
    <w:rsid w:val="006B3AC6"/>
    <w:rsid w:val="00742E87"/>
    <w:rsid w:val="00745AEF"/>
    <w:rsid w:val="00860281"/>
    <w:rsid w:val="00892B1A"/>
    <w:rsid w:val="008E399A"/>
    <w:rsid w:val="00961BF7"/>
    <w:rsid w:val="00B55008"/>
    <w:rsid w:val="00BA2C9B"/>
    <w:rsid w:val="00C241D9"/>
    <w:rsid w:val="00CB196B"/>
    <w:rsid w:val="00D67325"/>
    <w:rsid w:val="00F51A0D"/>
    <w:rsid w:val="00F6147A"/>
    <w:rsid w:val="00F81D68"/>
    <w:rsid w:val="00FA5D48"/>
    <w:rsid w:val="1A415C2B"/>
    <w:rsid w:val="1EA15953"/>
    <w:rsid w:val="248D2E59"/>
    <w:rsid w:val="47F57C70"/>
    <w:rsid w:val="4A0E187F"/>
    <w:rsid w:val="4ED65279"/>
    <w:rsid w:val="565A3B7A"/>
    <w:rsid w:val="5B6E1AB2"/>
    <w:rsid w:val="5C49708A"/>
    <w:rsid w:val="5C8B6C5D"/>
    <w:rsid w:val="683E7715"/>
    <w:rsid w:val="6BDA70D0"/>
    <w:rsid w:val="6F86321F"/>
    <w:rsid w:val="733A24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3"/>
    <w:qFormat/>
    <w:uiPriority w:val="0"/>
    <w:pPr>
      <w:keepNext/>
      <w:keepLines/>
      <w:spacing w:before="60" w:after="60" w:line="413" w:lineRule="auto"/>
      <w:outlineLvl w:val="1"/>
    </w:pPr>
    <w:rPr>
      <w:rFonts w:ascii="Arial" w:hAnsi="Arial" w:eastAsia="黑体"/>
      <w:b/>
      <w:bCs/>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0" w:after="120" w:line="240" w:lineRule="auto"/>
      <w:ind w:left="420" w:leftChars="200" w:firstLine="420" w:firstLineChars="200"/>
    </w:pPr>
    <w:rPr>
      <w:rFonts w:ascii="Calibri" w:hAnsi="Calibri"/>
      <w:kern w:val="0"/>
      <w:szCs w:val="22"/>
    </w:rPr>
  </w:style>
  <w:style w:type="paragraph" w:styleId="3">
    <w:name w:val="Body Text Indent"/>
    <w:basedOn w:val="1"/>
    <w:qFormat/>
    <w:uiPriority w:val="0"/>
    <w:pPr>
      <w:spacing w:before="240" w:line="360" w:lineRule="auto"/>
      <w:ind w:firstLine="552" w:firstLineChars="263"/>
    </w:pPr>
    <w:rPr>
      <w:rFonts w:ascii="宋体" w:hAnsi="宋体"/>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5"/>
    <w:basedOn w:val="1"/>
    <w:next w:val="8"/>
    <w:qFormat/>
    <w:uiPriority w:val="0"/>
    <w:pPr>
      <w:widowControl w:val="0"/>
      <w:autoSpaceDE/>
      <w:autoSpaceDN/>
      <w:spacing w:before="0" w:after="0" w:line="240" w:lineRule="auto"/>
      <w:ind w:left="100" w:hanging="200"/>
      <w:jc w:val="both"/>
    </w:pPr>
    <w:rPr>
      <w:rFonts w:ascii="Times New Roman" w:eastAsia="宋体"/>
      <w:sz w:val="21"/>
    </w:rPr>
  </w:style>
  <w:style w:type="paragraph" w:customStyle="1" w:styleId="8">
    <w:name w:val="目录 51"/>
    <w:basedOn w:val="1"/>
    <w:next w:val="1"/>
    <w:qFormat/>
    <w:uiPriority w:val="0"/>
    <w:pPr>
      <w:widowControl w:val="0"/>
      <w:autoSpaceDE/>
      <w:autoSpaceDN/>
      <w:spacing w:before="0" w:after="0" w:line="240" w:lineRule="auto"/>
      <w:ind w:left="630" w:firstLine="0"/>
    </w:pPr>
    <w:rPr>
      <w:rFonts w:ascii="Times New Roman" w:eastAsia="宋体"/>
      <w:sz w:val="20"/>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标题 2 Char"/>
    <w:basedOn w:val="10"/>
    <w:link w:val="4"/>
    <w:qFormat/>
    <w:uiPriority w:val="0"/>
    <w:rPr>
      <w:rFonts w:ascii="Arial" w:hAnsi="Arial" w:eastAsia="黑体" w:cs="Times New Roman"/>
      <w:b/>
      <w:bCs/>
      <w:szCs w:val="32"/>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5">
    <w:name w:val="正文缩进1"/>
    <w:basedOn w:val="1"/>
    <w:next w:val="7"/>
    <w:qFormat/>
    <w:uiPriority w:val="0"/>
    <w:pPr>
      <w:widowControl/>
      <w:autoSpaceDE/>
      <w:autoSpaceDN/>
      <w:spacing w:before="0" w:after="0" w:line="240" w:lineRule="auto"/>
      <w:ind w:left="0" w:firstLine="420"/>
    </w:pPr>
    <w:rPr>
      <w:rFonts w:ascii="Times New Roman" w:eastAsia="宋体"/>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4431</Words>
  <Characters>4844</Characters>
  <Lines>29</Lines>
  <Paragraphs>8</Paragraphs>
  <TotalTime>5</TotalTime>
  <ScaleCrop>false</ScaleCrop>
  <LinksUpToDate>false</LinksUpToDate>
  <CharactersWithSpaces>4964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2025-02-12T06:29:00Z</dcterms:created>
  <dc:creator>MM</dc:creator>
  <cp:lastModifiedBy>盛世万泽</cp:lastModifiedBy>
  <dcterms:modified xsi:type="dcterms:W3CDTF">2025-11-05T08:26:28Z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eyJoZGlkIjoiYTAwM2U1NjBlN2MyZjdiMzYwYmNiY2VmZWU2N2Q3NjYiLCJ1c2VySWQiOiI1MzYyNTUzMDIifQ==</vt:lpwstr>
  </property>
  <property fmtid="{D5CDD505-2E9C-101B-9397-08002B2CF9AE}" pid="3" name="KSOProductBuildVer">
    <vt:lpwstr>2052-12.1.0.23542</vt:lpwstr>
  </property>
  <property fmtid="{D5CDD505-2E9C-101B-9397-08002B2CF9AE}" pid="4" name="ICV">
    <vt:lpwstr>9CB617B90EB248C48B79224BB6380765_12</vt:lpwstr>
  </property>
</Properties>
</file>