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numPr>
          <w:ilvl w:val="0"/>
          <w:numId w:val="5"/>
        </w:numPr>
        <w:tabs>
          <w:tab w:val="left" w:pos="1680"/>
        </w:tabs>
        <w:overflowPunct w:val="0"/>
        <w:spacing w:after="360"/>
        <w:ind w:left="1680" w:leftChars="0" w:hanging="1680" w:hangingChars="525"/>
        <w:jc w:val="center"/>
        <w:rPr>
          <w:rFonts w:ascii="宋体" w:hAnsi="宋体" w:eastAsia="宋体"/>
          <w:highlight w:val="none"/>
        </w:rPr>
      </w:pPr>
      <w:bookmarkStart w:id="0" w:name="_Toc81566507"/>
      <w:bookmarkStart w:id="1" w:name="_Toc78544258"/>
      <w:bookmarkStart w:id="2" w:name="_Toc78543347"/>
      <w:bookmarkStart w:id="3" w:name="_Toc78544385"/>
      <w:bookmarkStart w:id="4" w:name="_Toc78544461"/>
      <w:bookmarkStart w:id="5" w:name="_Toc20095"/>
      <w:bookmarkStart w:id="6" w:name="_Toc78544937"/>
      <w:bookmarkStart w:id="7" w:name="_Toc78544861"/>
      <w:bookmarkStart w:id="8" w:name="_Toc78544148"/>
      <w:r>
        <w:rPr>
          <w:rFonts w:hint="default" w:ascii="宋体" w:hAnsi="宋体" w:eastAsia="宋体"/>
          <w:highlight w:val="none"/>
          <w:lang w:val="en-US" w:eastAsia="zh-CN"/>
        </w:rPr>
        <w:t>采购</w:t>
      </w:r>
      <w:r>
        <w:rPr>
          <w:rFonts w:hint="eastAsia" w:ascii="宋体" w:hAnsi="宋体" w:eastAsia="宋体"/>
          <w:highlight w:val="none"/>
        </w:rPr>
        <w:t>公告</w:t>
      </w:r>
      <w:bookmarkEnd w:id="0"/>
      <w:bookmarkEnd w:id="1"/>
      <w:bookmarkEnd w:id="2"/>
      <w:bookmarkEnd w:id="3"/>
      <w:bookmarkEnd w:id="4"/>
      <w:bookmarkEnd w:id="5"/>
      <w:bookmarkEnd w:id="6"/>
      <w:bookmarkEnd w:id="7"/>
      <w:bookmarkEnd w:id="8"/>
    </w:p>
    <w:p>
      <w:pPr>
        <w:pStyle w:val="9"/>
        <w:overflowPunct w:val="0"/>
        <w:spacing w:before="156"/>
        <w:rPr>
          <w:rFonts w:ascii="宋体" w:hAnsi="宋体" w:eastAsia="宋体"/>
          <w:highlight w:val="none"/>
        </w:rPr>
      </w:pPr>
      <w:r>
        <w:rPr>
          <w:rFonts w:hint="default" w:ascii="宋体" w:hAnsi="宋体" w:eastAsia="宋体"/>
          <w:highlight w:val="none"/>
          <w:lang w:val="en-US" w:eastAsia="zh-CN"/>
        </w:rPr>
        <w:t>铀纯化老生产线安全环保升级改造工程—原料周转厂房预应力混凝土双T板采购</w:t>
      </w:r>
      <w:r>
        <w:rPr>
          <w:rFonts w:hint="eastAsia" w:ascii="宋体" w:hAnsi="宋体" w:eastAsia="宋体"/>
          <w:highlight w:val="none"/>
        </w:rPr>
        <w:t>公告</w:t>
      </w:r>
    </w:p>
    <w:p>
      <w:pPr>
        <w:tabs>
          <w:tab w:val="center" w:pos="5386"/>
        </w:tabs>
        <w:spacing w:line="360" w:lineRule="auto"/>
        <w:ind w:firstLine="440" w:firstLineChars="200"/>
        <w:jc w:val="left"/>
        <w:rPr>
          <w:rFonts w:hint="eastAsia"/>
        </w:rPr>
      </w:pPr>
      <w:r>
        <w:rPr>
          <w:rFonts w:hint="eastAsia" w:ascii="宋体" w:hAnsi="宋体" w:eastAsia="宋体" w:cs="宋体"/>
          <w:b w:val="0"/>
          <w:bCs/>
          <w:sz w:val="22"/>
          <w:szCs w:val="22"/>
        </w:rPr>
        <w:t>本次采购项目：</w:t>
      </w:r>
      <w:r>
        <w:rPr>
          <w:rFonts w:hint="eastAsia" w:ascii="宋体" w:hAnsi="宋体" w:eastAsia="宋体" w:cs="宋体"/>
          <w:b w:val="0"/>
          <w:bCs/>
          <w:sz w:val="22"/>
          <w:szCs w:val="22"/>
          <w:u w:val="single"/>
        </w:rPr>
        <w:t>铀纯化老生产线安全环保升级改造工程—原料周转厂房预应力混凝土双T板</w:t>
      </w:r>
      <w:r>
        <w:rPr>
          <w:rFonts w:hint="eastAsia" w:ascii="宋体" w:hAnsi="宋体" w:eastAsia="宋体" w:cs="宋体"/>
          <w:b w:val="0"/>
          <w:bCs/>
          <w:sz w:val="22"/>
          <w:szCs w:val="22"/>
          <w:u w:val="none"/>
          <w:lang w:val="en-US" w:eastAsia="zh-CN"/>
        </w:rPr>
        <w:t>采购</w:t>
      </w:r>
      <w:r>
        <w:rPr>
          <w:rFonts w:hint="eastAsia" w:ascii="宋体" w:hAnsi="宋体" w:eastAsia="宋体" w:cs="宋体"/>
          <w:b w:val="0"/>
          <w:bCs/>
          <w:sz w:val="22"/>
          <w:szCs w:val="22"/>
          <w:u w:val="none"/>
        </w:rPr>
        <w:t>项目</w:t>
      </w:r>
      <w:r>
        <w:rPr>
          <w:rFonts w:hint="eastAsia" w:ascii="宋体" w:hAnsi="宋体" w:eastAsia="宋体" w:cs="宋体"/>
          <w:b w:val="0"/>
          <w:bCs/>
          <w:sz w:val="22"/>
          <w:szCs w:val="22"/>
        </w:rPr>
        <w:t>，采购需求单位为：</w:t>
      </w:r>
      <w:r>
        <w:rPr>
          <w:rFonts w:hint="eastAsia" w:ascii="宋体" w:hAnsi="宋体" w:eastAsia="宋体" w:cs="宋体"/>
          <w:b w:val="0"/>
          <w:bCs/>
          <w:sz w:val="22"/>
          <w:szCs w:val="22"/>
          <w:u w:val="single"/>
          <w:lang w:val="en-US" w:eastAsia="zh-CN"/>
        </w:rPr>
        <w:t>中核二十五建设有限公司</w:t>
      </w:r>
      <w:r>
        <w:rPr>
          <w:rFonts w:hint="eastAsia" w:ascii="宋体" w:hAnsi="宋体" w:eastAsia="宋体" w:cs="宋体"/>
          <w:b w:val="0"/>
          <w:bCs/>
          <w:sz w:val="22"/>
          <w:szCs w:val="22"/>
        </w:rPr>
        <w:t>，本项目已具备采购条件，由采购实施单位</w:t>
      </w:r>
      <w:r>
        <w:rPr>
          <w:rFonts w:hint="eastAsia" w:ascii="宋体" w:hAnsi="宋体" w:eastAsia="宋体" w:cs="宋体"/>
          <w:b w:val="0"/>
          <w:bCs/>
          <w:sz w:val="22"/>
          <w:szCs w:val="22"/>
          <w:u w:val="single"/>
        </w:rPr>
        <w:t xml:space="preserve"> </w:t>
      </w:r>
      <w:r>
        <w:rPr>
          <w:rFonts w:hint="eastAsia" w:ascii="宋体" w:hAnsi="宋体" w:eastAsia="宋体" w:cs="宋体"/>
          <w:b w:val="0"/>
          <w:bCs/>
          <w:sz w:val="22"/>
          <w:szCs w:val="22"/>
          <w:u w:val="single"/>
          <w:lang w:eastAsia="zh-CN"/>
        </w:rPr>
        <w:t>中国核工业建设股份有限公司</w:t>
      </w:r>
      <w:r>
        <w:rPr>
          <w:rFonts w:hint="eastAsia" w:ascii="宋体" w:hAnsi="宋体" w:eastAsia="宋体" w:cs="宋体"/>
          <w:b w:val="0"/>
          <w:bCs/>
          <w:sz w:val="22"/>
          <w:szCs w:val="22"/>
          <w:u w:val="single"/>
        </w:rPr>
        <w:t xml:space="preserve"> </w:t>
      </w:r>
      <w:r>
        <w:rPr>
          <w:rFonts w:hint="eastAsia" w:ascii="宋体" w:hAnsi="宋体" w:eastAsia="宋体" w:cs="宋体"/>
          <w:b w:val="0"/>
          <w:bCs/>
          <w:sz w:val="22"/>
          <w:szCs w:val="22"/>
        </w:rPr>
        <w:t>组织实施采购，由采购需求单位根据采购结果签订采购合同/协议。现诚邀愿意承接该项目的潜在供应商参加本次采购活动。</w:t>
      </w:r>
    </w:p>
    <w:p>
      <w:pPr>
        <w:pStyle w:val="10"/>
        <w:numPr>
          <w:ilvl w:val="0"/>
          <w:numId w:val="6"/>
        </w:numPr>
        <w:overflowPunct w:val="0"/>
        <w:spacing w:before="240" w:after="120"/>
        <w:rPr>
          <w:rFonts w:ascii="宋体" w:hAnsi="宋体" w:eastAsia="宋体"/>
          <w:b/>
          <w:highlight w:val="none"/>
        </w:rPr>
      </w:pPr>
      <w:r>
        <w:rPr>
          <w:rFonts w:hint="eastAsia" w:ascii="宋体" w:hAnsi="宋体" w:eastAsia="宋体"/>
          <w:highlight w:val="none"/>
        </w:rPr>
        <w:t>采购项目简介</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采购项目名称</w:t>
      </w:r>
    </w:p>
    <w:p>
      <w:pPr>
        <w:pStyle w:val="15"/>
        <w:rPr>
          <w:rFonts w:hint="eastAsia" w:ascii="宋体" w:hAnsi="宋体" w:eastAsia="宋体"/>
          <w:highlight w:val="none"/>
          <w:lang w:eastAsia="zh-CN"/>
        </w:rPr>
      </w:pPr>
      <w:r>
        <w:rPr>
          <w:rFonts w:hint="eastAsia" w:ascii="宋体" w:hAnsi="宋体" w:eastAsia="宋体"/>
          <w:highlight w:val="none"/>
          <w:u w:val="single"/>
        </w:rPr>
        <w:t>铀纯化老生产线安全环保升级改造工程—原料周转厂房预应力混凝土双T板</w:t>
      </w:r>
      <w:r>
        <w:rPr>
          <w:rFonts w:hint="eastAsia" w:ascii="宋体" w:hAnsi="宋体" w:eastAsia="宋体"/>
          <w:highlight w:val="none"/>
          <w:u w:val="single"/>
          <w:lang w:eastAsia="zh-CN"/>
        </w:rPr>
        <w:t>采购项目</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采购单位</w:t>
      </w:r>
    </w:p>
    <w:p>
      <w:pPr>
        <w:pStyle w:val="15"/>
        <w:rPr>
          <w:rFonts w:hint="eastAsia" w:ascii="宋体" w:hAnsi="宋体" w:eastAsia="宋体"/>
          <w:highlight w:val="none"/>
          <w:u w:val="single"/>
        </w:rPr>
      </w:pPr>
      <w:r>
        <w:rPr>
          <w:rFonts w:hint="eastAsia" w:ascii="宋体" w:hAnsi="宋体" w:eastAsia="宋体"/>
          <w:highlight w:val="none"/>
          <w:u w:val="single"/>
        </w:rPr>
        <w:t>中国核工业建设股份有限公司</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采购项目资金落实情况</w:t>
      </w:r>
    </w:p>
    <w:p>
      <w:pPr>
        <w:pStyle w:val="15"/>
        <w:rPr>
          <w:rFonts w:hint="eastAsia" w:ascii="宋体" w:hAnsi="宋体" w:eastAsia="宋体"/>
          <w:highlight w:val="none"/>
          <w:u w:val="single"/>
        </w:rPr>
      </w:pPr>
      <w:r>
        <w:rPr>
          <w:rFonts w:hint="eastAsia" w:ascii="宋体" w:hAnsi="宋体" w:eastAsia="宋体"/>
          <w:highlight w:val="none"/>
          <w:u w:val="single"/>
          <w:lang w:val="en-US" w:eastAsia="zh-CN"/>
        </w:rPr>
        <w:t>企业自有资金</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采购项目概况</w:t>
      </w:r>
    </w:p>
    <w:p>
      <w:pPr>
        <w:pStyle w:val="13"/>
        <w:numPr>
          <w:ilvl w:val="0"/>
          <w:numId w:val="0"/>
        </w:numPr>
        <w:ind w:firstLine="420" w:firstLineChars="200"/>
        <w:rPr>
          <w:rFonts w:hint="eastAsia" w:ascii="宋体" w:hAnsi="宋体" w:eastAsia="宋体"/>
          <w:highlight w:val="none"/>
          <w:u w:val="single"/>
          <w:lang w:val="en-US" w:eastAsia="zh-CN"/>
        </w:rPr>
      </w:pPr>
      <w:r>
        <w:rPr>
          <w:rFonts w:hint="eastAsia" w:ascii="宋体" w:hAnsi="宋体" w:eastAsia="宋体" w:cs="Times New Roman"/>
          <w:b w:val="0"/>
          <w:kern w:val="0"/>
          <w:sz w:val="21"/>
          <w:szCs w:val="21"/>
          <w:highlight w:val="none"/>
          <w:u w:val="single"/>
          <w:lang w:val="en-US" w:eastAsia="zh-CN" w:bidi="ar-SA"/>
        </w:rPr>
        <w:t>通过项目建设，形成铀纯化老生产线安全环保升级改造工程-原料周转厂房相应配套能力，满足相应需求</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采购方式</w:t>
      </w:r>
    </w:p>
    <w:p>
      <w:pPr>
        <w:pStyle w:val="15"/>
        <w:rPr>
          <w:rFonts w:hint="default" w:ascii="宋体" w:hAnsi="宋体" w:eastAsia="宋体"/>
          <w:highlight w:val="none"/>
          <w:lang w:val="en-US"/>
        </w:rPr>
      </w:pPr>
      <w:r>
        <w:rPr>
          <w:rFonts w:hint="eastAsia" w:ascii="宋体" w:hAnsi="宋体" w:eastAsia="宋体"/>
          <w:highlight w:val="none"/>
          <w:u w:val="single"/>
          <w:lang w:val="en-US" w:eastAsia="zh-CN"/>
        </w:rPr>
        <w:t>询比</w:t>
      </w:r>
      <w:r>
        <w:rPr>
          <w:rFonts w:hint="default" w:ascii="宋体" w:hAnsi="宋体" w:eastAsia="宋体"/>
          <w:highlight w:val="none"/>
          <w:u w:val="single"/>
          <w:lang w:val="en-US"/>
        </w:rPr>
        <w:t>采购</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成交供应商数量及份额</w:t>
      </w:r>
    </w:p>
    <w:p>
      <w:pPr>
        <w:pStyle w:val="15"/>
        <w:rPr>
          <w:rFonts w:hint="eastAsia" w:ascii="宋体" w:hAnsi="宋体" w:eastAsia="宋体"/>
          <w:highlight w:val="none"/>
          <w:u w:val="single"/>
          <w:lang w:val="en-US" w:eastAsia="zh-CN"/>
        </w:rPr>
      </w:pPr>
      <w:r>
        <w:rPr>
          <w:rFonts w:hint="eastAsia" w:ascii="宋体" w:hAnsi="宋体" w:eastAsia="宋体"/>
          <w:highlight w:val="none"/>
          <w:u w:val="single"/>
          <w:lang w:val="en-US" w:eastAsia="zh-CN"/>
        </w:rPr>
        <w:t>1家成交供应商</w:t>
      </w:r>
    </w:p>
    <w:p>
      <w:pPr>
        <w:pStyle w:val="10"/>
        <w:numPr>
          <w:ilvl w:val="0"/>
          <w:numId w:val="7"/>
        </w:numPr>
        <w:overflowPunct w:val="0"/>
        <w:spacing w:before="240" w:after="120"/>
        <w:rPr>
          <w:rFonts w:ascii="宋体" w:hAnsi="宋体" w:eastAsia="宋体"/>
          <w:color w:val="auto"/>
          <w:highlight w:val="none"/>
        </w:rPr>
      </w:pPr>
      <w:r>
        <w:rPr>
          <w:rFonts w:ascii="宋体" w:hAnsi="宋体" w:eastAsia="宋体"/>
          <w:color w:val="auto"/>
          <w:highlight w:val="none"/>
        </w:rPr>
        <w:t>采购范围及相关要求</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采购范围</w:t>
      </w:r>
    </w:p>
    <w:p>
      <w:pPr>
        <w:pStyle w:val="15"/>
        <w:rPr>
          <w:rFonts w:hint="default" w:ascii="宋体" w:hAnsi="宋体" w:eastAsia="宋体"/>
          <w:highlight w:val="none"/>
          <w:u w:val="single"/>
          <w:lang w:val="en-US" w:eastAsia="zh-CN"/>
        </w:rPr>
      </w:pPr>
      <w:r>
        <w:rPr>
          <w:rFonts w:hint="eastAsia" w:ascii="宋体" w:hAnsi="宋体" w:eastAsia="宋体"/>
          <w:highlight w:val="none"/>
          <w:u w:val="single"/>
          <w:lang w:val="en-US" w:eastAsia="zh-CN"/>
        </w:rPr>
        <w:t>预应力混凝土双T板（δ=145mm混凝土强度C50 21250×3000mm），详见报价表清单</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交货期</w:t>
      </w:r>
    </w:p>
    <w:p>
      <w:pPr>
        <w:pStyle w:val="15"/>
        <w:rPr>
          <w:rFonts w:hint="eastAsia" w:ascii="宋体" w:hAnsi="宋体" w:eastAsia="宋体" w:cs="Times New Roman"/>
          <w:bCs w:val="0"/>
          <w:kern w:val="0"/>
          <w:sz w:val="21"/>
          <w:szCs w:val="21"/>
          <w:highlight w:val="none"/>
          <w:u w:val="single"/>
          <w:lang w:val="en-US" w:eastAsia="zh-CN" w:bidi="ar-SA"/>
        </w:rPr>
      </w:pPr>
      <w:r>
        <w:rPr>
          <w:rFonts w:hint="eastAsia" w:ascii="宋体" w:hAnsi="宋体" w:eastAsia="宋体" w:cs="Times New Roman"/>
          <w:bCs w:val="0"/>
          <w:kern w:val="0"/>
          <w:sz w:val="21"/>
          <w:szCs w:val="21"/>
          <w:highlight w:val="none"/>
          <w:u w:val="single"/>
          <w:lang w:val="en-US" w:eastAsia="zh-CN" w:bidi="ar-SA"/>
        </w:rPr>
        <w:t>根据施工进度计划，具体以采购人通知时间为准</w:t>
      </w:r>
    </w:p>
    <w:p>
      <w:pPr>
        <w:pStyle w:val="12"/>
        <w:overflowPunct w:val="0"/>
        <w:spacing w:before="120" w:after="120"/>
        <w:ind w:firstLine="210"/>
        <w:rPr>
          <w:rFonts w:hint="eastAsia" w:ascii="宋体" w:hAnsi="宋体" w:eastAsia="宋体"/>
          <w:highlight w:val="none"/>
        </w:rPr>
      </w:pPr>
      <w:r>
        <w:rPr>
          <w:rFonts w:hint="eastAsia" w:ascii="宋体" w:hAnsi="宋体" w:eastAsia="宋体"/>
          <w:highlight w:val="none"/>
          <w:lang w:val="en-US" w:eastAsia="zh-CN"/>
        </w:rPr>
        <w:t>交货地点</w:t>
      </w:r>
    </w:p>
    <w:p>
      <w:pPr>
        <w:pStyle w:val="15"/>
        <w:rPr>
          <w:rFonts w:hint="eastAsia" w:ascii="宋体" w:hAnsi="宋体" w:eastAsia="宋体" w:cs="Times New Roman"/>
          <w:bCs w:val="0"/>
          <w:kern w:val="0"/>
          <w:sz w:val="21"/>
          <w:szCs w:val="21"/>
          <w:highlight w:val="none"/>
          <w:u w:val="single"/>
          <w:lang w:val="en-US" w:eastAsia="zh-CN" w:bidi="ar-SA"/>
        </w:rPr>
      </w:pPr>
      <w:r>
        <w:rPr>
          <w:rFonts w:hint="eastAsia" w:ascii="宋体" w:hAnsi="宋体" w:eastAsia="宋体" w:cs="Times New Roman"/>
          <w:bCs w:val="0"/>
          <w:kern w:val="0"/>
          <w:sz w:val="21"/>
          <w:szCs w:val="21"/>
          <w:highlight w:val="none"/>
          <w:u w:val="single"/>
          <w:lang w:val="en-US" w:eastAsia="zh-CN" w:bidi="ar-SA"/>
        </w:rPr>
        <w:t>湖南省衡阳市二七二厂内</w:t>
      </w:r>
    </w:p>
    <w:p>
      <w:pPr>
        <w:pStyle w:val="12"/>
        <w:overflowPunct w:val="0"/>
        <w:spacing w:before="120" w:after="120"/>
        <w:ind w:firstLine="210"/>
        <w:rPr>
          <w:rFonts w:ascii="宋体" w:hAnsi="宋体" w:eastAsia="宋体"/>
          <w:highlight w:val="none"/>
        </w:rPr>
      </w:pPr>
      <w:r>
        <w:rPr>
          <w:rFonts w:ascii="宋体" w:hAnsi="宋体" w:eastAsia="宋体"/>
          <w:highlight w:val="none"/>
        </w:rPr>
        <w:t>货物质量标准或主要技术性能指标</w:t>
      </w:r>
    </w:p>
    <w:p>
      <w:pPr>
        <w:pStyle w:val="15"/>
        <w:rPr>
          <w:rFonts w:hint="eastAsia" w:ascii="宋体" w:hAnsi="宋体" w:eastAsia="宋体" w:cs="Times New Roman"/>
          <w:bCs w:val="0"/>
          <w:kern w:val="0"/>
          <w:sz w:val="21"/>
          <w:szCs w:val="21"/>
          <w:highlight w:val="none"/>
          <w:u w:val="single"/>
          <w:lang w:val="en-US" w:eastAsia="zh-CN" w:bidi="ar-SA"/>
        </w:rPr>
      </w:pPr>
      <w:r>
        <w:rPr>
          <w:rFonts w:hint="eastAsia" w:ascii="宋体" w:hAnsi="宋体" w:eastAsia="宋体" w:cs="Times New Roman"/>
          <w:bCs w:val="0"/>
          <w:kern w:val="0"/>
          <w:sz w:val="21"/>
          <w:szCs w:val="21"/>
          <w:highlight w:val="none"/>
          <w:u w:val="single"/>
          <w:lang w:val="en-US" w:eastAsia="zh-CN" w:bidi="ar-SA"/>
        </w:rPr>
        <w:t>符合国家标准及行业标准</w:t>
      </w:r>
    </w:p>
    <w:p>
      <w:pPr>
        <w:pStyle w:val="10"/>
        <w:overflowPunct w:val="0"/>
        <w:spacing w:before="240" w:after="120"/>
        <w:rPr>
          <w:rFonts w:ascii="宋体" w:hAnsi="宋体" w:eastAsia="宋体"/>
          <w:highlight w:val="none"/>
        </w:rPr>
      </w:pPr>
      <w:r>
        <w:rPr>
          <w:rFonts w:hint="eastAsia" w:ascii="宋体" w:hAnsi="宋体" w:eastAsia="宋体"/>
          <w:highlight w:val="none"/>
        </w:rPr>
        <w:t>供应商资格要求</w:t>
      </w:r>
    </w:p>
    <w:p>
      <w:pPr>
        <w:pStyle w:val="12"/>
        <w:overflowPunct w:val="0"/>
        <w:spacing w:before="120" w:after="120"/>
        <w:ind w:firstLine="210"/>
        <w:rPr>
          <w:rFonts w:ascii="宋体" w:hAnsi="宋体" w:eastAsia="宋体"/>
          <w:highlight w:val="none"/>
        </w:rPr>
      </w:pPr>
      <w:r>
        <w:rPr>
          <w:rFonts w:ascii="宋体" w:hAnsi="宋体" w:eastAsia="宋体"/>
          <w:highlight w:val="none"/>
        </w:rPr>
        <w:t>供应商应依法设立且具备承担本采购项目的资质条件、能力和信誉</w:t>
      </w:r>
      <w:r>
        <w:rPr>
          <w:rFonts w:hint="eastAsia" w:ascii="宋体" w:hAnsi="宋体" w:eastAsia="宋体"/>
          <w:highlight w:val="none"/>
        </w:rPr>
        <w:t>：</w:t>
      </w:r>
    </w:p>
    <w:p>
      <w:pPr>
        <w:pStyle w:val="16"/>
        <w:numPr>
          <w:ilvl w:val="0"/>
          <w:numId w:val="8"/>
        </w:numPr>
        <w:wordWrap/>
        <w:snapToGrid w:val="0"/>
        <w:ind w:left="1050" w:leftChars="0" w:firstLineChars="0"/>
        <w:rPr>
          <w:rFonts w:hint="eastAsia" w:ascii="宋体" w:hAnsi="宋体" w:eastAsia="宋体"/>
          <w:highlight w:val="none"/>
        </w:rPr>
      </w:pPr>
      <w:r>
        <w:rPr>
          <w:rFonts w:ascii="宋体" w:hAnsi="宋体" w:eastAsia="宋体"/>
          <w:highlight w:val="none"/>
        </w:rPr>
        <w:t>资质要求：</w:t>
      </w:r>
      <w:r>
        <w:rPr>
          <w:rFonts w:hint="eastAsia" w:ascii="宋体" w:hAnsi="宋体" w:eastAsia="宋体"/>
          <w:highlight w:val="none"/>
          <w:u w:val="single"/>
          <w:lang w:eastAsia="zh-CN"/>
        </w:rPr>
        <w:t>☑</w:t>
      </w:r>
      <w:r>
        <w:rPr>
          <w:rFonts w:hint="eastAsia" w:ascii="宋体" w:hAnsi="宋体" w:eastAsia="宋体"/>
          <w:highlight w:val="none"/>
          <w:u w:val="single"/>
        </w:rPr>
        <w:t>不适用</w:t>
      </w:r>
      <w:r>
        <w:rPr>
          <w:rFonts w:hint="eastAsia" w:ascii="宋体" w:hAnsi="宋体" w:eastAsia="宋体"/>
          <w:highlight w:val="none"/>
          <w:u w:val="single"/>
          <w:lang w:eastAsia="zh-CN"/>
        </w:rPr>
        <w:t>；</w:t>
      </w:r>
    </w:p>
    <w:p>
      <w:pPr>
        <w:pStyle w:val="16"/>
        <w:numPr>
          <w:ilvl w:val="0"/>
          <w:numId w:val="0"/>
        </w:numPr>
        <w:wordWrap/>
        <w:snapToGrid w:val="0"/>
        <w:ind w:left="630" w:leftChars="0" w:firstLine="1470" w:firstLineChars="700"/>
        <w:rPr>
          <w:rFonts w:ascii="宋体" w:hAnsi="宋体" w:eastAsia="宋体"/>
          <w:highlight w:val="none"/>
        </w:rPr>
      </w:pPr>
      <w:r>
        <w:rPr>
          <w:rFonts w:hint="eastAsia" w:ascii="宋体" w:hAnsi="宋体" w:eastAsia="宋体"/>
          <w:highlight w:val="none"/>
          <w:u w:val="single"/>
          <w:lang w:eastAsia="zh-CN"/>
        </w:rPr>
        <w:t>□</w:t>
      </w:r>
      <w:r>
        <w:rPr>
          <w:rFonts w:hint="eastAsia" w:ascii="宋体" w:hAnsi="宋体" w:eastAsia="宋体"/>
          <w:highlight w:val="none"/>
        </w:rPr>
        <w:t>适用。供应商应提供相关资质证书的复印件，以证明供应商具有承担本项目要求的资格或资质。资质证书包括：</w:t>
      </w:r>
      <w:r>
        <w:rPr>
          <w:rFonts w:hint="eastAsia" w:ascii="宋体" w:hAnsi="宋体" w:eastAsia="宋体"/>
          <w:highlight w:val="none"/>
          <w:u w:val="single"/>
          <w:lang w:val="en-US" w:eastAsia="zh-CN"/>
        </w:rPr>
        <w:t>/</w:t>
      </w:r>
    </w:p>
    <w:p>
      <w:pPr>
        <w:pStyle w:val="16"/>
        <w:wordWrap/>
        <w:snapToGrid w:val="0"/>
        <w:ind w:left="619" w:leftChars="0" w:firstLineChars="0"/>
        <w:rPr>
          <w:rFonts w:ascii="宋体" w:hAnsi="宋体" w:eastAsia="宋体"/>
          <w:highlight w:val="none"/>
        </w:rPr>
      </w:pPr>
      <w:r>
        <w:rPr>
          <w:rFonts w:ascii="宋体" w:hAnsi="宋体" w:eastAsia="宋体"/>
          <w:highlight w:val="none"/>
        </w:rPr>
        <w:t>信誉要求：</w:t>
      </w:r>
      <w:r>
        <w:rPr>
          <w:rFonts w:hint="eastAsia" w:ascii="宋体" w:hAnsi="宋体" w:eastAsia="宋体"/>
          <w:highlight w:val="none"/>
          <w:u w:val="single"/>
        </w:rPr>
        <w:t>提供应答截止日期前15日内信用中国（www.creditchina.gov.cn）查询的《信用信息报告》</w:t>
      </w:r>
    </w:p>
    <w:p>
      <w:pPr>
        <w:pStyle w:val="16"/>
        <w:wordWrap/>
        <w:snapToGrid w:val="0"/>
        <w:ind w:left="619" w:leftChars="0" w:firstLineChars="0"/>
        <w:rPr>
          <w:rFonts w:ascii="宋体" w:hAnsi="宋体" w:eastAsia="宋体"/>
          <w:highlight w:val="none"/>
        </w:rPr>
      </w:pPr>
      <w:r>
        <w:rPr>
          <w:rFonts w:ascii="宋体" w:hAnsi="宋体" w:eastAsia="宋体"/>
          <w:highlight w:val="none"/>
        </w:rPr>
        <w:t>其他要求：</w:t>
      </w:r>
      <w:r>
        <w:rPr>
          <w:rFonts w:hint="eastAsia" w:ascii="宋体" w:hAnsi="宋体" w:eastAsia="宋体"/>
          <w:highlight w:val="none"/>
          <w:u w:val="single"/>
          <w:lang w:val="en-US" w:eastAsia="zh-CN"/>
        </w:rPr>
        <w:t>/</w:t>
      </w:r>
    </w:p>
    <w:p>
      <w:pPr>
        <w:pStyle w:val="12"/>
        <w:overflowPunct w:val="0"/>
        <w:spacing w:before="120" w:after="120"/>
        <w:ind w:firstLine="210"/>
        <w:rPr>
          <w:rFonts w:ascii="宋体" w:hAnsi="宋体" w:eastAsia="宋体"/>
          <w:highlight w:val="none"/>
        </w:rPr>
      </w:pPr>
      <w:r>
        <w:rPr>
          <w:rFonts w:ascii="宋体" w:hAnsi="宋体" w:eastAsia="宋体"/>
          <w:highlight w:val="none"/>
        </w:rPr>
        <w:t>供应商不得存在下列情形之一</w:t>
      </w:r>
      <w:r>
        <w:rPr>
          <w:rFonts w:hint="eastAsia" w:ascii="宋体" w:hAnsi="宋体" w:eastAsia="宋体"/>
          <w:highlight w:val="none"/>
        </w:rPr>
        <w:t>：</w:t>
      </w:r>
    </w:p>
    <w:p>
      <w:pPr>
        <w:pStyle w:val="16"/>
        <w:numPr>
          <w:ilvl w:val="0"/>
          <w:numId w:val="9"/>
        </w:numPr>
        <w:wordWrap/>
        <w:snapToGrid w:val="0"/>
        <w:ind w:left="840" w:leftChars="0" w:firstLineChars="0"/>
        <w:rPr>
          <w:rFonts w:ascii="宋体" w:hAnsi="宋体" w:eastAsia="宋体"/>
          <w:highlight w:val="none"/>
        </w:rPr>
      </w:pPr>
      <w:r>
        <w:rPr>
          <w:rFonts w:hint="eastAsia" w:ascii="宋体" w:hAnsi="宋体" w:eastAsia="宋体"/>
          <w:highlight w:val="none"/>
        </w:rPr>
        <w:t>不同供应商之间的单位负责人为同一人，或者存在直接控股、管理关系；</w:t>
      </w:r>
    </w:p>
    <w:p>
      <w:pPr>
        <w:pStyle w:val="16"/>
        <w:numPr>
          <w:ilvl w:val="0"/>
          <w:numId w:val="9"/>
        </w:numPr>
        <w:wordWrap/>
        <w:snapToGrid w:val="0"/>
        <w:ind w:left="840" w:leftChars="0" w:firstLineChars="0"/>
        <w:rPr>
          <w:rFonts w:ascii="宋体" w:hAnsi="宋体" w:eastAsia="宋体"/>
          <w:highlight w:val="none"/>
        </w:rPr>
      </w:pPr>
      <w:r>
        <w:rPr>
          <w:rFonts w:ascii="宋体" w:hAnsi="宋体" w:eastAsia="宋体"/>
          <w:highlight w:val="none"/>
        </w:rPr>
        <w:t>处于被责令停产停业、暂扣或者吊销执照、暂扣或者吊销许可证、吊销资质证书状态</w:t>
      </w:r>
      <w:r>
        <w:rPr>
          <w:rFonts w:hint="eastAsia" w:ascii="宋体" w:hAnsi="宋体" w:eastAsia="宋体"/>
          <w:highlight w:val="none"/>
          <w:lang w:eastAsia="zh-CN"/>
        </w:rPr>
        <w:t>；</w:t>
      </w:r>
    </w:p>
    <w:p>
      <w:pPr>
        <w:pStyle w:val="16"/>
        <w:numPr>
          <w:ilvl w:val="0"/>
          <w:numId w:val="9"/>
        </w:numPr>
        <w:wordWrap/>
        <w:snapToGrid w:val="0"/>
        <w:ind w:left="840" w:leftChars="0" w:firstLineChars="0"/>
        <w:rPr>
          <w:rFonts w:ascii="宋体" w:hAnsi="宋体" w:eastAsia="宋体"/>
          <w:highlight w:val="none"/>
        </w:rPr>
      </w:pPr>
      <w:r>
        <w:rPr>
          <w:rFonts w:ascii="宋体" w:hAnsi="宋体" w:eastAsia="宋体"/>
          <w:highlight w:val="none"/>
        </w:rPr>
        <w:t>被本项目所在地省级以上行业主管部门依法暂停或者取消</w:t>
      </w:r>
      <w:r>
        <w:rPr>
          <w:rFonts w:hint="eastAsia" w:ascii="宋体" w:hAnsi="宋体" w:eastAsia="宋体"/>
          <w:highlight w:val="none"/>
          <w:lang w:eastAsia="zh-CN"/>
        </w:rPr>
        <w:t>报价</w:t>
      </w:r>
      <w:r>
        <w:rPr>
          <w:rFonts w:ascii="宋体" w:hAnsi="宋体" w:eastAsia="宋体"/>
          <w:highlight w:val="none"/>
        </w:rPr>
        <w:t>资格</w:t>
      </w:r>
      <w:r>
        <w:rPr>
          <w:rFonts w:hint="eastAsia" w:ascii="宋体" w:hAnsi="宋体" w:eastAsia="宋体"/>
          <w:highlight w:val="none"/>
        </w:rPr>
        <w:t>；</w:t>
      </w:r>
    </w:p>
    <w:p>
      <w:pPr>
        <w:pStyle w:val="16"/>
        <w:numPr>
          <w:ilvl w:val="0"/>
          <w:numId w:val="9"/>
        </w:numPr>
        <w:wordWrap/>
        <w:snapToGrid w:val="0"/>
        <w:ind w:left="840" w:leftChars="0" w:firstLineChars="0"/>
        <w:rPr>
          <w:rFonts w:ascii="宋体" w:hAnsi="宋体" w:eastAsia="宋体"/>
          <w:highlight w:val="none"/>
        </w:rPr>
      </w:pPr>
      <w:r>
        <w:rPr>
          <w:rFonts w:ascii="宋体" w:hAnsi="宋体" w:eastAsia="宋体"/>
          <w:highlight w:val="none"/>
        </w:rPr>
        <w:t>进入清算程序，或被宣告破产，或其他丧失履约能力的情形；</w:t>
      </w:r>
    </w:p>
    <w:p>
      <w:pPr>
        <w:pStyle w:val="16"/>
        <w:numPr>
          <w:ilvl w:val="0"/>
          <w:numId w:val="9"/>
        </w:numPr>
        <w:wordWrap/>
        <w:snapToGrid w:val="0"/>
        <w:ind w:left="840" w:leftChars="0" w:firstLineChars="0"/>
        <w:rPr>
          <w:rFonts w:ascii="宋体" w:hAnsi="宋体" w:eastAsia="宋体"/>
          <w:highlight w:val="none"/>
        </w:rPr>
      </w:pPr>
      <w:r>
        <w:rPr>
          <w:rFonts w:ascii="宋体" w:hAnsi="宋体" w:eastAsia="宋体"/>
          <w:highlight w:val="none"/>
        </w:rPr>
        <w:t>根据</w:t>
      </w:r>
      <w:r>
        <w:rPr>
          <w:rFonts w:hint="eastAsia" w:ascii="宋体" w:hAnsi="宋体" w:eastAsia="宋体"/>
          <w:highlight w:val="none"/>
        </w:rPr>
        <w:t>中国核工业集团</w:t>
      </w:r>
      <w:r>
        <w:rPr>
          <w:rFonts w:ascii="宋体" w:hAnsi="宋体" w:eastAsia="宋体"/>
          <w:highlight w:val="none"/>
        </w:rPr>
        <w:t>供应商管理要求，被禁止参与采购活动且处于有效期</w:t>
      </w:r>
      <w:r>
        <w:rPr>
          <w:rFonts w:hint="eastAsia" w:ascii="宋体" w:hAnsi="宋体" w:eastAsia="宋体"/>
          <w:highlight w:val="none"/>
        </w:rPr>
        <w:t>；</w:t>
      </w:r>
    </w:p>
    <w:p>
      <w:pPr>
        <w:pStyle w:val="16"/>
        <w:numPr>
          <w:ilvl w:val="0"/>
          <w:numId w:val="9"/>
        </w:numPr>
        <w:wordWrap/>
        <w:snapToGrid w:val="0"/>
        <w:ind w:left="840" w:leftChars="0" w:firstLineChars="0"/>
        <w:rPr>
          <w:rFonts w:ascii="宋体" w:hAnsi="宋体" w:eastAsia="宋体"/>
          <w:highlight w:val="none"/>
        </w:rPr>
      </w:pPr>
      <w:r>
        <w:rPr>
          <w:rFonts w:hint="eastAsia" w:ascii="宋体" w:hAnsi="宋体" w:eastAsia="宋体" w:cs="宋体"/>
          <w:sz w:val="21"/>
          <w:szCs w:val="21"/>
          <w:lang w:val="en-US" w:eastAsia="zh-CN"/>
        </w:rPr>
        <w:t>供应商</w:t>
      </w:r>
      <w:r>
        <w:rPr>
          <w:rFonts w:hint="eastAsia" w:ascii="宋体" w:hAnsi="宋体" w:eastAsia="宋体" w:cs="宋体"/>
          <w:sz w:val="21"/>
          <w:szCs w:val="21"/>
          <w:lang w:eastAsia="zh-CN"/>
        </w:rPr>
        <w:t>处于中国核工业集团有限公司、中国核工业建设股份有限公司供应商黑名单或灰名单，且处于有效期内</w:t>
      </w:r>
      <w:r>
        <w:rPr>
          <w:rFonts w:hint="eastAsia" w:ascii="宋体" w:hAnsi="宋体" w:eastAsia="宋体"/>
          <w:highlight w:val="none"/>
        </w:rPr>
        <w:t>；</w:t>
      </w:r>
    </w:p>
    <w:p>
      <w:pPr>
        <w:pStyle w:val="16"/>
        <w:numPr>
          <w:ilvl w:val="0"/>
          <w:numId w:val="9"/>
        </w:numPr>
        <w:wordWrap/>
        <w:snapToGrid w:val="0"/>
        <w:ind w:left="840" w:leftChars="0" w:firstLineChars="0"/>
        <w:rPr>
          <w:rFonts w:ascii="宋体" w:hAnsi="宋体" w:eastAsia="宋体"/>
          <w:highlight w:val="none"/>
        </w:rPr>
      </w:pPr>
      <w:r>
        <w:rPr>
          <w:rFonts w:hint="eastAsia" w:ascii="宋体" w:hAnsi="宋体" w:eastAsia="宋体"/>
          <w:highlight w:val="none"/>
        </w:rPr>
        <w:t>其他：供应商在中国核工业集团电子采购平台的报名、下载文件、报价等环节实施过程中，如出现I</w:t>
      </w:r>
      <w:r>
        <w:rPr>
          <w:rFonts w:ascii="宋体" w:hAnsi="宋体" w:eastAsia="宋体"/>
          <w:highlight w:val="none"/>
        </w:rPr>
        <w:t>P</w:t>
      </w:r>
      <w:r>
        <w:rPr>
          <w:rFonts w:hint="eastAsia" w:ascii="宋体" w:hAnsi="宋体" w:eastAsia="宋体"/>
          <w:highlight w:val="none"/>
        </w:rPr>
        <w:t>地址一致等异常情况时，</w:t>
      </w:r>
      <w:r>
        <w:rPr>
          <w:rFonts w:hint="eastAsia" w:ascii="宋体" w:hAnsi="宋体" w:eastAsia="宋体"/>
          <w:highlight w:val="none"/>
          <w:lang w:eastAsia="zh-CN"/>
        </w:rPr>
        <w:t>采购单位</w:t>
      </w:r>
      <w:r>
        <w:rPr>
          <w:rFonts w:hint="eastAsia" w:ascii="宋体" w:hAnsi="宋体" w:eastAsia="宋体"/>
          <w:highlight w:val="none"/>
        </w:rPr>
        <w:t>将视情况决定对I</w:t>
      </w:r>
      <w:r>
        <w:rPr>
          <w:rFonts w:ascii="宋体" w:hAnsi="宋体" w:eastAsia="宋体"/>
          <w:highlight w:val="none"/>
        </w:rPr>
        <w:t>P</w:t>
      </w:r>
      <w:r>
        <w:rPr>
          <w:rFonts w:hint="eastAsia" w:ascii="宋体" w:hAnsi="宋体" w:eastAsia="宋体"/>
          <w:highlight w:val="none"/>
        </w:rPr>
        <w:t>地址出现异常的供应商进行调查或直接采取处理措施。</w:t>
      </w:r>
      <w:r>
        <w:rPr>
          <w:rFonts w:hint="eastAsia" w:ascii="宋体" w:hAnsi="宋体" w:eastAsia="宋体"/>
          <w:highlight w:val="none"/>
          <w:lang w:eastAsia="zh-CN"/>
        </w:rPr>
        <w:t>采购单位</w:t>
      </w:r>
      <w:r>
        <w:rPr>
          <w:rFonts w:hint="eastAsia" w:ascii="宋体" w:hAnsi="宋体" w:eastAsia="宋体"/>
          <w:highlight w:val="none"/>
        </w:rPr>
        <w:t>如进行调查的，供应商有义务配合调查并按要求做出回应，如供应商未按</w:t>
      </w:r>
      <w:r>
        <w:rPr>
          <w:rFonts w:hint="eastAsia" w:ascii="宋体" w:hAnsi="宋体" w:eastAsia="宋体"/>
          <w:highlight w:val="none"/>
          <w:lang w:eastAsia="zh-CN"/>
        </w:rPr>
        <w:t>采购单位</w:t>
      </w:r>
      <w:r>
        <w:rPr>
          <w:rFonts w:hint="eastAsia" w:ascii="宋体" w:hAnsi="宋体" w:eastAsia="宋体"/>
          <w:highlight w:val="none"/>
        </w:rPr>
        <w:t>要求及时回应的，则</w:t>
      </w:r>
      <w:r>
        <w:rPr>
          <w:rFonts w:hint="eastAsia" w:ascii="宋体" w:hAnsi="宋体" w:eastAsia="宋体"/>
          <w:highlight w:val="none"/>
          <w:lang w:eastAsia="zh-CN"/>
        </w:rPr>
        <w:t>采购单位</w:t>
      </w:r>
      <w:r>
        <w:rPr>
          <w:rFonts w:hint="eastAsia" w:ascii="宋体" w:hAnsi="宋体" w:eastAsia="宋体"/>
          <w:highlight w:val="none"/>
        </w:rPr>
        <w:t>有权根据已知资料和情况做出相关处理决定。</w:t>
      </w:r>
    </w:p>
    <w:p>
      <w:pPr>
        <w:pStyle w:val="12"/>
        <w:spacing w:before="120" w:after="120"/>
        <w:ind w:firstLine="210"/>
        <w:rPr>
          <w:rFonts w:hint="eastAsia" w:ascii="宋体" w:hAnsi="宋体" w:eastAsia="宋体"/>
          <w:highlight w:val="none"/>
        </w:rPr>
      </w:pPr>
      <w:r>
        <w:rPr>
          <w:rFonts w:ascii="宋体" w:hAnsi="宋体" w:eastAsia="宋体"/>
          <w:highlight w:val="none"/>
        </w:rPr>
        <w:t>本次采购</w:t>
      </w:r>
      <w:r>
        <w:rPr>
          <w:rFonts w:hint="eastAsia" w:ascii="宋体" w:hAnsi="宋体" w:eastAsia="宋体"/>
          <w:highlight w:val="none"/>
          <w:u w:val="single"/>
          <w:lang w:val="en-US" w:eastAsia="zh-CN"/>
        </w:rPr>
        <w:t>不接受</w:t>
      </w:r>
      <w:r>
        <w:rPr>
          <w:rFonts w:ascii="宋体" w:hAnsi="宋体" w:eastAsia="宋体"/>
          <w:highlight w:val="none"/>
        </w:rPr>
        <w:t>（接受或不接受）联合体</w:t>
      </w:r>
      <w:r>
        <w:rPr>
          <w:rFonts w:hint="eastAsia" w:ascii="宋体" w:hAnsi="宋体" w:eastAsia="宋体"/>
          <w:highlight w:val="none"/>
        </w:rPr>
        <w:t>应答</w:t>
      </w:r>
      <w:r>
        <w:rPr>
          <w:rFonts w:ascii="宋体" w:hAnsi="宋体" w:eastAsia="宋体"/>
          <w:highlight w:val="none"/>
        </w:rPr>
        <w:t>。</w:t>
      </w:r>
      <w:r>
        <w:rPr>
          <w:rFonts w:hint="eastAsia" w:ascii="宋体" w:hAnsi="宋体" w:eastAsia="宋体"/>
          <w:highlight w:val="none"/>
        </w:rPr>
        <w:t>联合体应答的，应满足下列要求：</w:t>
      </w:r>
    </w:p>
    <w:p>
      <w:pPr>
        <w:pStyle w:val="16"/>
        <w:numPr>
          <w:ilvl w:val="0"/>
          <w:numId w:val="10"/>
        </w:numPr>
        <w:wordWrap/>
        <w:snapToGrid w:val="0"/>
        <w:ind w:left="840" w:leftChars="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联合体各方应按询价采购文件提供的格式签订联合体协议书，明确联合体牵头人和各方权利义务，并承诺就成交项目向采购人承担连带责任。</w:t>
      </w:r>
    </w:p>
    <w:p>
      <w:pPr>
        <w:pStyle w:val="16"/>
        <w:numPr>
          <w:ilvl w:val="0"/>
          <w:numId w:val="10"/>
        </w:numPr>
        <w:wordWrap/>
        <w:snapToGrid w:val="0"/>
        <w:ind w:left="840" w:leftChars="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联合体各方应在联合体协议书中明确各方供应范围，通过共同应答协议约定承担与各方供应范围对应的工作和责任。每家单位应当具备其分工所具备的相应的资格条件。</w:t>
      </w:r>
    </w:p>
    <w:p>
      <w:pPr>
        <w:pStyle w:val="16"/>
        <w:numPr>
          <w:ilvl w:val="0"/>
          <w:numId w:val="10"/>
        </w:numPr>
        <w:wordWrap/>
        <w:snapToGrid w:val="0"/>
        <w:ind w:left="840" w:leftChars="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联合体各方不得再以自己名义单独或参加其他联合体在本采购项目中应答，否则各相关应答均无效。</w:t>
      </w:r>
    </w:p>
    <w:p>
      <w:pPr>
        <w:pStyle w:val="10"/>
        <w:overflowPunct w:val="0"/>
        <w:spacing w:before="240" w:after="120"/>
        <w:rPr>
          <w:rFonts w:ascii="宋体" w:hAnsi="宋体" w:eastAsia="宋体"/>
          <w:highlight w:val="none"/>
        </w:rPr>
      </w:pPr>
      <w:r>
        <w:rPr>
          <w:rFonts w:ascii="宋体" w:hAnsi="宋体" w:eastAsia="宋体"/>
          <w:highlight w:val="none"/>
        </w:rPr>
        <w:t>文件的获取</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采购文件售价</w:t>
      </w:r>
    </w:p>
    <w:p>
      <w:pPr>
        <w:pStyle w:val="15"/>
        <w:rPr>
          <w:rFonts w:ascii="宋体" w:hAnsi="宋体" w:eastAsia="宋体"/>
          <w:highlight w:val="none"/>
        </w:rPr>
      </w:pPr>
      <w:r>
        <w:rPr>
          <w:rFonts w:hint="eastAsia" w:ascii="宋体" w:hAnsi="宋体" w:eastAsia="宋体"/>
          <w:highlight w:val="none"/>
        </w:rPr>
        <w:t>每套采购文件售价人民币</w:t>
      </w:r>
      <w:r>
        <w:rPr>
          <w:rFonts w:hint="eastAsia" w:ascii="宋体" w:hAnsi="宋体" w:eastAsia="宋体"/>
          <w:highlight w:val="none"/>
          <w:u w:val="single"/>
          <w:lang w:val="en-US" w:eastAsia="zh-CN"/>
        </w:rPr>
        <w:t>200</w:t>
      </w:r>
      <w:r>
        <w:rPr>
          <w:rFonts w:ascii="宋体" w:hAnsi="宋体" w:eastAsia="宋体"/>
          <w:highlight w:val="none"/>
        </w:rPr>
        <w:t>元整，售后款项不予退还。</w:t>
      </w:r>
    </w:p>
    <w:p>
      <w:pPr>
        <w:pStyle w:val="15"/>
        <w:rPr>
          <w:rFonts w:hint="default" w:ascii="宋体" w:hAnsi="宋体" w:eastAsia="宋体"/>
          <w:highlight w:val="none"/>
          <w:lang w:val="en-US" w:eastAsia="zh-CN"/>
        </w:rPr>
      </w:pPr>
      <w:r>
        <w:rPr>
          <w:rFonts w:hint="eastAsia" w:ascii="宋体" w:hAnsi="宋体" w:eastAsia="宋体"/>
          <w:highlight w:val="none"/>
        </w:rPr>
        <w:t>采购单位收款银行名称：</w:t>
      </w:r>
      <w:r>
        <w:rPr>
          <w:rFonts w:hint="eastAsia" w:ascii="宋体" w:hAnsi="宋体" w:eastAsia="宋体"/>
          <w:highlight w:val="none"/>
          <w:u w:val="single"/>
          <w:lang w:val="en-US" w:eastAsia="zh-CN"/>
        </w:rPr>
        <w:t>中核二十五建设有限公司</w:t>
      </w:r>
    </w:p>
    <w:p>
      <w:pPr>
        <w:pStyle w:val="15"/>
        <w:rPr>
          <w:rFonts w:hint="eastAsia" w:ascii="宋体" w:hAnsi="宋体" w:eastAsia="宋体"/>
          <w:highlight w:val="none"/>
          <w:lang w:val="en-US" w:eastAsia="zh-CN"/>
        </w:rPr>
      </w:pPr>
      <w:r>
        <w:rPr>
          <w:rFonts w:hint="eastAsia" w:ascii="宋体" w:hAnsi="宋体" w:eastAsia="宋体"/>
          <w:highlight w:val="none"/>
          <w:lang w:val="en-US" w:eastAsia="zh-CN"/>
        </w:rPr>
        <w:t>开 户 行：</w:t>
      </w:r>
      <w:r>
        <w:rPr>
          <w:rFonts w:hint="eastAsia" w:ascii="宋体" w:hAnsi="宋体" w:eastAsia="宋体"/>
          <w:highlight w:val="none"/>
          <w:u w:val="single"/>
          <w:lang w:val="en-US" w:eastAsia="zh-CN"/>
        </w:rPr>
        <w:t>长沙银行股份有限公司鑫泰支行</w:t>
      </w:r>
    </w:p>
    <w:p>
      <w:pPr>
        <w:pStyle w:val="15"/>
        <w:rPr>
          <w:rFonts w:hint="eastAsia" w:ascii="宋体" w:hAnsi="宋体" w:eastAsia="宋体"/>
          <w:highlight w:val="none"/>
          <w:u w:val="single"/>
        </w:rPr>
      </w:pPr>
      <w:r>
        <w:rPr>
          <w:rFonts w:hint="eastAsia" w:ascii="宋体" w:hAnsi="宋体" w:eastAsia="宋体"/>
          <w:highlight w:val="none"/>
          <w:lang w:val="en-US" w:eastAsia="zh-CN"/>
        </w:rPr>
        <w:t>收款帐号：</w:t>
      </w:r>
      <w:r>
        <w:rPr>
          <w:rFonts w:hint="eastAsia" w:ascii="宋体" w:hAnsi="宋体" w:eastAsia="宋体"/>
          <w:highlight w:val="none"/>
          <w:u w:val="single"/>
          <w:lang w:val="en-US" w:eastAsia="zh-CN"/>
        </w:rPr>
        <w:t>8100 0036 0195 0000 04</w:t>
      </w:r>
    </w:p>
    <w:p>
      <w:pPr>
        <w:pStyle w:val="15"/>
        <w:rPr>
          <w:rFonts w:ascii="宋体" w:hAnsi="宋体" w:eastAsia="宋体"/>
          <w:b/>
          <w:highlight w:val="none"/>
        </w:rPr>
      </w:pPr>
      <w:r>
        <w:rPr>
          <w:rFonts w:hint="eastAsia" w:ascii="宋体" w:hAnsi="宋体" w:eastAsia="宋体"/>
          <w:highlight w:val="none"/>
        </w:rPr>
        <w:t>应答供应商须在汇款单上注</w:t>
      </w:r>
      <w:r>
        <w:rPr>
          <w:rFonts w:hint="eastAsia" w:ascii="宋体" w:hAnsi="宋体" w:eastAsia="宋体"/>
          <w:highlight w:val="none"/>
          <w:u w:val="none"/>
        </w:rPr>
        <w:t>明</w:t>
      </w:r>
      <w:r>
        <w:rPr>
          <w:rFonts w:hint="eastAsia" w:ascii="宋体" w:hAnsi="宋体" w:eastAsia="宋体" w:cs="宋体"/>
          <w:color w:val="auto"/>
          <w:highlight w:val="none"/>
          <w:u w:val="single"/>
          <w:lang w:val="en-US" w:eastAsia="zh-CN"/>
        </w:rPr>
        <w:t>XX项目XX采购任务标书费</w:t>
      </w:r>
      <w:r>
        <w:rPr>
          <w:rFonts w:hint="eastAsia" w:ascii="宋体" w:hAnsi="宋体" w:eastAsia="宋体"/>
          <w:highlight w:val="none"/>
        </w:rPr>
        <w:t>。</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发售时间</w:t>
      </w:r>
    </w:p>
    <w:p>
      <w:pPr>
        <w:pStyle w:val="15"/>
        <w:rPr>
          <w:rFonts w:hint="eastAsia" w:ascii="宋体" w:hAnsi="宋体" w:eastAsia="宋体"/>
          <w:highlight w:val="none"/>
          <w:lang w:eastAsia="zh-CN"/>
        </w:rPr>
      </w:pPr>
      <w:r>
        <w:rPr>
          <w:rFonts w:ascii="宋体" w:hAnsi="宋体" w:eastAsia="宋体"/>
          <w:highlight w:val="none"/>
        </w:rPr>
        <w:t>北京时间</w:t>
      </w:r>
      <w:r>
        <w:rPr>
          <w:rFonts w:hint="eastAsia" w:ascii="宋体" w:hAnsi="宋体" w:eastAsia="宋体"/>
          <w:highlight w:val="none"/>
        </w:rPr>
        <w:t>：</w:t>
      </w:r>
      <w:r>
        <w:rPr>
          <w:rFonts w:ascii="宋体" w:hAnsi="宋体" w:eastAsia="宋体"/>
          <w:highlight w:val="none"/>
          <w:u w:val="single"/>
        </w:rPr>
        <w:t>2025年</w:t>
      </w:r>
      <w:r>
        <w:rPr>
          <w:rFonts w:hint="eastAsia" w:ascii="宋体" w:hAnsi="宋体" w:eastAsia="宋体"/>
          <w:highlight w:val="none"/>
          <w:u w:val="single"/>
          <w:lang w:val="en-US" w:eastAsia="zh-CN"/>
        </w:rPr>
        <w:t>3</w:t>
      </w:r>
      <w:r>
        <w:rPr>
          <w:rFonts w:ascii="宋体" w:hAnsi="宋体" w:eastAsia="宋体"/>
          <w:highlight w:val="none"/>
          <w:u w:val="single"/>
        </w:rPr>
        <w:t>月</w:t>
      </w:r>
      <w:r>
        <w:rPr>
          <w:rFonts w:hint="eastAsia" w:ascii="宋体" w:hAnsi="宋体" w:eastAsia="宋体"/>
          <w:highlight w:val="none"/>
          <w:u w:val="single"/>
          <w:lang w:val="en-US" w:eastAsia="zh-CN"/>
        </w:rPr>
        <w:t>2</w:t>
      </w:r>
      <w:r>
        <w:rPr>
          <w:rFonts w:hint="default" w:ascii="宋体" w:hAnsi="宋体" w:eastAsia="宋体"/>
          <w:highlight w:val="none"/>
          <w:u w:val="single"/>
          <w:lang w:val="en-US" w:eastAsia="zh-CN"/>
        </w:rPr>
        <w:t>6</w:t>
      </w:r>
      <w:r>
        <w:rPr>
          <w:rFonts w:ascii="宋体" w:hAnsi="宋体" w:eastAsia="宋体"/>
          <w:highlight w:val="none"/>
          <w:u w:val="single"/>
        </w:rPr>
        <w:t>日1</w:t>
      </w:r>
      <w:r>
        <w:rPr>
          <w:rFonts w:hint="eastAsia" w:ascii="宋体" w:hAnsi="宋体" w:eastAsia="宋体"/>
          <w:highlight w:val="none"/>
          <w:u w:val="single"/>
          <w:lang w:val="en-US" w:eastAsia="zh-CN"/>
        </w:rPr>
        <w:t>4</w:t>
      </w:r>
      <w:r>
        <w:rPr>
          <w:rFonts w:ascii="宋体" w:hAnsi="宋体" w:eastAsia="宋体"/>
          <w:highlight w:val="none"/>
          <w:u w:val="single"/>
        </w:rPr>
        <w:t>:00</w:t>
      </w:r>
      <w:r>
        <w:rPr>
          <w:rFonts w:hint="eastAsia" w:ascii="宋体" w:hAnsi="宋体" w:eastAsia="宋体"/>
          <w:highlight w:val="none"/>
          <w:u w:val="single"/>
          <w:lang w:eastAsia="zh-CN"/>
        </w:rPr>
        <w:t>（</w:t>
      </w:r>
      <w:r>
        <w:rPr>
          <w:rFonts w:hint="eastAsia" w:ascii="宋体" w:hAnsi="宋体" w:eastAsia="宋体"/>
          <w:highlight w:val="none"/>
          <w:u w:val="single"/>
          <w:lang w:val="en-US" w:eastAsia="zh-CN"/>
        </w:rPr>
        <w:t>具体以电子采购平台发布时间为准</w:t>
      </w:r>
      <w:r>
        <w:rPr>
          <w:rFonts w:hint="eastAsia" w:ascii="宋体" w:hAnsi="宋体" w:eastAsia="宋体"/>
          <w:highlight w:val="none"/>
          <w:u w:val="single"/>
          <w:lang w:eastAsia="zh-CN"/>
        </w:rPr>
        <w:t>）。</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采购文件发售方式</w:t>
      </w:r>
    </w:p>
    <w:p>
      <w:pPr>
        <w:pStyle w:val="15"/>
        <w:rPr>
          <w:rFonts w:ascii="宋体" w:hAnsi="宋体" w:eastAsia="宋体"/>
          <w:highlight w:val="none"/>
        </w:rPr>
      </w:pPr>
      <w:r>
        <w:rPr>
          <w:rFonts w:hint="eastAsia" w:ascii="宋体" w:hAnsi="宋体" w:eastAsia="宋体"/>
          <w:highlight w:val="none"/>
        </w:rPr>
        <w:t>电子版采购文件将在中国核工业集团电子采购平台（</w:t>
      </w:r>
      <w:r>
        <w:rPr>
          <w:rFonts w:ascii="宋体" w:hAnsi="宋体" w:eastAsia="宋体"/>
          <w:highlight w:val="none"/>
        </w:rPr>
        <w:t>https://www.cnncecp.com</w:t>
      </w:r>
      <w:r>
        <w:rPr>
          <w:rFonts w:hint="eastAsia" w:ascii="宋体" w:hAnsi="宋体" w:eastAsia="宋体"/>
          <w:highlight w:val="none"/>
        </w:rPr>
        <w:t>）进行发布。供应商已注册为中国核工业集团电子采购平台会员的，可直接登录报名；其他有意向的供应商请于采购文件发售截止时间前完成在中国核工业集团电子采购平台（</w:t>
      </w:r>
      <w:r>
        <w:rPr>
          <w:rFonts w:ascii="宋体" w:hAnsi="宋体" w:eastAsia="宋体"/>
          <w:highlight w:val="none"/>
        </w:rPr>
        <w:t>https://www.cnncecp.com</w:t>
      </w:r>
      <w:r>
        <w:rPr>
          <w:rFonts w:hint="eastAsia" w:ascii="宋体" w:hAnsi="宋体" w:eastAsia="宋体"/>
          <w:highlight w:val="none"/>
        </w:rPr>
        <w:t>）在线注册，交纳相关费用及应答保密承诺函的签署盖章（格式见主页服务中心），</w:t>
      </w:r>
      <w:r>
        <w:rPr>
          <w:rFonts w:hint="eastAsia" w:ascii="宋体" w:hAnsi="宋体" w:eastAsia="宋体"/>
          <w:highlight w:val="yellow"/>
        </w:rPr>
        <w:t>点击报名前需上传标书款汇款回执单、保密承诺函、营业执照（以上三个文件需连续扫描为一个</w:t>
      </w:r>
      <w:r>
        <w:rPr>
          <w:rFonts w:ascii="宋体" w:hAnsi="宋体" w:eastAsia="宋体"/>
          <w:highlight w:val="yellow"/>
        </w:rPr>
        <w:t>PDF</w:t>
      </w:r>
      <w:r>
        <w:rPr>
          <w:rFonts w:hint="eastAsia" w:ascii="宋体" w:hAnsi="宋体" w:eastAsia="宋体"/>
          <w:highlight w:val="yellow"/>
        </w:rPr>
        <w:t>文件后上传）</w:t>
      </w:r>
      <w:r>
        <w:rPr>
          <w:rFonts w:hint="eastAsia" w:ascii="宋体" w:hAnsi="宋体" w:eastAsia="宋体"/>
          <w:highlight w:val="none"/>
        </w:rPr>
        <w:t>，报名文件经</w:t>
      </w:r>
      <w:r>
        <w:rPr>
          <w:rFonts w:hint="eastAsia" w:ascii="宋体" w:hAnsi="宋体" w:eastAsia="宋体"/>
          <w:highlight w:val="none"/>
          <w:lang w:eastAsia="zh-CN"/>
        </w:rPr>
        <w:t>采购单位</w:t>
      </w:r>
      <w:r>
        <w:rPr>
          <w:rFonts w:hint="eastAsia" w:ascii="宋体" w:hAnsi="宋体" w:eastAsia="宋体"/>
          <w:highlight w:val="none"/>
        </w:rPr>
        <w:t>/采购代理机构（如有）审核后方可下载采购文件。中国核工业集团电子采购平台将在发售期结束后自动关闭报名入口，未能按时完成报名、购买采购文件相关工作的供应商不得参与项目应答。</w:t>
      </w:r>
    </w:p>
    <w:p>
      <w:pPr>
        <w:pStyle w:val="15"/>
        <w:rPr>
          <w:rFonts w:ascii="宋体" w:hAnsi="宋体" w:eastAsia="宋体"/>
          <w:highlight w:val="none"/>
        </w:rPr>
      </w:pPr>
      <w:r>
        <w:rPr>
          <w:rFonts w:hint="eastAsia" w:ascii="宋体" w:hAnsi="宋体" w:eastAsia="宋体"/>
          <w:highlight w:val="none"/>
        </w:rPr>
        <w:t>因供应商未能按上述要求包括但不限于上传错误的缴费凭证、提交的报名文件不符合要求，造成无法报名、报名错误等情况的，供应商须自行承担责任。</w:t>
      </w:r>
    </w:p>
    <w:p>
      <w:pPr>
        <w:pStyle w:val="12"/>
        <w:overflowPunct w:val="0"/>
        <w:spacing w:before="120" w:after="120"/>
        <w:ind w:firstLine="210"/>
        <w:rPr>
          <w:rFonts w:ascii="宋体" w:hAnsi="宋体" w:eastAsia="宋体"/>
          <w:highlight w:val="none"/>
        </w:rPr>
      </w:pPr>
      <w:r>
        <w:rPr>
          <w:rFonts w:hint="eastAsia" w:ascii="宋体" w:hAnsi="宋体" w:eastAsia="宋体"/>
          <w:highlight w:val="none"/>
        </w:rPr>
        <w:t>其他事项说明</w:t>
      </w:r>
    </w:p>
    <w:p>
      <w:pPr>
        <w:pStyle w:val="15"/>
        <w:rPr>
          <w:rFonts w:ascii="宋体" w:hAnsi="宋体" w:eastAsia="宋体"/>
          <w:highlight w:val="none"/>
        </w:rPr>
      </w:pPr>
      <w:r>
        <w:rPr>
          <w:rFonts w:ascii="宋体" w:hAnsi="宋体" w:eastAsia="宋体"/>
          <w:highlight w:val="none"/>
        </w:rPr>
        <w:t>未购买本项目</w:t>
      </w:r>
      <w:r>
        <w:rPr>
          <w:rFonts w:hint="eastAsia" w:ascii="宋体" w:hAnsi="宋体" w:eastAsia="宋体"/>
          <w:highlight w:val="none"/>
        </w:rPr>
        <w:t>采购</w:t>
      </w:r>
      <w:r>
        <w:rPr>
          <w:rFonts w:ascii="宋体" w:hAnsi="宋体" w:eastAsia="宋体"/>
          <w:highlight w:val="none"/>
        </w:rPr>
        <w:t>文件的，其</w:t>
      </w:r>
      <w:r>
        <w:rPr>
          <w:rFonts w:hint="eastAsia" w:ascii="宋体" w:hAnsi="宋体" w:eastAsia="宋体"/>
          <w:highlight w:val="none"/>
        </w:rPr>
        <w:t>应答</w:t>
      </w:r>
      <w:r>
        <w:rPr>
          <w:rFonts w:ascii="宋体" w:hAnsi="宋体" w:eastAsia="宋体"/>
          <w:highlight w:val="none"/>
        </w:rPr>
        <w:t>将被拒绝，有文件证明下列情形的除外：</w:t>
      </w:r>
    </w:p>
    <w:p>
      <w:pPr>
        <w:pStyle w:val="16"/>
        <w:numPr>
          <w:ilvl w:val="0"/>
          <w:numId w:val="0"/>
        </w:numPr>
        <w:wordWrap/>
        <w:snapToGrid w:val="0"/>
        <w:ind w:firstLine="420" w:firstLineChars="200"/>
        <w:rPr>
          <w:rFonts w:ascii="宋体" w:hAnsi="宋体" w:eastAsia="宋体"/>
          <w:highlight w:val="none"/>
        </w:rPr>
      </w:pPr>
      <w:r>
        <w:rPr>
          <w:rFonts w:hint="eastAsia" w:ascii="宋体" w:hAnsi="宋体" w:eastAsia="宋体"/>
          <w:highlight w:val="none"/>
          <w:lang w:eastAsia="zh-CN"/>
        </w:rPr>
        <w:t>（</w:t>
      </w:r>
      <w:r>
        <w:rPr>
          <w:rFonts w:hint="eastAsia" w:ascii="宋体" w:hAnsi="宋体" w:eastAsia="宋体"/>
          <w:highlight w:val="none"/>
          <w:lang w:val="en-US" w:eastAsia="zh-CN"/>
        </w:rPr>
        <w:t>1</w:t>
      </w:r>
      <w:r>
        <w:rPr>
          <w:rFonts w:hint="eastAsia" w:ascii="宋体" w:hAnsi="宋体" w:eastAsia="宋体"/>
          <w:highlight w:val="none"/>
          <w:lang w:eastAsia="zh-CN"/>
        </w:rPr>
        <w:t>）</w:t>
      </w:r>
      <w:r>
        <w:rPr>
          <w:rFonts w:ascii="宋体" w:hAnsi="宋体" w:eastAsia="宋体"/>
          <w:highlight w:val="none"/>
        </w:rPr>
        <w:t>作为</w:t>
      </w:r>
      <w:r>
        <w:rPr>
          <w:rFonts w:hint="eastAsia" w:ascii="宋体" w:hAnsi="宋体" w:eastAsia="宋体"/>
          <w:highlight w:val="none"/>
        </w:rPr>
        <w:t>应答供应商</w:t>
      </w:r>
      <w:r>
        <w:rPr>
          <w:rFonts w:ascii="宋体" w:hAnsi="宋体" w:eastAsia="宋体"/>
          <w:highlight w:val="none"/>
        </w:rPr>
        <w:t>的办事处或分公司代为购买</w:t>
      </w:r>
      <w:r>
        <w:rPr>
          <w:rFonts w:hint="eastAsia" w:ascii="宋体" w:hAnsi="宋体" w:eastAsia="宋体"/>
          <w:highlight w:val="none"/>
        </w:rPr>
        <w:t>采购文件</w:t>
      </w:r>
      <w:r>
        <w:rPr>
          <w:rFonts w:ascii="宋体" w:hAnsi="宋体" w:eastAsia="宋体"/>
          <w:highlight w:val="none"/>
        </w:rPr>
        <w:t>的；</w:t>
      </w:r>
    </w:p>
    <w:p>
      <w:pPr>
        <w:pStyle w:val="16"/>
        <w:numPr>
          <w:ilvl w:val="0"/>
          <w:numId w:val="0"/>
        </w:numPr>
        <w:wordWrap/>
        <w:snapToGrid w:val="0"/>
        <w:ind w:firstLine="420" w:firstLineChars="200"/>
        <w:rPr>
          <w:rFonts w:ascii="宋体" w:hAnsi="宋体" w:eastAsia="宋体"/>
          <w:highlight w:val="none"/>
        </w:rPr>
      </w:pPr>
      <w:r>
        <w:rPr>
          <w:rFonts w:hint="eastAsia" w:ascii="宋体" w:hAnsi="宋体" w:eastAsia="宋体"/>
          <w:highlight w:val="none"/>
          <w:lang w:eastAsia="zh-CN"/>
        </w:rPr>
        <w:t>（</w:t>
      </w:r>
      <w:r>
        <w:rPr>
          <w:rFonts w:hint="eastAsia" w:ascii="宋体" w:hAnsi="宋体" w:eastAsia="宋体"/>
          <w:highlight w:val="none"/>
          <w:lang w:val="en-US" w:eastAsia="zh-CN"/>
        </w:rPr>
        <w:t>2</w:t>
      </w:r>
      <w:r>
        <w:rPr>
          <w:rFonts w:hint="eastAsia" w:ascii="宋体" w:hAnsi="宋体" w:eastAsia="宋体"/>
          <w:highlight w:val="none"/>
          <w:lang w:eastAsia="zh-CN"/>
        </w:rPr>
        <w:t>）</w:t>
      </w:r>
      <w:r>
        <w:rPr>
          <w:rFonts w:ascii="宋体" w:hAnsi="宋体" w:eastAsia="宋体"/>
          <w:highlight w:val="none"/>
        </w:rPr>
        <w:t>购买</w:t>
      </w:r>
      <w:r>
        <w:rPr>
          <w:rFonts w:hint="eastAsia" w:ascii="宋体" w:hAnsi="宋体" w:eastAsia="宋体"/>
          <w:highlight w:val="none"/>
        </w:rPr>
        <w:t>采购文件</w:t>
      </w:r>
      <w:r>
        <w:rPr>
          <w:rFonts w:ascii="宋体" w:hAnsi="宋体" w:eastAsia="宋体"/>
          <w:highlight w:val="none"/>
        </w:rPr>
        <w:t>的厂家在</w:t>
      </w:r>
      <w:r>
        <w:rPr>
          <w:rFonts w:hint="eastAsia" w:ascii="宋体" w:hAnsi="宋体" w:eastAsia="宋体"/>
          <w:highlight w:val="none"/>
        </w:rPr>
        <w:t>应答</w:t>
      </w:r>
      <w:r>
        <w:rPr>
          <w:rFonts w:ascii="宋体" w:hAnsi="宋体" w:eastAsia="宋体"/>
          <w:highlight w:val="none"/>
        </w:rPr>
        <w:t>截止前因兼并、重组上市等原因导致公司名称变化的</w:t>
      </w:r>
      <w:r>
        <w:rPr>
          <w:rFonts w:hint="eastAsia" w:ascii="宋体" w:hAnsi="宋体" w:eastAsia="宋体"/>
          <w:highlight w:val="none"/>
        </w:rPr>
        <w:t>。</w:t>
      </w:r>
    </w:p>
    <w:p>
      <w:pPr>
        <w:pStyle w:val="10"/>
        <w:overflowPunct w:val="0"/>
        <w:spacing w:before="240" w:after="120"/>
        <w:rPr>
          <w:rFonts w:ascii="宋体" w:hAnsi="宋体" w:eastAsia="宋体"/>
          <w:highlight w:val="none"/>
        </w:rPr>
      </w:pPr>
      <w:r>
        <w:rPr>
          <w:rFonts w:hint="eastAsia" w:ascii="宋体" w:hAnsi="宋体" w:eastAsia="宋体"/>
          <w:highlight w:val="none"/>
        </w:rPr>
        <w:t>应答文件的递交</w:t>
      </w:r>
    </w:p>
    <w:p>
      <w:pPr>
        <w:pStyle w:val="15"/>
        <w:rPr>
          <w:rFonts w:ascii="宋体" w:hAnsi="宋体" w:eastAsia="宋体"/>
          <w:highlight w:val="none"/>
        </w:rPr>
      </w:pPr>
      <w:bookmarkStart w:id="9" w:name="_Hlk72919428"/>
      <w:r>
        <w:rPr>
          <w:rFonts w:hint="eastAsia" w:ascii="宋体" w:hAnsi="宋体" w:eastAsia="宋体"/>
          <w:highlight w:val="none"/>
        </w:rPr>
        <w:t>递交应答文件方式：中国核工业集团电子采购平台网络递交电子版应答文件（同时须在平台上进行报价，如有多轮报价须多次提交报价文件）及线下递交纸质版应答文件（如有）。</w:t>
      </w:r>
    </w:p>
    <w:p>
      <w:pPr>
        <w:pStyle w:val="15"/>
        <w:rPr>
          <w:rFonts w:ascii="宋体" w:hAnsi="宋体" w:eastAsia="宋体"/>
          <w:highlight w:val="none"/>
        </w:rPr>
      </w:pPr>
      <w:r>
        <w:rPr>
          <w:rFonts w:hint="eastAsia" w:ascii="宋体" w:hAnsi="宋体" w:eastAsia="宋体"/>
          <w:highlight w:val="none"/>
        </w:rPr>
        <w:t>递交应答文件地点：</w:t>
      </w:r>
      <w:r>
        <w:rPr>
          <w:rFonts w:hint="eastAsia" w:ascii="宋体" w:hAnsi="宋体" w:eastAsia="宋体"/>
          <w:highlight w:val="none"/>
          <w:u w:val="single"/>
        </w:rPr>
        <w:t>长沙市开福区文创路6号马栏山创意中心B栋1501-1515</w:t>
      </w:r>
    </w:p>
    <w:p>
      <w:pPr>
        <w:pStyle w:val="15"/>
        <w:rPr>
          <w:rFonts w:ascii="宋体" w:hAnsi="宋体" w:eastAsia="宋体"/>
          <w:highlight w:val="none"/>
        </w:rPr>
      </w:pPr>
      <w:r>
        <w:rPr>
          <w:rFonts w:hint="eastAsia" w:ascii="宋体" w:hAnsi="宋体" w:eastAsia="宋体"/>
          <w:highlight w:val="none"/>
        </w:rPr>
        <w:t>递交应答文件截止时间（应答截止时间）：</w:t>
      </w:r>
      <w:r>
        <w:rPr>
          <w:rFonts w:ascii="宋体" w:hAnsi="宋体" w:eastAsia="宋体"/>
          <w:highlight w:val="none"/>
          <w:u w:val="single"/>
        </w:rPr>
        <w:t>2025年</w:t>
      </w:r>
      <w:r>
        <w:rPr>
          <w:rFonts w:hint="eastAsia" w:ascii="宋体" w:hAnsi="宋体" w:eastAsia="宋体"/>
          <w:highlight w:val="none"/>
          <w:u w:val="single"/>
          <w:lang w:val="en-US" w:eastAsia="zh-CN"/>
        </w:rPr>
        <w:t>4</w:t>
      </w:r>
      <w:r>
        <w:rPr>
          <w:rFonts w:ascii="宋体" w:hAnsi="宋体" w:eastAsia="宋体"/>
          <w:highlight w:val="none"/>
          <w:u w:val="single"/>
        </w:rPr>
        <w:t>月</w:t>
      </w:r>
      <w:r>
        <w:rPr>
          <w:rFonts w:hint="default" w:ascii="宋体" w:hAnsi="宋体" w:eastAsia="宋体"/>
          <w:highlight w:val="none"/>
          <w:u w:val="single"/>
          <w:lang w:val="en-US" w:eastAsia="zh-CN"/>
        </w:rPr>
        <w:t>2</w:t>
      </w:r>
      <w:r>
        <w:rPr>
          <w:rFonts w:ascii="宋体" w:hAnsi="宋体" w:eastAsia="宋体"/>
          <w:highlight w:val="none"/>
          <w:u w:val="single"/>
        </w:rPr>
        <w:t>日14：00</w:t>
      </w:r>
      <w:r>
        <w:rPr>
          <w:rFonts w:hint="eastAsia" w:ascii="宋体" w:hAnsi="宋体" w:eastAsia="宋体"/>
          <w:highlight w:val="none"/>
          <w:u w:val="single"/>
          <w:lang w:eastAsia="zh-CN"/>
        </w:rPr>
        <w:t>（</w:t>
      </w:r>
      <w:r>
        <w:rPr>
          <w:rFonts w:hint="eastAsia" w:ascii="宋体" w:hAnsi="宋体" w:eastAsia="宋体"/>
          <w:highlight w:val="none"/>
          <w:u w:val="single"/>
          <w:lang w:val="en-US" w:eastAsia="zh-CN"/>
        </w:rPr>
        <w:t>具体以电子采购平台发布时间为准</w:t>
      </w:r>
      <w:r>
        <w:rPr>
          <w:rFonts w:hint="eastAsia" w:ascii="宋体" w:hAnsi="宋体" w:eastAsia="宋体"/>
          <w:highlight w:val="none"/>
          <w:u w:val="single"/>
          <w:lang w:eastAsia="zh-CN"/>
        </w:rPr>
        <w:t>）。</w:t>
      </w:r>
    </w:p>
    <w:p>
      <w:pPr>
        <w:pStyle w:val="15"/>
        <w:rPr>
          <w:rFonts w:ascii="宋体" w:hAnsi="宋体" w:eastAsia="宋体"/>
          <w:highlight w:val="none"/>
        </w:rPr>
      </w:pPr>
      <w:r>
        <w:rPr>
          <w:rFonts w:hint="eastAsia" w:ascii="宋体" w:hAnsi="宋体" w:eastAsia="宋体"/>
          <w:highlight w:val="none"/>
        </w:rPr>
        <w:t>应答文件应按采购文件规定时间、地点递交，逾期送达的、未送达指定地点的或者不按照采购文件要求密封的应答文件，采购单位将予以拒收</w:t>
      </w:r>
      <w:bookmarkEnd w:id="9"/>
      <w:r>
        <w:rPr>
          <w:rFonts w:hint="eastAsia" w:ascii="宋体" w:hAnsi="宋体" w:eastAsia="宋体"/>
          <w:highlight w:val="none"/>
        </w:rPr>
        <w:t>。</w:t>
      </w:r>
    </w:p>
    <w:p>
      <w:pPr>
        <w:pStyle w:val="10"/>
        <w:keepNext w:val="0"/>
        <w:keepLines w:val="0"/>
        <w:pageBreakBefore w:val="0"/>
        <w:kinsoku/>
        <w:overflowPunct w:val="0"/>
        <w:topLinePunct w:val="0"/>
        <w:autoSpaceDE/>
        <w:autoSpaceDN/>
        <w:bidi w:val="0"/>
        <w:snapToGrid/>
        <w:spacing w:before="0" w:beforeLines="0" w:after="0" w:afterLines="0" w:line="360" w:lineRule="auto"/>
        <w:jc w:val="left"/>
        <w:textAlignment w:val="auto"/>
        <w:rPr>
          <w:rFonts w:ascii="宋体" w:hAnsi="宋体" w:eastAsia="宋体"/>
          <w:highlight w:val="none"/>
        </w:rPr>
      </w:pPr>
      <w:r>
        <w:rPr>
          <w:rFonts w:hint="eastAsia" w:ascii="宋体" w:hAnsi="宋体" w:eastAsia="宋体"/>
          <w:highlight w:val="none"/>
        </w:rPr>
        <w:t>应答文件开启时间和地点</w:t>
      </w:r>
    </w:p>
    <w:p>
      <w:pPr>
        <w:pStyle w:val="15"/>
        <w:keepNext w:val="0"/>
        <w:keepLines w:val="0"/>
        <w:pageBreakBefore w:val="0"/>
        <w:kinsoku/>
        <w:overflowPunct w:val="0"/>
        <w:topLinePunct w:val="0"/>
        <w:autoSpaceDE/>
        <w:autoSpaceDN/>
        <w:bidi w:val="0"/>
        <w:snapToGrid/>
        <w:spacing w:line="360" w:lineRule="auto"/>
        <w:jc w:val="left"/>
        <w:textAlignment w:val="auto"/>
        <w:rPr>
          <w:rFonts w:ascii="宋体" w:hAnsi="宋体" w:eastAsia="宋体"/>
          <w:highlight w:val="none"/>
        </w:rPr>
      </w:pPr>
      <w:bookmarkStart w:id="10" w:name="_Hlk41308617"/>
      <w:r>
        <w:rPr>
          <w:rFonts w:hint="eastAsia" w:ascii="宋体" w:hAnsi="宋体" w:eastAsia="宋体"/>
          <w:highlight w:val="none"/>
          <w:lang w:eastAsia="zh-CN"/>
        </w:rPr>
        <w:t>采购单位</w:t>
      </w:r>
      <w:r>
        <w:rPr>
          <w:rFonts w:hint="eastAsia" w:ascii="宋体" w:hAnsi="宋体" w:eastAsia="宋体"/>
          <w:highlight w:val="none"/>
        </w:rPr>
        <w:t>在本项目提交应答文件截止时间</w:t>
      </w:r>
      <w:r>
        <w:rPr>
          <w:rFonts w:hint="eastAsia" w:ascii="宋体" w:hAnsi="宋体" w:eastAsia="宋体"/>
          <w:highlight w:val="none"/>
          <w:u w:val="single"/>
          <w:lang w:val="en-US" w:eastAsia="zh-CN"/>
        </w:rPr>
        <w:t>不公开</w:t>
      </w:r>
      <w:r>
        <w:rPr>
          <w:rFonts w:hint="eastAsia" w:ascii="宋体" w:hAnsi="宋体" w:eastAsia="宋体"/>
          <w:highlight w:val="none"/>
        </w:rPr>
        <w:t>开启应答文件，地点为应答文件递交地点。</w:t>
      </w:r>
      <w:bookmarkEnd w:id="10"/>
    </w:p>
    <w:p>
      <w:pPr>
        <w:pStyle w:val="10"/>
        <w:keepNext w:val="0"/>
        <w:keepLines w:val="0"/>
        <w:pageBreakBefore w:val="0"/>
        <w:kinsoku/>
        <w:overflowPunct w:val="0"/>
        <w:topLinePunct w:val="0"/>
        <w:autoSpaceDE/>
        <w:autoSpaceDN/>
        <w:bidi w:val="0"/>
        <w:snapToGrid/>
        <w:spacing w:before="0" w:beforeLines="0" w:after="0" w:afterLines="0" w:line="360" w:lineRule="auto"/>
        <w:jc w:val="left"/>
        <w:textAlignment w:val="auto"/>
        <w:rPr>
          <w:rFonts w:ascii="宋体" w:hAnsi="宋体" w:eastAsia="宋体"/>
          <w:highlight w:val="none"/>
        </w:rPr>
      </w:pPr>
      <w:r>
        <w:rPr>
          <w:rFonts w:hint="eastAsia" w:ascii="宋体" w:hAnsi="宋体" w:eastAsia="宋体"/>
          <w:highlight w:val="none"/>
        </w:rPr>
        <w:t>发布公告的媒介</w:t>
      </w:r>
    </w:p>
    <w:p>
      <w:pPr>
        <w:pStyle w:val="15"/>
        <w:keepNext w:val="0"/>
        <w:keepLines w:val="0"/>
        <w:pageBreakBefore w:val="0"/>
        <w:kinsoku/>
        <w:overflowPunct w:val="0"/>
        <w:topLinePunct w:val="0"/>
        <w:autoSpaceDE/>
        <w:autoSpaceDN/>
        <w:bidi w:val="0"/>
        <w:snapToGrid/>
        <w:spacing w:line="360" w:lineRule="auto"/>
        <w:jc w:val="left"/>
        <w:textAlignment w:val="auto"/>
        <w:rPr>
          <w:rFonts w:ascii="宋体" w:hAnsi="宋体" w:eastAsia="宋体"/>
          <w:highlight w:val="none"/>
        </w:rPr>
      </w:pPr>
      <w:r>
        <w:rPr>
          <w:rFonts w:hint="eastAsia" w:ascii="宋体" w:hAnsi="宋体" w:eastAsia="宋体"/>
          <w:highlight w:val="none"/>
        </w:rPr>
        <w:t>本次公告在中国核工业集团电子采购平台（https://www.cnncecp.com）上发布。</w:t>
      </w:r>
    </w:p>
    <w:p>
      <w:pPr>
        <w:pStyle w:val="10"/>
        <w:keepNext w:val="0"/>
        <w:keepLines w:val="0"/>
        <w:pageBreakBefore w:val="0"/>
        <w:kinsoku/>
        <w:overflowPunct w:val="0"/>
        <w:topLinePunct w:val="0"/>
        <w:autoSpaceDE/>
        <w:autoSpaceDN/>
        <w:bidi w:val="0"/>
        <w:snapToGrid/>
        <w:spacing w:before="0" w:beforeLines="0" w:after="0" w:afterLines="0" w:line="360" w:lineRule="auto"/>
        <w:jc w:val="left"/>
        <w:textAlignment w:val="auto"/>
        <w:rPr>
          <w:rFonts w:ascii="宋体" w:hAnsi="宋体" w:eastAsia="宋体"/>
          <w:highlight w:val="none"/>
        </w:rPr>
      </w:pPr>
      <w:r>
        <w:rPr>
          <w:rFonts w:hint="eastAsia" w:ascii="宋体" w:hAnsi="宋体" w:eastAsia="宋体"/>
          <w:highlight w:val="none"/>
        </w:rPr>
        <w:t>联系方式</w:t>
      </w:r>
    </w:p>
    <w:p>
      <w:pPr>
        <w:pStyle w:val="15"/>
        <w:rPr>
          <w:rFonts w:ascii="宋体" w:hAnsi="宋体" w:eastAsia="宋体"/>
          <w:highlight w:val="none"/>
          <w:u w:val="single"/>
        </w:rPr>
      </w:pPr>
      <w:r>
        <w:rPr>
          <w:rFonts w:hint="eastAsia" w:ascii="宋体" w:hAnsi="宋体" w:eastAsia="宋体"/>
          <w:highlight w:val="none"/>
        </w:rPr>
        <w:t>采购</w:t>
      </w:r>
      <w:r>
        <w:rPr>
          <w:rFonts w:hint="eastAsia" w:ascii="宋体" w:hAnsi="宋体" w:eastAsia="宋体"/>
          <w:highlight w:val="none"/>
          <w:lang w:val="en-US" w:eastAsia="zh-CN"/>
        </w:rPr>
        <w:t>实施/需求</w:t>
      </w:r>
      <w:r>
        <w:rPr>
          <w:rFonts w:hint="eastAsia" w:ascii="宋体" w:hAnsi="宋体" w:eastAsia="宋体"/>
          <w:highlight w:val="none"/>
        </w:rPr>
        <w:t>单位：</w:t>
      </w:r>
      <w:r>
        <w:rPr>
          <w:rFonts w:hint="eastAsia" w:ascii="宋体" w:hAnsi="宋体" w:eastAsia="宋体"/>
          <w:highlight w:val="none"/>
          <w:u w:val="single"/>
        </w:rPr>
        <w:t>中核二十五建设有限公司</w:t>
      </w:r>
    </w:p>
    <w:p>
      <w:pPr>
        <w:pStyle w:val="15"/>
        <w:rPr>
          <w:rFonts w:hint="default" w:ascii="宋体" w:hAnsi="宋体" w:eastAsia="宋体"/>
          <w:highlight w:val="none"/>
          <w:u w:val="single"/>
          <w:lang w:val="en-US" w:eastAsia="zh-CN"/>
        </w:rPr>
      </w:pPr>
      <w:r>
        <w:rPr>
          <w:rFonts w:hint="eastAsia" w:ascii="宋体" w:hAnsi="宋体" w:eastAsia="宋体"/>
          <w:highlight w:val="none"/>
        </w:rPr>
        <w:t>地址：</w:t>
      </w:r>
      <w:r>
        <w:rPr>
          <w:rFonts w:hint="eastAsia" w:ascii="宋体" w:hAnsi="宋体" w:eastAsia="宋体"/>
          <w:highlight w:val="none"/>
          <w:u w:val="single"/>
        </w:rPr>
        <w:t>长沙市开福区文创路6号马栏山创意中心B栋</w:t>
      </w:r>
      <w:r>
        <w:rPr>
          <w:rFonts w:hint="eastAsia" w:ascii="宋体" w:hAnsi="宋体" w:eastAsia="宋体"/>
          <w:highlight w:val="none"/>
          <w:u w:val="single"/>
          <w:lang w:val="en-US" w:eastAsia="zh-CN"/>
        </w:rPr>
        <w:t>14楼</w:t>
      </w:r>
    </w:p>
    <w:p>
      <w:pPr>
        <w:pStyle w:val="15"/>
        <w:rPr>
          <w:rFonts w:hint="eastAsia" w:ascii="宋体" w:hAnsi="宋体" w:eastAsia="宋体"/>
          <w:highlight w:val="none"/>
          <w:lang w:eastAsia="zh-CN"/>
        </w:rPr>
      </w:pPr>
      <w:r>
        <w:rPr>
          <w:rFonts w:hint="eastAsia" w:ascii="宋体" w:hAnsi="宋体" w:eastAsia="宋体"/>
          <w:highlight w:val="none"/>
        </w:rPr>
        <w:t>联系人：</w:t>
      </w:r>
      <w:r>
        <w:rPr>
          <w:rFonts w:hint="eastAsia" w:ascii="宋体" w:hAnsi="宋体" w:eastAsia="宋体"/>
          <w:highlight w:val="none"/>
          <w:u w:val="single"/>
          <w:lang w:eastAsia="zh-CN"/>
        </w:rPr>
        <w:t>冯亮</w:t>
      </w:r>
    </w:p>
    <w:p>
      <w:pPr>
        <w:pStyle w:val="15"/>
        <w:rPr>
          <w:rFonts w:hint="default" w:ascii="宋体" w:hAnsi="宋体" w:eastAsia="宋体"/>
          <w:highlight w:val="none"/>
          <w:lang w:val="en-US" w:eastAsia="zh-CN"/>
        </w:rPr>
      </w:pPr>
      <w:r>
        <w:rPr>
          <w:rFonts w:hint="eastAsia" w:ascii="宋体" w:hAnsi="宋体" w:eastAsia="宋体"/>
          <w:highlight w:val="none"/>
        </w:rPr>
        <w:t>电话：</w:t>
      </w:r>
      <w:r>
        <w:rPr>
          <w:rFonts w:hint="eastAsia" w:ascii="宋体" w:hAnsi="宋体" w:eastAsia="宋体"/>
          <w:highlight w:val="none"/>
          <w:u w:val="single"/>
          <w:lang w:val="en-US" w:eastAsia="zh-CN"/>
        </w:rPr>
        <w:t>19918666129</w:t>
      </w:r>
    </w:p>
    <w:p>
      <w:pPr>
        <w:pStyle w:val="15"/>
        <w:rPr>
          <w:rFonts w:hint="eastAsia" w:ascii="宋体" w:hAnsi="宋体" w:eastAsia="宋体"/>
          <w:highlight w:val="none"/>
        </w:rPr>
      </w:pPr>
      <w:r>
        <w:rPr>
          <w:rFonts w:hint="eastAsia" w:ascii="宋体" w:hAnsi="宋体" w:eastAsia="宋体"/>
          <w:highlight w:val="none"/>
        </w:rPr>
        <w:t>电子邮件：</w:t>
      </w:r>
      <w:r>
        <w:rPr>
          <w:rFonts w:hint="eastAsia" w:ascii="宋体" w:hAnsi="宋体" w:eastAsia="宋体"/>
          <w:highlight w:val="none"/>
          <w:u w:val="single"/>
        </w:rPr>
        <w:t>zh25gh@cnecc.com</w:t>
      </w:r>
    </w:p>
    <w:p>
      <w:pPr>
        <w:pStyle w:val="10"/>
        <w:keepNext w:val="0"/>
        <w:keepLines w:val="0"/>
        <w:pageBreakBefore w:val="0"/>
        <w:kinsoku/>
        <w:overflowPunct w:val="0"/>
        <w:topLinePunct w:val="0"/>
        <w:autoSpaceDE/>
        <w:autoSpaceDN/>
        <w:bidi w:val="0"/>
        <w:adjustRightInd/>
        <w:snapToGrid/>
        <w:spacing w:before="0" w:beforeLines="0" w:after="0" w:afterLines="0" w:line="360" w:lineRule="auto"/>
        <w:jc w:val="left"/>
        <w:textAlignment w:val="auto"/>
        <w:rPr>
          <w:rFonts w:ascii="宋体" w:hAnsi="宋体" w:eastAsia="宋体"/>
          <w:highlight w:val="none"/>
        </w:rPr>
      </w:pPr>
      <w:r>
        <w:rPr>
          <w:rFonts w:hint="eastAsia" w:ascii="宋体" w:hAnsi="宋体" w:eastAsia="宋体"/>
          <w:highlight w:val="none"/>
        </w:rPr>
        <w:t>其他说明</w:t>
      </w:r>
    </w:p>
    <w:p>
      <w:pPr>
        <w:pStyle w:val="12"/>
        <w:keepNext w:val="0"/>
        <w:keepLines w:val="0"/>
        <w:pageBreakBefore w:val="0"/>
        <w:kinsoku/>
        <w:overflowPunct w:val="0"/>
        <w:topLinePunct w:val="0"/>
        <w:autoSpaceDE/>
        <w:autoSpaceDN/>
        <w:bidi w:val="0"/>
        <w:adjustRightInd/>
        <w:snapToGrid/>
        <w:spacing w:before="0" w:beforeLines="0" w:after="0" w:afterLines="0" w:line="360" w:lineRule="auto"/>
        <w:ind w:firstLine="210"/>
        <w:jc w:val="left"/>
        <w:textAlignment w:val="auto"/>
        <w:rPr>
          <w:rFonts w:ascii="宋体" w:hAnsi="宋体" w:eastAsia="宋体"/>
          <w:highlight w:val="none"/>
        </w:rPr>
      </w:pPr>
      <w:r>
        <w:rPr>
          <w:rFonts w:hint="eastAsia" w:ascii="宋体" w:hAnsi="宋体" w:eastAsia="宋体"/>
          <w:highlight w:val="none"/>
        </w:rPr>
        <w:t>供应商</w:t>
      </w:r>
      <w:r>
        <w:rPr>
          <w:rFonts w:ascii="宋体" w:hAnsi="宋体" w:eastAsia="宋体"/>
          <w:highlight w:val="none"/>
        </w:rPr>
        <w:t>须遵守</w:t>
      </w:r>
      <w:r>
        <w:rPr>
          <w:rFonts w:hint="eastAsia" w:ascii="宋体" w:hAnsi="宋体" w:eastAsia="宋体"/>
          <w:highlight w:val="none"/>
          <w:lang w:eastAsia="zh-CN"/>
        </w:rPr>
        <w:t>采购单位</w:t>
      </w:r>
      <w:r>
        <w:rPr>
          <w:rFonts w:ascii="宋体" w:hAnsi="宋体" w:eastAsia="宋体"/>
          <w:highlight w:val="none"/>
        </w:rPr>
        <w:t>的保密规定（见保密承诺函）</w:t>
      </w:r>
      <w:r>
        <w:rPr>
          <w:rFonts w:hint="eastAsia" w:ascii="宋体" w:hAnsi="宋体" w:eastAsia="宋体" w:cs="Times New Roman"/>
          <w:highlight w:val="none"/>
          <w:lang w:eastAsia="zh-CN"/>
        </w:rPr>
        <w:t>，</w:t>
      </w:r>
      <w:r>
        <w:rPr>
          <w:rFonts w:hint="eastAsia" w:ascii="宋体" w:hAnsi="宋体" w:eastAsia="宋体" w:cs="Times New Roman"/>
          <w:highlight w:val="none"/>
        </w:rPr>
        <w:t>并遵守相关廉洁协议</w:t>
      </w:r>
      <w:r>
        <w:rPr>
          <w:rFonts w:ascii="宋体" w:hAnsi="宋体" w:eastAsia="宋体" w:cs="Times New Roman"/>
          <w:highlight w:val="none"/>
        </w:rPr>
        <w:t>。</w:t>
      </w:r>
    </w:p>
    <w:p>
      <w:pPr>
        <w:pStyle w:val="12"/>
        <w:keepNext w:val="0"/>
        <w:keepLines w:val="0"/>
        <w:pageBreakBefore w:val="0"/>
        <w:kinsoku/>
        <w:overflowPunct w:val="0"/>
        <w:topLinePunct w:val="0"/>
        <w:autoSpaceDE/>
        <w:autoSpaceDN/>
        <w:bidi w:val="0"/>
        <w:adjustRightInd/>
        <w:snapToGrid/>
        <w:spacing w:before="0" w:beforeLines="0" w:after="0" w:afterLines="0" w:line="360" w:lineRule="auto"/>
        <w:ind w:firstLine="210"/>
        <w:jc w:val="left"/>
        <w:textAlignment w:val="auto"/>
        <w:rPr>
          <w:rFonts w:ascii="宋体" w:hAnsi="宋体" w:eastAsia="宋体"/>
          <w:highlight w:val="none"/>
        </w:rPr>
      </w:pPr>
      <w:r>
        <w:rPr>
          <w:rFonts w:ascii="宋体" w:hAnsi="宋体" w:eastAsia="宋体"/>
          <w:highlight w:val="none"/>
        </w:rPr>
        <w:t>对于其它公司利用本公司发布的</w:t>
      </w:r>
      <w:r>
        <w:rPr>
          <w:rFonts w:hint="eastAsia" w:ascii="宋体" w:hAnsi="宋体" w:eastAsia="宋体"/>
          <w:highlight w:val="none"/>
        </w:rPr>
        <w:t>公告</w:t>
      </w:r>
      <w:r>
        <w:rPr>
          <w:rFonts w:ascii="宋体" w:hAnsi="宋体" w:eastAsia="宋体"/>
          <w:highlight w:val="none"/>
        </w:rPr>
        <w:t>信息进行诈骗的行为，本公司将不承担任何责任，并保留追究相关责任人权利。</w:t>
      </w:r>
    </w:p>
    <w:p>
      <w:pPr>
        <w:pStyle w:val="10"/>
        <w:keepNext w:val="0"/>
        <w:keepLines w:val="0"/>
        <w:pageBreakBefore w:val="0"/>
        <w:kinsoku/>
        <w:overflowPunct w:val="0"/>
        <w:topLinePunct w:val="0"/>
        <w:autoSpaceDE/>
        <w:autoSpaceDN/>
        <w:bidi w:val="0"/>
        <w:adjustRightInd/>
        <w:snapToGrid/>
        <w:spacing w:before="0" w:beforeLines="0" w:after="0" w:afterLines="0" w:line="360" w:lineRule="auto"/>
        <w:jc w:val="left"/>
        <w:textAlignment w:val="auto"/>
        <w:rPr>
          <w:rFonts w:ascii="宋体" w:hAnsi="宋体" w:eastAsia="宋体"/>
          <w:highlight w:val="none"/>
        </w:rPr>
      </w:pPr>
      <w:r>
        <w:rPr>
          <w:rFonts w:hint="eastAsia" w:ascii="宋体" w:hAnsi="宋体" w:eastAsia="宋体"/>
          <w:highlight w:val="none"/>
        </w:rPr>
        <w:t>其他需要补充的内容</w:t>
      </w:r>
    </w:p>
    <w:p>
      <w:pPr>
        <w:pStyle w:val="15"/>
        <w:rPr>
          <w:rFonts w:ascii="宋体" w:hAnsi="宋体" w:eastAsia="宋体"/>
          <w:highlight w:val="none"/>
          <w:u w:val="single"/>
        </w:rPr>
      </w:pPr>
      <w:r>
        <w:rPr>
          <w:rFonts w:hint="eastAsia" w:ascii="宋体" w:hAnsi="宋体" w:eastAsia="宋体"/>
          <w:highlight w:val="none"/>
          <w:u w:val="single"/>
          <w:lang w:val="en-US" w:eastAsia="zh-CN"/>
        </w:rPr>
        <w:t>/</w:t>
      </w:r>
      <w:r>
        <w:rPr>
          <w:rFonts w:hint="eastAsia" w:ascii="宋体" w:hAnsi="宋体" w:eastAsia="宋体"/>
          <w:highlight w:val="none"/>
          <w:u w:val="single"/>
        </w:rPr>
        <w:t>　</w:t>
      </w:r>
    </w:p>
    <w:p>
      <w:pPr>
        <w:overflowPunct w:val="0"/>
        <w:jc w:val="right"/>
        <w:rPr>
          <w:rFonts w:ascii="宋体" w:hAnsi="宋体" w:eastAsia="宋体"/>
          <w:highlight w:val="none"/>
        </w:rPr>
      </w:pPr>
    </w:p>
    <w:p>
      <w:pPr>
        <w:pStyle w:val="17"/>
        <w:spacing w:before="120" w:after="120"/>
        <w:rPr>
          <w:rFonts w:hint="eastAsia" w:ascii="宋体" w:hAnsi="宋体" w:eastAsia="宋体"/>
          <w:highlight w:val="none"/>
          <w:u w:val="single"/>
        </w:rPr>
      </w:pPr>
      <w:r>
        <w:rPr>
          <w:rFonts w:hint="eastAsia" w:ascii="宋体" w:hAnsi="宋体" w:eastAsia="宋体"/>
          <w:highlight w:val="none"/>
        </w:rPr>
        <w:t>采购</w:t>
      </w:r>
      <w:r>
        <w:rPr>
          <w:rFonts w:hint="eastAsia" w:ascii="宋体" w:hAnsi="宋体" w:eastAsia="宋体"/>
          <w:highlight w:val="none"/>
          <w:lang w:val="en-US" w:eastAsia="zh-CN"/>
        </w:rPr>
        <w:t>实施</w:t>
      </w:r>
      <w:r>
        <w:rPr>
          <w:rFonts w:hint="eastAsia" w:ascii="宋体" w:hAnsi="宋体" w:eastAsia="宋体"/>
          <w:highlight w:val="none"/>
        </w:rPr>
        <w:t>单位：</w:t>
      </w:r>
      <w:r>
        <w:rPr>
          <w:rFonts w:hint="eastAsia" w:ascii="宋体" w:hAnsi="宋体" w:eastAsia="宋体"/>
          <w:highlight w:val="none"/>
          <w:u w:val="single"/>
        </w:rPr>
        <w:t>中国核工业建设股份有限公司</w:t>
      </w:r>
    </w:p>
    <w:p>
      <w:pPr>
        <w:pStyle w:val="17"/>
        <w:spacing w:before="120" w:after="120"/>
        <w:rPr>
          <w:rFonts w:hint="eastAsia" w:ascii="宋体" w:hAnsi="宋体" w:eastAsia="宋体"/>
          <w:highlight w:val="none"/>
          <w:u w:val="single"/>
        </w:rPr>
      </w:pPr>
      <w:r>
        <w:rPr>
          <w:rFonts w:hint="eastAsia" w:ascii="宋体" w:hAnsi="宋体" w:eastAsia="宋体"/>
          <w:highlight w:val="none"/>
          <w:u w:val="none"/>
        </w:rPr>
        <w:t>采购</w:t>
      </w:r>
      <w:r>
        <w:rPr>
          <w:rFonts w:hint="eastAsia" w:ascii="宋体" w:hAnsi="宋体" w:eastAsia="宋体"/>
          <w:highlight w:val="none"/>
          <w:u w:val="none"/>
          <w:lang w:val="en-US" w:eastAsia="zh-CN"/>
        </w:rPr>
        <w:t>需求</w:t>
      </w:r>
      <w:r>
        <w:rPr>
          <w:rFonts w:hint="eastAsia" w:ascii="宋体" w:hAnsi="宋体" w:eastAsia="宋体"/>
          <w:highlight w:val="none"/>
          <w:u w:val="none"/>
        </w:rPr>
        <w:t>单位：</w:t>
      </w:r>
      <w:r>
        <w:rPr>
          <w:rFonts w:hint="eastAsia" w:ascii="宋体" w:hAnsi="宋体" w:eastAsia="宋体"/>
          <w:highlight w:val="none"/>
          <w:u w:val="single"/>
          <w:lang w:val="en-US" w:eastAsia="zh-CN"/>
        </w:rPr>
        <w:t>中核二十五建设有限公司</w:t>
      </w:r>
    </w:p>
    <w:p>
      <w:pPr>
        <w:widowControl/>
        <w:overflowPunct w:val="0"/>
        <w:jc w:val="right"/>
        <w:rPr>
          <w:rFonts w:hint="default" w:ascii="宋体" w:hAnsi="宋体" w:eastAsia="宋体"/>
          <w:highlight w:val="none"/>
          <w:u w:val="single"/>
          <w:lang w:val="en-US" w:eastAsia="zh-CN"/>
        </w:rPr>
      </w:pPr>
      <w:r>
        <w:rPr>
          <w:rFonts w:hint="eastAsia" w:ascii="宋体" w:hAnsi="宋体" w:eastAsia="宋体"/>
          <w:highlight w:val="none"/>
          <w:u w:val="single"/>
          <w:lang w:val="en-US" w:eastAsia="zh-CN"/>
        </w:rPr>
        <w:t>2025年3月2</w:t>
      </w:r>
      <w:r>
        <w:rPr>
          <w:rFonts w:hint="default" w:ascii="宋体" w:hAnsi="宋体" w:eastAsia="宋体"/>
          <w:highlight w:val="none"/>
          <w:u w:val="single"/>
          <w:lang w:val="en-US" w:eastAsia="zh-CN"/>
        </w:rPr>
        <w:t>6</w:t>
      </w:r>
      <w:r>
        <w:rPr>
          <w:rFonts w:hint="eastAsia" w:ascii="宋体" w:hAnsi="宋体" w:eastAsia="宋体"/>
          <w:highlight w:val="none"/>
          <w:u w:val="single"/>
          <w:lang w:val="en-US" w:eastAsia="zh-CN"/>
        </w:rPr>
        <w:t>日</w:t>
      </w:r>
    </w:p>
    <w:p>
      <w:pPr>
        <w:widowControl/>
        <w:overflowPunct w:val="0"/>
        <w:jc w:val="right"/>
        <w:rPr>
          <w:rFonts w:ascii="宋体" w:hAnsi="宋体" w:eastAsia="宋体" w:cs="宋体"/>
          <w:b/>
          <w:sz w:val="24"/>
          <w:highlight w:val="none"/>
        </w:rPr>
      </w:pPr>
      <w:r>
        <w:rPr>
          <w:rFonts w:ascii="宋体" w:hAnsi="宋体" w:eastAsia="宋体"/>
          <w:highlight w:val="none"/>
        </w:rPr>
        <w:br w:type="page"/>
      </w:r>
    </w:p>
    <w:p>
      <w:pPr>
        <w:pStyle w:val="17"/>
        <w:wordWrap/>
        <w:spacing w:before="120" w:after="120"/>
        <w:jc w:val="left"/>
        <w:rPr>
          <w:rFonts w:hint="eastAsia" w:ascii="宋体" w:hAnsi="宋体" w:eastAsia="宋体"/>
          <w:highlight w:val="none"/>
          <w:lang w:eastAsia="zh-CN"/>
        </w:rPr>
        <w:sectPr>
          <w:headerReference r:id="rId3" w:type="default"/>
          <w:footerReference r:id="rId4" w:type="default"/>
          <w:pgSz w:w="11906" w:h="16838"/>
          <w:pgMar w:top="1134" w:right="1417" w:bottom="1134" w:left="1417" w:header="851" w:footer="850" w:gutter="0"/>
          <w:pgNumType w:fmt="decimal" w:start="1"/>
          <w:cols w:space="425" w:num="1"/>
          <w:docGrid w:linePitch="312" w:charSpace="0"/>
        </w:sectPr>
      </w:pPr>
      <w:r>
        <w:rPr>
          <w:rFonts w:hint="eastAsia" w:ascii="宋体" w:hAnsi="宋体" w:eastAsia="宋体"/>
          <w:highlight w:val="none"/>
        </w:rPr>
        <w:t>附件</w:t>
      </w:r>
      <w:r>
        <w:rPr>
          <w:rFonts w:hint="eastAsia" w:ascii="宋体" w:hAnsi="宋体" w:eastAsia="宋体"/>
          <w:highlight w:val="none"/>
          <w:lang w:val="en-US" w:eastAsia="zh-CN"/>
        </w:rPr>
        <w:t>1</w:t>
      </w:r>
      <w:r>
        <w:rPr>
          <w:rFonts w:hint="eastAsia" w:ascii="宋体" w:hAnsi="宋体" w:eastAsia="宋体"/>
          <w:highlight w:val="none"/>
        </w:rPr>
        <w:t>：</w:t>
      </w:r>
      <w:r>
        <w:rPr>
          <w:rFonts w:hint="eastAsia" w:ascii="宋体" w:hAnsi="宋体" w:eastAsia="宋体"/>
          <w:highlight w:val="none"/>
          <w:lang w:eastAsia="zh-CN"/>
        </w:rPr>
        <w:t>标书费回执单</w:t>
      </w:r>
    </w:p>
    <w:p>
      <w:pPr>
        <w:pStyle w:val="10"/>
        <w:numPr>
          <w:ilvl w:val="0"/>
          <w:numId w:val="0"/>
        </w:numPr>
        <w:overflowPunct w:val="0"/>
        <w:spacing w:before="240" w:after="120"/>
        <w:rPr>
          <w:rFonts w:hint="eastAsia" w:ascii="宋体" w:hAnsi="宋体" w:eastAsia="宋体"/>
          <w:highlight w:val="none"/>
          <w:lang w:val="en-US" w:eastAsia="zh-CN"/>
        </w:rPr>
      </w:pPr>
      <w:r>
        <w:rPr>
          <w:rFonts w:hint="eastAsia" w:ascii="宋体" w:hAnsi="宋体" w:eastAsia="宋体"/>
          <w:highlight w:val="none"/>
          <w:lang w:val="en-US" w:eastAsia="zh-CN"/>
        </w:rPr>
        <w:t>附件2：应答保密承诺函</w:t>
      </w:r>
    </w:p>
    <w:p>
      <w:pPr>
        <w:pStyle w:val="9"/>
        <w:overflowPunct w:val="0"/>
        <w:rPr>
          <w:rFonts w:ascii="宋体" w:hAnsi="宋体" w:eastAsia="宋体"/>
          <w:highlight w:val="none"/>
        </w:rPr>
      </w:pPr>
      <w:r>
        <w:rPr>
          <w:rFonts w:hint="eastAsia" w:ascii="宋体" w:hAnsi="宋体" w:eastAsia="宋体"/>
          <w:highlight w:val="none"/>
          <w:lang w:eastAsia="zh-CN"/>
        </w:rPr>
        <w:t>应答</w:t>
      </w:r>
      <w:r>
        <w:rPr>
          <w:rFonts w:hint="eastAsia" w:ascii="宋体" w:hAnsi="宋体" w:eastAsia="宋体"/>
          <w:highlight w:val="none"/>
        </w:rPr>
        <w:t>保密承诺函</w:t>
      </w:r>
    </w:p>
    <w:p>
      <w:pPr>
        <w:pStyle w:val="15"/>
        <w:ind w:left="0" w:leftChars="0" w:firstLine="0" w:firstLineChars="0"/>
        <w:rPr>
          <w:rFonts w:ascii="宋体" w:hAnsi="宋体" w:eastAsia="宋体"/>
          <w:highlight w:val="none"/>
        </w:rPr>
      </w:pPr>
      <w:r>
        <w:rPr>
          <w:rFonts w:hint="eastAsia" w:ascii="宋体" w:hAnsi="宋体" w:eastAsia="宋体"/>
          <w:highlight w:val="none"/>
        </w:rPr>
        <w:t>致：</w:t>
      </w:r>
      <w:r>
        <w:rPr>
          <w:rFonts w:hint="eastAsia" w:ascii="宋体" w:hAnsi="宋体" w:eastAsia="宋体"/>
          <w:highlight w:val="none"/>
          <w:u w:val="single"/>
        </w:rPr>
        <w:t>　</w:t>
      </w:r>
      <w:r>
        <w:rPr>
          <w:rFonts w:hint="eastAsia" w:ascii="宋体" w:hAnsi="宋体" w:eastAsia="宋体"/>
          <w:highlight w:val="none"/>
          <w:u w:val="single"/>
          <w:lang w:val="en-US" w:eastAsia="zh-CN"/>
        </w:rPr>
        <w:t>中核二十五建设有限公司</w:t>
      </w:r>
      <w:r>
        <w:rPr>
          <w:rFonts w:hint="eastAsia" w:ascii="宋体" w:hAnsi="宋体" w:eastAsia="宋体"/>
          <w:highlight w:val="none"/>
          <w:u w:val="single"/>
        </w:rPr>
        <w:t>　</w:t>
      </w:r>
      <w:r>
        <w:rPr>
          <w:rFonts w:hint="eastAsia" w:ascii="宋体" w:hAnsi="宋体" w:eastAsia="宋体"/>
          <w:highlight w:val="none"/>
        </w:rPr>
        <w:t>（</w:t>
      </w:r>
      <w:r>
        <w:rPr>
          <w:rFonts w:hint="eastAsia" w:ascii="宋体" w:hAnsi="宋体" w:eastAsia="宋体"/>
          <w:highlight w:val="none"/>
          <w:lang w:eastAsia="zh-CN"/>
        </w:rPr>
        <w:t>采购单位</w:t>
      </w:r>
      <w:r>
        <w:rPr>
          <w:rFonts w:hint="eastAsia" w:ascii="宋体" w:hAnsi="宋体" w:eastAsia="宋体"/>
          <w:highlight w:val="none"/>
        </w:rPr>
        <w:t>名称）</w:t>
      </w:r>
    </w:p>
    <w:p>
      <w:pPr>
        <w:pStyle w:val="15"/>
        <w:rPr>
          <w:rFonts w:ascii="宋体" w:hAnsi="宋体" w:eastAsia="宋体"/>
          <w:highlight w:val="none"/>
        </w:rPr>
      </w:pPr>
      <w:r>
        <w:rPr>
          <w:rFonts w:hint="eastAsia" w:ascii="宋体" w:hAnsi="宋体" w:eastAsia="宋体"/>
          <w:highlight w:val="none"/>
        </w:rPr>
        <w:t>根据贵方为</w:t>
      </w:r>
      <w:r>
        <w:rPr>
          <w:rFonts w:hint="eastAsia" w:ascii="宋体" w:hAnsi="宋体" w:eastAsia="宋体"/>
          <w:highlight w:val="none"/>
          <w:u w:val="single"/>
        </w:rPr>
        <w:t>　　</w:t>
      </w:r>
      <w:r>
        <w:rPr>
          <w:rFonts w:hint="eastAsia" w:ascii="宋体" w:hAnsi="宋体" w:eastAsia="宋体"/>
          <w:highlight w:val="none"/>
          <w:u w:val="single"/>
          <w:lang w:eastAsia="zh-CN"/>
        </w:rPr>
        <w:t>（</w:t>
      </w:r>
      <w:r>
        <w:rPr>
          <w:rFonts w:hint="eastAsia" w:ascii="宋体" w:hAnsi="宋体" w:eastAsia="宋体"/>
          <w:highlight w:val="none"/>
          <w:u w:val="single"/>
          <w:lang w:val="en-US" w:eastAsia="zh-CN"/>
        </w:rPr>
        <w:t>项目名称</w:t>
      </w:r>
      <w:r>
        <w:rPr>
          <w:rFonts w:hint="eastAsia" w:ascii="宋体" w:hAnsi="宋体" w:eastAsia="宋体"/>
          <w:highlight w:val="none"/>
          <w:u w:val="single"/>
          <w:lang w:eastAsia="zh-CN"/>
        </w:rPr>
        <w:t>）</w:t>
      </w:r>
      <w:r>
        <w:rPr>
          <w:rFonts w:hint="eastAsia" w:ascii="宋体" w:hAnsi="宋体" w:eastAsia="宋体"/>
          <w:highlight w:val="none"/>
          <w:u w:val="single"/>
        </w:rPr>
        <w:t>　</w:t>
      </w:r>
      <w:r>
        <w:rPr>
          <w:rFonts w:hint="eastAsia" w:ascii="宋体" w:hAnsi="宋体" w:eastAsia="宋体"/>
          <w:highlight w:val="none"/>
        </w:rPr>
        <w:t>项目的采购文件（采购编号：</w:t>
      </w:r>
      <w:r>
        <w:rPr>
          <w:rFonts w:hint="eastAsia" w:ascii="宋体" w:hAnsi="宋体" w:eastAsia="宋体"/>
          <w:highlight w:val="none"/>
          <w:u w:val="single"/>
        </w:rPr>
        <w:t>　</w:t>
      </w:r>
      <w:r>
        <w:rPr>
          <w:rFonts w:hint="eastAsia" w:ascii="宋体" w:hAnsi="宋体" w:eastAsia="宋体"/>
          <w:highlight w:val="none"/>
          <w:u w:val="single"/>
          <w:lang w:val="en-US" w:eastAsia="zh-CN"/>
        </w:rPr>
        <w:t xml:space="preserve">           </w:t>
      </w:r>
      <w:r>
        <w:rPr>
          <w:rFonts w:hint="eastAsia" w:ascii="宋体" w:hAnsi="宋体" w:eastAsia="宋体"/>
          <w:highlight w:val="none"/>
          <w:u w:val="single"/>
        </w:rPr>
        <w:t>　　</w:t>
      </w:r>
      <w:r>
        <w:rPr>
          <w:rFonts w:hint="eastAsia" w:ascii="宋体" w:hAnsi="宋体" w:eastAsia="宋体"/>
          <w:highlight w:val="none"/>
        </w:rPr>
        <w:t>），我公司</w:t>
      </w:r>
      <w:r>
        <w:rPr>
          <w:rFonts w:hint="eastAsia" w:ascii="宋体" w:hAnsi="宋体" w:eastAsia="宋体"/>
          <w:highlight w:val="none"/>
          <w:u w:val="single"/>
        </w:rPr>
        <w:t>　　　　　　　　　　　　　　　　　　</w:t>
      </w:r>
      <w:r>
        <w:rPr>
          <w:rFonts w:hint="eastAsia" w:ascii="宋体" w:hAnsi="宋体" w:eastAsia="宋体"/>
          <w:highlight w:val="none"/>
        </w:rPr>
        <w:t>（</w:t>
      </w:r>
      <w:r>
        <w:rPr>
          <w:rFonts w:hint="eastAsia" w:ascii="宋体" w:hAnsi="宋体" w:eastAsia="宋体"/>
          <w:highlight w:val="none"/>
          <w:lang w:eastAsia="zh-CN"/>
        </w:rPr>
        <w:t>报价</w:t>
      </w:r>
      <w:r>
        <w:rPr>
          <w:rFonts w:hint="eastAsia" w:ascii="宋体" w:hAnsi="宋体" w:eastAsia="宋体"/>
          <w:highlight w:val="none"/>
        </w:rPr>
        <w:t>方名称和地址）在此做出以下郑重承诺：</w:t>
      </w:r>
    </w:p>
    <w:p>
      <w:pPr>
        <w:pStyle w:val="15"/>
        <w:rPr>
          <w:rFonts w:ascii="宋体" w:hAnsi="宋体" w:eastAsia="宋体"/>
          <w:highlight w:val="none"/>
        </w:rPr>
      </w:pPr>
      <w:r>
        <w:rPr>
          <w:rFonts w:hint="eastAsia" w:ascii="宋体" w:hAnsi="宋体" w:eastAsia="宋体"/>
          <w:highlight w:val="none"/>
        </w:rPr>
        <w:t>1.我方从你方获得的所有文件、数据和其它资料仅限用于准备和提交应答文件，以应答供应商须知的要求。</w:t>
      </w:r>
    </w:p>
    <w:p>
      <w:pPr>
        <w:pStyle w:val="15"/>
        <w:rPr>
          <w:rFonts w:ascii="宋体" w:hAnsi="宋体" w:eastAsia="宋体"/>
          <w:highlight w:val="none"/>
        </w:rPr>
      </w:pPr>
      <w:r>
        <w:rPr>
          <w:rFonts w:hint="eastAsia" w:ascii="宋体" w:hAnsi="宋体" w:eastAsia="宋体"/>
          <w:highlight w:val="none"/>
        </w:rPr>
        <w:t>2.由你方直接或间接提供的与供应商须知相关的任何文档、数据和其它资料应严格保密，在未经采购方书面同意的情况下，无论该信息是参加</w:t>
      </w:r>
      <w:r>
        <w:rPr>
          <w:rFonts w:hint="eastAsia" w:ascii="宋体" w:hAnsi="宋体" w:eastAsia="宋体"/>
          <w:highlight w:val="none"/>
          <w:lang w:eastAsia="zh-CN"/>
        </w:rPr>
        <w:t>采购</w:t>
      </w:r>
      <w:r>
        <w:rPr>
          <w:rFonts w:hint="eastAsia" w:ascii="宋体" w:hAnsi="宋体" w:eastAsia="宋体"/>
          <w:highlight w:val="none"/>
        </w:rPr>
        <w:t>前提供的、参加</w:t>
      </w:r>
      <w:r>
        <w:rPr>
          <w:rFonts w:hint="eastAsia" w:ascii="宋体" w:hAnsi="宋体" w:eastAsia="宋体"/>
          <w:highlight w:val="none"/>
          <w:lang w:eastAsia="zh-CN"/>
        </w:rPr>
        <w:t>采购</w:t>
      </w:r>
      <w:r>
        <w:rPr>
          <w:rFonts w:hint="eastAsia" w:ascii="宋体" w:hAnsi="宋体" w:eastAsia="宋体"/>
          <w:highlight w:val="none"/>
        </w:rPr>
        <w:t>过程中提供的，还是参加</w:t>
      </w:r>
      <w:r>
        <w:rPr>
          <w:rFonts w:hint="eastAsia" w:ascii="宋体" w:hAnsi="宋体" w:eastAsia="宋体"/>
          <w:highlight w:val="none"/>
          <w:lang w:eastAsia="zh-CN"/>
        </w:rPr>
        <w:t>采购</w:t>
      </w:r>
      <w:r>
        <w:rPr>
          <w:rFonts w:hint="eastAsia" w:ascii="宋体" w:hAnsi="宋体" w:eastAsia="宋体"/>
          <w:highlight w:val="none"/>
        </w:rPr>
        <w:t>结束后提供的，均不会泄露给任何第三方。</w:t>
      </w:r>
    </w:p>
    <w:p>
      <w:pPr>
        <w:pStyle w:val="15"/>
        <w:rPr>
          <w:rFonts w:ascii="宋体" w:hAnsi="宋体" w:eastAsia="宋体"/>
          <w:highlight w:val="none"/>
        </w:rPr>
      </w:pPr>
      <w:r>
        <w:rPr>
          <w:rFonts w:hint="eastAsia" w:ascii="宋体" w:hAnsi="宋体" w:eastAsia="宋体"/>
          <w:highlight w:val="none"/>
        </w:rPr>
        <w:t>3.如存在为准备应答文件的目的，需要将你方提供给的相关文件、数据和其它资料提交给分包商的情况，我方将书面通告你方，并与分包商签订类似的保密协议。</w:t>
      </w:r>
    </w:p>
    <w:p>
      <w:pPr>
        <w:pStyle w:val="15"/>
        <w:rPr>
          <w:rFonts w:ascii="宋体" w:hAnsi="宋体" w:eastAsia="宋体"/>
          <w:highlight w:val="none"/>
        </w:rPr>
      </w:pPr>
      <w:r>
        <w:rPr>
          <w:rFonts w:hint="eastAsia" w:ascii="宋体" w:hAnsi="宋体" w:eastAsia="宋体"/>
          <w:highlight w:val="none"/>
        </w:rPr>
        <w:t>4.由于我方需要，通过你方从第三方可能获得某些敏感文件、数据和资料，比如接口数据等，在此之前，我方应直接与第三方</w:t>
      </w:r>
      <w:r>
        <w:rPr>
          <w:rFonts w:hint="eastAsia" w:ascii="宋体" w:hAnsi="宋体" w:eastAsia="宋体"/>
          <w:highlight w:val="none"/>
          <w:lang w:val="en-US" w:eastAsia="zh-CN"/>
        </w:rPr>
        <w:t>签订</w:t>
      </w:r>
      <w:r>
        <w:rPr>
          <w:rFonts w:hint="eastAsia" w:ascii="宋体" w:hAnsi="宋体" w:eastAsia="宋体"/>
          <w:highlight w:val="none"/>
        </w:rPr>
        <w:t>类似的保密承诺或协议。此外，如有要求，我方应向你方或者第三方交还这些敏感资料。</w:t>
      </w:r>
    </w:p>
    <w:p>
      <w:pPr>
        <w:pStyle w:val="15"/>
        <w:rPr>
          <w:rFonts w:ascii="宋体" w:hAnsi="宋体" w:eastAsia="宋体"/>
          <w:highlight w:val="none"/>
        </w:rPr>
      </w:pPr>
    </w:p>
    <w:p>
      <w:pPr>
        <w:pStyle w:val="15"/>
        <w:jc w:val="right"/>
        <w:rPr>
          <w:rFonts w:ascii="宋体" w:hAnsi="宋体" w:eastAsia="宋体"/>
          <w:highlight w:val="none"/>
        </w:rPr>
      </w:pPr>
      <w:r>
        <w:rPr>
          <w:rFonts w:hint="eastAsia" w:ascii="宋体" w:hAnsi="宋体" w:eastAsia="宋体"/>
          <w:highlight w:val="none"/>
        </w:rPr>
        <w:t>供应商</w:t>
      </w:r>
      <w:r>
        <w:rPr>
          <w:rFonts w:ascii="宋体" w:hAnsi="宋体" w:eastAsia="宋体"/>
          <w:highlight w:val="none"/>
        </w:rPr>
        <w:t>：</w:t>
      </w:r>
      <w:r>
        <w:rPr>
          <w:rFonts w:hint="eastAsia" w:ascii="宋体" w:hAnsi="宋体" w:eastAsia="宋体"/>
          <w:highlight w:val="none"/>
          <w:u w:val="single"/>
        </w:rPr>
        <w:t>　　　　　　　　　　　　</w:t>
      </w:r>
      <w:r>
        <w:rPr>
          <w:rFonts w:ascii="宋体" w:hAnsi="宋体" w:eastAsia="宋体"/>
          <w:highlight w:val="none"/>
        </w:rPr>
        <w:t>（盖</w:t>
      </w:r>
      <w:r>
        <w:rPr>
          <w:rFonts w:hint="eastAsia" w:ascii="宋体" w:hAnsi="宋体" w:eastAsia="宋体"/>
          <w:highlight w:val="none"/>
        </w:rPr>
        <w:t>供应商</w:t>
      </w:r>
      <w:r>
        <w:rPr>
          <w:rFonts w:ascii="宋体" w:hAnsi="宋体" w:eastAsia="宋体"/>
          <w:highlight w:val="none"/>
        </w:rPr>
        <w:t>公章）</w:t>
      </w:r>
    </w:p>
    <w:p>
      <w:pPr>
        <w:pStyle w:val="15"/>
        <w:jc w:val="right"/>
        <w:rPr>
          <w:rFonts w:ascii="宋体" w:hAnsi="宋体" w:eastAsia="宋体"/>
          <w:highlight w:val="none"/>
        </w:rPr>
      </w:pPr>
      <w:r>
        <w:rPr>
          <w:rFonts w:ascii="宋体" w:hAnsi="宋体" w:eastAsia="宋体"/>
          <w:highlight w:val="none"/>
        </w:rPr>
        <w:t>法定代表人</w:t>
      </w:r>
      <w:r>
        <w:rPr>
          <w:rFonts w:hint="eastAsia" w:ascii="宋体" w:hAnsi="宋体" w:eastAsia="宋体"/>
          <w:highlight w:val="none"/>
        </w:rPr>
        <w:t>（单位负责人）</w:t>
      </w:r>
      <w:r>
        <w:rPr>
          <w:rFonts w:ascii="宋体" w:hAnsi="宋体" w:eastAsia="宋体"/>
          <w:highlight w:val="none"/>
        </w:rPr>
        <w:t>或其委托代理人：</w:t>
      </w:r>
      <w:r>
        <w:rPr>
          <w:rFonts w:hint="eastAsia" w:ascii="宋体" w:hAnsi="宋体" w:eastAsia="宋体"/>
          <w:highlight w:val="none"/>
          <w:u w:val="single"/>
        </w:rPr>
        <w:t>　</w:t>
      </w:r>
      <w:r>
        <w:rPr>
          <w:rFonts w:ascii="宋体" w:hAnsi="宋体" w:eastAsia="宋体"/>
          <w:highlight w:val="none"/>
          <w:u w:val="single"/>
        </w:rPr>
        <w:t>　　　</w:t>
      </w:r>
      <w:r>
        <w:rPr>
          <w:rFonts w:ascii="宋体" w:hAnsi="宋体" w:eastAsia="宋体"/>
          <w:highlight w:val="none"/>
        </w:rPr>
        <w:t>（签字</w:t>
      </w:r>
      <w:r>
        <w:rPr>
          <w:rFonts w:hint="eastAsia" w:ascii="宋体" w:hAnsi="宋体" w:eastAsia="宋体"/>
          <w:highlight w:val="none"/>
        </w:rPr>
        <w:t>或印章</w:t>
      </w:r>
      <w:r>
        <w:rPr>
          <w:rFonts w:ascii="宋体" w:hAnsi="宋体" w:eastAsia="宋体"/>
          <w:highlight w:val="none"/>
        </w:rPr>
        <w:t>）</w:t>
      </w:r>
    </w:p>
    <w:p>
      <w:pPr>
        <w:pStyle w:val="15"/>
        <w:jc w:val="right"/>
        <w:rPr>
          <w:rFonts w:hint="eastAsia" w:ascii="宋体" w:hAnsi="宋体" w:eastAsia="宋体"/>
          <w:highlight w:val="none"/>
        </w:rPr>
      </w:pPr>
      <w:r>
        <w:rPr>
          <w:rFonts w:ascii="宋体" w:hAnsi="宋体" w:eastAsia="宋体"/>
          <w:highlight w:val="none"/>
          <w:u w:val="single"/>
        </w:rPr>
        <w:t>　　</w:t>
      </w:r>
      <w:r>
        <w:rPr>
          <w:rFonts w:hint="eastAsia" w:ascii="宋体" w:hAnsi="宋体" w:eastAsia="宋体"/>
          <w:highlight w:val="none"/>
          <w:u w:val="single"/>
        </w:rPr>
        <w:t>　</w:t>
      </w:r>
      <w:r>
        <w:rPr>
          <w:rFonts w:ascii="宋体" w:hAnsi="宋体" w:eastAsia="宋体"/>
          <w:highlight w:val="none"/>
          <w:u w:val="single"/>
        </w:rPr>
        <w:t>　</w:t>
      </w:r>
      <w:r>
        <w:rPr>
          <w:rFonts w:hint="eastAsia" w:ascii="宋体" w:hAnsi="宋体" w:eastAsia="宋体"/>
          <w:highlight w:val="none"/>
        </w:rPr>
        <w:t>年</w:t>
      </w:r>
      <w:r>
        <w:rPr>
          <w:rFonts w:hint="eastAsia" w:ascii="宋体" w:hAnsi="宋体" w:eastAsia="宋体"/>
          <w:highlight w:val="none"/>
          <w:u w:val="single"/>
        </w:rPr>
        <w:t>　</w:t>
      </w:r>
      <w:r>
        <w:rPr>
          <w:rFonts w:ascii="宋体" w:hAnsi="宋体" w:eastAsia="宋体"/>
          <w:highlight w:val="none"/>
          <w:u w:val="single"/>
        </w:rPr>
        <w:t>　</w:t>
      </w:r>
      <w:r>
        <w:rPr>
          <w:rFonts w:hint="eastAsia" w:ascii="宋体" w:hAnsi="宋体" w:eastAsia="宋体"/>
          <w:highlight w:val="none"/>
        </w:rPr>
        <w:t>月</w:t>
      </w:r>
      <w:r>
        <w:rPr>
          <w:rFonts w:hint="eastAsia" w:ascii="宋体" w:hAnsi="宋体" w:eastAsia="宋体"/>
          <w:highlight w:val="none"/>
          <w:u w:val="single"/>
        </w:rPr>
        <w:t>　</w:t>
      </w:r>
      <w:r>
        <w:rPr>
          <w:rFonts w:ascii="宋体" w:hAnsi="宋体" w:eastAsia="宋体"/>
          <w:highlight w:val="none"/>
          <w:u w:val="single"/>
        </w:rPr>
        <w:t>　</w:t>
      </w:r>
      <w:r>
        <w:rPr>
          <w:rFonts w:hint="eastAsia" w:ascii="宋体" w:hAnsi="宋体" w:eastAsia="宋体"/>
          <w:highlight w:val="none"/>
        </w:rPr>
        <w:t>日</w:t>
      </w:r>
    </w:p>
    <w:p>
      <w:pPr>
        <w:pStyle w:val="9"/>
        <w:numPr>
          <w:ilvl w:val="0"/>
          <w:numId w:val="0"/>
        </w:numPr>
        <w:overflowPunct w:val="0"/>
        <w:spacing w:before="120"/>
        <w:jc w:val="both"/>
        <w:outlineLvl w:val="2"/>
        <w:rPr>
          <w:rFonts w:ascii="宋体" w:hAnsi="宋体" w:eastAsia="宋体" w:cs="Tahoma"/>
          <w:bCs/>
          <w:sz w:val="28"/>
          <w:szCs w:val="28"/>
          <w:highlight w:val="none"/>
        </w:rPr>
      </w:pPr>
    </w:p>
    <w:p>
      <w:pPr>
        <w:pStyle w:val="10"/>
        <w:numPr>
          <w:ilvl w:val="0"/>
          <w:numId w:val="0"/>
        </w:numPr>
        <w:overflowPunct w:val="0"/>
        <w:spacing w:before="240" w:after="120"/>
        <w:rPr>
          <w:rFonts w:hint="eastAsia" w:ascii="宋体" w:hAnsi="宋体" w:eastAsia="宋体"/>
          <w:highlight w:val="none"/>
          <w:lang w:val="en-US" w:eastAsia="zh-CN"/>
        </w:rPr>
      </w:pPr>
    </w:p>
    <w:p>
      <w:pPr>
        <w:pStyle w:val="10"/>
        <w:numPr>
          <w:ilvl w:val="0"/>
          <w:numId w:val="0"/>
        </w:numPr>
        <w:overflowPunct w:val="0"/>
        <w:spacing w:before="240" w:after="120"/>
        <w:rPr>
          <w:rFonts w:hint="eastAsia" w:ascii="宋体" w:hAnsi="宋体" w:eastAsia="宋体"/>
          <w:highlight w:val="none"/>
          <w:lang w:val="en-US" w:eastAsia="zh-CN"/>
        </w:rPr>
      </w:pPr>
    </w:p>
    <w:p>
      <w:pPr>
        <w:pStyle w:val="10"/>
        <w:numPr>
          <w:ilvl w:val="0"/>
          <w:numId w:val="0"/>
        </w:numPr>
        <w:overflowPunct w:val="0"/>
        <w:spacing w:before="240" w:after="120"/>
        <w:rPr>
          <w:rFonts w:hint="eastAsia" w:ascii="宋体" w:hAnsi="宋体" w:eastAsia="宋体"/>
          <w:highlight w:val="none"/>
          <w:lang w:val="en-US" w:eastAsia="zh-CN"/>
        </w:rPr>
      </w:pPr>
    </w:p>
    <w:p>
      <w:pPr>
        <w:pStyle w:val="10"/>
        <w:numPr>
          <w:ilvl w:val="0"/>
          <w:numId w:val="0"/>
        </w:numPr>
        <w:overflowPunct w:val="0"/>
        <w:spacing w:before="240" w:after="120"/>
        <w:rPr>
          <w:rFonts w:hint="eastAsia" w:ascii="宋体" w:hAnsi="宋体" w:eastAsia="宋体"/>
          <w:highlight w:val="none"/>
          <w:lang w:val="en-US" w:eastAsia="zh-CN"/>
        </w:rPr>
      </w:pPr>
    </w:p>
    <w:p>
      <w:pPr>
        <w:pStyle w:val="10"/>
        <w:numPr>
          <w:ilvl w:val="0"/>
          <w:numId w:val="0"/>
        </w:numPr>
        <w:overflowPunct w:val="0"/>
        <w:spacing w:before="240" w:after="120"/>
      </w:pPr>
      <w:bookmarkStart w:id="11" w:name="_GoBack"/>
      <w:bookmarkEnd w:id="11"/>
      <w:r>
        <w:rPr>
          <w:rFonts w:hint="eastAsia" w:ascii="宋体" w:hAnsi="宋体" w:eastAsia="宋体"/>
          <w:highlight w:val="none"/>
          <w:lang w:val="en-US" w:eastAsia="zh-CN"/>
        </w:rPr>
        <w:t>附件3：营业执照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Tahoma">
    <w:altName w:val="DejaVu Sans"/>
    <w:panose1 w:val="020B0604030504040204"/>
    <w:charset w:val="00"/>
    <w:family w:val="swiss"/>
    <w:pitch w:val="default"/>
    <w:sig w:usb0="00000000" w:usb1="00000000" w:usb2="00000029" w:usb3="00000000" w:csb0="200101FF" w:csb1="20280000"/>
  </w:font>
  <w:font w:name="微软雅黑 Light">
    <w:altName w:val="方正黑体_GBK"/>
    <w:panose1 w:val="020B0502040204020203"/>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tabs>
        <w:tab w:val="right" w:pos="8278"/>
        <w:tab w:val="clear" w:pos="8306"/>
      </w:tabs>
      <w:spacing w:after="120" w:line="276" w:lineRule="auto"/>
      <w:jc w:val="center"/>
      <w:rPr>
        <w:rFonts w:hint="default" w:ascii="宋体" w:hAnsi="宋体" w:eastAsia="宋体"/>
        <w:sz w:val="18"/>
        <w:szCs w:val="18"/>
        <w:lang w:val="en-US" w:eastAsia="zh-CN"/>
      </w:rPr>
    </w:pPr>
    <w:r>
      <w:rPr>
        <w:rFonts w:hint="eastAsia" w:ascii="宋体" w:hAnsi="宋体" w:eastAsia="宋体" w:cs="宋体"/>
        <w:b w:val="0"/>
        <w:bCs/>
        <w:i w:val="0"/>
        <w:iCs w:val="0"/>
        <w:color w:val="0070C0"/>
        <w:sz w:val="18"/>
        <w:szCs w:val="18"/>
        <w:highlight w:val="none"/>
        <w:u w:val="none"/>
        <w:lang w:val="en-US"/>
      </w:rPr>
      <w:drawing>
        <wp:anchor distT="0" distB="0" distL="114300" distR="114300" simplePos="0" relativeHeight="251659264" behindDoc="1" locked="0" layoutInCell="1" allowOverlap="1">
          <wp:simplePos x="0" y="0"/>
          <wp:positionH relativeFrom="column">
            <wp:posOffset>27940</wp:posOffset>
          </wp:positionH>
          <wp:positionV relativeFrom="paragraph">
            <wp:posOffset>-102235</wp:posOffset>
          </wp:positionV>
          <wp:extent cx="488950" cy="248285"/>
          <wp:effectExtent l="0" t="0" r="6350" b="18415"/>
          <wp:wrapTopAndBottom/>
          <wp:docPr id="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8950" cy="248285"/>
                  </a:xfrm>
                  <a:prstGeom prst="rect">
                    <a:avLst/>
                  </a:prstGeom>
                </pic:spPr>
              </pic:pic>
            </a:graphicData>
          </a:graphic>
        </wp:anchor>
      </w:drawing>
    </w:r>
    <w:r>
      <w:rPr>
        <w:rFonts w:hint="eastAsia" w:ascii="宋体" w:hAnsi="宋体" w:eastAsia="宋体" w:cs="宋体"/>
        <w:b w:val="0"/>
        <w:bCs/>
        <w:i w:val="0"/>
        <w:iCs w:val="0"/>
        <w:color w:val="0070C0"/>
        <w:sz w:val="18"/>
        <w:szCs w:val="18"/>
        <w:highlight w:val="none"/>
        <w:u w:val="none"/>
        <w:lang w:val="en-US"/>
      </w:rPr>
      <w:t>铀纯化老生产线安全环保升级改造工程—原料周转厂房预应力混凝土双T板</w:t>
    </w:r>
    <w:r>
      <w:rPr>
        <w:rFonts w:hint="eastAsia" w:ascii="宋体" w:hAnsi="宋体" w:cs="宋体"/>
        <w:b w:val="0"/>
        <w:bCs/>
        <w:i w:val="0"/>
        <w:iCs w:val="0"/>
        <w:color w:val="auto"/>
        <w:sz w:val="18"/>
        <w:szCs w:val="18"/>
        <w:highlight w:val="none"/>
        <w:u w:val="none"/>
        <w:lang w:val="en-US" w:eastAsia="zh-CN"/>
      </w:rPr>
      <w:t>询比</w:t>
    </w:r>
    <w:r>
      <w:rPr>
        <w:rFonts w:hint="eastAsia" w:ascii="宋体" w:hAnsi="宋体"/>
        <w:sz w:val="18"/>
        <w:szCs w:val="18"/>
      </w:rPr>
      <w:t>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2D0B07"/>
    <w:multiLevelType w:val="multilevel"/>
    <w:tmpl w:val="2B2D0B07"/>
    <w:lvl w:ilvl="0" w:tentative="0">
      <w:start w:val="1"/>
      <w:numFmt w:val="decimal"/>
      <w:pStyle w:val="16"/>
      <w:suff w:val="nothing"/>
      <w:lvlText w:val="（%1）"/>
      <w:lvlJc w:val="left"/>
      <w:pPr>
        <w:ind w:left="1969" w:hanging="420"/>
      </w:pPr>
    </w:lvl>
    <w:lvl w:ilvl="1" w:tentative="0">
      <w:start w:val="1"/>
      <w:numFmt w:val="lowerLetter"/>
      <w:suff w:val="nothing"/>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30466F7"/>
    <w:multiLevelType w:val="multilevel"/>
    <w:tmpl w:val="330466F7"/>
    <w:lvl w:ilvl="0" w:tentative="0">
      <w:start w:val="1"/>
      <w:numFmt w:val="chineseCountingThousand"/>
      <w:pStyle w:val="8"/>
      <w:suff w:val="nothing"/>
      <w:lvlText w:val="第%1章　"/>
      <w:lvlJc w:val="left"/>
      <w:pPr>
        <w:ind w:left="1680" w:firstLine="0"/>
      </w:pPr>
    </w:lvl>
    <w:lvl w:ilvl="1" w:tentative="0">
      <w:start w:val="1"/>
      <w:numFmt w:val="lowerLetter"/>
      <w:lvlText w:val="%2)"/>
      <w:lvlJc w:val="left"/>
      <w:pPr>
        <w:tabs>
          <w:tab w:val="left" w:pos="-840"/>
        </w:tabs>
        <w:ind w:left="0" w:hanging="420"/>
      </w:pPr>
    </w:lvl>
    <w:lvl w:ilvl="2" w:tentative="0">
      <w:start w:val="1"/>
      <w:numFmt w:val="lowerRoman"/>
      <w:lvlText w:val="%3."/>
      <w:lvlJc w:val="right"/>
      <w:pPr>
        <w:tabs>
          <w:tab w:val="left" w:pos="-840"/>
        </w:tabs>
        <w:ind w:left="420" w:hanging="420"/>
      </w:pPr>
    </w:lvl>
    <w:lvl w:ilvl="3" w:tentative="0">
      <w:start w:val="1"/>
      <w:numFmt w:val="decimal"/>
      <w:lvlText w:val="%4."/>
      <w:lvlJc w:val="left"/>
      <w:pPr>
        <w:tabs>
          <w:tab w:val="left" w:pos="-840"/>
        </w:tabs>
        <w:ind w:left="840" w:hanging="420"/>
      </w:pPr>
    </w:lvl>
    <w:lvl w:ilvl="4" w:tentative="0">
      <w:start w:val="1"/>
      <w:numFmt w:val="lowerLetter"/>
      <w:lvlText w:val="%5)"/>
      <w:lvlJc w:val="left"/>
      <w:pPr>
        <w:tabs>
          <w:tab w:val="left" w:pos="-840"/>
        </w:tabs>
        <w:ind w:left="1260" w:hanging="420"/>
      </w:pPr>
    </w:lvl>
    <w:lvl w:ilvl="5" w:tentative="0">
      <w:start w:val="1"/>
      <w:numFmt w:val="lowerRoman"/>
      <w:lvlText w:val="%6."/>
      <w:lvlJc w:val="right"/>
      <w:pPr>
        <w:tabs>
          <w:tab w:val="left" w:pos="-840"/>
        </w:tabs>
        <w:ind w:left="1680" w:hanging="420"/>
      </w:pPr>
    </w:lvl>
    <w:lvl w:ilvl="6" w:tentative="0">
      <w:start w:val="1"/>
      <w:numFmt w:val="decimal"/>
      <w:lvlText w:val="%7."/>
      <w:lvlJc w:val="left"/>
      <w:pPr>
        <w:tabs>
          <w:tab w:val="left" w:pos="-840"/>
        </w:tabs>
        <w:ind w:left="2100" w:hanging="420"/>
      </w:pPr>
    </w:lvl>
    <w:lvl w:ilvl="7" w:tentative="0">
      <w:start w:val="1"/>
      <w:numFmt w:val="lowerLetter"/>
      <w:lvlText w:val="%8)"/>
      <w:lvlJc w:val="left"/>
      <w:pPr>
        <w:tabs>
          <w:tab w:val="left" w:pos="-840"/>
        </w:tabs>
        <w:ind w:left="2520" w:hanging="420"/>
      </w:pPr>
    </w:lvl>
    <w:lvl w:ilvl="8" w:tentative="0">
      <w:start w:val="1"/>
      <w:numFmt w:val="lowerRoman"/>
      <w:lvlText w:val="%9."/>
      <w:lvlJc w:val="right"/>
      <w:pPr>
        <w:tabs>
          <w:tab w:val="left" w:pos="-840"/>
        </w:tabs>
        <w:ind w:left="2940" w:hanging="420"/>
      </w:pPr>
    </w:lvl>
  </w:abstractNum>
  <w:abstractNum w:abstractNumId="2">
    <w:nsid w:val="4C371B58"/>
    <w:multiLevelType w:val="multilevel"/>
    <w:tmpl w:val="4C371B58"/>
    <w:lvl w:ilvl="0" w:tentative="0">
      <w:start w:val="1"/>
      <w:numFmt w:val="decimal"/>
      <w:pStyle w:val="10"/>
      <w:suff w:val="nothing"/>
      <w:lvlText w:val="%1　"/>
      <w:lvlJc w:val="left"/>
      <w:pPr>
        <w:ind w:left="0" w:firstLine="0"/>
      </w:pPr>
      <w:rPr>
        <w:b w:val="0"/>
        <w:bCs/>
      </w:rPr>
    </w:lvl>
    <w:lvl w:ilvl="1" w:tentative="0">
      <w:start w:val="1"/>
      <w:numFmt w:val="decimal"/>
      <w:pStyle w:val="12"/>
      <w:suff w:val="nothing"/>
      <w:lvlText w:val="%1.%2　"/>
      <w:lvlJc w:val="left"/>
      <w:pPr>
        <w:ind w:left="0" w:firstLine="0"/>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2" w:tentative="0">
      <w:start w:val="1"/>
      <w:numFmt w:val="decimal"/>
      <w:pStyle w:val="14"/>
      <w:suff w:val="nothing"/>
      <w:lvlText w:val="%1.%2.%3　"/>
      <w:lvlJc w:val="left"/>
      <w:pPr>
        <w:ind w:left="420" w:hanging="709"/>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3" w:tentative="0">
      <w:start w:val="1"/>
      <w:numFmt w:val="decimal"/>
      <w:suff w:val="nothing"/>
      <w:lvlText w:val="%1.%2.%3.%4　"/>
      <w:lvlJc w:val="left"/>
      <w:pPr>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
    <w:nsid w:val="58A905A0"/>
    <w:multiLevelType w:val="multilevel"/>
    <w:tmpl w:val="58A905A0"/>
    <w:lvl w:ilvl="0" w:tentative="0">
      <w:start w:val="1"/>
      <w:numFmt w:val="decimal"/>
      <w:suff w:val="space"/>
      <w:lvlText w:val="%1"/>
      <w:lvlJc w:val="left"/>
      <w:pPr>
        <w:ind w:left="850" w:firstLine="0"/>
      </w:pPr>
    </w:lvl>
    <w:lvl w:ilvl="1" w:tentative="0">
      <w:start w:val="1"/>
      <w:numFmt w:val="decimal"/>
      <w:pStyle w:val="13"/>
      <w:suff w:val="space"/>
      <w:lvlText w:val="%1.%2"/>
      <w:lvlJc w:val="left"/>
      <w:pPr>
        <w:ind w:left="1275" w:hanging="425"/>
      </w:pPr>
    </w:lvl>
    <w:lvl w:ilvl="2" w:tentative="0">
      <w:start w:val="1"/>
      <w:numFmt w:val="decimal"/>
      <w:suff w:val="space"/>
      <w:lvlText w:val="%1.%2.%3"/>
      <w:lvlJc w:val="left"/>
      <w:pPr>
        <w:ind w:left="993" w:hanging="425"/>
      </w:pPr>
    </w:lvl>
    <w:lvl w:ilvl="3" w:tentative="0">
      <w:start w:val="1"/>
      <w:numFmt w:val="decimal"/>
      <w:suff w:val="space"/>
      <w:lvlText w:val="%1.%2.%3.%4"/>
      <w:lvlJc w:val="left"/>
      <w:pPr>
        <w:ind w:left="425" w:hanging="425"/>
      </w:pPr>
    </w:lvl>
    <w:lvl w:ilvl="4" w:tentative="0">
      <w:start w:val="1"/>
      <w:numFmt w:val="decimal"/>
      <w:lvlText w:val="%1.%2.%3.%4.%5"/>
      <w:lvlJc w:val="left"/>
      <w:pPr>
        <w:ind w:left="425" w:hanging="425"/>
      </w:pPr>
    </w:lvl>
    <w:lvl w:ilvl="5" w:tentative="0">
      <w:start w:val="1"/>
      <w:numFmt w:val="decimal"/>
      <w:lvlText w:val="%1.%2.%3.%4.%5.%6"/>
      <w:lvlJc w:val="left"/>
      <w:pPr>
        <w:ind w:left="425" w:hanging="425"/>
      </w:pPr>
    </w:lvl>
    <w:lvl w:ilvl="6" w:tentative="0">
      <w:start w:val="1"/>
      <w:numFmt w:val="decimal"/>
      <w:lvlText w:val="%1.%2.%3.%4.%5.%6.%7"/>
      <w:lvlJc w:val="left"/>
      <w:pPr>
        <w:ind w:left="425" w:hanging="425"/>
      </w:pPr>
    </w:lvl>
    <w:lvl w:ilvl="7" w:tentative="0">
      <w:start w:val="1"/>
      <w:numFmt w:val="decimal"/>
      <w:lvlText w:val="%1.%2.%3.%4.%5.%6.%7.%8"/>
      <w:lvlJc w:val="left"/>
      <w:pPr>
        <w:ind w:left="425" w:hanging="425"/>
      </w:pPr>
    </w:lvl>
    <w:lvl w:ilvl="8" w:tentative="0">
      <w:start w:val="1"/>
      <w:numFmt w:val="decimal"/>
      <w:lvlText w:val="%1.%2.%3.%4.%5.%6.%7.%8.%9"/>
      <w:lvlJc w:val="left"/>
      <w:pPr>
        <w:ind w:left="425" w:hanging="425"/>
      </w:pPr>
    </w:lvl>
  </w:abstractNum>
  <w:num w:numId="1">
    <w:abstractNumId w:val="1"/>
  </w:num>
  <w:num w:numId="2">
    <w:abstractNumId w:val="2"/>
  </w:num>
  <w:num w:numId="3">
    <w:abstractNumId w:val="3"/>
  </w:num>
  <w:num w:numId="4">
    <w:abstractNumId w:val="0"/>
  </w:num>
  <w:num w:numId="5">
    <w:abstractNumId w:val="1"/>
    <w:lvlOverride w:ilvl="0">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B0C78"/>
    <w:rsid w:val="7CEB0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无间隔1"/>
    <w:basedOn w:val="1"/>
    <w:qFormat/>
    <w:uiPriority w:val="1"/>
    <w:pPr>
      <w:spacing w:line="400" w:lineRule="exact"/>
    </w:pPr>
    <w:rPr>
      <w:sz w:val="24"/>
    </w:rPr>
  </w:style>
  <w:style w:type="paragraph" w:styleId="3">
    <w:name w:val="footer"/>
    <w:basedOn w:val="1"/>
    <w:qFormat/>
    <w:uiPriority w:val="99"/>
    <w:pPr>
      <w:tabs>
        <w:tab w:val="center" w:pos="4153"/>
        <w:tab w:val="right" w:pos="8306"/>
      </w:tabs>
      <w:snapToGrid w:val="0"/>
      <w:jc w:val="right"/>
    </w:pPr>
    <w:rPr>
      <w:rFonts w:ascii="宋体" w:hAnsi="Calibri" w:eastAsia="宋体" w:cs="Times New Roman"/>
      <w:sz w:val="18"/>
      <w:szCs w:val="18"/>
    </w:rPr>
  </w:style>
  <w:style w:type="paragraph" w:styleId="4">
    <w:name w:val="header"/>
    <w:basedOn w:val="1"/>
    <w:qFormat/>
    <w:uiPriority w:val="99"/>
    <w:pPr>
      <w:tabs>
        <w:tab w:val="center" w:pos="4153"/>
        <w:tab w:val="right" w:pos="8306"/>
      </w:tabs>
      <w:snapToGrid w:val="0"/>
      <w:spacing w:line="400" w:lineRule="exact"/>
      <w:jc w:val="center"/>
    </w:pPr>
    <w:rPr>
      <w:rFonts w:ascii="Calibri" w:hAnsi="Calibri" w:eastAsia="宋体" w:cs="Times New Roman"/>
      <w:sz w:val="18"/>
      <w:szCs w:val="18"/>
    </w:rPr>
  </w:style>
  <w:style w:type="paragraph" w:styleId="5">
    <w:name w:val="Normal (Web)"/>
    <w:basedOn w:val="1"/>
    <w:qFormat/>
    <w:uiPriority w:val="99"/>
    <w:pPr>
      <w:widowControl/>
      <w:spacing w:before="100" w:beforeAutospacing="1" w:after="100" w:afterAutospacing="1" w:line="360" w:lineRule="auto"/>
      <w:ind w:firstLine="200" w:firstLineChars="200"/>
      <w:jc w:val="left"/>
    </w:pPr>
    <w:rPr>
      <w:rFonts w:ascii="宋体" w:hAnsi="宋体" w:eastAsia="宋体" w:cs="Times New Roman"/>
      <w:kern w:val="0"/>
      <w:sz w:val="24"/>
      <w:szCs w:val="24"/>
    </w:rPr>
  </w:style>
  <w:style w:type="paragraph" w:customStyle="1" w:styleId="8">
    <w:name w:val="1 Char"/>
    <w:basedOn w:val="1"/>
    <w:qFormat/>
    <w:uiPriority w:val="0"/>
    <w:pPr>
      <w:widowControl/>
      <w:numPr>
        <w:ilvl w:val="0"/>
        <w:numId w:val="1"/>
      </w:numPr>
      <w:spacing w:after="468" w:afterLines="150"/>
      <w:jc w:val="center"/>
      <w:outlineLvl w:val="1"/>
    </w:pPr>
    <w:rPr>
      <w:rFonts w:ascii="微软雅黑" w:hAnsi="微软雅黑" w:eastAsia="微软雅黑" w:cs="Times New Roman"/>
      <w:bCs/>
      <w:sz w:val="32"/>
      <w:szCs w:val="24"/>
    </w:rPr>
  </w:style>
  <w:style w:type="paragraph" w:customStyle="1" w:styleId="9">
    <w:name w:val="１副标题"/>
    <w:basedOn w:val="1"/>
    <w:qFormat/>
    <w:uiPriority w:val="0"/>
    <w:pPr>
      <w:widowControl/>
      <w:spacing w:after="120" w:afterLines="50" w:line="360" w:lineRule="auto"/>
      <w:jc w:val="center"/>
    </w:pPr>
    <w:rPr>
      <w:rFonts w:ascii="黑体" w:hAnsi="黑体" w:eastAsia="黑体" w:cs="Tahoma"/>
      <w:bCs/>
      <w:sz w:val="28"/>
      <w:szCs w:val="28"/>
    </w:rPr>
  </w:style>
  <w:style w:type="paragraph" w:customStyle="1" w:styleId="10">
    <w:name w:val="1级标题"/>
    <w:basedOn w:val="11"/>
    <w:qFormat/>
    <w:uiPriority w:val="0"/>
    <w:pPr>
      <w:numPr>
        <w:ilvl w:val="0"/>
        <w:numId w:val="2"/>
      </w:numPr>
      <w:spacing w:before="100" w:beforeLines="100" w:after="50" w:afterLines="50"/>
      <w:ind w:firstLineChars="0"/>
      <w:outlineLvl w:val="2"/>
    </w:pPr>
    <w:rPr>
      <w:rFonts w:ascii="微软雅黑" w:hAnsi="微软雅黑" w:eastAsia="微软雅黑"/>
      <w:kern w:val="0"/>
      <w:sz w:val="21"/>
      <w:szCs w:val="28"/>
    </w:rPr>
  </w:style>
  <w:style w:type="paragraph" w:styleId="11">
    <w:name w:val="List Paragraph"/>
    <w:basedOn w:val="1"/>
    <w:qFormat/>
    <w:uiPriority w:val="34"/>
    <w:pPr>
      <w:spacing w:line="360" w:lineRule="auto"/>
      <w:ind w:firstLine="420" w:firstLineChars="200"/>
    </w:pPr>
    <w:rPr>
      <w:rFonts w:ascii="Calibri" w:hAnsi="Calibri" w:eastAsia="宋体" w:cs="Times New Roman"/>
      <w:sz w:val="24"/>
    </w:rPr>
  </w:style>
  <w:style w:type="paragraph" w:customStyle="1" w:styleId="12">
    <w:name w:val="2级标题"/>
    <w:basedOn w:val="10"/>
    <w:next w:val="13"/>
    <w:qFormat/>
    <w:uiPriority w:val="0"/>
    <w:pPr>
      <w:widowControl/>
      <w:numPr>
        <w:ilvl w:val="1"/>
      </w:numPr>
      <w:wordWrap w:val="0"/>
      <w:spacing w:before="50" w:beforeLines="50"/>
      <w:jc w:val="left"/>
      <w:outlineLvl w:val="9"/>
    </w:pPr>
    <w:rPr>
      <w:bCs/>
    </w:rPr>
  </w:style>
  <w:style w:type="paragraph" w:customStyle="1" w:styleId="13">
    <w:name w:val="3级标题"/>
    <w:basedOn w:val="12"/>
    <w:next w:val="14"/>
    <w:qFormat/>
    <w:uiPriority w:val="0"/>
    <w:pPr>
      <w:numPr>
        <w:numId w:val="3"/>
      </w:numPr>
    </w:pPr>
    <w:rPr>
      <w:b/>
      <w:szCs w:val="20"/>
    </w:rPr>
  </w:style>
  <w:style w:type="paragraph" w:customStyle="1" w:styleId="14">
    <w:name w:val="4级标题"/>
    <w:basedOn w:val="12"/>
    <w:qFormat/>
    <w:uiPriority w:val="0"/>
    <w:pPr>
      <w:numPr>
        <w:ilvl w:val="2"/>
      </w:numPr>
      <w:overflowPunct w:val="0"/>
      <w:adjustRightInd w:val="0"/>
      <w:spacing w:before="0" w:beforeLines="0" w:after="120"/>
    </w:pPr>
    <w:rPr>
      <w:rFonts w:ascii="微软雅黑 Light" w:hAnsi="微软雅黑 Light" w:eastAsia="微软雅黑 Light"/>
    </w:rPr>
  </w:style>
  <w:style w:type="paragraph" w:customStyle="1" w:styleId="15">
    <w:name w:val="１正文模板"/>
    <w:basedOn w:val="1"/>
    <w:qFormat/>
    <w:uiPriority w:val="0"/>
    <w:pPr>
      <w:widowControl/>
      <w:wordWrap w:val="0"/>
      <w:overflowPunct w:val="0"/>
      <w:adjustRightInd w:val="0"/>
      <w:spacing w:line="360" w:lineRule="auto"/>
      <w:ind w:firstLine="420" w:firstLineChars="200"/>
      <w:jc w:val="left"/>
    </w:pPr>
    <w:rPr>
      <w:rFonts w:ascii="微软雅黑 Light" w:hAnsi="微软雅黑 Light" w:eastAsia="微软雅黑 Light" w:cs="Times New Roman"/>
      <w:kern w:val="0"/>
      <w:szCs w:val="21"/>
    </w:rPr>
  </w:style>
  <w:style w:type="paragraph" w:customStyle="1" w:styleId="16">
    <w:name w:val="A　小括号"/>
    <w:basedOn w:val="15"/>
    <w:qFormat/>
    <w:uiPriority w:val="0"/>
    <w:pPr>
      <w:numPr>
        <w:ilvl w:val="0"/>
        <w:numId w:val="4"/>
      </w:numPr>
      <w:overflowPunct/>
      <w:ind w:firstLine="0" w:firstLineChars="0"/>
    </w:pPr>
  </w:style>
  <w:style w:type="paragraph" w:customStyle="1" w:styleId="17">
    <w:name w:val="1后缀"/>
    <w:basedOn w:val="15"/>
    <w:next w:val="5"/>
    <w:qFormat/>
    <w:uiPriority w:val="0"/>
    <w:pPr>
      <w:spacing w:before="50" w:beforeLines="50" w:after="50" w:afterLines="50"/>
      <w:jc w:val="right"/>
    </w:pPr>
  </w:style>
  <w:style w:type="paragraph" w:customStyle="1" w:styleId="18">
    <w:name w:val="标准文件_页脚奇数页"/>
    <w:qFormat/>
    <w:uiPriority w:val="0"/>
    <w:pPr>
      <w:ind w:right="227"/>
      <w:jc w:val="right"/>
    </w:pPr>
    <w:rPr>
      <w:rFonts w:ascii="宋体" w:hAnsi="Times New Roman" w:eastAsia="宋体" w:cs="Times New Roman"/>
      <w:kern w:val="0"/>
      <w:sz w:val="18"/>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2025-03-26T10:22:00Z</dcterms:created>
  <dc:creator>geit</dc:creator>
  <cp:lastModifiedBy>geit</cp:lastModifiedBy>
  <dcterms:modified xsi:type="dcterms:W3CDTF">2025-03-26T10:23:39Z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C66EBE08B3FF8D33EB64E367B0E842B2</vt:lpwstr>
  </property>
</Properties>
</file>