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参选材料提交要求</w:t>
      </w:r>
    </w:p>
    <w:tbl>
      <w:tblPr>
        <w:tblStyle w:val="3"/>
        <w:tblW w:w="8359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324"/>
        <w:gridCol w:w="4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材料名称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内容及格式要求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资格审查基本信息表（见附件2）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表格打印，贴在密封的参选材料外侧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eastAsia="方正楷体_GBK" w:cs="方正楷体_GBK"/>
                <w:b/>
                <w:bCs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  <w:t>参选材料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eastAsia="方正楷体_GBK" w:cs="方正楷体_GBK"/>
                <w:b/>
                <w:bCs/>
                <w:sz w:val="28"/>
                <w:szCs w:val="28"/>
                <w:vertAlign w:val="baseline"/>
                <w:lang w:eastAsia="zh-CN"/>
              </w:rPr>
              <w:t>按要求提供并按顺序装订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目录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注明材料所在页码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联系人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及联系方式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法律服务费用组成及报价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包含常规法律服务报价和代理复议、诉讼、仲裁报价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律师事务所执业许可证复印件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加盖律所公章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律师事务所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执业年限、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执业律师人数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分所数量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证明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提供“江苏省法律服务机构法律服务人员信息公开平台”截图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方正楷体_GBK" w:eastAsia="方正楷体_GBK" w:cs="方正楷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律师事务所近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年度考核结果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及过往荣誉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楷体_GBK" w:eastAsia="方正楷体_GBK" w:cs="方正楷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提供“江苏省法律服务机构法律服务人员信息公开平台”截图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律师事务所近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3年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未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受过司法行政部门处罚及律师协会纪律处分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承诺书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exac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楷体_GBK" w:eastAsia="方正楷体_GBK" w:cs="方正楷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律师事务所不同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时期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为履职所涉重要利益关联方提供法律服务承诺书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楷体_GBK" w:eastAsia="方正楷体_GBK" w:cs="方正楷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材料名称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方正黑体_GBK" w:eastAsia="方正黑体_GBK" w:cs="方正黑体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内容及格式要求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exac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律师团队成员信息表（每个成员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1张表格，见附件3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按在团队中的分工、姓名、专业、学历、执业年限、在团队中的分工、重大相关法律服务经验、担任法律顾问经验、目前提供法律顾问服务的部门、获得奖励情况、其他说明事项的顺序排列。（党员、现场办公人员需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exac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律师团队成员信息证明材料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根据《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律师团队成员信息表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》中信息顺序提供相应证明材料，法律服务经验材料、政府部门法律顾问材料、奖励情况等证明文件中应有相应律师姓名；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执业年限证明需提供“江苏省法律服务机构法律服务人员信息公开平台”截图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响应时间说明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列明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指派律师提供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法律顾问服务的响应时间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律师团队成员历年年度考核情况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提供“江苏省法律服务机构法律服务人员信息公开平台”截图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  <w:t>未受过刑事处罚、行政处罚或者律师协会纪律处分承诺书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其他需要说明的事项及证明材料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eastAsia="宋体" w:cs="宋体"/>
          <w:sz w:val="32"/>
          <w:szCs w:val="32"/>
          <w:lang w:eastAsia="zh-CN"/>
        </w:rPr>
      </w:pPr>
      <w:r>
        <w:rPr>
          <w:rFonts w:hint="eastAsia" w:ascii="方正楷体_GBK" w:eastAsia="方正楷体_GBK" w:cs="方正楷体_GBK"/>
          <w:sz w:val="32"/>
          <w:szCs w:val="32"/>
          <w:lang w:eastAsia="zh-CN"/>
        </w:rPr>
        <w:t>说明：</w:t>
      </w:r>
      <w:r>
        <w:rPr>
          <w:rFonts w:hint="eastAsia" w:ascii="方正楷体_GBK" w:eastAsia="方正楷体_GBK" w:cs="方正楷体_GBK"/>
          <w:sz w:val="32"/>
          <w:szCs w:val="32"/>
          <w:vertAlign w:val="baseline"/>
          <w:lang w:eastAsia="zh-CN"/>
        </w:rPr>
        <w:t>“江苏省法律服务机构法律服务人员信息公开平台”可通过南京市司法局官网—政务服务—便民查询—律师事务所及律师查询登录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24"/>
          <w:szCs w:val="24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资格审查基本信息表</w:t>
      </w:r>
    </w:p>
    <w:p>
      <w:pPr>
        <w:rPr>
          <w:rFonts w:hint="eastAsia" w:ascii="Times New Roman" w:hAnsi="Times New Roman"/>
        </w:rPr>
      </w:pPr>
    </w:p>
    <w:tbl>
      <w:tblPr>
        <w:tblStyle w:val="3"/>
        <w:tblW w:w="8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970"/>
        <w:gridCol w:w="1896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8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律所信息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参选律所名称</w:t>
            </w:r>
          </w:p>
        </w:tc>
        <w:tc>
          <w:tcPr>
            <w:tcW w:w="5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住所（经营场所）</w:t>
            </w:r>
          </w:p>
        </w:tc>
        <w:tc>
          <w:tcPr>
            <w:tcW w:w="5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成立时间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律师人数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年度法律顾问费</w:t>
            </w:r>
          </w:p>
        </w:tc>
        <w:tc>
          <w:tcPr>
            <w:tcW w:w="5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</w:tc>
      </w:tr>
    </w:tbl>
    <w:p/>
    <w:p/>
    <w:p/>
    <w:p/>
    <w:p/>
    <w:p>
      <w:pPr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Times New Roman" w:hAnsi="Times New Roman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  <w:lang w:val="en-US" w:eastAsia="zh-CN"/>
        </w:rPr>
        <w:t>律师团队成员信息表</w:t>
      </w:r>
    </w:p>
    <w:p>
      <w:pPr>
        <w:jc w:val="center"/>
        <w:rPr>
          <w:rFonts w:hint="eastAsia" w:ascii="Times New Roman" w:hAnsi="Times New Roman" w:eastAsia="方正小标宋_GBK" w:cs="方正小标宋_GBK"/>
          <w:sz w:val="40"/>
          <w:szCs w:val="40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执业年限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是否党员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可否坐班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是否团队负责人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在团队中分工</w:t>
            </w: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重大法律服务经验</w:t>
            </w:r>
          </w:p>
        </w:tc>
        <w:tc>
          <w:tcPr>
            <w:tcW w:w="7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担任法律顾问经验</w:t>
            </w:r>
          </w:p>
        </w:tc>
        <w:tc>
          <w:tcPr>
            <w:tcW w:w="7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获得奖励情况</w:t>
            </w:r>
          </w:p>
        </w:tc>
        <w:tc>
          <w:tcPr>
            <w:tcW w:w="7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7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2024-05-06T08:43:03Z</dcterms:created>
  <dc:creator>lenovo</dc:creator>
  <cp:lastModifiedBy>lenovo</cp:lastModifiedBy>
  <dcterms:modified xsi:type="dcterms:W3CDTF">2024-05-06T08:43:11Z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