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jc w:val="center"/>
        <w:rPr>
          <w:rFonts w:ascii="黑体" w:hAnsi="黑体" w:eastAsia="黑体"/>
          <w:sz w:val="48"/>
          <w:szCs w:val="48"/>
        </w:rPr>
      </w:pPr>
    </w:p>
    <w:p>
      <w:pPr>
        <w:ind w:firstLine="0" w:firstLineChars="0"/>
        <w:jc w:val="center"/>
        <w:rPr>
          <w:rFonts w:ascii="黑体" w:hAnsi="黑体" w:eastAsia="黑体"/>
          <w:sz w:val="48"/>
          <w:szCs w:val="48"/>
        </w:rPr>
      </w:pPr>
    </w:p>
    <w:p>
      <w:pPr>
        <w:ind w:firstLine="0" w:firstLineChars="0"/>
        <w:jc w:val="center"/>
        <w:rPr>
          <w:rFonts w:ascii="黑体" w:hAnsi="黑体" w:eastAsia="黑体"/>
          <w:sz w:val="52"/>
          <w:szCs w:val="52"/>
        </w:rPr>
      </w:pPr>
      <w:r>
        <w:rPr>
          <w:rFonts w:hint="eastAsia" w:ascii="黑体" w:hAnsi="黑体" w:eastAsia="黑体"/>
          <w:sz w:val="52"/>
          <w:szCs w:val="52"/>
        </w:rPr>
        <w:t>上海市单用途预付卡协同监管服务平台（一期）建设项目</w:t>
      </w:r>
    </w:p>
    <w:p>
      <w:pPr>
        <w:ind w:firstLine="0" w:firstLineChars="0"/>
        <w:jc w:val="center"/>
        <w:rPr>
          <w:rFonts w:ascii="黑体" w:hAnsi="黑体" w:eastAsia="黑体"/>
          <w:sz w:val="52"/>
          <w:szCs w:val="52"/>
        </w:rPr>
      </w:pPr>
      <w:r>
        <w:rPr>
          <w:rFonts w:hint="eastAsia" w:ascii="黑体" w:hAnsi="黑体" w:eastAsia="黑体"/>
          <w:sz w:val="52"/>
          <w:szCs w:val="52"/>
        </w:rPr>
        <w:t>采购需求</w:t>
      </w:r>
    </w:p>
    <w:p>
      <w:pPr>
        <w:ind w:firstLine="0" w:firstLineChars="0"/>
        <w:jc w:val="center"/>
        <w:rPr>
          <w:rFonts w:ascii="黑体" w:hAnsi="黑体" w:eastAsia="黑体"/>
          <w:sz w:val="72"/>
          <w:szCs w:val="72"/>
        </w:rPr>
      </w:pPr>
    </w:p>
    <w:p>
      <w:pPr>
        <w:ind w:firstLine="0" w:firstLineChars="0"/>
        <w:jc w:val="center"/>
        <w:rPr>
          <w:rFonts w:ascii="黑体" w:hAnsi="黑体" w:eastAsia="黑体"/>
          <w:sz w:val="48"/>
          <w:szCs w:val="48"/>
        </w:rPr>
      </w:pPr>
    </w:p>
    <w:p>
      <w:pPr>
        <w:ind w:firstLine="0" w:firstLineChars="0"/>
        <w:jc w:val="center"/>
        <w:rPr>
          <w:rFonts w:ascii="黑体" w:hAnsi="黑体" w:eastAsia="黑体"/>
          <w:sz w:val="52"/>
          <w:szCs w:val="52"/>
        </w:rPr>
      </w:pPr>
    </w:p>
    <w:p>
      <w:pPr>
        <w:ind w:firstLine="1040"/>
        <w:rPr>
          <w:rFonts w:ascii="黑体" w:hAnsi="黑体" w:eastAsia="黑体"/>
          <w:sz w:val="52"/>
          <w:szCs w:val="52"/>
        </w:rPr>
      </w:pPr>
    </w:p>
    <w:p/>
    <w:p/>
    <w:p/>
    <w:p/>
    <w:p/>
    <w:p>
      <w:pPr>
        <w:ind w:firstLine="1040"/>
        <w:rPr>
          <w:rFonts w:ascii="黑体" w:hAnsi="黑体" w:eastAsia="黑体"/>
          <w:sz w:val="52"/>
          <w:szCs w:val="52"/>
        </w:rPr>
      </w:pPr>
    </w:p>
    <w:p>
      <w:pPr>
        <w:jc w:val="center"/>
        <w:sectPr>
          <w:headerReference r:id="rId7" w:type="first"/>
          <w:footerReference r:id="rId10" w:type="first"/>
          <w:headerReference r:id="rId5" w:type="default"/>
          <w:footerReference r:id="rId8" w:type="default"/>
          <w:headerReference r:id="rId6" w:type="even"/>
          <w:footerReference r:id="rId9" w:type="even"/>
          <w:pgSz w:w="11906" w:h="16838"/>
          <w:pgMar w:top="1134" w:right="1797" w:bottom="1135" w:left="1797" w:header="340" w:footer="7" w:gutter="0"/>
          <w:pgNumType w:start="1"/>
          <w:cols w:space="720" w:num="1"/>
          <w:titlePg/>
          <w:docGrid w:type="linesAndChars" w:linePitch="326" w:charSpace="0"/>
        </w:sectPr>
      </w:pPr>
      <w:bookmarkStart w:id="39" w:name="_GoBack"/>
      <w:bookmarkEnd w:id="39"/>
    </w:p>
    <w:p>
      <w:pPr>
        <w:pStyle w:val="2"/>
      </w:pPr>
      <w:bookmarkStart w:id="0" w:name="_Toc63785461"/>
      <w:r>
        <w:rPr>
          <w:rFonts w:hint="eastAsia"/>
        </w:rPr>
        <w:t>项目概况</w:t>
      </w:r>
      <w:bookmarkEnd w:id="0"/>
    </w:p>
    <w:p>
      <w:pPr>
        <w:spacing w:line="560" w:lineRule="exact"/>
      </w:pPr>
      <w:r>
        <w:rPr>
          <w:rFonts w:hint="eastAsia"/>
        </w:rPr>
        <w:t>项目背景和现状：</w:t>
      </w:r>
    </w:p>
    <w:p>
      <w:r>
        <w:rPr>
          <w:rFonts w:hint="eastAsia"/>
        </w:rPr>
        <w:t>为贯彻落实党的二十届三中全会关于“提升市场综合监管能力和水平”和《国务院关于促进服务消费高质量发展的意见》有关精神，做好本市单用途预付卡（以下简称单用途卡）管理有关工作，根据市委、市政府主要领导要求，市领导先后召开十余次专题会议。市委金融办和市数据局共同牵头推进协同监管服务平台建设（该平台包括预收资金存管信息系统和发卡经营者备案服务系统两个相互关联的子系统）。市委金融办会同上海金融监管局负责预收资金存管信息系统管理，市市场监管局负责发卡经营者备案服务系统管理。在充分遵循行业规律和市场主体需求的基础上，通过区块链、隐私计算等技术，实现功能升级和信息对接机制的完善，以抓好“一高一小”两个核心问题（以负面清单方式管好高风险行为，防止不合格经营者发行单用途卡；以全程风险管控处置和各方联动确保消费者损失最小化）增强监管服务质效。</w:t>
      </w:r>
    </w:p>
    <w:p>
      <w:r>
        <w:rPr>
          <w:rFonts w:hint="eastAsia"/>
        </w:rPr>
        <w:t>建设期限：合同签订之日起6个月内。</w:t>
      </w:r>
    </w:p>
    <w:p>
      <w:r>
        <w:rPr>
          <w:rFonts w:hint="eastAsia"/>
        </w:rPr>
        <w:t>建设地点：上海市威海路48号</w:t>
      </w:r>
    </w:p>
    <w:p>
      <w:r>
        <w:rPr>
          <w:rFonts w:hint="eastAsia"/>
        </w:rPr>
        <w:t>预算金额：2,762,500元</w:t>
      </w:r>
    </w:p>
    <w:p>
      <w:r>
        <w:rPr>
          <w:rFonts w:hint="eastAsia"/>
        </w:rPr>
        <w:t>采购金额（最高限价）：2,762,500元</w:t>
      </w:r>
    </w:p>
    <w:p>
      <w:r>
        <w:rPr>
          <w:rFonts w:hint="eastAsia"/>
        </w:rPr>
        <w:t>组织形式：集中采购</w:t>
      </w:r>
    </w:p>
    <w:p>
      <w:r>
        <w:rPr>
          <w:rFonts w:hint="eastAsia"/>
        </w:rPr>
        <w:t>采购方式：竞争性磋商</w:t>
      </w:r>
    </w:p>
    <w:p>
      <w:r>
        <w:rPr>
          <w:rFonts w:hint="eastAsia"/>
        </w:rPr>
        <w:t>是否接受联合体</w:t>
      </w:r>
      <w:r>
        <w:rPr>
          <w:rFonts w:hint="eastAsia"/>
          <w:lang w:eastAsia="zh-CN"/>
        </w:rPr>
        <w:t>响应</w:t>
      </w:r>
      <w:r>
        <w:rPr>
          <w:rFonts w:hint="eastAsia"/>
        </w:rPr>
        <w:t>：否</w:t>
      </w:r>
    </w:p>
    <w:p>
      <w:r>
        <w:t>是否按信创要求建设：是</w:t>
      </w:r>
    </w:p>
    <w:p>
      <w:r>
        <w:rPr>
          <w:rFonts w:hint="eastAsia"/>
        </w:rPr>
        <w:t>运维后所属大系统：地方金融监管信息大系统</w:t>
      </w:r>
    </w:p>
    <w:p>
      <w:pPr>
        <w:pStyle w:val="2"/>
      </w:pPr>
      <w:bookmarkStart w:id="1" w:name="_Toc47539070"/>
      <w:bookmarkEnd w:id="1"/>
      <w:bookmarkStart w:id="2" w:name="_Toc47536272"/>
      <w:bookmarkEnd w:id="2"/>
      <w:bookmarkStart w:id="3" w:name="_Toc47532891"/>
      <w:bookmarkEnd w:id="3"/>
      <w:bookmarkStart w:id="4" w:name="_Toc47536644"/>
      <w:bookmarkEnd w:id="4"/>
      <w:bookmarkStart w:id="5" w:name="_Toc47531634"/>
      <w:bookmarkEnd w:id="5"/>
      <w:bookmarkStart w:id="6" w:name="_Toc47533256"/>
      <w:bookmarkEnd w:id="6"/>
      <w:bookmarkStart w:id="7" w:name="_Toc47532255"/>
      <w:bookmarkEnd w:id="7"/>
      <w:bookmarkStart w:id="8" w:name="_Toc47537134"/>
      <w:bookmarkEnd w:id="8"/>
      <w:bookmarkStart w:id="9" w:name="_Toc63785463"/>
      <w:bookmarkStart w:id="10" w:name="_Toc48223882"/>
      <w:r>
        <w:rPr>
          <w:rFonts w:hint="eastAsia"/>
        </w:rPr>
        <w:t>建设目标</w:t>
      </w:r>
      <w:bookmarkEnd w:id="9"/>
      <w:bookmarkEnd w:id="10"/>
    </w:p>
    <w:p>
      <w:r>
        <w:rPr>
          <w:rFonts w:hint="eastAsia"/>
        </w:rPr>
        <w:t>运用区块链、隐私计算等新技术，围绕以协同监管服务平台为中枢、预收资金存管体系为核心、发卡经营者备案为支撑、执法宣教自律为保障的全流程、穿透式、实时动态协同监管机制，规范市场行为，加强依法治理，开发建设以能够强化跨部门统筹协调，发挥金融管理、市场监督执法、行业主管部门及行业协会“抓源头、管风险、强自律”作用的协同监管服务平台及其配套系统、终端和基础设施，为经营者、消费者、金融机构及政府管理部门等四类主体开展经营者经营、消费、管理和政府监管提供技术及数据支撑。</w:t>
      </w:r>
    </w:p>
    <w:p>
      <w:r>
        <w:rPr>
          <w:rFonts w:hint="eastAsia"/>
        </w:rPr>
        <w:t>本项目需实现的指标如下：</w:t>
      </w:r>
    </w:p>
    <w:tbl>
      <w:tblPr>
        <w:tblStyle w:val="34"/>
        <w:tblW w:w="8359" w:type="dxa"/>
        <w:tblInd w:w="113" w:type="dxa"/>
        <w:tblLayout w:type="autofit"/>
        <w:tblCellMar>
          <w:top w:w="0" w:type="dxa"/>
          <w:left w:w="108" w:type="dxa"/>
          <w:bottom w:w="0" w:type="dxa"/>
          <w:right w:w="108" w:type="dxa"/>
        </w:tblCellMar>
      </w:tblPr>
      <w:tblGrid>
        <w:gridCol w:w="522"/>
        <w:gridCol w:w="892"/>
        <w:gridCol w:w="1036"/>
        <w:gridCol w:w="1229"/>
        <w:gridCol w:w="961"/>
        <w:gridCol w:w="3719"/>
      </w:tblGrid>
      <w:tr>
        <w:tblPrEx>
          <w:tblCellMar>
            <w:top w:w="0" w:type="dxa"/>
            <w:left w:w="108" w:type="dxa"/>
            <w:bottom w:w="0" w:type="dxa"/>
            <w:right w:w="108" w:type="dxa"/>
          </w:tblCellMar>
        </w:tblPrEx>
        <w:trPr>
          <w:trHeight w:val="312" w:hRule="atLeast"/>
          <w:tblHeader/>
        </w:trPr>
        <w:tc>
          <w:tcPr>
            <w:tcW w:w="0" w:type="auto"/>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序号</w:t>
            </w:r>
          </w:p>
        </w:tc>
        <w:tc>
          <w:tcPr>
            <w:tcW w:w="892"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二级指标</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三级指标</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四级指标</w:t>
            </w:r>
          </w:p>
        </w:tc>
        <w:tc>
          <w:tcPr>
            <w:tcW w:w="0" w:type="auto"/>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指标值</w:t>
            </w:r>
          </w:p>
        </w:tc>
        <w:tc>
          <w:tcPr>
            <w:tcW w:w="372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rPr>
              <w:t>指标解释</w:t>
            </w:r>
          </w:p>
        </w:tc>
      </w:tr>
      <w:tr>
        <w:trPr>
          <w:trHeight w:val="936"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w:t>
            </w:r>
          </w:p>
        </w:tc>
        <w:tc>
          <w:tcPr>
            <w:tcW w:w="89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产出指标</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产出数量</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软件开发完成率</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100%</w:t>
            </w:r>
          </w:p>
        </w:tc>
        <w:tc>
          <w:tcPr>
            <w:tcW w:w="372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反映按照项目方案设计，完成软件开发情况。指标值=完成开发的功能模块数量/计划开发的功能模块数量*100%</w:t>
            </w:r>
          </w:p>
        </w:tc>
      </w:tr>
      <w:tr>
        <w:tblPrEx>
          <w:tblCellMar>
            <w:top w:w="0" w:type="dxa"/>
            <w:left w:w="108" w:type="dxa"/>
            <w:bottom w:w="0" w:type="dxa"/>
            <w:right w:w="108" w:type="dxa"/>
          </w:tblCellMar>
        </w:tblPrEx>
        <w:trPr>
          <w:trHeight w:val="624"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2</w:t>
            </w:r>
          </w:p>
        </w:tc>
        <w:tc>
          <w:tcPr>
            <w:tcW w:w="89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产出指标</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产出质量</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系统可靠性</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≥99%</w:t>
            </w:r>
          </w:p>
        </w:tc>
        <w:tc>
          <w:tcPr>
            <w:tcW w:w="372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考察设备系统不间断运行情况。指标值=测试期设备系统连续运行时间/测试期时间*100%</w:t>
            </w:r>
          </w:p>
        </w:tc>
      </w:tr>
      <w:tr>
        <w:trPr>
          <w:trHeight w:val="31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w:t>
            </w:r>
          </w:p>
        </w:tc>
        <w:tc>
          <w:tcPr>
            <w:tcW w:w="89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产出指标</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产出质量</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并发用户数</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≥300</w:t>
            </w:r>
          </w:p>
        </w:tc>
        <w:tc>
          <w:tcPr>
            <w:tcW w:w="372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反应系统同时访问的指标情况</w:t>
            </w:r>
          </w:p>
        </w:tc>
      </w:tr>
      <w:tr>
        <w:tblPrEx>
          <w:tblCellMar>
            <w:top w:w="0" w:type="dxa"/>
            <w:left w:w="108" w:type="dxa"/>
            <w:bottom w:w="0" w:type="dxa"/>
            <w:right w:w="108" w:type="dxa"/>
          </w:tblCellMar>
        </w:tblPrEx>
        <w:trPr>
          <w:trHeight w:val="31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4</w:t>
            </w:r>
          </w:p>
        </w:tc>
        <w:tc>
          <w:tcPr>
            <w:tcW w:w="89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产出指标</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产出质量</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软件测试达标</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通过</w:t>
            </w:r>
          </w:p>
        </w:tc>
        <w:tc>
          <w:tcPr>
            <w:tcW w:w="372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反映软件测试达标情况。指标值=测试结果</w:t>
            </w:r>
          </w:p>
        </w:tc>
      </w:tr>
      <w:tr>
        <w:trPr>
          <w:trHeight w:val="31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w:t>
            </w:r>
          </w:p>
        </w:tc>
        <w:tc>
          <w:tcPr>
            <w:tcW w:w="89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产出指标</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产出质量</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密码测试达标</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通过</w:t>
            </w:r>
          </w:p>
        </w:tc>
        <w:tc>
          <w:tcPr>
            <w:tcW w:w="372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反映密码测试达标情况。指标值=测试结果</w:t>
            </w:r>
          </w:p>
        </w:tc>
      </w:tr>
      <w:tr>
        <w:tblPrEx>
          <w:tblCellMar>
            <w:top w:w="0" w:type="dxa"/>
            <w:left w:w="108" w:type="dxa"/>
            <w:bottom w:w="0" w:type="dxa"/>
            <w:right w:w="108" w:type="dxa"/>
          </w:tblCellMar>
        </w:tblPrEx>
        <w:trPr>
          <w:trHeight w:val="31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6</w:t>
            </w:r>
          </w:p>
        </w:tc>
        <w:tc>
          <w:tcPr>
            <w:tcW w:w="89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产出指标</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产出质量</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安全测试达标</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通过</w:t>
            </w:r>
          </w:p>
        </w:tc>
        <w:tc>
          <w:tcPr>
            <w:tcW w:w="372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反映安全测试达标情况。指标值=测试结果</w:t>
            </w:r>
          </w:p>
        </w:tc>
      </w:tr>
      <w:tr>
        <w:trPr>
          <w:trHeight w:val="624"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7</w:t>
            </w:r>
          </w:p>
        </w:tc>
        <w:tc>
          <w:tcPr>
            <w:tcW w:w="89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共性平台</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系统共享水平</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跨部门数据共享程度</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＞70%</w:t>
            </w:r>
          </w:p>
        </w:tc>
        <w:tc>
          <w:tcPr>
            <w:tcW w:w="372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反映数据共享情况。指标值=跨部门共享的数据量/数据总量*100%。</w:t>
            </w:r>
          </w:p>
        </w:tc>
      </w:tr>
      <w:tr>
        <w:tblPrEx>
          <w:tblCellMar>
            <w:top w:w="0" w:type="dxa"/>
            <w:left w:w="108" w:type="dxa"/>
            <w:bottom w:w="0" w:type="dxa"/>
            <w:right w:w="108" w:type="dxa"/>
          </w:tblCellMar>
        </w:tblPrEx>
        <w:trPr>
          <w:trHeight w:val="936"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8</w:t>
            </w:r>
          </w:p>
        </w:tc>
        <w:tc>
          <w:tcPr>
            <w:tcW w:w="89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安全体系</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安全建设水平</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数据风险监测覆盖率</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＞60%</w:t>
            </w:r>
          </w:p>
        </w:tc>
        <w:tc>
          <w:tcPr>
            <w:tcW w:w="372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反映系统对所涉及到的数据进行风险监测情况。指标值=进行风险监测的数据目录数/涉及到的数据目录总数*100%</w:t>
            </w:r>
          </w:p>
        </w:tc>
      </w:tr>
      <w:tr>
        <w:trPr>
          <w:trHeight w:val="624"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9</w:t>
            </w:r>
          </w:p>
        </w:tc>
        <w:tc>
          <w:tcPr>
            <w:tcW w:w="89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产出指标</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产出质量</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一次性验收合格率</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≥60%</w:t>
            </w:r>
          </w:p>
        </w:tc>
        <w:tc>
          <w:tcPr>
            <w:tcW w:w="372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考察项目一次性验收质量情况。一次性通过即为合格率 100%，整改后通过记为 60%，不通过记为 0。</w:t>
            </w:r>
          </w:p>
        </w:tc>
      </w:tr>
      <w:tr>
        <w:tblPrEx>
          <w:tblCellMar>
            <w:top w:w="0" w:type="dxa"/>
            <w:left w:w="108" w:type="dxa"/>
            <w:bottom w:w="0" w:type="dxa"/>
            <w:right w:w="108" w:type="dxa"/>
          </w:tblCellMar>
        </w:tblPrEx>
        <w:trPr>
          <w:trHeight w:val="624"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10</w:t>
            </w:r>
          </w:p>
        </w:tc>
        <w:tc>
          <w:tcPr>
            <w:tcW w:w="89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产出指标</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产出质量</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数据安全事件发生次数</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0次</w:t>
            </w:r>
          </w:p>
        </w:tc>
        <w:tc>
          <w:tcPr>
            <w:tcW w:w="372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反映数据安全保障结果情况。指标值=数据安全事件发生次数。</w:t>
            </w:r>
          </w:p>
        </w:tc>
      </w:tr>
      <w:tr>
        <w:trPr>
          <w:trHeight w:val="31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11</w:t>
            </w:r>
          </w:p>
        </w:tc>
        <w:tc>
          <w:tcPr>
            <w:tcW w:w="89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产出指标</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产出时效</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项目建设周期</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6个月</w:t>
            </w:r>
          </w:p>
        </w:tc>
        <w:tc>
          <w:tcPr>
            <w:tcW w:w="372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反映项目建设时间周期。指标值=建设周期</w:t>
            </w:r>
          </w:p>
        </w:tc>
      </w:tr>
      <w:tr>
        <w:tblPrEx>
          <w:tblCellMar>
            <w:top w:w="0" w:type="dxa"/>
            <w:left w:w="108" w:type="dxa"/>
            <w:bottom w:w="0" w:type="dxa"/>
            <w:right w:w="108" w:type="dxa"/>
          </w:tblCellMar>
        </w:tblPrEx>
        <w:trPr>
          <w:trHeight w:val="31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12</w:t>
            </w:r>
          </w:p>
        </w:tc>
        <w:tc>
          <w:tcPr>
            <w:tcW w:w="892"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应用系统</w:t>
            </w:r>
          </w:p>
        </w:tc>
        <w:tc>
          <w:tcPr>
            <w:tcW w:w="0" w:type="auto"/>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用户使用情况</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5年内经营者用户量</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＞1500个</w:t>
            </w:r>
          </w:p>
        </w:tc>
        <w:tc>
          <w:tcPr>
            <w:tcW w:w="372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反映系统用户规模。指标值=考察期用户量。</w:t>
            </w:r>
          </w:p>
        </w:tc>
      </w:tr>
      <w:tr>
        <w:trPr>
          <w:trHeight w:val="312"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13</w:t>
            </w:r>
          </w:p>
        </w:tc>
        <w:tc>
          <w:tcPr>
            <w:tcW w:w="8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asciiTheme="minorEastAsia" w:hAnsiTheme="minorEastAsia" w:eastAsiaTheme="minorEastAsia"/>
                <w:color w:val="000000"/>
                <w:kern w:val="0"/>
              </w:rPr>
            </w:pPr>
          </w:p>
        </w:tc>
        <w:tc>
          <w:tcPr>
            <w:tcW w:w="0" w:type="auto"/>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asciiTheme="minorEastAsia" w:hAnsiTheme="minorEastAsia" w:eastAsiaTheme="minorEastAsia"/>
                <w:color w:val="000000"/>
                <w:kern w:val="0"/>
              </w:rPr>
            </w:pP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5年内消费者用户数</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＞50000人</w:t>
            </w:r>
          </w:p>
        </w:tc>
        <w:tc>
          <w:tcPr>
            <w:tcW w:w="372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反映系统用户规模。指标值=考察期用户量。</w:t>
            </w:r>
          </w:p>
        </w:tc>
      </w:tr>
      <w:tr>
        <w:tblPrEx>
          <w:tblCellMar>
            <w:top w:w="0" w:type="dxa"/>
            <w:left w:w="108" w:type="dxa"/>
            <w:bottom w:w="0" w:type="dxa"/>
            <w:right w:w="108" w:type="dxa"/>
          </w:tblCellMar>
        </w:tblPrEx>
        <w:trPr>
          <w:trHeight w:val="936"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14</w:t>
            </w:r>
          </w:p>
        </w:tc>
        <w:tc>
          <w:tcPr>
            <w:tcW w:w="892"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应用系统</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基础数据共性系统水平</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要求纳管市场主体市场覆盖率</w:t>
            </w:r>
          </w:p>
        </w:tc>
        <w:tc>
          <w:tcPr>
            <w:tcW w:w="0" w:type="auto"/>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＞95%</w:t>
            </w:r>
          </w:p>
        </w:tc>
        <w:tc>
          <w:tcPr>
            <w:tcW w:w="3720"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asciiTheme="minorEastAsia" w:hAnsiTheme="minorEastAsia" w:eastAsiaTheme="minorEastAsia"/>
                <w:color w:val="000000"/>
                <w:kern w:val="0"/>
              </w:rPr>
            </w:pPr>
            <w:r>
              <w:rPr>
                <w:rFonts w:hint="eastAsia" w:cs="宋体" w:asciiTheme="minorEastAsia" w:hAnsiTheme="minorEastAsia" w:eastAsiaTheme="minorEastAsia"/>
                <w:color w:val="000000"/>
                <w:kern w:val="0"/>
              </w:rPr>
              <w:t>指标值=系统纳管的数量/根据行业主管部门要求纳管的数据量</w:t>
            </w:r>
          </w:p>
        </w:tc>
      </w:tr>
    </w:tbl>
    <w:p>
      <w:pPr>
        <w:spacing w:line="560" w:lineRule="exact"/>
      </w:pPr>
    </w:p>
    <w:p>
      <w:pPr>
        <w:pStyle w:val="2"/>
      </w:pPr>
      <w:bookmarkStart w:id="11" w:name="_Toc47539102"/>
      <w:bookmarkEnd w:id="11"/>
      <w:bookmarkStart w:id="12" w:name="_Toc47536676"/>
      <w:bookmarkEnd w:id="12"/>
      <w:bookmarkStart w:id="13" w:name="_Toc47533288"/>
      <w:bookmarkEnd w:id="13"/>
      <w:bookmarkStart w:id="14" w:name="_Toc47537166"/>
      <w:bookmarkEnd w:id="14"/>
      <w:bookmarkStart w:id="15" w:name="_Toc47532923"/>
      <w:bookmarkEnd w:id="15"/>
      <w:bookmarkStart w:id="16" w:name="_Toc47536304"/>
      <w:bookmarkEnd w:id="16"/>
      <w:r>
        <w:rPr>
          <w:rFonts w:hint="eastAsia"/>
        </w:rPr>
        <w:t>项目建设内容</w:t>
      </w:r>
    </w:p>
    <w:p>
      <w:pPr>
        <w:ind w:firstLine="482"/>
        <w:rPr>
          <w:b/>
          <w:bCs/>
        </w:rPr>
      </w:pPr>
      <w:r>
        <w:rPr>
          <w:rFonts w:hint="eastAsia"/>
          <w:b/>
          <w:bCs/>
        </w:rPr>
        <w:t>1、技术路线</w:t>
      </w:r>
    </w:p>
    <w:p>
      <w:r>
        <w:rPr>
          <w:rFonts w:hint="eastAsia"/>
        </w:rPr>
        <w:t>本项目基于市级政务区块链、分布式数字身份（DID）及隐私计算等基础设施，构建单用途卡监管服务联盟链，将政府相关行业主管部门、市场监管部门、金融监管部门、执法部门、行业协会和经营者、消费者，以及金融服务机构等作为联盟链参与方，联通各行业系统，促进数据要素流通。按《数据条例》和《数据二十条》等相关规定，依法获得政府公共数据、经营者数据、个人数据使用权，支撑预付消费监管服务按设计流程运行。在此基础上，构成网络化、数字化、智能化、生态化的协同监管服务平台。主要的技术路线如下：</w:t>
      </w:r>
    </w:p>
    <w:p>
      <w:pPr>
        <w:pStyle w:val="60"/>
        <w:numPr>
          <w:ilvl w:val="0"/>
          <w:numId w:val="3"/>
        </w:numPr>
        <w:ind w:left="0" w:firstLine="480" w:firstLineChars="0"/>
        <w:rPr>
          <w:sz w:val="24"/>
        </w:rPr>
      </w:pPr>
      <w:r>
        <w:rPr>
          <w:rFonts w:hint="eastAsia"/>
          <w:sz w:val="24"/>
        </w:rPr>
        <w:t>分布式技术，增强产品在大型应用场景下的系统容量及性能扩展。</w:t>
      </w:r>
    </w:p>
    <w:p>
      <w:pPr>
        <w:pStyle w:val="60"/>
        <w:numPr>
          <w:ilvl w:val="0"/>
          <w:numId w:val="3"/>
        </w:numPr>
        <w:ind w:left="0" w:firstLine="480" w:firstLineChars="0"/>
        <w:rPr>
          <w:sz w:val="24"/>
        </w:rPr>
      </w:pPr>
      <w:r>
        <w:rPr>
          <w:rFonts w:hint="eastAsia"/>
          <w:sz w:val="24"/>
        </w:rPr>
        <w:t>微服务技术，系统可拆分成多个服务，通过服务之间的调用实现整体的业务和数据协调，满足耦合度低、内聚性高要求。</w:t>
      </w:r>
    </w:p>
    <w:p>
      <w:pPr>
        <w:pStyle w:val="60"/>
        <w:numPr>
          <w:ilvl w:val="0"/>
          <w:numId w:val="3"/>
        </w:numPr>
        <w:ind w:left="0" w:firstLine="480" w:firstLineChars="0"/>
        <w:rPr>
          <w:sz w:val="24"/>
        </w:rPr>
      </w:pPr>
      <w:r>
        <w:rPr>
          <w:rFonts w:hint="eastAsia"/>
          <w:sz w:val="24"/>
        </w:rPr>
        <w:t>组件化技术，提高应用的能力复用，动态增加组件满足能力的扩展需要，降低产品打包调整成本。</w:t>
      </w:r>
    </w:p>
    <w:p>
      <w:pPr>
        <w:pStyle w:val="60"/>
        <w:numPr>
          <w:ilvl w:val="0"/>
          <w:numId w:val="3"/>
        </w:numPr>
        <w:ind w:left="0" w:firstLine="480" w:firstLineChars="0"/>
        <w:rPr>
          <w:sz w:val="24"/>
        </w:rPr>
      </w:pPr>
      <w:r>
        <w:rPr>
          <w:rFonts w:hint="eastAsia"/>
          <w:sz w:val="24"/>
        </w:rPr>
        <w:t>可视化技术，能够支持较强的扩展性，为开发人员提供了功能完整并且简单易用的组件集合，以用来构建极其丰富的用户界面。</w:t>
      </w:r>
    </w:p>
    <w:p>
      <w:pPr>
        <w:pStyle w:val="60"/>
        <w:numPr>
          <w:ilvl w:val="0"/>
          <w:numId w:val="3"/>
        </w:numPr>
        <w:ind w:left="0" w:firstLine="480" w:firstLineChars="0"/>
        <w:rPr>
          <w:sz w:val="24"/>
        </w:rPr>
      </w:pPr>
      <w:r>
        <w:rPr>
          <w:rFonts w:hint="eastAsia"/>
          <w:sz w:val="24"/>
        </w:rPr>
        <w:t>区块链技术，发挥区块链无法篡改、分布式、可信赖等特点，打造可信任的预付消费经营者全场景、全流程、全节点协同监管服务模式。</w:t>
      </w:r>
    </w:p>
    <w:p>
      <w:pPr>
        <w:ind w:firstLine="482"/>
        <w:rPr>
          <w:b/>
          <w:bCs/>
        </w:rPr>
      </w:pPr>
      <w:r>
        <w:rPr>
          <w:rFonts w:hint="eastAsia"/>
          <w:b/>
          <w:bCs/>
        </w:rPr>
        <w:t>2、总体架构</w:t>
      </w:r>
    </w:p>
    <w:p>
      <w:r>
        <w:rPr>
          <w:rFonts w:hint="eastAsia"/>
        </w:rPr>
        <w:t>按照“一平台，两终端，三系统，四类主体”总体框架，建成单用途卡政府监管、商家经营、大众消费、风险管理与服务赋能等模块，既相互独立又高度协同，能够智能响应形成完整闭环，具体建设内容如下：</w:t>
      </w:r>
    </w:p>
    <w:p>
      <w:r>
        <w:rPr>
          <w:rFonts w:hint="eastAsia"/>
        </w:rPr>
        <w:t>1）消费者查询终端：消费者购卡前、中、后查询经营者信息、单用途卡信息、政策法规、发起投诉、追踪投诉处理进程等。</w:t>
      </w:r>
    </w:p>
    <w:p>
      <w:r>
        <w:rPr>
          <w:rFonts w:hint="eastAsia"/>
        </w:rPr>
        <w:t>2）政府部门监管终端：信息对接主管部门审核；投诉派单及结果跟踪反馈；协同监管服务工作清单建立、任务分派、执行追踪；调用发卡经营者行政处罚记录等公共信用数据，结合依法获取（平台及系统反哺）的经营者经营数据，提前预测预警预报。</w:t>
      </w:r>
    </w:p>
    <w:p>
      <w:r>
        <w:rPr>
          <w:rFonts w:hint="eastAsia"/>
        </w:rPr>
        <w:t>3）发卡经营者备案服务系统：发卡经营者在线备案申请、变更、注销，依法实时报送经营者经营数据，接收投诉信息、风险预警信息等。</w:t>
      </w:r>
    </w:p>
    <w:p>
      <w:r>
        <w:rPr>
          <w:rFonts w:hint="eastAsia"/>
        </w:rPr>
        <w:t>4）预收资金存管信息系统：通过接口对接或内嵌SDK方式，实现预收资金支付收单、银行存管账户开立与管理、银行清结算、办理银行保险等，实时传送相关信息数据。</w:t>
      </w:r>
    </w:p>
    <w:p>
      <w:r>
        <w:rPr>
          <w:rFonts w:hint="eastAsia"/>
        </w:rPr>
        <w:t>5）单用途卡风险管理系统：通过链接风险管理机构风险管控能力，实现对经营者活动进行全链条、全生命周期、全节点风险识别、风险管控、风险处置等，形成单用途卡风险管理机制。</w:t>
      </w:r>
    </w:p>
    <w:p>
      <w:r>
        <w:rPr>
          <w:rFonts w:hint="eastAsia"/>
        </w:rPr>
        <w:t>6）单用途卡监管服务联盟链：由政府部门（金融办、数据局、市场监管局、行业主管部门等）、金融机构（银行、保险、第三方支付机构等）、经营者（公共发卡平台经营者、自有发卡平台经营者）、消费者、行业协会等节点组成，联通各行业系统，支撑协同监管服务平台运行。</w:t>
      </w:r>
    </w:p>
    <w:p>
      <w:r>
        <w:rPr>
          <w:rFonts w:hint="eastAsia"/>
        </w:rPr>
        <w:t>7）监管驾驶舱：对单用途卡消费、经营、金融服务、政府监管构成的活动进行脱敏数据分析报告（动态报告，动态图表）。</w:t>
      </w:r>
    </w:p>
    <w:p>
      <w:r>
        <w:rPr>
          <w:rFonts w:hint="eastAsia"/>
        </w:rPr>
        <w:t>8）系统管理：实现平台部门、权限、日志以及通用接口管理。</w:t>
      </w:r>
    </w:p>
    <w:p>
      <w:pPr>
        <w:ind w:firstLine="482"/>
        <w:rPr>
          <w:b/>
          <w:bCs/>
        </w:rPr>
      </w:pPr>
      <w:r>
        <w:rPr>
          <w:rFonts w:hint="eastAsia"/>
          <w:b/>
          <w:bCs/>
        </w:rPr>
        <w:t>3、部署环境</w:t>
      </w:r>
    </w:p>
    <w:p>
      <w:r>
        <w:rPr>
          <w:rFonts w:hint="eastAsia"/>
        </w:rPr>
        <w:t>本项目部署在上海市电子政务云上，需满足国产服务器、国产操作性、国产数据库、国产中间件等的部署需求。</w:t>
      </w:r>
    </w:p>
    <w:p>
      <w:pPr>
        <w:ind w:firstLine="482"/>
        <w:rPr>
          <w:b/>
          <w:bCs/>
        </w:rPr>
      </w:pPr>
      <w:r>
        <w:rPr>
          <w:rFonts w:hint="eastAsia"/>
          <w:b/>
          <w:bCs/>
        </w:rPr>
        <w:t>4、软件开发清单</w:t>
      </w:r>
    </w:p>
    <w:tbl>
      <w:tblPr>
        <w:tblStyle w:val="34"/>
        <w:tblW w:w="8217" w:type="dxa"/>
        <w:tblInd w:w="113" w:type="dxa"/>
        <w:tblLayout w:type="autofit"/>
        <w:tblCellMar>
          <w:top w:w="0" w:type="dxa"/>
          <w:left w:w="108" w:type="dxa"/>
          <w:bottom w:w="0" w:type="dxa"/>
          <w:right w:w="108" w:type="dxa"/>
        </w:tblCellMar>
      </w:tblPr>
      <w:tblGrid>
        <w:gridCol w:w="704"/>
        <w:gridCol w:w="992"/>
        <w:gridCol w:w="851"/>
        <w:gridCol w:w="1276"/>
        <w:gridCol w:w="4394"/>
      </w:tblGrid>
      <w:tr>
        <w:trPr>
          <w:trHeight w:val="348" w:hRule="atLeast"/>
          <w:tblHeader/>
        </w:trPr>
        <w:tc>
          <w:tcPr>
            <w:tcW w:w="70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b/>
                <w:bCs/>
                <w:kern w:val="0"/>
              </w:rPr>
            </w:pPr>
            <w:r>
              <w:rPr>
                <w:rFonts w:hint="eastAsia" w:cs="宋体"/>
                <w:b/>
                <w:bCs/>
                <w:kern w:val="0"/>
              </w:rPr>
              <w:t>序号</w:t>
            </w:r>
          </w:p>
        </w:tc>
        <w:tc>
          <w:tcPr>
            <w:tcW w:w="992"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b/>
                <w:bCs/>
                <w:kern w:val="0"/>
              </w:rPr>
            </w:pPr>
            <w:r>
              <w:rPr>
                <w:rFonts w:hint="eastAsia" w:cs="宋体"/>
                <w:b/>
                <w:bCs/>
                <w:kern w:val="0"/>
              </w:rPr>
              <w:t>应用系统名称</w:t>
            </w:r>
          </w:p>
        </w:tc>
        <w:tc>
          <w:tcPr>
            <w:tcW w:w="2127"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240" w:lineRule="auto"/>
              <w:ind w:firstLine="0" w:firstLineChars="0"/>
              <w:jc w:val="center"/>
              <w:rPr>
                <w:rFonts w:cs="宋体"/>
                <w:b/>
                <w:bCs/>
                <w:kern w:val="0"/>
              </w:rPr>
            </w:pPr>
            <w:r>
              <w:rPr>
                <w:rFonts w:hint="eastAsia" w:cs="宋体"/>
                <w:b/>
                <w:bCs/>
                <w:kern w:val="0"/>
              </w:rPr>
              <w:t>模块名称</w:t>
            </w:r>
          </w:p>
        </w:tc>
        <w:tc>
          <w:tcPr>
            <w:tcW w:w="439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b/>
                <w:bCs/>
                <w:kern w:val="0"/>
              </w:rPr>
            </w:pPr>
            <w:r>
              <w:rPr>
                <w:rFonts w:hint="eastAsia" w:cs="宋体"/>
                <w:b/>
                <w:bCs/>
                <w:kern w:val="0"/>
              </w:rPr>
              <w:t>功能描述</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1</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消费者查询终端</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信息查询</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经营者查询</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查询经营者主体信息，包括品牌名称、信息对接备案状况、预收资金是否开通监管、发卡经营状况，发卡经营风险、发卡兑付情况等。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2</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单用途卡查询</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消费者可以通过手机号或卡号查询自己的单用途卡信息，包括单用途卡余额、单用途卡合同、服务项目、消费记录等信息。</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3</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综合公示</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各区监管体征</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各区单用途卡监管服务对象全覆盖体征统计、内容全要素体征统计、流程全闭环体征统计、执法全协同体征统计、数据全共享体征统计、结果全公开体征统计。</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4</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诚信经营者公示</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诚信经营者展示，包括诚信经营者列表、诚信经营者备案情况、服务质量、消费评价等详情。</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5</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经营者信息动态展示</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各区完成信息对接经营者的数据图表动态展示。</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6</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金融机构服务动态</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已经完成与预收资金存管信息系统对接的金融机构列表及详情展示，包括金融机构名称、服务经营者数量、监管资金总额等。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7</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行政区域经营者分布</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根据区域地图展示经营者分布情况，包括各区经营者信息对接分布数量、经营者发卡兑付情况、资金监管情况等。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8</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信用评价</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经营者信用评价展示，包括风险经营者列表展示、风险经营者评估报告详情等。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9</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警示名单公示</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风险警示经营者列表展示，包括经营者风险警示内容详情。</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10</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投诉处理</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我要投诉</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消费者在线提交投诉资料</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11</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我的投诉单</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查看我的投诉信息，包括投诉内容、处理进度等。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12</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投诉列表</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消费者投诉展示，包括投诉经营者名称、投诉类型、投诉处理状态等。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13</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资讯动态</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热门推荐</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将近期重要、热点的资讯内容进行首页推荐，包括列表及详情内容展示。</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14</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政策法规</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政策法规资讯展示，包括政策法规列表展示、查看政策法规文章详情等。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15</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行业资讯</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行业资讯展示，包括行业资讯列表展示、查看行业资讯文章详情等。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16</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工作动态</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行业主管部门最新工作进展资讯展示，包括工作进展资讯列表展示、查看工作进展资讯详情等。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17</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政府部门监管终端</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经营者信息管理</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经营者信息查询</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监管部门查询经营者信息，包括经营者品牌名称、信息对接备案状况、预收资金是否开通监管、发卡经营状况，发卡经营风险、发卡兑付情况等。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18</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经营者分类列表</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完成信息对接的经营者信息展示，包括通过关键字搜索及区域、行业、风险状况等指标维度进行筛选查看经营者。</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19</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经营者行业分类管理</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依照法规各主管部门对行业进行分类管理。</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20</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经营者监管资金比例管理</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监管者对不同行业经营者监管资金比例进行设定。</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21</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经营者状况分析报告查看</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监管者查看经营者经营分析报告，包括信息对接情况、发卡情况、预收情况、兑付情况等。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22</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公共发卡平台信息管理</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公共发卡平台基础信息</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对公共发卡平台信息进行管理，包括使用情况、基本信息修改等。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23</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发卡类型管理</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对分卡类型进行管理与定义。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24</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经营者关联管理</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对使用公共发卡平台的经营者进行管理。</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25</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投诉管理</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事件列表</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监管者查看消费者投诉案件，包括投诉案件列表、各案例详情等。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26</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投诉处置</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监管者对投诉案件处理，包括投诉案件接受、案件详情查看、处理案件、案件完结等。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27</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cs="宋体"/>
                <w:kern w:val="0"/>
              </w:rPr>
            </w:pPr>
            <w:r>
              <w:rPr>
                <w:rFonts w:hint="eastAsia" w:cs="宋体"/>
                <w:kern w:val="0"/>
              </w:rPr>
              <w:t>预警处置</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cs="宋体"/>
                <w:kern w:val="0"/>
              </w:rPr>
            </w:pPr>
            <w:r>
              <w:rPr>
                <w:rFonts w:hint="eastAsia" w:cs="宋体"/>
                <w:kern w:val="0"/>
              </w:rPr>
              <w:t>经营者预警列表</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经营者风险警示展示，包括司法风险、工商风险、监管风险、经营风险等纬度产生的预警信息。</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28</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cs="宋体"/>
                <w:kern w:val="0"/>
              </w:rPr>
            </w:pPr>
            <w:r>
              <w:rPr>
                <w:rFonts w:hint="eastAsia" w:cs="宋体"/>
                <w:kern w:val="0"/>
              </w:rPr>
              <w:t>警示函编制</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根据行业类型管理警示函内容。</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29</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rPr>
                <w:rFonts w:cs="宋体"/>
                <w:kern w:val="0"/>
              </w:rPr>
            </w:pPr>
            <w:r>
              <w:rPr>
                <w:rFonts w:hint="eastAsia" w:cs="宋体"/>
                <w:kern w:val="0"/>
              </w:rPr>
              <w:t>警示函下发</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对发生风险预警的经营者发送警示函。</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30</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任务管理</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任务发起</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部门管理人员新建任务。</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31</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任务审核</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上级管理部门审核任务，通过后，任务生效。</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32</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任务列表</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根据新建任务，生成任务列表，查看任务。</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33</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任务指派</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选择任务指派部门及人员。</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34</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任务通知</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接收任务，查看任务详情。</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35</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执行情况反馈</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根据任务执行结果进行反馈。</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36</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任务报告</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根据任务执行情况生成任务报告。</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37</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综合查询</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发卡情况查询</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根据经营者发卡、退卡、兑付等数据，依据分析模型计算，展示发卡数量、核销数量、退卡数量等数据变化情况。</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38</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信息发布与运维</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资讯发布</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监管者发布新闻资讯及管理，包括热词管理、资讯新增、资讯删除、资讯列表展示、根据资讯类型搜索资讯信息等。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39</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国家资讯</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监管者发布新闻资讯及管理，包括热词管理、国家资讯新增、国家资讯删除、国家资讯列表展示、外链设置。</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40</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案例治理</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监管者发布案件治理资讯及管理，包括热词管理、案例新增、案例删除、案件治理列表展示。</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41</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发卡经营者备案系统</w:t>
            </w:r>
          </w:p>
        </w:tc>
        <w:tc>
          <w:tcPr>
            <w:tcW w:w="8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备案信息管理</w:t>
            </w:r>
          </w:p>
        </w:tc>
        <w:tc>
          <w:tcPr>
            <w:tcW w:w="127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基础信息备案</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经营者通过信息对接入口，填写手机号和验证码进入提交经营者信息资料页面，输入经营者名称查询企业基本信息、上传经营者相关资料，在线提交资料审核。</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42</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进度查看</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经营者通过进度查看，可以查看已经提交信息对接的审核状态，查询对接详情，审核失败后可重新上传资料，以及绑定分公司资料提交操作。</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43</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备案注销</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针对已备案不再发卡的经营者，可以通过该入口在线申请备案注销，查询审核状态以及注销资料、查看注销状态详情。</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44</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备案变更</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已完成备案的经营者，经营者信息、存管方式、发卡平台等发生变化，申请变更。</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45</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预付资金监管方式管理</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单用途卡经营者通过信息对接申请，对预收资金管理方式进行选择，在线选择银行存管或保证保险方式。</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46</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分公司关联管理</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直营连锁机构的经营者通过信息对接入口可对分公司信息进行添加、删除操作，并在线提交审核资料。</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47</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日常经营管理</w:t>
            </w:r>
          </w:p>
        </w:tc>
        <w:tc>
          <w:tcPr>
            <w:tcW w:w="127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经营者声明管理</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经营者通过该功能声明不发卡，提交声明、查看声明结果、查看声明详情。</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48</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经营者申诉管理</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经营者如果对信息对接状态有异议，可以通过该功能在线申诉，选择申诉类型提交相关资料。</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49</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经营者统一标识管理（与随身办数据同步）</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信息对接完成后，经营者可以将自身的“经营者统一标识”进行下载，张贴在经营场所内，或者用于经营者宣传品制作。</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50</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投诉处理</w:t>
            </w:r>
          </w:p>
        </w:tc>
        <w:tc>
          <w:tcPr>
            <w:tcW w:w="1276" w:type="dxa"/>
            <w:tcBorders>
              <w:top w:val="nil"/>
              <w:left w:val="nil"/>
              <w:bottom w:val="nil"/>
              <w:right w:val="nil"/>
            </w:tcBorders>
            <w:shd w:val="clear" w:color="auto" w:fill="auto"/>
            <w:vAlign w:val="center"/>
          </w:tcPr>
          <w:p>
            <w:pPr>
              <w:widowControl/>
              <w:spacing w:line="240" w:lineRule="auto"/>
              <w:ind w:firstLine="0" w:firstLineChars="0"/>
              <w:jc w:val="left"/>
              <w:rPr>
                <w:rFonts w:cs="宋体"/>
                <w:kern w:val="0"/>
              </w:rPr>
            </w:pPr>
          </w:p>
        </w:tc>
        <w:tc>
          <w:tcPr>
            <w:tcW w:w="439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经营者接收投诉信息，并对投诉案件处理及反馈。</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51</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帮助中心</w:t>
            </w: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　</w:t>
            </w:r>
          </w:p>
        </w:tc>
        <w:tc>
          <w:tcPr>
            <w:tcW w:w="4394" w:type="dxa"/>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cs="宋体"/>
                <w:color w:val="000000"/>
                <w:kern w:val="0"/>
              </w:rPr>
            </w:pPr>
            <w:r>
              <w:rPr>
                <w:rFonts w:hint="eastAsia" w:cs="宋体"/>
                <w:color w:val="000000"/>
                <w:kern w:val="0"/>
              </w:rPr>
              <w:t>查看发卡指南、对接指南、操作手续等。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52</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预收资金存管信息系统</w:t>
            </w:r>
          </w:p>
        </w:tc>
        <w:tc>
          <w:tcPr>
            <w:tcW w:w="85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接入对象管理</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法人一证通对接认证</w:t>
            </w:r>
          </w:p>
        </w:tc>
        <w:tc>
          <w:tcPr>
            <w:tcW w:w="4394" w:type="dxa"/>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cs="宋体"/>
                <w:color w:val="000000"/>
                <w:kern w:val="0"/>
              </w:rPr>
            </w:pPr>
            <w:r>
              <w:rPr>
                <w:rFonts w:hint="eastAsia" w:cs="宋体"/>
                <w:color w:val="000000"/>
                <w:kern w:val="0"/>
              </w:rPr>
              <w:t>接入法人一证通体系，用于企业登录。</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53</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对象分类管理</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对金融机构、公共发卡平台接入、数据查询等。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54</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申请接入管理</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金融机构、发卡商在线申请接入。</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55</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2127" w:type="dxa"/>
            <w:gridSpan w:val="2"/>
            <w:tcBorders>
              <w:top w:val="single" w:color="auto" w:sz="4" w:space="0"/>
              <w:left w:val="nil"/>
              <w:bottom w:val="nil"/>
              <w:right w:val="single" w:color="000000"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公共数据接口对接-大数据资源平台</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平台与公共数据资源对接，包括工商信息、行政处罚信息、投诉举报信息、纳税信息、失信被执行信息等。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56</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2127" w:type="dxa"/>
            <w:gridSpan w:val="2"/>
            <w:tcBorders>
              <w:top w:val="single" w:color="auto" w:sz="4" w:space="0"/>
              <w:left w:val="nil"/>
              <w:bottom w:val="nil"/>
              <w:right w:val="single" w:color="000000"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发卡平台对接管理</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平台与发卡系统对接，包括预付下单、订单支付结果异步通知、查询订单支付结果、消费者申请退款、消费者查询退款状态、消费者查询已申请退款记录、预付核销、查询预付核销结果、经营者信息录入等。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57</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2127" w:type="dxa"/>
            <w:gridSpan w:val="2"/>
            <w:tcBorders>
              <w:top w:val="single" w:color="auto" w:sz="4" w:space="0"/>
              <w:left w:val="nil"/>
              <w:bottom w:val="nil"/>
              <w:right w:val="single" w:color="000000"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银行资金存管业务接口对接</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平台与银行系统对接，包括登记监管账户信息、经营者变更监管账户信息、经营者监管账户余额查询、查询经营者监管账户资金变动明细、经营者解约监管账户信息、预付核销、预付核销结果通知、预付核销结果查询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58</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2127" w:type="dxa"/>
            <w:gridSpan w:val="2"/>
            <w:tcBorders>
              <w:top w:val="single" w:color="auto" w:sz="4" w:space="0"/>
              <w:left w:val="nil"/>
              <w:bottom w:val="nil"/>
              <w:right w:val="single" w:color="000000"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保险业务接口对接</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平台与保险系统对接，包括经营者投保对接、保险机构核验投保结果通知对接、查询经营者投保结果对接、单用途卡保单出单对接、保单出单异步通知对接、查询保单出单结果对接、单用途卡消费记录上传对接、查询单用途卡消费记录上传结果对接、查询经营者投保费率信息对接、在线理赔对接、在线理赔结果异步通知对接、查询在线理赔结果对接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59</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单用途卡风险管理系统</w:t>
            </w:r>
          </w:p>
        </w:tc>
        <w:tc>
          <w:tcPr>
            <w:tcW w:w="851"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cs="宋体"/>
                <w:kern w:val="0"/>
              </w:rPr>
            </w:pPr>
            <w:r>
              <w:rPr>
                <w:rFonts w:hint="eastAsia" w:cs="宋体"/>
                <w:kern w:val="0"/>
              </w:rPr>
              <w:t>风险识别</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经营者风险识别</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根据经营者的基础信息、经营性质、经营规模、经营年限、奖惩记录等相关数据，识别判断经营者风险状况。</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60</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识别报告</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风险识别总体报告、风险识别明细报告。</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61</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风险管控</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行业预警设置</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根据不同行业设置风险状况及预警等级设置。</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62</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风险处置</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处置单</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根据处理流程，生成处置单，进行分发。</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63</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黑名单管理</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根据主体、时间、行业查询黑名单，并可以解除黑名单中的企业信息。</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64</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单用途卡监管服务联盟链</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监管服务联盟链组织</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单用途卡监管服务联盟链参与主体建设</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单用途卡监管服务联盟链由政府部门、金融机构、经营者、消费者、行业协会等为节点组成的底层区块链系统。</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65</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单用途卡监管服务联盟链上链主体建设</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上链节点权限相关设置以及上链SDK开发建设。</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66</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数据上链</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经营者节点-购卡合同信息</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由每份购卡合同的购卡金额、购卡时间、服务信息、经营者信息等字段组成。</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67</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经营者节点-单用途卡交易信息</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由每笔单用途卡订单产生的交易信息、订单编号、订单金额、支付时间、经营者信息等字段组成。</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68</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经营者节点-单用途卡退卡信息</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由退卡订单号、退款时间、退款订单号关联经营者号、退款金额等字段组成。</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69</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政务监管节点-监管账户绑定登记</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由企业基本信息、法人或负责人信息、监管账户信息等字段组成。</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70</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政务监管节点-核销资金释放信息</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由消费金额、消费时间、实际资金释放金额、企业登记经营者号、请求流水号等字段组成。</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71</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银行节点-监管账户资金变动明细信息</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由变动金额,变动时间,类型,交易地点,交易方式等字段组成。</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72</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银行节点-监管账户资金变动余额信息</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由监管金额,可提现金额,金额类型,账户总金额等字段组成。</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73</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银行节点-监管账户信息</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由账户名、账户号、账户类型、账户开户银行、账户开户支行等字段组成。</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74</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保险节点-经营者承保额度信息</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由经营者名称、企业承保额度、承保开始时间、承保结束时间、承保年化费率等字段组成。</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75</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kern w:val="0"/>
              </w:rPr>
            </w:pPr>
            <w:r>
              <w:rPr>
                <w:rFonts w:hint="eastAsia" w:cs="宋体"/>
                <w:kern w:val="0"/>
              </w:rPr>
              <w:t>保险节点-保单信息</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由投保人名称、投保人证件类型、投保人证件号、保额、保费、被保人姓名、被保人证件号等字段组成。</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76</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监管驾驶舱</w:t>
            </w: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可视化数据看板</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经营者信息总览</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展示经营者信息对接数据信息分布，按照各种维度进行数据分析统计以及列表展示，包括经营者状态、地图分布数据、领域行业等等各项维度数据的统计和展示。</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77</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资金监管总览</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展示经营者预收资金监管、预收资金使用情况，包括预付卡监管资金总额、预付卡监管资金类型占比分布、银行存管资金占比分布、保证保险资金占比分布等。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78</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发卡监管总览</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展示实时动态消费信息，消费者画像数据统计、消费者数据分析信息、按年龄分析消费人次/占比数据、按性别分析消费人次/占比数据、消费领域分布办卡数据柱状图等。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79</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投诉处理总览</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展示预付卡的日常投诉处理、违规违法处置工作的多跨协同，包括投诉案件数量总览、12315投诉件数量统计、监管系统投诉件数量统计、今日新增投诉件数量、今日处理投诉件数量、投诉行业分布数据统计等。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80</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协同服务总览</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协同服务数据总览、消费者服务累计查询次数、消费者交易笔数总额统计、金融机构服务列表、金融机构预收资金服务总额、政府协调部门数量统计、执行人员数量统计、任务追踪数量统计等。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81</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宣传推广总览</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展示政府、行业协会、金融机构等宣传资源运行状况，包括资讯信息列表、文章推广累计变化趋势、推广渠道统计占比、经营者互动集锦列表、预付卡曝光变化趋势、舆 情数据数量统计分布、舆 情管理列表数据查询、舆 情管理关键字搜索查询、舆 情详情信息展示、热门话题讨论数据分析等。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82</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风险警示展示</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风险监测及管控数据总览，展示经营一般经营者数量统计及变化、经营良好经营者数量统计及变化、放心示范经营者数量统计及变化、应急处理经营者数量统计、执法检查经营者数量统计、责令整改经营者数量统计、依法处置经营者数量统计、风险管控经营者列表查询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83</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信用动态展示</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展示经营者信用动态追踪状况，根据信用等级、风险等级、经营者规模、经营者性质、经营者类型等查询信用治理信息。</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84</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大数据分析</w:t>
            </w: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经营者分布情况分析</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多项维度指标对预付交易数据进行详细的分析和统计展示，包括企业经营者区域分布数量统计和企业经营者领域/行业分布数量统计等多项维度指标，帮助用户全面了解企业经营者在不同地域和领域/行业的数量分布情况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85</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经营者备案状态分析</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对经营主体登记数据、经营主体注销数据、经营主体吊销数据和经营主体停业数据的统计分析。报告还包括经营主体区域分布图、经营主体新增变化趋势、经营主体累计变化趋势、经营主体区域分布数量统计和经营主体领域/行业分布数量统计等多项维度指标。</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86</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银行接入情况分析</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对平台接入的银行进行统计，包括银行的数量、名称、预收监管资金总额、资金对付比数据分析、监管资金占比等。</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87</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851"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color w:val="000000"/>
                <w:kern w:val="0"/>
              </w:rPr>
            </w:pPr>
          </w:p>
        </w:tc>
        <w:tc>
          <w:tcPr>
            <w:tcW w:w="1276"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投诉处理分析</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单用途卡大数据投诉处理分析报告提供了对已投诉案件数据、待审核案件数据、待分配案件、待处理案件数据和处理中案件数据等投诉处理情况的数据统计。报告还包括投诉处理区域分布图、投诉处理新增变化趋势、投诉处理累计变化趋势、投诉处理区域分布数量统计和投诉处理领域/行业分布数量统计等多项维度指标。</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88</w:t>
            </w:r>
          </w:p>
        </w:tc>
        <w:tc>
          <w:tcPr>
            <w:tcW w:w="992"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kern w:val="0"/>
              </w:rPr>
            </w:pPr>
            <w:r>
              <w:rPr>
                <w:rFonts w:hint="eastAsia" w:cs="宋体"/>
                <w:kern w:val="0"/>
              </w:rPr>
              <w:t>系统管理</w:t>
            </w:r>
          </w:p>
        </w:tc>
        <w:tc>
          <w:tcPr>
            <w:tcW w:w="2127" w:type="dxa"/>
            <w:gridSpan w:val="2"/>
            <w:tcBorders>
              <w:top w:val="single" w:color="auto" w:sz="4" w:space="0"/>
              <w:left w:val="nil"/>
              <w:bottom w:val="nil"/>
              <w:right w:val="single" w:color="000000"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部门管理</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部门信息管理，包括部门结构展示、添加子部门、编辑子部门、删除子部门等操作。</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89</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2127" w:type="dxa"/>
            <w:gridSpan w:val="2"/>
            <w:tcBorders>
              <w:top w:val="single" w:color="auto" w:sz="4" w:space="0"/>
              <w:left w:val="nil"/>
              <w:bottom w:val="nil"/>
              <w:right w:val="single" w:color="000000"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权限设置</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各部门权限设置操作，包括部门操作角色新增、角色权限人员维护设置、角色管码者权限设置、角色权限编辑、角色权限删除、部门视图控制权限查看、区域权限选择、管辖行业选择、访问模块选项、部门视图权限设置、部门操作查看。</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90</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2127" w:type="dxa"/>
            <w:gridSpan w:val="2"/>
            <w:tcBorders>
              <w:top w:val="single" w:color="auto" w:sz="4" w:space="0"/>
              <w:left w:val="nil"/>
              <w:bottom w:val="nil"/>
              <w:right w:val="single" w:color="000000"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账号管理</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登录账户的管理配置，包括职位列表展示、职位新增、职位删除、账号列表展示、账号新增、账号编辑、账号删除、账号禁用、根据账号所属部门搜索账号信息、根据账号所属职位搜索账号信息、根据账号关键词搜索账号信息。</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91</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2127" w:type="dxa"/>
            <w:gridSpan w:val="2"/>
            <w:tcBorders>
              <w:top w:val="single" w:color="auto" w:sz="4" w:space="0"/>
              <w:left w:val="nil"/>
              <w:bottom w:val="nil"/>
              <w:right w:val="single" w:color="000000"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系统日志</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用户日志管理，包括操作日志列表展示、根据时间范围搜索操作日志信息、根据操作日志类型搜索操作日志信息、根据关键词搜索操作日志信息、登录日志列表展示、根据时间范围搜索登录日志信息。</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92</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2127" w:type="dxa"/>
            <w:gridSpan w:val="2"/>
            <w:tcBorders>
              <w:top w:val="single" w:color="auto" w:sz="4" w:space="0"/>
              <w:left w:val="nil"/>
              <w:bottom w:val="nil"/>
              <w:right w:val="single" w:color="000000"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访问限制</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对ip白名单的设置，包括白名单ip保存、白名单列表展示、白名单删除。</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93</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2127" w:type="dxa"/>
            <w:gridSpan w:val="2"/>
            <w:tcBorders>
              <w:top w:val="single" w:color="auto" w:sz="4" w:space="0"/>
              <w:left w:val="nil"/>
              <w:bottom w:val="nil"/>
              <w:right w:val="single" w:color="000000"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历史数据接口</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同步经营者备案信息、发卡信息。</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94</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2127" w:type="dxa"/>
            <w:gridSpan w:val="2"/>
            <w:tcBorders>
              <w:top w:val="single" w:color="auto" w:sz="4" w:space="0"/>
              <w:left w:val="nil"/>
              <w:bottom w:val="nil"/>
              <w:right w:val="single" w:color="000000"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一体化办公平台对接</w:t>
            </w:r>
          </w:p>
        </w:tc>
        <w:tc>
          <w:tcPr>
            <w:tcW w:w="4394" w:type="dxa"/>
            <w:tcBorders>
              <w:top w:val="nil"/>
              <w:left w:val="nil"/>
              <w:bottom w:val="single" w:color="auto" w:sz="4" w:space="0"/>
              <w:right w:val="single" w:color="auto"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通过一体化办公平台对接，实现登录。</w:t>
            </w:r>
          </w:p>
        </w:tc>
      </w:tr>
      <w:tr>
        <w:trPr>
          <w:trHeight w:val="348" w:hRule="atLeast"/>
        </w:trPr>
        <w:tc>
          <w:tcPr>
            <w:tcW w:w="704"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cs="宋体"/>
                <w:color w:val="000000"/>
                <w:kern w:val="0"/>
              </w:rPr>
            </w:pPr>
            <w:r>
              <w:rPr>
                <w:rFonts w:hint="eastAsia" w:cs="宋体"/>
                <w:color w:val="000000"/>
                <w:kern w:val="0"/>
              </w:rPr>
              <w:t>95</w:t>
            </w:r>
          </w:p>
        </w:tc>
        <w:tc>
          <w:tcPr>
            <w:tcW w:w="992" w:type="dxa"/>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left"/>
              <w:rPr>
                <w:rFonts w:cs="宋体"/>
                <w:kern w:val="0"/>
              </w:rPr>
            </w:pPr>
          </w:p>
        </w:tc>
        <w:tc>
          <w:tcPr>
            <w:tcW w:w="2127" w:type="dxa"/>
            <w:gridSpan w:val="2"/>
            <w:tcBorders>
              <w:top w:val="single" w:color="auto" w:sz="4" w:space="0"/>
              <w:left w:val="nil"/>
              <w:bottom w:val="single" w:color="auto" w:sz="4" w:space="0"/>
              <w:right w:val="single" w:color="000000" w:sz="4" w:space="0"/>
            </w:tcBorders>
            <w:shd w:val="clear" w:color="auto" w:fill="auto"/>
            <w:vAlign w:val="center"/>
          </w:tcPr>
          <w:p>
            <w:pPr>
              <w:widowControl/>
              <w:spacing w:line="240" w:lineRule="auto"/>
              <w:ind w:firstLine="0" w:firstLineChars="0"/>
              <w:jc w:val="left"/>
              <w:rPr>
                <w:rFonts w:cs="宋体"/>
                <w:color w:val="000000"/>
                <w:kern w:val="0"/>
              </w:rPr>
            </w:pPr>
            <w:r>
              <w:rPr>
                <w:rFonts w:hint="eastAsia" w:cs="宋体"/>
                <w:color w:val="000000"/>
                <w:kern w:val="0"/>
              </w:rPr>
              <w:t>密码应用功能</w:t>
            </w:r>
          </w:p>
        </w:tc>
        <w:tc>
          <w:tcPr>
            <w:tcW w:w="4394" w:type="dxa"/>
            <w:tcBorders>
              <w:top w:val="nil"/>
              <w:left w:val="nil"/>
              <w:bottom w:val="single" w:color="auto" w:sz="4" w:space="0"/>
              <w:right w:val="single" w:color="auto" w:sz="4" w:space="0"/>
            </w:tcBorders>
            <w:shd w:val="clear" w:color="auto" w:fill="auto"/>
          </w:tcPr>
          <w:p>
            <w:pPr>
              <w:widowControl/>
              <w:spacing w:line="240" w:lineRule="auto"/>
              <w:ind w:firstLine="0" w:firstLineChars="0"/>
              <w:jc w:val="left"/>
              <w:rPr>
                <w:rFonts w:cs="宋体"/>
                <w:color w:val="000000"/>
                <w:kern w:val="0"/>
              </w:rPr>
            </w:pPr>
            <w:r>
              <w:rPr>
                <w:rFonts w:hint="eastAsia" w:cs="宋体"/>
                <w:color w:val="000000"/>
                <w:kern w:val="0"/>
              </w:rPr>
              <w:t>根据系统需要开发用户身份认证模块、用户访问控制信息签名验签模块、应用系统重要数据签名验签模块、应用系统重要数据加解密模块、服务器虚拟机设备日志/访问控制信息完整性模块、重要数据安全传输模块和重要可执行程序签名验签模块并对接密码服务平台进行接口调用。</w:t>
            </w:r>
          </w:p>
        </w:tc>
      </w:tr>
    </w:tbl>
    <w:p/>
    <w:p>
      <w:pPr>
        <w:pStyle w:val="2"/>
      </w:pPr>
      <w:bookmarkStart w:id="17" w:name="_Toc63785502"/>
      <w:r>
        <w:rPr>
          <w:rFonts w:hint="eastAsia"/>
        </w:rPr>
        <w:t>电子政务云资源需求</w:t>
      </w:r>
      <w:bookmarkEnd w:id="17"/>
    </w:p>
    <w:p>
      <w:r>
        <w:rPr>
          <w:rFonts w:hint="eastAsia"/>
        </w:rPr>
        <w:t>1、主机资源需求</w:t>
      </w:r>
    </w:p>
    <w:p>
      <w:r>
        <w:rPr>
          <w:rFonts w:hint="eastAsia"/>
        </w:rPr>
        <w:t>本项目建设根据估算拟向电子政务云申请22台服务器资源CPU200核 、内存1408G、存储8400T，均为虚拟机。</w:t>
      </w:r>
    </w:p>
    <w:p>
      <w:r>
        <w:rPr>
          <w:rFonts w:hint="eastAsia"/>
        </w:rPr>
        <w:t>2、PaaS服务资源需求</w:t>
      </w:r>
    </w:p>
    <w:p>
      <w:r>
        <w:rPr>
          <w:rFonts w:hint="eastAsia"/>
        </w:rPr>
        <w:t>本项目利用电子政务云平台提供的PaaS服务资源实现系统部署，包括但不限于安全认证网关服务、时间戳服务、签名验签服务、数字证书服务等。</w:t>
      </w:r>
    </w:p>
    <w:p>
      <w:pPr>
        <w:pStyle w:val="2"/>
      </w:pPr>
      <w:bookmarkStart w:id="18" w:name="_Toc63785503"/>
      <w:r>
        <w:rPr>
          <w:rFonts w:hint="eastAsia"/>
        </w:rPr>
        <w:t>其他工作要求</w:t>
      </w:r>
      <w:bookmarkEnd w:id="18"/>
    </w:p>
    <w:p>
      <w:pPr>
        <w:keepNext/>
        <w:keepLines/>
        <w:numPr>
          <w:ilvl w:val="1"/>
          <w:numId w:val="4"/>
        </w:numPr>
        <w:tabs>
          <w:tab w:val="left" w:pos="360"/>
        </w:tabs>
        <w:spacing w:before="120" w:line="240" w:lineRule="auto"/>
        <w:ind w:left="0" w:firstLine="0" w:firstLineChars="0"/>
        <w:outlineLvl w:val="1"/>
        <w:rPr>
          <w:rFonts w:ascii="仿宋" w:hAnsi="仿宋" w:eastAsia="仿宋"/>
          <w:b/>
          <w:vanish/>
          <w:color w:val="000000"/>
          <w:sz w:val="28"/>
          <w:szCs w:val="20"/>
        </w:rPr>
      </w:pPr>
      <w:bookmarkStart w:id="19" w:name="_Toc63762370"/>
      <w:bookmarkEnd w:id="19"/>
      <w:bookmarkStart w:id="20" w:name="_Toc63785504"/>
      <w:bookmarkEnd w:id="20"/>
      <w:bookmarkStart w:id="21" w:name="_Toc63585480"/>
      <w:bookmarkEnd w:id="21"/>
      <w:bookmarkStart w:id="22" w:name="_Toc61968111"/>
      <w:bookmarkEnd w:id="22"/>
      <w:bookmarkStart w:id="23" w:name="_Toc63151871"/>
      <w:bookmarkEnd w:id="23"/>
      <w:bookmarkStart w:id="24" w:name="_Toc62219358"/>
      <w:bookmarkEnd w:id="24"/>
      <w:bookmarkStart w:id="25" w:name="_Toc63785439"/>
      <w:bookmarkEnd w:id="25"/>
      <w:bookmarkStart w:id="26" w:name="_Toc62209488"/>
      <w:bookmarkEnd w:id="26"/>
    </w:p>
    <w:p>
      <w:pPr>
        <w:pStyle w:val="3"/>
      </w:pPr>
      <w:bookmarkStart w:id="27" w:name="_Toc63785505"/>
      <w:r>
        <w:rPr>
          <w:rFonts w:hint="eastAsia"/>
        </w:rPr>
        <w:t>售后服务要求</w:t>
      </w:r>
      <w:bookmarkEnd w:id="27"/>
    </w:p>
    <w:p>
      <w:r>
        <w:rPr>
          <w:rFonts w:hint="eastAsia"/>
        </w:rPr>
        <w:t>本项目从系统验收通过之日起1年内提供</w:t>
      </w:r>
      <w:r>
        <w:t>7*24小时免费技术支持</w:t>
      </w:r>
      <w:r>
        <w:rPr>
          <w:rFonts w:hint="eastAsia"/>
        </w:rPr>
        <w:t>和售后服务，1年后进入有偿维护期。</w:t>
      </w:r>
    </w:p>
    <w:p>
      <w:r>
        <w:rPr>
          <w:rFonts w:hint="eastAsia"/>
        </w:rPr>
        <w:t>在质量保证期内，供应商将按照售后服务的承诺提供保修和运行维护服务，如果厂商对信息系统中软、硬件设备等产品中的部分保修期超过上述期限的，则按照厂商的规定进行免费保修。</w:t>
      </w:r>
    </w:p>
    <w:p>
      <w:r>
        <w:rPr>
          <w:rFonts w:hint="eastAsia"/>
        </w:rPr>
        <w:t>在质量保证期内，供应商负责信息系统的运行维护工作，确保信息系统安全、稳定、可靠地运行。本项目涉及的运行维护工作范围为：消费者查询终端、政府部门监管终端、发卡经营者备案系统、预收资金存管信息系统、单用途卡风险管理系统、单用途卡监管服务联盟链、监管驾驶舱、系统管理。</w:t>
      </w:r>
    </w:p>
    <w:p>
      <w:pPr>
        <w:pStyle w:val="3"/>
      </w:pPr>
      <w:bookmarkStart w:id="28" w:name="_Toc63785506"/>
      <w:r>
        <w:rPr>
          <w:rFonts w:hint="eastAsia"/>
        </w:rPr>
        <w:t>应急响应要求</w:t>
      </w:r>
      <w:bookmarkEnd w:id="28"/>
    </w:p>
    <w:p>
      <w:r>
        <w:rPr>
          <w:rFonts w:hint="eastAsia"/>
        </w:rPr>
        <w:t>供应商对系统故障应能够实时响应，若系统发生故障，接到通知后</w:t>
      </w:r>
      <w:r>
        <w:t>30分钟之内响应，专业工程师2小时内到达现场</w:t>
      </w:r>
      <w:r>
        <w:rPr>
          <w:rFonts w:hint="eastAsia"/>
        </w:rPr>
        <w:t>。特殊故障与客户沟通协商后，按照协商的方式制定解决方案并进行处理。</w:t>
      </w:r>
    </w:p>
    <w:p>
      <w:r>
        <w:rPr>
          <w:rFonts w:hint="eastAsia"/>
        </w:rPr>
        <w:t>具体故障级别及对应的应急响应要求如下：</w:t>
      </w:r>
    </w:p>
    <w:p>
      <w:r>
        <w:rPr>
          <w:rFonts w:hint="eastAsia"/>
        </w:rPr>
        <w:t>一级故障：在</w:t>
      </w:r>
      <w:r>
        <w:t>1小时内确诊，总故障解决时间不超过4小时。</w:t>
      </w:r>
    </w:p>
    <w:p>
      <w:r>
        <w:rPr>
          <w:rFonts w:hint="eastAsia"/>
        </w:rPr>
        <w:t>二级故障：在</w:t>
      </w:r>
      <w:r>
        <w:t>2小时内确诊，并在4小时内由专家到达现场确诊并解决，总故障解决时间不超过8小时；</w:t>
      </w:r>
    </w:p>
    <w:p>
      <w:r>
        <w:rPr>
          <w:rFonts w:hint="eastAsia"/>
        </w:rPr>
        <w:t>三、四级故障：在</w:t>
      </w:r>
      <w:r>
        <w:t>4小时内确诊故障，总故障解决时间不超过16小时。</w:t>
      </w:r>
    </w:p>
    <w:p>
      <w:pPr>
        <w:pStyle w:val="3"/>
      </w:pPr>
      <w:bookmarkStart w:id="29" w:name="_Toc63785507"/>
      <w:r>
        <w:rPr>
          <w:rFonts w:hint="eastAsia"/>
        </w:rPr>
        <w:t>培训要求</w:t>
      </w:r>
      <w:bookmarkEnd w:id="29"/>
    </w:p>
    <w:p>
      <w:r>
        <w:rPr>
          <w:rFonts w:hint="eastAsia"/>
        </w:rPr>
        <w:t>对系统使用单位提供业务操作培训，应提供详细培训方案。</w:t>
      </w:r>
    </w:p>
    <w:p>
      <w:r>
        <w:rPr>
          <w:rFonts w:hint="eastAsia"/>
        </w:rPr>
        <w:t>(1)在12个月的质量保证期内，提供2次与项目相关的必要培训。</w:t>
      </w:r>
    </w:p>
    <w:p>
      <w:r>
        <w:rPr>
          <w:rFonts w:hint="eastAsia"/>
        </w:rPr>
        <w:t>(2)供应商需要开展分层次的人员培训工作，每次培训后应对参加培训人员进行测试，评估培训成果。培训应具有培训教材、培训环境和高水平的培训讲师。</w:t>
      </w:r>
    </w:p>
    <w:p>
      <w:r>
        <w:rPr>
          <w:rFonts w:hint="eastAsia"/>
        </w:rPr>
        <w:t>(3)供应商应提供一般用户的基础操作培训和部门信息管理员的日常应用维护的培训，确保用户对象能够掌握对应的操作技能。</w:t>
      </w:r>
    </w:p>
    <w:p>
      <w:pPr>
        <w:pStyle w:val="3"/>
      </w:pPr>
      <w:bookmarkStart w:id="30" w:name="_Toc63785508"/>
      <w:r>
        <w:rPr>
          <w:rFonts w:hint="eastAsia"/>
        </w:rPr>
        <w:t>验收要求</w:t>
      </w:r>
      <w:bookmarkEnd w:id="30"/>
    </w:p>
    <w:p>
      <w:r>
        <w:rPr>
          <w:rFonts w:hint="eastAsia"/>
        </w:rPr>
        <w:t>本项目按下述方式开展验收。</w:t>
      </w:r>
    </w:p>
    <w:p>
      <w:r>
        <w:rPr>
          <w:rFonts w:hint="eastAsia"/>
        </w:rPr>
        <w:t>（</w:t>
      </w:r>
      <w:r>
        <w:t>1）验收分初验和终验。</w:t>
      </w:r>
    </w:p>
    <w:p>
      <w:r>
        <w:rPr>
          <w:rFonts w:hint="eastAsia"/>
        </w:rPr>
        <w:t>（</w:t>
      </w:r>
      <w:r>
        <w:t>2）初验前，供应商须完成软件开发、软硬件安装和信息系统的调试等，并对本项目进行功能和运行检测，确保所有信息系统功能模块能够正常运行且已达到本项目约定的各类标准要求。供应商应以书面形式向</w:t>
      </w:r>
      <w:r>
        <w:rPr>
          <w:rFonts w:hint="eastAsia"/>
          <w:lang w:eastAsia="zh-CN"/>
        </w:rPr>
        <w:t>采购人</w:t>
      </w:r>
      <w:r>
        <w:t>递交初验通知书。</w:t>
      </w:r>
      <w:r>
        <w:rPr>
          <w:rFonts w:hint="eastAsia"/>
          <w:lang w:eastAsia="zh-CN"/>
        </w:rPr>
        <w:t>采购人</w:t>
      </w:r>
      <w:r>
        <w:t>应当在接到通知后的5个工作日内确定初验的具体日期，由双方按照本项目的约定完成本项目的初验。</w:t>
      </w:r>
      <w:r>
        <w:rPr>
          <w:rFonts w:hint="eastAsia"/>
          <w:lang w:eastAsia="zh-CN"/>
        </w:rPr>
        <w:t>采购人</w:t>
      </w:r>
      <w:r>
        <w:t>有权委托第三方检测机构进行验收，对此供应商应当配合。</w:t>
      </w:r>
    </w:p>
    <w:p>
      <w:r>
        <w:rPr>
          <w:rFonts w:hint="eastAsia"/>
        </w:rPr>
        <w:t>（</w:t>
      </w:r>
      <w:r>
        <w:t>3）初验时，供应商须提供软件文档包括《用户需求说明书》、《系统概要设计说明书》、《系统详细设计说明书》、</w:t>
      </w:r>
      <w:r>
        <w:rPr>
          <w:rFonts w:hint="eastAsia"/>
        </w:rPr>
        <w:t>《三方功能需求确认单》、</w:t>
      </w:r>
      <w:r>
        <w:t>《测试报告》、《用户使用手册》、《系统部署文档》等）及可安装的程序运行文件。所交付的文档与文件应当是可供自然人阅读的书面和电子文档。软件文档及可安装的程序运行文件验收通过后，视为初验通过。如有缺陷，</w:t>
      </w:r>
      <w:r>
        <w:rPr>
          <w:rFonts w:hint="eastAsia"/>
          <w:lang w:eastAsia="zh-CN"/>
        </w:rPr>
        <w:t>采购人</w:t>
      </w:r>
      <w:r>
        <w:t>应向供应商出具书面报告，陈述需要改进的缺陷。供应商应立即严格依照</w:t>
      </w:r>
      <w:r>
        <w:rPr>
          <w:rFonts w:hint="eastAsia"/>
          <w:lang w:eastAsia="zh-CN"/>
        </w:rPr>
        <w:t>采购人</w:t>
      </w:r>
      <w:r>
        <w:t>的书面报告中的要求改进缺陷，并再次进行初验。</w:t>
      </w:r>
    </w:p>
    <w:p>
      <w:r>
        <w:rPr>
          <w:rFonts w:hint="eastAsia"/>
        </w:rPr>
        <w:t>（</w:t>
      </w:r>
      <w:r>
        <w:t>4）自初验通过之日起，</w:t>
      </w:r>
      <w:r>
        <w:rPr>
          <w:rFonts w:hint="eastAsia"/>
          <w:lang w:eastAsia="zh-CN"/>
        </w:rPr>
        <w:t>采购人</w:t>
      </w:r>
      <w:r>
        <w:t>享有供应商免费提供的</w:t>
      </w:r>
      <w:r>
        <w:rPr>
          <w:rFonts w:hint="eastAsia"/>
          <w:lang w:val="en-US" w:eastAsia="zh-CN"/>
        </w:rPr>
        <w:t>30</w:t>
      </w:r>
      <w:r>
        <w:t>天的信息系统试运行现场驻场服务期。该期间内，供应商应当按照</w:t>
      </w:r>
      <w:r>
        <w:rPr>
          <w:rFonts w:hint="eastAsia"/>
          <w:lang w:eastAsia="zh-CN"/>
        </w:rPr>
        <w:t>采购人</w:t>
      </w:r>
      <w:r>
        <w:t>的要求提供现场技术支持服务，解决信息系统试运行期间可能出现的各类问题，或进一步提高与完善信息系统运行水平。</w:t>
      </w:r>
    </w:p>
    <w:p>
      <w:r>
        <w:rPr>
          <w:rFonts w:hint="eastAsia"/>
        </w:rPr>
        <w:t>（</w:t>
      </w:r>
      <w:r>
        <w:t>5）初验通过且信息系统试运行期已经达到本项目约定的时间，经供应商确认信息系统具备正常运行条件，且信息系统通过运行测试，供应商应以书面形式通知</w:t>
      </w:r>
      <w:r>
        <w:rPr>
          <w:rFonts w:hint="eastAsia"/>
          <w:lang w:eastAsia="zh-CN"/>
        </w:rPr>
        <w:t>采购人</w:t>
      </w:r>
      <w:r>
        <w:t>信息系统已准备就绪等待终验。</w:t>
      </w:r>
      <w:r>
        <w:rPr>
          <w:rFonts w:hint="eastAsia"/>
          <w:lang w:eastAsia="zh-CN"/>
        </w:rPr>
        <w:t>采购人</w:t>
      </w:r>
      <w:r>
        <w:t>在收到终验通知后的</w:t>
      </w:r>
      <w:r>
        <w:rPr>
          <w:rFonts w:hint="eastAsia"/>
        </w:rPr>
        <w:t>10</w:t>
      </w:r>
      <w:r>
        <w:t>个工作日内发起组织专家验收会。</w:t>
      </w:r>
    </w:p>
    <w:p>
      <w:r>
        <w:rPr>
          <w:rFonts w:hint="eastAsia"/>
        </w:rPr>
        <w:t>（6</w:t>
      </w:r>
      <w:r>
        <w:t>）如果属于供应商原因致使本项目未能通过终验，供应商应当排除缺陷，直至本项目完全符合验收标准，由上述情形而产生的相关费用应由供应商自行承担。</w:t>
      </w:r>
    </w:p>
    <w:p>
      <w:r>
        <w:rPr>
          <w:rFonts w:hint="eastAsia"/>
        </w:rPr>
        <w:t>（7</w:t>
      </w:r>
      <w:r>
        <w:t>）如果由于</w:t>
      </w:r>
      <w:r>
        <w:rPr>
          <w:rFonts w:hint="eastAsia"/>
          <w:lang w:eastAsia="zh-CN"/>
        </w:rPr>
        <w:t>采购人</w:t>
      </w:r>
      <w:r>
        <w:t>原因导致本项目在终验通过前出现故障或问题，供应商应及时配合排除该方面的故障或问题。</w:t>
      </w:r>
    </w:p>
    <w:p>
      <w:r>
        <w:rPr>
          <w:rFonts w:hint="eastAsia"/>
        </w:rPr>
        <w:t>（8</w:t>
      </w:r>
      <w:r>
        <w:t>）如本项目连续3次验收未通过（含初验未通过或终验未通过），</w:t>
      </w:r>
      <w:r>
        <w:rPr>
          <w:rFonts w:hint="eastAsia"/>
          <w:lang w:eastAsia="zh-CN"/>
        </w:rPr>
        <w:t>采购人</w:t>
      </w:r>
      <w:r>
        <w:t>有权解除项目，并有权依照本项目约定的违约条款追究供应商的违约责任。</w:t>
      </w:r>
    </w:p>
    <w:p>
      <w:pPr>
        <w:pStyle w:val="3"/>
      </w:pPr>
      <w:bookmarkStart w:id="31" w:name="_Toc63785509"/>
      <w:r>
        <w:rPr>
          <w:rFonts w:hint="eastAsia"/>
        </w:rPr>
        <w:t>进度要求</w:t>
      </w:r>
      <w:bookmarkEnd w:id="31"/>
    </w:p>
    <w:p>
      <w:r>
        <w:rPr>
          <w:rFonts w:hint="eastAsia"/>
          <w:lang w:eastAsia="zh-CN"/>
        </w:rPr>
        <w:t>供应商</w:t>
      </w:r>
      <w:r>
        <w:rPr>
          <w:rFonts w:hint="eastAsia"/>
        </w:rPr>
        <w:t>应根据建设内容，分阶段制定合理的时间进度，并且应根据</w:t>
      </w:r>
      <w:r>
        <w:rPr>
          <w:rFonts w:hint="eastAsia"/>
          <w:lang w:eastAsia="zh-CN"/>
        </w:rPr>
        <w:t>采购人</w:t>
      </w:r>
      <w:r>
        <w:rPr>
          <w:rFonts w:hint="eastAsia"/>
        </w:rPr>
        <w:t>要求进行调整和细化。</w:t>
      </w:r>
    </w:p>
    <w:p>
      <w:r>
        <w:rPr>
          <w:rFonts w:hint="eastAsia"/>
        </w:rPr>
        <w:t>总建设周期为6个月，分为四个阶段。</w:t>
      </w:r>
    </w:p>
    <w:p>
      <w:r>
        <w:rPr>
          <w:rFonts w:hint="eastAsia"/>
        </w:rPr>
        <w:t>第一阶段为1个月，完成项目规划设计。</w:t>
      </w:r>
    </w:p>
    <w:p>
      <w:r>
        <w:rPr>
          <w:rFonts w:hint="eastAsia"/>
        </w:rPr>
        <w:t>第二阶段为3个月，完成项目开发测试。</w:t>
      </w:r>
    </w:p>
    <w:p>
      <w:r>
        <w:rPr>
          <w:rFonts w:hint="eastAsia"/>
        </w:rPr>
        <w:t>第三阶段为1个月，完成项目试运行和迭代开发。</w:t>
      </w:r>
    </w:p>
    <w:p>
      <w:r>
        <w:rPr>
          <w:rFonts w:hint="eastAsia"/>
        </w:rPr>
        <w:t>第四阶段为1个月，完成项目验收。</w:t>
      </w:r>
    </w:p>
    <w:p>
      <w:pPr>
        <w:pStyle w:val="3"/>
      </w:pPr>
      <w:bookmarkStart w:id="32" w:name="_Toc63785510"/>
      <w:r>
        <w:rPr>
          <w:rFonts w:hint="eastAsia"/>
          <w:lang w:eastAsia="zh-CN"/>
        </w:rPr>
        <w:t>企业综合能力要求</w:t>
      </w:r>
    </w:p>
    <w:p>
      <w:pPr>
        <w:rPr>
          <w:rFonts w:hint="eastAsia" w:eastAsia="宋体"/>
          <w:lang w:eastAsia="zh-CN"/>
        </w:rPr>
      </w:pPr>
      <w:r>
        <w:rPr>
          <w:rFonts w:hint="eastAsia"/>
        </w:rPr>
        <w:t>供应商具有ISO9001质量管理体系认证证书、ISO20000信息技术服务管理体系认证证书、拥有ISO27001信息安全管理体系认证证书</w:t>
      </w:r>
      <w:r>
        <w:rPr>
          <w:rFonts w:hint="eastAsia"/>
          <w:lang w:eastAsia="zh-CN"/>
        </w:rPr>
        <w:t>的优先考虑；供应商需</w:t>
      </w:r>
      <w:r>
        <w:rPr>
          <w:rFonts w:hint="eastAsia"/>
        </w:rPr>
        <w:t>拥有区块链底层系统自研平台或具备区块链底层系统自主研发的企业授权使用的</w:t>
      </w:r>
      <w:r>
        <w:rPr>
          <w:rFonts w:hint="eastAsia"/>
          <w:lang w:eastAsia="zh-CN"/>
        </w:rPr>
        <w:t>。</w:t>
      </w:r>
    </w:p>
    <w:p>
      <w:pPr>
        <w:pStyle w:val="3"/>
      </w:pPr>
      <w:r>
        <w:rPr>
          <w:rFonts w:hint="eastAsia"/>
        </w:rPr>
        <w:t>项目团队及驻场人员要求</w:t>
      </w:r>
      <w:bookmarkEnd w:id="32"/>
    </w:p>
    <w:p>
      <w:r>
        <w:rPr>
          <w:rFonts w:hint="eastAsia"/>
        </w:rPr>
        <w:t>1）</w:t>
      </w:r>
      <w:r>
        <w:rPr>
          <w:rFonts w:hint="eastAsia"/>
          <w:lang w:eastAsia="zh-CN"/>
        </w:rPr>
        <w:t>供应商</w:t>
      </w:r>
      <w:r>
        <w:rPr>
          <w:rFonts w:hint="eastAsia"/>
        </w:rPr>
        <w:t>须具有稳定的在职技术保障力量，能够提供及时的技术支援或服务，应针对本项目提供不少于20人的项目服务团队（包括项目</w:t>
      </w:r>
      <w:r>
        <w:rPr>
          <w:rFonts w:hint="eastAsia"/>
          <w:lang w:eastAsia="zh-CN"/>
        </w:rPr>
        <w:t>负责人</w:t>
      </w:r>
      <w:r>
        <w:rPr>
          <w:rFonts w:hint="eastAsia"/>
        </w:rPr>
        <w:t>、产品经理、、研发、测试等），</w:t>
      </w:r>
      <w:r>
        <w:rPr>
          <w:rFonts w:hint="eastAsia"/>
          <w:lang w:eastAsia="zh-CN"/>
        </w:rPr>
        <w:t>供应商</w:t>
      </w:r>
      <w:r>
        <w:rPr>
          <w:rFonts w:hint="eastAsia"/>
        </w:rPr>
        <w:t>的相关服务人员需具备相应的服务能力，需提供相关证明。</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1836"/>
        <w:gridCol w:w="1541"/>
        <w:gridCol w:w="1833"/>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56" w:type="dxa"/>
            <w:shd w:val="clear" w:color="auto" w:fill="auto"/>
            <w:noWrap/>
            <w:vAlign w:val="center"/>
          </w:tcPr>
          <w:p>
            <w:pPr>
              <w:widowControl/>
              <w:spacing w:line="240" w:lineRule="auto"/>
              <w:ind w:firstLine="0" w:firstLineChars="0"/>
              <w:jc w:val="center"/>
              <w:rPr>
                <w:b/>
              </w:rPr>
            </w:pPr>
            <w:r>
              <w:rPr>
                <w:rFonts w:hint="eastAsia"/>
                <w:b/>
              </w:rPr>
              <w:t>角色</w:t>
            </w:r>
          </w:p>
        </w:tc>
        <w:tc>
          <w:tcPr>
            <w:tcW w:w="1836" w:type="dxa"/>
            <w:shd w:val="clear" w:color="auto" w:fill="auto"/>
            <w:noWrap/>
            <w:vAlign w:val="center"/>
          </w:tcPr>
          <w:p>
            <w:pPr>
              <w:widowControl/>
              <w:spacing w:line="240" w:lineRule="auto"/>
              <w:ind w:firstLine="0" w:firstLineChars="0"/>
              <w:jc w:val="center"/>
              <w:rPr>
                <w:b/>
              </w:rPr>
            </w:pPr>
            <w:r>
              <w:rPr>
                <w:rFonts w:hint="eastAsia"/>
                <w:b/>
              </w:rPr>
              <w:t>主要职责</w:t>
            </w:r>
          </w:p>
        </w:tc>
        <w:tc>
          <w:tcPr>
            <w:tcW w:w="1541" w:type="dxa"/>
            <w:shd w:val="clear" w:color="auto" w:fill="auto"/>
            <w:noWrap/>
            <w:vAlign w:val="center"/>
          </w:tcPr>
          <w:p>
            <w:pPr>
              <w:widowControl/>
              <w:spacing w:line="240" w:lineRule="auto"/>
              <w:ind w:firstLine="0" w:firstLineChars="0"/>
              <w:jc w:val="center"/>
              <w:rPr>
                <w:b/>
              </w:rPr>
            </w:pPr>
            <w:r>
              <w:rPr>
                <w:rFonts w:hint="eastAsia"/>
                <w:b/>
              </w:rPr>
              <w:t>人员数量</w:t>
            </w:r>
          </w:p>
        </w:tc>
        <w:tc>
          <w:tcPr>
            <w:tcW w:w="1833" w:type="dxa"/>
            <w:vAlign w:val="center"/>
          </w:tcPr>
          <w:p>
            <w:pPr>
              <w:widowControl/>
              <w:spacing w:line="240" w:lineRule="auto"/>
              <w:ind w:firstLine="0" w:firstLineChars="0"/>
              <w:jc w:val="center"/>
              <w:rPr>
                <w:b/>
              </w:rPr>
            </w:pPr>
            <w:r>
              <w:rPr>
                <w:rFonts w:hint="eastAsia"/>
                <w:b/>
              </w:rPr>
              <w:t>人员要求</w:t>
            </w:r>
          </w:p>
        </w:tc>
        <w:tc>
          <w:tcPr>
            <w:tcW w:w="1656" w:type="dxa"/>
            <w:shd w:val="clear" w:color="auto" w:fill="auto"/>
            <w:noWrap/>
            <w:vAlign w:val="center"/>
          </w:tcPr>
          <w:p>
            <w:pPr>
              <w:widowControl/>
              <w:spacing w:line="240" w:lineRule="auto"/>
              <w:ind w:firstLine="0" w:firstLineChars="0"/>
              <w:jc w:val="center"/>
              <w:rPr>
                <w:b/>
              </w:rPr>
            </w:pPr>
            <w:r>
              <w:rPr>
                <w:rFonts w:hint="eastAsia"/>
                <w:b/>
              </w:rPr>
              <w:t>驻场要求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56" w:type="dxa"/>
            <w:shd w:val="clear" w:color="auto" w:fill="auto"/>
            <w:noWrap/>
            <w:vAlign w:val="center"/>
          </w:tcPr>
          <w:p>
            <w:pPr>
              <w:widowControl/>
              <w:spacing w:line="240" w:lineRule="auto"/>
              <w:ind w:firstLine="0" w:firstLineChars="0"/>
              <w:jc w:val="center"/>
              <w:rPr>
                <w:rFonts w:hint="eastAsia" w:eastAsia="宋体"/>
                <w:lang w:eastAsia="zh-CN"/>
              </w:rPr>
            </w:pPr>
            <w:r>
              <w:rPr>
                <w:rFonts w:hint="eastAsia"/>
              </w:rPr>
              <w:t>项目</w:t>
            </w:r>
            <w:r>
              <w:rPr>
                <w:rFonts w:hint="eastAsia"/>
                <w:lang w:eastAsia="zh-CN"/>
              </w:rPr>
              <w:t>负责人</w:t>
            </w:r>
          </w:p>
        </w:tc>
        <w:tc>
          <w:tcPr>
            <w:tcW w:w="1836" w:type="dxa"/>
            <w:shd w:val="clear" w:color="auto" w:fill="auto"/>
            <w:vAlign w:val="center"/>
          </w:tcPr>
          <w:p>
            <w:pPr>
              <w:widowControl/>
              <w:spacing w:line="240" w:lineRule="auto"/>
              <w:ind w:firstLine="0" w:firstLineChars="0"/>
              <w:jc w:val="center"/>
            </w:pPr>
            <w:r>
              <w:rPr>
                <w:rFonts w:hint="eastAsia"/>
              </w:rPr>
              <w:t>负责项目质量和进度控制</w:t>
            </w:r>
          </w:p>
        </w:tc>
        <w:tc>
          <w:tcPr>
            <w:tcW w:w="1541" w:type="dxa"/>
            <w:shd w:val="clear" w:color="auto" w:fill="auto"/>
            <w:noWrap/>
            <w:vAlign w:val="center"/>
          </w:tcPr>
          <w:p>
            <w:pPr>
              <w:widowControl/>
              <w:spacing w:line="240" w:lineRule="auto"/>
              <w:ind w:firstLine="0" w:firstLineChars="0"/>
              <w:jc w:val="center"/>
            </w:pPr>
            <w:r>
              <w:rPr>
                <w:rFonts w:hint="eastAsia"/>
              </w:rPr>
              <w:t>1人</w:t>
            </w:r>
          </w:p>
        </w:tc>
        <w:tc>
          <w:tcPr>
            <w:tcW w:w="1833" w:type="dxa"/>
            <w:vAlign w:val="center"/>
          </w:tcPr>
          <w:p>
            <w:pPr>
              <w:widowControl/>
              <w:spacing w:line="240" w:lineRule="auto"/>
              <w:ind w:firstLine="0" w:firstLineChars="0"/>
              <w:jc w:val="center"/>
            </w:pPr>
            <w:r>
              <w:rPr>
                <w:rFonts w:hint="eastAsia"/>
              </w:rPr>
              <w:t>具备高级</w:t>
            </w:r>
            <w:r>
              <w:rPr>
                <w:rFonts w:hint="eastAsia"/>
                <w:lang w:eastAsia="zh-CN"/>
              </w:rPr>
              <w:t>信息系统项目管理师</w:t>
            </w:r>
            <w:r>
              <w:rPr>
                <w:rFonts w:hint="eastAsia"/>
              </w:rPr>
              <w:t>证书</w:t>
            </w:r>
            <w:r>
              <w:rPr>
                <w:rFonts w:hint="eastAsia"/>
                <w:lang w:eastAsia="zh-CN"/>
              </w:rPr>
              <w:t>或</w:t>
            </w:r>
            <w:r>
              <w:rPr>
                <w:rFonts w:hint="eastAsia" w:cs="宋体"/>
                <w:color w:val="000000"/>
                <w:kern w:val="0"/>
              </w:rPr>
              <w:t>高级工程师</w:t>
            </w:r>
            <w:r>
              <w:rPr>
                <w:rFonts w:hint="eastAsia"/>
              </w:rPr>
              <w:t>，不低于硕士研究生学历</w:t>
            </w:r>
          </w:p>
        </w:tc>
        <w:tc>
          <w:tcPr>
            <w:tcW w:w="1656" w:type="dxa"/>
            <w:shd w:val="clear" w:color="auto" w:fill="auto"/>
            <w:noWrap/>
            <w:vAlign w:val="center"/>
          </w:tcPr>
          <w:p>
            <w:pPr>
              <w:widowControl/>
              <w:spacing w:line="240" w:lineRule="auto"/>
              <w:ind w:firstLine="0" w:firstLineChars="0"/>
              <w:jc w:val="center"/>
            </w:pPr>
            <w:r>
              <w:rPr>
                <w:rFonts w:hint="eastAsia"/>
              </w:rPr>
              <w:t>驻场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56" w:type="dxa"/>
            <w:shd w:val="clear" w:color="auto" w:fill="auto"/>
            <w:noWrap/>
            <w:vAlign w:val="center"/>
          </w:tcPr>
          <w:p>
            <w:pPr>
              <w:widowControl/>
              <w:spacing w:line="240" w:lineRule="auto"/>
              <w:ind w:firstLine="0" w:firstLineChars="0"/>
              <w:jc w:val="center"/>
            </w:pPr>
            <w:r>
              <w:rPr>
                <w:rFonts w:hint="eastAsia"/>
              </w:rPr>
              <w:t>产品经理</w:t>
            </w:r>
          </w:p>
        </w:tc>
        <w:tc>
          <w:tcPr>
            <w:tcW w:w="1836" w:type="dxa"/>
            <w:shd w:val="clear" w:color="auto" w:fill="auto"/>
            <w:vAlign w:val="center"/>
          </w:tcPr>
          <w:p>
            <w:pPr>
              <w:widowControl/>
              <w:spacing w:line="240" w:lineRule="auto"/>
              <w:ind w:firstLine="0" w:firstLineChars="0"/>
              <w:jc w:val="center"/>
            </w:pPr>
            <w:r>
              <w:rPr>
                <w:rFonts w:hint="eastAsia"/>
              </w:rPr>
              <w:t>负责项目需求评估与产品设计</w:t>
            </w:r>
          </w:p>
        </w:tc>
        <w:tc>
          <w:tcPr>
            <w:tcW w:w="1541" w:type="dxa"/>
            <w:shd w:val="clear" w:color="auto" w:fill="auto"/>
            <w:noWrap/>
            <w:vAlign w:val="center"/>
          </w:tcPr>
          <w:p>
            <w:pPr>
              <w:widowControl/>
              <w:spacing w:line="240" w:lineRule="auto"/>
              <w:ind w:firstLine="0" w:firstLineChars="0"/>
              <w:jc w:val="center"/>
            </w:pPr>
            <w:r>
              <w:rPr>
                <w:rFonts w:hint="eastAsia"/>
              </w:rPr>
              <w:t>1人</w:t>
            </w:r>
          </w:p>
        </w:tc>
        <w:tc>
          <w:tcPr>
            <w:tcW w:w="1833" w:type="dxa"/>
            <w:vAlign w:val="center"/>
          </w:tcPr>
          <w:p>
            <w:pPr>
              <w:widowControl/>
              <w:spacing w:line="240" w:lineRule="auto"/>
              <w:ind w:firstLine="0" w:firstLineChars="0"/>
            </w:pPr>
            <w:r>
              <w:rPr>
                <w:rFonts w:hint="eastAsia"/>
              </w:rPr>
              <w:t>具备区块链应用操作员等级认证</w:t>
            </w:r>
          </w:p>
        </w:tc>
        <w:tc>
          <w:tcPr>
            <w:tcW w:w="1656" w:type="dxa"/>
            <w:shd w:val="clear" w:color="auto" w:fill="auto"/>
            <w:noWrap/>
            <w:vAlign w:val="center"/>
          </w:tcPr>
          <w:p>
            <w:pPr>
              <w:widowControl/>
              <w:spacing w:line="240" w:lineRule="auto"/>
              <w:ind w:firstLine="0" w:firstLineChars="0"/>
              <w:jc w:val="center"/>
            </w:pPr>
            <w:r>
              <w:rPr>
                <w:rFonts w:hint="eastAsia"/>
              </w:rPr>
              <w:t>驻场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56" w:type="dxa"/>
            <w:shd w:val="clear" w:color="auto" w:fill="auto"/>
            <w:noWrap/>
            <w:vAlign w:val="center"/>
          </w:tcPr>
          <w:p>
            <w:pPr>
              <w:widowControl/>
              <w:spacing w:line="240" w:lineRule="auto"/>
              <w:ind w:firstLine="0" w:firstLineChars="0"/>
              <w:jc w:val="center"/>
            </w:pPr>
            <w:r>
              <w:rPr>
                <w:rFonts w:hint="eastAsia"/>
              </w:rPr>
              <w:t>研发</w:t>
            </w:r>
          </w:p>
        </w:tc>
        <w:tc>
          <w:tcPr>
            <w:tcW w:w="1836" w:type="dxa"/>
            <w:shd w:val="clear" w:color="auto" w:fill="auto"/>
            <w:noWrap/>
            <w:vAlign w:val="center"/>
          </w:tcPr>
          <w:p>
            <w:pPr>
              <w:widowControl/>
              <w:spacing w:line="240" w:lineRule="auto"/>
              <w:ind w:firstLine="0" w:firstLineChars="0"/>
              <w:jc w:val="center"/>
            </w:pPr>
            <w:r>
              <w:rPr>
                <w:rFonts w:hint="eastAsia"/>
              </w:rPr>
              <w:t>负责项目具体开发与实施</w:t>
            </w:r>
          </w:p>
        </w:tc>
        <w:tc>
          <w:tcPr>
            <w:tcW w:w="1541" w:type="dxa"/>
            <w:shd w:val="clear" w:color="auto" w:fill="auto"/>
            <w:noWrap/>
            <w:vAlign w:val="center"/>
          </w:tcPr>
          <w:p>
            <w:pPr>
              <w:widowControl/>
              <w:spacing w:line="240" w:lineRule="auto"/>
              <w:ind w:firstLine="0" w:firstLineChars="0"/>
              <w:jc w:val="center"/>
            </w:pPr>
            <w:r>
              <w:rPr>
                <w:rFonts w:hint="eastAsia"/>
              </w:rPr>
              <w:t>11人</w:t>
            </w:r>
          </w:p>
        </w:tc>
        <w:tc>
          <w:tcPr>
            <w:tcW w:w="1833" w:type="dxa"/>
            <w:vAlign w:val="center"/>
          </w:tcPr>
          <w:p>
            <w:pPr>
              <w:widowControl/>
              <w:spacing w:line="240" w:lineRule="auto"/>
              <w:ind w:firstLine="0" w:firstLineChars="0"/>
              <w:jc w:val="center"/>
            </w:pPr>
            <w:r>
              <w:rPr>
                <w:rFonts w:hint="eastAsia"/>
              </w:rPr>
              <w:t>至少4人5年以上工作经验</w:t>
            </w:r>
          </w:p>
        </w:tc>
        <w:tc>
          <w:tcPr>
            <w:tcW w:w="1656" w:type="dxa"/>
            <w:shd w:val="clear" w:color="auto" w:fill="auto"/>
            <w:noWrap/>
            <w:vAlign w:val="center"/>
          </w:tcPr>
          <w:p>
            <w:pPr>
              <w:widowControl/>
              <w:spacing w:line="240" w:lineRule="auto"/>
              <w:ind w:firstLine="0" w:firstLineChars="0"/>
              <w:jc w:val="center"/>
            </w:pPr>
            <w:r>
              <w:rPr>
                <w:rFonts w:hint="eastAsia"/>
              </w:rPr>
              <w:t>至少2人驻场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56" w:type="dxa"/>
            <w:shd w:val="clear" w:color="auto" w:fill="auto"/>
            <w:noWrap/>
            <w:vAlign w:val="center"/>
          </w:tcPr>
          <w:p>
            <w:pPr>
              <w:widowControl/>
              <w:spacing w:line="240" w:lineRule="auto"/>
              <w:ind w:firstLine="0" w:firstLineChars="0"/>
              <w:jc w:val="center"/>
            </w:pPr>
            <w:r>
              <w:rPr>
                <w:rFonts w:hint="eastAsia"/>
              </w:rPr>
              <w:t>测试</w:t>
            </w:r>
          </w:p>
        </w:tc>
        <w:tc>
          <w:tcPr>
            <w:tcW w:w="1836" w:type="dxa"/>
            <w:shd w:val="clear" w:color="auto" w:fill="auto"/>
            <w:noWrap/>
            <w:vAlign w:val="center"/>
          </w:tcPr>
          <w:p>
            <w:pPr>
              <w:widowControl/>
              <w:spacing w:line="240" w:lineRule="auto"/>
              <w:ind w:firstLine="0" w:firstLineChars="0"/>
              <w:jc w:val="center"/>
            </w:pPr>
            <w:r>
              <w:rPr>
                <w:rFonts w:hint="eastAsia"/>
              </w:rPr>
              <w:t>负责项目的测试工作</w:t>
            </w:r>
          </w:p>
        </w:tc>
        <w:tc>
          <w:tcPr>
            <w:tcW w:w="1541" w:type="dxa"/>
            <w:shd w:val="clear" w:color="auto" w:fill="auto"/>
            <w:noWrap/>
            <w:vAlign w:val="center"/>
          </w:tcPr>
          <w:p>
            <w:pPr>
              <w:widowControl/>
              <w:spacing w:line="240" w:lineRule="auto"/>
              <w:ind w:firstLine="0" w:firstLineChars="0"/>
              <w:jc w:val="center"/>
            </w:pPr>
            <w:r>
              <w:rPr>
                <w:rFonts w:hint="eastAsia"/>
              </w:rPr>
              <w:t>7人</w:t>
            </w:r>
          </w:p>
        </w:tc>
        <w:tc>
          <w:tcPr>
            <w:tcW w:w="1833" w:type="dxa"/>
            <w:vAlign w:val="center"/>
          </w:tcPr>
          <w:p>
            <w:pPr>
              <w:widowControl/>
              <w:spacing w:line="240" w:lineRule="auto"/>
              <w:ind w:firstLine="0" w:firstLineChars="0"/>
              <w:jc w:val="center"/>
            </w:pPr>
            <w:r>
              <w:rPr>
                <w:rFonts w:hint="eastAsia"/>
              </w:rPr>
              <w:t>至少2人5年以上工作经验</w:t>
            </w:r>
          </w:p>
        </w:tc>
        <w:tc>
          <w:tcPr>
            <w:tcW w:w="1656" w:type="dxa"/>
            <w:shd w:val="clear" w:color="auto" w:fill="auto"/>
            <w:noWrap/>
            <w:vAlign w:val="center"/>
          </w:tcPr>
          <w:p>
            <w:pPr>
              <w:widowControl/>
              <w:spacing w:line="240" w:lineRule="auto"/>
              <w:ind w:firstLine="0" w:firstLineChars="0"/>
              <w:jc w:val="center"/>
            </w:pPr>
            <w:r>
              <w:rPr>
                <w:rFonts w:hint="eastAsia"/>
              </w:rPr>
              <w:t>至少2人驻场</w:t>
            </w:r>
          </w:p>
        </w:tc>
      </w:tr>
    </w:tbl>
    <w:p>
      <w:r>
        <w:rPr>
          <w:rFonts w:hint="eastAsia"/>
        </w:rPr>
        <w:t>2）</w:t>
      </w:r>
      <w:r>
        <w:rPr>
          <w:rFonts w:hint="eastAsia"/>
          <w:lang w:eastAsia="zh-CN"/>
        </w:rPr>
        <w:t>供应商</w:t>
      </w:r>
      <w:r>
        <w:rPr>
          <w:rFonts w:hint="eastAsia"/>
        </w:rPr>
        <w:t>应针对本项目提供不少于7人的质保期间支撑团队（其中项目</w:t>
      </w:r>
      <w:r>
        <w:rPr>
          <w:rFonts w:hint="eastAsia"/>
          <w:lang w:eastAsia="zh-CN"/>
        </w:rPr>
        <w:t>负责人</w:t>
      </w:r>
      <w:r>
        <w:rPr>
          <w:rFonts w:hint="eastAsia"/>
        </w:rPr>
        <w:t>1人，产品经理1人，技术工程师不少于5人）；</w:t>
      </w:r>
      <w:r>
        <w:rPr>
          <w:rFonts w:hint="eastAsia"/>
          <w:lang w:eastAsia="zh-CN"/>
        </w:rPr>
        <w:t>供应商</w:t>
      </w:r>
      <w:r>
        <w:rPr>
          <w:rFonts w:hint="eastAsia"/>
        </w:rPr>
        <w:t>的相关服务人员需具备相应的服务能力，需提供相关证明（最近一个季度依法缴纳社保费的证明）。</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2316"/>
        <w:gridCol w:w="1180"/>
        <w:gridCol w:w="1960"/>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pPr>
              <w:widowControl/>
              <w:spacing w:line="240" w:lineRule="auto"/>
              <w:ind w:firstLine="0" w:firstLineChars="0"/>
              <w:jc w:val="center"/>
              <w:rPr>
                <w:b/>
              </w:rPr>
            </w:pPr>
            <w:r>
              <w:rPr>
                <w:rFonts w:hint="eastAsia"/>
                <w:b/>
              </w:rPr>
              <w:t>角色</w:t>
            </w:r>
          </w:p>
        </w:tc>
        <w:tc>
          <w:tcPr>
            <w:tcW w:w="0" w:type="auto"/>
            <w:shd w:val="clear" w:color="auto" w:fill="auto"/>
            <w:noWrap/>
            <w:vAlign w:val="center"/>
          </w:tcPr>
          <w:p>
            <w:pPr>
              <w:widowControl/>
              <w:spacing w:line="240" w:lineRule="auto"/>
              <w:ind w:firstLine="0" w:firstLineChars="0"/>
              <w:jc w:val="center"/>
              <w:rPr>
                <w:b/>
              </w:rPr>
            </w:pPr>
            <w:r>
              <w:rPr>
                <w:rFonts w:hint="eastAsia"/>
                <w:b/>
              </w:rPr>
              <w:t>主要职责</w:t>
            </w:r>
          </w:p>
        </w:tc>
        <w:tc>
          <w:tcPr>
            <w:tcW w:w="0" w:type="auto"/>
            <w:shd w:val="clear" w:color="auto" w:fill="auto"/>
            <w:noWrap/>
            <w:vAlign w:val="center"/>
          </w:tcPr>
          <w:p>
            <w:pPr>
              <w:widowControl/>
              <w:spacing w:line="240" w:lineRule="auto"/>
              <w:ind w:firstLine="0" w:firstLineChars="0"/>
              <w:jc w:val="center"/>
              <w:rPr>
                <w:b/>
              </w:rPr>
            </w:pPr>
            <w:r>
              <w:rPr>
                <w:rFonts w:hint="eastAsia"/>
                <w:b/>
              </w:rPr>
              <w:t>人员数量</w:t>
            </w:r>
          </w:p>
        </w:tc>
        <w:tc>
          <w:tcPr>
            <w:tcW w:w="0" w:type="auto"/>
            <w:vAlign w:val="center"/>
          </w:tcPr>
          <w:p>
            <w:pPr>
              <w:widowControl/>
              <w:spacing w:line="240" w:lineRule="auto"/>
              <w:ind w:firstLine="0" w:firstLineChars="0"/>
              <w:jc w:val="center"/>
              <w:rPr>
                <w:b/>
              </w:rPr>
            </w:pPr>
            <w:r>
              <w:rPr>
                <w:rFonts w:hint="eastAsia"/>
                <w:b/>
              </w:rPr>
              <w:t>人员要求</w:t>
            </w:r>
          </w:p>
        </w:tc>
        <w:tc>
          <w:tcPr>
            <w:tcW w:w="0" w:type="auto"/>
            <w:shd w:val="clear" w:color="auto" w:fill="auto"/>
            <w:noWrap/>
            <w:vAlign w:val="center"/>
          </w:tcPr>
          <w:p>
            <w:pPr>
              <w:widowControl/>
              <w:spacing w:line="240" w:lineRule="auto"/>
              <w:ind w:firstLine="0" w:firstLineChars="0"/>
              <w:jc w:val="center"/>
              <w:rPr>
                <w:b/>
              </w:rPr>
            </w:pPr>
            <w:r>
              <w:rPr>
                <w:rFonts w:hint="eastAsia"/>
                <w:b/>
              </w:rPr>
              <w:t>驻场要求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pPr>
              <w:widowControl/>
              <w:spacing w:line="240" w:lineRule="auto"/>
              <w:ind w:firstLine="0" w:firstLineChars="0"/>
              <w:jc w:val="center"/>
              <w:rPr>
                <w:rFonts w:hint="eastAsia" w:eastAsia="宋体"/>
                <w:lang w:eastAsia="zh-CN"/>
              </w:rPr>
            </w:pPr>
            <w:r>
              <w:rPr>
                <w:rFonts w:hint="eastAsia"/>
              </w:rPr>
              <w:t>项目</w:t>
            </w:r>
            <w:r>
              <w:rPr>
                <w:rFonts w:hint="eastAsia"/>
                <w:lang w:eastAsia="zh-CN"/>
              </w:rPr>
              <w:t>负责人</w:t>
            </w:r>
          </w:p>
        </w:tc>
        <w:tc>
          <w:tcPr>
            <w:tcW w:w="0" w:type="auto"/>
            <w:shd w:val="clear" w:color="auto" w:fill="auto"/>
            <w:vAlign w:val="center"/>
          </w:tcPr>
          <w:p>
            <w:pPr>
              <w:widowControl/>
              <w:spacing w:line="240" w:lineRule="auto"/>
              <w:ind w:firstLine="0" w:firstLineChars="0"/>
              <w:jc w:val="center"/>
            </w:pPr>
            <w:r>
              <w:rPr>
                <w:rFonts w:hint="eastAsia"/>
              </w:rPr>
              <w:t>负责项目质量和进度控制</w:t>
            </w:r>
          </w:p>
        </w:tc>
        <w:tc>
          <w:tcPr>
            <w:tcW w:w="0" w:type="auto"/>
            <w:shd w:val="clear" w:color="auto" w:fill="auto"/>
            <w:noWrap/>
            <w:vAlign w:val="center"/>
          </w:tcPr>
          <w:p>
            <w:pPr>
              <w:widowControl/>
              <w:spacing w:line="240" w:lineRule="auto"/>
              <w:ind w:firstLine="0" w:firstLineChars="0"/>
              <w:jc w:val="center"/>
            </w:pPr>
            <w:r>
              <w:rPr>
                <w:rFonts w:hint="eastAsia"/>
              </w:rPr>
              <w:t>1人</w:t>
            </w:r>
          </w:p>
        </w:tc>
        <w:tc>
          <w:tcPr>
            <w:tcW w:w="0" w:type="auto"/>
            <w:vAlign w:val="center"/>
          </w:tcPr>
          <w:p>
            <w:pPr>
              <w:widowControl/>
              <w:spacing w:line="240" w:lineRule="auto"/>
              <w:ind w:firstLine="0" w:firstLineChars="0"/>
              <w:jc w:val="center"/>
              <w:rPr>
                <w:rFonts w:hint="eastAsia" w:eastAsia="宋体"/>
                <w:lang w:eastAsia="zh-CN"/>
              </w:rPr>
            </w:pPr>
            <w:r>
              <w:rPr>
                <w:rFonts w:hint="eastAsia"/>
              </w:rPr>
              <w:t>具备高级项目经理相关资质证书，不低于硕士研究生学历</w:t>
            </w:r>
            <w:r>
              <w:rPr>
                <w:rFonts w:hint="eastAsia"/>
                <w:lang w:eastAsia="zh-CN"/>
              </w:rPr>
              <w:t>，</w:t>
            </w:r>
            <w:r>
              <w:rPr>
                <w:rFonts w:hint="eastAsia" w:cs="宋体"/>
                <w:color w:val="000000"/>
                <w:kern w:val="0"/>
              </w:rPr>
              <w:t>与本项目类似的工作业绩</w:t>
            </w:r>
          </w:p>
        </w:tc>
        <w:tc>
          <w:tcPr>
            <w:tcW w:w="0" w:type="auto"/>
            <w:shd w:val="clear" w:color="auto" w:fill="auto"/>
            <w:noWrap/>
            <w:vAlign w:val="center"/>
          </w:tcPr>
          <w:p>
            <w:pPr>
              <w:widowControl/>
              <w:spacing w:line="240" w:lineRule="auto"/>
              <w:ind w:firstLine="0" w:firstLineChars="0"/>
              <w:jc w:val="center"/>
            </w:pPr>
            <w:r>
              <w:rPr>
                <w:rFonts w:hint="eastAsia"/>
              </w:rPr>
              <w:t>不驻场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pPr>
              <w:widowControl/>
              <w:spacing w:line="240" w:lineRule="auto"/>
              <w:ind w:firstLine="0" w:firstLineChars="0"/>
              <w:jc w:val="center"/>
            </w:pPr>
            <w:r>
              <w:rPr>
                <w:rFonts w:hint="eastAsia"/>
              </w:rPr>
              <w:t>产品经理</w:t>
            </w:r>
          </w:p>
        </w:tc>
        <w:tc>
          <w:tcPr>
            <w:tcW w:w="0" w:type="auto"/>
            <w:shd w:val="clear" w:color="auto" w:fill="auto"/>
            <w:vAlign w:val="center"/>
          </w:tcPr>
          <w:p>
            <w:pPr>
              <w:widowControl/>
              <w:spacing w:line="240" w:lineRule="auto"/>
              <w:ind w:firstLine="0" w:firstLineChars="0"/>
              <w:jc w:val="center"/>
            </w:pPr>
            <w:r>
              <w:rPr>
                <w:rFonts w:hint="eastAsia"/>
              </w:rPr>
              <w:t>负责项目需求评估与产品设计</w:t>
            </w:r>
          </w:p>
        </w:tc>
        <w:tc>
          <w:tcPr>
            <w:tcW w:w="0" w:type="auto"/>
            <w:shd w:val="clear" w:color="auto" w:fill="auto"/>
            <w:noWrap/>
            <w:vAlign w:val="center"/>
          </w:tcPr>
          <w:p>
            <w:pPr>
              <w:widowControl/>
              <w:spacing w:line="240" w:lineRule="auto"/>
              <w:ind w:firstLine="0" w:firstLineChars="0"/>
              <w:jc w:val="center"/>
            </w:pPr>
            <w:r>
              <w:rPr>
                <w:rFonts w:hint="eastAsia"/>
              </w:rPr>
              <w:t>1人</w:t>
            </w:r>
          </w:p>
        </w:tc>
        <w:tc>
          <w:tcPr>
            <w:tcW w:w="0" w:type="auto"/>
            <w:vAlign w:val="center"/>
          </w:tcPr>
          <w:p>
            <w:pPr>
              <w:widowControl/>
              <w:spacing w:line="240" w:lineRule="auto"/>
              <w:ind w:firstLine="0" w:firstLineChars="0"/>
              <w:jc w:val="center"/>
            </w:pPr>
            <w:r>
              <w:rPr>
                <w:rFonts w:hint="eastAsia"/>
              </w:rPr>
              <w:t>具备区块链应用操作员等级认证</w:t>
            </w:r>
          </w:p>
        </w:tc>
        <w:tc>
          <w:tcPr>
            <w:tcW w:w="0" w:type="auto"/>
            <w:shd w:val="clear" w:color="auto" w:fill="auto"/>
            <w:noWrap/>
            <w:vAlign w:val="center"/>
          </w:tcPr>
          <w:p>
            <w:pPr>
              <w:widowControl/>
              <w:spacing w:line="240" w:lineRule="auto"/>
              <w:ind w:firstLine="0" w:firstLineChars="0"/>
              <w:jc w:val="center"/>
            </w:pPr>
            <w:r>
              <w:rPr>
                <w:rFonts w:hint="eastAsia"/>
              </w:rPr>
              <w:t>不驻场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0" w:type="auto"/>
            <w:shd w:val="clear" w:color="auto" w:fill="auto"/>
            <w:noWrap/>
            <w:vAlign w:val="center"/>
          </w:tcPr>
          <w:p>
            <w:pPr>
              <w:widowControl/>
              <w:spacing w:line="240" w:lineRule="auto"/>
              <w:ind w:firstLine="0" w:firstLineChars="0"/>
              <w:jc w:val="center"/>
            </w:pPr>
            <w:r>
              <w:rPr>
                <w:rFonts w:hint="eastAsia"/>
              </w:rPr>
              <w:t>技术工程师</w:t>
            </w:r>
          </w:p>
        </w:tc>
        <w:tc>
          <w:tcPr>
            <w:tcW w:w="0" w:type="auto"/>
            <w:shd w:val="clear" w:color="auto" w:fill="auto"/>
            <w:noWrap/>
            <w:vAlign w:val="center"/>
          </w:tcPr>
          <w:p>
            <w:pPr>
              <w:widowControl/>
              <w:spacing w:line="240" w:lineRule="auto"/>
              <w:ind w:firstLine="0" w:firstLineChars="0"/>
              <w:jc w:val="center"/>
            </w:pPr>
            <w:r>
              <w:rPr>
                <w:rFonts w:hint="eastAsia"/>
              </w:rPr>
              <w:t>负责项目运行维护</w:t>
            </w:r>
          </w:p>
        </w:tc>
        <w:tc>
          <w:tcPr>
            <w:tcW w:w="0" w:type="auto"/>
            <w:shd w:val="clear" w:color="auto" w:fill="auto"/>
            <w:noWrap/>
            <w:vAlign w:val="center"/>
          </w:tcPr>
          <w:p>
            <w:pPr>
              <w:widowControl/>
              <w:spacing w:line="240" w:lineRule="auto"/>
              <w:ind w:firstLine="0" w:firstLineChars="0"/>
              <w:jc w:val="center"/>
            </w:pPr>
            <w:r>
              <w:rPr>
                <w:rFonts w:hint="eastAsia"/>
              </w:rPr>
              <w:t>5人</w:t>
            </w:r>
          </w:p>
        </w:tc>
        <w:tc>
          <w:tcPr>
            <w:tcW w:w="0" w:type="auto"/>
            <w:vAlign w:val="center"/>
          </w:tcPr>
          <w:p>
            <w:pPr>
              <w:widowControl/>
              <w:spacing w:line="240" w:lineRule="auto"/>
              <w:ind w:firstLine="0" w:firstLineChars="0"/>
              <w:jc w:val="center"/>
            </w:pPr>
          </w:p>
        </w:tc>
        <w:tc>
          <w:tcPr>
            <w:tcW w:w="0" w:type="auto"/>
            <w:shd w:val="clear" w:color="auto" w:fill="auto"/>
            <w:noWrap/>
            <w:vAlign w:val="center"/>
          </w:tcPr>
          <w:p>
            <w:pPr>
              <w:widowControl/>
              <w:spacing w:line="240" w:lineRule="auto"/>
              <w:ind w:firstLine="0" w:firstLineChars="0"/>
              <w:jc w:val="center"/>
            </w:pPr>
            <w:r>
              <w:rPr>
                <w:rFonts w:hint="eastAsia"/>
              </w:rPr>
              <w:t>至少2人驻场</w:t>
            </w:r>
          </w:p>
        </w:tc>
      </w:tr>
    </w:tbl>
    <w:p>
      <w:pPr>
        <w:pStyle w:val="3"/>
        <w:numPr>
          <w:ilvl w:val="1"/>
          <w:numId w:val="0"/>
        </w:numPr>
        <w:ind w:left="568" w:firstLine="600" w:firstLineChars="200"/>
      </w:pPr>
      <w:bookmarkStart w:id="33" w:name="_Toc63785511"/>
      <w:r>
        <w:rPr>
          <w:rFonts w:hint="eastAsia"/>
        </w:rPr>
        <w:t>5.7、安全测评要求</w:t>
      </w:r>
    </w:p>
    <w:bookmarkEnd w:id="33"/>
    <w:p>
      <w:r>
        <w:rPr>
          <w:rFonts w:hint="eastAsia"/>
        </w:rPr>
        <w:t>本项目的安全要求按照等级保护第三级进行设计和建设。系统部署在电子政务云信创环境中，根据电子政务云资源情况设计符合相关安全防护措施。系统建设完成后，将由采购人委托第三方安全测评机构对本项目进行安全测评，</w:t>
      </w:r>
      <w:r>
        <w:rPr>
          <w:rFonts w:hint="eastAsia"/>
          <w:lang w:eastAsia="zh-CN"/>
        </w:rPr>
        <w:t>供应商</w:t>
      </w:r>
      <w:r>
        <w:rPr>
          <w:rFonts w:hint="eastAsia"/>
        </w:rPr>
        <w:t>需配合安全测评，超出采购人提供的安全服务由</w:t>
      </w:r>
      <w:r>
        <w:rPr>
          <w:rFonts w:hint="eastAsia"/>
          <w:lang w:eastAsia="zh-CN"/>
        </w:rPr>
        <w:t>供应商</w:t>
      </w:r>
      <w:r>
        <w:rPr>
          <w:rFonts w:hint="eastAsia"/>
        </w:rPr>
        <w:t>自理，测评通过后方可验收。</w:t>
      </w:r>
    </w:p>
    <w:p>
      <w:pPr>
        <w:pStyle w:val="3"/>
        <w:numPr>
          <w:ilvl w:val="1"/>
          <w:numId w:val="0"/>
        </w:numPr>
        <w:ind w:left="1135"/>
      </w:pPr>
      <w:r>
        <w:rPr>
          <w:rFonts w:hint="eastAsia"/>
        </w:rPr>
        <w:t>5.8、软件测评要求</w:t>
      </w:r>
    </w:p>
    <w:p>
      <w:r>
        <w:rPr>
          <w:rFonts w:hint="eastAsia"/>
        </w:rPr>
        <w:t>本项目需符合软件测评的要求，</w:t>
      </w:r>
      <w:r>
        <w:rPr>
          <w:rFonts w:hint="eastAsia"/>
          <w:lang w:eastAsia="zh-CN"/>
        </w:rPr>
        <w:t>供应商</w:t>
      </w:r>
      <w:r>
        <w:rPr>
          <w:rFonts w:hint="eastAsia"/>
        </w:rPr>
        <w:t>需配合项目建设单位及具有资质的第三方测评机构完成软件测评工作，以第三方测评机构出具的软件测评报告为准，软件测评费用由采购人承担。</w:t>
      </w:r>
    </w:p>
    <w:p>
      <w:pPr>
        <w:pStyle w:val="3"/>
        <w:numPr>
          <w:ilvl w:val="1"/>
          <w:numId w:val="0"/>
        </w:numPr>
        <w:ind w:left="1135"/>
      </w:pPr>
      <w:r>
        <w:rPr>
          <w:rFonts w:hint="eastAsia"/>
        </w:rPr>
        <w:t>5.9、商业密码应用需求</w:t>
      </w:r>
    </w:p>
    <w:p>
      <w:r>
        <w:rPr>
          <w:rFonts w:hint="eastAsia"/>
        </w:rPr>
        <w:t>本项目的密码应用依据GB/T 39786-2021《信息安全技术 信息系统密码应用基本要求》第三级信息系统要求建设。系统建设完成后，委托密评机构进行密码应用安全测评，测评结果满足商用密码三级应用需求。</w:t>
      </w:r>
    </w:p>
    <w:p>
      <w:pPr>
        <w:pStyle w:val="3"/>
        <w:numPr>
          <w:ilvl w:val="1"/>
          <w:numId w:val="0"/>
        </w:numPr>
        <w:ind w:left="1135"/>
      </w:pPr>
      <w:bookmarkStart w:id="34" w:name="_Toc63785512"/>
      <w:r>
        <w:rPr>
          <w:rFonts w:hint="eastAsia"/>
        </w:rPr>
        <w:t>5.10、技术文件要求</w:t>
      </w:r>
    </w:p>
    <w:p>
      <w:r>
        <w:rPr>
          <w:rFonts w:hint="eastAsia"/>
          <w:lang w:eastAsia="zh-CN"/>
        </w:rPr>
        <w:t>供应商</w:t>
      </w:r>
      <w:r>
        <w:rPr>
          <w:rFonts w:hint="eastAsia"/>
        </w:rPr>
        <w:t>提供的书面技术资料应能确保系统正常运行所需的管理、运营及维护有关的全套文件。技术文件应该全面、完整、详细。</w:t>
      </w:r>
      <w:r>
        <w:rPr>
          <w:rFonts w:hint="eastAsia"/>
          <w:lang w:eastAsia="zh-CN"/>
        </w:rPr>
        <w:t>供应商</w:t>
      </w:r>
      <w:r>
        <w:rPr>
          <w:rFonts w:hint="eastAsia"/>
        </w:rPr>
        <w:t>提供的技术文件至少应包括：</w:t>
      </w:r>
    </w:p>
    <w:p>
      <w:r>
        <w:rPr>
          <w:rFonts w:hint="eastAsia"/>
        </w:rPr>
        <w:t>－</w:t>
      </w:r>
      <w:r>
        <w:t xml:space="preserve"> 系统说明文件； </w:t>
      </w:r>
    </w:p>
    <w:p>
      <w:r>
        <w:rPr>
          <w:rFonts w:hint="eastAsia"/>
        </w:rPr>
        <w:t>－</w:t>
      </w:r>
      <w:r>
        <w:t xml:space="preserve"> 技术手册(安装、测试、操作、维护、故障排除等)； </w:t>
      </w:r>
    </w:p>
    <w:p>
      <w:r>
        <w:rPr>
          <w:rFonts w:hint="eastAsia"/>
        </w:rPr>
        <w:t>－</w:t>
      </w:r>
      <w:r>
        <w:t xml:space="preserve"> 项目文档，应该包括：</w:t>
      </w:r>
    </w:p>
    <w:p>
      <w:pPr>
        <w:ind w:left="424" w:leftChars="177"/>
      </w:pPr>
      <w:r>
        <w:t>(1)软件需求说明书</w:t>
      </w:r>
    </w:p>
    <w:p>
      <w:pPr>
        <w:ind w:left="424" w:leftChars="177"/>
      </w:pPr>
      <w:r>
        <w:t>(2)系统总体设计说明书</w:t>
      </w:r>
    </w:p>
    <w:p>
      <w:pPr>
        <w:ind w:left="424" w:leftChars="177"/>
      </w:pPr>
      <w:r>
        <w:t>(3)应用软件功能清单</w:t>
      </w:r>
    </w:p>
    <w:p>
      <w:r>
        <w:rPr>
          <w:rFonts w:hint="eastAsia"/>
        </w:rPr>
        <w:t>提供全套技术文件纸介质</w:t>
      </w:r>
      <w:r>
        <w:t>3套以及电子文件1套。</w:t>
      </w:r>
    </w:p>
    <w:p>
      <w:pPr>
        <w:pStyle w:val="2"/>
      </w:pPr>
      <w:r>
        <w:rPr>
          <w:rFonts w:hint="eastAsia"/>
        </w:rPr>
        <w:t>供应商资质要求</w:t>
      </w:r>
    </w:p>
    <w:p>
      <w:r>
        <w:t>1、符合《中华人民共和国政府采购法》第二十二条规定的供应商。</w:t>
      </w:r>
    </w:p>
    <w:p>
      <w:r>
        <w:t>2、根据《上海市政府采购供应商登记及诚信管理办法》已登记入库的供应商。</w:t>
      </w:r>
    </w:p>
    <w:p>
      <w:r>
        <w:t>3、其他资格要求：</w:t>
      </w:r>
    </w:p>
    <w:p>
      <w:r>
        <w:t>3.</w:t>
      </w:r>
      <w:r>
        <w:rPr>
          <w:rFonts w:hint="eastAsia"/>
        </w:rPr>
        <w:t>1</w:t>
      </w:r>
      <w:r>
        <w:t>本项目面向小、微型等各类供应商采购。</w:t>
      </w:r>
    </w:p>
    <w:p>
      <w:r>
        <w:t>3.</w:t>
      </w:r>
      <w:r>
        <w:rPr>
          <w:rFonts w:hint="eastAsia"/>
        </w:rPr>
        <w:t>2</w:t>
      </w:r>
      <w:r>
        <w:t>未被列入“信用中国”网站(www.creditchina.gov.cn)失信被执行人名单、重大税收违法案件当事人名单和中国政府采购网(www.ccgp.gov.cn)政府采购严重违法失信行为记录名单。</w:t>
      </w:r>
    </w:p>
    <w:p>
      <w:pPr>
        <w:pStyle w:val="2"/>
      </w:pPr>
      <w:r>
        <w:rPr>
          <w:rFonts w:hint="eastAsia"/>
        </w:rPr>
        <w:t>供应商管理要求</w:t>
      </w:r>
      <w:bookmarkEnd w:id="34"/>
    </w:p>
    <w:p>
      <w:r>
        <w:rPr>
          <w:rFonts w:hint="eastAsia"/>
        </w:rPr>
        <w:t>1、在项目实施期间，</w:t>
      </w:r>
      <w:r>
        <w:rPr>
          <w:rFonts w:hint="eastAsia"/>
          <w:lang w:eastAsia="zh-CN"/>
        </w:rPr>
        <w:t>供应商</w:t>
      </w:r>
      <w:r>
        <w:rPr>
          <w:rFonts w:hint="eastAsia"/>
        </w:rPr>
        <w:t>应严格执行国家、地方、行业有关本项目业务管理和安全作业的法律、法规和制度并按规定承担相应的费用。</w:t>
      </w:r>
      <w:r>
        <w:rPr>
          <w:rFonts w:hint="eastAsia"/>
          <w:lang w:eastAsia="zh-CN"/>
        </w:rPr>
        <w:t>供应商</w:t>
      </w:r>
      <w:r>
        <w:rPr>
          <w:rFonts w:hint="eastAsia"/>
        </w:rPr>
        <w:t>因违反规定等原因造成的一切损失和责任由</w:t>
      </w:r>
      <w:r>
        <w:rPr>
          <w:rFonts w:hint="eastAsia"/>
          <w:lang w:eastAsia="zh-CN"/>
        </w:rPr>
        <w:t>供应商</w:t>
      </w:r>
      <w:r>
        <w:rPr>
          <w:rFonts w:hint="eastAsia"/>
        </w:rPr>
        <w:t>自行承担。</w:t>
      </w:r>
    </w:p>
    <w:p>
      <w:r>
        <w:rPr>
          <w:rFonts w:hint="eastAsia"/>
        </w:rPr>
        <w:t>2、</w:t>
      </w:r>
      <w:r>
        <w:rPr>
          <w:rFonts w:hint="eastAsia"/>
          <w:lang w:eastAsia="zh-CN"/>
        </w:rPr>
        <w:t>供应商</w:t>
      </w:r>
      <w:r>
        <w:rPr>
          <w:rFonts w:hint="eastAsia"/>
        </w:rPr>
        <w:t>在</w:t>
      </w:r>
      <w:r>
        <w:rPr>
          <w:rFonts w:hint="eastAsia"/>
          <w:lang w:eastAsia="zh-CN"/>
        </w:rPr>
        <w:t>响应文件</w:t>
      </w:r>
      <w:r>
        <w:rPr>
          <w:rFonts w:hint="eastAsia"/>
        </w:rPr>
        <w:t>中承诺并经</w:t>
      </w:r>
      <w:r>
        <w:rPr>
          <w:rFonts w:hint="eastAsia"/>
          <w:lang w:eastAsia="zh-CN"/>
        </w:rPr>
        <w:t>采购人</w:t>
      </w:r>
      <w:r>
        <w:rPr>
          <w:rFonts w:hint="eastAsia"/>
        </w:rPr>
        <w:t>认定的项目负责人及专业技术人员必须是本单位职工（在本单位缴纳社会保障金）和该项目实施现场的实际操作者，应具有类似本项目的实施经验，并应在软件应用调研、安装、试运行等期间常驻项目现场。未经采购人同意，</w:t>
      </w:r>
      <w:r>
        <w:rPr>
          <w:rFonts w:hint="eastAsia"/>
          <w:lang w:eastAsia="zh-CN"/>
        </w:rPr>
        <w:t>供应商</w:t>
      </w:r>
      <w:r>
        <w:rPr>
          <w:rFonts w:hint="eastAsia"/>
        </w:rPr>
        <w:t>不得调换或撤离上述人员。如采购人认为有必要，可要求</w:t>
      </w:r>
      <w:r>
        <w:rPr>
          <w:rFonts w:hint="eastAsia"/>
          <w:lang w:eastAsia="zh-CN"/>
        </w:rPr>
        <w:t>供应商</w:t>
      </w:r>
      <w:r>
        <w:rPr>
          <w:rFonts w:hint="eastAsia"/>
        </w:rPr>
        <w:t>对上述人员中的部分人员作出更好的调整。</w:t>
      </w:r>
    </w:p>
    <w:p>
      <w:r>
        <w:rPr>
          <w:rFonts w:hint="eastAsia"/>
        </w:rPr>
        <w:t>3、</w:t>
      </w:r>
      <w:r>
        <w:rPr>
          <w:rFonts w:hint="eastAsia"/>
          <w:lang w:eastAsia="zh-CN"/>
        </w:rPr>
        <w:t>供应商</w:t>
      </w:r>
      <w:r>
        <w:rPr>
          <w:rFonts w:hint="eastAsia"/>
        </w:rPr>
        <w:t>在项目实施期间，应按项目实际进度与环节落实所对应项目整体及各环节管理工作，按照规范做好项目实施期间相关管理与实施记录。</w:t>
      </w:r>
    </w:p>
    <w:p>
      <w:r>
        <w:rPr>
          <w:rFonts w:hint="eastAsia"/>
        </w:rPr>
        <w:t>4、参与本项目的工作人员应严格遵循采购人的安全制度，保障采购人资料和设备的安全。</w:t>
      </w:r>
      <w:r>
        <w:rPr>
          <w:rFonts w:hint="eastAsia"/>
          <w:lang w:eastAsia="zh-CN"/>
        </w:rPr>
        <w:t>供应商</w:t>
      </w:r>
      <w:r>
        <w:rPr>
          <w:rFonts w:hint="eastAsia"/>
        </w:rPr>
        <w:t>如需进入采购人机房工作，只能在采购人规定的工作区域内对项目涉及的设备进行操作，严禁触动与项目无关的任何设备（包括任何操作行为），如需跨区操作必须得到采购人项目联系人确认。</w:t>
      </w:r>
    </w:p>
    <w:p>
      <w:r>
        <w:rPr>
          <w:rFonts w:hint="eastAsia"/>
        </w:rPr>
        <w:t>5、</w:t>
      </w:r>
      <w:r>
        <w:rPr>
          <w:rFonts w:hint="eastAsia"/>
          <w:lang w:eastAsia="zh-CN"/>
        </w:rPr>
        <w:t>供应商</w:t>
      </w:r>
      <w:r>
        <w:rPr>
          <w:rFonts w:hint="eastAsia"/>
        </w:rPr>
        <w:t>在项目实施期间必须遵守采购人的规章制度并提供实施人员名单。</w:t>
      </w:r>
    </w:p>
    <w:p>
      <w:r>
        <w:rPr>
          <w:rFonts w:hint="eastAsia"/>
        </w:rPr>
        <w:t>6、各</w:t>
      </w:r>
      <w:r>
        <w:rPr>
          <w:rFonts w:hint="eastAsia"/>
          <w:lang w:eastAsia="zh-CN"/>
        </w:rPr>
        <w:t>供应商</w:t>
      </w:r>
      <w:r>
        <w:rPr>
          <w:rFonts w:hint="eastAsia"/>
        </w:rPr>
        <w:t>在</w:t>
      </w:r>
      <w:r>
        <w:rPr>
          <w:rFonts w:hint="eastAsia"/>
          <w:lang w:eastAsia="zh-CN"/>
        </w:rPr>
        <w:t>采购文件</w:t>
      </w:r>
      <w:r>
        <w:rPr>
          <w:rFonts w:hint="eastAsia"/>
        </w:rPr>
        <w:t>中要结合本项目的特点和采购人上述的具体要求制定相应的管理措施，并在报价中列支相应的费用清单，</w:t>
      </w:r>
      <w:r>
        <w:rPr>
          <w:rFonts w:hint="eastAsia"/>
          <w:lang w:eastAsia="zh-CN"/>
        </w:rPr>
        <w:t>供应商</w:t>
      </w:r>
      <w:r>
        <w:rPr>
          <w:rFonts w:hint="eastAsia"/>
        </w:rPr>
        <w:t>报价中未列支上述费用清单的，上述费用视为已包含在</w:t>
      </w:r>
      <w:r>
        <w:rPr>
          <w:rFonts w:hint="eastAsia"/>
          <w:lang w:eastAsia="zh-CN"/>
        </w:rPr>
        <w:t>供应商</w:t>
      </w:r>
      <w:r>
        <w:rPr>
          <w:rFonts w:hint="eastAsia"/>
        </w:rPr>
        <w:t>的总报价中。</w:t>
      </w:r>
    </w:p>
    <w:p>
      <w:r>
        <w:rPr>
          <w:rFonts w:hint="eastAsia"/>
        </w:rPr>
        <w:t>7、本项目软件开发及调试将纳入采购人的管理范围，</w:t>
      </w:r>
      <w:r>
        <w:rPr>
          <w:rFonts w:hint="eastAsia"/>
          <w:lang w:eastAsia="zh-CN"/>
        </w:rPr>
        <w:t>供应商</w:t>
      </w:r>
      <w:r>
        <w:rPr>
          <w:rFonts w:hint="eastAsia"/>
        </w:rPr>
        <w:t>在此过程中须服从上述单位的管理协调。</w:t>
      </w:r>
    </w:p>
    <w:p>
      <w:pPr>
        <w:pStyle w:val="2"/>
      </w:pPr>
      <w:bookmarkStart w:id="35" w:name="_Toc63785513"/>
      <w:r>
        <w:rPr>
          <w:rFonts w:hint="eastAsia"/>
        </w:rPr>
        <w:t>关于转让和分包的规定</w:t>
      </w:r>
    </w:p>
    <w:p>
      <w:r>
        <w:rPr>
          <w:rFonts w:hint="eastAsia"/>
        </w:rPr>
        <w:t>本项目不得分包不得转让。</w:t>
      </w:r>
    </w:p>
    <w:p>
      <w:pPr>
        <w:pStyle w:val="2"/>
      </w:pPr>
      <w:r>
        <w:rPr>
          <w:rFonts w:hint="eastAsia"/>
        </w:rPr>
        <w:t>知识产权及保密要求</w:t>
      </w:r>
      <w:bookmarkEnd w:id="35"/>
    </w:p>
    <w:p>
      <w:pPr>
        <w:ind w:firstLine="482"/>
        <w:rPr>
          <w:b/>
        </w:rPr>
      </w:pPr>
      <w:r>
        <w:rPr>
          <w:b/>
        </w:rPr>
        <w:t>1、</w:t>
      </w:r>
      <w:r>
        <w:rPr>
          <w:rFonts w:hint="eastAsia"/>
          <w:b/>
          <w:lang w:eastAsia="zh-CN"/>
        </w:rPr>
        <w:t>供应商</w:t>
      </w:r>
      <w:r>
        <w:rPr>
          <w:b/>
        </w:rPr>
        <w:t>数据、文件、资料知识产权</w:t>
      </w:r>
    </w:p>
    <w:p>
      <w:r>
        <w:rPr>
          <w:rFonts w:hint="eastAsia"/>
          <w:lang w:eastAsia="zh-CN"/>
        </w:rPr>
        <w:t>供应商</w:t>
      </w:r>
      <w:r>
        <w:rPr>
          <w:rFonts w:hint="eastAsia"/>
        </w:rPr>
        <w:t>保证其所提供的服务和交付的成果以及在履行本项目义务中使用到的所有数据、文件、信息不会引起任何第三方在专利权、著作权、商标权等知识产权方面向采购人或采购人的关联方及合作方（包括但不限于采购人的主管单位和采购人的合作单位等）发出侵权指控或提出索赔。若有，</w:t>
      </w:r>
      <w:r>
        <w:rPr>
          <w:rFonts w:hint="eastAsia"/>
          <w:lang w:eastAsia="zh-CN"/>
        </w:rPr>
        <w:t>供应商</w:t>
      </w:r>
      <w:r>
        <w:rPr>
          <w:rFonts w:hint="eastAsia"/>
        </w:rPr>
        <w:t>应负责与第三方解决纠纷，若因此导致采购人损失的，采购人有权要求</w:t>
      </w:r>
      <w:r>
        <w:rPr>
          <w:rFonts w:hint="eastAsia"/>
          <w:lang w:eastAsia="zh-CN"/>
        </w:rPr>
        <w:t>供应商</w:t>
      </w:r>
      <w:r>
        <w:rPr>
          <w:rFonts w:hint="eastAsia"/>
        </w:rPr>
        <w:t>赔偿采购人因此遭受的全部损失，包括但不限于直接损失、间接损失、诉讼费／仲裁费、律师费、公证费、鉴定费等。</w:t>
      </w:r>
    </w:p>
    <w:p>
      <w:r>
        <w:rPr>
          <w:rFonts w:hint="eastAsia"/>
          <w:lang w:eastAsia="zh-CN"/>
        </w:rPr>
        <w:t>供应商</w:t>
      </w:r>
      <w:r>
        <w:rPr>
          <w:rFonts w:hint="eastAsia"/>
        </w:rPr>
        <w:t>因履行本项目而产生的所有成果的知识产权等权利均归采购人所有，</w:t>
      </w:r>
      <w:r>
        <w:rPr>
          <w:rFonts w:hint="eastAsia"/>
          <w:lang w:eastAsia="zh-CN"/>
        </w:rPr>
        <w:t>供应商</w:t>
      </w:r>
      <w:r>
        <w:rPr>
          <w:rFonts w:hint="eastAsia"/>
        </w:rPr>
        <w:t>应配合采购人进行相关权利登记或申请。未经采购人书面同意，</w:t>
      </w:r>
      <w:r>
        <w:rPr>
          <w:rFonts w:hint="eastAsia"/>
          <w:lang w:eastAsia="zh-CN"/>
        </w:rPr>
        <w:t>供应商</w:t>
      </w:r>
      <w:r>
        <w:rPr>
          <w:rFonts w:hint="eastAsia"/>
        </w:rPr>
        <w:t>不得以任何形式使用或许可他人使用本项目成果的相关内容，不得擅自对外公开发表或向任何第三方透露。</w:t>
      </w:r>
    </w:p>
    <w:p>
      <w:r>
        <w:rPr>
          <w:rFonts w:hint="eastAsia"/>
        </w:rPr>
        <w:t>在不影响上述条款规定的由采购人取得所有成果的知识产权的前提下，双方因履行本项目而被授权接触或使用对方之知识产权（包括但不限于商标、专利、著作权等），和/或任何其他相关资料、数据等涉及的任何权利，均不视为向另一方转让上述权利或在本项目范围外授权许可另一方使用上述权利，上述权利仍应属于提供方，并仅可使用于本项目，被授权接触或使用方未经提供方书面同意，不得擅自挪作他用。</w:t>
      </w:r>
    </w:p>
    <w:p>
      <w:pPr>
        <w:ind w:firstLine="482"/>
        <w:rPr>
          <w:b/>
        </w:rPr>
      </w:pPr>
      <w:r>
        <w:rPr>
          <w:b/>
        </w:rPr>
        <w:t>2、项目保密要求</w:t>
      </w:r>
    </w:p>
    <w:p>
      <w:r>
        <w:rPr>
          <w:rFonts w:hint="eastAsia"/>
          <w:lang w:eastAsia="zh-CN"/>
        </w:rPr>
        <w:t>供应商</w:t>
      </w:r>
      <w:r>
        <w:rPr>
          <w:rFonts w:hint="eastAsia"/>
        </w:rPr>
        <w:t>因履行本项目而知悉的所有数据、信息和资料（包括但不限于账号信息、图表、文字、计算过程、任何形式的文件、访谈记录、现场实测数据、采购人相关工作程序等）以及因履行本项目而形成的数据、信息和任何形式的工作成果，均是采购人要求保密的信息。未经采购人书面同意，</w:t>
      </w:r>
      <w:r>
        <w:rPr>
          <w:rFonts w:hint="eastAsia"/>
          <w:lang w:eastAsia="zh-CN"/>
        </w:rPr>
        <w:t>供应商</w:t>
      </w:r>
      <w:r>
        <w:rPr>
          <w:rFonts w:hint="eastAsia"/>
        </w:rPr>
        <w:t>不得对外泄露采购人要求保密的信息，不得用于其他用途，否则</w:t>
      </w:r>
      <w:r>
        <w:rPr>
          <w:rFonts w:hint="eastAsia"/>
          <w:lang w:eastAsia="zh-CN"/>
        </w:rPr>
        <w:t>供应商</w:t>
      </w:r>
      <w:r>
        <w:rPr>
          <w:rFonts w:hint="eastAsia"/>
        </w:rPr>
        <w:t>需承担由此引起的法律责任和经济责任，包括但不限于直接损失、间接损失、律师费、诉讼费/仲裁费、调查费、公证费等。</w:t>
      </w:r>
    </w:p>
    <w:p>
      <w:r>
        <w:rPr>
          <w:rFonts w:hint="eastAsia"/>
          <w:lang w:eastAsia="zh-CN"/>
        </w:rPr>
        <w:t>供应商</w:t>
      </w:r>
      <w:r>
        <w:rPr>
          <w:rFonts w:hint="eastAsia"/>
        </w:rPr>
        <w:t>应采取必要的有效措施保证其参与本项目的人员（包括</w:t>
      </w:r>
      <w:r>
        <w:rPr>
          <w:rFonts w:hint="eastAsia"/>
          <w:lang w:eastAsia="zh-CN"/>
        </w:rPr>
        <w:t>供应商</w:t>
      </w:r>
      <w:r>
        <w:rPr>
          <w:rFonts w:hint="eastAsia"/>
        </w:rPr>
        <w:t>聘用的人员、借调的人员、实习的人员）无论是在职或离职后，以及</w:t>
      </w:r>
      <w:r>
        <w:rPr>
          <w:rFonts w:hint="eastAsia"/>
          <w:lang w:eastAsia="zh-CN"/>
        </w:rPr>
        <w:t>供应商</w:t>
      </w:r>
      <w:r>
        <w:rPr>
          <w:rFonts w:hint="eastAsia"/>
        </w:rPr>
        <w:t>的合作方无论是合作中或合作终止后，都能够履行本项目约定的保密义务。若</w:t>
      </w:r>
      <w:r>
        <w:rPr>
          <w:rFonts w:hint="eastAsia"/>
          <w:lang w:eastAsia="zh-CN"/>
        </w:rPr>
        <w:t>供应商</w:t>
      </w:r>
      <w:r>
        <w:rPr>
          <w:rFonts w:hint="eastAsia"/>
        </w:rPr>
        <w:t>人员或</w:t>
      </w:r>
      <w:r>
        <w:rPr>
          <w:rFonts w:hint="eastAsia"/>
          <w:lang w:eastAsia="zh-CN"/>
        </w:rPr>
        <w:t>供应商</w:t>
      </w:r>
      <w:r>
        <w:rPr>
          <w:rFonts w:hint="eastAsia"/>
        </w:rPr>
        <w:t>合作方违反保密规定，</w:t>
      </w:r>
      <w:r>
        <w:rPr>
          <w:rFonts w:hint="eastAsia"/>
          <w:lang w:eastAsia="zh-CN"/>
        </w:rPr>
        <w:t>供应商</w:t>
      </w:r>
      <w:r>
        <w:rPr>
          <w:rFonts w:hint="eastAsia"/>
        </w:rPr>
        <w:t>应承担连带责任。</w:t>
      </w:r>
    </w:p>
    <w:p>
      <w:r>
        <w:rPr>
          <w:rFonts w:hint="eastAsia"/>
          <w:lang w:eastAsia="zh-CN"/>
        </w:rPr>
        <w:t>供应商</w:t>
      </w:r>
      <w:r>
        <w:rPr>
          <w:rFonts w:hint="eastAsia"/>
        </w:rPr>
        <w:t>（含</w:t>
      </w:r>
      <w:r>
        <w:rPr>
          <w:rFonts w:hint="eastAsia"/>
          <w:lang w:eastAsia="zh-CN"/>
        </w:rPr>
        <w:t>供应商</w:t>
      </w:r>
      <w:r>
        <w:rPr>
          <w:rFonts w:hint="eastAsia"/>
        </w:rPr>
        <w:t>参与本项目的人员以及其合作方）未经采购方书面许可，不得以任何形式自行使用或以任何方式向第三方披露、转让、授权、出售与本项目有关的技术成果、计算机软件、源代码、策划文档、技术诀窍、秘密信息、技术资料和其他文件。</w:t>
      </w:r>
    </w:p>
    <w:p>
      <w:r>
        <w:rPr>
          <w:rFonts w:hint="eastAsia"/>
        </w:rPr>
        <w:t>以上内容的保密期限自</w:t>
      </w:r>
      <w:r>
        <w:rPr>
          <w:rFonts w:hint="eastAsia"/>
          <w:lang w:eastAsia="zh-CN"/>
        </w:rPr>
        <w:t>供应商</w:t>
      </w:r>
      <w:r>
        <w:rPr>
          <w:rFonts w:hint="eastAsia"/>
        </w:rPr>
        <w:t>知悉保密信息起始至保密信息被合法公开之日止。</w:t>
      </w:r>
    </w:p>
    <w:p>
      <w:pPr>
        <w:ind w:firstLine="482"/>
        <w:rPr>
          <w:b/>
        </w:rPr>
      </w:pPr>
      <w:r>
        <w:rPr>
          <w:b/>
        </w:rPr>
        <w:t>3、临时账号等使用要求</w:t>
      </w:r>
    </w:p>
    <w:p>
      <w:r>
        <w:rPr>
          <w:rFonts w:hint="eastAsia"/>
          <w:lang w:eastAsia="zh-CN"/>
        </w:rPr>
        <w:t>供应商</w:t>
      </w:r>
      <w:r>
        <w:rPr>
          <w:rFonts w:hint="eastAsia"/>
        </w:rPr>
        <w:t>对采购人提拱的临时使用账号要保密，不得公开，对组件开发的账号密码需进行加密，避免信息安全的泄露。未经采购人的同意不得利用采购人的网络及平台进行短信、彩信、微信发送</w:t>
      </w:r>
      <w:r>
        <w:t>,造成的一切后果由</w:t>
      </w:r>
      <w:r>
        <w:rPr>
          <w:rFonts w:hint="eastAsia"/>
          <w:lang w:eastAsia="zh-CN"/>
        </w:rPr>
        <w:t>供应商</w:t>
      </w:r>
      <w:r>
        <w:t>负责。</w:t>
      </w:r>
    </w:p>
    <w:p>
      <w:pPr>
        <w:pStyle w:val="2"/>
      </w:pPr>
      <w:bookmarkStart w:id="36" w:name="_Toc65170093"/>
      <w:r>
        <w:t>项目的变更、解除和终止</w:t>
      </w:r>
    </w:p>
    <w:p>
      <w:r>
        <w:rPr>
          <w:rFonts w:hint="eastAsia"/>
        </w:rPr>
        <w:t>如果</w:t>
      </w:r>
      <w:r>
        <w:rPr>
          <w:rFonts w:hint="eastAsia"/>
          <w:lang w:eastAsia="zh-CN"/>
        </w:rPr>
        <w:t>供应商</w:t>
      </w:r>
      <w:r>
        <w:rPr>
          <w:rFonts w:hint="eastAsia"/>
        </w:rPr>
        <w:t>丧失履约能力、发生资不抵债或进入破产程序，采购人可在任何时候以书面形式通知</w:t>
      </w:r>
      <w:r>
        <w:rPr>
          <w:rFonts w:hint="eastAsia"/>
          <w:lang w:eastAsia="zh-CN"/>
        </w:rPr>
        <w:t>供应商</w:t>
      </w:r>
      <w:r>
        <w:rPr>
          <w:rFonts w:hint="eastAsia"/>
        </w:rPr>
        <w:t>终止本项目的执行而不给予</w:t>
      </w:r>
      <w:r>
        <w:rPr>
          <w:rFonts w:hint="eastAsia"/>
          <w:lang w:eastAsia="zh-CN"/>
        </w:rPr>
        <w:t>供应商</w:t>
      </w:r>
      <w:r>
        <w:rPr>
          <w:rFonts w:hint="eastAsia"/>
        </w:rPr>
        <w:t>补偿。该终止本项目将不损害或影响采购人已经采取或将要采取任何行动或补救措施的权利。</w:t>
      </w:r>
    </w:p>
    <w:p>
      <w:r>
        <w:rPr>
          <w:rFonts w:hint="eastAsia"/>
        </w:rPr>
        <w:t>如遇国家、行业管理部门等机构的有关标准和规定调整的，导致本项目内容须做相应调整时，双方应按照公平、合理的原则共同协商修改本项目对应的合同的相关条款。</w:t>
      </w:r>
    </w:p>
    <w:bookmarkEnd w:id="36"/>
    <w:p>
      <w:pPr>
        <w:pStyle w:val="2"/>
      </w:pPr>
      <w:bookmarkStart w:id="37" w:name="_Toc63785514"/>
      <w:r>
        <w:rPr>
          <w:rFonts w:hint="eastAsia"/>
        </w:rPr>
        <w:t>付款</w:t>
      </w:r>
      <w:bookmarkEnd w:id="37"/>
      <w:r>
        <w:rPr>
          <w:rFonts w:hint="eastAsia"/>
        </w:rPr>
        <w:t>方式</w:t>
      </w:r>
    </w:p>
    <w:p>
      <w:r>
        <w:rPr>
          <w:rFonts w:hint="eastAsia"/>
        </w:rPr>
        <w:t>（</w:t>
      </w:r>
      <w:r>
        <w:t>1）本</w:t>
      </w:r>
      <w:r>
        <w:rPr>
          <w:rFonts w:hint="eastAsia"/>
        </w:rPr>
        <w:t>项目</w:t>
      </w:r>
      <w:r>
        <w:t>采用以下付款</w:t>
      </w:r>
      <w:r>
        <w:rPr>
          <w:rFonts w:hint="eastAsia"/>
        </w:rPr>
        <w:t>方式</w:t>
      </w:r>
      <w:r>
        <w:t>：</w:t>
      </w:r>
    </w:p>
    <w:p>
      <w:r>
        <w:t>A.</w:t>
      </w:r>
      <w:r>
        <w:rPr>
          <w:rFonts w:hint="eastAsia"/>
        </w:rPr>
        <w:t>本合同采用三期分期付款</w:t>
      </w:r>
    </w:p>
    <w:p>
      <w:r>
        <w:rPr>
          <w:rFonts w:hint="eastAsia"/>
        </w:rPr>
        <w:t>a.合同签订生效后且甲方收到乙方开具的等额发票后的10个工作日内，支付合同总价款的 50%；</w:t>
      </w:r>
    </w:p>
    <w:p>
      <w:r>
        <w:rPr>
          <w:rFonts w:hint="eastAsia"/>
        </w:rPr>
        <w:t>b.本项目中期验收(即初验)通过且甲方收到约定的项目工作成果、乙方开具的等额发票后的10个工作日内，支付本项目当年已批复预算人民币扣除第一笔支付金额的剩余金额；</w:t>
      </w:r>
    </w:p>
    <w:p>
      <w:r>
        <w:rPr>
          <w:rFonts w:hint="eastAsia"/>
        </w:rPr>
        <w:t>c.本项目通过最终验收且甲方收到约定的项目工作成果、乙方开具的等额发票后的10个工作日内，支付合同尾款。</w:t>
      </w:r>
    </w:p>
    <w:p>
      <w:r>
        <w:rPr>
          <w:rFonts w:hint="eastAsia"/>
        </w:rPr>
        <w:t>付款条件备注：服务提供方应当在采购方每次付款前提前至少1</w:t>
      </w:r>
      <w:r>
        <w:t>0</w:t>
      </w:r>
      <w:r>
        <w:rPr>
          <w:rFonts w:hint="eastAsia"/>
        </w:rPr>
        <w:t>个工作日</w:t>
      </w:r>
      <w:r>
        <w:t>向采购方提供有效发票。</w:t>
      </w:r>
    </w:p>
    <w:p>
      <w:pPr>
        <w:pStyle w:val="2"/>
      </w:pPr>
      <w:bookmarkStart w:id="38" w:name="_Toc68798863"/>
      <w:r>
        <w:rPr>
          <w:rFonts w:hint="eastAsia"/>
        </w:rPr>
        <w:t>附录</w:t>
      </w:r>
      <w:bookmarkEnd w:id="38"/>
    </w:p>
    <w:p>
      <w:pPr>
        <w:ind w:firstLine="0" w:firstLineChars="0"/>
      </w:pPr>
      <w:r>
        <w:rPr>
          <w:rFonts w:hint="eastAsia"/>
        </w:rPr>
        <w:t>1、</w:t>
      </w:r>
      <w:r>
        <w:t>《政务网络安全监测平台总体技术要求》</w:t>
      </w:r>
    </w:p>
    <w:p>
      <w:pPr>
        <w:ind w:firstLine="0" w:firstLineChars="0"/>
      </w:pPr>
      <w:r>
        <w:object>
          <v:shape id="_x0000_i1025" o:spt="75" type="#_x0000_t75" style="height:54.35pt;width:76.75pt;" o:ole="t" filled="f" o:preferrelative="t" stroked="f" coordsize="21600,21600">
            <v:path/>
            <v:fill on="f" focussize="0,0"/>
            <v:stroke on="f" joinstyle="miter"/>
            <v:imagedata r:id="rId14" o:title=""/>
            <o:lock v:ext="edit" aspectratio="t"/>
            <w10:wrap type="none"/>
            <w10:anchorlock/>
          </v:shape>
          <o:OLEObject Type="Embed" ProgID="Package" ShapeID="_x0000_i1025" DrawAspect="Icon" ObjectID="_1468075725" r:id="rId13">
            <o:LockedField>false</o:LockedField>
          </o:OLEObject>
        </w:object>
      </w:r>
    </w:p>
    <w:p>
      <w:pPr>
        <w:ind w:firstLine="0" w:firstLineChars="0"/>
      </w:pPr>
    </w:p>
    <w:p>
      <w:pPr>
        <w:ind w:firstLine="0" w:firstLineChars="0"/>
      </w:pPr>
      <w:r>
        <w:rPr>
          <w:rFonts w:hint="eastAsia"/>
        </w:rPr>
        <w:t>2、《上海市电子政务外网建设和运行管理指南（试行）》</w:t>
      </w:r>
    </w:p>
    <w:p>
      <w:pPr>
        <w:ind w:firstLine="0" w:firstLineChars="0"/>
      </w:pPr>
      <w:r>
        <w:object>
          <v:shape id="_x0000_i1026" o:spt="75" type="#_x0000_t75" style="height:54.35pt;width:76.75pt;" o:ole="t" filled="f" o:preferrelative="t" stroked="f" coordsize="21600,21600">
            <v:path/>
            <v:fill on="f" focussize="0,0"/>
            <v:stroke on="f" joinstyle="miter"/>
            <v:imagedata r:id="rId16" o:title=""/>
            <o:lock v:ext="edit" aspectratio="t"/>
            <w10:wrap type="none"/>
            <w10:anchorlock/>
          </v:shape>
          <o:OLEObject Type="Embed" ProgID="Package" ShapeID="_x0000_i1026" DrawAspect="Icon" ObjectID="_1468075726" r:id="rId15">
            <o:LockedField>false</o:LockedField>
          </o:OLEObject>
        </w:object>
      </w:r>
    </w:p>
    <w:p>
      <w:pPr>
        <w:ind w:firstLine="0" w:firstLineChars="0"/>
      </w:pPr>
      <w:r>
        <w:rPr>
          <w:rFonts w:hint="eastAsia"/>
        </w:rPr>
        <w:t>3、其他标准</w:t>
      </w:r>
    </w:p>
    <w:sectPr>
      <w:footerReference r:id="rId11" w:type="first"/>
      <w:pgSz w:w="11906" w:h="16838"/>
      <w:pgMar w:top="1134" w:right="1797" w:bottom="1135" w:left="1797" w:header="340" w:footer="7" w:gutter="0"/>
      <w:pgNumType w:start="1"/>
      <w:cols w:space="720" w:num="1"/>
      <w:titlePg/>
      <w:docGrid w:type="linesAndChar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Arial Unicode MS">
    <w:altName w:val="DejaVu Sans"/>
    <w:panose1 w:val="020B0604020202020204"/>
    <w:charset w:val="00"/>
    <w:family w:val="roman"/>
    <w:pitch w:val="default"/>
    <w:sig w:usb0="00000000" w:usb1="00000000" w:usb2="00000000" w:usb3="00000000" w:csb0="00000001" w:csb1="00000000"/>
  </w:font>
  <w:font w:name="等线 Light">
    <w:altName w:val="华文中宋"/>
    <w:panose1 w:val="02010600030101010101"/>
    <w:charset w:val="86"/>
    <w:family w:val="auto"/>
    <w:pitch w:val="default"/>
    <w:sig w:usb0="00000000" w:usb1="00000000" w:usb2="00000016" w:usb3="00000000" w:csb0="0004000F" w:csb1="00000000"/>
  </w:font>
  <w:font w:name="Microsoft YaHei UI">
    <w:altName w:val="文泉驿微米黑"/>
    <w:panose1 w:val="020B0503020204020204"/>
    <w:charset w:val="86"/>
    <w:family w:val="swiss"/>
    <w:pitch w:val="default"/>
    <w:sig w:usb0="00000000" w:usb1="00000000" w:usb2="00000016" w:usb3="00000000" w:csb0="0004001F" w:csb1="00000000"/>
  </w:font>
  <w:font w:name="文泉驿微米黑">
    <w:panose1 w:val="020B0606030804020204"/>
    <w:charset w:val="86"/>
    <w:family w:val="auto"/>
    <w:pitch w:val="default"/>
    <w:sig w:usb0="E10002EF" w:usb1="6BDFFCFB" w:usb2="00800036" w:usb3="00000000" w:csb0="603E019F" w:csb1="DFD70000"/>
  </w:font>
  <w:font w:name="Microsoft Sans Serif">
    <w:altName w:val="Liberation Sans"/>
    <w:panose1 w:val="020B0604020202020204"/>
    <w:charset w:val="00"/>
    <w:family w:val="swiss"/>
    <w:pitch w:val="default"/>
    <w:sig w:usb0="00000000" w:usb1="00000000" w:usb2="00000029" w:usb3="00000000" w:csb0="200101FF" w:csb1="20280000"/>
  </w:font>
  <w:font w:name="Liberation Sans">
    <w:panose1 w:val="020B0604020202020204"/>
    <w:charset w:val="00"/>
    <w:family w:val="auto"/>
    <w:pitch w:val="default"/>
    <w:sig w:usb0="A00002AF" w:usb1="500078FB" w:usb2="00000000" w:usb3="00000000" w:csb0="6000009F" w:csb1="DFD7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jc w:val="center"/>
    </w:pPr>
    <w:r>
      <w:fldChar w:fldCharType="begin"/>
    </w:r>
    <w:r>
      <w:instrText xml:space="preserve">PAGE   \* MERGEFORMAT</w:instrText>
    </w:r>
    <w:r>
      <w:fldChar w:fldCharType="separate"/>
    </w:r>
    <w:r>
      <w:rPr>
        <w:lang w:val="zh-CN"/>
      </w:rPr>
      <w:t>12</w:t>
    </w:r>
    <w:r>
      <w:rPr>
        <w:lang w:val="zh-CN"/>
      </w:rPr>
      <w:fldChar w:fldCharType="end"/>
    </w:r>
  </w:p>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0" w:firstLineChars="0"/>
      <w:jc w:val="center"/>
      <w:rPr>
        <w:lang w:val="zh-CN"/>
      </w:rPr>
    </w:pPr>
    <w:r>
      <w:rPr>
        <w:lang w:val="zh-CN"/>
      </w:rPr>
      <w:fldChar w:fldCharType="begin"/>
    </w:r>
    <w:r>
      <w:rPr>
        <w:lang w:val="zh-CN"/>
      </w:rPr>
      <w:instrText xml:space="preserve">PAGE   \* MERGEFORMAT</w:instrText>
    </w:r>
    <w:r>
      <w:rPr>
        <w:lang w:val="zh-CN"/>
      </w:rPr>
      <w:fldChar w:fldCharType="separate"/>
    </w:r>
    <w:r>
      <w:rPr>
        <w:lang w:val="zh-CN"/>
      </w:rPr>
      <w:t>1</w:t>
    </w:r>
    <w:r>
      <w:rPr>
        <w:lang w:val="zh-CN"/>
      </w:rPr>
      <w:fldChar w:fldCharType="end"/>
    </w:r>
  </w:p>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none" w:color="auto" w:sz="0" w:space="0"/>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CC7CA"/>
    <w:multiLevelType w:val="singleLevel"/>
    <w:tmpl w:val="8ABCC7CA"/>
    <w:lvl w:ilvl="0" w:tentative="0">
      <w:start w:val="1"/>
      <w:numFmt w:val="decimal"/>
      <w:lvlText w:val="%1)"/>
      <w:lvlJc w:val="left"/>
      <w:pPr>
        <w:ind w:left="425" w:hanging="425"/>
      </w:pPr>
      <w:rPr>
        <w:rFonts w:hint="default"/>
      </w:rPr>
    </w:lvl>
  </w:abstractNum>
  <w:abstractNum w:abstractNumId="1">
    <w:nsid w:val="0C803098"/>
    <w:multiLevelType w:val="multilevel"/>
    <w:tmpl w:val="0C803098"/>
    <w:lvl w:ilvl="0" w:tentative="0">
      <w:start w:val="1"/>
      <w:numFmt w:val="bullet"/>
      <w:lvlText w:val=""/>
      <w:lvlJc w:val="left"/>
      <w:pPr>
        <w:ind w:left="920" w:hanging="440"/>
      </w:pPr>
      <w:rPr>
        <w:rFonts w:hint="default" w:ascii="Wingdings" w:hAnsi="Wingdings"/>
      </w:rPr>
    </w:lvl>
    <w:lvl w:ilvl="1" w:tentative="0">
      <w:start w:val="1"/>
      <w:numFmt w:val="bullet"/>
      <w:lvlText w:val=""/>
      <w:lvlJc w:val="left"/>
      <w:pPr>
        <w:ind w:left="1360" w:hanging="440"/>
      </w:pPr>
      <w:rPr>
        <w:rFonts w:hint="default" w:ascii="Wingdings" w:hAnsi="Wingdings"/>
      </w:rPr>
    </w:lvl>
    <w:lvl w:ilvl="2" w:tentative="0">
      <w:start w:val="1"/>
      <w:numFmt w:val="bullet"/>
      <w:lvlText w:val=""/>
      <w:lvlJc w:val="left"/>
      <w:pPr>
        <w:ind w:left="1800" w:hanging="440"/>
      </w:pPr>
      <w:rPr>
        <w:rFonts w:hint="default" w:ascii="Wingdings" w:hAnsi="Wingdings"/>
      </w:rPr>
    </w:lvl>
    <w:lvl w:ilvl="3" w:tentative="0">
      <w:start w:val="1"/>
      <w:numFmt w:val="bullet"/>
      <w:lvlText w:val=""/>
      <w:lvlJc w:val="left"/>
      <w:pPr>
        <w:ind w:left="2240" w:hanging="440"/>
      </w:pPr>
      <w:rPr>
        <w:rFonts w:hint="default" w:ascii="Wingdings" w:hAnsi="Wingdings"/>
      </w:rPr>
    </w:lvl>
    <w:lvl w:ilvl="4" w:tentative="0">
      <w:start w:val="1"/>
      <w:numFmt w:val="bullet"/>
      <w:lvlText w:val=""/>
      <w:lvlJc w:val="left"/>
      <w:pPr>
        <w:ind w:left="2680" w:hanging="440"/>
      </w:pPr>
      <w:rPr>
        <w:rFonts w:hint="default" w:ascii="Wingdings" w:hAnsi="Wingdings"/>
      </w:rPr>
    </w:lvl>
    <w:lvl w:ilvl="5" w:tentative="0">
      <w:start w:val="1"/>
      <w:numFmt w:val="bullet"/>
      <w:lvlText w:val=""/>
      <w:lvlJc w:val="left"/>
      <w:pPr>
        <w:ind w:left="3120" w:hanging="440"/>
      </w:pPr>
      <w:rPr>
        <w:rFonts w:hint="default" w:ascii="Wingdings" w:hAnsi="Wingdings"/>
      </w:rPr>
    </w:lvl>
    <w:lvl w:ilvl="6" w:tentative="0">
      <w:start w:val="1"/>
      <w:numFmt w:val="bullet"/>
      <w:lvlText w:val=""/>
      <w:lvlJc w:val="left"/>
      <w:pPr>
        <w:ind w:left="3560" w:hanging="440"/>
      </w:pPr>
      <w:rPr>
        <w:rFonts w:hint="default" w:ascii="Wingdings" w:hAnsi="Wingdings"/>
      </w:rPr>
    </w:lvl>
    <w:lvl w:ilvl="7" w:tentative="0">
      <w:start w:val="1"/>
      <w:numFmt w:val="bullet"/>
      <w:lvlText w:val=""/>
      <w:lvlJc w:val="left"/>
      <w:pPr>
        <w:ind w:left="4000" w:hanging="440"/>
      </w:pPr>
      <w:rPr>
        <w:rFonts w:hint="default" w:ascii="Wingdings" w:hAnsi="Wingdings"/>
      </w:rPr>
    </w:lvl>
    <w:lvl w:ilvl="8" w:tentative="0">
      <w:start w:val="1"/>
      <w:numFmt w:val="bullet"/>
      <w:lvlText w:val=""/>
      <w:lvlJc w:val="left"/>
      <w:pPr>
        <w:ind w:left="4440" w:hanging="440"/>
      </w:pPr>
      <w:rPr>
        <w:rFonts w:hint="default" w:ascii="Wingdings" w:hAnsi="Wingdings"/>
      </w:rPr>
    </w:lvl>
  </w:abstractNum>
  <w:abstractNum w:abstractNumId="2">
    <w:nsid w:val="6350366A"/>
    <w:multiLevelType w:val="multilevel"/>
    <w:tmpl w:val="6350366A"/>
    <w:lvl w:ilvl="0" w:tentative="0">
      <w:start w:val="1"/>
      <w:numFmt w:val="none"/>
      <w:pStyle w:val="104"/>
      <w:lvlText w:val="%1●　"/>
      <w:lvlJc w:val="left"/>
      <w:pPr>
        <w:tabs>
          <w:tab w:val="left" w:pos="760"/>
        </w:tabs>
        <w:ind w:left="717" w:hanging="317"/>
      </w:pPr>
      <w:rPr>
        <w:rFonts w:hint="eastAsia" w:ascii="宋体" w:hAnsi="Times New Roman" w:eastAsia="宋体"/>
        <w:b w:val="0"/>
        <w:i w:val="0"/>
        <w:position w:val="4"/>
        <w:sz w:val="13"/>
      </w:rPr>
    </w:lvl>
    <w:lvl w:ilvl="1" w:tentative="0">
      <w:start w:val="1"/>
      <w:numFmt w:val="lowerLetter"/>
      <w:lvlText w:val="%2)"/>
      <w:lvlJc w:val="left"/>
      <w:pPr>
        <w:tabs>
          <w:tab w:val="left" w:pos="780"/>
        </w:tabs>
        <w:ind w:left="780" w:hanging="360"/>
      </w:pPr>
      <w:rPr>
        <w:rFonts w:hint="eastAsia"/>
      </w:rPr>
    </w:lvl>
    <w:lvl w:ilvl="2" w:tentative="0">
      <w:start w:val="1"/>
      <w:numFmt w:val="decimal"/>
      <w:lvlText w:val="%3)"/>
      <w:lvlJc w:val="left"/>
      <w:pPr>
        <w:tabs>
          <w:tab w:val="left" w:pos="1200"/>
        </w:tabs>
        <w:ind w:left="1200" w:hanging="360"/>
      </w:pPr>
      <w:rPr>
        <w:rFonts w:hint="eastAsia"/>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6A2F4AB3"/>
    <w:multiLevelType w:val="multilevel"/>
    <w:tmpl w:val="6A2F4AB3"/>
    <w:lvl w:ilvl="0" w:tentative="0">
      <w:start w:val="1"/>
      <w:numFmt w:val="chineseCountingThousand"/>
      <w:pStyle w:val="2"/>
      <w:suff w:val="nothing"/>
      <w:lvlText w:val="%1、"/>
      <w:lvlJc w:val="left"/>
      <w:pPr>
        <w:ind w:left="425" w:hanging="425"/>
      </w:pPr>
      <w:rPr>
        <w:rFonts w:hint="eastAsia"/>
        <w:sz w:val="32"/>
        <w:szCs w:val="32"/>
      </w:rPr>
    </w:lvl>
    <w:lvl w:ilvl="1" w:tentative="0">
      <w:start w:val="1"/>
      <w:numFmt w:val="decimal"/>
      <w:pStyle w:val="3"/>
      <w:isLgl/>
      <w:suff w:val="nothing"/>
      <w:lvlText w:val="%1.%2、"/>
      <w:lvlJc w:val="left"/>
      <w:pPr>
        <w:ind w:left="1135" w:hanging="567"/>
      </w:pPr>
    </w:lvl>
    <w:lvl w:ilvl="2" w:tentative="0">
      <w:start w:val="1"/>
      <w:numFmt w:val="decimal"/>
      <w:pStyle w:val="4"/>
      <w:isLgl/>
      <w:suff w:val="nothing"/>
      <w:lvlText w:val="%1.%2.%3、"/>
      <w:lvlJc w:val="left"/>
      <w:pPr>
        <w:ind w:left="1069" w:hanging="1069"/>
      </w:pPr>
      <w:rPr>
        <w:rFonts w:hint="default" w:ascii="宋体" w:hAnsi="宋体" w:eastAsia="宋体" w:cs="Arial"/>
      </w:rPr>
    </w:lvl>
    <w:lvl w:ilvl="3" w:tentative="0">
      <w:start w:val="1"/>
      <w:numFmt w:val="decimal"/>
      <w:pStyle w:val="5"/>
      <w:isLgl/>
      <w:suff w:val="nothing"/>
      <w:lvlText w:val="%1.%2.%3.%4、"/>
      <w:lvlJc w:val="left"/>
      <w:pPr>
        <w:ind w:left="3403" w:hanging="851"/>
      </w:pPr>
    </w:lvl>
    <w:lvl w:ilvl="4" w:tentative="0">
      <w:start w:val="1"/>
      <w:numFmt w:val="decimal"/>
      <w:pStyle w:val="6"/>
      <w:isLgl/>
      <w:suff w:val="nothing"/>
      <w:lvlText w:val="%1.%2.%3.%4.%5、"/>
      <w:lvlJc w:val="left"/>
      <w:pPr>
        <w:ind w:left="3544" w:hanging="992"/>
      </w:pPr>
      <w:rPr>
        <w:rFonts w:hint="eastAsia"/>
      </w:rPr>
    </w:lvl>
    <w:lvl w:ilvl="5" w:tentative="0">
      <w:start w:val="1"/>
      <w:numFmt w:val="decimal"/>
      <w:pStyle w:val="7"/>
      <w:isLgl/>
      <w:suff w:val="nothing"/>
      <w:lvlText w:val="%1.%2.%3.%4.%5.%6、"/>
      <w:lvlJc w:val="left"/>
      <w:pPr>
        <w:ind w:left="1134" w:hanging="1134"/>
      </w:pPr>
      <w:rPr>
        <w:rFonts w:hint="eastAsia"/>
      </w:rPr>
    </w:lvl>
    <w:lvl w:ilvl="6" w:tentative="0">
      <w:start w:val="1"/>
      <w:numFmt w:val="decimal"/>
      <w:isLgl/>
      <w:lvlText w:val="%1.%2.%3.%4.%5.%6.%7"/>
      <w:lvlJc w:val="left"/>
      <w:pPr>
        <w:tabs>
          <w:tab w:val="left" w:pos="1800"/>
        </w:tabs>
        <w:ind w:left="1276" w:hanging="1276"/>
      </w:pPr>
      <w:rPr>
        <w:rFonts w:hint="eastAsia"/>
      </w:rPr>
    </w:lvl>
    <w:lvl w:ilvl="7" w:tentative="0">
      <w:start w:val="1"/>
      <w:numFmt w:val="decimal"/>
      <w:isLgl/>
      <w:lvlText w:val="%1.%2.%3.%4.%5.%6.%7.%8"/>
      <w:lvlJc w:val="left"/>
      <w:pPr>
        <w:tabs>
          <w:tab w:val="left" w:pos="1800"/>
        </w:tabs>
        <w:ind w:left="1418" w:hanging="1418"/>
      </w:pPr>
      <w:rPr>
        <w:rFonts w:hint="eastAsia"/>
      </w:rPr>
    </w:lvl>
    <w:lvl w:ilvl="8" w:tentative="0">
      <w:start w:val="1"/>
      <w:numFmt w:val="decimal"/>
      <w:isLgl/>
      <w:lvlText w:val="%1.%2.%3.%4.%5.%6.%7.%8.%9"/>
      <w:lvlJc w:val="left"/>
      <w:pPr>
        <w:tabs>
          <w:tab w:val="left" w:pos="2160"/>
        </w:tabs>
        <w:ind w:left="1559" w:hanging="1559"/>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HorizontalSpacing w:val="120"/>
  <w:drawingGridVerticalSpacing w:val="163"/>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gyNzYwNmIwOTlhNjgxYzI4OGU3NjgwYWZhODJhOWMifQ=="/>
    <w:docVar w:name="KSO_WPS_MARK_KEY" w:val="6c68b6a5-46fe-45cc-81b6-35d7bb85ea49"/>
  </w:docVars>
  <w:rsids>
    <w:rsidRoot w:val="006910C0"/>
    <w:rsid w:val="0000005A"/>
    <w:rsid w:val="00000AED"/>
    <w:rsid w:val="00003516"/>
    <w:rsid w:val="0000380E"/>
    <w:rsid w:val="00005AFD"/>
    <w:rsid w:val="00006563"/>
    <w:rsid w:val="000074F1"/>
    <w:rsid w:val="00007A41"/>
    <w:rsid w:val="00007DA7"/>
    <w:rsid w:val="00012EF0"/>
    <w:rsid w:val="000156DE"/>
    <w:rsid w:val="000165AD"/>
    <w:rsid w:val="000179E9"/>
    <w:rsid w:val="00020C18"/>
    <w:rsid w:val="00021EE6"/>
    <w:rsid w:val="0002280E"/>
    <w:rsid w:val="00022C74"/>
    <w:rsid w:val="00025122"/>
    <w:rsid w:val="000252D5"/>
    <w:rsid w:val="00026997"/>
    <w:rsid w:val="00027A64"/>
    <w:rsid w:val="00032D27"/>
    <w:rsid w:val="00035325"/>
    <w:rsid w:val="00035D5B"/>
    <w:rsid w:val="000378D0"/>
    <w:rsid w:val="00037F2C"/>
    <w:rsid w:val="00042C2A"/>
    <w:rsid w:val="000430EC"/>
    <w:rsid w:val="000434FC"/>
    <w:rsid w:val="000447CB"/>
    <w:rsid w:val="00047915"/>
    <w:rsid w:val="00047D06"/>
    <w:rsid w:val="00050FBD"/>
    <w:rsid w:val="0005107A"/>
    <w:rsid w:val="0005192C"/>
    <w:rsid w:val="00051C77"/>
    <w:rsid w:val="00052929"/>
    <w:rsid w:val="0005299F"/>
    <w:rsid w:val="000541D7"/>
    <w:rsid w:val="000545C0"/>
    <w:rsid w:val="0005586D"/>
    <w:rsid w:val="00056C0E"/>
    <w:rsid w:val="000574A8"/>
    <w:rsid w:val="000574F8"/>
    <w:rsid w:val="00057A49"/>
    <w:rsid w:val="00060EBE"/>
    <w:rsid w:val="0006231F"/>
    <w:rsid w:val="00062A05"/>
    <w:rsid w:val="00062EE6"/>
    <w:rsid w:val="0006344E"/>
    <w:rsid w:val="000649E6"/>
    <w:rsid w:val="0006794B"/>
    <w:rsid w:val="00067DCA"/>
    <w:rsid w:val="00070063"/>
    <w:rsid w:val="0007087A"/>
    <w:rsid w:val="000710EC"/>
    <w:rsid w:val="00072237"/>
    <w:rsid w:val="00072ABE"/>
    <w:rsid w:val="00080B39"/>
    <w:rsid w:val="00083950"/>
    <w:rsid w:val="0008452F"/>
    <w:rsid w:val="00084E8E"/>
    <w:rsid w:val="00085A68"/>
    <w:rsid w:val="00090625"/>
    <w:rsid w:val="00090948"/>
    <w:rsid w:val="00091CD1"/>
    <w:rsid w:val="0009460E"/>
    <w:rsid w:val="000951D4"/>
    <w:rsid w:val="000A2146"/>
    <w:rsid w:val="000A2930"/>
    <w:rsid w:val="000A3276"/>
    <w:rsid w:val="000A3C35"/>
    <w:rsid w:val="000A3E30"/>
    <w:rsid w:val="000A5876"/>
    <w:rsid w:val="000A61D0"/>
    <w:rsid w:val="000A6C67"/>
    <w:rsid w:val="000A6DB8"/>
    <w:rsid w:val="000A7596"/>
    <w:rsid w:val="000B11A8"/>
    <w:rsid w:val="000B1959"/>
    <w:rsid w:val="000B2E1C"/>
    <w:rsid w:val="000B4459"/>
    <w:rsid w:val="000B4B46"/>
    <w:rsid w:val="000B5363"/>
    <w:rsid w:val="000B53BA"/>
    <w:rsid w:val="000B642F"/>
    <w:rsid w:val="000B6C99"/>
    <w:rsid w:val="000C3051"/>
    <w:rsid w:val="000C3F3C"/>
    <w:rsid w:val="000C5A75"/>
    <w:rsid w:val="000C75F7"/>
    <w:rsid w:val="000D0AB2"/>
    <w:rsid w:val="000D225C"/>
    <w:rsid w:val="000D36F2"/>
    <w:rsid w:val="000D4B26"/>
    <w:rsid w:val="000D74DB"/>
    <w:rsid w:val="000E24D6"/>
    <w:rsid w:val="000E6072"/>
    <w:rsid w:val="000E6D61"/>
    <w:rsid w:val="000E7A23"/>
    <w:rsid w:val="000F1C29"/>
    <w:rsid w:val="000F1E9E"/>
    <w:rsid w:val="000F2B10"/>
    <w:rsid w:val="000F3F72"/>
    <w:rsid w:val="001055B2"/>
    <w:rsid w:val="001068F0"/>
    <w:rsid w:val="00106AB8"/>
    <w:rsid w:val="00106C9E"/>
    <w:rsid w:val="00106E16"/>
    <w:rsid w:val="0010768B"/>
    <w:rsid w:val="00111701"/>
    <w:rsid w:val="00112A29"/>
    <w:rsid w:val="001167F6"/>
    <w:rsid w:val="00116C86"/>
    <w:rsid w:val="00121ACF"/>
    <w:rsid w:val="00121D8F"/>
    <w:rsid w:val="00122037"/>
    <w:rsid w:val="0012210C"/>
    <w:rsid w:val="00122A7F"/>
    <w:rsid w:val="00123F98"/>
    <w:rsid w:val="001242A5"/>
    <w:rsid w:val="00124531"/>
    <w:rsid w:val="00126EDF"/>
    <w:rsid w:val="00127BBE"/>
    <w:rsid w:val="00131D52"/>
    <w:rsid w:val="001329C1"/>
    <w:rsid w:val="00132C16"/>
    <w:rsid w:val="00136320"/>
    <w:rsid w:val="00136FFA"/>
    <w:rsid w:val="00137AC6"/>
    <w:rsid w:val="00145512"/>
    <w:rsid w:val="001465BD"/>
    <w:rsid w:val="00147B45"/>
    <w:rsid w:val="00150803"/>
    <w:rsid w:val="00151D83"/>
    <w:rsid w:val="001546C9"/>
    <w:rsid w:val="00154FAE"/>
    <w:rsid w:val="00155E77"/>
    <w:rsid w:val="00156A70"/>
    <w:rsid w:val="00160A61"/>
    <w:rsid w:val="00160FC0"/>
    <w:rsid w:val="0016429B"/>
    <w:rsid w:val="00164525"/>
    <w:rsid w:val="00164C50"/>
    <w:rsid w:val="00165CB2"/>
    <w:rsid w:val="00166203"/>
    <w:rsid w:val="00166767"/>
    <w:rsid w:val="001707CB"/>
    <w:rsid w:val="00171477"/>
    <w:rsid w:val="00172A1A"/>
    <w:rsid w:val="00173251"/>
    <w:rsid w:val="001767C2"/>
    <w:rsid w:val="00176BED"/>
    <w:rsid w:val="0017759D"/>
    <w:rsid w:val="001804A5"/>
    <w:rsid w:val="00181C94"/>
    <w:rsid w:val="00182C84"/>
    <w:rsid w:val="00187031"/>
    <w:rsid w:val="00191EA4"/>
    <w:rsid w:val="00192B6C"/>
    <w:rsid w:val="00192C30"/>
    <w:rsid w:val="0019381E"/>
    <w:rsid w:val="00194CF5"/>
    <w:rsid w:val="0019503C"/>
    <w:rsid w:val="00195D94"/>
    <w:rsid w:val="00196F7B"/>
    <w:rsid w:val="001971CB"/>
    <w:rsid w:val="0019795C"/>
    <w:rsid w:val="001A053A"/>
    <w:rsid w:val="001A0B8D"/>
    <w:rsid w:val="001A22A2"/>
    <w:rsid w:val="001A2971"/>
    <w:rsid w:val="001A3D52"/>
    <w:rsid w:val="001A460A"/>
    <w:rsid w:val="001A4A4C"/>
    <w:rsid w:val="001B0230"/>
    <w:rsid w:val="001B13AB"/>
    <w:rsid w:val="001B1ED3"/>
    <w:rsid w:val="001B3907"/>
    <w:rsid w:val="001B3B49"/>
    <w:rsid w:val="001B4907"/>
    <w:rsid w:val="001B4DC5"/>
    <w:rsid w:val="001B5505"/>
    <w:rsid w:val="001C2180"/>
    <w:rsid w:val="001C29CC"/>
    <w:rsid w:val="001C3217"/>
    <w:rsid w:val="001C3B98"/>
    <w:rsid w:val="001C6028"/>
    <w:rsid w:val="001C6365"/>
    <w:rsid w:val="001C7F57"/>
    <w:rsid w:val="001D0E79"/>
    <w:rsid w:val="001D6049"/>
    <w:rsid w:val="001D7339"/>
    <w:rsid w:val="001E2750"/>
    <w:rsid w:val="001E4343"/>
    <w:rsid w:val="001E52BB"/>
    <w:rsid w:val="001E660A"/>
    <w:rsid w:val="001F05D6"/>
    <w:rsid w:val="001F5B0A"/>
    <w:rsid w:val="001F640F"/>
    <w:rsid w:val="001F6794"/>
    <w:rsid w:val="001F6F65"/>
    <w:rsid w:val="002002DF"/>
    <w:rsid w:val="00203A6F"/>
    <w:rsid w:val="00205646"/>
    <w:rsid w:val="002063F7"/>
    <w:rsid w:val="002129E5"/>
    <w:rsid w:val="00212AA4"/>
    <w:rsid w:val="00212E13"/>
    <w:rsid w:val="002163C8"/>
    <w:rsid w:val="002179FE"/>
    <w:rsid w:val="00220CC0"/>
    <w:rsid w:val="00221A36"/>
    <w:rsid w:val="00221C54"/>
    <w:rsid w:val="00223296"/>
    <w:rsid w:val="0022329B"/>
    <w:rsid w:val="002240F7"/>
    <w:rsid w:val="0022486F"/>
    <w:rsid w:val="00225314"/>
    <w:rsid w:val="00225DF4"/>
    <w:rsid w:val="00226C70"/>
    <w:rsid w:val="00230C8A"/>
    <w:rsid w:val="00231F98"/>
    <w:rsid w:val="002324F8"/>
    <w:rsid w:val="002348B0"/>
    <w:rsid w:val="00235CDC"/>
    <w:rsid w:val="00237E76"/>
    <w:rsid w:val="00240BBE"/>
    <w:rsid w:val="00241525"/>
    <w:rsid w:val="00241D87"/>
    <w:rsid w:val="00243C55"/>
    <w:rsid w:val="00243D5E"/>
    <w:rsid w:val="002451EC"/>
    <w:rsid w:val="00245ED4"/>
    <w:rsid w:val="00246B41"/>
    <w:rsid w:val="0025002B"/>
    <w:rsid w:val="002500DE"/>
    <w:rsid w:val="00252457"/>
    <w:rsid w:val="00252581"/>
    <w:rsid w:val="002535B5"/>
    <w:rsid w:val="002538CB"/>
    <w:rsid w:val="002542BD"/>
    <w:rsid w:val="0025774E"/>
    <w:rsid w:val="00257D64"/>
    <w:rsid w:val="0026340A"/>
    <w:rsid w:val="002654EA"/>
    <w:rsid w:val="002704EA"/>
    <w:rsid w:val="0027061A"/>
    <w:rsid w:val="002719CC"/>
    <w:rsid w:val="002730C5"/>
    <w:rsid w:val="0027337C"/>
    <w:rsid w:val="0027602B"/>
    <w:rsid w:val="00277F5E"/>
    <w:rsid w:val="00280084"/>
    <w:rsid w:val="00280490"/>
    <w:rsid w:val="002860B8"/>
    <w:rsid w:val="0029206E"/>
    <w:rsid w:val="00293382"/>
    <w:rsid w:val="00294F51"/>
    <w:rsid w:val="002A2342"/>
    <w:rsid w:val="002A279E"/>
    <w:rsid w:val="002A4FA3"/>
    <w:rsid w:val="002B3606"/>
    <w:rsid w:val="002B3D80"/>
    <w:rsid w:val="002B4402"/>
    <w:rsid w:val="002B4946"/>
    <w:rsid w:val="002B4C41"/>
    <w:rsid w:val="002B588D"/>
    <w:rsid w:val="002C1839"/>
    <w:rsid w:val="002C214A"/>
    <w:rsid w:val="002C28E8"/>
    <w:rsid w:val="002C3027"/>
    <w:rsid w:val="002C674D"/>
    <w:rsid w:val="002C7648"/>
    <w:rsid w:val="002C7DC4"/>
    <w:rsid w:val="002D0821"/>
    <w:rsid w:val="002D1929"/>
    <w:rsid w:val="002D1B73"/>
    <w:rsid w:val="002D3CB0"/>
    <w:rsid w:val="002D4800"/>
    <w:rsid w:val="002D5B21"/>
    <w:rsid w:val="002D6F6D"/>
    <w:rsid w:val="002E1FE6"/>
    <w:rsid w:val="002E2EA7"/>
    <w:rsid w:val="002E36D2"/>
    <w:rsid w:val="002E748B"/>
    <w:rsid w:val="002F2002"/>
    <w:rsid w:val="002F335D"/>
    <w:rsid w:val="002F4E32"/>
    <w:rsid w:val="002F503F"/>
    <w:rsid w:val="002F51DD"/>
    <w:rsid w:val="002F5D08"/>
    <w:rsid w:val="002F6895"/>
    <w:rsid w:val="002F6D13"/>
    <w:rsid w:val="003038D3"/>
    <w:rsid w:val="003049C7"/>
    <w:rsid w:val="00305F0E"/>
    <w:rsid w:val="0030667A"/>
    <w:rsid w:val="003106DE"/>
    <w:rsid w:val="00311530"/>
    <w:rsid w:val="00312D31"/>
    <w:rsid w:val="00315216"/>
    <w:rsid w:val="0031691C"/>
    <w:rsid w:val="00317AEF"/>
    <w:rsid w:val="00317F49"/>
    <w:rsid w:val="0032089B"/>
    <w:rsid w:val="00323450"/>
    <w:rsid w:val="00323D93"/>
    <w:rsid w:val="0032489B"/>
    <w:rsid w:val="0032525B"/>
    <w:rsid w:val="00326A7A"/>
    <w:rsid w:val="00326FEE"/>
    <w:rsid w:val="003315D7"/>
    <w:rsid w:val="00334D84"/>
    <w:rsid w:val="00334DE6"/>
    <w:rsid w:val="0033536D"/>
    <w:rsid w:val="003353FF"/>
    <w:rsid w:val="003366D2"/>
    <w:rsid w:val="00337C79"/>
    <w:rsid w:val="00337FEF"/>
    <w:rsid w:val="0034084C"/>
    <w:rsid w:val="00340D5E"/>
    <w:rsid w:val="003420B5"/>
    <w:rsid w:val="00343646"/>
    <w:rsid w:val="00344CCB"/>
    <w:rsid w:val="00345897"/>
    <w:rsid w:val="00351BFC"/>
    <w:rsid w:val="0035575E"/>
    <w:rsid w:val="003565B4"/>
    <w:rsid w:val="00362E75"/>
    <w:rsid w:val="003631AA"/>
    <w:rsid w:val="003632D5"/>
    <w:rsid w:val="00363575"/>
    <w:rsid w:val="00364EF9"/>
    <w:rsid w:val="00367579"/>
    <w:rsid w:val="0036795B"/>
    <w:rsid w:val="00370A29"/>
    <w:rsid w:val="003722F9"/>
    <w:rsid w:val="00372349"/>
    <w:rsid w:val="00372CBC"/>
    <w:rsid w:val="00373A61"/>
    <w:rsid w:val="00374BDE"/>
    <w:rsid w:val="00376B39"/>
    <w:rsid w:val="003772C0"/>
    <w:rsid w:val="00377BAC"/>
    <w:rsid w:val="00380142"/>
    <w:rsid w:val="00380558"/>
    <w:rsid w:val="00381D3C"/>
    <w:rsid w:val="0038223E"/>
    <w:rsid w:val="00382D92"/>
    <w:rsid w:val="00385AEF"/>
    <w:rsid w:val="003860EA"/>
    <w:rsid w:val="0038781A"/>
    <w:rsid w:val="0039080B"/>
    <w:rsid w:val="0039326E"/>
    <w:rsid w:val="00394E22"/>
    <w:rsid w:val="003967A4"/>
    <w:rsid w:val="00397FA3"/>
    <w:rsid w:val="003A1596"/>
    <w:rsid w:val="003A317E"/>
    <w:rsid w:val="003A345B"/>
    <w:rsid w:val="003A49EE"/>
    <w:rsid w:val="003A674D"/>
    <w:rsid w:val="003A7123"/>
    <w:rsid w:val="003B102E"/>
    <w:rsid w:val="003B2167"/>
    <w:rsid w:val="003B29FE"/>
    <w:rsid w:val="003B5F5D"/>
    <w:rsid w:val="003B62C8"/>
    <w:rsid w:val="003C0C62"/>
    <w:rsid w:val="003C12DC"/>
    <w:rsid w:val="003C2CDA"/>
    <w:rsid w:val="003D000A"/>
    <w:rsid w:val="003D31E9"/>
    <w:rsid w:val="003D544E"/>
    <w:rsid w:val="003D5980"/>
    <w:rsid w:val="003E0842"/>
    <w:rsid w:val="003E13B0"/>
    <w:rsid w:val="003E2580"/>
    <w:rsid w:val="003E3DEE"/>
    <w:rsid w:val="003E3EBB"/>
    <w:rsid w:val="003E4A4C"/>
    <w:rsid w:val="003E4CBA"/>
    <w:rsid w:val="003E4D2F"/>
    <w:rsid w:val="003E4EDC"/>
    <w:rsid w:val="003E599D"/>
    <w:rsid w:val="003E5C81"/>
    <w:rsid w:val="003E6965"/>
    <w:rsid w:val="003F00E8"/>
    <w:rsid w:val="003F1936"/>
    <w:rsid w:val="003F1BDD"/>
    <w:rsid w:val="003F3BA3"/>
    <w:rsid w:val="003F3BD5"/>
    <w:rsid w:val="003F400E"/>
    <w:rsid w:val="003F6F35"/>
    <w:rsid w:val="003F7768"/>
    <w:rsid w:val="00400E8C"/>
    <w:rsid w:val="004017DC"/>
    <w:rsid w:val="00401B53"/>
    <w:rsid w:val="00402668"/>
    <w:rsid w:val="00404FEC"/>
    <w:rsid w:val="0040534D"/>
    <w:rsid w:val="00405FAD"/>
    <w:rsid w:val="004117AB"/>
    <w:rsid w:val="00412B2F"/>
    <w:rsid w:val="00415281"/>
    <w:rsid w:val="00415716"/>
    <w:rsid w:val="0041604D"/>
    <w:rsid w:val="00417842"/>
    <w:rsid w:val="00417A6E"/>
    <w:rsid w:val="0042285D"/>
    <w:rsid w:val="00427D2B"/>
    <w:rsid w:val="00430B13"/>
    <w:rsid w:val="00430CE5"/>
    <w:rsid w:val="0043153C"/>
    <w:rsid w:val="00431D0F"/>
    <w:rsid w:val="0043481C"/>
    <w:rsid w:val="00444307"/>
    <w:rsid w:val="0044436F"/>
    <w:rsid w:val="004443EB"/>
    <w:rsid w:val="00444432"/>
    <w:rsid w:val="00444673"/>
    <w:rsid w:val="0044621E"/>
    <w:rsid w:val="00447BF1"/>
    <w:rsid w:val="00450BA4"/>
    <w:rsid w:val="004511FC"/>
    <w:rsid w:val="00456784"/>
    <w:rsid w:val="00456DCA"/>
    <w:rsid w:val="00461140"/>
    <w:rsid w:val="004611DB"/>
    <w:rsid w:val="004655A0"/>
    <w:rsid w:val="004658B0"/>
    <w:rsid w:val="0046614B"/>
    <w:rsid w:val="00467FD7"/>
    <w:rsid w:val="00470073"/>
    <w:rsid w:val="004730F8"/>
    <w:rsid w:val="00474353"/>
    <w:rsid w:val="00474555"/>
    <w:rsid w:val="004750F4"/>
    <w:rsid w:val="00476CB1"/>
    <w:rsid w:val="00480A48"/>
    <w:rsid w:val="00482501"/>
    <w:rsid w:val="00482E7D"/>
    <w:rsid w:val="00484395"/>
    <w:rsid w:val="004865FB"/>
    <w:rsid w:val="00486C03"/>
    <w:rsid w:val="00491AB3"/>
    <w:rsid w:val="00497A33"/>
    <w:rsid w:val="004A0681"/>
    <w:rsid w:val="004A1112"/>
    <w:rsid w:val="004A1DA0"/>
    <w:rsid w:val="004A1F20"/>
    <w:rsid w:val="004A2393"/>
    <w:rsid w:val="004A3569"/>
    <w:rsid w:val="004A452A"/>
    <w:rsid w:val="004A5F2C"/>
    <w:rsid w:val="004A6E4F"/>
    <w:rsid w:val="004A720D"/>
    <w:rsid w:val="004B00D0"/>
    <w:rsid w:val="004B6084"/>
    <w:rsid w:val="004B7AE0"/>
    <w:rsid w:val="004C0BC4"/>
    <w:rsid w:val="004C260D"/>
    <w:rsid w:val="004C2D47"/>
    <w:rsid w:val="004C4357"/>
    <w:rsid w:val="004C4477"/>
    <w:rsid w:val="004C5730"/>
    <w:rsid w:val="004C5CF1"/>
    <w:rsid w:val="004C6397"/>
    <w:rsid w:val="004C668F"/>
    <w:rsid w:val="004C682B"/>
    <w:rsid w:val="004D142C"/>
    <w:rsid w:val="004D29F7"/>
    <w:rsid w:val="004D36D8"/>
    <w:rsid w:val="004D4C5C"/>
    <w:rsid w:val="004D5AB0"/>
    <w:rsid w:val="004D5EAE"/>
    <w:rsid w:val="004D7A0E"/>
    <w:rsid w:val="004E06E7"/>
    <w:rsid w:val="004E0AE3"/>
    <w:rsid w:val="004E20D3"/>
    <w:rsid w:val="004E2C82"/>
    <w:rsid w:val="004E4FAE"/>
    <w:rsid w:val="004E62C7"/>
    <w:rsid w:val="004E68FF"/>
    <w:rsid w:val="004E7A1B"/>
    <w:rsid w:val="004F0B7F"/>
    <w:rsid w:val="004F1193"/>
    <w:rsid w:val="004F11DC"/>
    <w:rsid w:val="004F2124"/>
    <w:rsid w:val="004F216A"/>
    <w:rsid w:val="004F271B"/>
    <w:rsid w:val="004F3A52"/>
    <w:rsid w:val="004F449F"/>
    <w:rsid w:val="004F4E7E"/>
    <w:rsid w:val="004F63AB"/>
    <w:rsid w:val="004F6B76"/>
    <w:rsid w:val="004F6C7C"/>
    <w:rsid w:val="004F7F1A"/>
    <w:rsid w:val="004F7FBB"/>
    <w:rsid w:val="005042B3"/>
    <w:rsid w:val="005045AB"/>
    <w:rsid w:val="00507D43"/>
    <w:rsid w:val="005103F2"/>
    <w:rsid w:val="00510E2C"/>
    <w:rsid w:val="00511FDC"/>
    <w:rsid w:val="005124C6"/>
    <w:rsid w:val="00513EBC"/>
    <w:rsid w:val="00514CE1"/>
    <w:rsid w:val="00517155"/>
    <w:rsid w:val="00517DB3"/>
    <w:rsid w:val="005200DC"/>
    <w:rsid w:val="005200F2"/>
    <w:rsid w:val="0052369D"/>
    <w:rsid w:val="005271DB"/>
    <w:rsid w:val="00530D2F"/>
    <w:rsid w:val="0053487C"/>
    <w:rsid w:val="005356E1"/>
    <w:rsid w:val="00536A8B"/>
    <w:rsid w:val="00540418"/>
    <w:rsid w:val="00541A96"/>
    <w:rsid w:val="00541C6A"/>
    <w:rsid w:val="00542C54"/>
    <w:rsid w:val="00546A43"/>
    <w:rsid w:val="00546C70"/>
    <w:rsid w:val="00547258"/>
    <w:rsid w:val="00550CF0"/>
    <w:rsid w:val="005559FE"/>
    <w:rsid w:val="005560D6"/>
    <w:rsid w:val="00556D07"/>
    <w:rsid w:val="005611F2"/>
    <w:rsid w:val="00561734"/>
    <w:rsid w:val="00561952"/>
    <w:rsid w:val="00564B9A"/>
    <w:rsid w:val="00565694"/>
    <w:rsid w:val="00566DD6"/>
    <w:rsid w:val="005714EF"/>
    <w:rsid w:val="00571CEC"/>
    <w:rsid w:val="00572FCE"/>
    <w:rsid w:val="005750DB"/>
    <w:rsid w:val="005759FC"/>
    <w:rsid w:val="00575B85"/>
    <w:rsid w:val="00576DB9"/>
    <w:rsid w:val="0057738F"/>
    <w:rsid w:val="005805E4"/>
    <w:rsid w:val="0058202F"/>
    <w:rsid w:val="00584221"/>
    <w:rsid w:val="00584EB6"/>
    <w:rsid w:val="00586B68"/>
    <w:rsid w:val="0058751D"/>
    <w:rsid w:val="0058774E"/>
    <w:rsid w:val="005878CF"/>
    <w:rsid w:val="00590CA0"/>
    <w:rsid w:val="0059573B"/>
    <w:rsid w:val="00595B01"/>
    <w:rsid w:val="00596D98"/>
    <w:rsid w:val="005979A5"/>
    <w:rsid w:val="005A0021"/>
    <w:rsid w:val="005A017B"/>
    <w:rsid w:val="005A2AEC"/>
    <w:rsid w:val="005A412D"/>
    <w:rsid w:val="005A5212"/>
    <w:rsid w:val="005B002D"/>
    <w:rsid w:val="005B0FFF"/>
    <w:rsid w:val="005B19AF"/>
    <w:rsid w:val="005B258C"/>
    <w:rsid w:val="005B61DD"/>
    <w:rsid w:val="005B6735"/>
    <w:rsid w:val="005B7831"/>
    <w:rsid w:val="005C0CD6"/>
    <w:rsid w:val="005C12D9"/>
    <w:rsid w:val="005C2146"/>
    <w:rsid w:val="005C309D"/>
    <w:rsid w:val="005C544B"/>
    <w:rsid w:val="005C5916"/>
    <w:rsid w:val="005C5AEE"/>
    <w:rsid w:val="005C774A"/>
    <w:rsid w:val="005D3734"/>
    <w:rsid w:val="005D4F16"/>
    <w:rsid w:val="005D5A53"/>
    <w:rsid w:val="005D5DA0"/>
    <w:rsid w:val="005D6136"/>
    <w:rsid w:val="005D78BD"/>
    <w:rsid w:val="005D7FBD"/>
    <w:rsid w:val="005E19B4"/>
    <w:rsid w:val="005E1D6B"/>
    <w:rsid w:val="005E227A"/>
    <w:rsid w:val="005E2CF8"/>
    <w:rsid w:val="005E3126"/>
    <w:rsid w:val="005E7075"/>
    <w:rsid w:val="005E75A7"/>
    <w:rsid w:val="005F38E2"/>
    <w:rsid w:val="005F3EE6"/>
    <w:rsid w:val="005F6736"/>
    <w:rsid w:val="00601975"/>
    <w:rsid w:val="00602C10"/>
    <w:rsid w:val="00602EBD"/>
    <w:rsid w:val="00604CF2"/>
    <w:rsid w:val="00605E6A"/>
    <w:rsid w:val="00606DFF"/>
    <w:rsid w:val="00606FB7"/>
    <w:rsid w:val="00610533"/>
    <w:rsid w:val="006110F6"/>
    <w:rsid w:val="00611FA1"/>
    <w:rsid w:val="00612522"/>
    <w:rsid w:val="00612DA6"/>
    <w:rsid w:val="0061365B"/>
    <w:rsid w:val="006138A3"/>
    <w:rsid w:val="006138B6"/>
    <w:rsid w:val="00614BC6"/>
    <w:rsid w:val="00614E33"/>
    <w:rsid w:val="006158B8"/>
    <w:rsid w:val="0061706D"/>
    <w:rsid w:val="006173DA"/>
    <w:rsid w:val="00617EF9"/>
    <w:rsid w:val="00620295"/>
    <w:rsid w:val="00622F8E"/>
    <w:rsid w:val="00626AC8"/>
    <w:rsid w:val="00627912"/>
    <w:rsid w:val="0063195F"/>
    <w:rsid w:val="00636C0A"/>
    <w:rsid w:val="00637EC6"/>
    <w:rsid w:val="0064240C"/>
    <w:rsid w:val="00642FF5"/>
    <w:rsid w:val="006430FB"/>
    <w:rsid w:val="00643992"/>
    <w:rsid w:val="00644DBC"/>
    <w:rsid w:val="00646FE6"/>
    <w:rsid w:val="006474CD"/>
    <w:rsid w:val="00647744"/>
    <w:rsid w:val="006479A0"/>
    <w:rsid w:val="006500D9"/>
    <w:rsid w:val="006536B0"/>
    <w:rsid w:val="00653B54"/>
    <w:rsid w:val="006541A3"/>
    <w:rsid w:val="00654FAD"/>
    <w:rsid w:val="00655C9F"/>
    <w:rsid w:val="006567FF"/>
    <w:rsid w:val="00656867"/>
    <w:rsid w:val="0066109F"/>
    <w:rsid w:val="00664B26"/>
    <w:rsid w:val="0066596B"/>
    <w:rsid w:val="00670295"/>
    <w:rsid w:val="006704F5"/>
    <w:rsid w:val="00671640"/>
    <w:rsid w:val="00672894"/>
    <w:rsid w:val="006738B6"/>
    <w:rsid w:val="00674B47"/>
    <w:rsid w:val="0067609E"/>
    <w:rsid w:val="00677749"/>
    <w:rsid w:val="00680E07"/>
    <w:rsid w:val="00682B9D"/>
    <w:rsid w:val="00683806"/>
    <w:rsid w:val="00686AF9"/>
    <w:rsid w:val="006910C0"/>
    <w:rsid w:val="00691954"/>
    <w:rsid w:val="0069320E"/>
    <w:rsid w:val="00693D13"/>
    <w:rsid w:val="00694F58"/>
    <w:rsid w:val="006955BC"/>
    <w:rsid w:val="006959E2"/>
    <w:rsid w:val="00696920"/>
    <w:rsid w:val="00697EB9"/>
    <w:rsid w:val="006A20D4"/>
    <w:rsid w:val="006A268D"/>
    <w:rsid w:val="006A350F"/>
    <w:rsid w:val="006A3957"/>
    <w:rsid w:val="006A39A4"/>
    <w:rsid w:val="006A41D6"/>
    <w:rsid w:val="006A669D"/>
    <w:rsid w:val="006A6E41"/>
    <w:rsid w:val="006B012F"/>
    <w:rsid w:val="006B27CF"/>
    <w:rsid w:val="006B41BD"/>
    <w:rsid w:val="006B5678"/>
    <w:rsid w:val="006B62B2"/>
    <w:rsid w:val="006C1C57"/>
    <w:rsid w:val="006C5760"/>
    <w:rsid w:val="006C6D6F"/>
    <w:rsid w:val="006D0D78"/>
    <w:rsid w:val="006D1128"/>
    <w:rsid w:val="006D2848"/>
    <w:rsid w:val="006D30E0"/>
    <w:rsid w:val="006D5521"/>
    <w:rsid w:val="006D5FE9"/>
    <w:rsid w:val="006D6CBB"/>
    <w:rsid w:val="006D76A9"/>
    <w:rsid w:val="006D77F4"/>
    <w:rsid w:val="006E0898"/>
    <w:rsid w:val="006E41CD"/>
    <w:rsid w:val="006F3BEC"/>
    <w:rsid w:val="006F4F11"/>
    <w:rsid w:val="00703C00"/>
    <w:rsid w:val="007057CC"/>
    <w:rsid w:val="007066F2"/>
    <w:rsid w:val="00706AE5"/>
    <w:rsid w:val="0070740A"/>
    <w:rsid w:val="00711F93"/>
    <w:rsid w:val="00712940"/>
    <w:rsid w:val="0071428C"/>
    <w:rsid w:val="00715A16"/>
    <w:rsid w:val="007164B0"/>
    <w:rsid w:val="007166FF"/>
    <w:rsid w:val="007260CC"/>
    <w:rsid w:val="00726543"/>
    <w:rsid w:val="0073353E"/>
    <w:rsid w:val="00736633"/>
    <w:rsid w:val="00741EE7"/>
    <w:rsid w:val="00743A79"/>
    <w:rsid w:val="007444D4"/>
    <w:rsid w:val="0074594D"/>
    <w:rsid w:val="007459F3"/>
    <w:rsid w:val="00746E35"/>
    <w:rsid w:val="007470E2"/>
    <w:rsid w:val="0075232F"/>
    <w:rsid w:val="00753132"/>
    <w:rsid w:val="007550B3"/>
    <w:rsid w:val="00760451"/>
    <w:rsid w:val="0077182A"/>
    <w:rsid w:val="00771913"/>
    <w:rsid w:val="00772718"/>
    <w:rsid w:val="00775BCF"/>
    <w:rsid w:val="007818AA"/>
    <w:rsid w:val="00783140"/>
    <w:rsid w:val="007838B6"/>
    <w:rsid w:val="00783E77"/>
    <w:rsid w:val="007906F1"/>
    <w:rsid w:val="0079243D"/>
    <w:rsid w:val="007946F2"/>
    <w:rsid w:val="00794A9B"/>
    <w:rsid w:val="0079583B"/>
    <w:rsid w:val="00796602"/>
    <w:rsid w:val="00797185"/>
    <w:rsid w:val="007976B7"/>
    <w:rsid w:val="00797A7E"/>
    <w:rsid w:val="00797D6F"/>
    <w:rsid w:val="007B014B"/>
    <w:rsid w:val="007B0D88"/>
    <w:rsid w:val="007B306F"/>
    <w:rsid w:val="007B4714"/>
    <w:rsid w:val="007B4E82"/>
    <w:rsid w:val="007C1996"/>
    <w:rsid w:val="007C3773"/>
    <w:rsid w:val="007C3F1F"/>
    <w:rsid w:val="007D2D0D"/>
    <w:rsid w:val="007D3325"/>
    <w:rsid w:val="007D3818"/>
    <w:rsid w:val="007D6DC5"/>
    <w:rsid w:val="007D7425"/>
    <w:rsid w:val="007E320E"/>
    <w:rsid w:val="007E3280"/>
    <w:rsid w:val="007E4A02"/>
    <w:rsid w:val="007E595C"/>
    <w:rsid w:val="007E59A5"/>
    <w:rsid w:val="007F3B8C"/>
    <w:rsid w:val="007F41D0"/>
    <w:rsid w:val="007F4B8B"/>
    <w:rsid w:val="007F50DF"/>
    <w:rsid w:val="007F5957"/>
    <w:rsid w:val="007F70B6"/>
    <w:rsid w:val="007F74CA"/>
    <w:rsid w:val="00800F1E"/>
    <w:rsid w:val="0080195A"/>
    <w:rsid w:val="0080239C"/>
    <w:rsid w:val="00802841"/>
    <w:rsid w:val="008037D5"/>
    <w:rsid w:val="00805447"/>
    <w:rsid w:val="008054FA"/>
    <w:rsid w:val="0080717A"/>
    <w:rsid w:val="00807DFA"/>
    <w:rsid w:val="0081009F"/>
    <w:rsid w:val="00810152"/>
    <w:rsid w:val="008115AB"/>
    <w:rsid w:val="00812D2C"/>
    <w:rsid w:val="008159F4"/>
    <w:rsid w:val="008167C1"/>
    <w:rsid w:val="008167C6"/>
    <w:rsid w:val="00816B8F"/>
    <w:rsid w:val="00820331"/>
    <w:rsid w:val="00820BF5"/>
    <w:rsid w:val="008212B1"/>
    <w:rsid w:val="0082155A"/>
    <w:rsid w:val="0082209F"/>
    <w:rsid w:val="008223C2"/>
    <w:rsid w:val="008250A2"/>
    <w:rsid w:val="00825D64"/>
    <w:rsid w:val="0082650B"/>
    <w:rsid w:val="008301CE"/>
    <w:rsid w:val="008312E3"/>
    <w:rsid w:val="00831D5B"/>
    <w:rsid w:val="00832DD6"/>
    <w:rsid w:val="00832F0C"/>
    <w:rsid w:val="008336F2"/>
    <w:rsid w:val="008345D9"/>
    <w:rsid w:val="008347CB"/>
    <w:rsid w:val="00835647"/>
    <w:rsid w:val="00837A2E"/>
    <w:rsid w:val="00841558"/>
    <w:rsid w:val="00842A68"/>
    <w:rsid w:val="008435BA"/>
    <w:rsid w:val="0084558B"/>
    <w:rsid w:val="0084654A"/>
    <w:rsid w:val="00847654"/>
    <w:rsid w:val="00851064"/>
    <w:rsid w:val="00855543"/>
    <w:rsid w:val="008566B3"/>
    <w:rsid w:val="008576B7"/>
    <w:rsid w:val="00857F7B"/>
    <w:rsid w:val="00863DA1"/>
    <w:rsid w:val="008654A6"/>
    <w:rsid w:val="00865D86"/>
    <w:rsid w:val="00870495"/>
    <w:rsid w:val="00870EA1"/>
    <w:rsid w:val="008710C5"/>
    <w:rsid w:val="00874438"/>
    <w:rsid w:val="00874E75"/>
    <w:rsid w:val="008767F3"/>
    <w:rsid w:val="00876CEF"/>
    <w:rsid w:val="00877342"/>
    <w:rsid w:val="008803C3"/>
    <w:rsid w:val="00881450"/>
    <w:rsid w:val="008817C7"/>
    <w:rsid w:val="00881875"/>
    <w:rsid w:val="008848A3"/>
    <w:rsid w:val="00884AF1"/>
    <w:rsid w:val="00885F7A"/>
    <w:rsid w:val="00890712"/>
    <w:rsid w:val="00890D81"/>
    <w:rsid w:val="00892955"/>
    <w:rsid w:val="00893628"/>
    <w:rsid w:val="008941EB"/>
    <w:rsid w:val="0089545A"/>
    <w:rsid w:val="00895A02"/>
    <w:rsid w:val="008A01EE"/>
    <w:rsid w:val="008A0DAC"/>
    <w:rsid w:val="008A3B78"/>
    <w:rsid w:val="008A4166"/>
    <w:rsid w:val="008A7DBF"/>
    <w:rsid w:val="008B136C"/>
    <w:rsid w:val="008B55EF"/>
    <w:rsid w:val="008B6910"/>
    <w:rsid w:val="008C0B5C"/>
    <w:rsid w:val="008C1343"/>
    <w:rsid w:val="008C3912"/>
    <w:rsid w:val="008C5598"/>
    <w:rsid w:val="008C69EA"/>
    <w:rsid w:val="008C6F8B"/>
    <w:rsid w:val="008C7AB7"/>
    <w:rsid w:val="008C7FB4"/>
    <w:rsid w:val="008D2C8C"/>
    <w:rsid w:val="008D3040"/>
    <w:rsid w:val="008D3ECD"/>
    <w:rsid w:val="008D5C03"/>
    <w:rsid w:val="008D7580"/>
    <w:rsid w:val="008D7C35"/>
    <w:rsid w:val="008E5698"/>
    <w:rsid w:val="008E5733"/>
    <w:rsid w:val="008E77D2"/>
    <w:rsid w:val="008E78FD"/>
    <w:rsid w:val="008F199D"/>
    <w:rsid w:val="008F38A0"/>
    <w:rsid w:val="008F39C9"/>
    <w:rsid w:val="008F5EB5"/>
    <w:rsid w:val="008F678C"/>
    <w:rsid w:val="008F75A7"/>
    <w:rsid w:val="008F7E5A"/>
    <w:rsid w:val="00900A7F"/>
    <w:rsid w:val="009036EE"/>
    <w:rsid w:val="00905815"/>
    <w:rsid w:val="00905D1D"/>
    <w:rsid w:val="0091016D"/>
    <w:rsid w:val="00910C98"/>
    <w:rsid w:val="00911910"/>
    <w:rsid w:val="00912A58"/>
    <w:rsid w:val="00913908"/>
    <w:rsid w:val="00913D26"/>
    <w:rsid w:val="0091438B"/>
    <w:rsid w:val="009147E3"/>
    <w:rsid w:val="00920FD2"/>
    <w:rsid w:val="00923A43"/>
    <w:rsid w:val="00924180"/>
    <w:rsid w:val="0092439C"/>
    <w:rsid w:val="0092498E"/>
    <w:rsid w:val="00925975"/>
    <w:rsid w:val="00925B91"/>
    <w:rsid w:val="00934461"/>
    <w:rsid w:val="00934F7E"/>
    <w:rsid w:val="00936A1C"/>
    <w:rsid w:val="00943E35"/>
    <w:rsid w:val="00945278"/>
    <w:rsid w:val="0094658D"/>
    <w:rsid w:val="00947678"/>
    <w:rsid w:val="00947878"/>
    <w:rsid w:val="009504C2"/>
    <w:rsid w:val="0095254A"/>
    <w:rsid w:val="0095273B"/>
    <w:rsid w:val="009559E1"/>
    <w:rsid w:val="009568D5"/>
    <w:rsid w:val="00957CD3"/>
    <w:rsid w:val="0096269B"/>
    <w:rsid w:val="00963FB0"/>
    <w:rsid w:val="00964C86"/>
    <w:rsid w:val="00965E82"/>
    <w:rsid w:val="009664BB"/>
    <w:rsid w:val="009669F8"/>
    <w:rsid w:val="00966F89"/>
    <w:rsid w:val="00973B5D"/>
    <w:rsid w:val="0097755E"/>
    <w:rsid w:val="00980293"/>
    <w:rsid w:val="00981467"/>
    <w:rsid w:val="00981C24"/>
    <w:rsid w:val="009852F6"/>
    <w:rsid w:val="00985DE5"/>
    <w:rsid w:val="00986254"/>
    <w:rsid w:val="0098729E"/>
    <w:rsid w:val="00990067"/>
    <w:rsid w:val="00992977"/>
    <w:rsid w:val="009937D4"/>
    <w:rsid w:val="00993C78"/>
    <w:rsid w:val="009948C7"/>
    <w:rsid w:val="00995850"/>
    <w:rsid w:val="0099796C"/>
    <w:rsid w:val="009A194E"/>
    <w:rsid w:val="009A1EA2"/>
    <w:rsid w:val="009A209E"/>
    <w:rsid w:val="009A3FD7"/>
    <w:rsid w:val="009A6652"/>
    <w:rsid w:val="009A74FD"/>
    <w:rsid w:val="009B25D8"/>
    <w:rsid w:val="009B42E3"/>
    <w:rsid w:val="009B4E0D"/>
    <w:rsid w:val="009B5859"/>
    <w:rsid w:val="009C01C3"/>
    <w:rsid w:val="009C31E8"/>
    <w:rsid w:val="009C6D07"/>
    <w:rsid w:val="009C7CEC"/>
    <w:rsid w:val="009D154D"/>
    <w:rsid w:val="009D18EF"/>
    <w:rsid w:val="009D3BE8"/>
    <w:rsid w:val="009D44E0"/>
    <w:rsid w:val="009D573B"/>
    <w:rsid w:val="009D59A0"/>
    <w:rsid w:val="009D716A"/>
    <w:rsid w:val="009E1AC4"/>
    <w:rsid w:val="009E20B8"/>
    <w:rsid w:val="009E29A0"/>
    <w:rsid w:val="009E41B5"/>
    <w:rsid w:val="009E55D7"/>
    <w:rsid w:val="009E627C"/>
    <w:rsid w:val="009F110B"/>
    <w:rsid w:val="009F1498"/>
    <w:rsid w:val="009F1E9F"/>
    <w:rsid w:val="009F3793"/>
    <w:rsid w:val="009F54F2"/>
    <w:rsid w:val="00A0056B"/>
    <w:rsid w:val="00A01657"/>
    <w:rsid w:val="00A01C65"/>
    <w:rsid w:val="00A0213D"/>
    <w:rsid w:val="00A04C73"/>
    <w:rsid w:val="00A0679A"/>
    <w:rsid w:val="00A07A2B"/>
    <w:rsid w:val="00A12375"/>
    <w:rsid w:val="00A125B8"/>
    <w:rsid w:val="00A13124"/>
    <w:rsid w:val="00A15370"/>
    <w:rsid w:val="00A156AB"/>
    <w:rsid w:val="00A16B8D"/>
    <w:rsid w:val="00A21293"/>
    <w:rsid w:val="00A2134B"/>
    <w:rsid w:val="00A21623"/>
    <w:rsid w:val="00A220EB"/>
    <w:rsid w:val="00A22302"/>
    <w:rsid w:val="00A25F1B"/>
    <w:rsid w:val="00A325F3"/>
    <w:rsid w:val="00A33103"/>
    <w:rsid w:val="00A33294"/>
    <w:rsid w:val="00A35DCB"/>
    <w:rsid w:val="00A3690E"/>
    <w:rsid w:val="00A37751"/>
    <w:rsid w:val="00A406B1"/>
    <w:rsid w:val="00A4113E"/>
    <w:rsid w:val="00A41ACF"/>
    <w:rsid w:val="00A42435"/>
    <w:rsid w:val="00A438BA"/>
    <w:rsid w:val="00A446FD"/>
    <w:rsid w:val="00A46F46"/>
    <w:rsid w:val="00A5069B"/>
    <w:rsid w:val="00A52CB6"/>
    <w:rsid w:val="00A52F99"/>
    <w:rsid w:val="00A538BB"/>
    <w:rsid w:val="00A54164"/>
    <w:rsid w:val="00A56737"/>
    <w:rsid w:val="00A60002"/>
    <w:rsid w:val="00A603D8"/>
    <w:rsid w:val="00A60AE2"/>
    <w:rsid w:val="00A61834"/>
    <w:rsid w:val="00A618B0"/>
    <w:rsid w:val="00A62790"/>
    <w:rsid w:val="00A6291F"/>
    <w:rsid w:val="00A63F53"/>
    <w:rsid w:val="00A7111E"/>
    <w:rsid w:val="00A755B6"/>
    <w:rsid w:val="00A75B1A"/>
    <w:rsid w:val="00A80ED4"/>
    <w:rsid w:val="00A816C4"/>
    <w:rsid w:val="00A82981"/>
    <w:rsid w:val="00A86F10"/>
    <w:rsid w:val="00A87AF2"/>
    <w:rsid w:val="00A90B23"/>
    <w:rsid w:val="00A93193"/>
    <w:rsid w:val="00A93C2B"/>
    <w:rsid w:val="00A94556"/>
    <w:rsid w:val="00A974CB"/>
    <w:rsid w:val="00AA1EAC"/>
    <w:rsid w:val="00AA45E2"/>
    <w:rsid w:val="00AA7AC1"/>
    <w:rsid w:val="00AB6327"/>
    <w:rsid w:val="00AB6B8F"/>
    <w:rsid w:val="00AB76ED"/>
    <w:rsid w:val="00AC0C65"/>
    <w:rsid w:val="00AC0FB2"/>
    <w:rsid w:val="00AC3721"/>
    <w:rsid w:val="00AC41C6"/>
    <w:rsid w:val="00AC70C7"/>
    <w:rsid w:val="00AC76B7"/>
    <w:rsid w:val="00AD0223"/>
    <w:rsid w:val="00AD123A"/>
    <w:rsid w:val="00AD15FF"/>
    <w:rsid w:val="00AD1AA5"/>
    <w:rsid w:val="00AD2920"/>
    <w:rsid w:val="00AD2CD5"/>
    <w:rsid w:val="00AD2DFC"/>
    <w:rsid w:val="00AD38C4"/>
    <w:rsid w:val="00AD5A4A"/>
    <w:rsid w:val="00AD60EE"/>
    <w:rsid w:val="00AD6A2B"/>
    <w:rsid w:val="00AD73D4"/>
    <w:rsid w:val="00AE1EA2"/>
    <w:rsid w:val="00AE2874"/>
    <w:rsid w:val="00AE2BA2"/>
    <w:rsid w:val="00AE2F98"/>
    <w:rsid w:val="00AE3602"/>
    <w:rsid w:val="00AE5342"/>
    <w:rsid w:val="00AE5987"/>
    <w:rsid w:val="00AE6472"/>
    <w:rsid w:val="00AF1345"/>
    <w:rsid w:val="00AF38A8"/>
    <w:rsid w:val="00AF63EB"/>
    <w:rsid w:val="00B010AC"/>
    <w:rsid w:val="00B016D2"/>
    <w:rsid w:val="00B018EC"/>
    <w:rsid w:val="00B05C60"/>
    <w:rsid w:val="00B060C7"/>
    <w:rsid w:val="00B11AB7"/>
    <w:rsid w:val="00B12213"/>
    <w:rsid w:val="00B13446"/>
    <w:rsid w:val="00B13710"/>
    <w:rsid w:val="00B22881"/>
    <w:rsid w:val="00B23EFC"/>
    <w:rsid w:val="00B24B72"/>
    <w:rsid w:val="00B25B34"/>
    <w:rsid w:val="00B25DB8"/>
    <w:rsid w:val="00B2656C"/>
    <w:rsid w:val="00B266E6"/>
    <w:rsid w:val="00B3094D"/>
    <w:rsid w:val="00B30B04"/>
    <w:rsid w:val="00B311BC"/>
    <w:rsid w:val="00B31810"/>
    <w:rsid w:val="00B31C10"/>
    <w:rsid w:val="00B3446D"/>
    <w:rsid w:val="00B34652"/>
    <w:rsid w:val="00B3466B"/>
    <w:rsid w:val="00B34F89"/>
    <w:rsid w:val="00B358C8"/>
    <w:rsid w:val="00B36185"/>
    <w:rsid w:val="00B3662F"/>
    <w:rsid w:val="00B373CD"/>
    <w:rsid w:val="00B377C8"/>
    <w:rsid w:val="00B400B8"/>
    <w:rsid w:val="00B404DE"/>
    <w:rsid w:val="00B40765"/>
    <w:rsid w:val="00B4232D"/>
    <w:rsid w:val="00B42682"/>
    <w:rsid w:val="00B43065"/>
    <w:rsid w:val="00B44784"/>
    <w:rsid w:val="00B449D0"/>
    <w:rsid w:val="00B456AB"/>
    <w:rsid w:val="00B46C2A"/>
    <w:rsid w:val="00B47E8B"/>
    <w:rsid w:val="00B51C67"/>
    <w:rsid w:val="00B53F86"/>
    <w:rsid w:val="00B53FDC"/>
    <w:rsid w:val="00B55431"/>
    <w:rsid w:val="00B55CAE"/>
    <w:rsid w:val="00B576C6"/>
    <w:rsid w:val="00B615F2"/>
    <w:rsid w:val="00B61A28"/>
    <w:rsid w:val="00B61F1D"/>
    <w:rsid w:val="00B656CB"/>
    <w:rsid w:val="00B65C6D"/>
    <w:rsid w:val="00B66B06"/>
    <w:rsid w:val="00B67862"/>
    <w:rsid w:val="00B70634"/>
    <w:rsid w:val="00B70BE4"/>
    <w:rsid w:val="00B73880"/>
    <w:rsid w:val="00B73CF1"/>
    <w:rsid w:val="00B7459B"/>
    <w:rsid w:val="00B745B3"/>
    <w:rsid w:val="00B7599D"/>
    <w:rsid w:val="00B7648F"/>
    <w:rsid w:val="00B76E13"/>
    <w:rsid w:val="00B771EE"/>
    <w:rsid w:val="00B7765B"/>
    <w:rsid w:val="00B77B4B"/>
    <w:rsid w:val="00B80ABC"/>
    <w:rsid w:val="00B814C2"/>
    <w:rsid w:val="00B900FE"/>
    <w:rsid w:val="00B9064C"/>
    <w:rsid w:val="00BA0A14"/>
    <w:rsid w:val="00BA228D"/>
    <w:rsid w:val="00BA398D"/>
    <w:rsid w:val="00BA39D3"/>
    <w:rsid w:val="00BA5C56"/>
    <w:rsid w:val="00BA776F"/>
    <w:rsid w:val="00BA795E"/>
    <w:rsid w:val="00BB0C0D"/>
    <w:rsid w:val="00BB0D69"/>
    <w:rsid w:val="00BB366E"/>
    <w:rsid w:val="00BB3AF0"/>
    <w:rsid w:val="00BB4F70"/>
    <w:rsid w:val="00BB67FF"/>
    <w:rsid w:val="00BC11B9"/>
    <w:rsid w:val="00BC138C"/>
    <w:rsid w:val="00BC14CF"/>
    <w:rsid w:val="00BC1659"/>
    <w:rsid w:val="00BC18B2"/>
    <w:rsid w:val="00BC2C91"/>
    <w:rsid w:val="00BC3A9C"/>
    <w:rsid w:val="00BC5288"/>
    <w:rsid w:val="00BC6A71"/>
    <w:rsid w:val="00BC6B2F"/>
    <w:rsid w:val="00BD0637"/>
    <w:rsid w:val="00BD08A8"/>
    <w:rsid w:val="00BD1BAC"/>
    <w:rsid w:val="00BD1FA8"/>
    <w:rsid w:val="00BD25A6"/>
    <w:rsid w:val="00BD4C95"/>
    <w:rsid w:val="00BD65FC"/>
    <w:rsid w:val="00BD7660"/>
    <w:rsid w:val="00BE0666"/>
    <w:rsid w:val="00BE24B9"/>
    <w:rsid w:val="00BE2AE8"/>
    <w:rsid w:val="00BE2D55"/>
    <w:rsid w:val="00BE38DD"/>
    <w:rsid w:val="00BE4AB1"/>
    <w:rsid w:val="00BF16C3"/>
    <w:rsid w:val="00BF38E0"/>
    <w:rsid w:val="00BF44FA"/>
    <w:rsid w:val="00BF57E1"/>
    <w:rsid w:val="00C003B4"/>
    <w:rsid w:val="00C00A5F"/>
    <w:rsid w:val="00C042E0"/>
    <w:rsid w:val="00C04B9E"/>
    <w:rsid w:val="00C051D9"/>
    <w:rsid w:val="00C06333"/>
    <w:rsid w:val="00C06F68"/>
    <w:rsid w:val="00C075BA"/>
    <w:rsid w:val="00C10A3A"/>
    <w:rsid w:val="00C11E20"/>
    <w:rsid w:val="00C15D16"/>
    <w:rsid w:val="00C20015"/>
    <w:rsid w:val="00C247DD"/>
    <w:rsid w:val="00C25B43"/>
    <w:rsid w:val="00C26A54"/>
    <w:rsid w:val="00C3261C"/>
    <w:rsid w:val="00C3318B"/>
    <w:rsid w:val="00C33C20"/>
    <w:rsid w:val="00C35362"/>
    <w:rsid w:val="00C357EA"/>
    <w:rsid w:val="00C379F8"/>
    <w:rsid w:val="00C37A1C"/>
    <w:rsid w:val="00C42323"/>
    <w:rsid w:val="00C4316E"/>
    <w:rsid w:val="00C453A9"/>
    <w:rsid w:val="00C465D5"/>
    <w:rsid w:val="00C4756A"/>
    <w:rsid w:val="00C47C39"/>
    <w:rsid w:val="00C50649"/>
    <w:rsid w:val="00C50E1F"/>
    <w:rsid w:val="00C51C09"/>
    <w:rsid w:val="00C52BB6"/>
    <w:rsid w:val="00C53471"/>
    <w:rsid w:val="00C55143"/>
    <w:rsid w:val="00C5611B"/>
    <w:rsid w:val="00C5695E"/>
    <w:rsid w:val="00C61528"/>
    <w:rsid w:val="00C63457"/>
    <w:rsid w:val="00C64964"/>
    <w:rsid w:val="00C6631E"/>
    <w:rsid w:val="00C67473"/>
    <w:rsid w:val="00C67AA4"/>
    <w:rsid w:val="00C7045D"/>
    <w:rsid w:val="00C7148C"/>
    <w:rsid w:val="00C72192"/>
    <w:rsid w:val="00C732E5"/>
    <w:rsid w:val="00C73D0B"/>
    <w:rsid w:val="00C75017"/>
    <w:rsid w:val="00C765B4"/>
    <w:rsid w:val="00C813EA"/>
    <w:rsid w:val="00C81496"/>
    <w:rsid w:val="00C82CE6"/>
    <w:rsid w:val="00C82E22"/>
    <w:rsid w:val="00C85144"/>
    <w:rsid w:val="00C86738"/>
    <w:rsid w:val="00C86A27"/>
    <w:rsid w:val="00C91517"/>
    <w:rsid w:val="00C929BD"/>
    <w:rsid w:val="00C931A2"/>
    <w:rsid w:val="00CA02E1"/>
    <w:rsid w:val="00CA15DA"/>
    <w:rsid w:val="00CA224E"/>
    <w:rsid w:val="00CA41C5"/>
    <w:rsid w:val="00CA42B7"/>
    <w:rsid w:val="00CA4A53"/>
    <w:rsid w:val="00CA51F5"/>
    <w:rsid w:val="00CB218A"/>
    <w:rsid w:val="00CB225A"/>
    <w:rsid w:val="00CB69E6"/>
    <w:rsid w:val="00CB761B"/>
    <w:rsid w:val="00CB7E33"/>
    <w:rsid w:val="00CC13DF"/>
    <w:rsid w:val="00CC1EEE"/>
    <w:rsid w:val="00CC562B"/>
    <w:rsid w:val="00CC6C15"/>
    <w:rsid w:val="00CC7FCF"/>
    <w:rsid w:val="00CD2749"/>
    <w:rsid w:val="00CD2A60"/>
    <w:rsid w:val="00CD306F"/>
    <w:rsid w:val="00CD3971"/>
    <w:rsid w:val="00CD3DAB"/>
    <w:rsid w:val="00CE0DF1"/>
    <w:rsid w:val="00CE3786"/>
    <w:rsid w:val="00CE4027"/>
    <w:rsid w:val="00CE47CC"/>
    <w:rsid w:val="00CE68F6"/>
    <w:rsid w:val="00CE7E27"/>
    <w:rsid w:val="00CF22AC"/>
    <w:rsid w:val="00CF2F0A"/>
    <w:rsid w:val="00CF79E8"/>
    <w:rsid w:val="00D00FDD"/>
    <w:rsid w:val="00D015AA"/>
    <w:rsid w:val="00D021B8"/>
    <w:rsid w:val="00D03D90"/>
    <w:rsid w:val="00D04024"/>
    <w:rsid w:val="00D043EB"/>
    <w:rsid w:val="00D06705"/>
    <w:rsid w:val="00D06A9B"/>
    <w:rsid w:val="00D0750D"/>
    <w:rsid w:val="00D07DD8"/>
    <w:rsid w:val="00D1038F"/>
    <w:rsid w:val="00D10BF7"/>
    <w:rsid w:val="00D10FEB"/>
    <w:rsid w:val="00D140A0"/>
    <w:rsid w:val="00D203D1"/>
    <w:rsid w:val="00D2057A"/>
    <w:rsid w:val="00D21D98"/>
    <w:rsid w:val="00D2317F"/>
    <w:rsid w:val="00D231A9"/>
    <w:rsid w:val="00D24391"/>
    <w:rsid w:val="00D2472B"/>
    <w:rsid w:val="00D253DD"/>
    <w:rsid w:val="00D26FFA"/>
    <w:rsid w:val="00D3215D"/>
    <w:rsid w:val="00D33352"/>
    <w:rsid w:val="00D347D9"/>
    <w:rsid w:val="00D35565"/>
    <w:rsid w:val="00D36A19"/>
    <w:rsid w:val="00D40DCF"/>
    <w:rsid w:val="00D41075"/>
    <w:rsid w:val="00D41C76"/>
    <w:rsid w:val="00D41DD8"/>
    <w:rsid w:val="00D4222C"/>
    <w:rsid w:val="00D425CE"/>
    <w:rsid w:val="00D42F40"/>
    <w:rsid w:val="00D4396C"/>
    <w:rsid w:val="00D4446F"/>
    <w:rsid w:val="00D44B55"/>
    <w:rsid w:val="00D45490"/>
    <w:rsid w:val="00D457B8"/>
    <w:rsid w:val="00D457E1"/>
    <w:rsid w:val="00D47BEB"/>
    <w:rsid w:val="00D50487"/>
    <w:rsid w:val="00D50563"/>
    <w:rsid w:val="00D50F50"/>
    <w:rsid w:val="00D5235F"/>
    <w:rsid w:val="00D52F50"/>
    <w:rsid w:val="00D55A98"/>
    <w:rsid w:val="00D56B49"/>
    <w:rsid w:val="00D6053F"/>
    <w:rsid w:val="00D6073D"/>
    <w:rsid w:val="00D618D6"/>
    <w:rsid w:val="00D62426"/>
    <w:rsid w:val="00D62804"/>
    <w:rsid w:val="00D70F55"/>
    <w:rsid w:val="00D70FA5"/>
    <w:rsid w:val="00D74171"/>
    <w:rsid w:val="00D7474C"/>
    <w:rsid w:val="00D8032C"/>
    <w:rsid w:val="00D80CE2"/>
    <w:rsid w:val="00D83080"/>
    <w:rsid w:val="00D84D5F"/>
    <w:rsid w:val="00D851E2"/>
    <w:rsid w:val="00D87FFA"/>
    <w:rsid w:val="00D91419"/>
    <w:rsid w:val="00D92A09"/>
    <w:rsid w:val="00D92D2A"/>
    <w:rsid w:val="00D92EEC"/>
    <w:rsid w:val="00D93470"/>
    <w:rsid w:val="00D9395F"/>
    <w:rsid w:val="00D93D55"/>
    <w:rsid w:val="00D941FA"/>
    <w:rsid w:val="00D94B59"/>
    <w:rsid w:val="00D95315"/>
    <w:rsid w:val="00D95EAB"/>
    <w:rsid w:val="00DA0B39"/>
    <w:rsid w:val="00DA1203"/>
    <w:rsid w:val="00DA2316"/>
    <w:rsid w:val="00DA25E0"/>
    <w:rsid w:val="00DA2700"/>
    <w:rsid w:val="00DA3001"/>
    <w:rsid w:val="00DA3C5D"/>
    <w:rsid w:val="00DA3EFF"/>
    <w:rsid w:val="00DA7769"/>
    <w:rsid w:val="00DB08C6"/>
    <w:rsid w:val="00DB1BC2"/>
    <w:rsid w:val="00DB1CBB"/>
    <w:rsid w:val="00DB31ED"/>
    <w:rsid w:val="00DB4124"/>
    <w:rsid w:val="00DB4511"/>
    <w:rsid w:val="00DB4F0C"/>
    <w:rsid w:val="00DC0176"/>
    <w:rsid w:val="00DC043F"/>
    <w:rsid w:val="00DC093E"/>
    <w:rsid w:val="00DC0E29"/>
    <w:rsid w:val="00DC0E7A"/>
    <w:rsid w:val="00DC2A65"/>
    <w:rsid w:val="00DC2A86"/>
    <w:rsid w:val="00DC3631"/>
    <w:rsid w:val="00DC37F7"/>
    <w:rsid w:val="00DC6F54"/>
    <w:rsid w:val="00DD0C00"/>
    <w:rsid w:val="00DD0F8C"/>
    <w:rsid w:val="00DD116C"/>
    <w:rsid w:val="00DD23D5"/>
    <w:rsid w:val="00DD2AF1"/>
    <w:rsid w:val="00DD46DA"/>
    <w:rsid w:val="00DD6072"/>
    <w:rsid w:val="00DD62BE"/>
    <w:rsid w:val="00DD77D9"/>
    <w:rsid w:val="00DD7CA4"/>
    <w:rsid w:val="00DE167C"/>
    <w:rsid w:val="00DE3B70"/>
    <w:rsid w:val="00DE5813"/>
    <w:rsid w:val="00DF10B1"/>
    <w:rsid w:val="00DF1FDA"/>
    <w:rsid w:val="00DF3DD0"/>
    <w:rsid w:val="00DF4D50"/>
    <w:rsid w:val="00DF538C"/>
    <w:rsid w:val="00E021C2"/>
    <w:rsid w:val="00E024A3"/>
    <w:rsid w:val="00E0423D"/>
    <w:rsid w:val="00E057B5"/>
    <w:rsid w:val="00E0581E"/>
    <w:rsid w:val="00E079C5"/>
    <w:rsid w:val="00E07CBD"/>
    <w:rsid w:val="00E07F56"/>
    <w:rsid w:val="00E10A16"/>
    <w:rsid w:val="00E1112F"/>
    <w:rsid w:val="00E1318F"/>
    <w:rsid w:val="00E13B3B"/>
    <w:rsid w:val="00E13E29"/>
    <w:rsid w:val="00E16857"/>
    <w:rsid w:val="00E16C3A"/>
    <w:rsid w:val="00E20651"/>
    <w:rsid w:val="00E2107C"/>
    <w:rsid w:val="00E21E70"/>
    <w:rsid w:val="00E224DE"/>
    <w:rsid w:val="00E23DCE"/>
    <w:rsid w:val="00E26363"/>
    <w:rsid w:val="00E272A4"/>
    <w:rsid w:val="00E305F9"/>
    <w:rsid w:val="00E306AC"/>
    <w:rsid w:val="00E34446"/>
    <w:rsid w:val="00E3633B"/>
    <w:rsid w:val="00E36870"/>
    <w:rsid w:val="00E374E1"/>
    <w:rsid w:val="00E417AB"/>
    <w:rsid w:val="00E43D48"/>
    <w:rsid w:val="00E4542D"/>
    <w:rsid w:val="00E45BE0"/>
    <w:rsid w:val="00E46CAD"/>
    <w:rsid w:val="00E47521"/>
    <w:rsid w:val="00E4760C"/>
    <w:rsid w:val="00E507A6"/>
    <w:rsid w:val="00E5375C"/>
    <w:rsid w:val="00E561AD"/>
    <w:rsid w:val="00E57FAF"/>
    <w:rsid w:val="00E60BA9"/>
    <w:rsid w:val="00E63510"/>
    <w:rsid w:val="00E635EA"/>
    <w:rsid w:val="00E655E5"/>
    <w:rsid w:val="00E65F4E"/>
    <w:rsid w:val="00E662E0"/>
    <w:rsid w:val="00E67D5D"/>
    <w:rsid w:val="00E71C7A"/>
    <w:rsid w:val="00E73119"/>
    <w:rsid w:val="00E73E1E"/>
    <w:rsid w:val="00E767FF"/>
    <w:rsid w:val="00E84C91"/>
    <w:rsid w:val="00E84E60"/>
    <w:rsid w:val="00E8556E"/>
    <w:rsid w:val="00E86B2D"/>
    <w:rsid w:val="00E86F4D"/>
    <w:rsid w:val="00E87D08"/>
    <w:rsid w:val="00E90D0E"/>
    <w:rsid w:val="00E91B2D"/>
    <w:rsid w:val="00E92FCA"/>
    <w:rsid w:val="00E95CAA"/>
    <w:rsid w:val="00EA0A39"/>
    <w:rsid w:val="00EA0EB2"/>
    <w:rsid w:val="00EA236F"/>
    <w:rsid w:val="00EA3023"/>
    <w:rsid w:val="00EA3E49"/>
    <w:rsid w:val="00EA3FC8"/>
    <w:rsid w:val="00EA5B8C"/>
    <w:rsid w:val="00EB0DC9"/>
    <w:rsid w:val="00EB1383"/>
    <w:rsid w:val="00EB252D"/>
    <w:rsid w:val="00EB29FA"/>
    <w:rsid w:val="00EB2CCE"/>
    <w:rsid w:val="00EB385F"/>
    <w:rsid w:val="00EB3E49"/>
    <w:rsid w:val="00EB5FC3"/>
    <w:rsid w:val="00EB6DA9"/>
    <w:rsid w:val="00EC1561"/>
    <w:rsid w:val="00EC462E"/>
    <w:rsid w:val="00EC6CD8"/>
    <w:rsid w:val="00EC786F"/>
    <w:rsid w:val="00ED1866"/>
    <w:rsid w:val="00ED18D8"/>
    <w:rsid w:val="00ED3134"/>
    <w:rsid w:val="00ED38E2"/>
    <w:rsid w:val="00ED5C44"/>
    <w:rsid w:val="00ED635B"/>
    <w:rsid w:val="00EE742D"/>
    <w:rsid w:val="00EF0A22"/>
    <w:rsid w:val="00EF1267"/>
    <w:rsid w:val="00EF180C"/>
    <w:rsid w:val="00EF3B6B"/>
    <w:rsid w:val="00EF4B43"/>
    <w:rsid w:val="00EF6750"/>
    <w:rsid w:val="00EF770B"/>
    <w:rsid w:val="00F02836"/>
    <w:rsid w:val="00F02FB5"/>
    <w:rsid w:val="00F0534E"/>
    <w:rsid w:val="00F05C30"/>
    <w:rsid w:val="00F10036"/>
    <w:rsid w:val="00F10F1B"/>
    <w:rsid w:val="00F14179"/>
    <w:rsid w:val="00F15786"/>
    <w:rsid w:val="00F167C5"/>
    <w:rsid w:val="00F20B5A"/>
    <w:rsid w:val="00F21F0B"/>
    <w:rsid w:val="00F236AB"/>
    <w:rsid w:val="00F24EA4"/>
    <w:rsid w:val="00F27087"/>
    <w:rsid w:val="00F2773C"/>
    <w:rsid w:val="00F300B3"/>
    <w:rsid w:val="00F30DB9"/>
    <w:rsid w:val="00F30FB8"/>
    <w:rsid w:val="00F31D68"/>
    <w:rsid w:val="00F33152"/>
    <w:rsid w:val="00F338F2"/>
    <w:rsid w:val="00F349D3"/>
    <w:rsid w:val="00F3533E"/>
    <w:rsid w:val="00F35B84"/>
    <w:rsid w:val="00F402B5"/>
    <w:rsid w:val="00F4072F"/>
    <w:rsid w:val="00F42839"/>
    <w:rsid w:val="00F44CC0"/>
    <w:rsid w:val="00F450BA"/>
    <w:rsid w:val="00F4684B"/>
    <w:rsid w:val="00F46BE9"/>
    <w:rsid w:val="00F47C3B"/>
    <w:rsid w:val="00F506CA"/>
    <w:rsid w:val="00F53A7A"/>
    <w:rsid w:val="00F54FCD"/>
    <w:rsid w:val="00F5785C"/>
    <w:rsid w:val="00F65E3C"/>
    <w:rsid w:val="00F67076"/>
    <w:rsid w:val="00F677FA"/>
    <w:rsid w:val="00F7115A"/>
    <w:rsid w:val="00F717AA"/>
    <w:rsid w:val="00F72714"/>
    <w:rsid w:val="00F744C3"/>
    <w:rsid w:val="00F75EE2"/>
    <w:rsid w:val="00F75F69"/>
    <w:rsid w:val="00F76014"/>
    <w:rsid w:val="00F802D3"/>
    <w:rsid w:val="00F80F94"/>
    <w:rsid w:val="00F81BA2"/>
    <w:rsid w:val="00F823A4"/>
    <w:rsid w:val="00F8412F"/>
    <w:rsid w:val="00F84791"/>
    <w:rsid w:val="00F85995"/>
    <w:rsid w:val="00F85FC5"/>
    <w:rsid w:val="00F86C22"/>
    <w:rsid w:val="00F90CB3"/>
    <w:rsid w:val="00F912A2"/>
    <w:rsid w:val="00F913A3"/>
    <w:rsid w:val="00F925C3"/>
    <w:rsid w:val="00FA0109"/>
    <w:rsid w:val="00FA0573"/>
    <w:rsid w:val="00FA458B"/>
    <w:rsid w:val="00FA5EC5"/>
    <w:rsid w:val="00FA7016"/>
    <w:rsid w:val="00FA7174"/>
    <w:rsid w:val="00FA793D"/>
    <w:rsid w:val="00FB020E"/>
    <w:rsid w:val="00FB0F17"/>
    <w:rsid w:val="00FB4B9D"/>
    <w:rsid w:val="00FB50ED"/>
    <w:rsid w:val="00FB6E18"/>
    <w:rsid w:val="00FC144B"/>
    <w:rsid w:val="00FC2169"/>
    <w:rsid w:val="00FC28E2"/>
    <w:rsid w:val="00FC3BF6"/>
    <w:rsid w:val="00FC3D22"/>
    <w:rsid w:val="00FC6FE1"/>
    <w:rsid w:val="00FD0C3D"/>
    <w:rsid w:val="00FD2F6B"/>
    <w:rsid w:val="00FE064A"/>
    <w:rsid w:val="00FE0B55"/>
    <w:rsid w:val="00FE1E98"/>
    <w:rsid w:val="00FE2452"/>
    <w:rsid w:val="00FE5469"/>
    <w:rsid w:val="00FE66C2"/>
    <w:rsid w:val="00FE684A"/>
    <w:rsid w:val="00FE6F23"/>
    <w:rsid w:val="00FF0F8C"/>
    <w:rsid w:val="00FF408B"/>
    <w:rsid w:val="00FF43E1"/>
    <w:rsid w:val="03430854"/>
    <w:rsid w:val="039F5FA6"/>
    <w:rsid w:val="09305ADA"/>
    <w:rsid w:val="0E8013B7"/>
    <w:rsid w:val="0EFF73E2"/>
    <w:rsid w:val="10D604C6"/>
    <w:rsid w:val="11B515E0"/>
    <w:rsid w:val="13A53267"/>
    <w:rsid w:val="13F970D2"/>
    <w:rsid w:val="14AA4136"/>
    <w:rsid w:val="163A420B"/>
    <w:rsid w:val="19413B26"/>
    <w:rsid w:val="1C6D3688"/>
    <w:rsid w:val="1CC63D0A"/>
    <w:rsid w:val="1DC2081A"/>
    <w:rsid w:val="1DD94266"/>
    <w:rsid w:val="1F9D0947"/>
    <w:rsid w:val="1FFB29C6"/>
    <w:rsid w:val="22AF3620"/>
    <w:rsid w:val="22E70AD4"/>
    <w:rsid w:val="24F1508D"/>
    <w:rsid w:val="266F634F"/>
    <w:rsid w:val="291059EA"/>
    <w:rsid w:val="2BBF12EC"/>
    <w:rsid w:val="2BC649D9"/>
    <w:rsid w:val="3515160D"/>
    <w:rsid w:val="39EFFE23"/>
    <w:rsid w:val="3C7D00D8"/>
    <w:rsid w:val="3CA06C0C"/>
    <w:rsid w:val="3EA25851"/>
    <w:rsid w:val="3F6C3757"/>
    <w:rsid w:val="3FB50158"/>
    <w:rsid w:val="3FF92565"/>
    <w:rsid w:val="405D6A10"/>
    <w:rsid w:val="41DA6594"/>
    <w:rsid w:val="444C1A75"/>
    <w:rsid w:val="44A3526F"/>
    <w:rsid w:val="44B032F4"/>
    <w:rsid w:val="457D25F7"/>
    <w:rsid w:val="468341CD"/>
    <w:rsid w:val="472C2589"/>
    <w:rsid w:val="4A760AEB"/>
    <w:rsid w:val="4F3162CA"/>
    <w:rsid w:val="50D95873"/>
    <w:rsid w:val="526102AF"/>
    <w:rsid w:val="528444DA"/>
    <w:rsid w:val="537745D5"/>
    <w:rsid w:val="552306F6"/>
    <w:rsid w:val="56E352D5"/>
    <w:rsid w:val="57E435FE"/>
    <w:rsid w:val="582D0655"/>
    <w:rsid w:val="5951205C"/>
    <w:rsid w:val="59D079E8"/>
    <w:rsid w:val="59D40847"/>
    <w:rsid w:val="5AE37F25"/>
    <w:rsid w:val="5CB23D47"/>
    <w:rsid w:val="5FAF09C4"/>
    <w:rsid w:val="608C4642"/>
    <w:rsid w:val="62795572"/>
    <w:rsid w:val="64DD6417"/>
    <w:rsid w:val="66004745"/>
    <w:rsid w:val="6A567F20"/>
    <w:rsid w:val="6CD97953"/>
    <w:rsid w:val="6E812A2C"/>
    <w:rsid w:val="6ED30FD7"/>
    <w:rsid w:val="71F7CA88"/>
    <w:rsid w:val="727D78FD"/>
    <w:rsid w:val="73CC655F"/>
    <w:rsid w:val="75957445"/>
    <w:rsid w:val="75D01AE1"/>
    <w:rsid w:val="77524363"/>
    <w:rsid w:val="77B917B5"/>
    <w:rsid w:val="78703975"/>
    <w:rsid w:val="7BE420FD"/>
    <w:rsid w:val="7CC73C25"/>
    <w:rsid w:val="7D0D296B"/>
    <w:rsid w:val="7D4E0B54"/>
    <w:rsid w:val="7D503E78"/>
    <w:rsid w:val="7D6E3F8F"/>
    <w:rsid w:val="7E0160D4"/>
    <w:rsid w:val="CFFFC793"/>
    <w:rsid w:val="FBBBECEA"/>
    <w:rsid w:val="FBFC3D5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360" w:lineRule="auto"/>
      <w:ind w:firstLine="480" w:firstLineChars="200"/>
      <w:jc w:val="both"/>
    </w:pPr>
    <w:rPr>
      <w:rFonts w:ascii="宋体" w:hAnsi="宋体" w:eastAsia="宋体" w:cs="Times New Roman"/>
      <w:kern w:val="2"/>
      <w:sz w:val="24"/>
      <w:szCs w:val="24"/>
      <w:lang w:val="en-US" w:eastAsia="zh-CN" w:bidi="ar-SA"/>
    </w:rPr>
  </w:style>
  <w:style w:type="paragraph" w:styleId="2">
    <w:name w:val="heading 1"/>
    <w:basedOn w:val="1"/>
    <w:next w:val="1"/>
    <w:link w:val="68"/>
    <w:qFormat/>
    <w:uiPriority w:val="0"/>
    <w:pPr>
      <w:keepNext/>
      <w:keepLines/>
      <w:numPr>
        <w:ilvl w:val="0"/>
        <w:numId w:val="1"/>
      </w:numPr>
      <w:spacing w:before="120" w:after="120"/>
      <w:ind w:firstLine="0" w:firstLineChars="0"/>
      <w:outlineLvl w:val="0"/>
    </w:pPr>
    <w:rPr>
      <w:rFonts w:eastAsia="黑体"/>
      <w:b/>
      <w:bCs/>
      <w:kern w:val="44"/>
      <w:sz w:val="32"/>
      <w:szCs w:val="28"/>
    </w:rPr>
  </w:style>
  <w:style w:type="paragraph" w:styleId="3">
    <w:name w:val="heading 2"/>
    <w:basedOn w:val="1"/>
    <w:next w:val="1"/>
    <w:link w:val="81"/>
    <w:qFormat/>
    <w:uiPriority w:val="9"/>
    <w:pPr>
      <w:keepNext/>
      <w:keepLines/>
      <w:numPr>
        <w:ilvl w:val="1"/>
        <w:numId w:val="1"/>
      </w:numPr>
      <w:spacing w:before="120" w:after="120"/>
      <w:ind w:firstLine="0" w:firstLineChars="0"/>
      <w:outlineLvl w:val="1"/>
    </w:pPr>
    <w:rPr>
      <w:b/>
      <w:bCs/>
      <w:sz w:val="30"/>
      <w:szCs w:val="32"/>
    </w:rPr>
  </w:style>
  <w:style w:type="paragraph" w:styleId="4">
    <w:name w:val="heading 3"/>
    <w:basedOn w:val="1"/>
    <w:next w:val="1"/>
    <w:link w:val="74"/>
    <w:qFormat/>
    <w:uiPriority w:val="0"/>
    <w:pPr>
      <w:keepNext/>
      <w:keepLines/>
      <w:numPr>
        <w:ilvl w:val="2"/>
        <w:numId w:val="1"/>
      </w:numPr>
      <w:spacing w:before="120" w:after="120"/>
      <w:ind w:firstLine="0" w:firstLineChars="0"/>
      <w:outlineLvl w:val="2"/>
    </w:pPr>
    <w:rPr>
      <w:b/>
      <w:bCs/>
      <w:sz w:val="28"/>
      <w:szCs w:val="28"/>
    </w:rPr>
  </w:style>
  <w:style w:type="paragraph" w:styleId="5">
    <w:name w:val="heading 4"/>
    <w:basedOn w:val="1"/>
    <w:next w:val="1"/>
    <w:link w:val="57"/>
    <w:qFormat/>
    <w:uiPriority w:val="0"/>
    <w:pPr>
      <w:keepNext/>
      <w:keepLines/>
      <w:numPr>
        <w:ilvl w:val="3"/>
        <w:numId w:val="1"/>
      </w:numPr>
      <w:spacing w:before="120" w:after="120"/>
      <w:ind w:left="851" w:firstLine="0" w:firstLineChars="0"/>
      <w:outlineLvl w:val="3"/>
    </w:pPr>
    <w:rPr>
      <w:b/>
      <w:bCs/>
      <w:sz w:val="30"/>
      <w:szCs w:val="30"/>
    </w:rPr>
  </w:style>
  <w:style w:type="paragraph" w:styleId="6">
    <w:name w:val="heading 5"/>
    <w:basedOn w:val="1"/>
    <w:next w:val="1"/>
    <w:link w:val="79"/>
    <w:qFormat/>
    <w:uiPriority w:val="0"/>
    <w:pPr>
      <w:keepNext/>
      <w:keepLines/>
      <w:numPr>
        <w:ilvl w:val="4"/>
        <w:numId w:val="1"/>
      </w:numPr>
      <w:spacing w:before="120" w:after="120"/>
      <w:ind w:left="0" w:firstLine="0" w:firstLineChars="0"/>
      <w:outlineLvl w:val="4"/>
    </w:pPr>
    <w:rPr>
      <w:b/>
      <w:bCs/>
      <w:szCs w:val="28"/>
    </w:rPr>
  </w:style>
  <w:style w:type="paragraph" w:styleId="7">
    <w:name w:val="heading 6"/>
    <w:basedOn w:val="1"/>
    <w:next w:val="1"/>
    <w:link w:val="92"/>
    <w:qFormat/>
    <w:uiPriority w:val="0"/>
    <w:pPr>
      <w:keepNext/>
      <w:keepLines/>
      <w:numPr>
        <w:ilvl w:val="5"/>
        <w:numId w:val="1"/>
      </w:numPr>
      <w:spacing w:before="120" w:after="120"/>
      <w:ind w:firstLine="0" w:firstLineChars="0"/>
      <w:outlineLvl w:val="5"/>
    </w:pPr>
    <w:rPr>
      <w:rFonts w:ascii="Cambria" w:hAnsi="Cambria"/>
      <w:b/>
      <w:bCs/>
    </w:rPr>
  </w:style>
  <w:style w:type="paragraph" w:styleId="8">
    <w:name w:val="heading 7"/>
    <w:basedOn w:val="1"/>
    <w:next w:val="1"/>
    <w:link w:val="65"/>
    <w:qFormat/>
    <w:uiPriority w:val="9"/>
    <w:pPr>
      <w:keepNext/>
      <w:keepLines/>
      <w:spacing w:before="240" w:after="64" w:line="319" w:lineRule="auto"/>
      <w:ind w:firstLine="0" w:firstLineChars="0"/>
      <w:outlineLvl w:val="6"/>
    </w:pPr>
    <w:rPr>
      <w:rFonts w:ascii="Times New Roman" w:hAnsi="Times New Roman"/>
      <w:b/>
      <w:bCs/>
      <w:sz w:val="21"/>
    </w:rPr>
  </w:style>
  <w:style w:type="paragraph" w:styleId="9">
    <w:name w:val="heading 8"/>
    <w:basedOn w:val="1"/>
    <w:next w:val="1"/>
    <w:link w:val="91"/>
    <w:qFormat/>
    <w:uiPriority w:val="9"/>
    <w:pPr>
      <w:keepNext/>
      <w:keepLines/>
      <w:spacing w:before="240" w:after="64" w:line="319" w:lineRule="auto"/>
      <w:ind w:firstLine="0" w:firstLineChars="0"/>
      <w:outlineLvl w:val="7"/>
    </w:pPr>
    <w:rPr>
      <w:rFonts w:ascii="Cambria" w:hAnsi="Cambria"/>
      <w:sz w:val="21"/>
    </w:rPr>
  </w:style>
  <w:style w:type="paragraph" w:styleId="10">
    <w:name w:val="heading 9"/>
    <w:basedOn w:val="1"/>
    <w:next w:val="1"/>
    <w:link w:val="47"/>
    <w:qFormat/>
    <w:uiPriority w:val="9"/>
    <w:pPr>
      <w:keepNext/>
      <w:keepLines/>
      <w:spacing w:before="240" w:after="64" w:line="319" w:lineRule="auto"/>
      <w:ind w:firstLine="0" w:firstLineChars="0"/>
      <w:outlineLvl w:val="8"/>
    </w:pPr>
    <w:rPr>
      <w:rFonts w:ascii="Cambria" w:hAnsi="Cambria"/>
      <w:sz w:val="21"/>
      <w:szCs w:val="21"/>
    </w:rPr>
  </w:style>
  <w:style w:type="character" w:default="1" w:styleId="36">
    <w:name w:val="Default Paragraph Font"/>
    <w:semiHidden/>
    <w:unhideWhenUsed/>
    <w:qFormat/>
    <w:uiPriority w:val="1"/>
  </w:style>
  <w:style w:type="table" w:default="1" w:styleId="34">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ind w:left="2520" w:leftChars="1200"/>
    </w:pPr>
    <w:rPr>
      <w:rFonts w:ascii="等线" w:hAnsi="等线" w:eastAsia="等线"/>
      <w:szCs w:val="22"/>
    </w:rPr>
  </w:style>
  <w:style w:type="paragraph" w:styleId="12">
    <w:name w:val="Normal Indent"/>
    <w:basedOn w:val="1"/>
    <w:unhideWhenUsed/>
    <w:qFormat/>
    <w:uiPriority w:val="99"/>
    <w:pPr>
      <w:spacing w:line="240" w:lineRule="auto"/>
      <w:ind w:firstLine="420"/>
    </w:pPr>
    <w:rPr>
      <w:rFonts w:ascii="Calibri" w:hAnsi="Calibri"/>
      <w:sz w:val="21"/>
    </w:rPr>
  </w:style>
  <w:style w:type="paragraph" w:styleId="13">
    <w:name w:val="caption"/>
    <w:basedOn w:val="1"/>
    <w:next w:val="1"/>
    <w:link w:val="53"/>
    <w:qFormat/>
    <w:uiPriority w:val="0"/>
    <w:pPr>
      <w:spacing w:afterLines="50"/>
      <w:ind w:firstLine="200"/>
    </w:pPr>
    <w:rPr>
      <w:rFonts w:ascii="Arial" w:hAnsi="Arial" w:eastAsia="黑体"/>
      <w:sz w:val="20"/>
      <w:szCs w:val="20"/>
    </w:rPr>
  </w:style>
  <w:style w:type="paragraph" w:styleId="14">
    <w:name w:val="Document Map"/>
    <w:basedOn w:val="1"/>
    <w:link w:val="84"/>
    <w:qFormat/>
    <w:uiPriority w:val="0"/>
    <w:rPr>
      <w:rFonts w:hAnsi="Times New Roman"/>
      <w:sz w:val="18"/>
      <w:szCs w:val="18"/>
    </w:rPr>
  </w:style>
  <w:style w:type="paragraph" w:styleId="15">
    <w:name w:val="annotation text"/>
    <w:basedOn w:val="1"/>
    <w:link w:val="44"/>
    <w:qFormat/>
    <w:uiPriority w:val="99"/>
    <w:pPr>
      <w:jc w:val="left"/>
    </w:pPr>
    <w:rPr>
      <w:rFonts w:ascii="Times New Roman" w:hAnsi="Times New Roman" w:eastAsia="仿宋"/>
      <w:sz w:val="28"/>
    </w:rPr>
  </w:style>
  <w:style w:type="paragraph" w:styleId="16">
    <w:name w:val="Body Text"/>
    <w:basedOn w:val="1"/>
    <w:link w:val="58"/>
    <w:unhideWhenUsed/>
    <w:qFormat/>
    <w:uiPriority w:val="0"/>
    <w:pPr>
      <w:spacing w:after="120" w:line="240" w:lineRule="auto"/>
      <w:ind w:firstLine="0" w:firstLineChars="0"/>
    </w:pPr>
    <w:rPr>
      <w:rFonts w:ascii="Times New Roman" w:hAnsi="Times New Roman"/>
      <w:sz w:val="21"/>
    </w:rPr>
  </w:style>
  <w:style w:type="paragraph" w:styleId="17">
    <w:name w:val="Body Text Indent"/>
    <w:basedOn w:val="1"/>
    <w:link w:val="78"/>
    <w:qFormat/>
    <w:uiPriority w:val="0"/>
    <w:pPr>
      <w:spacing w:after="120"/>
      <w:ind w:firstLine="200"/>
    </w:pPr>
    <w:rPr>
      <w:rFonts w:ascii="Times New Roman" w:hAnsi="Times New Roman"/>
      <w:sz w:val="21"/>
      <w:szCs w:val="20"/>
    </w:rPr>
  </w:style>
  <w:style w:type="paragraph" w:styleId="18">
    <w:name w:val="toc 5"/>
    <w:basedOn w:val="1"/>
    <w:next w:val="1"/>
    <w:unhideWhenUsed/>
    <w:qFormat/>
    <w:uiPriority w:val="39"/>
    <w:pPr>
      <w:ind w:left="1680" w:leftChars="800"/>
    </w:pPr>
    <w:rPr>
      <w:rFonts w:ascii="等线" w:hAnsi="等线" w:eastAsia="等线"/>
      <w:szCs w:val="22"/>
    </w:rPr>
  </w:style>
  <w:style w:type="paragraph" w:styleId="19">
    <w:name w:val="toc 3"/>
    <w:basedOn w:val="1"/>
    <w:next w:val="1"/>
    <w:qFormat/>
    <w:uiPriority w:val="39"/>
    <w:pPr>
      <w:tabs>
        <w:tab w:val="right" w:leader="dot" w:pos="8302"/>
      </w:tabs>
      <w:ind w:left="840" w:leftChars="400"/>
    </w:pPr>
  </w:style>
  <w:style w:type="paragraph" w:styleId="20">
    <w:name w:val="toc 8"/>
    <w:basedOn w:val="1"/>
    <w:next w:val="1"/>
    <w:unhideWhenUsed/>
    <w:qFormat/>
    <w:uiPriority w:val="39"/>
    <w:pPr>
      <w:ind w:left="2940" w:leftChars="1400"/>
    </w:pPr>
    <w:rPr>
      <w:rFonts w:ascii="等线" w:hAnsi="等线" w:eastAsia="等线"/>
      <w:szCs w:val="22"/>
    </w:rPr>
  </w:style>
  <w:style w:type="paragraph" w:styleId="21">
    <w:name w:val="Date"/>
    <w:basedOn w:val="1"/>
    <w:next w:val="1"/>
    <w:link w:val="46"/>
    <w:qFormat/>
    <w:uiPriority w:val="0"/>
    <w:pPr>
      <w:ind w:left="100" w:leftChars="2500"/>
    </w:pPr>
    <w:rPr>
      <w:rFonts w:ascii="Times New Roman" w:hAnsi="Times New Roman"/>
      <w:sz w:val="21"/>
    </w:rPr>
  </w:style>
  <w:style w:type="paragraph" w:styleId="22">
    <w:name w:val="Balloon Text"/>
    <w:basedOn w:val="1"/>
    <w:link w:val="89"/>
    <w:qFormat/>
    <w:uiPriority w:val="0"/>
    <w:rPr>
      <w:rFonts w:ascii="Times New Roman" w:hAnsi="Times New Roman"/>
      <w:sz w:val="18"/>
      <w:szCs w:val="18"/>
    </w:rPr>
  </w:style>
  <w:style w:type="paragraph" w:styleId="23">
    <w:name w:val="footer"/>
    <w:basedOn w:val="1"/>
    <w:link w:val="82"/>
    <w:qFormat/>
    <w:uiPriority w:val="99"/>
    <w:pPr>
      <w:tabs>
        <w:tab w:val="center" w:pos="4153"/>
        <w:tab w:val="right" w:pos="8306"/>
      </w:tabs>
      <w:snapToGrid w:val="0"/>
      <w:jc w:val="center"/>
    </w:pPr>
    <w:rPr>
      <w:rFonts w:ascii="Times New Roman" w:hAnsi="Times New Roman"/>
      <w:sz w:val="18"/>
      <w:szCs w:val="18"/>
    </w:rPr>
  </w:style>
  <w:style w:type="paragraph" w:styleId="24">
    <w:name w:val="header"/>
    <w:basedOn w:val="1"/>
    <w:link w:val="90"/>
    <w:qFormat/>
    <w:uiPriority w:val="99"/>
    <w:pPr>
      <w:pBdr>
        <w:bottom w:val="single" w:color="auto" w:sz="4" w:space="0"/>
      </w:pBdr>
      <w:tabs>
        <w:tab w:val="center" w:pos="4153"/>
        <w:tab w:val="right" w:pos="8306"/>
      </w:tabs>
      <w:snapToGrid w:val="0"/>
      <w:jc w:val="center"/>
    </w:pPr>
    <w:rPr>
      <w:rFonts w:ascii="Times New Roman" w:hAnsi="Times New Roman"/>
      <w:sz w:val="18"/>
      <w:szCs w:val="18"/>
    </w:rPr>
  </w:style>
  <w:style w:type="paragraph" w:styleId="25">
    <w:name w:val="toc 1"/>
    <w:basedOn w:val="1"/>
    <w:next w:val="1"/>
    <w:qFormat/>
    <w:uiPriority w:val="39"/>
  </w:style>
  <w:style w:type="paragraph" w:styleId="26">
    <w:name w:val="toc 4"/>
    <w:basedOn w:val="1"/>
    <w:next w:val="1"/>
    <w:unhideWhenUsed/>
    <w:qFormat/>
    <w:uiPriority w:val="39"/>
    <w:pPr>
      <w:ind w:left="1260" w:leftChars="600"/>
    </w:pPr>
    <w:rPr>
      <w:rFonts w:ascii="等线" w:hAnsi="等线" w:eastAsia="等线"/>
      <w:szCs w:val="22"/>
    </w:rPr>
  </w:style>
  <w:style w:type="paragraph" w:styleId="27">
    <w:name w:val="Subtitle"/>
    <w:basedOn w:val="1"/>
    <w:next w:val="1"/>
    <w:link w:val="80"/>
    <w:qFormat/>
    <w:uiPriority w:val="0"/>
    <w:pPr>
      <w:spacing w:before="240" w:after="60" w:line="312" w:lineRule="auto"/>
      <w:jc w:val="center"/>
      <w:outlineLvl w:val="1"/>
    </w:pPr>
    <w:rPr>
      <w:rFonts w:ascii="Calibri Light" w:hAnsi="Calibri Light"/>
      <w:b/>
      <w:bCs/>
      <w:kern w:val="28"/>
      <w:sz w:val="32"/>
      <w:szCs w:val="32"/>
    </w:rPr>
  </w:style>
  <w:style w:type="paragraph" w:styleId="28">
    <w:name w:val="toc 6"/>
    <w:basedOn w:val="1"/>
    <w:next w:val="1"/>
    <w:unhideWhenUsed/>
    <w:qFormat/>
    <w:uiPriority w:val="39"/>
    <w:pPr>
      <w:ind w:left="2100" w:leftChars="1000"/>
    </w:pPr>
    <w:rPr>
      <w:rFonts w:ascii="等线" w:hAnsi="等线" w:eastAsia="等线"/>
      <w:szCs w:val="22"/>
    </w:rPr>
  </w:style>
  <w:style w:type="paragraph" w:styleId="29">
    <w:name w:val="toc 2"/>
    <w:basedOn w:val="1"/>
    <w:next w:val="1"/>
    <w:qFormat/>
    <w:uiPriority w:val="39"/>
    <w:pPr>
      <w:tabs>
        <w:tab w:val="right" w:leader="dot" w:pos="8302"/>
      </w:tabs>
      <w:ind w:left="420" w:leftChars="200"/>
    </w:pPr>
  </w:style>
  <w:style w:type="paragraph" w:styleId="30">
    <w:name w:val="toc 9"/>
    <w:basedOn w:val="1"/>
    <w:next w:val="1"/>
    <w:unhideWhenUsed/>
    <w:qFormat/>
    <w:uiPriority w:val="39"/>
    <w:pPr>
      <w:ind w:left="3360" w:leftChars="1600"/>
    </w:pPr>
    <w:rPr>
      <w:rFonts w:ascii="等线" w:hAnsi="等线" w:eastAsia="等线"/>
      <w:szCs w:val="22"/>
    </w:rPr>
  </w:style>
  <w:style w:type="paragraph" w:styleId="31">
    <w:name w:val="Normal (Web)"/>
    <w:basedOn w:val="1"/>
    <w:qFormat/>
    <w:uiPriority w:val="99"/>
    <w:pPr>
      <w:widowControl/>
      <w:spacing w:before="100" w:after="100"/>
      <w:jc w:val="left"/>
    </w:pPr>
    <w:rPr>
      <w:rFonts w:hint="eastAsia" w:ascii="Arial Unicode MS" w:hAnsi="Arial Unicode MS" w:eastAsia="Arial Unicode MS"/>
      <w:kern w:val="0"/>
    </w:rPr>
  </w:style>
  <w:style w:type="paragraph" w:styleId="32">
    <w:name w:val="Title"/>
    <w:basedOn w:val="1"/>
    <w:next w:val="1"/>
    <w:link w:val="88"/>
    <w:qFormat/>
    <w:uiPriority w:val="0"/>
    <w:pPr>
      <w:spacing w:before="240" w:after="60" w:line="960" w:lineRule="auto"/>
      <w:jc w:val="center"/>
    </w:pPr>
    <w:rPr>
      <w:rFonts w:ascii="Cambria" w:hAnsi="Cambria" w:eastAsia="黑体"/>
      <w:b/>
      <w:bCs/>
      <w:sz w:val="52"/>
      <w:szCs w:val="32"/>
    </w:rPr>
  </w:style>
  <w:style w:type="paragraph" w:styleId="33">
    <w:name w:val="annotation subject"/>
    <w:basedOn w:val="15"/>
    <w:next w:val="15"/>
    <w:link w:val="76"/>
    <w:qFormat/>
    <w:uiPriority w:val="0"/>
    <w:rPr>
      <w:b/>
      <w:bCs/>
      <w:sz w:val="21"/>
    </w:rPr>
  </w:style>
  <w:style w:type="table" w:styleId="35">
    <w:name w:val="Table Grid"/>
    <w:basedOn w:val="34"/>
    <w:qFormat/>
    <w:uiPriority w:val="59"/>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7">
    <w:name w:val="page number"/>
    <w:basedOn w:val="36"/>
    <w:qFormat/>
    <w:uiPriority w:val="0"/>
  </w:style>
  <w:style w:type="character" w:styleId="38">
    <w:name w:val="FollowedHyperlink"/>
    <w:unhideWhenUsed/>
    <w:qFormat/>
    <w:uiPriority w:val="99"/>
    <w:rPr>
      <w:color w:val="954F72"/>
      <w:u w:val="single"/>
    </w:rPr>
  </w:style>
  <w:style w:type="character" w:styleId="39">
    <w:name w:val="Hyperlink"/>
    <w:qFormat/>
    <w:uiPriority w:val="99"/>
    <w:rPr>
      <w:color w:val="0000FF"/>
      <w:u w:val="single"/>
    </w:rPr>
  </w:style>
  <w:style w:type="character" w:styleId="40">
    <w:name w:val="annotation reference"/>
    <w:qFormat/>
    <w:uiPriority w:val="99"/>
    <w:rPr>
      <w:sz w:val="21"/>
      <w:szCs w:val="21"/>
    </w:rPr>
  </w:style>
  <w:style w:type="character" w:customStyle="1" w:styleId="41">
    <w:name w:val="标题 3 字符1"/>
    <w:qFormat/>
    <w:uiPriority w:val="0"/>
    <w:rPr>
      <w:rFonts w:ascii="宋体" w:hAnsi="宋体"/>
      <w:b/>
      <w:bCs/>
      <w:kern w:val="2"/>
      <w:sz w:val="28"/>
      <w:szCs w:val="28"/>
    </w:rPr>
  </w:style>
  <w:style w:type="character" w:customStyle="1" w:styleId="42">
    <w:name w:val="首行缩进正文 Char"/>
    <w:link w:val="43"/>
    <w:qFormat/>
    <w:uiPriority w:val="0"/>
    <w:rPr>
      <w:kern w:val="2"/>
      <w:sz w:val="24"/>
    </w:rPr>
  </w:style>
  <w:style w:type="paragraph" w:customStyle="1" w:styleId="43">
    <w:name w:val="首行缩进正文"/>
    <w:basedOn w:val="1"/>
    <w:link w:val="42"/>
    <w:qFormat/>
    <w:uiPriority w:val="0"/>
    <w:pPr>
      <w:widowControl/>
      <w:adjustRightInd w:val="0"/>
      <w:snapToGrid w:val="0"/>
      <w:spacing w:afterLines="50" w:line="276" w:lineRule="auto"/>
      <w:ind w:firstLine="420" w:firstLineChars="0"/>
      <w:jc w:val="left"/>
    </w:pPr>
    <w:rPr>
      <w:rFonts w:ascii="Times New Roman" w:hAnsi="Times New Roman"/>
      <w:szCs w:val="20"/>
    </w:rPr>
  </w:style>
  <w:style w:type="character" w:customStyle="1" w:styleId="44">
    <w:name w:val="批注文字 Char"/>
    <w:link w:val="15"/>
    <w:qFormat/>
    <w:uiPriority w:val="99"/>
    <w:rPr>
      <w:rFonts w:eastAsia="仿宋"/>
      <w:kern w:val="2"/>
      <w:sz w:val="28"/>
      <w:szCs w:val="24"/>
    </w:rPr>
  </w:style>
  <w:style w:type="character" w:customStyle="1" w:styleId="45">
    <w:name w:val="日期 字符"/>
    <w:semiHidden/>
    <w:qFormat/>
    <w:uiPriority w:val="99"/>
    <w:rPr>
      <w:rFonts w:ascii="宋体" w:hAnsi="宋体"/>
      <w:kern w:val="2"/>
      <w:sz w:val="24"/>
      <w:szCs w:val="24"/>
    </w:rPr>
  </w:style>
  <w:style w:type="character" w:customStyle="1" w:styleId="46">
    <w:name w:val="日期 Char"/>
    <w:link w:val="21"/>
    <w:qFormat/>
    <w:uiPriority w:val="0"/>
    <w:rPr>
      <w:kern w:val="2"/>
      <w:sz w:val="21"/>
      <w:szCs w:val="24"/>
    </w:rPr>
  </w:style>
  <w:style w:type="character" w:customStyle="1" w:styleId="47">
    <w:name w:val="标题 9 Char"/>
    <w:link w:val="10"/>
    <w:qFormat/>
    <w:uiPriority w:val="9"/>
    <w:rPr>
      <w:rFonts w:ascii="Cambria" w:hAnsi="Cambria"/>
      <w:kern w:val="2"/>
      <w:sz w:val="21"/>
      <w:szCs w:val="21"/>
    </w:rPr>
  </w:style>
  <w:style w:type="character" w:customStyle="1" w:styleId="48">
    <w:name w:val="未处理的提及1"/>
    <w:unhideWhenUsed/>
    <w:qFormat/>
    <w:uiPriority w:val="99"/>
    <w:rPr>
      <w:color w:val="605E5C"/>
      <w:shd w:val="clear" w:color="auto" w:fill="E1DFDD"/>
    </w:rPr>
  </w:style>
  <w:style w:type="character" w:customStyle="1" w:styleId="49">
    <w:name w:val="标题 1 字符"/>
    <w:qFormat/>
    <w:uiPriority w:val="9"/>
    <w:rPr>
      <w:rFonts w:ascii="宋体" w:hAnsi="宋体"/>
      <w:b/>
      <w:bCs/>
      <w:kern w:val="44"/>
      <w:sz w:val="44"/>
      <w:szCs w:val="44"/>
    </w:rPr>
  </w:style>
  <w:style w:type="character" w:customStyle="1" w:styleId="50">
    <w:name w:val="标题 3 字符"/>
    <w:semiHidden/>
    <w:qFormat/>
    <w:uiPriority w:val="9"/>
    <w:rPr>
      <w:rFonts w:ascii="宋体" w:hAnsi="宋体"/>
      <w:b/>
      <w:bCs/>
      <w:kern w:val="2"/>
      <w:sz w:val="32"/>
      <w:szCs w:val="32"/>
    </w:rPr>
  </w:style>
  <w:style w:type="character" w:customStyle="1" w:styleId="51">
    <w:name w:val="页脚 字符"/>
    <w:qFormat/>
    <w:uiPriority w:val="99"/>
  </w:style>
  <w:style w:type="character" w:customStyle="1" w:styleId="52">
    <w:name w:val="标题 5 字符"/>
    <w:semiHidden/>
    <w:qFormat/>
    <w:uiPriority w:val="9"/>
    <w:rPr>
      <w:rFonts w:ascii="宋体" w:hAnsi="宋体"/>
      <w:b/>
      <w:bCs/>
      <w:kern w:val="2"/>
      <w:sz w:val="28"/>
      <w:szCs w:val="28"/>
    </w:rPr>
  </w:style>
  <w:style w:type="character" w:customStyle="1" w:styleId="53">
    <w:name w:val="题注 Char"/>
    <w:link w:val="13"/>
    <w:qFormat/>
    <w:locked/>
    <w:uiPriority w:val="0"/>
    <w:rPr>
      <w:rFonts w:ascii="Arial" w:hAnsi="Arial" w:eastAsia="黑体"/>
      <w:kern w:val="2"/>
    </w:rPr>
  </w:style>
  <w:style w:type="character" w:customStyle="1" w:styleId="54">
    <w:name w:val="标题 2 字符"/>
    <w:semiHidden/>
    <w:qFormat/>
    <w:uiPriority w:val="9"/>
    <w:rPr>
      <w:rFonts w:ascii="等线 Light" w:hAnsi="等线 Light" w:eastAsia="等线 Light" w:cs="Times New Roman"/>
      <w:b/>
      <w:bCs/>
      <w:kern w:val="2"/>
      <w:sz w:val="32"/>
      <w:szCs w:val="32"/>
    </w:rPr>
  </w:style>
  <w:style w:type="character" w:customStyle="1" w:styleId="55">
    <w:name w:val="纯文本 字符"/>
    <w:qFormat/>
    <w:uiPriority w:val="0"/>
    <w:rPr>
      <w:rFonts w:ascii="宋体" w:hAnsi="Courier New" w:cs="Courier New"/>
      <w:kern w:val="2"/>
      <w:sz w:val="21"/>
      <w:szCs w:val="21"/>
    </w:rPr>
  </w:style>
  <w:style w:type="character" w:customStyle="1" w:styleId="56">
    <w:name w:val="列表段落 字符"/>
    <w:qFormat/>
    <w:uiPriority w:val="34"/>
    <w:rPr>
      <w:kern w:val="2"/>
      <w:sz w:val="21"/>
      <w:szCs w:val="22"/>
    </w:rPr>
  </w:style>
  <w:style w:type="character" w:customStyle="1" w:styleId="57">
    <w:name w:val="标题 4 Char"/>
    <w:link w:val="5"/>
    <w:qFormat/>
    <w:uiPriority w:val="0"/>
    <w:rPr>
      <w:rFonts w:ascii="宋体" w:hAnsi="宋体"/>
      <w:b/>
      <w:bCs/>
      <w:kern w:val="2"/>
      <w:sz w:val="30"/>
      <w:szCs w:val="30"/>
    </w:rPr>
  </w:style>
  <w:style w:type="character" w:customStyle="1" w:styleId="58">
    <w:name w:val="正文文本 Char"/>
    <w:link w:val="16"/>
    <w:qFormat/>
    <w:uiPriority w:val="0"/>
    <w:rPr>
      <w:kern w:val="2"/>
      <w:sz w:val="21"/>
      <w:szCs w:val="24"/>
    </w:rPr>
  </w:style>
  <w:style w:type="character" w:customStyle="1" w:styleId="59">
    <w:name w:val="列出段落 Char"/>
    <w:link w:val="60"/>
    <w:qFormat/>
    <w:uiPriority w:val="34"/>
    <w:rPr>
      <w:kern w:val="2"/>
      <w:sz w:val="21"/>
      <w:szCs w:val="24"/>
    </w:rPr>
  </w:style>
  <w:style w:type="paragraph" w:styleId="60">
    <w:name w:val="List Paragraph"/>
    <w:basedOn w:val="1"/>
    <w:link w:val="59"/>
    <w:qFormat/>
    <w:uiPriority w:val="34"/>
    <w:pPr>
      <w:ind w:firstLine="420"/>
    </w:pPr>
    <w:rPr>
      <w:rFonts w:ascii="Times New Roman" w:hAnsi="Times New Roman"/>
      <w:sz w:val="21"/>
    </w:rPr>
  </w:style>
  <w:style w:type="character" w:customStyle="1" w:styleId="61">
    <w:name w:val="正文文本缩进 字符"/>
    <w:semiHidden/>
    <w:qFormat/>
    <w:uiPriority w:val="99"/>
    <w:rPr>
      <w:rFonts w:ascii="宋体" w:hAnsi="宋体"/>
      <w:kern w:val="2"/>
      <w:sz w:val="24"/>
      <w:szCs w:val="24"/>
    </w:rPr>
  </w:style>
  <w:style w:type="character" w:customStyle="1" w:styleId="62">
    <w:name w:val="正文2 字符"/>
    <w:link w:val="63"/>
    <w:qFormat/>
    <w:uiPriority w:val="0"/>
    <w:rPr>
      <w:kern w:val="2"/>
      <w:sz w:val="21"/>
      <w:szCs w:val="24"/>
    </w:rPr>
  </w:style>
  <w:style w:type="paragraph" w:customStyle="1" w:styleId="63">
    <w:name w:val="正文2"/>
    <w:basedOn w:val="1"/>
    <w:link w:val="62"/>
    <w:qFormat/>
    <w:uiPriority w:val="0"/>
    <w:pPr>
      <w:ind w:firstLine="420"/>
    </w:pPr>
    <w:rPr>
      <w:rFonts w:ascii="Times New Roman" w:hAnsi="Times New Roman"/>
      <w:sz w:val="21"/>
    </w:rPr>
  </w:style>
  <w:style w:type="character" w:customStyle="1" w:styleId="64">
    <w:name w:val="font41"/>
    <w:qFormat/>
    <w:uiPriority w:val="0"/>
    <w:rPr>
      <w:rFonts w:hint="eastAsia" w:ascii="宋体" w:hAnsi="宋体" w:eastAsia="宋体" w:cs="宋体"/>
      <w:color w:val="000000"/>
      <w:sz w:val="21"/>
      <w:szCs w:val="21"/>
      <w:u w:val="none"/>
    </w:rPr>
  </w:style>
  <w:style w:type="character" w:customStyle="1" w:styleId="65">
    <w:name w:val="标题 7 Char"/>
    <w:link w:val="8"/>
    <w:qFormat/>
    <w:uiPriority w:val="9"/>
    <w:rPr>
      <w:b/>
      <w:bCs/>
      <w:kern w:val="2"/>
      <w:sz w:val="21"/>
      <w:szCs w:val="24"/>
    </w:rPr>
  </w:style>
  <w:style w:type="character" w:customStyle="1" w:styleId="66">
    <w:name w:val="批注框文本 字符"/>
    <w:semiHidden/>
    <w:qFormat/>
    <w:uiPriority w:val="99"/>
    <w:rPr>
      <w:rFonts w:ascii="宋体" w:hAnsi="宋体"/>
      <w:kern w:val="2"/>
      <w:sz w:val="18"/>
      <w:szCs w:val="18"/>
    </w:rPr>
  </w:style>
  <w:style w:type="character" w:customStyle="1" w:styleId="67">
    <w:name w:val="副标题 Char1"/>
    <w:qFormat/>
    <w:uiPriority w:val="0"/>
    <w:rPr>
      <w:rFonts w:ascii="Calibri Light" w:hAnsi="Calibri Light" w:cs="Times New Roman"/>
      <w:b/>
      <w:bCs/>
      <w:kern w:val="28"/>
      <w:sz w:val="32"/>
      <w:szCs w:val="32"/>
    </w:rPr>
  </w:style>
  <w:style w:type="character" w:customStyle="1" w:styleId="68">
    <w:name w:val="标题 1 Char1"/>
    <w:link w:val="2"/>
    <w:qFormat/>
    <w:uiPriority w:val="0"/>
    <w:rPr>
      <w:rFonts w:ascii="宋体" w:hAnsi="宋体" w:eastAsia="黑体"/>
      <w:b/>
      <w:bCs/>
      <w:kern w:val="44"/>
      <w:sz w:val="32"/>
      <w:szCs w:val="28"/>
    </w:rPr>
  </w:style>
  <w:style w:type="character" w:customStyle="1" w:styleId="69">
    <w:name w:val="批注文字 字符"/>
    <w:qFormat/>
    <w:uiPriority w:val="99"/>
    <w:rPr>
      <w:rFonts w:ascii="宋体" w:hAnsi="宋体"/>
      <w:kern w:val="2"/>
      <w:sz w:val="24"/>
      <w:szCs w:val="24"/>
    </w:rPr>
  </w:style>
  <w:style w:type="character" w:customStyle="1" w:styleId="70">
    <w:name w:val="文档结构图 字符"/>
    <w:semiHidden/>
    <w:qFormat/>
    <w:uiPriority w:val="99"/>
    <w:rPr>
      <w:rFonts w:ascii="Microsoft YaHei UI" w:hAnsi="宋体" w:eastAsia="Microsoft YaHei UI"/>
      <w:kern w:val="2"/>
      <w:sz w:val="18"/>
      <w:szCs w:val="18"/>
    </w:rPr>
  </w:style>
  <w:style w:type="character" w:customStyle="1" w:styleId="71">
    <w:name w:val="标题 6 字符"/>
    <w:semiHidden/>
    <w:qFormat/>
    <w:uiPriority w:val="9"/>
    <w:rPr>
      <w:rFonts w:ascii="等线 Light" w:hAnsi="等线 Light" w:eastAsia="等线 Light" w:cs="Times New Roman"/>
      <w:b/>
      <w:bCs/>
      <w:kern w:val="2"/>
      <w:sz w:val="24"/>
      <w:szCs w:val="24"/>
    </w:rPr>
  </w:style>
  <w:style w:type="character" w:customStyle="1" w:styleId="72">
    <w:name w:val="正文正文2 Char"/>
    <w:link w:val="73"/>
    <w:qFormat/>
    <w:uiPriority w:val="0"/>
    <w:rPr>
      <w:rFonts w:ascii="宋体" w:hAnsi="宋体"/>
      <w:kern w:val="2"/>
      <w:sz w:val="21"/>
      <w:szCs w:val="21"/>
    </w:rPr>
  </w:style>
  <w:style w:type="paragraph" w:customStyle="1" w:styleId="73">
    <w:name w:val="正文正文2"/>
    <w:basedOn w:val="1"/>
    <w:link w:val="72"/>
    <w:qFormat/>
    <w:uiPriority w:val="0"/>
    <w:pPr>
      <w:ind w:firstLine="460"/>
    </w:pPr>
    <w:rPr>
      <w:sz w:val="21"/>
      <w:szCs w:val="21"/>
    </w:rPr>
  </w:style>
  <w:style w:type="character" w:customStyle="1" w:styleId="74">
    <w:name w:val="标题 3 Char"/>
    <w:link w:val="4"/>
    <w:qFormat/>
    <w:uiPriority w:val="0"/>
    <w:rPr>
      <w:rFonts w:ascii="宋体" w:hAnsi="宋体"/>
      <w:b/>
      <w:bCs/>
      <w:kern w:val="2"/>
      <w:sz w:val="28"/>
      <w:szCs w:val="28"/>
    </w:rPr>
  </w:style>
  <w:style w:type="character" w:customStyle="1" w:styleId="75">
    <w:name w:val="标题 4 字符"/>
    <w:semiHidden/>
    <w:qFormat/>
    <w:uiPriority w:val="9"/>
    <w:rPr>
      <w:rFonts w:ascii="等线 Light" w:hAnsi="等线 Light" w:eastAsia="等线 Light" w:cs="Times New Roman"/>
      <w:b/>
      <w:bCs/>
      <w:kern w:val="2"/>
      <w:sz w:val="28"/>
      <w:szCs w:val="28"/>
    </w:rPr>
  </w:style>
  <w:style w:type="character" w:customStyle="1" w:styleId="76">
    <w:name w:val="批注主题 Char"/>
    <w:link w:val="33"/>
    <w:qFormat/>
    <w:uiPriority w:val="0"/>
    <w:rPr>
      <w:rFonts w:eastAsia="仿宋"/>
      <w:b/>
      <w:bCs/>
      <w:kern w:val="2"/>
      <w:sz w:val="21"/>
      <w:szCs w:val="24"/>
    </w:rPr>
  </w:style>
  <w:style w:type="character" w:customStyle="1" w:styleId="77">
    <w:name w:val="页眉 字符"/>
    <w:semiHidden/>
    <w:qFormat/>
    <w:uiPriority w:val="99"/>
    <w:rPr>
      <w:rFonts w:ascii="宋体" w:hAnsi="宋体"/>
      <w:kern w:val="2"/>
      <w:sz w:val="18"/>
      <w:szCs w:val="18"/>
    </w:rPr>
  </w:style>
  <w:style w:type="character" w:customStyle="1" w:styleId="78">
    <w:name w:val="正文文本缩进 Char"/>
    <w:link w:val="17"/>
    <w:qFormat/>
    <w:uiPriority w:val="0"/>
    <w:rPr>
      <w:kern w:val="2"/>
      <w:sz w:val="21"/>
    </w:rPr>
  </w:style>
  <w:style w:type="character" w:customStyle="1" w:styleId="79">
    <w:name w:val="标题 5 Char"/>
    <w:link w:val="6"/>
    <w:qFormat/>
    <w:uiPriority w:val="0"/>
    <w:rPr>
      <w:rFonts w:ascii="宋体" w:hAnsi="宋体"/>
      <w:b/>
      <w:bCs/>
      <w:kern w:val="2"/>
      <w:sz w:val="24"/>
      <w:szCs w:val="28"/>
    </w:rPr>
  </w:style>
  <w:style w:type="character" w:customStyle="1" w:styleId="80">
    <w:name w:val="副标题 Char"/>
    <w:link w:val="27"/>
    <w:qFormat/>
    <w:uiPriority w:val="0"/>
    <w:rPr>
      <w:rFonts w:ascii="Calibri Light" w:hAnsi="Calibri Light"/>
      <w:b/>
      <w:bCs/>
      <w:kern w:val="28"/>
      <w:sz w:val="32"/>
      <w:szCs w:val="32"/>
    </w:rPr>
  </w:style>
  <w:style w:type="character" w:customStyle="1" w:styleId="81">
    <w:name w:val="标题 2 Char"/>
    <w:link w:val="3"/>
    <w:qFormat/>
    <w:uiPriority w:val="9"/>
    <w:rPr>
      <w:rFonts w:ascii="宋体" w:hAnsi="宋体"/>
      <w:b/>
      <w:bCs/>
      <w:kern w:val="2"/>
      <w:sz w:val="30"/>
      <w:szCs w:val="32"/>
    </w:rPr>
  </w:style>
  <w:style w:type="character" w:customStyle="1" w:styleId="82">
    <w:name w:val="页脚 Char"/>
    <w:link w:val="23"/>
    <w:qFormat/>
    <w:uiPriority w:val="99"/>
    <w:rPr>
      <w:kern w:val="2"/>
      <w:sz w:val="18"/>
      <w:szCs w:val="18"/>
    </w:rPr>
  </w:style>
  <w:style w:type="character" w:customStyle="1" w:styleId="83">
    <w:name w:val="批注主题 字符"/>
    <w:semiHidden/>
    <w:qFormat/>
    <w:uiPriority w:val="99"/>
    <w:rPr>
      <w:rFonts w:ascii="宋体" w:hAnsi="宋体"/>
      <w:b/>
      <w:bCs/>
      <w:kern w:val="2"/>
      <w:sz w:val="24"/>
      <w:szCs w:val="24"/>
    </w:rPr>
  </w:style>
  <w:style w:type="character" w:customStyle="1" w:styleId="84">
    <w:name w:val="文档结构图 Char"/>
    <w:link w:val="14"/>
    <w:qFormat/>
    <w:uiPriority w:val="0"/>
    <w:rPr>
      <w:rFonts w:ascii="宋体"/>
      <w:kern w:val="2"/>
      <w:sz w:val="18"/>
      <w:szCs w:val="18"/>
    </w:rPr>
  </w:style>
  <w:style w:type="character" w:customStyle="1" w:styleId="85">
    <w:name w:val="font31"/>
    <w:qFormat/>
    <w:uiPriority w:val="0"/>
    <w:rPr>
      <w:rFonts w:hint="eastAsia" w:ascii="宋体" w:hAnsi="宋体" w:eastAsia="宋体" w:cs="宋体"/>
      <w:color w:val="000000"/>
      <w:sz w:val="21"/>
      <w:szCs w:val="21"/>
      <w:u w:val="none"/>
    </w:rPr>
  </w:style>
  <w:style w:type="character" w:customStyle="1" w:styleId="86">
    <w:name w:val="标准正文 Char"/>
    <w:link w:val="87"/>
    <w:qFormat/>
    <w:uiPriority w:val="0"/>
    <w:rPr>
      <w:rFonts w:ascii="Arial" w:hAnsi="Arial"/>
      <w:kern w:val="2"/>
      <w:sz w:val="24"/>
    </w:rPr>
  </w:style>
  <w:style w:type="paragraph" w:customStyle="1" w:styleId="87">
    <w:name w:val="标准正文"/>
    <w:basedOn w:val="17"/>
    <w:link w:val="86"/>
    <w:qFormat/>
    <w:uiPriority w:val="0"/>
    <w:pPr>
      <w:spacing w:before="60" w:after="60"/>
      <w:ind w:firstLine="482" w:firstLineChars="0"/>
    </w:pPr>
    <w:rPr>
      <w:rFonts w:ascii="Arial" w:hAnsi="Arial"/>
      <w:sz w:val="24"/>
    </w:rPr>
  </w:style>
  <w:style w:type="character" w:customStyle="1" w:styleId="88">
    <w:name w:val="标题 Char"/>
    <w:link w:val="32"/>
    <w:qFormat/>
    <w:uiPriority w:val="0"/>
    <w:rPr>
      <w:rFonts w:ascii="Cambria" w:hAnsi="Cambria" w:eastAsia="黑体"/>
      <w:b/>
      <w:bCs/>
      <w:kern w:val="2"/>
      <w:sz w:val="52"/>
      <w:szCs w:val="32"/>
    </w:rPr>
  </w:style>
  <w:style w:type="character" w:customStyle="1" w:styleId="89">
    <w:name w:val="批注框文本 Char"/>
    <w:link w:val="22"/>
    <w:qFormat/>
    <w:uiPriority w:val="0"/>
    <w:rPr>
      <w:kern w:val="2"/>
      <w:sz w:val="18"/>
      <w:szCs w:val="18"/>
    </w:rPr>
  </w:style>
  <w:style w:type="character" w:customStyle="1" w:styleId="90">
    <w:name w:val="页眉 Char"/>
    <w:link w:val="24"/>
    <w:qFormat/>
    <w:uiPriority w:val="99"/>
    <w:rPr>
      <w:kern w:val="2"/>
      <w:sz w:val="18"/>
      <w:szCs w:val="18"/>
    </w:rPr>
  </w:style>
  <w:style w:type="character" w:customStyle="1" w:styleId="91">
    <w:name w:val="标题 8 Char"/>
    <w:link w:val="9"/>
    <w:qFormat/>
    <w:uiPriority w:val="9"/>
    <w:rPr>
      <w:rFonts w:ascii="Cambria" w:hAnsi="Cambria"/>
      <w:kern w:val="2"/>
      <w:sz w:val="21"/>
      <w:szCs w:val="24"/>
    </w:rPr>
  </w:style>
  <w:style w:type="character" w:customStyle="1" w:styleId="92">
    <w:name w:val="标题 6 Char"/>
    <w:link w:val="7"/>
    <w:qFormat/>
    <w:uiPriority w:val="0"/>
    <w:rPr>
      <w:rFonts w:ascii="Cambria" w:hAnsi="Cambria"/>
      <w:b/>
      <w:bCs/>
      <w:kern w:val="2"/>
      <w:sz w:val="24"/>
      <w:szCs w:val="24"/>
    </w:rPr>
  </w:style>
  <w:style w:type="character" w:customStyle="1" w:styleId="93">
    <w:name w:val="标题 字符"/>
    <w:qFormat/>
    <w:uiPriority w:val="10"/>
    <w:rPr>
      <w:rFonts w:ascii="等线 Light" w:hAnsi="等线 Light" w:eastAsia="等线 Light" w:cs="Times New Roman"/>
      <w:b/>
      <w:bCs/>
      <w:kern w:val="2"/>
      <w:sz w:val="32"/>
      <w:szCs w:val="32"/>
    </w:rPr>
  </w:style>
  <w:style w:type="character" w:customStyle="1" w:styleId="94">
    <w:name w:val="副标题 字符"/>
    <w:qFormat/>
    <w:uiPriority w:val="11"/>
    <w:rPr>
      <w:rFonts w:ascii="等线" w:hAnsi="等线" w:eastAsia="等线" w:cs="Times New Roman"/>
      <w:b/>
      <w:bCs/>
      <w:kern w:val="28"/>
      <w:sz w:val="32"/>
      <w:szCs w:val="32"/>
    </w:rPr>
  </w:style>
  <w:style w:type="paragraph" w:customStyle="1" w:styleId="95">
    <w:name w:val="xl72"/>
    <w:basedOn w:val="1"/>
    <w:qFormat/>
    <w:uiPriority w:val="0"/>
    <w:pPr>
      <w:widowControl/>
      <w:spacing w:before="100" w:beforeAutospacing="1" w:after="100" w:afterAutospacing="1" w:line="240" w:lineRule="auto"/>
      <w:ind w:firstLine="0" w:firstLineChars="0"/>
      <w:jc w:val="center"/>
    </w:pPr>
    <w:rPr>
      <w:rFonts w:cs="宋体"/>
      <w:kern w:val="0"/>
    </w:rPr>
  </w:style>
  <w:style w:type="paragraph" w:customStyle="1" w:styleId="96">
    <w:name w:val="xl70"/>
    <w:basedOn w:val="1"/>
    <w:qFormat/>
    <w:uiPriority w:val="0"/>
    <w:pPr>
      <w:widowControl/>
      <w:pBdr>
        <w:bottom w:val="single" w:color="auto" w:sz="4" w:space="0"/>
        <w:right w:val="single" w:color="auto" w:sz="4" w:space="0"/>
      </w:pBdr>
      <w:spacing w:before="100" w:beforeAutospacing="1" w:after="100" w:afterAutospacing="1" w:line="240" w:lineRule="auto"/>
      <w:ind w:firstLine="0" w:firstLineChars="0"/>
      <w:jc w:val="right"/>
      <w:textAlignment w:val="center"/>
    </w:pPr>
    <w:rPr>
      <w:rFonts w:ascii="Microsoft Sans Serif" w:hAnsi="Microsoft Sans Serif" w:cs="Microsoft Sans Serif"/>
      <w:kern w:val="0"/>
      <w:sz w:val="18"/>
      <w:szCs w:val="18"/>
    </w:rPr>
  </w:style>
  <w:style w:type="paragraph" w:customStyle="1" w:styleId="97">
    <w:name w:val="_Style 2"/>
    <w:basedOn w:val="2"/>
    <w:next w:val="1"/>
    <w:qFormat/>
    <w:uiPriority w:val="39"/>
    <w:pPr>
      <w:widowControl/>
      <w:numPr>
        <w:numId w:val="0"/>
      </w:numPr>
      <w:spacing w:before="480" w:after="0" w:line="276" w:lineRule="auto"/>
      <w:jc w:val="left"/>
      <w:outlineLvl w:val="9"/>
    </w:pPr>
    <w:rPr>
      <w:rFonts w:ascii="Cambria" w:hAnsi="Cambria" w:eastAsia="宋体"/>
      <w:color w:val="365F91"/>
      <w:kern w:val="0"/>
      <w:sz w:val="28"/>
    </w:rPr>
  </w:style>
  <w:style w:type="paragraph" w:customStyle="1" w:styleId="98">
    <w:name w:val="正文缩进1"/>
    <w:basedOn w:val="1"/>
    <w:qFormat/>
    <w:uiPriority w:val="0"/>
    <w:pPr>
      <w:spacing w:line="240" w:lineRule="auto"/>
      <w:ind w:firstLine="420"/>
    </w:pPr>
    <w:rPr>
      <w:rFonts w:ascii="Times New Roman" w:hAnsi="Times New Roman"/>
      <w:sz w:val="21"/>
      <w:szCs w:val="20"/>
    </w:rPr>
  </w:style>
  <w:style w:type="paragraph" w:customStyle="1" w:styleId="99">
    <w:name w:val="xl68"/>
    <w:basedOn w:val="1"/>
    <w:qFormat/>
    <w:uiPriority w:val="0"/>
    <w:pPr>
      <w:widowControl/>
      <w:pBdr>
        <w:bottom w:val="single" w:color="auto" w:sz="4" w:space="0"/>
        <w:right w:val="single" w:color="auto" w:sz="4" w:space="0"/>
      </w:pBdr>
      <w:spacing w:before="100" w:beforeAutospacing="1" w:after="100" w:afterAutospacing="1" w:line="240" w:lineRule="auto"/>
      <w:ind w:firstLine="0" w:firstLineChars="0"/>
      <w:jc w:val="left"/>
      <w:textAlignment w:val="center"/>
    </w:pPr>
    <w:rPr>
      <w:rFonts w:ascii="Microsoft Sans Serif" w:hAnsi="Microsoft Sans Serif" w:cs="Microsoft Sans Serif"/>
      <w:kern w:val="0"/>
      <w:sz w:val="18"/>
      <w:szCs w:val="18"/>
    </w:rPr>
  </w:style>
  <w:style w:type="paragraph" w:customStyle="1" w:styleId="100">
    <w:name w:val="前言、引言标题"/>
    <w:next w:val="1"/>
    <w:qFormat/>
    <w:uiPriority w:val="99"/>
    <w:pPr>
      <w:shd w:val="clear" w:color="FFFFFF" w:fill="FFFFFF"/>
      <w:tabs>
        <w:tab w:val="left" w:pos="425"/>
      </w:tabs>
      <w:spacing w:before="640" w:after="560" w:line="278" w:lineRule="auto"/>
      <w:jc w:val="center"/>
      <w:outlineLvl w:val="0"/>
    </w:pPr>
    <w:rPr>
      <w:rFonts w:ascii="黑体" w:hAnsi="Times New Roman" w:eastAsia="黑体" w:cs="Times New Roman"/>
      <w:sz w:val="32"/>
      <w:lang w:val="en-US" w:eastAsia="zh-CN" w:bidi="ar-SA"/>
    </w:rPr>
  </w:style>
  <w:style w:type="paragraph" w:customStyle="1" w:styleId="101">
    <w:name w:val="Indent Normal"/>
    <w:basedOn w:val="1"/>
    <w:qFormat/>
    <w:uiPriority w:val="0"/>
    <w:pPr>
      <w:ind w:firstLine="150" w:firstLineChars="150"/>
    </w:pPr>
  </w:style>
  <w:style w:type="paragraph" w:customStyle="1" w:styleId="102">
    <w:name w:val="msonormal"/>
    <w:basedOn w:val="1"/>
    <w:qFormat/>
    <w:uiPriority w:val="0"/>
    <w:pPr>
      <w:widowControl/>
      <w:spacing w:before="100" w:beforeAutospacing="1" w:after="100" w:afterAutospacing="1" w:line="240" w:lineRule="auto"/>
      <w:ind w:firstLine="0" w:firstLineChars="0"/>
      <w:jc w:val="left"/>
    </w:pPr>
    <w:rPr>
      <w:rFonts w:cs="宋体"/>
      <w:kern w:val="0"/>
    </w:rPr>
  </w:style>
  <w:style w:type="paragraph" w:customStyle="1" w:styleId="103">
    <w:name w:val="正文 缩进2字符"/>
    <w:basedOn w:val="1"/>
    <w:qFormat/>
    <w:uiPriority w:val="0"/>
    <w:pPr>
      <w:spacing w:afterLines="50" w:line="240" w:lineRule="auto"/>
      <w:ind w:firstLine="0" w:firstLineChars="0"/>
    </w:pPr>
    <w:rPr>
      <w:rFonts w:ascii="Times New Roman" w:hAnsi="Times New Roman" w:cs="宋体"/>
      <w:sz w:val="21"/>
      <w:szCs w:val="20"/>
    </w:rPr>
  </w:style>
  <w:style w:type="paragraph" w:customStyle="1" w:styleId="104">
    <w:name w:val="列项●（二级）"/>
    <w:qFormat/>
    <w:uiPriority w:val="0"/>
    <w:pPr>
      <w:numPr>
        <w:ilvl w:val="0"/>
        <w:numId w:val="2"/>
      </w:numPr>
      <w:tabs>
        <w:tab w:val="left" w:pos="840"/>
      </w:tabs>
      <w:spacing w:after="160" w:line="278" w:lineRule="auto"/>
      <w:ind w:left="600" w:leftChars="400" w:hanging="200" w:hangingChars="200"/>
      <w:jc w:val="both"/>
    </w:pPr>
    <w:rPr>
      <w:rFonts w:ascii="宋体" w:hAnsi="Times New Roman" w:eastAsia="宋体" w:cs="Times New Roman"/>
      <w:sz w:val="21"/>
      <w:lang w:val="en-US" w:eastAsia="zh-CN" w:bidi="ar-SA"/>
    </w:rPr>
  </w:style>
  <w:style w:type="paragraph" w:customStyle="1" w:styleId="105">
    <w:name w:val="助手文本"/>
    <w:basedOn w:val="1"/>
    <w:qFormat/>
    <w:uiPriority w:val="0"/>
    <w:pPr>
      <w:autoSpaceDE w:val="0"/>
      <w:autoSpaceDN w:val="0"/>
      <w:adjustRightInd w:val="0"/>
      <w:spacing w:beforeLines="50" w:afterLines="50"/>
      <w:ind w:left="14" w:firstLine="434"/>
      <w:textAlignment w:val="baseline"/>
    </w:pPr>
    <w:rPr>
      <w:rFonts w:ascii="楷体_GB2312" w:eastAsia="楷体_GB2312"/>
      <w:kern w:val="0"/>
      <w:szCs w:val="20"/>
      <w:u w:val="single"/>
    </w:rPr>
  </w:style>
  <w:style w:type="paragraph" w:customStyle="1" w:styleId="106">
    <w:name w:val="xl67"/>
    <w:basedOn w:val="1"/>
    <w:qFormat/>
    <w:uiPriority w:val="0"/>
    <w:pPr>
      <w:widowControl/>
      <w:pBdr>
        <w:top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Microsoft Sans Serif" w:hAnsi="Microsoft Sans Serif" w:cs="Microsoft Sans Serif"/>
      <w:b/>
      <w:bCs/>
      <w:kern w:val="0"/>
      <w:sz w:val="18"/>
      <w:szCs w:val="18"/>
    </w:rPr>
  </w:style>
  <w:style w:type="paragraph" w:customStyle="1" w:styleId="107">
    <w:name w:val="段"/>
    <w:qFormat/>
    <w:uiPriority w:val="0"/>
    <w:pPr>
      <w:autoSpaceDE w:val="0"/>
      <w:autoSpaceDN w:val="0"/>
      <w:spacing w:after="160" w:line="278" w:lineRule="auto"/>
      <w:ind w:firstLine="200" w:firstLineChars="200"/>
      <w:jc w:val="both"/>
    </w:pPr>
    <w:rPr>
      <w:rFonts w:ascii="宋体" w:hAnsi="Times New Roman" w:eastAsia="宋体" w:cs="Calibri"/>
      <w:sz w:val="21"/>
      <w:lang w:val="en-US" w:eastAsia="zh-CN" w:bidi="ar-SA"/>
    </w:rPr>
  </w:style>
  <w:style w:type="paragraph" w:customStyle="1" w:styleId="108">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cs="宋体"/>
      <w:kern w:val="0"/>
    </w:rPr>
  </w:style>
  <w:style w:type="paragraph" w:customStyle="1" w:styleId="109">
    <w:name w:val="PM_Body"/>
    <w:basedOn w:val="1"/>
    <w:qFormat/>
    <w:locked/>
    <w:uiPriority w:val="0"/>
    <w:rPr>
      <w:szCs w:val="21"/>
    </w:rPr>
  </w:style>
  <w:style w:type="paragraph" w:customStyle="1" w:styleId="110">
    <w:name w:val="xl71"/>
    <w:basedOn w:val="1"/>
    <w:qFormat/>
    <w:uiPriority w:val="0"/>
    <w:pPr>
      <w:widowControl/>
      <w:spacing w:before="100" w:beforeAutospacing="1" w:after="100" w:afterAutospacing="1" w:line="240" w:lineRule="auto"/>
      <w:ind w:firstLine="0" w:firstLineChars="0"/>
      <w:jc w:val="right"/>
      <w:textAlignment w:val="center"/>
    </w:pPr>
    <w:rPr>
      <w:rFonts w:ascii="Microsoft Sans Serif" w:hAnsi="Microsoft Sans Serif" w:cs="Microsoft Sans Serif"/>
      <w:kern w:val="0"/>
      <w:sz w:val="18"/>
      <w:szCs w:val="18"/>
    </w:rPr>
  </w:style>
  <w:style w:type="paragraph" w:customStyle="1" w:styleId="111">
    <w:name w:val="修订1"/>
    <w:unhideWhenUsed/>
    <w:qFormat/>
    <w:uiPriority w:val="99"/>
    <w:pPr>
      <w:spacing w:after="160" w:line="278" w:lineRule="auto"/>
    </w:pPr>
    <w:rPr>
      <w:rFonts w:ascii="宋体" w:hAnsi="宋体" w:eastAsia="宋体" w:cs="Times New Roman"/>
      <w:kern w:val="2"/>
      <w:sz w:val="24"/>
      <w:szCs w:val="24"/>
      <w:lang w:val="en-US" w:eastAsia="zh-CN" w:bidi="ar-SA"/>
    </w:rPr>
  </w:style>
  <w:style w:type="paragraph" w:customStyle="1" w:styleId="112">
    <w:name w:val="列出段落2"/>
    <w:basedOn w:val="1"/>
    <w:qFormat/>
    <w:uiPriority w:val="0"/>
    <w:pPr>
      <w:spacing w:line="240" w:lineRule="auto"/>
      <w:ind w:firstLine="420"/>
    </w:pPr>
    <w:rPr>
      <w:rFonts w:ascii="等线" w:hAnsi="等线" w:eastAsia="等线" w:cs="等线"/>
      <w:sz w:val="21"/>
      <w:szCs w:val="21"/>
    </w:rPr>
  </w:style>
  <w:style w:type="paragraph" w:customStyle="1" w:styleId="113">
    <w:name w:val="xl69"/>
    <w:basedOn w:val="1"/>
    <w:qFormat/>
    <w:uiPriority w:val="0"/>
    <w:pPr>
      <w:widowControl/>
      <w:pBdr>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Microsoft Sans Serif" w:hAnsi="Microsoft Sans Serif" w:cs="Microsoft Sans Serif"/>
      <w:kern w:val="0"/>
      <w:sz w:val="18"/>
      <w:szCs w:val="18"/>
    </w:rPr>
  </w:style>
  <w:style w:type="paragraph" w:customStyle="1" w:styleId="114">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240" w:lineRule="auto"/>
      <w:ind w:firstLine="0" w:firstLineChars="0"/>
      <w:jc w:val="center"/>
      <w:textAlignment w:val="center"/>
    </w:pPr>
    <w:rPr>
      <w:rFonts w:ascii="Microsoft Sans Serif" w:hAnsi="Microsoft Sans Serif" w:cs="Microsoft Sans Serif"/>
      <w:b/>
      <w:bCs/>
      <w:kern w:val="0"/>
      <w:sz w:val="18"/>
      <w:szCs w:val="18"/>
    </w:rPr>
  </w:style>
  <w:style w:type="paragraph" w:customStyle="1" w:styleId="115">
    <w:name w:val="文档正文文本（中安网脉）"/>
    <w:basedOn w:val="1"/>
    <w:qFormat/>
    <w:uiPriority w:val="0"/>
    <w:pPr>
      <w:ind w:firstLine="200"/>
    </w:pPr>
    <w:rPr>
      <w:rFonts w:ascii="Times New Roman" w:hAnsi="Times New Roman" w:eastAsia="仿宋_GB2312"/>
      <w:color w:val="000000"/>
      <w:szCs w:val="28"/>
    </w:rPr>
  </w:style>
  <w:style w:type="paragraph" w:customStyle="1" w:styleId="116">
    <w:name w:val="xl65"/>
    <w:basedOn w:val="1"/>
    <w:qFormat/>
    <w:uiPriority w:val="0"/>
    <w:pPr>
      <w:widowControl/>
      <w:pBdr>
        <w:left w:val="single" w:color="auto" w:sz="4" w:space="0"/>
        <w:bottom w:val="single" w:color="auto" w:sz="4" w:space="0"/>
        <w:right w:val="single" w:color="auto" w:sz="4" w:space="0"/>
      </w:pBdr>
      <w:spacing w:before="100" w:beforeAutospacing="1" w:after="100" w:afterAutospacing="1" w:line="240" w:lineRule="auto"/>
      <w:ind w:firstLine="0" w:firstLineChars="0"/>
      <w:jc w:val="left"/>
      <w:textAlignment w:val="center"/>
    </w:pPr>
    <w:rPr>
      <w:rFonts w:ascii="Microsoft Sans Serif" w:hAnsi="Microsoft Sans Serif" w:cs="Microsoft Sans Serif"/>
      <w:kern w:val="0"/>
      <w:sz w:val="18"/>
      <w:szCs w:val="18"/>
    </w:rPr>
  </w:style>
  <w:style w:type="paragraph" w:customStyle="1" w:styleId="117">
    <w:name w:val="正文样式"/>
    <w:unhideWhenUsed/>
    <w:qFormat/>
    <w:uiPriority w:val="0"/>
    <w:pPr>
      <w:widowControl w:val="0"/>
      <w:adjustRightInd w:val="0"/>
      <w:snapToGrid w:val="0"/>
      <w:spacing w:after="160" w:line="360" w:lineRule="auto"/>
      <w:ind w:firstLine="200" w:firstLineChars="200"/>
      <w:jc w:val="both"/>
    </w:pPr>
    <w:rPr>
      <w:rFonts w:ascii="Times New Roman" w:hAnsi="Times New Roman" w:eastAsia="宋体" w:cs="Times New Roman"/>
      <w:bCs/>
      <w:snapToGrid w:val="0"/>
      <w:sz w:val="24"/>
      <w:szCs w:val="44"/>
      <w:lang w:val="en-US" w:eastAsia="zh-CN" w:bidi="ar-SA"/>
    </w:rPr>
  </w:style>
  <w:style w:type="paragraph" w:customStyle="1" w:styleId="118">
    <w:name w:val="样式 行距: 1.5 倍行距 首行缩进:  2 字符"/>
    <w:basedOn w:val="1"/>
    <w:qFormat/>
    <w:uiPriority w:val="0"/>
    <w:pPr>
      <w:ind w:firstLine="560"/>
      <w:jc w:val="left"/>
    </w:pPr>
    <w:rPr>
      <w:rFonts w:ascii="仿宋" w:hAnsi="仿宋" w:eastAsia="仿宋" w:cs="宋体"/>
      <w:sz w:val="28"/>
      <w:szCs w:val="20"/>
    </w:rPr>
  </w:style>
  <w:style w:type="paragraph" w:customStyle="1" w:styleId="119">
    <w:name w:val="TOC 标题1"/>
    <w:basedOn w:val="2"/>
    <w:next w:val="1"/>
    <w:qFormat/>
    <w:uiPriority w:val="39"/>
    <w:pPr>
      <w:widowControl/>
      <w:numPr>
        <w:numId w:val="0"/>
      </w:numPr>
      <w:spacing w:before="480" w:after="0" w:line="276" w:lineRule="auto"/>
      <w:jc w:val="left"/>
      <w:outlineLvl w:val="9"/>
    </w:pPr>
    <w:rPr>
      <w:rFonts w:ascii="Cambria" w:hAnsi="Cambria" w:eastAsia="宋体"/>
      <w:color w:val="365F91"/>
      <w:kern w:val="0"/>
      <w:sz w:val="28"/>
    </w:rPr>
  </w:style>
  <w:style w:type="table" w:customStyle="1" w:styleId="120">
    <w:name w:val="!我的表格1"/>
    <w:basedOn w:val="3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21">
    <w:name w:val="网格型1"/>
    <w:basedOn w:val="34"/>
    <w:unhideWhenUsed/>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2">
    <w:name w:val="标题 1 Char"/>
    <w:qFormat/>
    <w:uiPriority w:val="0"/>
    <w:rPr>
      <w:rFonts w:ascii="宋体" w:hAnsi="宋体" w:eastAsia="黑体"/>
      <w:b/>
      <w:bCs/>
      <w:kern w:val="44"/>
      <w:sz w:val="32"/>
      <w:szCs w:val="28"/>
    </w:rPr>
  </w:style>
  <w:style w:type="character" w:customStyle="1" w:styleId="123">
    <w:name w:val="纯文本 Char2"/>
    <w:qFormat/>
    <w:uiPriority w:val="0"/>
    <w:rPr>
      <w:rFonts w:ascii="宋体" w:hAnsi="宋体" w:eastAsia="宋体" w:cs="Times New Roman"/>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2.emf"/><Relationship Id="rId15" Type="http://schemas.openxmlformats.org/officeDocument/2006/relationships/oleObject" Target="embeddings/oleObject2.bin"/><Relationship Id="rId14" Type="http://schemas.openxmlformats.org/officeDocument/2006/relationships/image" Target="media/image1.emf"/><Relationship Id="rId13" Type="http://schemas.openxmlformats.org/officeDocument/2006/relationships/oleObject" Target="embeddings/oleObject1.bin"/><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40</Pages>
  <Words>15850</Words>
  <Characters>16216</Characters>
  <Lines>120</Lines>
  <Paragraphs>33</Paragraphs>
  <TotalTime>27</TotalTime>
  <ScaleCrop>false</ScaleCrop>
  <LinksUpToDate>false</LinksUpToDate>
  <CharactersWithSpaces>16236</CharactersWithSpaces>
  <Application>WPS Office_12.8.2.1113_F1E327BC-269C-435d-A152-05C5408002CA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2025-01-22T07:40:00Z</dcterms:created>
  <dc:creator>gtig_tzb</dc:creator>
  <cp:lastModifiedBy>朱  晨</cp:lastModifiedBy>
  <cp:lastPrinted>2020-08-08T04:08:00Z</cp:lastPrinted>
  <dcterms:modified xsi:type="dcterms:W3CDTF">2025-03-04T09:16:26Z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2052-12.8.2.1113</vt:lpwstr>
  </property>
  <property fmtid="{D5CDD505-2E9C-101B-9397-08002B2CF9AE}" pid="3" name="ICV">
    <vt:lpwstr>151805EF7459BF410670C167A67FA5B7_43</vt:lpwstr>
  </property>
</Properties>
</file>